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“实况业务运行维护”项目</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ZQCD-26163</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“实况业务运行维护”项目</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ZQCD-26163</w:t>
      </w:r>
      <w:bookmarkEnd w:id="22"/>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合同签订后12个月内完成</w:t>
      </w:r>
      <w:bookmarkEnd w:id="24"/>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北京</w:t>
      </w:r>
      <w:bookmarkEnd w:id="25"/>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9" w:name="项目公告_openBidTime"/>
      <w:r>
        <w:rPr>
          <w:rFonts w:asciiTheme="minorEastAsia" w:eastAsiaTheme="minorEastAsia" w:hAnsiTheme="minorEastAsia" w:hint="eastAsia"/>
          <w:bCs/>
          <w:szCs w:val="21"/>
          <w:highlight w:val="none"/>
        </w:rPr>
        <w:t>2026年08月17日 09:00:00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孙帅</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010-58994319</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北京市海淀区中关村南大街46号中国气象局</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8 人的服务团队，具体要求详见第六章采购需求。</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是，驻场服务人员不少于 3 人，其相关要求详见第六章采购需求。</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（1）标的：“实况业务运行维护”项目，属于软件和信息技术服务业 行业；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是，中标服务费：1.0万元。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70.000000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70.000000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1E85D960">
      <w:pPr>
        <w:spacing w:before="120" w:beforeLines="50" w:line="360" w:lineRule="auto"/>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  采购需求</w:t>
      </w:r>
    </w:p>
    <w:p w14:paraId="561E5298">
      <w:pPr>
        <w:jc w:val="left"/>
        <w:rPr>
          <w:rFonts w:ascii="Times New Roman" w:eastAsia="宋体" w:hAnsi="Times New Roman" w:cs="Times New Roman"/>
          <w:b/>
          <w:szCs w:val="21"/>
        </w:rPr>
      </w:pPr>
    </w:p>
    <w:p w14:paraId="5DE4A81B">
      <w:pPr>
        <w:spacing w:before="120" w:beforeLines="50" w:after="120" w:afterLines="50" w:line="360" w:lineRule="auto"/>
        <w:jc w:val="center"/>
        <w:rPr>
          <w:rFonts w:cs="Times New Roman"/>
          <w:b/>
          <w:sz w:val="52"/>
          <w:highlight w:val="none"/>
          <w:lang w:val="zh-CN"/>
        </w:rPr>
      </w:pPr>
    </w:p>
    <w:p w14:paraId="63BD809C">
      <w:pPr>
        <w:spacing w:before="120" w:beforeLines="50" w:after="120" w:afterLines="50" w:line="360" w:lineRule="auto"/>
        <w:jc w:val="center"/>
        <w:rPr>
          <w:rFonts w:cs="Times New Roman"/>
          <w:b/>
          <w:sz w:val="52"/>
          <w:highlight w:val="none"/>
          <w:lang w:val="zh-CN"/>
        </w:rPr>
      </w:pPr>
    </w:p>
    <w:p w14:paraId="5DD4A62F">
      <w:pPr>
        <w:spacing w:before="120" w:beforeLines="50" w:after="120" w:afterLines="50" w:line="360" w:lineRule="auto"/>
        <w:jc w:val="center"/>
        <w:rPr>
          <w:rFonts w:eastAsia="方正小标宋简体" w:cs="Times New Roman" w:hint="eastAsia"/>
          <w:b/>
          <w:sz w:val="40"/>
          <w:szCs w:val="40"/>
          <w:highlight w:val="none"/>
        </w:rPr>
      </w:pPr>
      <w:r>
        <w:rPr>
          <w:rFonts w:ascii="方正小标宋简体" w:eastAsia="方正小标宋简体" w:hAnsi="宋体" w:cs="宋体" w:hint="eastAsia"/>
          <w:color w:val="000000"/>
          <w:kern w:val="0"/>
          <w:sz w:val="36"/>
          <w:szCs w:val="36"/>
        </w:rPr>
        <w:t>“实况业务运行维护”项目</w:t>
      </w:r>
      <w:r>
        <w:rPr>
          <w:rFonts w:ascii="方正小标宋简体" w:eastAsia="方正小标宋简体" w:hAnsi="宋体" w:cs="宋体" w:hint="eastAsia"/>
          <w:color w:val="000000"/>
          <w:kern w:val="0"/>
          <w:sz w:val="36"/>
          <w:szCs w:val="36"/>
          <w:lang w:val="en-US" w:eastAsia="zh-CN"/>
        </w:rPr>
        <w:t>任务书</w:t>
      </w:r>
    </w:p>
    <w:p w14:paraId="6B64B3B9">
      <w:pPr>
        <w:spacing w:before="120" w:beforeLines="50" w:after="120" w:afterLines="50" w:line="360" w:lineRule="auto"/>
        <w:jc w:val="center"/>
        <w:rPr>
          <w:rFonts w:cs="Times New Roman"/>
          <w:b/>
          <w:sz w:val="52"/>
          <w:highlight w:val="none"/>
          <w:lang w:val="zh-CN"/>
        </w:rPr>
      </w:pPr>
    </w:p>
    <w:p w14:paraId="3D802B79">
      <w:pPr>
        <w:spacing w:before="120" w:beforeLines="50" w:after="120" w:afterLines="50" w:line="360" w:lineRule="auto"/>
        <w:jc w:val="center"/>
        <w:rPr>
          <w:rFonts w:cs="Times New Roman"/>
          <w:b/>
          <w:sz w:val="52"/>
          <w:highlight w:val="none"/>
          <w:lang w:val="zh-CN"/>
        </w:rPr>
      </w:pPr>
    </w:p>
    <w:p w14:paraId="31B3DCD9">
      <w:pPr>
        <w:spacing w:before="120" w:beforeLines="50" w:after="120" w:afterLines="50" w:line="360" w:lineRule="auto"/>
        <w:jc w:val="center"/>
        <w:rPr>
          <w:rFonts w:cs="Times New Roman"/>
          <w:b/>
          <w:sz w:val="52"/>
          <w:highlight w:val="none"/>
          <w:lang w:val="zh-CN"/>
        </w:rPr>
      </w:pPr>
    </w:p>
    <w:p w14:paraId="06B360D7">
      <w:pPr>
        <w:spacing w:before="120" w:beforeLines="50" w:after="120" w:afterLines="50" w:line="360" w:lineRule="auto"/>
        <w:jc w:val="center"/>
        <w:rPr>
          <w:rFonts w:cs="Times New Roman"/>
          <w:b/>
          <w:sz w:val="52"/>
          <w:highlight w:val="none"/>
          <w:lang w:val="zh-CN"/>
        </w:rPr>
      </w:pPr>
    </w:p>
    <w:p w14:paraId="12173AE2">
      <w:pPr>
        <w:spacing w:before="120" w:beforeLines="50" w:after="120" w:afterLines="50" w:line="360" w:lineRule="auto"/>
        <w:jc w:val="center"/>
        <w:rPr>
          <w:rFonts w:cs="Times New Roman"/>
          <w:b/>
          <w:sz w:val="52"/>
          <w:highlight w:val="none"/>
          <w:lang w:val="zh-CN"/>
        </w:rPr>
      </w:pPr>
    </w:p>
    <w:p w14:paraId="7F5A841E">
      <w:pPr>
        <w:spacing w:before="120" w:beforeLines="50" w:after="120" w:afterLines="50" w:line="360" w:lineRule="auto"/>
        <w:jc w:val="center"/>
        <w:rPr>
          <w:rFonts w:cs="Times New Roman"/>
          <w:b/>
          <w:sz w:val="52"/>
          <w:highlight w:val="none"/>
          <w:lang w:val="zh-CN"/>
        </w:rPr>
        <w:sectPr>
          <w:footerReference w:type="even" r:id="rId8"/>
          <w:footerReference w:type="default" r:id="rId9"/>
          <w:pgSz w:w="11905" w:h="16840" w:orient="landscape"/>
          <w:pgMar w:top="1440" w:right="1800" w:bottom="1440" w:left="1800" w:header="720" w:footer="720" w:gutter="0"/>
          <w:cols w:num="1" w:space="720"/>
        </w:sectPr>
      </w:pPr>
    </w:p>
    <w:p w14:paraId="354FEE53">
      <w:pPr>
        <w:keepNext/>
        <w:keepLines/>
        <w:widowControl/>
        <w:numPr>
          <w:ilvl w:val="0"/>
          <w:numId w:val="0"/>
        </w:numPr>
        <w:spacing w:before="480" w:after="0" w:line="276" w:lineRule="auto"/>
        <w:jc w:val="center"/>
        <w:outlineLvl w:val="9"/>
        <w:rPr>
          <w:rFonts w:ascii="Cambria" w:eastAsia="宋体" w:hAnsi="Cambria" w:cs="Times New Roman"/>
          <w:b/>
          <w:bCs/>
          <w:color w:val="365F91"/>
          <w:kern w:val="0"/>
          <w:sz w:val="28"/>
          <w:szCs w:val="28"/>
        </w:rPr>
      </w:pPr>
      <w:r>
        <w:rPr>
          <w:rFonts w:ascii="Cambria" w:eastAsia="宋体" w:hAnsi="Cambria" w:cs="Times New Roman"/>
          <w:b/>
          <w:bCs/>
          <w:color w:val="365F91"/>
          <w:kern w:val="0"/>
          <w:sz w:val="28"/>
          <w:szCs w:val="28"/>
          <w:lang w:val="zh-CN" w:eastAsia="zh-CN" w:bidi="ar-SA"/>
        </w:rPr>
        <w:t>目录</w:t>
      </w:r>
    </w:p>
    <w:p w14:paraId="5DB48E95">
      <w:pPr>
        <w:widowControl/>
        <w:tabs>
          <w:tab w:val="right" w:leader="dot" w:pos="8391"/>
        </w:tabs>
        <w:spacing w:after="100" w:line="276" w:lineRule="auto"/>
        <w:jc w:val="left"/>
        <w:rPr>
          <w:rFonts w:ascii="Calibri" w:eastAsia="宋体" w:hAnsi="Calibri" w:cs="Times New Roman"/>
          <w:kern w:val="0"/>
          <w:sz w:val="22"/>
        </w:rPr>
      </w:pP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TOC \o "1-3" \h \z \u </w:instrText>
      </w:r>
      <w:r>
        <w:rPr>
          <w:rFonts w:ascii="Calibri" w:eastAsia="宋体" w:hAnsi="Calibri" w:cs="Times New Roman"/>
          <w:kern w:val="0"/>
          <w:sz w:val="22"/>
          <w:szCs w:val="22"/>
          <w:lang w:val="en-US" w:eastAsia="zh-CN" w:bidi="ar-SA"/>
        </w:rPr>
        <w:fldChar w:fldCharType="separate"/>
      </w:r>
      <w:hyperlink w:anchor="_Toc26994" w:history="1">
        <w:r>
          <w:rPr>
            <w:rFonts w:ascii="Arial" w:eastAsia="黑体" w:hAnsi="Arial" w:cs="Times New Roman" w:hint="default"/>
            <w:i w:val="0"/>
            <w:kern w:val="0"/>
            <w:sz w:val="22"/>
            <w:szCs w:val="22"/>
            <w:lang w:val="en-US" w:eastAsia="zh-CN" w:bidi="ar-SA"/>
          </w:rPr>
          <w:t xml:space="preserve">1 </w:t>
        </w:r>
        <w:r>
          <w:rPr>
            <w:rFonts w:ascii="Calibri" w:eastAsia="宋体" w:hAnsi="Calibri" w:cs="Times New Roman" w:hint="eastAsia"/>
            <w:kern w:val="0"/>
            <w:sz w:val="22"/>
            <w:szCs w:val="22"/>
            <w:lang w:val="en-US" w:eastAsia="zh-CN" w:bidi="ar-SA"/>
          </w:rPr>
          <w:t>项目背景</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_Toc26994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4</w:t>
        </w:r>
        <w:r>
          <w:rPr>
            <w:rFonts w:ascii="Calibri" w:eastAsia="宋体" w:hAnsi="Calibri" w:cs="Times New Roman"/>
            <w:kern w:val="0"/>
            <w:sz w:val="22"/>
            <w:szCs w:val="22"/>
            <w:lang w:val="en-US" w:eastAsia="zh-CN" w:bidi="ar-SA"/>
          </w:rPr>
          <w:fldChar w:fldCharType="end"/>
        </w:r>
      </w:hyperlink>
    </w:p>
    <w:p w14:paraId="40E947FB">
      <w:pPr>
        <w:widowControl/>
        <w:tabs>
          <w:tab w:val="right" w:leader="dot" w:pos="8391"/>
        </w:tabs>
        <w:spacing w:after="100" w:line="276" w:lineRule="auto"/>
        <w:jc w:val="left"/>
        <w:rPr>
          <w:rFonts w:ascii="Calibri" w:eastAsia="宋体" w:hAnsi="Calibri" w:cs="Times New Roman"/>
          <w:kern w:val="0"/>
          <w:sz w:val="22"/>
        </w:rPr>
      </w:pPr>
      <w:hyperlink w:anchor="_Toc16290" w:history="1">
        <w:r>
          <w:rPr>
            <w:rFonts w:ascii="Arial" w:eastAsia="黑体" w:hAnsi="Arial" w:cs="Times New Roman" w:hint="default"/>
            <w:i w:val="0"/>
            <w:kern w:val="0"/>
            <w:sz w:val="22"/>
            <w:szCs w:val="22"/>
            <w:lang w:val="en-US" w:eastAsia="zh-CN" w:bidi="ar-SA"/>
          </w:rPr>
          <w:t xml:space="preserve">2 </w:t>
        </w:r>
        <w:r>
          <w:rPr>
            <w:rFonts w:ascii="Calibri" w:eastAsia="宋体" w:hAnsi="Calibri" w:cs="Times New Roman" w:hint="eastAsia"/>
            <w:kern w:val="0"/>
            <w:sz w:val="22"/>
            <w:szCs w:val="22"/>
            <w:lang w:val="en-US" w:eastAsia="zh-CN" w:bidi="ar-SA"/>
          </w:rPr>
          <w:t>建设目标和内容</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_Toc16290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5</w:t>
        </w:r>
        <w:r>
          <w:rPr>
            <w:rFonts w:ascii="Calibri" w:eastAsia="宋体" w:hAnsi="Calibri" w:cs="Times New Roman"/>
            <w:kern w:val="0"/>
            <w:sz w:val="22"/>
            <w:szCs w:val="22"/>
            <w:lang w:val="en-US" w:eastAsia="zh-CN" w:bidi="ar-SA"/>
          </w:rPr>
          <w:fldChar w:fldCharType="end"/>
        </w:r>
      </w:hyperlink>
    </w:p>
    <w:p w14:paraId="5B4B3EF7">
      <w:pPr>
        <w:widowControl/>
        <w:tabs>
          <w:tab w:val="right" w:leader="dot" w:pos="8391"/>
        </w:tabs>
        <w:spacing w:after="100" w:line="276" w:lineRule="auto"/>
        <w:jc w:val="left"/>
        <w:rPr>
          <w:rFonts w:ascii="Calibri" w:eastAsia="宋体" w:hAnsi="Calibri" w:cs="Times New Roman"/>
          <w:kern w:val="0"/>
          <w:sz w:val="22"/>
        </w:rPr>
      </w:pPr>
      <w:hyperlink w:anchor="_Toc28121" w:history="1">
        <w:r>
          <w:rPr>
            <w:rFonts w:ascii="Arial" w:eastAsia="黑体" w:hAnsi="Arial" w:cs="Times New Roman" w:hint="default"/>
            <w:i w:val="0"/>
            <w:kern w:val="0"/>
            <w:sz w:val="22"/>
            <w:szCs w:val="22"/>
            <w:lang w:val="en-US" w:eastAsia="zh-CN" w:bidi="ar-SA"/>
          </w:rPr>
          <w:t xml:space="preserve">3 </w:t>
        </w:r>
        <w:r>
          <w:rPr>
            <w:rFonts w:ascii="Calibri" w:eastAsia="宋体" w:hAnsi="Calibri" w:cs="Times New Roman" w:hint="eastAsia"/>
            <w:kern w:val="0"/>
            <w:sz w:val="22"/>
            <w:szCs w:val="22"/>
            <w:lang w:val="en-US" w:eastAsia="zh-CN" w:bidi="ar-SA"/>
          </w:rPr>
          <w:t>任务</w:t>
        </w:r>
        <w:r>
          <w:rPr>
            <w:rFonts w:ascii="Calibri" w:eastAsia="宋体" w:hAnsi="Calibri" w:cs="Times New Roman"/>
            <w:kern w:val="0"/>
            <w:sz w:val="22"/>
            <w:szCs w:val="22"/>
            <w:lang w:val="en-US" w:eastAsia="zh-CN" w:bidi="ar-SA"/>
          </w:rPr>
          <w:t>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_Toc28121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6</w:t>
        </w:r>
        <w:r>
          <w:rPr>
            <w:rFonts w:ascii="Calibri" w:eastAsia="宋体" w:hAnsi="Calibri" w:cs="Times New Roman"/>
            <w:kern w:val="0"/>
            <w:sz w:val="22"/>
            <w:szCs w:val="22"/>
            <w:lang w:val="en-US" w:eastAsia="zh-CN" w:bidi="ar-SA"/>
          </w:rPr>
          <w:fldChar w:fldCharType="end"/>
        </w:r>
      </w:hyperlink>
    </w:p>
    <w:p w14:paraId="3133E6BD">
      <w:pPr>
        <w:widowControl/>
        <w:tabs>
          <w:tab w:val="right" w:leader="dot" w:pos="8391"/>
        </w:tabs>
        <w:spacing w:after="100" w:line="276" w:lineRule="auto"/>
        <w:ind w:left="220"/>
        <w:jc w:val="left"/>
        <w:rPr>
          <w:rFonts w:ascii="Calibri" w:eastAsia="宋体" w:hAnsi="Calibri" w:cs="Times New Roman"/>
          <w:kern w:val="0"/>
          <w:sz w:val="22"/>
        </w:rPr>
      </w:pPr>
      <w:hyperlink w:anchor="_Toc13459" w:history="1">
        <w:r>
          <w:rPr>
            <w:rFonts w:ascii="Times New Roman" w:eastAsia="宋体" w:hAnsi="Times New Roman" w:cs="Times New Roman" w:hint="default"/>
            <w:i w:val="0"/>
            <w:kern w:val="0"/>
            <w:sz w:val="22"/>
            <w:szCs w:val="22"/>
            <w:lang w:val="en-US" w:eastAsia="zh-CN" w:bidi="ar-SA"/>
          </w:rPr>
          <w:t xml:space="preserve">3.1 </w:t>
        </w:r>
        <w:r>
          <w:rPr>
            <w:rFonts w:ascii="Calibri" w:eastAsia="宋体" w:hAnsi="Calibri" w:cs="Times New Roman" w:hint="eastAsia"/>
            <w:kern w:val="0"/>
            <w:sz w:val="22"/>
            <w:szCs w:val="22"/>
            <w:lang w:val="en-US" w:eastAsia="zh-CN" w:bidi="ar-SA"/>
          </w:rPr>
          <w:t>实况系统运维</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_Toc13459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6</w:t>
        </w:r>
        <w:r>
          <w:rPr>
            <w:rFonts w:ascii="Calibri" w:eastAsia="宋体" w:hAnsi="Calibri" w:cs="Times New Roman"/>
            <w:kern w:val="0"/>
            <w:sz w:val="22"/>
            <w:szCs w:val="22"/>
            <w:lang w:val="en-US" w:eastAsia="zh-CN" w:bidi="ar-SA"/>
          </w:rPr>
          <w:fldChar w:fldCharType="end"/>
        </w:r>
      </w:hyperlink>
    </w:p>
    <w:p w14:paraId="6DB7CB99">
      <w:pPr>
        <w:widowControl/>
        <w:tabs>
          <w:tab w:val="right" w:leader="dot" w:pos="8391"/>
        </w:tabs>
        <w:spacing w:after="100" w:line="276" w:lineRule="auto"/>
        <w:ind w:left="440"/>
        <w:jc w:val="left"/>
        <w:rPr>
          <w:rFonts w:ascii="Calibri" w:eastAsia="宋体" w:hAnsi="Calibri" w:cs="Times New Roman"/>
          <w:kern w:val="0"/>
          <w:sz w:val="22"/>
        </w:rPr>
      </w:pPr>
      <w:hyperlink w:anchor="_Toc308" w:history="1">
        <w:r>
          <w:rPr>
            <w:rFonts w:ascii="Arial" w:eastAsia="黑体" w:hAnsi="Arial" w:cs="Times New Roman" w:hint="default"/>
            <w:i w:val="0"/>
            <w:kern w:val="0"/>
            <w:sz w:val="22"/>
            <w:szCs w:val="22"/>
            <w:lang w:val="en-US" w:eastAsia="zh-CN" w:bidi="ar-SA"/>
          </w:rPr>
          <w:t xml:space="preserve">3.1.1 </w:t>
        </w:r>
        <w:r>
          <w:rPr>
            <w:rFonts w:ascii="Calibri" w:eastAsia="宋体" w:hAnsi="Calibri" w:cs="Times New Roman" w:hint="eastAsia"/>
            <w:kern w:val="0"/>
            <w:sz w:val="22"/>
            <w:szCs w:val="22"/>
            <w:lang w:val="en-US" w:eastAsia="zh-CN" w:bidi="ar-SA"/>
          </w:rPr>
          <w:t>基础数据产品和新型垂直观测数据产品运维</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_Toc308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6</w:t>
        </w:r>
        <w:r>
          <w:rPr>
            <w:rFonts w:ascii="Calibri" w:eastAsia="宋体" w:hAnsi="Calibri" w:cs="Times New Roman"/>
            <w:kern w:val="0"/>
            <w:sz w:val="22"/>
            <w:szCs w:val="22"/>
            <w:lang w:val="en-US" w:eastAsia="zh-CN" w:bidi="ar-SA"/>
          </w:rPr>
          <w:fldChar w:fldCharType="end"/>
        </w:r>
      </w:hyperlink>
    </w:p>
    <w:p w14:paraId="507284E4">
      <w:pPr>
        <w:widowControl/>
        <w:tabs>
          <w:tab w:val="right" w:leader="dot" w:pos="8391"/>
        </w:tabs>
        <w:spacing w:after="100" w:line="276" w:lineRule="auto"/>
        <w:ind w:left="440"/>
        <w:jc w:val="left"/>
        <w:rPr>
          <w:rFonts w:ascii="Calibri" w:eastAsia="宋体" w:hAnsi="Calibri" w:cs="Times New Roman"/>
          <w:kern w:val="0"/>
          <w:sz w:val="22"/>
        </w:rPr>
      </w:pPr>
      <w:hyperlink w:anchor="_Toc14870" w:history="1">
        <w:r>
          <w:rPr>
            <w:rFonts w:ascii="Arial" w:eastAsia="黑体" w:hAnsi="Arial" w:cs="Times New Roman" w:hint="default"/>
            <w:i w:val="0"/>
            <w:kern w:val="0"/>
            <w:sz w:val="22"/>
            <w:szCs w:val="22"/>
            <w:lang w:val="en-US" w:eastAsia="zh-CN" w:bidi="ar-SA"/>
          </w:rPr>
          <w:t xml:space="preserve">3.1.2 </w:t>
        </w:r>
        <w:r>
          <w:rPr>
            <w:rFonts w:ascii="Calibri" w:eastAsia="宋体" w:hAnsi="Calibri" w:cs="Times New Roman" w:hint="eastAsia"/>
            <w:kern w:val="0"/>
            <w:sz w:val="22"/>
            <w:szCs w:val="22"/>
            <w:lang w:val="en-US" w:eastAsia="zh-CN" w:bidi="ar-SA"/>
          </w:rPr>
          <w:t>雷达系统运维保障</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_Toc14870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7</w:t>
        </w:r>
        <w:r>
          <w:rPr>
            <w:rFonts w:ascii="Calibri" w:eastAsia="宋体" w:hAnsi="Calibri" w:cs="Times New Roman"/>
            <w:kern w:val="0"/>
            <w:sz w:val="22"/>
            <w:szCs w:val="22"/>
            <w:lang w:val="en-US" w:eastAsia="zh-CN" w:bidi="ar-SA"/>
          </w:rPr>
          <w:fldChar w:fldCharType="end"/>
        </w:r>
      </w:hyperlink>
    </w:p>
    <w:p w14:paraId="3BEAFF4B">
      <w:pPr>
        <w:widowControl/>
        <w:tabs>
          <w:tab w:val="right" w:leader="dot" w:pos="8391"/>
        </w:tabs>
        <w:spacing w:after="100" w:line="276" w:lineRule="auto"/>
        <w:ind w:left="440"/>
        <w:jc w:val="left"/>
        <w:rPr>
          <w:rFonts w:ascii="Calibri" w:eastAsia="宋体" w:hAnsi="Calibri" w:cs="Times New Roman"/>
          <w:kern w:val="0"/>
          <w:sz w:val="22"/>
        </w:rPr>
      </w:pPr>
      <w:hyperlink w:anchor="_Toc28563" w:history="1">
        <w:r>
          <w:rPr>
            <w:rFonts w:ascii="Arial" w:eastAsia="黑体" w:hAnsi="Arial" w:cs="Times New Roman" w:hint="default"/>
            <w:i w:val="0"/>
            <w:kern w:val="0"/>
            <w:sz w:val="22"/>
            <w:szCs w:val="22"/>
            <w:lang w:val="en-US" w:eastAsia="zh-CN" w:bidi="ar-SA"/>
          </w:rPr>
          <w:t xml:space="preserve">3.1.3 </w:t>
        </w:r>
        <w:r>
          <w:rPr>
            <w:rFonts w:ascii="Calibri" w:eastAsia="宋体" w:hAnsi="Calibri" w:cs="Times New Roman" w:hint="eastAsia"/>
            <w:kern w:val="0"/>
            <w:sz w:val="22"/>
            <w:szCs w:val="22"/>
            <w:lang w:val="en-US" w:eastAsia="zh-CN" w:bidi="ar-SA"/>
          </w:rPr>
          <w:t>全球实况分析系统运维</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_Toc28563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8</w:t>
        </w:r>
        <w:r>
          <w:rPr>
            <w:rFonts w:ascii="Calibri" w:eastAsia="宋体" w:hAnsi="Calibri" w:cs="Times New Roman"/>
            <w:kern w:val="0"/>
            <w:sz w:val="22"/>
            <w:szCs w:val="22"/>
            <w:lang w:val="en-US" w:eastAsia="zh-CN" w:bidi="ar-SA"/>
          </w:rPr>
          <w:fldChar w:fldCharType="end"/>
        </w:r>
      </w:hyperlink>
    </w:p>
    <w:p w14:paraId="34BB7CF0">
      <w:pPr>
        <w:widowControl/>
        <w:tabs>
          <w:tab w:val="right" w:leader="dot" w:pos="8391"/>
        </w:tabs>
        <w:spacing w:after="100" w:line="276" w:lineRule="auto"/>
        <w:ind w:left="440"/>
        <w:jc w:val="left"/>
        <w:rPr>
          <w:rFonts w:ascii="Calibri" w:eastAsia="宋体" w:hAnsi="Calibri" w:cs="Times New Roman"/>
          <w:kern w:val="0"/>
          <w:sz w:val="22"/>
        </w:rPr>
      </w:pPr>
      <w:hyperlink w:anchor="_Toc14691" w:history="1">
        <w:r>
          <w:rPr>
            <w:rFonts w:ascii="Arial" w:eastAsia="黑体" w:hAnsi="Arial" w:cs="Times New Roman" w:hint="default"/>
            <w:i w:val="0"/>
            <w:kern w:val="0"/>
            <w:sz w:val="22"/>
            <w:szCs w:val="22"/>
            <w:lang w:val="en-US" w:eastAsia="zh-CN" w:bidi="ar-SA"/>
          </w:rPr>
          <w:t xml:space="preserve">3.1.4 </w:t>
        </w:r>
        <w:r>
          <w:rPr>
            <w:rFonts w:ascii="Calibri" w:eastAsia="宋体" w:hAnsi="Calibri" w:cs="Times New Roman" w:hint="eastAsia"/>
            <w:kern w:val="0"/>
            <w:sz w:val="22"/>
            <w:szCs w:val="22"/>
            <w:lang w:val="en-US" w:eastAsia="zh-CN" w:bidi="ar-SA"/>
          </w:rPr>
          <w:t>区域实况分析系统运行维护</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_Toc14691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9</w:t>
        </w:r>
        <w:r>
          <w:rPr>
            <w:rFonts w:ascii="Calibri" w:eastAsia="宋体" w:hAnsi="Calibri" w:cs="Times New Roman"/>
            <w:kern w:val="0"/>
            <w:sz w:val="22"/>
            <w:szCs w:val="22"/>
            <w:lang w:val="en-US" w:eastAsia="zh-CN" w:bidi="ar-SA"/>
          </w:rPr>
          <w:fldChar w:fldCharType="end"/>
        </w:r>
      </w:hyperlink>
    </w:p>
    <w:p w14:paraId="0B4405FC">
      <w:pPr>
        <w:widowControl/>
        <w:tabs>
          <w:tab w:val="right" w:leader="dot" w:pos="8391"/>
        </w:tabs>
        <w:spacing w:after="100" w:line="276" w:lineRule="auto"/>
        <w:ind w:left="440"/>
        <w:jc w:val="left"/>
        <w:rPr>
          <w:rFonts w:ascii="Calibri" w:eastAsia="宋体" w:hAnsi="Calibri" w:cs="Times New Roman"/>
          <w:kern w:val="0"/>
          <w:sz w:val="22"/>
        </w:rPr>
      </w:pPr>
      <w:hyperlink w:anchor="_Toc15629" w:history="1">
        <w:r>
          <w:rPr>
            <w:rFonts w:ascii="Arial" w:eastAsia="黑体" w:hAnsi="Arial" w:cs="Times New Roman" w:hint="default"/>
            <w:i w:val="0"/>
            <w:kern w:val="0"/>
            <w:sz w:val="22"/>
            <w:szCs w:val="22"/>
            <w:lang w:val="en-US" w:eastAsia="zh-CN" w:bidi="ar-SA"/>
          </w:rPr>
          <w:t xml:space="preserve">3.1.5 </w:t>
        </w:r>
        <w:r>
          <w:rPr>
            <w:rFonts w:ascii="Calibri" w:eastAsia="宋体" w:hAnsi="Calibri" w:cs="Times New Roman" w:hint="eastAsia"/>
            <w:kern w:val="0"/>
            <w:sz w:val="22"/>
            <w:szCs w:val="22"/>
            <w:lang w:val="en-US" w:eastAsia="zh-CN" w:bidi="ar-SA"/>
          </w:rPr>
          <w:t>海洋实况分析系统运行维护</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_Toc15629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10</w:t>
        </w:r>
        <w:r>
          <w:rPr>
            <w:rFonts w:ascii="Calibri" w:eastAsia="宋体" w:hAnsi="Calibri" w:cs="Times New Roman"/>
            <w:kern w:val="0"/>
            <w:sz w:val="22"/>
            <w:szCs w:val="22"/>
            <w:lang w:val="en-US" w:eastAsia="zh-CN" w:bidi="ar-SA"/>
          </w:rPr>
          <w:fldChar w:fldCharType="end"/>
        </w:r>
      </w:hyperlink>
    </w:p>
    <w:p w14:paraId="1586C411">
      <w:pPr>
        <w:widowControl/>
        <w:tabs>
          <w:tab w:val="right" w:leader="dot" w:pos="8391"/>
        </w:tabs>
        <w:spacing w:after="100" w:line="276" w:lineRule="auto"/>
        <w:ind w:left="220"/>
        <w:jc w:val="left"/>
        <w:rPr>
          <w:rFonts w:ascii="Calibri" w:eastAsia="宋体" w:hAnsi="Calibri" w:cs="Times New Roman"/>
          <w:kern w:val="0"/>
          <w:sz w:val="22"/>
        </w:rPr>
      </w:pPr>
      <w:hyperlink w:anchor="_Toc28400" w:history="1">
        <w:r>
          <w:rPr>
            <w:rFonts w:ascii="Times New Roman" w:eastAsia="宋体" w:hAnsi="Times New Roman" w:cs="Times New Roman" w:hint="default"/>
            <w:i w:val="0"/>
            <w:kern w:val="0"/>
            <w:sz w:val="22"/>
            <w:szCs w:val="22"/>
            <w:lang w:val="en-US" w:eastAsia="zh-CN" w:bidi="ar-SA"/>
          </w:rPr>
          <w:t xml:space="preserve">3.2 </w:t>
        </w:r>
        <w:r>
          <w:rPr>
            <w:rFonts w:ascii="Calibri" w:eastAsia="宋体" w:hAnsi="Calibri" w:cs="Times New Roman" w:hint="eastAsia"/>
            <w:kern w:val="0"/>
            <w:sz w:val="22"/>
            <w:szCs w:val="22"/>
            <w:lang w:val="en-US" w:eastAsia="zh-CN" w:bidi="ar-SA"/>
          </w:rPr>
          <w:t>实况告警监控功能升级</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_Toc28400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11</w:t>
        </w:r>
        <w:r>
          <w:rPr>
            <w:rFonts w:ascii="Calibri" w:eastAsia="宋体" w:hAnsi="Calibri" w:cs="Times New Roman"/>
            <w:kern w:val="0"/>
            <w:sz w:val="22"/>
            <w:szCs w:val="22"/>
            <w:lang w:val="en-US" w:eastAsia="zh-CN" w:bidi="ar-SA"/>
          </w:rPr>
          <w:fldChar w:fldCharType="end"/>
        </w:r>
      </w:hyperlink>
    </w:p>
    <w:p w14:paraId="4F4A7E50">
      <w:pPr>
        <w:widowControl/>
        <w:tabs>
          <w:tab w:val="right" w:leader="dot" w:pos="8391"/>
        </w:tabs>
        <w:spacing w:after="100" w:line="276" w:lineRule="auto"/>
        <w:ind w:left="220"/>
        <w:jc w:val="left"/>
        <w:rPr>
          <w:rFonts w:ascii="Calibri" w:eastAsia="宋体" w:hAnsi="Calibri" w:cs="Times New Roman"/>
          <w:kern w:val="0"/>
          <w:sz w:val="22"/>
        </w:rPr>
      </w:pPr>
      <w:hyperlink w:anchor="_Toc16917" w:history="1">
        <w:r>
          <w:rPr>
            <w:rFonts w:ascii="Times New Roman" w:eastAsia="宋体" w:hAnsi="Times New Roman" w:cs="Times New Roman" w:hint="default"/>
            <w:i w:val="0"/>
            <w:kern w:val="0"/>
            <w:sz w:val="22"/>
            <w:szCs w:val="22"/>
            <w:lang w:val="en-US" w:eastAsia="zh-CN" w:bidi="ar-SA"/>
          </w:rPr>
          <w:t xml:space="preserve">3.3 </w:t>
        </w:r>
        <w:r>
          <w:rPr>
            <w:rFonts w:ascii="Calibri" w:eastAsia="宋体" w:hAnsi="Calibri" w:cs="Times New Roman" w:hint="eastAsia"/>
            <w:kern w:val="0"/>
            <w:sz w:val="22"/>
            <w:szCs w:val="22"/>
            <w:lang w:val="en-US" w:eastAsia="zh-CN" w:bidi="ar-SA"/>
          </w:rPr>
          <w:t>实况产品运维功能升级</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_Toc16917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13</w:t>
        </w:r>
        <w:r>
          <w:rPr>
            <w:rFonts w:ascii="Calibri" w:eastAsia="宋体" w:hAnsi="Calibri" w:cs="Times New Roman"/>
            <w:kern w:val="0"/>
            <w:sz w:val="22"/>
            <w:szCs w:val="22"/>
            <w:lang w:val="en-US" w:eastAsia="zh-CN" w:bidi="ar-SA"/>
          </w:rPr>
          <w:fldChar w:fldCharType="end"/>
        </w:r>
      </w:hyperlink>
    </w:p>
    <w:p w14:paraId="0FF57EC2">
      <w:pPr>
        <w:widowControl/>
        <w:tabs>
          <w:tab w:val="right" w:leader="dot" w:pos="8391"/>
        </w:tabs>
        <w:spacing w:after="100" w:line="276" w:lineRule="auto"/>
        <w:ind w:left="440"/>
        <w:jc w:val="left"/>
        <w:rPr>
          <w:rFonts w:ascii="Calibri" w:eastAsia="宋体" w:hAnsi="Calibri" w:cs="Times New Roman"/>
          <w:kern w:val="0"/>
          <w:sz w:val="22"/>
        </w:rPr>
      </w:pPr>
      <w:hyperlink w:anchor="_Toc28656" w:history="1">
        <w:r>
          <w:rPr>
            <w:rFonts w:ascii="Arial" w:eastAsia="黑体" w:hAnsi="Arial" w:cs="Times New Roman" w:hint="default"/>
            <w:i w:val="0"/>
            <w:kern w:val="0"/>
            <w:sz w:val="22"/>
            <w:szCs w:val="22"/>
            <w:lang w:val="en-US" w:eastAsia="zh-CN" w:bidi="ar-SA"/>
          </w:rPr>
          <w:t xml:space="preserve">3.3.1 </w:t>
        </w:r>
        <w:r>
          <w:rPr>
            <w:rFonts w:ascii="Calibri" w:eastAsia="宋体" w:hAnsi="Calibri" w:cs="Times New Roman" w:hint="eastAsia"/>
            <w:kern w:val="0"/>
            <w:sz w:val="22"/>
            <w:szCs w:val="22"/>
            <w:lang w:val="en-US" w:eastAsia="zh-CN" w:bidi="ar-SA"/>
          </w:rPr>
          <w:t>实况业务系统作业异常运维工具开发</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_Toc28656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13</w:t>
        </w:r>
        <w:r>
          <w:rPr>
            <w:rFonts w:ascii="Calibri" w:eastAsia="宋体" w:hAnsi="Calibri" w:cs="Times New Roman"/>
            <w:kern w:val="0"/>
            <w:sz w:val="22"/>
            <w:szCs w:val="22"/>
            <w:lang w:val="en-US" w:eastAsia="zh-CN" w:bidi="ar-SA"/>
          </w:rPr>
          <w:fldChar w:fldCharType="end"/>
        </w:r>
      </w:hyperlink>
    </w:p>
    <w:p w14:paraId="41E4D8AF">
      <w:pPr>
        <w:widowControl/>
        <w:tabs>
          <w:tab w:val="right" w:leader="dot" w:pos="8391"/>
        </w:tabs>
        <w:spacing w:after="100" w:line="276" w:lineRule="auto"/>
        <w:ind w:left="440"/>
        <w:jc w:val="left"/>
        <w:rPr>
          <w:rFonts w:ascii="Calibri" w:eastAsia="宋体" w:hAnsi="Calibri" w:cs="Times New Roman"/>
          <w:kern w:val="0"/>
          <w:sz w:val="22"/>
        </w:rPr>
      </w:pPr>
      <w:hyperlink w:anchor="_Toc2928" w:history="1">
        <w:r>
          <w:rPr>
            <w:rFonts w:ascii="Arial" w:eastAsia="黑体" w:hAnsi="Arial" w:cs="Times New Roman" w:hint="default"/>
            <w:i w:val="0"/>
            <w:kern w:val="0"/>
            <w:sz w:val="22"/>
            <w:szCs w:val="22"/>
            <w:lang w:val="en-US" w:eastAsia="zh-CN" w:bidi="ar-SA"/>
          </w:rPr>
          <w:t xml:space="preserve">3.3.2 </w:t>
        </w:r>
        <w:r>
          <w:rPr>
            <w:rFonts w:ascii="Calibri" w:eastAsia="宋体" w:hAnsi="Calibri" w:cs="Times New Roman" w:hint="eastAsia"/>
            <w:kern w:val="0"/>
            <w:sz w:val="22"/>
            <w:szCs w:val="22"/>
            <w:lang w:val="en-US" w:eastAsia="zh-CN" w:bidi="ar-SA"/>
          </w:rPr>
          <w:t>实况产品自动补推工具开发</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_Toc2928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13</w:t>
        </w:r>
        <w:r>
          <w:rPr>
            <w:rFonts w:ascii="Calibri" w:eastAsia="宋体" w:hAnsi="Calibri" w:cs="Times New Roman"/>
            <w:kern w:val="0"/>
            <w:sz w:val="22"/>
            <w:szCs w:val="22"/>
            <w:lang w:val="en-US" w:eastAsia="zh-CN" w:bidi="ar-SA"/>
          </w:rPr>
          <w:fldChar w:fldCharType="end"/>
        </w:r>
      </w:hyperlink>
    </w:p>
    <w:p w14:paraId="10CD5CDD">
      <w:pPr>
        <w:widowControl/>
        <w:tabs>
          <w:tab w:val="right" w:leader="dot" w:pos="8391"/>
        </w:tabs>
        <w:spacing w:after="100" w:line="276" w:lineRule="auto"/>
        <w:ind w:left="220"/>
        <w:jc w:val="left"/>
        <w:rPr>
          <w:rFonts w:ascii="Calibri" w:eastAsia="宋体" w:hAnsi="Calibri" w:cs="Times New Roman"/>
          <w:kern w:val="0"/>
          <w:sz w:val="22"/>
        </w:rPr>
      </w:pPr>
      <w:hyperlink w:anchor="_Toc14568" w:history="1">
        <w:r>
          <w:rPr>
            <w:rFonts w:ascii="Times New Roman" w:eastAsia="宋体" w:hAnsi="Times New Roman" w:cs="Times New Roman" w:hint="default"/>
            <w:i w:val="0"/>
            <w:kern w:val="0"/>
            <w:sz w:val="22"/>
            <w:szCs w:val="22"/>
            <w:lang w:val="en-US" w:eastAsia="zh-CN" w:bidi="ar-SA"/>
          </w:rPr>
          <w:t xml:space="preserve">3.4 </w:t>
        </w:r>
        <w:r>
          <w:rPr>
            <w:rFonts w:ascii="Calibri" w:eastAsia="宋体" w:hAnsi="Calibri" w:cs="Times New Roman" w:hint="eastAsia"/>
            <w:kern w:val="0"/>
            <w:sz w:val="22"/>
            <w:szCs w:val="22"/>
            <w:lang w:val="en-US" w:eastAsia="zh-CN" w:bidi="ar-SA"/>
          </w:rPr>
          <w:t>插补流程功能完善及评估功能开发</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_Toc14568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13</w:t>
        </w:r>
        <w:r>
          <w:rPr>
            <w:rFonts w:ascii="Calibri" w:eastAsia="宋体" w:hAnsi="Calibri" w:cs="Times New Roman"/>
            <w:kern w:val="0"/>
            <w:sz w:val="22"/>
            <w:szCs w:val="22"/>
            <w:lang w:val="en-US" w:eastAsia="zh-CN" w:bidi="ar-SA"/>
          </w:rPr>
          <w:fldChar w:fldCharType="end"/>
        </w:r>
      </w:hyperlink>
    </w:p>
    <w:p w14:paraId="5859126E">
      <w:pPr>
        <w:widowControl/>
        <w:tabs>
          <w:tab w:val="right" w:leader="dot" w:pos="8391"/>
        </w:tabs>
        <w:spacing w:after="100" w:line="276" w:lineRule="auto"/>
        <w:ind w:left="220"/>
        <w:jc w:val="left"/>
        <w:rPr>
          <w:rFonts w:ascii="Calibri" w:eastAsia="宋体" w:hAnsi="Calibri" w:cs="Times New Roman"/>
          <w:kern w:val="0"/>
          <w:sz w:val="22"/>
        </w:rPr>
      </w:pPr>
      <w:hyperlink w:anchor="_Toc8963" w:history="1">
        <w:r>
          <w:rPr>
            <w:rFonts w:ascii="Times New Roman" w:eastAsia="宋体" w:hAnsi="Times New Roman" w:cs="Times New Roman" w:hint="default"/>
            <w:i w:val="0"/>
            <w:kern w:val="0"/>
            <w:sz w:val="22"/>
            <w:szCs w:val="22"/>
            <w:lang w:val="en-US" w:eastAsia="zh-CN" w:bidi="ar-SA"/>
          </w:rPr>
          <w:t xml:space="preserve">3.5 </w:t>
        </w:r>
        <w:r>
          <w:rPr>
            <w:rFonts w:ascii="Calibri" w:eastAsia="宋体" w:hAnsi="Calibri" w:cs="Times New Roman" w:hint="eastAsia"/>
            <w:kern w:val="0"/>
            <w:sz w:val="22"/>
            <w:szCs w:val="22"/>
            <w:lang w:val="en-US" w:eastAsia="zh-CN" w:bidi="ar-SA"/>
          </w:rPr>
          <w:t>实况业务相关服务器安全漏洞检查和修补</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_Toc8963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14</w:t>
        </w:r>
        <w:r>
          <w:rPr>
            <w:rFonts w:ascii="Calibri" w:eastAsia="宋体" w:hAnsi="Calibri" w:cs="Times New Roman"/>
            <w:kern w:val="0"/>
            <w:sz w:val="22"/>
            <w:szCs w:val="22"/>
            <w:lang w:val="en-US" w:eastAsia="zh-CN" w:bidi="ar-SA"/>
          </w:rPr>
          <w:fldChar w:fldCharType="end"/>
        </w:r>
      </w:hyperlink>
    </w:p>
    <w:p w14:paraId="533AA3EF">
      <w:pPr>
        <w:widowControl/>
        <w:tabs>
          <w:tab w:val="right" w:leader="dot" w:pos="8391"/>
        </w:tabs>
        <w:spacing w:after="100" w:line="276" w:lineRule="auto"/>
        <w:ind w:left="220"/>
        <w:jc w:val="left"/>
        <w:rPr>
          <w:rFonts w:ascii="Calibri" w:eastAsia="宋体" w:hAnsi="Calibri" w:cs="Times New Roman"/>
          <w:kern w:val="0"/>
          <w:sz w:val="22"/>
        </w:rPr>
      </w:pPr>
      <w:hyperlink w:anchor="_Toc30172" w:history="1">
        <w:r>
          <w:rPr>
            <w:rFonts w:ascii="Times New Roman" w:eastAsia="宋体" w:hAnsi="Times New Roman" w:cs="Times New Roman" w:hint="default"/>
            <w:i w:val="0"/>
            <w:kern w:val="0"/>
            <w:sz w:val="22"/>
            <w:szCs w:val="22"/>
            <w:lang w:val="en-US" w:eastAsia="zh-CN" w:bidi="ar-SA"/>
          </w:rPr>
          <w:t xml:space="preserve">3.6 </w:t>
        </w:r>
        <w:r>
          <w:rPr>
            <w:rFonts w:ascii="Calibri" w:eastAsia="宋体" w:hAnsi="Calibri" w:cs="Times New Roman" w:hint="eastAsia"/>
            <w:kern w:val="0"/>
            <w:sz w:val="22"/>
            <w:szCs w:val="22"/>
            <w:lang w:val="en-US" w:eastAsia="zh-CN" w:bidi="ar-SA"/>
          </w:rPr>
          <w:t>实况分析监控信息网页产品展示升级</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_Toc30172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14</w:t>
        </w:r>
        <w:r>
          <w:rPr>
            <w:rFonts w:ascii="Calibri" w:eastAsia="宋体" w:hAnsi="Calibri" w:cs="Times New Roman"/>
            <w:kern w:val="0"/>
            <w:sz w:val="22"/>
            <w:szCs w:val="22"/>
            <w:lang w:val="en-US" w:eastAsia="zh-CN" w:bidi="ar-SA"/>
          </w:rPr>
          <w:fldChar w:fldCharType="end"/>
        </w:r>
      </w:hyperlink>
    </w:p>
    <w:p w14:paraId="7B3DEA6F">
      <w:pPr>
        <w:widowControl/>
        <w:tabs>
          <w:tab w:val="right" w:leader="dot" w:pos="8391"/>
        </w:tabs>
        <w:spacing w:after="100" w:line="276" w:lineRule="auto"/>
        <w:ind w:left="220"/>
        <w:jc w:val="left"/>
        <w:rPr>
          <w:rFonts w:ascii="Calibri" w:eastAsia="宋体" w:hAnsi="Calibri" w:cs="Times New Roman"/>
          <w:kern w:val="0"/>
          <w:sz w:val="22"/>
        </w:rPr>
      </w:pPr>
      <w:hyperlink w:anchor="_Toc20421" w:history="1">
        <w:r>
          <w:rPr>
            <w:rFonts w:ascii="Times New Roman" w:eastAsia="宋体" w:hAnsi="Times New Roman" w:cs="Times New Roman" w:hint="default"/>
            <w:i w:val="0"/>
            <w:kern w:val="0"/>
            <w:sz w:val="22"/>
            <w:szCs w:val="22"/>
            <w:lang w:val="en-US" w:eastAsia="zh-CN" w:bidi="ar-SA"/>
          </w:rPr>
          <w:t xml:space="preserve">3.7 </w:t>
        </w:r>
        <w:r>
          <w:rPr>
            <w:rFonts w:ascii="Calibri" w:eastAsia="宋体" w:hAnsi="Calibri" w:cs="Times New Roman" w:hint="eastAsia"/>
            <w:kern w:val="0"/>
            <w:sz w:val="22"/>
            <w:szCs w:val="22"/>
            <w:lang w:val="en-US" w:eastAsia="zh-CN" w:bidi="ar-SA"/>
          </w:rPr>
          <w:t>气象实况小程序降水质量的检查</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_Toc20421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15</w:t>
        </w:r>
        <w:r>
          <w:rPr>
            <w:rFonts w:ascii="Calibri" w:eastAsia="宋体" w:hAnsi="Calibri" w:cs="Times New Roman"/>
            <w:kern w:val="0"/>
            <w:sz w:val="22"/>
            <w:szCs w:val="22"/>
            <w:lang w:val="en-US" w:eastAsia="zh-CN" w:bidi="ar-SA"/>
          </w:rPr>
          <w:fldChar w:fldCharType="end"/>
        </w:r>
      </w:hyperlink>
    </w:p>
    <w:p w14:paraId="3F3A8DDE">
      <w:pPr>
        <w:widowControl/>
        <w:tabs>
          <w:tab w:val="right" w:leader="dot" w:pos="8391"/>
        </w:tabs>
        <w:spacing w:after="100" w:line="276" w:lineRule="auto"/>
        <w:ind w:left="220"/>
        <w:jc w:val="left"/>
        <w:rPr>
          <w:rFonts w:ascii="Calibri" w:eastAsia="宋体" w:hAnsi="Calibri" w:cs="Times New Roman"/>
          <w:kern w:val="0"/>
          <w:sz w:val="22"/>
        </w:rPr>
      </w:pPr>
      <w:hyperlink w:anchor="_Toc30937" w:history="1">
        <w:r>
          <w:rPr>
            <w:rFonts w:ascii="Times New Roman" w:eastAsia="宋体" w:hAnsi="Times New Roman" w:cs="Times New Roman" w:hint="default"/>
            <w:i w:val="0"/>
            <w:kern w:val="0"/>
            <w:sz w:val="22"/>
            <w:szCs w:val="22"/>
            <w:lang w:val="en-US" w:eastAsia="zh-CN" w:bidi="ar-SA"/>
          </w:rPr>
          <w:t xml:space="preserve">3.8 </w:t>
        </w:r>
        <w:r>
          <w:rPr>
            <w:rFonts w:ascii="Calibri" w:eastAsia="宋体" w:hAnsi="Calibri" w:cs="Times New Roman" w:hint="eastAsia"/>
            <w:kern w:val="0"/>
            <w:sz w:val="22"/>
            <w:szCs w:val="22"/>
            <w:lang w:val="en-US" w:eastAsia="zh-CN" w:bidi="ar-SA"/>
          </w:rPr>
          <w:t>基础数据产品和新型垂直观测数据产品质量周报工具开发与周报分析</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_Toc30937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15</w:t>
        </w:r>
        <w:r>
          <w:rPr>
            <w:rFonts w:ascii="Calibri" w:eastAsia="宋体" w:hAnsi="Calibri" w:cs="Times New Roman"/>
            <w:kern w:val="0"/>
            <w:sz w:val="22"/>
            <w:szCs w:val="22"/>
            <w:lang w:val="en-US" w:eastAsia="zh-CN" w:bidi="ar-SA"/>
          </w:rPr>
          <w:fldChar w:fldCharType="end"/>
        </w:r>
      </w:hyperlink>
    </w:p>
    <w:p w14:paraId="7091E438">
      <w:pPr>
        <w:widowControl/>
        <w:tabs>
          <w:tab w:val="right" w:leader="dot" w:pos="8391"/>
        </w:tabs>
        <w:spacing w:after="100" w:line="276" w:lineRule="auto"/>
        <w:ind w:left="220"/>
        <w:jc w:val="left"/>
        <w:rPr>
          <w:rFonts w:ascii="Calibri" w:eastAsia="宋体" w:hAnsi="Calibri" w:cs="Times New Roman"/>
          <w:kern w:val="0"/>
          <w:sz w:val="22"/>
        </w:rPr>
      </w:pPr>
      <w:hyperlink w:anchor="_Toc3745" w:history="1">
        <w:r>
          <w:rPr>
            <w:rFonts w:ascii="Times New Roman" w:eastAsia="宋体" w:hAnsi="Times New Roman" w:cs="Times New Roman" w:hint="default"/>
            <w:i w:val="0"/>
            <w:kern w:val="0"/>
            <w:sz w:val="22"/>
            <w:szCs w:val="22"/>
            <w:lang w:val="en-US" w:eastAsia="zh-CN" w:bidi="ar-SA"/>
          </w:rPr>
          <w:t xml:space="preserve">3.9 </w:t>
        </w:r>
        <w:r>
          <w:rPr>
            <w:rFonts w:ascii="Calibri" w:eastAsia="宋体" w:hAnsi="Calibri" w:cs="Times New Roman" w:hint="eastAsia"/>
            <w:kern w:val="0"/>
            <w:sz w:val="22"/>
            <w:szCs w:val="22"/>
            <w:lang w:val="en-US" w:eastAsia="zh-CN" w:bidi="ar-SA"/>
          </w:rPr>
          <w:t>基础数据产品和新型垂直观测数据产品服务器定时调度功能优化</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_Toc3745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15</w:t>
        </w:r>
        <w:r>
          <w:rPr>
            <w:rFonts w:ascii="Calibri" w:eastAsia="宋体" w:hAnsi="Calibri" w:cs="Times New Roman"/>
            <w:kern w:val="0"/>
            <w:sz w:val="22"/>
            <w:szCs w:val="22"/>
            <w:lang w:val="en-US" w:eastAsia="zh-CN" w:bidi="ar-SA"/>
          </w:rPr>
          <w:fldChar w:fldCharType="end"/>
        </w:r>
      </w:hyperlink>
    </w:p>
    <w:p w14:paraId="35BF00A9">
      <w:pPr>
        <w:widowControl/>
        <w:tabs>
          <w:tab w:val="right" w:leader="dot" w:pos="8391"/>
        </w:tabs>
        <w:spacing w:after="100" w:line="276" w:lineRule="auto"/>
        <w:ind w:left="220"/>
        <w:jc w:val="left"/>
        <w:rPr>
          <w:rFonts w:ascii="Calibri" w:eastAsia="宋体" w:hAnsi="Calibri" w:cs="Times New Roman"/>
          <w:kern w:val="0"/>
          <w:sz w:val="22"/>
        </w:rPr>
      </w:pPr>
      <w:hyperlink w:anchor="_Toc14830" w:history="1">
        <w:r>
          <w:rPr>
            <w:rFonts w:ascii="Times New Roman" w:eastAsia="宋体" w:hAnsi="Times New Roman" w:cs="Times New Roman" w:hint="default"/>
            <w:i w:val="0"/>
            <w:kern w:val="0"/>
            <w:sz w:val="22"/>
            <w:szCs w:val="22"/>
            <w:lang w:val="en-US" w:eastAsia="zh-CN" w:bidi="ar-SA"/>
          </w:rPr>
          <w:t xml:space="preserve">3.10 </w:t>
        </w:r>
        <w:r>
          <w:rPr>
            <w:rFonts w:ascii="Times New Roman" w:eastAsia="宋体" w:hAnsi="Times New Roman" w:cs="Times New Roman" w:hint="eastAsia"/>
            <w:kern w:val="0"/>
            <w:sz w:val="22"/>
            <w:szCs w:val="22"/>
            <w:lang w:val="en-US" w:eastAsia="zh-CN" w:bidi="ar-SA"/>
          </w:rPr>
          <w:t>雷达产品质量监视与维护</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_Toc14830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16</w:t>
        </w:r>
        <w:r>
          <w:rPr>
            <w:rFonts w:ascii="Calibri" w:eastAsia="宋体" w:hAnsi="Calibri" w:cs="Times New Roman"/>
            <w:kern w:val="0"/>
            <w:sz w:val="22"/>
            <w:szCs w:val="22"/>
            <w:lang w:val="en-US" w:eastAsia="zh-CN" w:bidi="ar-SA"/>
          </w:rPr>
          <w:fldChar w:fldCharType="end"/>
        </w:r>
      </w:hyperlink>
    </w:p>
    <w:p w14:paraId="6C271394">
      <w:pPr>
        <w:widowControl/>
        <w:tabs>
          <w:tab w:val="right" w:leader="dot" w:pos="8391"/>
        </w:tabs>
        <w:spacing w:after="100" w:line="276" w:lineRule="auto"/>
        <w:ind w:left="440"/>
        <w:jc w:val="left"/>
        <w:rPr>
          <w:rFonts w:ascii="Calibri" w:eastAsia="宋体" w:hAnsi="Calibri" w:cs="Times New Roman"/>
          <w:kern w:val="0"/>
          <w:sz w:val="22"/>
        </w:rPr>
      </w:pPr>
      <w:hyperlink w:anchor="_Toc21260" w:history="1">
        <w:r>
          <w:rPr>
            <w:rFonts w:ascii="Arial" w:eastAsia="黑体" w:hAnsi="Arial" w:cs="Times New Roman" w:hint="default"/>
            <w:i w:val="0"/>
            <w:kern w:val="0"/>
            <w:sz w:val="22"/>
            <w:szCs w:val="22"/>
            <w:lang w:val="en-US" w:eastAsia="zh-CN" w:bidi="ar-SA"/>
          </w:rPr>
          <w:t xml:space="preserve">3.10.1 </w:t>
        </w:r>
        <w:r>
          <w:rPr>
            <w:rFonts w:ascii="Calibri" w:eastAsia="宋体" w:hAnsi="Calibri" w:cs="Times New Roman" w:hint="eastAsia"/>
            <w:kern w:val="0"/>
            <w:sz w:val="22"/>
            <w:szCs w:val="22"/>
            <w:lang w:val="en-US" w:eastAsia="zh-CN" w:bidi="ar-SA"/>
          </w:rPr>
          <w:t>国家级雷达实时产品质量监视</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_Toc21260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16</w:t>
        </w:r>
        <w:r>
          <w:rPr>
            <w:rFonts w:ascii="Calibri" w:eastAsia="宋体" w:hAnsi="Calibri" w:cs="Times New Roman"/>
            <w:kern w:val="0"/>
            <w:sz w:val="22"/>
            <w:szCs w:val="22"/>
            <w:lang w:val="en-US" w:eastAsia="zh-CN" w:bidi="ar-SA"/>
          </w:rPr>
          <w:fldChar w:fldCharType="end"/>
        </w:r>
      </w:hyperlink>
    </w:p>
    <w:p w14:paraId="491317D3">
      <w:pPr>
        <w:widowControl/>
        <w:tabs>
          <w:tab w:val="right" w:leader="dot" w:pos="8391"/>
        </w:tabs>
        <w:spacing w:after="100" w:line="276" w:lineRule="auto"/>
        <w:ind w:left="440"/>
        <w:jc w:val="left"/>
        <w:rPr>
          <w:rFonts w:ascii="Calibri" w:eastAsia="宋体" w:hAnsi="Calibri" w:cs="Times New Roman"/>
          <w:kern w:val="0"/>
          <w:sz w:val="22"/>
        </w:rPr>
      </w:pPr>
      <w:hyperlink w:anchor="_Toc21456" w:history="1">
        <w:r>
          <w:rPr>
            <w:rFonts w:ascii="Arial" w:eastAsia="黑体" w:hAnsi="Arial" w:cs="Times New Roman" w:hint="default"/>
            <w:i w:val="0"/>
            <w:kern w:val="0"/>
            <w:sz w:val="22"/>
            <w:szCs w:val="22"/>
            <w:lang w:val="en-US" w:eastAsia="zh-CN" w:bidi="ar-SA"/>
          </w:rPr>
          <w:t xml:space="preserve">3.10.2 </w:t>
        </w:r>
        <w:r>
          <w:rPr>
            <w:rFonts w:ascii="Calibri" w:eastAsia="宋体" w:hAnsi="Calibri" w:cs="Times New Roman" w:hint="eastAsia"/>
            <w:kern w:val="0"/>
            <w:sz w:val="22"/>
            <w:szCs w:val="22"/>
            <w:lang w:val="en-US" w:eastAsia="zh-CN" w:bidi="ar-SA"/>
          </w:rPr>
          <w:t>异常区域数据溯源</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_Toc21456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17</w:t>
        </w:r>
        <w:r>
          <w:rPr>
            <w:rFonts w:ascii="Calibri" w:eastAsia="宋体" w:hAnsi="Calibri" w:cs="Times New Roman"/>
            <w:kern w:val="0"/>
            <w:sz w:val="22"/>
            <w:szCs w:val="22"/>
            <w:lang w:val="en-US" w:eastAsia="zh-CN" w:bidi="ar-SA"/>
          </w:rPr>
          <w:fldChar w:fldCharType="end"/>
        </w:r>
      </w:hyperlink>
    </w:p>
    <w:p w14:paraId="3DB0365D">
      <w:pPr>
        <w:widowControl/>
        <w:tabs>
          <w:tab w:val="right" w:leader="dot" w:pos="8391"/>
        </w:tabs>
        <w:spacing w:after="100" w:line="276" w:lineRule="auto"/>
        <w:ind w:left="440"/>
        <w:jc w:val="left"/>
        <w:rPr>
          <w:rFonts w:ascii="Calibri" w:eastAsia="宋体" w:hAnsi="Calibri" w:cs="Times New Roman"/>
          <w:kern w:val="0"/>
          <w:sz w:val="22"/>
        </w:rPr>
      </w:pPr>
      <w:hyperlink w:anchor="_Toc21910" w:history="1">
        <w:r>
          <w:rPr>
            <w:rFonts w:ascii="Arial" w:eastAsia="黑体" w:hAnsi="Arial" w:cs="Times New Roman" w:hint="default"/>
            <w:i w:val="0"/>
            <w:kern w:val="0"/>
            <w:sz w:val="22"/>
            <w:szCs w:val="22"/>
            <w:lang w:val="en-US" w:eastAsia="zh-CN" w:bidi="ar-SA"/>
          </w:rPr>
          <w:t xml:space="preserve">3.10.3 </w:t>
        </w:r>
        <w:r>
          <w:rPr>
            <w:rFonts w:ascii="Calibri" w:eastAsia="宋体" w:hAnsi="Calibri" w:cs="Times New Roman" w:hint="eastAsia"/>
            <w:kern w:val="0"/>
            <w:sz w:val="22"/>
            <w:szCs w:val="22"/>
            <w:lang w:val="en-US" w:eastAsia="zh-CN" w:bidi="ar-SA"/>
          </w:rPr>
          <w:t>人工专业故障排查</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_Toc21910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18</w:t>
        </w:r>
        <w:r>
          <w:rPr>
            <w:rFonts w:ascii="Calibri" w:eastAsia="宋体" w:hAnsi="Calibri" w:cs="Times New Roman"/>
            <w:kern w:val="0"/>
            <w:sz w:val="22"/>
            <w:szCs w:val="22"/>
            <w:lang w:val="en-US" w:eastAsia="zh-CN" w:bidi="ar-SA"/>
          </w:rPr>
          <w:fldChar w:fldCharType="end"/>
        </w:r>
      </w:hyperlink>
    </w:p>
    <w:p w14:paraId="45DBD403">
      <w:pPr>
        <w:widowControl/>
        <w:tabs>
          <w:tab w:val="right" w:leader="dot" w:pos="8391"/>
        </w:tabs>
        <w:spacing w:after="100" w:line="276" w:lineRule="auto"/>
        <w:jc w:val="left"/>
        <w:rPr>
          <w:rFonts w:ascii="Calibri" w:eastAsia="宋体" w:hAnsi="Calibri" w:cs="Times New Roman"/>
          <w:kern w:val="0"/>
          <w:sz w:val="22"/>
        </w:rPr>
      </w:pPr>
      <w:hyperlink w:anchor="_Toc19136" w:history="1">
        <w:r>
          <w:rPr>
            <w:rFonts w:ascii="Arial" w:eastAsia="黑体" w:hAnsi="Arial" w:cs="Times New Roman" w:hint="default"/>
            <w:i w:val="0"/>
            <w:kern w:val="0"/>
            <w:sz w:val="22"/>
            <w:szCs w:val="22"/>
            <w:lang w:val="en-US" w:eastAsia="zh-CN" w:bidi="ar-SA"/>
          </w:rPr>
          <w:t xml:space="preserve">4 </w:t>
        </w:r>
        <w:r>
          <w:rPr>
            <w:rFonts w:ascii="Calibri" w:eastAsia="宋体" w:hAnsi="Calibri" w:cs="Times New Roman"/>
            <w:kern w:val="0"/>
            <w:sz w:val="22"/>
            <w:szCs w:val="22"/>
            <w:lang w:val="en-US" w:eastAsia="zh-CN" w:bidi="ar-SA"/>
          </w:rPr>
          <w:t>设计约束与要求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_Toc19136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19</w:t>
        </w:r>
        <w:r>
          <w:rPr>
            <w:rFonts w:ascii="Calibri" w:eastAsia="宋体" w:hAnsi="Calibri" w:cs="Times New Roman"/>
            <w:kern w:val="0"/>
            <w:sz w:val="22"/>
            <w:szCs w:val="22"/>
            <w:lang w:val="en-US" w:eastAsia="zh-CN" w:bidi="ar-SA"/>
          </w:rPr>
          <w:fldChar w:fldCharType="end"/>
        </w:r>
      </w:hyperlink>
    </w:p>
    <w:p w14:paraId="5DD5BFF1">
      <w:pPr>
        <w:widowControl/>
        <w:tabs>
          <w:tab w:val="right" w:leader="dot" w:pos="8391"/>
        </w:tabs>
        <w:spacing w:after="100" w:line="276" w:lineRule="auto"/>
        <w:jc w:val="left"/>
        <w:rPr>
          <w:rFonts w:ascii="Calibri" w:eastAsia="宋体" w:hAnsi="Calibri" w:cs="Times New Roman"/>
          <w:kern w:val="0"/>
          <w:sz w:val="22"/>
        </w:rPr>
      </w:pPr>
      <w:hyperlink w:anchor="_Toc10180" w:history="1">
        <w:r>
          <w:rPr>
            <w:rFonts w:ascii="Arial" w:eastAsia="黑体" w:hAnsi="Arial" w:cs="Times New Roman" w:hint="default"/>
            <w:i w:val="0"/>
            <w:kern w:val="0"/>
            <w:sz w:val="22"/>
            <w:szCs w:val="22"/>
            <w:lang w:val="en-US" w:eastAsia="zh-CN" w:bidi="ar-SA"/>
          </w:rPr>
          <w:t xml:space="preserve">5 </w:t>
        </w:r>
        <w:r>
          <w:rPr>
            <w:rFonts w:ascii="Calibri" w:eastAsia="宋体" w:hAnsi="Calibri" w:cs="Times New Roman" w:hint="eastAsia"/>
            <w:kern w:val="0"/>
            <w:sz w:val="22"/>
            <w:szCs w:val="22"/>
            <w:lang w:val="en-US" w:eastAsia="zh-CN" w:bidi="ar-SA"/>
          </w:rPr>
          <w:t>进度要求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_Toc10180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19</w:t>
        </w:r>
        <w:r>
          <w:rPr>
            <w:rFonts w:ascii="Calibri" w:eastAsia="宋体" w:hAnsi="Calibri" w:cs="Times New Roman"/>
            <w:kern w:val="0"/>
            <w:sz w:val="22"/>
            <w:szCs w:val="22"/>
            <w:lang w:val="en-US" w:eastAsia="zh-CN" w:bidi="ar-SA"/>
          </w:rPr>
          <w:fldChar w:fldCharType="end"/>
        </w:r>
      </w:hyperlink>
    </w:p>
    <w:p w14:paraId="6ED35C99">
      <w:pPr>
        <w:widowControl/>
        <w:tabs>
          <w:tab w:val="right" w:leader="dot" w:pos="8391"/>
        </w:tabs>
        <w:spacing w:after="100" w:line="276" w:lineRule="auto"/>
        <w:jc w:val="left"/>
        <w:rPr>
          <w:rFonts w:ascii="Calibri" w:eastAsia="宋体" w:hAnsi="Calibri" w:cs="Times New Roman"/>
          <w:kern w:val="0"/>
          <w:sz w:val="22"/>
        </w:rPr>
      </w:pPr>
      <w:hyperlink w:anchor="_Toc5987" w:history="1">
        <w:r>
          <w:rPr>
            <w:rFonts w:ascii="Arial" w:eastAsia="黑体" w:hAnsi="Arial" w:cs="Times New Roman" w:hint="default"/>
            <w:i w:val="0"/>
            <w:kern w:val="0"/>
            <w:sz w:val="22"/>
            <w:szCs w:val="22"/>
            <w:lang w:val="en-US" w:eastAsia="zh-CN" w:bidi="ar-SA"/>
          </w:rPr>
          <w:t xml:space="preserve">6 </w:t>
        </w:r>
        <w:r>
          <w:rPr>
            <w:rFonts w:ascii="Calibri" w:eastAsia="宋体" w:hAnsi="Calibri" w:cs="Times New Roman" w:hint="eastAsia"/>
            <w:kern w:val="0"/>
            <w:sz w:val="22"/>
            <w:szCs w:val="22"/>
            <w:lang w:val="en-US" w:eastAsia="zh-CN" w:bidi="ar-SA"/>
          </w:rPr>
          <w:t>软件交付物要求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_Toc5987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20</w:t>
        </w:r>
        <w:r>
          <w:rPr>
            <w:rFonts w:ascii="Calibri" w:eastAsia="宋体" w:hAnsi="Calibri" w:cs="Times New Roman"/>
            <w:kern w:val="0"/>
            <w:sz w:val="22"/>
            <w:szCs w:val="22"/>
            <w:lang w:val="en-US" w:eastAsia="zh-CN" w:bidi="ar-SA"/>
          </w:rPr>
          <w:fldChar w:fldCharType="end"/>
        </w:r>
      </w:hyperlink>
    </w:p>
    <w:p w14:paraId="3533EFAB">
      <w:pPr>
        <w:widowControl/>
        <w:tabs>
          <w:tab w:val="right" w:leader="dot" w:pos="8391"/>
        </w:tabs>
        <w:spacing w:after="100" w:line="276" w:lineRule="auto"/>
        <w:jc w:val="left"/>
        <w:rPr>
          <w:rFonts w:ascii="Calibri" w:eastAsia="宋体" w:hAnsi="Calibri" w:cs="Times New Roman"/>
          <w:kern w:val="0"/>
          <w:sz w:val="22"/>
        </w:rPr>
      </w:pPr>
      <w:hyperlink w:anchor="_Toc16368" w:history="1">
        <w:r>
          <w:rPr>
            <w:rFonts w:ascii="Arial" w:eastAsia="黑体" w:hAnsi="Arial" w:cs="Times New Roman" w:hint="default"/>
            <w:i w:val="0"/>
            <w:kern w:val="0"/>
            <w:sz w:val="22"/>
            <w:szCs w:val="22"/>
            <w:lang w:val="en-US" w:eastAsia="zh-CN" w:bidi="ar-SA"/>
          </w:rPr>
          <w:t xml:space="preserve">7 </w:t>
        </w:r>
        <w:r>
          <w:rPr>
            <w:rFonts w:ascii="Calibri" w:eastAsia="宋体" w:hAnsi="Calibri" w:cs="Times New Roman" w:hint="eastAsia"/>
            <w:kern w:val="0"/>
            <w:sz w:val="22"/>
            <w:szCs w:val="22"/>
            <w:lang w:val="en-US" w:eastAsia="zh-CN" w:bidi="ar-SA"/>
          </w:rPr>
          <w:t>项目组织与管理要求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_Toc16368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21</w:t>
        </w:r>
        <w:r>
          <w:rPr>
            <w:rFonts w:ascii="Calibri" w:eastAsia="宋体" w:hAnsi="Calibri" w:cs="Times New Roman"/>
            <w:kern w:val="0"/>
            <w:sz w:val="22"/>
            <w:szCs w:val="22"/>
            <w:lang w:val="en-US" w:eastAsia="zh-CN" w:bidi="ar-SA"/>
          </w:rPr>
          <w:fldChar w:fldCharType="end"/>
        </w:r>
      </w:hyperlink>
    </w:p>
    <w:p w14:paraId="19A14B26">
      <w:pPr>
        <w:widowControl/>
        <w:tabs>
          <w:tab w:val="right" w:leader="dot" w:pos="8391"/>
        </w:tabs>
        <w:spacing w:after="100" w:line="276" w:lineRule="auto"/>
        <w:ind w:left="220"/>
        <w:jc w:val="left"/>
        <w:rPr>
          <w:rFonts w:ascii="Calibri" w:eastAsia="宋体" w:hAnsi="Calibri" w:cs="Times New Roman"/>
          <w:kern w:val="0"/>
          <w:sz w:val="22"/>
        </w:rPr>
      </w:pPr>
      <w:hyperlink w:anchor="_Toc32183" w:history="1">
        <w:r>
          <w:rPr>
            <w:rFonts w:ascii="Times New Roman" w:eastAsia="宋体" w:hAnsi="Times New Roman" w:cs="Times New Roman" w:hint="default"/>
            <w:i w:val="0"/>
            <w:kern w:val="0"/>
            <w:sz w:val="22"/>
            <w:szCs w:val="22"/>
            <w:lang w:val="en-US" w:eastAsia="zh-CN" w:bidi="ar-SA"/>
          </w:rPr>
          <w:t xml:space="preserve">7.1 </w:t>
        </w:r>
        <w:r>
          <w:rPr>
            <w:rFonts w:ascii="Calibri" w:eastAsia="宋体" w:hAnsi="Calibri" w:cs="Times New Roman" w:hint="eastAsia"/>
            <w:kern w:val="0"/>
            <w:sz w:val="22"/>
            <w:szCs w:val="22"/>
            <w:lang w:val="en-US" w:eastAsia="zh-CN" w:bidi="ar-SA"/>
          </w:rPr>
          <w:t>编制实况系统运维实施进度计划并组织实施</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_Toc32183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21</w:t>
        </w:r>
        <w:r>
          <w:rPr>
            <w:rFonts w:ascii="Calibri" w:eastAsia="宋体" w:hAnsi="Calibri" w:cs="Times New Roman"/>
            <w:kern w:val="0"/>
            <w:sz w:val="22"/>
            <w:szCs w:val="22"/>
            <w:lang w:val="en-US" w:eastAsia="zh-CN" w:bidi="ar-SA"/>
          </w:rPr>
          <w:fldChar w:fldCharType="end"/>
        </w:r>
      </w:hyperlink>
    </w:p>
    <w:p w14:paraId="618E4307">
      <w:pPr>
        <w:widowControl/>
        <w:tabs>
          <w:tab w:val="right" w:leader="dot" w:pos="8391"/>
        </w:tabs>
        <w:spacing w:after="100" w:line="276" w:lineRule="auto"/>
        <w:ind w:left="220"/>
        <w:jc w:val="left"/>
        <w:rPr>
          <w:rFonts w:ascii="Calibri" w:eastAsia="宋体" w:hAnsi="Calibri" w:cs="Times New Roman"/>
          <w:kern w:val="0"/>
          <w:sz w:val="22"/>
        </w:rPr>
      </w:pPr>
      <w:hyperlink w:anchor="_Toc1291" w:history="1">
        <w:r>
          <w:rPr>
            <w:rFonts w:ascii="Times New Roman" w:eastAsia="宋体" w:hAnsi="Times New Roman" w:cs="Times New Roman" w:hint="default"/>
            <w:i w:val="0"/>
            <w:kern w:val="0"/>
            <w:sz w:val="22"/>
            <w:szCs w:val="22"/>
            <w:lang w:val="en-US" w:eastAsia="zh-CN" w:bidi="ar-SA"/>
          </w:rPr>
          <w:t xml:space="preserve">7.2 </w:t>
        </w:r>
        <w:r>
          <w:rPr>
            <w:rFonts w:ascii="Calibri" w:eastAsia="宋体" w:hAnsi="Calibri" w:cs="Times New Roman" w:hint="eastAsia"/>
            <w:kern w:val="0"/>
            <w:sz w:val="22"/>
            <w:szCs w:val="22"/>
            <w:lang w:val="en-US" w:eastAsia="zh-CN" w:bidi="ar-SA"/>
          </w:rPr>
          <w:t>进行项目开发的日常组织、管理、协调</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_Toc1291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21</w:t>
        </w:r>
        <w:r>
          <w:rPr>
            <w:rFonts w:ascii="Calibri" w:eastAsia="宋体" w:hAnsi="Calibri" w:cs="Times New Roman"/>
            <w:kern w:val="0"/>
            <w:sz w:val="22"/>
            <w:szCs w:val="22"/>
            <w:lang w:val="en-US" w:eastAsia="zh-CN" w:bidi="ar-SA"/>
          </w:rPr>
          <w:fldChar w:fldCharType="end"/>
        </w:r>
      </w:hyperlink>
    </w:p>
    <w:p w14:paraId="1764122B">
      <w:pPr>
        <w:widowControl/>
        <w:tabs>
          <w:tab w:val="right" w:leader="dot" w:pos="8391"/>
        </w:tabs>
        <w:spacing w:after="100" w:line="276" w:lineRule="auto"/>
        <w:jc w:val="left"/>
        <w:rPr>
          <w:rFonts w:ascii="Calibri" w:eastAsia="宋体" w:hAnsi="Calibri" w:cs="Times New Roman"/>
          <w:kern w:val="0"/>
          <w:sz w:val="22"/>
        </w:rPr>
      </w:pPr>
      <w:hyperlink w:anchor="_Toc14405" w:history="1">
        <w:r>
          <w:rPr>
            <w:rFonts w:ascii="Arial" w:eastAsia="黑体" w:hAnsi="Arial" w:cs="Times New Roman" w:hint="default"/>
            <w:i w:val="0"/>
            <w:kern w:val="0"/>
            <w:sz w:val="22"/>
            <w:szCs w:val="22"/>
            <w:lang w:val="en-US" w:eastAsia="zh-CN" w:bidi="ar-SA"/>
          </w:rPr>
          <w:t xml:space="preserve">8 </w:t>
        </w:r>
        <w:r>
          <w:rPr>
            <w:rFonts w:ascii="Calibri" w:eastAsia="宋体" w:hAnsi="Calibri" w:cs="Times New Roman" w:hint="eastAsia"/>
            <w:kern w:val="0"/>
            <w:sz w:val="22"/>
            <w:szCs w:val="22"/>
            <w:lang w:val="en-US" w:eastAsia="zh-CN" w:bidi="ar-SA"/>
          </w:rPr>
          <w:t>项目的人员及组织机构要求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_Toc14405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21</w:t>
        </w:r>
        <w:r>
          <w:rPr>
            <w:rFonts w:ascii="Calibri" w:eastAsia="宋体" w:hAnsi="Calibri" w:cs="Times New Roman"/>
            <w:kern w:val="0"/>
            <w:sz w:val="22"/>
            <w:szCs w:val="22"/>
            <w:lang w:val="en-US" w:eastAsia="zh-CN" w:bidi="ar-SA"/>
          </w:rPr>
          <w:fldChar w:fldCharType="end"/>
        </w:r>
      </w:hyperlink>
    </w:p>
    <w:p w14:paraId="7ABDC716">
      <w:pPr>
        <w:widowControl/>
        <w:tabs>
          <w:tab w:val="right" w:leader="dot" w:pos="8391"/>
        </w:tabs>
        <w:spacing w:after="100" w:line="276" w:lineRule="auto"/>
        <w:jc w:val="left"/>
        <w:rPr>
          <w:rFonts w:ascii="Calibri" w:eastAsia="宋体" w:hAnsi="Calibri" w:cs="Times New Roman"/>
          <w:kern w:val="0"/>
          <w:sz w:val="22"/>
        </w:rPr>
      </w:pPr>
      <w:hyperlink w:anchor="_Toc24937" w:history="1">
        <w:r>
          <w:rPr>
            <w:rFonts w:ascii="Arial" w:eastAsia="黑体" w:hAnsi="Arial" w:cs="Times New Roman" w:hint="default"/>
            <w:i w:val="0"/>
            <w:kern w:val="0"/>
            <w:sz w:val="22"/>
            <w:szCs w:val="22"/>
            <w:lang w:val="en-US" w:eastAsia="zh-CN" w:bidi="ar-SA"/>
          </w:rPr>
          <w:t xml:space="preserve">9 </w:t>
        </w:r>
        <w:r>
          <w:rPr>
            <w:rFonts w:ascii="Calibri" w:eastAsia="宋体" w:hAnsi="Calibri" w:cs="Times New Roman" w:hint="eastAsia"/>
            <w:kern w:val="0"/>
            <w:sz w:val="22"/>
            <w:szCs w:val="22"/>
            <w:lang w:val="en-US" w:eastAsia="zh-CN" w:bidi="ar-SA"/>
          </w:rPr>
          <w:t>安全保密要求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_Toc24937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22</w:t>
        </w:r>
        <w:r>
          <w:rPr>
            <w:rFonts w:ascii="Calibri" w:eastAsia="宋体" w:hAnsi="Calibri" w:cs="Times New Roman"/>
            <w:kern w:val="0"/>
            <w:sz w:val="22"/>
            <w:szCs w:val="22"/>
            <w:lang w:val="en-US" w:eastAsia="zh-CN" w:bidi="ar-SA"/>
          </w:rPr>
          <w:fldChar w:fldCharType="end"/>
        </w:r>
      </w:hyperlink>
    </w:p>
    <w:p w14:paraId="670E1180">
      <w:pPr>
        <w:widowControl/>
        <w:tabs>
          <w:tab w:val="right" w:leader="dot" w:pos="8391"/>
        </w:tabs>
        <w:spacing w:after="100" w:line="276" w:lineRule="auto"/>
        <w:jc w:val="left"/>
        <w:rPr>
          <w:rFonts w:ascii="Calibri" w:eastAsia="宋体" w:hAnsi="Calibri" w:cs="Times New Roman"/>
          <w:kern w:val="0"/>
          <w:sz w:val="22"/>
        </w:rPr>
      </w:pPr>
      <w:hyperlink w:anchor="_Toc568" w:history="1">
        <w:r>
          <w:rPr>
            <w:rFonts w:ascii="Arial" w:eastAsia="黑体" w:hAnsi="Arial" w:cs="Times New Roman" w:hint="default"/>
            <w:i w:val="0"/>
            <w:kern w:val="0"/>
            <w:sz w:val="22"/>
            <w:szCs w:val="22"/>
            <w:lang w:val="en-US" w:eastAsia="zh-CN" w:bidi="ar-SA"/>
          </w:rPr>
          <w:t xml:space="preserve">10 </w:t>
        </w:r>
        <w:r>
          <w:rPr>
            <w:rFonts w:ascii="Calibri" w:eastAsia="宋体" w:hAnsi="Calibri" w:cs="Times New Roman" w:hint="eastAsia"/>
            <w:kern w:val="0"/>
            <w:sz w:val="22"/>
            <w:szCs w:val="22"/>
            <w:lang w:val="en-US" w:eastAsia="zh-CN" w:bidi="ar-SA"/>
          </w:rPr>
          <w:t>售后服务要求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_Toc568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22</w:t>
        </w:r>
        <w:r>
          <w:rPr>
            <w:rFonts w:ascii="Calibri" w:eastAsia="宋体" w:hAnsi="Calibri" w:cs="Times New Roman"/>
            <w:kern w:val="0"/>
            <w:sz w:val="22"/>
            <w:szCs w:val="22"/>
            <w:lang w:val="en-US" w:eastAsia="zh-CN" w:bidi="ar-SA"/>
          </w:rPr>
          <w:fldChar w:fldCharType="end"/>
        </w:r>
      </w:hyperlink>
    </w:p>
    <w:p w14:paraId="27474CF4">
      <w:pPr>
        <w:widowControl/>
        <w:tabs>
          <w:tab w:val="right" w:leader="dot" w:pos="8391"/>
        </w:tabs>
        <w:spacing w:after="100" w:line="276" w:lineRule="auto"/>
        <w:jc w:val="left"/>
        <w:rPr>
          <w:rFonts w:ascii="Calibri" w:eastAsia="宋体" w:hAnsi="Calibri" w:cs="Times New Roman"/>
          <w:kern w:val="0"/>
          <w:sz w:val="22"/>
        </w:rPr>
      </w:pPr>
      <w:hyperlink w:anchor="_Toc23814" w:history="1">
        <w:r>
          <w:rPr>
            <w:rFonts w:ascii="Arial" w:eastAsia="黑体" w:hAnsi="Arial" w:cs="Times New Roman" w:hint="default"/>
            <w:i w:val="0"/>
            <w:kern w:val="0"/>
            <w:sz w:val="22"/>
            <w:szCs w:val="22"/>
            <w:lang w:val="en-US" w:eastAsia="zh-CN" w:bidi="ar-SA"/>
          </w:rPr>
          <w:t xml:space="preserve">11 </w:t>
        </w:r>
        <w:r>
          <w:rPr>
            <w:rFonts w:ascii="Calibri" w:eastAsia="宋体" w:hAnsi="Calibri" w:cs="Times New Roman" w:hint="eastAsia"/>
            <w:kern w:val="0"/>
            <w:sz w:val="22"/>
            <w:szCs w:val="22"/>
            <w:lang w:val="en-US" w:eastAsia="zh-CN" w:bidi="ar-SA"/>
          </w:rPr>
          <w:t>知识产权要求</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_Toc23814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23</w:t>
        </w:r>
        <w:r>
          <w:rPr>
            <w:rFonts w:ascii="Calibri" w:eastAsia="宋体" w:hAnsi="Calibri" w:cs="Times New Roman"/>
            <w:kern w:val="0"/>
            <w:sz w:val="22"/>
            <w:szCs w:val="22"/>
            <w:lang w:val="en-US" w:eastAsia="zh-CN" w:bidi="ar-SA"/>
          </w:rPr>
          <w:fldChar w:fldCharType="end"/>
        </w:r>
      </w:hyperlink>
    </w:p>
    <w:p w14:paraId="186C72CC">
      <w:pPr>
        <w:widowControl/>
        <w:tabs>
          <w:tab w:val="right" w:leader="dot" w:pos="8391"/>
        </w:tabs>
        <w:spacing w:after="100" w:line="276" w:lineRule="auto"/>
        <w:jc w:val="left"/>
        <w:rPr>
          <w:rFonts w:ascii="Calibri" w:eastAsia="宋体" w:hAnsi="Calibri" w:cs="Times New Roman"/>
          <w:kern w:val="0"/>
          <w:sz w:val="22"/>
        </w:rPr>
      </w:pPr>
      <w:hyperlink w:anchor="_Toc7959" w:history="1">
        <w:r>
          <w:rPr>
            <w:rFonts w:ascii="Calibri" w:eastAsia="宋体" w:hAnsi="Calibri" w:cs="Times New Roman" w:hint="eastAsia"/>
            <w:kern w:val="0"/>
            <w:sz w:val="22"/>
            <w:szCs w:val="22"/>
            <w:lang w:val="en-US" w:eastAsia="zh-CN" w:bidi="ar-SA"/>
          </w:rPr>
          <w:t>附件1：基础数据产品和新型垂直观测数据清单</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_Toc7959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23</w:t>
        </w:r>
        <w:r>
          <w:rPr>
            <w:rFonts w:ascii="Calibri" w:eastAsia="宋体" w:hAnsi="Calibri" w:cs="Times New Roman"/>
            <w:kern w:val="0"/>
            <w:sz w:val="22"/>
            <w:szCs w:val="22"/>
            <w:lang w:val="en-US" w:eastAsia="zh-CN" w:bidi="ar-SA"/>
          </w:rPr>
          <w:fldChar w:fldCharType="end"/>
        </w:r>
      </w:hyperlink>
    </w:p>
    <w:p w14:paraId="03B13748">
      <w:pPr>
        <w:widowControl/>
        <w:tabs>
          <w:tab w:val="right" w:leader="dot" w:pos="8391"/>
        </w:tabs>
        <w:spacing w:after="100" w:line="276" w:lineRule="auto"/>
        <w:jc w:val="left"/>
        <w:rPr>
          <w:rFonts w:ascii="Calibri" w:eastAsia="宋体" w:hAnsi="Calibri" w:cs="Times New Roman"/>
          <w:kern w:val="0"/>
          <w:sz w:val="22"/>
        </w:rPr>
      </w:pPr>
      <w:hyperlink w:anchor="_Toc744" w:history="1">
        <w:r>
          <w:rPr>
            <w:rFonts w:ascii="Calibri" w:eastAsia="宋体" w:hAnsi="Calibri" w:cs="Times New Roman" w:hint="eastAsia"/>
            <w:kern w:val="0"/>
            <w:sz w:val="22"/>
            <w:szCs w:val="22"/>
            <w:lang w:val="en-US" w:eastAsia="zh-CN" w:bidi="ar-SA"/>
          </w:rPr>
          <w:t>附件2：雷达产品数据清单</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_Toc744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27</w:t>
        </w:r>
        <w:r>
          <w:rPr>
            <w:rFonts w:ascii="Calibri" w:eastAsia="宋体" w:hAnsi="Calibri" w:cs="Times New Roman"/>
            <w:kern w:val="0"/>
            <w:sz w:val="22"/>
            <w:szCs w:val="22"/>
            <w:lang w:val="en-US" w:eastAsia="zh-CN" w:bidi="ar-SA"/>
          </w:rPr>
          <w:fldChar w:fldCharType="end"/>
        </w:r>
      </w:hyperlink>
    </w:p>
    <w:p w14:paraId="365DB823">
      <w:pPr>
        <w:widowControl/>
        <w:tabs>
          <w:tab w:val="right" w:leader="dot" w:pos="8391"/>
        </w:tabs>
        <w:spacing w:after="100" w:line="276" w:lineRule="auto"/>
        <w:jc w:val="left"/>
        <w:rPr>
          <w:rFonts w:ascii="Calibri" w:eastAsia="宋体" w:hAnsi="Calibri" w:cs="Times New Roman"/>
          <w:kern w:val="0"/>
          <w:sz w:val="22"/>
        </w:rPr>
      </w:pPr>
      <w:hyperlink w:anchor="_Toc13593" w:history="1">
        <w:r>
          <w:rPr>
            <w:rFonts w:ascii="Calibri" w:eastAsia="宋体" w:hAnsi="Calibri" w:cs="Times New Roman" w:hint="eastAsia"/>
            <w:kern w:val="0"/>
            <w:sz w:val="22"/>
            <w:szCs w:val="22"/>
            <w:lang w:val="en-US" w:eastAsia="zh-CN" w:bidi="ar-SA"/>
          </w:rPr>
          <w:t>附件3：实况分析产品清单</w:t>
        </w:r>
        <w:r>
          <w:rPr>
            <w:rFonts w:ascii="Calibri" w:eastAsia="宋体" w:hAnsi="Calibri" w:cs="Times New Roman"/>
            <w:kern w:val="0"/>
            <w:sz w:val="22"/>
            <w:szCs w:val="22"/>
            <w:lang w:val="en-US" w:eastAsia="zh-CN" w:bidi="ar-SA"/>
          </w:rPr>
          <w:tab/>
        </w:r>
        <w:r>
          <w:rPr>
            <w:rFonts w:ascii="Calibri" w:eastAsia="宋体" w:hAnsi="Calibri" w:cs="Times New Roman"/>
            <w:kern w:val="0"/>
            <w:sz w:val="22"/>
            <w:szCs w:val="22"/>
            <w:lang w:val="en-US" w:eastAsia="zh-CN" w:bidi="ar-SA"/>
          </w:rPr>
          <w:fldChar w:fldCharType="begin"/>
        </w:r>
        <w:r>
          <w:rPr>
            <w:rFonts w:ascii="Calibri" w:eastAsia="宋体" w:hAnsi="Calibri" w:cs="Times New Roman"/>
            <w:kern w:val="0"/>
            <w:sz w:val="22"/>
            <w:szCs w:val="22"/>
            <w:lang w:val="en-US" w:eastAsia="zh-CN" w:bidi="ar-SA"/>
          </w:rPr>
          <w:instrText xml:space="preserve"> PAGEREF _Toc13593 \h </w:instrText>
        </w:r>
        <w:r>
          <w:rPr>
            <w:rFonts w:ascii="Calibri" w:eastAsia="宋体" w:hAnsi="Calibri" w:cs="Times New Roman"/>
            <w:kern w:val="0"/>
            <w:sz w:val="22"/>
            <w:szCs w:val="22"/>
            <w:lang w:val="en-US" w:eastAsia="zh-CN" w:bidi="ar-SA"/>
          </w:rPr>
          <w:fldChar w:fldCharType="separate"/>
        </w:r>
        <w:r>
          <w:rPr>
            <w:rFonts w:ascii="Calibri" w:eastAsia="宋体" w:hAnsi="Calibri" w:cs="Times New Roman"/>
            <w:kern w:val="0"/>
            <w:sz w:val="22"/>
            <w:szCs w:val="22"/>
            <w:lang w:val="en-US" w:eastAsia="zh-CN" w:bidi="ar-SA"/>
          </w:rPr>
          <w:t>28</w:t>
        </w:r>
        <w:r>
          <w:rPr>
            <w:rFonts w:ascii="Calibri" w:eastAsia="宋体" w:hAnsi="Calibri" w:cs="Times New Roman"/>
            <w:kern w:val="0"/>
            <w:sz w:val="22"/>
            <w:szCs w:val="22"/>
            <w:lang w:val="en-US" w:eastAsia="zh-CN" w:bidi="ar-SA"/>
          </w:rPr>
          <w:fldChar w:fldCharType="end"/>
        </w:r>
      </w:hyperlink>
    </w:p>
    <w:p w14:paraId="0BBEDCA3">
      <w:pPr>
        <w:rPr>
          <w:rFonts w:ascii="Times New Roman" w:eastAsia="宋体" w:hAnsi="Times New Roman" w:cs="Times New Roman"/>
        </w:rPr>
      </w:pPr>
      <w:r>
        <w:rPr>
          <w:rFonts w:ascii="Times New Roman" w:eastAsia="宋体" w:hAnsi="Times New Roman" w:cs="Times New Roman"/>
          <w:bCs/>
          <w:szCs w:val="24"/>
          <w:lang w:val="zh-CN"/>
        </w:rPr>
        <w:fldChar w:fldCharType="end"/>
      </w:r>
    </w:p>
    <w:p w14:paraId="421E4DEE">
      <w:pPr>
        <w:rPr>
          <w:rFonts w:ascii="Times New Roman" w:eastAsia="宋体" w:hAnsi="Times New Roman" w:cs="Times New Roman"/>
        </w:rPr>
      </w:pPr>
    </w:p>
    <w:p w14:paraId="24AF005A">
      <w:pPr>
        <w:rPr>
          <w:rFonts w:ascii="Times New Roman" w:eastAsia="宋体" w:hAnsi="Times New Roman" w:cs="Times New Roman"/>
          <w:b/>
          <w:bCs/>
          <w:lang w:val="zh-CN"/>
        </w:rPr>
      </w:pPr>
    </w:p>
    <w:p w14:paraId="1BF8EA71">
      <w:pPr>
        <w:sectPr>
          <w:footerReference w:type="default" r:id="rId10"/>
          <w:pgSz w:w="11906" w:h="16838"/>
          <w:pgMar w:top="1440" w:right="1474" w:bottom="1440" w:left="2041" w:header="851" w:footer="992" w:gutter="0"/>
          <w:pgNumType w:fmt="decimal"/>
          <w:cols w:num="1" w:space="708"/>
          <w:docGrid w:linePitch="312" w:charSpace="0"/>
        </w:sectPr>
      </w:pPr>
    </w:p>
    <w:p w14:paraId="5E6C98B0">
      <w:pPr>
        <w:keepNext/>
        <w:keepLines/>
        <w:widowControl w:val="0"/>
        <w:numPr>
          <w:ilvl w:val="0"/>
          <w:numId w:val="4"/>
        </w:numPr>
        <w:spacing w:before="100" w:beforeAutospacing="1" w:after="100" w:afterAutospacing="1" w:line="360" w:lineRule="auto"/>
        <w:jc w:val="both"/>
        <w:outlineLvl w:val="0"/>
        <w:rPr>
          <w:rFonts w:ascii="Arial" w:eastAsia="黑体" w:hAnsi="Arial" w:cs="Times New Roman"/>
          <w:b/>
          <w:bCs/>
          <w:kern w:val="44"/>
          <w:sz w:val="32"/>
          <w:szCs w:val="44"/>
        </w:rPr>
      </w:pPr>
      <w:bookmarkStart w:id="57" w:name="_Toc26994"/>
      <w:bookmarkStart w:id="58" w:name="_Toc10297"/>
      <w:bookmarkStart w:id="59" w:name="_Toc2397"/>
      <w:bookmarkStart w:id="60" w:name="_Toc107927236"/>
      <w:bookmarkStart w:id="61" w:name="_Toc16897"/>
      <w:bookmarkStart w:id="62" w:name="_Toc107925010"/>
      <w:r>
        <w:rPr>
          <w:rFonts w:ascii="Arial" w:eastAsia="黑体" w:hAnsi="Arial" w:cs="Times New Roman" w:hint="eastAsia"/>
          <w:b/>
          <w:bCs/>
          <w:kern w:val="44"/>
          <w:sz w:val="32"/>
          <w:szCs w:val="44"/>
          <w:lang w:val="en-US" w:eastAsia="zh-CN" w:bidi="ar-SA"/>
        </w:rPr>
        <w:t>项目背景</w:t>
      </w:r>
      <w:bookmarkEnd w:id="57"/>
      <w:bookmarkEnd w:id="58"/>
      <w:bookmarkEnd w:id="59"/>
      <w:bookmarkEnd w:id="60"/>
      <w:bookmarkEnd w:id="61"/>
      <w:bookmarkEnd w:id="62"/>
    </w:p>
    <w:p w14:paraId="55EC65B9">
      <w:pPr>
        <w:spacing w:line="360" w:lineRule="auto"/>
        <w:ind w:firstLine="420"/>
        <w:rPr>
          <w:rFonts w:ascii="宋体" w:eastAsia="宋体" w:hAnsi="宋体" w:cs="宋体"/>
        </w:rPr>
      </w:pPr>
      <w:r>
        <w:rPr>
          <w:rFonts w:ascii="Times New Roman" w:eastAsia="宋体" w:hAnsi="Times New Roman" w:cs="Times New Roman" w:hint="eastAsia"/>
          <w:sz w:val="24"/>
          <w:szCs w:val="24"/>
        </w:rPr>
        <w:t>随着中国气象局实况业务发展，国家气象信息中心承担完成</w:t>
      </w:r>
      <w:r>
        <w:rPr>
          <w:rFonts w:ascii="Times New Roman" w:eastAsia="宋体" w:hAnsi="Times New Roman" w:cs="Times New Roman" w:hint="eastAsia"/>
          <w:sz w:val="24"/>
          <w:szCs w:val="24"/>
          <w:lang w:val="en-US" w:eastAsia="zh-CN"/>
        </w:rPr>
        <w:t>了</w:t>
      </w:r>
      <w:r>
        <w:rPr>
          <w:rFonts w:ascii="Times New Roman" w:eastAsia="宋体" w:hAnsi="Times New Roman" w:cs="Times New Roman" w:hint="eastAsia"/>
          <w:sz w:val="24"/>
          <w:szCs w:val="24"/>
        </w:rPr>
        <w:t>实况分析产品研制核心算法研究及相关业务系统的开发，</w:t>
      </w:r>
      <w:r>
        <w:rPr>
          <w:rFonts w:ascii="宋体" w:eastAsia="宋体" w:hAnsi="宋体" w:cs="宋体"/>
          <w:sz w:val="24"/>
          <w:szCs w:val="24"/>
        </w:rPr>
        <w:t>随着气象实况业务的发展，对</w:t>
      </w:r>
      <w:r>
        <w:rPr>
          <w:rFonts w:ascii="宋体" w:eastAsia="宋体" w:hAnsi="宋体" w:cs="宋体" w:hint="eastAsia"/>
          <w:sz w:val="24"/>
          <w:szCs w:val="24"/>
          <w:lang w:val="en-US" w:eastAsia="zh-CN"/>
        </w:rPr>
        <w:t>实况分析产品</w:t>
      </w:r>
      <w:r>
        <w:rPr>
          <w:rFonts w:ascii="宋体" w:eastAsia="宋体" w:hAnsi="宋体" w:cs="宋体"/>
          <w:sz w:val="24"/>
          <w:szCs w:val="24"/>
        </w:rPr>
        <w:t>的准确性</w:t>
      </w:r>
      <w:r>
        <w:rPr>
          <w:rFonts w:ascii="宋体" w:eastAsia="宋体" w:hAnsi="宋体" w:cs="宋体" w:hint="eastAsia"/>
          <w:sz w:val="24"/>
          <w:szCs w:val="24"/>
        </w:rPr>
        <w:t>和及时性</w:t>
      </w:r>
      <w:r>
        <w:rPr>
          <w:rFonts w:ascii="宋体" w:eastAsia="宋体" w:hAnsi="宋体" w:cs="宋体"/>
          <w:sz w:val="24"/>
          <w:szCs w:val="24"/>
        </w:rPr>
        <w:t>、系统的高可用性</w:t>
      </w:r>
      <w:r>
        <w:rPr>
          <w:rFonts w:ascii="宋体" w:eastAsia="宋体" w:hAnsi="宋体" w:cs="宋体" w:hint="eastAsia"/>
          <w:sz w:val="24"/>
          <w:szCs w:val="24"/>
        </w:rPr>
        <w:t>和稳定性</w:t>
      </w:r>
      <w:r>
        <w:rPr>
          <w:rFonts w:ascii="宋体" w:eastAsia="宋体" w:hAnsi="宋体" w:cs="宋体"/>
          <w:sz w:val="24"/>
          <w:szCs w:val="24"/>
        </w:rPr>
        <w:t>以及异常响应</w:t>
      </w:r>
      <w:r>
        <w:rPr>
          <w:rFonts w:ascii="宋体" w:eastAsia="宋体" w:hAnsi="宋体" w:cs="宋体" w:hint="eastAsia"/>
          <w:sz w:val="24"/>
          <w:szCs w:val="24"/>
        </w:rPr>
        <w:t>处理</w:t>
      </w:r>
      <w:r>
        <w:rPr>
          <w:rFonts w:ascii="宋体" w:eastAsia="宋体" w:hAnsi="宋体" w:cs="宋体"/>
          <w:sz w:val="24"/>
          <w:szCs w:val="24"/>
        </w:rPr>
        <w:t>的及时性提出了更高要求。</w:t>
      </w:r>
      <w:r>
        <w:rPr>
          <w:rFonts w:ascii="宋体" w:eastAsia="宋体" w:hAnsi="宋体" w:cs="宋体" w:hint="eastAsia"/>
          <w:sz w:val="24"/>
          <w:szCs w:val="24"/>
          <w:lang w:val="en-US" w:eastAsia="zh-CN"/>
        </w:rPr>
        <w:t>因此，需</w:t>
      </w:r>
      <w:r>
        <w:rPr>
          <w:rFonts w:ascii="宋体" w:eastAsia="宋体" w:hAnsi="宋体" w:cs="宋体"/>
          <w:sz w:val="24"/>
          <w:szCs w:val="24"/>
        </w:rPr>
        <w:t>围绕</w:t>
      </w:r>
      <w:r>
        <w:rPr>
          <w:rFonts w:ascii="宋体" w:eastAsia="宋体" w:hAnsi="宋体" w:cs="宋体" w:hint="eastAsia"/>
          <w:sz w:val="24"/>
          <w:szCs w:val="24"/>
          <w:lang w:val="en-US" w:eastAsia="zh-CN"/>
        </w:rPr>
        <w:t>实况分析</w:t>
      </w:r>
      <w:r>
        <w:rPr>
          <w:rFonts w:ascii="宋体" w:eastAsia="宋体" w:hAnsi="宋体" w:cs="宋体"/>
          <w:sz w:val="24"/>
          <w:szCs w:val="24"/>
        </w:rPr>
        <w:t>系统核心业务流程，通过开展深度的运行维护与定制化功能开发，进一步</w:t>
      </w:r>
      <w:r>
        <w:rPr>
          <w:rFonts w:ascii="宋体" w:eastAsia="宋体" w:hAnsi="宋体" w:cs="宋体" w:hint="eastAsia"/>
          <w:sz w:val="24"/>
          <w:szCs w:val="24"/>
        </w:rPr>
        <w:t>增加新</w:t>
      </w:r>
      <w:r>
        <w:rPr>
          <w:rFonts w:ascii="宋体" w:eastAsia="宋体" w:hAnsi="宋体" w:cs="宋体" w:hint="eastAsia"/>
          <w:sz w:val="24"/>
          <w:szCs w:val="24"/>
          <w:lang w:val="en-US" w:eastAsia="zh-CN"/>
        </w:rPr>
        <w:t>实况分析</w:t>
      </w:r>
      <w:r>
        <w:rPr>
          <w:rFonts w:ascii="宋体" w:eastAsia="宋体" w:hAnsi="宋体" w:cs="宋体" w:hint="eastAsia"/>
          <w:sz w:val="24"/>
          <w:szCs w:val="24"/>
        </w:rPr>
        <w:t>产品的运维监控、</w:t>
      </w:r>
      <w:r>
        <w:rPr>
          <w:rFonts w:ascii="宋体" w:eastAsia="宋体" w:hAnsi="宋体" w:cs="宋体"/>
          <w:sz w:val="24"/>
          <w:szCs w:val="24"/>
        </w:rPr>
        <w:t>完善系统监控体系、</w:t>
      </w:r>
      <w:r>
        <w:rPr>
          <w:rFonts w:ascii="宋体" w:eastAsia="宋体" w:hAnsi="宋体" w:cs="宋体" w:hint="eastAsia"/>
          <w:sz w:val="24"/>
          <w:szCs w:val="24"/>
        </w:rPr>
        <w:t>开展安全漏洞查补、开展日常产品巡检与补推、进行插补效果评估以及展示、</w:t>
      </w:r>
      <w:r>
        <w:rPr>
          <w:rFonts w:ascii="宋体" w:eastAsia="宋体" w:hAnsi="宋体" w:cs="宋体"/>
          <w:sz w:val="24"/>
          <w:szCs w:val="24"/>
        </w:rPr>
        <w:t>并提升自动化运维能力，确保气象实况数据的精准、高效、稳定流转。</w:t>
      </w:r>
    </w:p>
    <w:p w14:paraId="60E68F88">
      <w:pPr>
        <w:spacing w:line="360" w:lineRule="auto"/>
        <w:ind w:firstLine="420"/>
        <w:rPr>
          <w:rFonts w:ascii="Times New Roman" w:eastAsia="宋体" w:hAnsi="Times New Roman" w:cs="Times New Roman" w:hint="eastAsia"/>
        </w:rPr>
      </w:pPr>
      <w:r>
        <w:rPr>
          <w:rFonts w:ascii="Times New Roman" w:eastAsia="宋体" w:hAnsi="Times New Roman" w:cs="Times New Roman" w:hint="eastAsia"/>
          <w:sz w:val="24"/>
          <w:szCs w:val="24"/>
          <w:lang w:val="en-US" w:eastAsia="zh-CN"/>
        </w:rPr>
        <w:t>同时国家气象信息中心</w:t>
      </w:r>
      <w:r>
        <w:rPr>
          <w:rFonts w:ascii="Times New Roman" w:eastAsia="宋体" w:hAnsi="Times New Roman" w:cs="Times New Roman" w:hint="eastAsia"/>
          <w:sz w:val="24"/>
          <w:szCs w:val="24"/>
        </w:rPr>
        <w:t>承担完成了基础数据产品和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核心算法研究及相关业务系统的开发，共计完成全球基础数据产品24套，中国基础数据产品16套，气候序列均一化产品23套，新型垂直观测数据产品7套，目前相关系统已经实现系统业务化运行，系统生成的气象产品已通过业务准入，支撑早间会商、实况产品生产等业务，并接入气象中心</w:t>
      </w:r>
      <w:r>
        <w:rPr>
          <w:rFonts w:ascii="Times New Roman" w:eastAsia="宋体" w:hAnsi="Times New Roman" w:cs="Times New Roman"/>
          <w:sz w:val="24"/>
          <w:szCs w:val="24"/>
        </w:rPr>
        <w:t>全球</w:t>
      </w:r>
      <w:r>
        <w:rPr>
          <w:rFonts w:ascii="Times New Roman" w:eastAsia="宋体" w:hAnsi="Times New Roman" w:cs="Times New Roman" w:hint="eastAsia"/>
          <w:sz w:val="24"/>
          <w:szCs w:val="24"/>
        </w:rPr>
        <w:t>（</w:t>
      </w:r>
      <w:r>
        <w:rPr>
          <w:rFonts w:ascii="Times New Roman" w:eastAsia="宋体" w:hAnsi="Times New Roman" w:cs="Times New Roman"/>
          <w:sz w:val="24"/>
          <w:szCs w:val="24"/>
        </w:rPr>
        <w:t>一带一路</w:t>
      </w:r>
      <w:r>
        <w:rPr>
          <w:rFonts w:ascii="Times New Roman" w:eastAsia="宋体" w:hAnsi="Times New Roman" w:cs="Times New Roman" w:hint="eastAsia"/>
          <w:sz w:val="24"/>
          <w:szCs w:val="24"/>
        </w:rPr>
        <w:t>）预报分析系统（BARFAS）、气候中心</w:t>
      </w:r>
      <w:r>
        <w:rPr>
          <w:rFonts w:ascii="Times New Roman" w:eastAsia="宋体" w:hAnsi="Times New Roman" w:cs="Times New Roman"/>
          <w:sz w:val="24"/>
          <w:szCs w:val="24"/>
        </w:rPr>
        <w:t>高山区气候监测·预测·服务示范平台</w:t>
      </w:r>
      <w:r>
        <w:rPr>
          <w:rFonts w:ascii="Times New Roman" w:eastAsia="宋体" w:hAnsi="Times New Roman" w:cs="Times New Roman" w:hint="eastAsia"/>
          <w:sz w:val="24"/>
          <w:szCs w:val="24"/>
        </w:rPr>
        <w:t>等核心业务系统</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因此，需要开展</w:t>
      </w:r>
      <w:r>
        <w:rPr>
          <w:rFonts w:ascii="Times New Roman" w:eastAsia="宋体" w:hAnsi="Times New Roman" w:cs="Times New Roman" w:hint="eastAsia"/>
          <w:sz w:val="24"/>
          <w:szCs w:val="24"/>
        </w:rPr>
        <w:t>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产品运行维护，安全漏洞查补，产品生产流程情况监控，配合进行必要的产品算法升级完善工作</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并</w:t>
      </w:r>
      <w:r>
        <w:rPr>
          <w:rFonts w:ascii="Times New Roman" w:eastAsia="宋体" w:hAnsi="Times New Roman" w:cs="Times New Roman" w:hint="eastAsia"/>
          <w:sz w:val="24"/>
          <w:szCs w:val="24"/>
        </w:rPr>
        <w:t>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产品质量评估工具，并定期分析产品质量评估结果，及时对问题产品进行回算</w:t>
      </w:r>
      <w:r>
        <w:rPr>
          <w:rFonts w:ascii="Times New Roman" w:eastAsia="宋体" w:hAnsi="Times New Roman" w:cs="Times New Roman" w:hint="eastAsia"/>
          <w:sz w:val="24"/>
          <w:szCs w:val="24"/>
          <w:lang w:eastAsia="zh-CN"/>
        </w:rPr>
        <w:t>。</w:t>
      </w:r>
    </w:p>
    <w:p w14:paraId="787DA44D">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lang w:val="en-US" w:eastAsia="zh-CN"/>
        </w:rPr>
        <w:t>此外，国家气象信息中心还承担完成了雷达实况产品系统运维评估系统的部分建设工作，落地了系统优化、异常监视、产品质控相关功能，有效改善了传统纯人工运维效率低、误判漏判、响应滞后等问题，初步实现了雷达实况数据采集、处理、输出环节的基础保障，为实况业务稳定运行筑牢了基础支撑能力。但是，受研发周期、迭代进度等因素限制，目前只完成了雷达QPE相关产品的运维评估工作，</w:t>
      </w:r>
      <w:r>
        <w:rPr>
          <w:rFonts w:ascii="Times New Roman" w:eastAsia="宋体" w:hAnsi="Times New Roman" w:cs="Times New Roman" w:hint="eastAsia"/>
          <w:color w:val="auto"/>
          <w:sz w:val="24"/>
          <w:szCs w:val="24"/>
          <w:lang w:val="en-US" w:eastAsia="zh-CN"/>
        </w:rPr>
        <w:t>尚未完全构建成熟完善的“系统主导、人工辅助”智能化运维管控模式。因此，需要</w:t>
      </w:r>
      <w:r>
        <w:rPr>
          <w:rFonts w:ascii="Times New Roman" w:eastAsia="宋体" w:hAnsi="Times New Roman" w:cs="Times New Roman" w:hint="eastAsia"/>
          <w:sz w:val="24"/>
          <w:szCs w:val="24"/>
          <w:lang w:val="en-US" w:eastAsia="zh-CN"/>
        </w:rPr>
        <w:t>重点聚焦遗留问题整改、系统能力提质升级，将三维风场产品质量监视功能迭代完善作为核心研发方向，优化产品反演算法、拼图效果、数据精度等问题定位及故障排查功能，强化三维风场产品的稳定性、完整性和业务适配性，同步深化系统智能化监视运维能力，彻底解决人工运维短板，全方位提升雷达实况产品整体业务质量</w:t>
      </w:r>
      <w:r>
        <w:rPr>
          <w:rFonts w:ascii="宋体" w:eastAsia="宋体" w:hAnsi="宋体" w:cs="宋体"/>
          <w:sz w:val="24"/>
          <w:szCs w:val="24"/>
        </w:rPr>
        <w:t>。</w:t>
      </w:r>
    </w:p>
    <w:p w14:paraId="3AAF2996">
      <w:pPr>
        <w:keepNext/>
        <w:keepLines/>
        <w:widowControl w:val="0"/>
        <w:numPr>
          <w:ilvl w:val="0"/>
          <w:numId w:val="4"/>
        </w:numPr>
        <w:spacing w:before="100" w:beforeAutospacing="1" w:after="100" w:afterAutospacing="1" w:line="360" w:lineRule="auto"/>
        <w:jc w:val="both"/>
        <w:outlineLvl w:val="0"/>
        <w:rPr>
          <w:rFonts w:ascii="Arial" w:eastAsia="黑体" w:hAnsi="Arial" w:cs="Times New Roman"/>
          <w:b/>
          <w:bCs/>
          <w:kern w:val="44"/>
          <w:sz w:val="32"/>
          <w:szCs w:val="44"/>
        </w:rPr>
      </w:pPr>
      <w:bookmarkStart w:id="63" w:name="_Toc29227"/>
      <w:bookmarkStart w:id="64" w:name="_Toc16290"/>
      <w:bookmarkStart w:id="65" w:name="_Toc19238"/>
      <w:bookmarkStart w:id="66" w:name="_Toc107927237"/>
      <w:bookmarkStart w:id="67" w:name="_Toc107925011"/>
      <w:bookmarkStart w:id="68" w:name="_Toc30226"/>
      <w:r>
        <w:rPr>
          <w:rFonts w:ascii="Arial" w:eastAsia="黑体" w:hAnsi="Arial" w:cs="Times New Roman" w:hint="eastAsia"/>
          <w:b/>
          <w:bCs/>
          <w:kern w:val="44"/>
          <w:sz w:val="32"/>
          <w:szCs w:val="44"/>
          <w:lang w:val="en-US" w:eastAsia="zh-CN" w:bidi="ar-SA"/>
        </w:rPr>
        <w:t>建设目标和内容</w:t>
      </w:r>
      <w:bookmarkEnd w:id="63"/>
      <w:bookmarkEnd w:id="64"/>
      <w:bookmarkEnd w:id="65"/>
      <w:bookmarkEnd w:id="66"/>
      <w:bookmarkEnd w:id="67"/>
      <w:bookmarkEnd w:id="68"/>
    </w:p>
    <w:p w14:paraId="56C63B74">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本项目的运维任务具体包括以下方面：</w:t>
      </w:r>
    </w:p>
    <w:p w14:paraId="1B34F5B8">
      <w:pPr>
        <w:numPr>
          <w:ilvl w:val="0"/>
          <w:numId w:val="5"/>
        </w:num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全球基础数据产品、中国基础数据产品、气候序列均一化产品和新型垂直观测数据产品</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面向国家级实况业务应用的中国区域雷达实况产品系统</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以下简称“国家级雷达产品系统”</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和面向重大活动保障或重点区域的局地雷达产品系统（以下简称“局地雷达产品系统”）、</w:t>
      </w:r>
      <w:r>
        <w:rPr>
          <w:rFonts w:ascii="Times New Roman" w:eastAsia="宋体" w:hAnsi="Times New Roman" w:cs="Times New Roman" w:hint="eastAsia"/>
          <w:sz w:val="24"/>
          <w:szCs w:val="24"/>
        </w:rPr>
        <w:t>实时实况分析系统和备份实况分析系统日常运行维护。</w:t>
      </w:r>
    </w:p>
    <w:p w14:paraId="7EED5F0E">
      <w:pPr>
        <w:numPr>
          <w:ilvl w:val="0"/>
          <w:numId w:val="5"/>
        </w:num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实况告警监控功能升级：针对天气气候核心业务所需的实况分析业务和加工衍生服务产品，增加中国区域三维大气产品、雷暴大风产品的告警监控。</w:t>
      </w:r>
    </w:p>
    <w:p w14:paraId="6FFB3494">
      <w:pPr>
        <w:numPr>
          <w:ilvl w:val="0"/>
          <w:numId w:val="5"/>
        </w:num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实况产品运维功能升级：针对研究室实况系统，根据ecflow作业状态，建设资源、模块进程异常情况下的自动运维工具，并以天镜产品推送状态的接口为基础，新建产品自动补推工具。</w:t>
      </w:r>
    </w:p>
    <w:p w14:paraId="35ED14C2">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4）插补流程功能完善及评估功能开发：协助开展插补流程功能完善，并根据实况产品插补站点结果，新建插补评估效果的功能。</w:t>
      </w:r>
    </w:p>
    <w:p w14:paraId="5288F754">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lang w:val="en-US" w:eastAsia="zh-CN"/>
        </w:rPr>
        <w:t>实况业务</w:t>
      </w:r>
      <w:r>
        <w:rPr>
          <w:rFonts w:ascii="Times New Roman" w:eastAsia="宋体" w:hAnsi="Times New Roman" w:cs="Times New Roman" w:hint="eastAsia"/>
          <w:sz w:val="24"/>
          <w:szCs w:val="24"/>
        </w:rPr>
        <w:t>相关服务器安全漏洞检查和修补</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rPr>
        <w:t>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国家级雷达产品</w:t>
      </w:r>
      <w:r>
        <w:rPr>
          <w:rFonts w:ascii="Times New Roman" w:eastAsia="宋体" w:hAnsi="Times New Roman" w:cs="Times New Roman" w:hint="eastAsia"/>
          <w:sz w:val="24"/>
          <w:szCs w:val="24"/>
        </w:rPr>
        <w:t>系统相关服务器</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rPr>
        <w:t>实时实况分析系统和备份实况分析系统相关服务器安全漏洞检查和修补。</w:t>
      </w:r>
    </w:p>
    <w:p w14:paraId="2B5A1902">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6）实况系统WEB端展示的升级：新增中国区域三维大气实况产品、插补评估结果展示（WEB端）。</w:t>
      </w:r>
    </w:p>
    <w:p w14:paraId="02736465">
      <w:pPr>
        <w:spacing w:line="360" w:lineRule="auto"/>
        <w:ind w:firstLine="480" w:firstLineChars="200"/>
        <w:rPr>
          <w:rFonts w:ascii="Times New Roman" w:eastAsia="宋体" w:hAnsi="Times New Roman" w:cs="Times New Roman" w:hint="eastAsia"/>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）气象实况小程序降水质量的检查：2026年11月1日到2027年6月30日，通过“气象实况”小程序对北京及应急响应区域进行降水空间分布异常的检查。</w:t>
      </w:r>
    </w:p>
    <w:p w14:paraId="5D48FC28">
      <w:pPr>
        <w:spacing w:line="360" w:lineRule="auto"/>
        <w:ind w:firstLine="480" w:firstLineChars="200"/>
        <w:rPr>
          <w:rFonts w:ascii="Times New Roman" w:eastAsia="宋体" w:hAnsi="Times New Roman" w:cs="Times New Roman" w:hint="eastAsia"/>
        </w:rPr>
      </w:pPr>
      <w:r>
        <w:rPr>
          <w:rFonts w:ascii="Times New Roman" w:eastAsia="宋体" w:hAnsi="Times New Roman" w:cs="Times New Roman" w:hint="eastAsia"/>
          <w:sz w:val="24"/>
          <w:szCs w:val="24"/>
          <w:lang w:val="en-US" w:eastAsia="zh-CN"/>
        </w:rPr>
        <w:t>8）</w:t>
      </w:r>
      <w:r>
        <w:rPr>
          <w:rFonts w:ascii="Times New Roman" w:eastAsia="宋体" w:hAnsi="Times New Roman" w:cs="Times New Roman" w:hint="eastAsia"/>
          <w:sz w:val="24"/>
          <w:szCs w:val="24"/>
        </w:rPr>
        <w:t>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产品质量评估周报工具开发与周报分析：</w:t>
      </w:r>
      <w:r>
        <w:rPr>
          <w:rFonts w:ascii="Times New Roman" w:eastAsia="宋体" w:hAnsi="Times New Roman" w:cs="Times New Roman"/>
          <w:sz w:val="24"/>
          <w:szCs w:val="24"/>
        </w:rPr>
        <w:t>开发自动化质量周报工具，定期评估各套产品数据的连续性与完整性，及时发现异常并反馈处理，保障产品质量稳定可靠</w:t>
      </w:r>
      <w:r>
        <w:rPr>
          <w:rFonts w:ascii="Times New Roman" w:eastAsia="宋体" w:hAnsi="Times New Roman" w:cs="Times New Roman" w:hint="eastAsia"/>
          <w:sz w:val="24"/>
          <w:szCs w:val="24"/>
          <w:lang w:eastAsia="zh-CN"/>
        </w:rPr>
        <w:t>。</w:t>
      </w:r>
    </w:p>
    <w:p w14:paraId="65231677">
      <w:pPr>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lang w:val="en-US" w:eastAsia="zh-CN"/>
        </w:rPr>
        <w:t>9）</w:t>
      </w:r>
      <w:r>
        <w:rPr>
          <w:rFonts w:ascii="Times New Roman" w:eastAsia="宋体" w:hAnsi="Times New Roman" w:cs="Times New Roman" w:hint="eastAsia"/>
          <w:sz w:val="24"/>
          <w:szCs w:val="24"/>
        </w:rPr>
        <w:t>基础数据产品和</w:t>
      </w:r>
      <w:r>
        <w:rPr>
          <w:rFonts w:ascii="Times New Roman" w:eastAsia="宋体" w:hAnsi="Times New Roman" w:cs="Times New Roman"/>
          <w:sz w:val="24"/>
          <w:szCs w:val="24"/>
        </w:rPr>
        <w:t>新型垂直观测数据</w:t>
      </w:r>
      <w:r>
        <w:rPr>
          <w:rFonts w:ascii="Times New Roman" w:eastAsia="宋体" w:hAnsi="Times New Roman" w:cs="Times New Roman" w:hint="eastAsia"/>
          <w:sz w:val="24"/>
          <w:szCs w:val="24"/>
        </w:rPr>
        <w:t>产品服务器定时调度功能优化：</w:t>
      </w:r>
      <w:r>
        <w:rPr>
          <w:rFonts w:ascii="Times New Roman" w:eastAsia="宋体" w:hAnsi="Times New Roman" w:cs="Times New Roman"/>
          <w:sz w:val="24"/>
          <w:szCs w:val="24"/>
        </w:rPr>
        <w:t>梳理现有Crontab定时任务并迁移至集约化调度工具，实现统一Web可视化管理、完整日志记录、实时状态监控及失败重试等调度</w:t>
      </w:r>
      <w:r>
        <w:rPr>
          <w:rFonts w:ascii="Times New Roman" w:eastAsia="宋体" w:hAnsi="Times New Roman" w:cs="Times New Roman" w:hint="eastAsia"/>
          <w:sz w:val="24"/>
          <w:szCs w:val="24"/>
        </w:rPr>
        <w:t>运维</w:t>
      </w:r>
      <w:r>
        <w:rPr>
          <w:rFonts w:ascii="Times New Roman" w:eastAsia="宋体" w:hAnsi="Times New Roman" w:cs="Times New Roman"/>
          <w:sz w:val="24"/>
          <w:szCs w:val="24"/>
        </w:rPr>
        <w:t>能力。</w:t>
      </w:r>
    </w:p>
    <w:p w14:paraId="0E1F5598">
      <w:pPr>
        <w:spacing w:line="360" w:lineRule="auto"/>
        <w:ind w:firstLine="480" w:firstLineChars="200"/>
        <w:rPr>
          <w:rFonts w:ascii="Times New Roman" w:eastAsia="宋体" w:hAnsi="Times New Roman" w:cs="Times New Roman" w:hint="default"/>
        </w:rPr>
      </w:pPr>
      <w:r>
        <w:rPr>
          <w:rFonts w:ascii="Times New Roman" w:eastAsia="宋体" w:hAnsi="Times New Roman" w:cs="Times New Roman" w:hint="eastAsia"/>
          <w:sz w:val="24"/>
          <w:szCs w:val="24"/>
          <w:lang w:val="en-US" w:eastAsia="zh-CN"/>
        </w:rPr>
        <w:t>10）雷达产品质量监视与维护：涵盖国家级雷达产品的实时质量监视、异常区域数据溯源、人工专业故障排查。</w:t>
      </w:r>
    </w:p>
    <w:p w14:paraId="4DA61685">
      <w:pPr>
        <w:keepNext/>
        <w:keepLines/>
        <w:widowControl w:val="0"/>
        <w:numPr>
          <w:ilvl w:val="0"/>
          <w:numId w:val="4"/>
        </w:numPr>
        <w:spacing w:before="100" w:beforeAutospacing="1" w:after="100" w:afterAutospacing="1" w:line="360" w:lineRule="auto"/>
        <w:jc w:val="both"/>
        <w:outlineLvl w:val="0"/>
        <w:rPr>
          <w:rFonts w:ascii="Arial" w:eastAsia="黑体" w:hAnsi="Arial" w:cs="Times New Roman"/>
          <w:b/>
          <w:bCs/>
          <w:kern w:val="44"/>
          <w:sz w:val="32"/>
          <w:szCs w:val="44"/>
        </w:rPr>
      </w:pPr>
      <w:bookmarkStart w:id="69" w:name="_Toc107925013"/>
      <w:bookmarkStart w:id="70" w:name="_Toc28121"/>
      <w:bookmarkStart w:id="71" w:name="_Toc107927239"/>
      <w:bookmarkStart w:id="72" w:name="_Toc18243"/>
      <w:bookmarkStart w:id="73" w:name="_Toc12768"/>
      <w:bookmarkStart w:id="74" w:name="_Toc22581"/>
      <w:r>
        <w:rPr>
          <w:rFonts w:ascii="Arial" w:eastAsia="黑体" w:hAnsi="Arial" w:cs="Times New Roman" w:hint="eastAsia"/>
          <w:b/>
          <w:bCs/>
          <w:kern w:val="44"/>
          <w:sz w:val="32"/>
          <w:szCs w:val="44"/>
          <w:lang w:val="en-US" w:eastAsia="zh-CN" w:bidi="ar-SA"/>
        </w:rPr>
        <w:t>任务</w:t>
      </w:r>
      <w:r>
        <w:rPr>
          <w:rFonts w:ascii="Arial" w:eastAsia="黑体" w:hAnsi="Arial" w:cs="Times New Roman"/>
          <w:b/>
          <w:bCs/>
          <w:kern w:val="44"/>
          <w:sz w:val="32"/>
          <w:szCs w:val="44"/>
          <w:lang w:val="en-US" w:eastAsia="zh-CN" w:bidi="ar-SA"/>
        </w:rPr>
        <w:t>要求</w:t>
      </w:r>
      <w:bookmarkEnd w:id="69"/>
      <w:bookmarkEnd w:id="70"/>
      <w:bookmarkEnd w:id="71"/>
      <w:bookmarkEnd w:id="72"/>
      <w:bookmarkEnd w:id="73"/>
      <w:bookmarkEnd w:id="74"/>
    </w:p>
    <w:p w14:paraId="6CC04D55">
      <w:pPr>
        <w:keepNext/>
        <w:keepLines/>
        <w:widowControl w:val="0"/>
        <w:numPr>
          <w:ilvl w:val="1"/>
          <w:numId w:val="4"/>
        </w:numPr>
        <w:tabs>
          <w:tab w:val="left" w:pos="432"/>
        </w:tabs>
        <w:spacing w:before="260" w:after="260" w:line="416" w:lineRule="auto"/>
        <w:jc w:val="both"/>
        <w:outlineLvl w:val="1"/>
        <w:rPr>
          <w:rFonts w:ascii="Times New Roman" w:eastAsia="宋体" w:hAnsi="Times New Roman" w:cs="Times New Roman"/>
          <w:b/>
          <w:bCs/>
          <w:sz w:val="30"/>
          <w:szCs w:val="32"/>
        </w:rPr>
      </w:pPr>
      <w:bookmarkStart w:id="75" w:name="_Toc29421"/>
      <w:bookmarkStart w:id="76" w:name="_Toc25207"/>
      <w:bookmarkStart w:id="77" w:name="_Toc31327"/>
      <w:bookmarkStart w:id="78" w:name="_Toc13459"/>
      <w:r>
        <w:rPr>
          <w:rFonts w:ascii="Times New Roman" w:eastAsia="宋体" w:hAnsi="Times New Roman" w:cs="Times New Roman" w:hint="eastAsia"/>
          <w:b/>
          <w:bCs/>
          <w:kern w:val="2"/>
          <w:sz w:val="30"/>
          <w:szCs w:val="32"/>
          <w:lang w:val="en-US" w:eastAsia="zh-CN" w:bidi="ar-SA"/>
        </w:rPr>
        <w:t>实况系统</w:t>
      </w:r>
      <w:bookmarkEnd w:id="75"/>
      <w:r>
        <w:rPr>
          <w:rFonts w:ascii="Times New Roman" w:eastAsia="宋体" w:hAnsi="Times New Roman" w:cs="Times New Roman" w:hint="eastAsia"/>
          <w:b/>
          <w:bCs/>
          <w:kern w:val="2"/>
          <w:sz w:val="30"/>
          <w:szCs w:val="32"/>
          <w:lang w:val="en-US" w:eastAsia="zh-CN" w:bidi="ar-SA"/>
        </w:rPr>
        <w:t>运维</w:t>
      </w:r>
      <w:bookmarkEnd w:id="76"/>
      <w:bookmarkEnd w:id="77"/>
      <w:bookmarkEnd w:id="78"/>
    </w:p>
    <w:p w14:paraId="5DCD0BE6">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bookmarkStart w:id="79" w:name="_Toc308"/>
      <w:bookmarkStart w:id="80" w:name="_Toc10573"/>
      <w:r>
        <w:rPr>
          <w:rFonts w:ascii="Arial" w:eastAsia="黑体" w:hAnsi="Arial" w:cs="Times New Roman" w:hint="eastAsia"/>
          <w:b/>
          <w:bCs/>
          <w:kern w:val="2"/>
          <w:sz w:val="28"/>
          <w:szCs w:val="32"/>
          <w:lang w:val="en-US" w:eastAsia="zh-CN" w:bidi="ar-SA"/>
        </w:rPr>
        <w:t>基础数据产品和新型垂直观测数据产品运维</w:t>
      </w:r>
      <w:bookmarkEnd w:id="79"/>
      <w:bookmarkEnd w:id="80"/>
    </w:p>
    <w:p w14:paraId="1F706D9D">
      <w:p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lang w:val="en-US" w:eastAsia="zh-CN"/>
        </w:rPr>
        <w:t>1.</w:t>
      </w:r>
      <w:r>
        <w:rPr>
          <w:rFonts w:ascii="Times New Roman" w:eastAsia="宋体" w:hAnsi="Times New Roman" w:cs="Times New Roman" w:hint="eastAsia"/>
          <w:b/>
          <w:sz w:val="24"/>
          <w:szCs w:val="24"/>
        </w:rPr>
        <w:t>概述</w:t>
      </w:r>
    </w:p>
    <w:p w14:paraId="6200D579">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产品生产运行维护主要包括全球基础数据产品运维、中国基础数据产品运维、均一化产品运维和新型垂直观测数据产品运维等</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rPr>
        <w:t>具体产品清单详见附件1。</w:t>
      </w:r>
    </w:p>
    <w:p w14:paraId="4ABD13AC">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全球基础数据产品主要通过全球数据获取、数据统计、质量控制、数据存储等功能模块，完成常规的数据处理，实现全球地面气压日值、风速等24套数据集的生产。</w:t>
      </w:r>
    </w:p>
    <w:p w14:paraId="70F32C61">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中国基础数据产品主要通过中国区域数据获取、数据统计、质量控制、数据存储等功能模块，实现中国地面土壤水分小时值数据集等16套产品的生产。</w:t>
      </w:r>
    </w:p>
    <w:p w14:paraId="69E52A3B">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气候序列均一化产品主要通过数据获取、数据统计等功能模块实现均一化能见度月值等23套产品的生产。</w:t>
      </w:r>
    </w:p>
    <w:p w14:paraId="7E146CA7">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新型垂直观测数据产品主要通过数据预处理、质量控制数据存储等模块，实现毫米波云雷达基数据质控产品等7套产品的生产。</w:t>
      </w:r>
    </w:p>
    <w:p w14:paraId="2084A211">
      <w:pPr>
        <w:spacing w:before="156" w:beforeLines="50" w:after="156" w:afterLines="50"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为保障产品稳定提供服务，需要进行专业业务运维，运维时段为自合同签署之日起365个自然日。</w:t>
      </w:r>
    </w:p>
    <w:p w14:paraId="01331259">
      <w:p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lang w:val="en-US" w:eastAsia="zh-CN"/>
        </w:rPr>
        <w:t>2.功能要求</w:t>
      </w:r>
    </w:p>
    <w:p w14:paraId="59B9DAC0">
      <w:pPr>
        <w:widowControl w:val="0"/>
        <w:numPr>
          <w:ilvl w:val="0"/>
          <w:numId w:val="6"/>
        </w:numPr>
        <w:spacing w:line="360" w:lineRule="auto"/>
        <w:ind w:left="755" w:hanging="440"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掌握全球基础数据产品、中国基础数据产品、气候序列均一化产品和新型垂直观测数据产品的运维操作步骤。日常运维期间，在收到一线产品告警、产品微信告警时，能够在</w:t>
      </w:r>
      <w:r>
        <w:rPr>
          <w:rFonts w:ascii="Times New Roman" w:eastAsia="宋体" w:hAnsi="Times New Roman" w:cs="Times New Roman"/>
          <w:kern w:val="2"/>
          <w:sz w:val="24"/>
          <w:szCs w:val="24"/>
          <w:lang w:val="en-US" w:eastAsia="zh-CN" w:bidi="ar-SA"/>
        </w:rPr>
        <w:t>30</w:t>
      </w:r>
      <w:r>
        <w:rPr>
          <w:rFonts w:ascii="Times New Roman" w:eastAsia="宋体" w:hAnsi="Times New Roman" w:cs="Times New Roman" w:hint="eastAsia"/>
          <w:kern w:val="2"/>
          <w:sz w:val="24"/>
          <w:szCs w:val="24"/>
          <w:lang w:val="en-US" w:eastAsia="zh-CN" w:bidi="ar-SA"/>
        </w:rPr>
        <w:t>分钟内完成故障原因排查和定位，恢复上述产品的正常生产。若非产品自身算法错误，在故障解除后按照要求及时开展产品补算和回算。</w:t>
      </w:r>
    </w:p>
    <w:p w14:paraId="446C2DB2">
      <w:pPr>
        <w:widowControl w:val="0"/>
        <w:numPr>
          <w:ilvl w:val="0"/>
          <w:numId w:val="6"/>
        </w:numPr>
        <w:spacing w:line="360" w:lineRule="auto"/>
        <w:ind w:left="755" w:hanging="440"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对产品中的疑误信息进行核查，</w:t>
      </w:r>
      <w:r>
        <w:rPr>
          <w:rFonts w:ascii="Times New Roman" w:eastAsia="宋体" w:hAnsi="Times New Roman" w:cs="Times New Roman"/>
          <w:kern w:val="2"/>
          <w:sz w:val="24"/>
          <w:szCs w:val="24"/>
          <w:lang w:val="en-US" w:eastAsia="zh-CN" w:bidi="ar-SA"/>
        </w:rPr>
        <w:t>接到甲方要求后30分钟内响应，并尽快完成原因分析，配合甲方按需出具分析报告</w:t>
      </w:r>
      <w:r>
        <w:rPr>
          <w:rFonts w:ascii="Times New Roman" w:eastAsia="宋体" w:hAnsi="Times New Roman" w:cs="Times New Roman" w:hint="eastAsia"/>
          <w:kern w:val="2"/>
          <w:sz w:val="24"/>
          <w:szCs w:val="24"/>
          <w:lang w:val="en-US" w:eastAsia="zh-CN" w:bidi="ar-SA"/>
        </w:rPr>
        <w:t>。</w:t>
      </w:r>
      <w:r>
        <w:rPr>
          <w:rFonts w:ascii="Times New Roman" w:eastAsia="宋体" w:hAnsi="Times New Roman" w:cs="Times New Roman"/>
          <w:kern w:val="2"/>
          <w:sz w:val="24"/>
          <w:szCs w:val="24"/>
          <w:lang w:val="en-US" w:eastAsia="zh-CN" w:bidi="ar-SA"/>
        </w:rPr>
        <w:t xml:space="preserve"> </w:t>
      </w:r>
    </w:p>
    <w:p w14:paraId="3AC6293E">
      <w:pPr>
        <w:widowControl w:val="0"/>
        <w:numPr>
          <w:ilvl w:val="0"/>
          <w:numId w:val="6"/>
        </w:numPr>
        <w:spacing w:line="360" w:lineRule="auto"/>
        <w:ind w:left="755" w:hanging="440"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根据故障发生情况，</w:t>
      </w:r>
      <w:r>
        <w:rPr>
          <w:rFonts w:ascii="Times New Roman" w:eastAsia="宋体" w:hAnsi="Times New Roman" w:cs="Times New Roman"/>
          <w:kern w:val="2"/>
          <w:sz w:val="24"/>
          <w:szCs w:val="24"/>
          <w:lang w:val="en-US" w:eastAsia="zh-CN" w:bidi="ar-SA"/>
        </w:rPr>
        <w:t>优化</w:t>
      </w:r>
      <w:r>
        <w:rPr>
          <w:rFonts w:ascii="Times New Roman" w:eastAsia="宋体" w:hAnsi="Times New Roman" w:cs="Times New Roman" w:hint="eastAsia"/>
          <w:kern w:val="2"/>
          <w:sz w:val="24"/>
          <w:szCs w:val="24"/>
          <w:lang w:val="en-US" w:eastAsia="zh-CN" w:bidi="ar-SA"/>
        </w:rPr>
        <w:t>故障产品对应的算法逻辑，并尽快更新到天擎中</w:t>
      </w:r>
      <w:r>
        <w:rPr>
          <w:rFonts w:ascii="Times New Roman" w:eastAsia="宋体" w:hAnsi="Times New Roman" w:cs="Times New Roman"/>
          <w:kern w:val="2"/>
          <w:sz w:val="24"/>
          <w:szCs w:val="24"/>
          <w:lang w:val="en-US" w:eastAsia="zh-CN" w:bidi="ar-SA"/>
        </w:rPr>
        <w:t>，强化系统模块运行状态监视和产品生产时效监视，提高系统运行稳定性</w:t>
      </w:r>
      <w:r>
        <w:rPr>
          <w:rFonts w:ascii="Times New Roman" w:eastAsia="宋体" w:hAnsi="Times New Roman" w:cs="Times New Roman" w:hint="eastAsia"/>
          <w:kern w:val="2"/>
          <w:sz w:val="24"/>
          <w:szCs w:val="24"/>
          <w:lang w:val="en-US" w:eastAsia="zh-CN" w:bidi="ar-SA"/>
        </w:rPr>
        <w:t>，并及时更新升级用户手册</w:t>
      </w:r>
      <w:r>
        <w:rPr>
          <w:rFonts w:ascii="Times New Roman" w:eastAsia="宋体" w:hAnsi="Times New Roman" w:cs="Times New Roman"/>
          <w:kern w:val="2"/>
          <w:sz w:val="24"/>
          <w:szCs w:val="24"/>
          <w:lang w:val="en-US" w:eastAsia="zh-CN" w:bidi="ar-SA"/>
        </w:rPr>
        <w:t>。</w:t>
      </w:r>
    </w:p>
    <w:p w14:paraId="495F05C8">
      <w:pPr>
        <w:widowControl w:val="0"/>
        <w:numPr>
          <w:ilvl w:val="0"/>
          <w:numId w:val="6"/>
        </w:numPr>
        <w:spacing w:line="360" w:lineRule="auto"/>
        <w:ind w:left="755" w:hanging="440"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当发生天擎平台、网络、数据等环境不稳定的特殊状态时，能够即时对各套</w:t>
      </w:r>
      <w:r>
        <w:rPr>
          <w:rFonts w:ascii="Times New Roman" w:eastAsia="宋体" w:hAnsi="Times New Roman" w:cs="Times New Roman"/>
          <w:kern w:val="2"/>
          <w:sz w:val="24"/>
          <w:szCs w:val="24"/>
          <w:lang w:val="en-US" w:eastAsia="zh-CN" w:bidi="ar-SA"/>
        </w:rPr>
        <w:t>产品</w:t>
      </w:r>
      <w:r>
        <w:rPr>
          <w:rFonts w:ascii="Times New Roman" w:eastAsia="宋体" w:hAnsi="Times New Roman" w:cs="Times New Roman" w:hint="eastAsia"/>
          <w:kern w:val="2"/>
          <w:sz w:val="24"/>
          <w:szCs w:val="24"/>
          <w:lang w:val="en-US" w:eastAsia="zh-CN" w:bidi="ar-SA"/>
        </w:rPr>
        <w:t>对应的算法</w:t>
      </w:r>
      <w:r>
        <w:rPr>
          <w:rFonts w:ascii="Times New Roman" w:eastAsia="宋体" w:hAnsi="Times New Roman" w:cs="Times New Roman"/>
          <w:kern w:val="2"/>
          <w:sz w:val="24"/>
          <w:szCs w:val="24"/>
          <w:lang w:val="en-US" w:eastAsia="zh-CN" w:bidi="ar-SA"/>
        </w:rPr>
        <w:t>运行状态进行监视和运维，保障产品的正常输出，直至特殊状态结束。</w:t>
      </w:r>
    </w:p>
    <w:p w14:paraId="6F50E323">
      <w:pPr>
        <w:widowControl w:val="0"/>
        <w:numPr>
          <w:ilvl w:val="0"/>
          <w:numId w:val="6"/>
        </w:numPr>
        <w:spacing w:line="360" w:lineRule="auto"/>
        <w:ind w:left="755" w:hanging="440"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在中国气象局启动三级及以上应急响应、汛期“七下八上”关键阶段(每年7-8月)以及法定节假日期间，乙方需派遣甲方认可的技术人员在指定时段内、按照指定方式值班值守，并按照甲方需求开展对产品的定时巡检，保障会商、重大活动期间产品系统运行正常。</w:t>
      </w:r>
    </w:p>
    <w:p w14:paraId="04D7CF0A">
      <w:pPr>
        <w:widowControl w:val="0"/>
        <w:ind w:left="0" w:firstLine="0" w:leftChars="0" w:firstLineChars="0"/>
        <w:jc w:val="both"/>
        <w:rPr>
          <w:rFonts w:ascii="Times New Roman" w:eastAsia="宋体" w:hAnsi="Times New Roman" w:cs="Times New Roman" w:hint="eastAsia"/>
        </w:rPr>
      </w:pPr>
    </w:p>
    <w:p w14:paraId="0D535DD3">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bookmarkStart w:id="81" w:name="_Toc14870"/>
      <w:bookmarkStart w:id="82" w:name="_Toc19235"/>
      <w:bookmarkStart w:id="83" w:name="_Toc18421"/>
      <w:r>
        <w:rPr>
          <w:rFonts w:ascii="Arial" w:eastAsia="黑体" w:hAnsi="Arial" w:cs="Times New Roman" w:hint="eastAsia"/>
          <w:b/>
          <w:bCs/>
          <w:kern w:val="2"/>
          <w:sz w:val="28"/>
          <w:szCs w:val="32"/>
          <w:lang w:val="en-US" w:eastAsia="zh-CN" w:bidi="ar-SA"/>
        </w:rPr>
        <w:t>雷达系统运维保障</w:t>
      </w:r>
      <w:bookmarkEnd w:id="81"/>
      <w:bookmarkEnd w:id="82"/>
      <w:bookmarkEnd w:id="83"/>
    </w:p>
    <w:p w14:paraId="6E1ECFEB">
      <w:pPr>
        <w:numPr>
          <w:ilvl w:val="0"/>
          <w:numId w:val="7"/>
        </w:numPr>
        <w:spacing w:line="360" w:lineRule="auto"/>
        <w:rPr>
          <w:rFonts w:ascii="Times New Roman" w:eastAsia="宋体" w:hAnsi="Times New Roman" w:cs="Times New Roman"/>
          <w:b/>
        </w:rPr>
      </w:pPr>
      <w:r>
        <w:rPr>
          <w:rFonts w:ascii="Times New Roman" w:eastAsia="宋体" w:hAnsi="Times New Roman" w:cs="Times New Roman"/>
          <w:b/>
          <w:sz w:val="24"/>
          <w:szCs w:val="24"/>
        </w:rPr>
        <w:t>概述</w:t>
      </w:r>
    </w:p>
    <w:p w14:paraId="48740616">
      <w:pPr>
        <w:spacing w:line="360" w:lineRule="auto"/>
        <w:ind w:firstLine="480" w:firstLineChars="200"/>
        <w:rPr>
          <w:rFonts w:ascii="Times New Roman" w:eastAsia="宋体" w:hAnsi="Times New Roman" w:cs="Times New Roman" w:hint="default"/>
        </w:rPr>
      </w:pPr>
      <w:r>
        <w:rPr>
          <w:rFonts w:ascii="Times New Roman" w:eastAsia="宋体" w:hAnsi="Times New Roman" w:cs="Times New Roman" w:hint="eastAsia"/>
          <w:sz w:val="24"/>
          <w:szCs w:val="24"/>
          <w:lang w:val="en-US" w:eastAsia="zh-CN"/>
        </w:rPr>
        <w:t>当雷达产品系统出现运行异常且通过实时监控系统无法定位原因时，或遇到重大活动保障及重要天气过程时，需通过人工进行故障排查及</w:t>
      </w:r>
      <w:r>
        <w:rPr>
          <w:rFonts w:ascii="Times New Roman" w:eastAsia="宋体" w:hAnsi="Times New Roman" w:cs="Times New Roman"/>
          <w:sz w:val="24"/>
          <w:szCs w:val="24"/>
        </w:rPr>
        <w:t>专业</w:t>
      </w:r>
      <w:r>
        <w:rPr>
          <w:rFonts w:ascii="Times New Roman" w:eastAsia="宋体" w:hAnsi="Times New Roman" w:cs="Times New Roman" w:hint="eastAsia"/>
          <w:sz w:val="24"/>
          <w:szCs w:val="24"/>
          <w:lang w:val="en-US" w:eastAsia="zh-CN"/>
        </w:rPr>
        <w:t>人员进行值班值守</w:t>
      </w:r>
      <w:r>
        <w:rPr>
          <w:rFonts w:ascii="Times New Roman" w:eastAsia="宋体" w:hAnsi="Times New Roman" w:cs="Times New Roman"/>
          <w:sz w:val="24"/>
          <w:szCs w:val="24"/>
        </w:rPr>
        <w:t>运维</w:t>
      </w:r>
      <w:r>
        <w:rPr>
          <w:rFonts w:ascii="Times New Roman" w:eastAsia="宋体" w:hAnsi="Times New Roman" w:cs="Times New Roman" w:hint="eastAsia"/>
          <w:sz w:val="24"/>
          <w:szCs w:val="24"/>
          <w:lang w:val="en-US" w:eastAsia="zh-CN"/>
        </w:rPr>
        <w:t>，确保</w:t>
      </w:r>
      <w:r>
        <w:rPr>
          <w:rFonts w:ascii="Times New Roman" w:eastAsia="宋体" w:hAnsi="Times New Roman" w:cs="Times New Roman"/>
          <w:sz w:val="24"/>
          <w:szCs w:val="24"/>
        </w:rPr>
        <w:t>系统</w:t>
      </w:r>
      <w:r>
        <w:rPr>
          <w:rFonts w:ascii="Times New Roman" w:eastAsia="宋体" w:hAnsi="Times New Roman" w:cs="Times New Roman" w:hint="eastAsia"/>
          <w:sz w:val="24"/>
          <w:szCs w:val="24"/>
          <w:lang w:val="en-US" w:eastAsia="zh-CN"/>
        </w:rPr>
        <w:t>运行</w:t>
      </w:r>
      <w:r>
        <w:rPr>
          <w:rFonts w:ascii="Times New Roman" w:eastAsia="宋体" w:hAnsi="Times New Roman" w:cs="Times New Roman"/>
          <w:sz w:val="24"/>
          <w:szCs w:val="24"/>
        </w:rPr>
        <w:t>稳定。</w:t>
      </w:r>
      <w:r>
        <w:rPr>
          <w:rFonts w:ascii="Times New Roman" w:eastAsia="宋体" w:hAnsi="Times New Roman" w:cs="Times New Roman" w:hint="eastAsia"/>
          <w:sz w:val="24"/>
          <w:szCs w:val="24"/>
          <w:lang w:val="en-US" w:eastAsia="zh-CN"/>
        </w:rPr>
        <w:t>产品清单见附件2。</w:t>
      </w:r>
    </w:p>
    <w:p w14:paraId="7EBA9968">
      <w:pPr>
        <w:numPr>
          <w:ilvl w:val="0"/>
          <w:numId w:val="7"/>
        </w:numPr>
        <w:spacing w:line="360" w:lineRule="auto"/>
        <w:ind w:left="0" w:firstLine="0" w:leftChars="0" w:firstLineChars="0"/>
        <w:rPr>
          <w:rFonts w:ascii="Times New Roman" w:eastAsia="宋体" w:hAnsi="Times New Roman" w:cs="Times New Roman" w:hint="eastAsia"/>
          <w:b/>
        </w:rPr>
      </w:pPr>
      <w:r>
        <w:rPr>
          <w:rFonts w:ascii="Times New Roman" w:eastAsia="宋体" w:hAnsi="Times New Roman" w:cs="Times New Roman" w:hint="eastAsia"/>
          <w:b/>
          <w:sz w:val="24"/>
          <w:szCs w:val="24"/>
          <w:lang w:val="en-US" w:eastAsia="zh-CN"/>
        </w:rPr>
        <w:t>功能要求</w:t>
      </w:r>
    </w:p>
    <w:p w14:paraId="73701913">
      <w:pPr>
        <w:numPr>
          <w:ilvl w:val="0"/>
          <w:numId w:val="8"/>
        </w:numPr>
        <w:spacing w:line="360" w:lineRule="auto"/>
        <w:ind w:left="425" w:hanging="425" w:leftChars="0" w:firstLineChars="0"/>
        <w:rPr>
          <w:rFonts w:ascii="Times New Roman" w:eastAsia="宋体" w:hAnsi="Times New Roman" w:cs="Times New Roman" w:hint="eastAsia"/>
        </w:rPr>
      </w:pPr>
      <w:r>
        <w:rPr>
          <w:rFonts w:ascii="Times New Roman" w:eastAsia="宋体" w:hAnsi="Times New Roman" w:cs="Times New Roman" w:hint="eastAsia"/>
          <w:sz w:val="24"/>
          <w:szCs w:val="24"/>
          <w:lang w:val="en-US" w:eastAsia="zh-CN"/>
        </w:rPr>
        <w:t>在甲方提供的《雷达</w:t>
      </w:r>
      <w:r>
        <w:rPr>
          <w:rFonts w:ascii="Times New Roman" w:eastAsia="宋体" w:hAnsi="Times New Roman" w:cs="Times New Roman" w:hint="eastAsia"/>
          <w:sz w:val="24"/>
          <w:szCs w:val="24"/>
        </w:rPr>
        <w:t>系统</w:t>
      </w:r>
      <w:r>
        <w:rPr>
          <w:rFonts w:ascii="Times New Roman" w:eastAsia="宋体" w:hAnsi="Times New Roman" w:cs="Times New Roman"/>
          <w:sz w:val="24"/>
          <w:szCs w:val="24"/>
        </w:rPr>
        <w:t>运维手册》</w:t>
      </w:r>
      <w:r>
        <w:rPr>
          <w:rFonts w:ascii="Times New Roman" w:eastAsia="宋体" w:hAnsi="Times New Roman" w:cs="Times New Roman" w:hint="eastAsia"/>
          <w:sz w:val="24"/>
          <w:szCs w:val="24"/>
          <w:lang w:val="en-US" w:eastAsia="zh-CN"/>
        </w:rPr>
        <w:t>基础上，根据新增运维手段和功能补充，持续更新运维手册，并对甲方人员进行培训。</w:t>
      </w:r>
    </w:p>
    <w:p w14:paraId="58C503F4">
      <w:pPr>
        <w:numPr>
          <w:ilvl w:val="0"/>
          <w:numId w:val="8"/>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lang w:val="en-US" w:eastAsia="zh-CN"/>
        </w:rPr>
        <w:t>乙方人员需</w:t>
      </w:r>
      <w:r>
        <w:rPr>
          <w:rFonts w:ascii="Times New Roman" w:eastAsia="宋体" w:hAnsi="Times New Roman" w:cs="Times New Roman"/>
          <w:sz w:val="24"/>
          <w:szCs w:val="24"/>
        </w:rPr>
        <w:t>掌握</w:t>
      </w:r>
      <w:r>
        <w:rPr>
          <w:rFonts w:ascii="Times New Roman" w:eastAsia="宋体" w:hAnsi="Times New Roman" w:cs="Times New Roman" w:hint="eastAsia"/>
          <w:sz w:val="24"/>
          <w:szCs w:val="24"/>
          <w:lang w:val="en-US" w:eastAsia="zh-CN"/>
        </w:rPr>
        <w:t>雷达系统日常</w:t>
      </w:r>
      <w:r>
        <w:rPr>
          <w:rFonts w:ascii="Times New Roman" w:eastAsia="宋体" w:hAnsi="Times New Roman" w:cs="Times New Roman"/>
          <w:sz w:val="24"/>
          <w:szCs w:val="24"/>
        </w:rPr>
        <w:t>运行操作，在系统故障、产品生成告警时，能够在30分钟内完成故障原因排查，恢复系统的正常运行</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p>
    <w:p w14:paraId="58FF006F">
      <w:pPr>
        <w:numPr>
          <w:ilvl w:val="0"/>
          <w:numId w:val="8"/>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rPr>
        <w:t>根据故障发生情况，</w:t>
      </w:r>
      <w:r>
        <w:rPr>
          <w:rFonts w:ascii="Times New Roman" w:eastAsia="宋体" w:hAnsi="Times New Roman" w:cs="Times New Roman"/>
          <w:sz w:val="24"/>
          <w:szCs w:val="24"/>
        </w:rPr>
        <w:t>优化</w:t>
      </w:r>
      <w:r>
        <w:rPr>
          <w:rFonts w:ascii="Times New Roman" w:eastAsia="宋体" w:hAnsi="Times New Roman" w:cs="Times New Roman" w:hint="eastAsia"/>
          <w:sz w:val="24"/>
          <w:szCs w:val="24"/>
          <w:lang w:val="en-US" w:eastAsia="zh-CN"/>
        </w:rPr>
        <w:t>天擎容器、物理机以及服务器等专用设备</w:t>
      </w:r>
      <w:r>
        <w:rPr>
          <w:rFonts w:ascii="Times New Roman" w:eastAsia="宋体" w:hAnsi="Times New Roman" w:cs="Times New Roman"/>
          <w:sz w:val="24"/>
          <w:szCs w:val="24"/>
        </w:rPr>
        <w:t>上实时运行的</w:t>
      </w:r>
      <w:r>
        <w:rPr>
          <w:rFonts w:ascii="Times New Roman" w:eastAsia="宋体" w:hAnsi="Times New Roman" w:cs="Times New Roman" w:hint="eastAsia"/>
          <w:sz w:val="24"/>
          <w:szCs w:val="24"/>
          <w:lang w:val="en-US" w:eastAsia="zh-CN"/>
        </w:rPr>
        <w:t>中国区域及局地雷达系统</w:t>
      </w:r>
      <w:r>
        <w:rPr>
          <w:rFonts w:ascii="Times New Roman" w:eastAsia="宋体" w:hAnsi="Times New Roman" w:cs="Times New Roman"/>
          <w:sz w:val="24"/>
          <w:szCs w:val="24"/>
        </w:rPr>
        <w:t>容错，强化系统模块运行状态监视和产品生产时效监视，提高系统运行稳定性。</w:t>
      </w:r>
    </w:p>
    <w:p w14:paraId="1865765C">
      <w:pPr>
        <w:numPr>
          <w:ilvl w:val="0"/>
          <w:numId w:val="8"/>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rPr>
        <w:t>当发生</w:t>
      </w:r>
      <w:r>
        <w:rPr>
          <w:rFonts w:ascii="Times New Roman" w:eastAsia="宋体" w:hAnsi="Times New Roman" w:cs="Times New Roman" w:hint="eastAsia"/>
          <w:sz w:val="24"/>
          <w:szCs w:val="24"/>
          <w:lang w:val="en-US" w:eastAsia="zh-CN"/>
        </w:rPr>
        <w:t>天擎平台</w:t>
      </w:r>
      <w:r>
        <w:rPr>
          <w:rFonts w:ascii="Times New Roman" w:eastAsia="宋体" w:hAnsi="Times New Roman" w:cs="Times New Roman" w:hint="eastAsia"/>
          <w:sz w:val="24"/>
          <w:szCs w:val="24"/>
        </w:rPr>
        <w:t>、网络、数据等环境</w:t>
      </w:r>
      <w:r>
        <w:rPr>
          <w:rFonts w:ascii="Times New Roman" w:eastAsia="宋体" w:hAnsi="Times New Roman" w:cs="Times New Roman" w:hint="eastAsia"/>
          <w:sz w:val="24"/>
          <w:szCs w:val="24"/>
          <w:lang w:val="en-US" w:eastAsia="zh-CN"/>
        </w:rPr>
        <w:t>持续</w:t>
      </w:r>
      <w:r>
        <w:rPr>
          <w:rFonts w:ascii="Times New Roman" w:eastAsia="宋体" w:hAnsi="Times New Roman" w:cs="Times New Roman" w:hint="eastAsia"/>
          <w:sz w:val="24"/>
          <w:szCs w:val="24"/>
        </w:rPr>
        <w:t>不稳定的特殊状态时，能够2小时内，到达现场，对系统</w:t>
      </w:r>
      <w:r>
        <w:rPr>
          <w:rFonts w:ascii="Times New Roman" w:eastAsia="宋体" w:hAnsi="Times New Roman" w:cs="Times New Roman"/>
          <w:sz w:val="24"/>
          <w:szCs w:val="24"/>
        </w:rPr>
        <w:t>运行状态进行监视和运维，保障产品的正常输出，直至特殊状态结束。</w:t>
      </w:r>
    </w:p>
    <w:p w14:paraId="73F77CB9">
      <w:pPr>
        <w:numPr>
          <w:ilvl w:val="0"/>
          <w:numId w:val="8"/>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lang w:val="en-US" w:eastAsia="zh-CN"/>
        </w:rPr>
        <w:t>在</w:t>
      </w:r>
      <w:r>
        <w:rPr>
          <w:rFonts w:ascii="Times New Roman" w:eastAsia="宋体" w:hAnsi="Times New Roman" w:cs="Times New Roman"/>
          <w:sz w:val="24"/>
          <w:szCs w:val="24"/>
        </w:rPr>
        <w:t>中国气象局</w:t>
      </w:r>
      <w:r>
        <w:rPr>
          <w:rFonts w:ascii="Times New Roman" w:eastAsia="宋体" w:hAnsi="Times New Roman" w:cs="Times New Roman" w:hint="eastAsia"/>
          <w:sz w:val="24"/>
          <w:szCs w:val="24"/>
          <w:lang w:val="en-US" w:eastAsia="zh-CN"/>
        </w:rPr>
        <w:t>三</w:t>
      </w:r>
      <w:r>
        <w:rPr>
          <w:rFonts w:ascii="Times New Roman" w:eastAsia="宋体" w:hAnsi="Times New Roman" w:cs="Times New Roman"/>
          <w:sz w:val="24"/>
          <w:szCs w:val="24"/>
        </w:rPr>
        <w:t>级</w:t>
      </w:r>
      <w:r>
        <w:rPr>
          <w:rFonts w:ascii="Times New Roman" w:eastAsia="宋体" w:hAnsi="Times New Roman" w:cs="Times New Roman" w:hint="eastAsia"/>
          <w:sz w:val="24"/>
          <w:szCs w:val="24"/>
          <w:lang w:val="en-US" w:eastAsia="zh-CN"/>
        </w:rPr>
        <w:t>及以上</w:t>
      </w:r>
      <w:r>
        <w:rPr>
          <w:rFonts w:ascii="Times New Roman" w:eastAsia="宋体" w:hAnsi="Times New Roman" w:cs="Times New Roman"/>
          <w:sz w:val="24"/>
          <w:szCs w:val="24"/>
        </w:rPr>
        <w:t>响应、中国气象局要求的重大活动保障</w:t>
      </w:r>
      <w:r>
        <w:rPr>
          <w:rFonts w:ascii="Times New Roman" w:eastAsia="宋体" w:hAnsi="Times New Roman" w:cs="Times New Roman" w:hint="eastAsia"/>
          <w:sz w:val="24"/>
          <w:szCs w:val="24"/>
          <w:lang w:eastAsia="zh-CN"/>
        </w:rPr>
        <w:t>、</w:t>
      </w:r>
      <w:r>
        <w:rPr>
          <w:rFonts w:ascii="Times New Roman" w:eastAsia="宋体" w:hAnsi="Times New Roman" w:cs="Times New Roman"/>
          <w:sz w:val="24"/>
          <w:szCs w:val="24"/>
        </w:rPr>
        <w:t>汛期“七下八上”关键阶段</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每年7-8月</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以及法定节假日</w:t>
      </w:r>
      <w:r>
        <w:rPr>
          <w:rFonts w:ascii="Times New Roman" w:eastAsia="宋体" w:hAnsi="Times New Roman" w:cs="Times New Roman"/>
          <w:sz w:val="24"/>
          <w:szCs w:val="24"/>
        </w:rPr>
        <w:t>期间</w:t>
      </w:r>
      <w:r>
        <w:rPr>
          <w:rFonts w:ascii="Times New Roman" w:eastAsia="宋体" w:hAnsi="Times New Roman" w:cs="Times New Roman" w:hint="eastAsia"/>
          <w:sz w:val="24"/>
          <w:szCs w:val="24"/>
        </w:rPr>
        <w:t>，</w:t>
      </w:r>
      <w:r>
        <w:rPr>
          <w:rFonts w:ascii="Times New Roman" w:eastAsia="宋体" w:hAnsi="Times New Roman" w:cs="Times New Roman"/>
          <w:sz w:val="24"/>
          <w:szCs w:val="24"/>
        </w:rPr>
        <w:t>乙方</w:t>
      </w:r>
      <w:r>
        <w:rPr>
          <w:rFonts w:ascii="Times New Roman" w:eastAsia="宋体" w:hAnsi="Times New Roman" w:cs="Times New Roman" w:hint="eastAsia"/>
          <w:sz w:val="24"/>
          <w:szCs w:val="24"/>
          <w:lang w:val="en-US" w:eastAsia="zh-CN"/>
        </w:rPr>
        <w:t>需</w:t>
      </w:r>
      <w:r>
        <w:rPr>
          <w:rFonts w:ascii="Times New Roman" w:eastAsia="宋体" w:hAnsi="Times New Roman" w:cs="Times New Roman"/>
          <w:sz w:val="24"/>
          <w:szCs w:val="24"/>
        </w:rPr>
        <w:t>派遣</w:t>
      </w:r>
      <w:r>
        <w:rPr>
          <w:rFonts w:ascii="Times New Roman" w:eastAsia="宋体" w:hAnsi="Times New Roman" w:cs="Times New Roman" w:hint="eastAsia"/>
          <w:sz w:val="24"/>
          <w:szCs w:val="24"/>
        </w:rPr>
        <w:t>甲方认可的</w:t>
      </w:r>
      <w:r>
        <w:rPr>
          <w:rFonts w:ascii="Times New Roman" w:eastAsia="宋体" w:hAnsi="Times New Roman" w:cs="Times New Roman"/>
          <w:sz w:val="24"/>
          <w:szCs w:val="24"/>
        </w:rPr>
        <w:t>技术人员</w:t>
      </w:r>
      <w:r>
        <w:rPr>
          <w:rFonts w:ascii="Times New Roman" w:eastAsia="宋体" w:hAnsi="Times New Roman" w:cs="Times New Roman" w:hint="eastAsia"/>
          <w:sz w:val="24"/>
          <w:szCs w:val="24"/>
          <w:lang w:val="en-US" w:eastAsia="zh-CN"/>
        </w:rPr>
        <w:t>在指定时间内</w:t>
      </w:r>
      <w:r>
        <w:rPr>
          <w:rFonts w:ascii="Times New Roman" w:eastAsia="宋体" w:hAnsi="Times New Roman" w:cs="Times New Roman"/>
          <w:sz w:val="24"/>
          <w:szCs w:val="24"/>
        </w:rPr>
        <w:t>驻场值班</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含夜间值班</w:t>
      </w:r>
      <w:r>
        <w:rPr>
          <w:rFonts w:ascii="Times New Roman" w:eastAsia="宋体" w:hAnsi="Times New Roman" w:cs="Times New Roman" w:hint="eastAsia"/>
          <w:sz w:val="24"/>
          <w:szCs w:val="24"/>
          <w:lang w:eastAsia="zh-CN"/>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lang w:val="en-US" w:eastAsia="zh-CN"/>
        </w:rPr>
        <w:t>并按照甲方需求开展对产品的定时巡检，</w:t>
      </w:r>
      <w:r>
        <w:rPr>
          <w:rFonts w:ascii="Times New Roman" w:eastAsia="宋体" w:hAnsi="Times New Roman" w:cs="Times New Roman"/>
          <w:sz w:val="24"/>
          <w:szCs w:val="24"/>
        </w:rPr>
        <w:t>确保</w:t>
      </w:r>
      <w:r>
        <w:rPr>
          <w:rFonts w:ascii="Times New Roman" w:eastAsia="宋体" w:hAnsi="Times New Roman" w:cs="Times New Roman" w:hint="eastAsia"/>
          <w:sz w:val="24"/>
          <w:szCs w:val="24"/>
          <w:lang w:val="en-US" w:eastAsia="zh-CN"/>
        </w:rPr>
        <w:t>雷达产品系统运行</w:t>
      </w:r>
      <w:r>
        <w:rPr>
          <w:rFonts w:ascii="Times New Roman" w:eastAsia="宋体" w:hAnsi="Times New Roman" w:cs="Times New Roman"/>
          <w:sz w:val="24"/>
          <w:szCs w:val="24"/>
        </w:rPr>
        <w:t>正常。</w:t>
      </w:r>
    </w:p>
    <w:p w14:paraId="652B3A88">
      <w:pPr>
        <w:numPr>
          <w:ilvl w:val="0"/>
          <w:numId w:val="8"/>
        </w:numPr>
        <w:spacing w:line="360" w:lineRule="auto"/>
        <w:ind w:left="425" w:hanging="425" w:leftChars="0" w:firstLineChars="0"/>
        <w:rPr>
          <w:rFonts w:ascii="Times New Roman" w:eastAsia="宋体" w:hAnsi="Times New Roman" w:cs="Times New Roman" w:hint="default"/>
        </w:rPr>
      </w:pPr>
      <w:r>
        <w:rPr>
          <w:rFonts w:ascii="Times New Roman" w:eastAsia="宋体" w:hAnsi="Times New Roman" w:cs="Times New Roman" w:hint="eastAsia"/>
          <w:sz w:val="24"/>
          <w:szCs w:val="24"/>
          <w:lang w:val="en-US" w:eastAsia="zh-CN"/>
        </w:rPr>
        <w:t>根据甲方要求，不定期按需对局地雷达产品系统进行部署、优化及升级，已部署的实时系统需维护其稳定运行，保障标准与国家级雷达产品系统相同。</w:t>
      </w:r>
    </w:p>
    <w:p w14:paraId="2ECE79A2">
      <w:pPr>
        <w:widowControl w:val="0"/>
        <w:ind w:left="0" w:firstLine="0" w:leftChars="0" w:firstLineChars="0"/>
        <w:jc w:val="both"/>
        <w:rPr>
          <w:rFonts w:ascii="Times New Roman" w:eastAsia="宋体" w:hAnsi="Times New Roman" w:cs="Times New Roman" w:hint="eastAsia"/>
        </w:rPr>
      </w:pPr>
    </w:p>
    <w:p w14:paraId="06A31F74">
      <w:pPr>
        <w:keepNext/>
        <w:keepLines/>
        <w:widowControl w:val="0"/>
        <w:numPr>
          <w:ilvl w:val="2"/>
          <w:numId w:val="4"/>
        </w:numPr>
        <w:spacing w:before="260" w:after="260" w:line="416" w:lineRule="auto"/>
        <w:jc w:val="both"/>
        <w:outlineLvl w:val="2"/>
        <w:rPr>
          <w:rFonts w:ascii="Arial" w:eastAsia="黑体" w:hAnsi="Arial" w:cs="Times New Roman"/>
          <w:b/>
          <w:bCs/>
          <w:sz w:val="28"/>
          <w:szCs w:val="32"/>
        </w:rPr>
      </w:pPr>
      <w:bookmarkStart w:id="84" w:name="_Toc23441"/>
      <w:bookmarkStart w:id="85" w:name="_Toc28321"/>
      <w:bookmarkStart w:id="86" w:name="_Toc28563"/>
      <w:bookmarkStart w:id="87" w:name="_Toc11948"/>
      <w:r>
        <w:rPr>
          <w:rFonts w:ascii="Arial" w:eastAsia="黑体" w:hAnsi="Arial" w:cs="Times New Roman" w:hint="eastAsia"/>
          <w:b/>
          <w:bCs/>
          <w:kern w:val="2"/>
          <w:sz w:val="28"/>
          <w:szCs w:val="32"/>
          <w:lang w:val="en-US" w:eastAsia="zh-CN" w:bidi="ar-SA"/>
        </w:rPr>
        <w:t>全球实况分析系统运维</w:t>
      </w:r>
      <w:bookmarkEnd w:id="84"/>
      <w:bookmarkEnd w:id="85"/>
      <w:bookmarkEnd w:id="86"/>
      <w:bookmarkEnd w:id="87"/>
    </w:p>
    <w:p w14:paraId="2F53B03B">
      <w:pPr>
        <w:spacing w:line="360" w:lineRule="auto"/>
        <w:rPr>
          <w:rFonts w:ascii="Times New Roman" w:eastAsia="宋体" w:hAnsi="Times New Roman" w:cs="Times New Roman"/>
          <w:b/>
        </w:rPr>
      </w:pPr>
      <w:r>
        <w:rPr>
          <w:rFonts w:ascii="Times New Roman" w:eastAsia="宋体" w:hAnsi="Times New Roman" w:cs="Times New Roman" w:hint="eastAsia"/>
          <w:b/>
          <w:sz w:val="24"/>
          <w:szCs w:val="24"/>
        </w:rPr>
        <w:t>1</w:t>
      </w:r>
      <w:r>
        <w:rPr>
          <w:rFonts w:ascii="Times New Roman" w:eastAsia="宋体" w:hAnsi="Times New Roman" w:cs="Times New Roman"/>
          <w:b/>
          <w:sz w:val="24"/>
          <w:szCs w:val="24"/>
        </w:rPr>
        <w:t>. 概述</w:t>
      </w:r>
    </w:p>
    <w:p w14:paraId="36BEC970">
      <w:pPr>
        <w:widowControl w:val="0"/>
        <w:spacing w:line="360" w:lineRule="auto"/>
        <w:ind w:left="0" w:firstLine="480" w:firstLineChars="20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全球实况分析系统运行维护主要包括全球大气实况分析系统运维、全球表面实况分析系统运维、全球降水实况分析系统运维等。全球实况分析系统已在2021年实现预报司业务准入。为保障系统稳定提供服务，需要进行专业业务运维。产品清单见附件3。</w:t>
      </w:r>
    </w:p>
    <w:p w14:paraId="1D4A6334">
      <w:pPr>
        <w:spacing w:line="360" w:lineRule="auto"/>
        <w:rPr>
          <w:rFonts w:ascii="Times New Roman" w:eastAsia="宋体" w:hAnsi="Times New Roman" w:cs="Times New Roman"/>
          <w:b/>
        </w:rPr>
      </w:pPr>
      <w:r>
        <w:rPr>
          <w:rFonts w:ascii="Times New Roman" w:eastAsia="宋体" w:hAnsi="Times New Roman" w:cs="Times New Roman"/>
          <w:b/>
          <w:sz w:val="24"/>
          <w:szCs w:val="24"/>
        </w:rPr>
        <w:t>2. 功能要求</w:t>
      </w:r>
    </w:p>
    <w:p w14:paraId="27552729">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按照《全球实况分析系统</w:t>
      </w:r>
      <w:r>
        <w:rPr>
          <w:rFonts w:ascii="Times New Roman" w:eastAsia="宋体" w:hAnsi="Times New Roman" w:cs="Times New Roman"/>
          <w:sz w:val="24"/>
          <w:szCs w:val="24"/>
        </w:rPr>
        <w:t>运维手册》要求，掌握全球实况分析系统运行操作，在系统故障、产品生成告警时，能够在30分钟内完成故障原因排查，恢复全球大气实况分析系统的正常运行</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p>
    <w:p w14:paraId="7D9FB863">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（2）根据故障发生情况，</w:t>
      </w:r>
      <w:r>
        <w:rPr>
          <w:rFonts w:ascii="Times New Roman" w:eastAsia="宋体" w:hAnsi="Times New Roman" w:cs="Times New Roman"/>
          <w:sz w:val="24"/>
          <w:szCs w:val="24"/>
        </w:rPr>
        <w:t>优化高性能服务器上实时运行的全球实况分析系统容错，强化系统模块运行状态监视和产品生产时效监视，提高系统运行稳定性。</w:t>
      </w:r>
    </w:p>
    <w:p w14:paraId="56D0A855">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（3）当发生高性能、网络、数据等环境不稳定的特殊状态时，能够24小时对</w:t>
      </w:r>
      <w:r>
        <w:rPr>
          <w:rFonts w:ascii="Times New Roman" w:eastAsia="宋体" w:hAnsi="Times New Roman" w:cs="Times New Roman"/>
          <w:sz w:val="24"/>
          <w:szCs w:val="24"/>
        </w:rPr>
        <w:t>全球实况分析系统运行状态进行监视和运维，保障产品的正常输出，直至特殊状态结束。</w:t>
      </w:r>
    </w:p>
    <w:p w14:paraId="010E4136">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（4）在中国气象局启动</w:t>
      </w:r>
      <w:r>
        <w:rPr>
          <w:rFonts w:ascii="Times New Roman" w:eastAsia="宋体" w:hAnsi="Times New Roman" w:cs="Times New Roman" w:hint="eastAsia"/>
          <w:sz w:val="24"/>
          <w:szCs w:val="24"/>
          <w:lang w:val="en-US" w:eastAsia="zh-CN"/>
        </w:rPr>
        <w:t>三级、</w:t>
      </w:r>
      <w:r>
        <w:rPr>
          <w:rFonts w:ascii="Times New Roman" w:eastAsia="宋体" w:hAnsi="Times New Roman" w:cs="Times New Roman"/>
          <w:sz w:val="24"/>
          <w:szCs w:val="24"/>
        </w:rPr>
        <w:t>二级和一级响应时，</w:t>
      </w:r>
      <w:r>
        <w:rPr>
          <w:rFonts w:ascii="Times New Roman" w:eastAsia="宋体" w:hAnsi="Times New Roman" w:cs="Times New Roman" w:hint="eastAsia"/>
          <w:sz w:val="24"/>
          <w:szCs w:val="24"/>
        </w:rPr>
        <w:t>能够24小时驻场，当收到</w:t>
      </w:r>
      <w:r>
        <w:rPr>
          <w:rFonts w:ascii="Times New Roman" w:eastAsia="宋体" w:hAnsi="Times New Roman" w:cs="Times New Roman"/>
          <w:sz w:val="24"/>
          <w:szCs w:val="24"/>
        </w:rPr>
        <w:t>系统故障、产品生成告警时，30分钟内完成故障原因排查，恢复全球实况分析系统的正常运行</w:t>
      </w:r>
      <w:r>
        <w:rPr>
          <w:rFonts w:ascii="Times New Roman" w:eastAsia="宋体" w:hAnsi="Times New Roman" w:cs="Times New Roman" w:hint="eastAsia"/>
          <w:sz w:val="24"/>
          <w:szCs w:val="24"/>
        </w:rPr>
        <w:t>。</w:t>
      </w:r>
    </w:p>
    <w:p w14:paraId="4A49E41C">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（5）</w:t>
      </w:r>
      <w:r>
        <w:rPr>
          <w:rFonts w:ascii="Times New Roman" w:eastAsia="宋体" w:hAnsi="Times New Roman" w:cs="Times New Roman"/>
          <w:sz w:val="24"/>
          <w:szCs w:val="24"/>
        </w:rPr>
        <w:t>根据中国气象局应急响应级别，在</w:t>
      </w:r>
      <w:r>
        <w:rPr>
          <w:rFonts w:ascii="Times New Roman" w:eastAsia="宋体" w:hAnsi="Times New Roman" w:cs="Times New Roman" w:hint="eastAsia"/>
          <w:sz w:val="24"/>
          <w:szCs w:val="24"/>
          <w:lang w:val="en-US" w:eastAsia="zh-CN"/>
        </w:rPr>
        <w:t>三</w:t>
      </w:r>
      <w:r>
        <w:rPr>
          <w:rFonts w:ascii="Times New Roman" w:eastAsia="宋体" w:hAnsi="Times New Roman" w:cs="Times New Roman"/>
          <w:sz w:val="24"/>
          <w:szCs w:val="24"/>
        </w:rPr>
        <w:t>级响应或者更高级别响应、中国气象局要求的重大活动保障期间</w:t>
      </w:r>
      <w:r>
        <w:rPr>
          <w:rFonts w:ascii="Times New Roman" w:eastAsia="宋体" w:hAnsi="Times New Roman" w:cs="Times New Roman" w:hint="eastAsia"/>
          <w:sz w:val="24"/>
          <w:szCs w:val="24"/>
        </w:rPr>
        <w:t>，</w:t>
      </w:r>
      <w:r>
        <w:rPr>
          <w:rFonts w:ascii="Times New Roman" w:eastAsia="宋体" w:hAnsi="Times New Roman" w:cs="Times New Roman"/>
          <w:sz w:val="24"/>
          <w:szCs w:val="24"/>
        </w:rPr>
        <w:t>乙方派</w:t>
      </w:r>
      <w:r>
        <w:rPr>
          <w:rFonts w:ascii="Times New Roman" w:eastAsia="宋体" w:hAnsi="Times New Roman" w:cs="Times New Roman" w:hint="eastAsia"/>
          <w:sz w:val="24"/>
          <w:szCs w:val="24"/>
        </w:rPr>
        <w:t>甲方认可的全球实况分析系统</w:t>
      </w:r>
      <w:r>
        <w:rPr>
          <w:rFonts w:ascii="Times New Roman" w:eastAsia="宋体" w:hAnsi="Times New Roman" w:cs="Times New Roman"/>
          <w:sz w:val="24"/>
          <w:szCs w:val="24"/>
        </w:rPr>
        <w:t>技术人员24小时驻场值班，确保实况业务服务正常。</w:t>
      </w:r>
    </w:p>
    <w:p w14:paraId="5401E8C2">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（6）2026年11月1日到2027年6月30日</w:t>
      </w:r>
      <w:r>
        <w:rPr>
          <w:rFonts w:ascii="Times New Roman" w:eastAsia="宋体" w:hAnsi="Times New Roman" w:cs="Times New Roman"/>
          <w:sz w:val="24"/>
          <w:szCs w:val="24"/>
        </w:rPr>
        <w:t>，乙方派遣</w:t>
      </w:r>
      <w:r>
        <w:rPr>
          <w:rFonts w:ascii="Times New Roman" w:eastAsia="宋体" w:hAnsi="Times New Roman" w:cs="Times New Roman" w:hint="eastAsia"/>
          <w:sz w:val="24"/>
          <w:szCs w:val="24"/>
        </w:rPr>
        <w:t>甲方认可的</w:t>
      </w:r>
      <w:r>
        <w:rPr>
          <w:rFonts w:ascii="Times New Roman" w:eastAsia="宋体" w:hAnsi="Times New Roman" w:cs="Times New Roman"/>
          <w:sz w:val="24"/>
          <w:szCs w:val="24"/>
        </w:rPr>
        <w:t>技术人员驻场值班，确保实况业务服务正常。</w:t>
      </w:r>
      <w:r>
        <w:rPr>
          <w:rFonts w:ascii="Times New Roman" w:eastAsia="宋体" w:hAnsi="Times New Roman" w:cs="Times New Roman" w:hint="eastAsia"/>
          <w:sz w:val="24"/>
          <w:szCs w:val="24"/>
        </w:rPr>
        <w:t>每天北京时间05时、11时、17时、22时查看实况产品生成告警信息，并在5分钟内电话通知甲方产品负责人，配合甲方开展产品运维。</w:t>
      </w:r>
    </w:p>
    <w:p w14:paraId="56866B2F">
      <w:pPr>
        <w:keepNext/>
        <w:keepLines/>
        <w:widowControl w:val="0"/>
        <w:numPr>
          <w:ilvl w:val="2"/>
          <w:numId w:val="4"/>
        </w:numPr>
        <w:spacing w:before="260" w:after="260" w:line="416" w:lineRule="auto"/>
        <w:jc w:val="both"/>
        <w:outlineLvl w:val="2"/>
        <w:rPr>
          <w:rFonts w:ascii="Arial" w:eastAsia="黑体" w:hAnsi="Arial" w:cs="Times New Roman"/>
          <w:b/>
          <w:bCs/>
          <w:sz w:val="28"/>
          <w:szCs w:val="32"/>
        </w:rPr>
      </w:pPr>
      <w:bookmarkStart w:id="88" w:name="_Toc14691"/>
      <w:bookmarkStart w:id="89" w:name="_Toc21120"/>
      <w:bookmarkStart w:id="90" w:name="_Toc5439"/>
      <w:bookmarkStart w:id="91" w:name="_Toc15408"/>
      <w:r>
        <w:rPr>
          <w:rFonts w:ascii="Arial" w:eastAsia="黑体" w:hAnsi="Arial" w:cs="Times New Roman" w:hint="eastAsia"/>
          <w:b/>
          <w:bCs/>
          <w:kern w:val="2"/>
          <w:sz w:val="28"/>
          <w:szCs w:val="32"/>
          <w:lang w:val="en-US" w:eastAsia="zh-CN" w:bidi="ar-SA"/>
        </w:rPr>
        <w:t>区域实况分析系统运行维护</w:t>
      </w:r>
      <w:bookmarkEnd w:id="88"/>
      <w:bookmarkEnd w:id="89"/>
      <w:bookmarkEnd w:id="90"/>
      <w:bookmarkEnd w:id="91"/>
    </w:p>
    <w:p w14:paraId="114BB0C4">
      <w:pPr>
        <w:spacing w:line="360" w:lineRule="auto"/>
        <w:ind w:firstLine="315"/>
        <w:rPr>
          <w:rFonts w:ascii="Times New Roman" w:eastAsia="宋体" w:hAnsi="Times New Roman" w:cs="Times New Roman"/>
          <w:b/>
        </w:rPr>
      </w:pPr>
      <w:r>
        <w:rPr>
          <w:rFonts w:ascii="Times New Roman" w:eastAsia="宋体" w:hAnsi="Times New Roman" w:cs="Times New Roman" w:hint="eastAsia"/>
          <w:b/>
          <w:sz w:val="24"/>
          <w:szCs w:val="24"/>
        </w:rPr>
        <w:t xml:space="preserve">1. </w:t>
      </w:r>
      <w:r>
        <w:rPr>
          <w:rFonts w:ascii="Times New Roman" w:eastAsia="宋体" w:hAnsi="Times New Roman" w:cs="Times New Roman"/>
          <w:b/>
          <w:sz w:val="24"/>
          <w:szCs w:val="24"/>
        </w:rPr>
        <w:t>概述</w:t>
      </w:r>
    </w:p>
    <w:p w14:paraId="706E762E">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区域实况分析系统运行维护主要包括中国区域多源融合1km分辨率关键要素实况分析系统、</w:t>
      </w:r>
      <w:r>
        <w:rPr>
          <w:rFonts w:ascii="Times New Roman" w:eastAsia="宋体" w:hAnsi="Times New Roman" w:cs="Times New Roman" w:hint="eastAsia"/>
          <w:sz w:val="24"/>
          <w:szCs w:val="24"/>
          <w:lang w:val="en-US" w:eastAsia="zh-CN"/>
        </w:rPr>
        <w:t>CLDAS-陆面实况分析系统、</w:t>
      </w:r>
      <w:r>
        <w:rPr>
          <w:rFonts w:ascii="Times New Roman" w:eastAsia="宋体" w:hAnsi="Times New Roman" w:cs="Times New Roman" w:hint="eastAsia"/>
          <w:sz w:val="24"/>
          <w:szCs w:val="24"/>
        </w:rPr>
        <w:t>中国区域多源融合5km分辨率关键要素实况分析系统、</w:t>
      </w:r>
      <w:r>
        <w:rPr>
          <w:rFonts w:ascii="Times New Roman" w:eastAsia="宋体" w:hAnsi="Times New Roman" w:cs="Times New Roman"/>
          <w:sz w:val="24"/>
          <w:szCs w:val="24"/>
        </w:rPr>
        <w:t>多源融合格点实况插补站点数据流程</w:t>
      </w:r>
      <w:r>
        <w:rPr>
          <w:rFonts w:ascii="Times New Roman" w:eastAsia="宋体" w:hAnsi="Times New Roman" w:cs="Times New Roman" w:hint="eastAsia"/>
          <w:sz w:val="24"/>
          <w:szCs w:val="24"/>
        </w:rPr>
        <w:t>运维</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中国区域大气化学实况分析系统</w:t>
      </w:r>
      <w:r>
        <w:rPr>
          <w:rFonts w:ascii="Times New Roman" w:eastAsia="宋体" w:hAnsi="Times New Roman" w:cs="Times New Roman" w:hint="eastAsia"/>
          <w:sz w:val="24"/>
          <w:szCs w:val="24"/>
        </w:rPr>
        <w:t>等。</w:t>
      </w:r>
      <w:r>
        <w:rPr>
          <w:rFonts w:ascii="Times New Roman" w:eastAsia="宋体" w:hAnsi="Times New Roman" w:cs="Times New Roman"/>
          <w:sz w:val="24"/>
          <w:szCs w:val="24"/>
        </w:rPr>
        <w:t>为保障系统稳定提供服务，需要进行专业业务运维。</w:t>
      </w:r>
      <w:r>
        <w:rPr>
          <w:rFonts w:ascii="Times New Roman" w:eastAsia="宋体" w:hAnsi="Times New Roman" w:cs="Times New Roman" w:hint="eastAsia"/>
          <w:sz w:val="24"/>
          <w:szCs w:val="24"/>
          <w:lang w:val="en-US" w:eastAsia="zh-CN"/>
        </w:rPr>
        <w:t>产品清单见附件3。</w:t>
      </w:r>
    </w:p>
    <w:p w14:paraId="5E9B01BE">
      <w:pPr>
        <w:spacing w:line="360" w:lineRule="auto"/>
        <w:ind w:firstLine="315"/>
        <w:rPr>
          <w:rFonts w:ascii="Times New Roman" w:eastAsia="宋体" w:hAnsi="Times New Roman" w:cs="Times New Roman"/>
          <w:b/>
        </w:rPr>
      </w:pPr>
      <w:r>
        <w:rPr>
          <w:rFonts w:ascii="Times New Roman" w:eastAsia="宋体" w:hAnsi="Times New Roman" w:cs="Times New Roman"/>
          <w:b/>
          <w:sz w:val="24"/>
          <w:szCs w:val="24"/>
        </w:rPr>
        <w:t>2. 功能要求</w:t>
      </w:r>
    </w:p>
    <w:p w14:paraId="7D92B155">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按照《中国区域多源融合1km分辨率关键要素实况分析系统</w:t>
      </w:r>
      <w:r>
        <w:rPr>
          <w:rFonts w:ascii="Times New Roman" w:eastAsia="宋体" w:hAnsi="Times New Roman" w:cs="Times New Roman"/>
          <w:sz w:val="24"/>
          <w:szCs w:val="24"/>
        </w:rPr>
        <w:t>的运维手册》</w:t>
      </w:r>
      <w:r>
        <w:rPr>
          <w:rFonts w:ascii="Times New Roman" w:eastAsia="宋体" w:hAnsi="Times New Roman" w:cs="Times New Roman" w:hint="eastAsia"/>
          <w:sz w:val="24"/>
          <w:szCs w:val="24"/>
        </w:rPr>
        <w:t>和《中国区域多源融合5km分辨率关键要素实况分析系统</w:t>
      </w:r>
      <w:r>
        <w:rPr>
          <w:rFonts w:ascii="Times New Roman" w:eastAsia="宋体" w:hAnsi="Times New Roman" w:cs="Times New Roman"/>
          <w:sz w:val="24"/>
          <w:szCs w:val="24"/>
        </w:rPr>
        <w:t>的运维手册》</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CLDAS陆面实况分析分析系统运维手册</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rPr>
        <w:t>《</w:t>
      </w:r>
      <w:r>
        <w:rPr>
          <w:rFonts w:ascii="Times New Roman" w:eastAsia="宋体" w:hAnsi="Times New Roman" w:cs="Times New Roman"/>
          <w:sz w:val="24"/>
          <w:szCs w:val="24"/>
        </w:rPr>
        <w:t>多源融合格点实况插补站点数据流程</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中国区域大气化学实况分析系统运维手册</w:t>
      </w:r>
      <w:r>
        <w:rPr>
          <w:rFonts w:ascii="Times New Roman" w:eastAsia="宋体" w:hAnsi="Times New Roman" w:cs="Times New Roman" w:hint="eastAsia"/>
          <w:sz w:val="24"/>
          <w:szCs w:val="24"/>
          <w:lang w:eastAsia="zh-CN"/>
        </w:rPr>
        <w:t>》</w:t>
      </w:r>
      <w:r>
        <w:rPr>
          <w:rFonts w:ascii="Times New Roman" w:eastAsia="宋体" w:hAnsi="Times New Roman" w:cs="Times New Roman"/>
          <w:sz w:val="24"/>
          <w:szCs w:val="24"/>
        </w:rPr>
        <w:t>要求，掌握</w:t>
      </w:r>
      <w:r>
        <w:rPr>
          <w:rFonts w:ascii="Times New Roman" w:eastAsia="宋体" w:hAnsi="Times New Roman" w:cs="Times New Roman" w:hint="eastAsia"/>
          <w:sz w:val="24"/>
          <w:szCs w:val="24"/>
        </w:rPr>
        <w:t>中国区域多源融合实况分析1km、5km分辨率系统及</w:t>
      </w:r>
      <w:r>
        <w:rPr>
          <w:rFonts w:ascii="Times New Roman" w:eastAsia="宋体" w:hAnsi="Times New Roman" w:cs="Times New Roman"/>
          <w:sz w:val="24"/>
          <w:szCs w:val="24"/>
        </w:rPr>
        <w:t>多源融合格点实况插补站点数据流程运行操作，在系统故障、产品生成告警时，能够在30分钟内完成故障原因排查，恢复系统的正常运行</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 </w:t>
      </w:r>
    </w:p>
    <w:p w14:paraId="5CB89802">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（2）根据故障发生情况，</w:t>
      </w:r>
      <w:r>
        <w:rPr>
          <w:rFonts w:ascii="Times New Roman" w:eastAsia="宋体" w:hAnsi="Times New Roman" w:cs="Times New Roman"/>
          <w:sz w:val="24"/>
          <w:szCs w:val="24"/>
        </w:rPr>
        <w:t>优化高性能服务器上实时运行的</w:t>
      </w:r>
      <w:r>
        <w:rPr>
          <w:rFonts w:ascii="Times New Roman" w:eastAsia="宋体" w:hAnsi="Times New Roman" w:cs="Times New Roman" w:hint="eastAsia"/>
          <w:sz w:val="24"/>
          <w:szCs w:val="24"/>
        </w:rPr>
        <w:t>中国区域多源融合实况分析1km、5km分辨率系统及</w:t>
      </w:r>
      <w:r>
        <w:rPr>
          <w:rFonts w:ascii="Times New Roman" w:eastAsia="宋体" w:hAnsi="Times New Roman" w:cs="Times New Roman"/>
          <w:sz w:val="24"/>
          <w:szCs w:val="24"/>
        </w:rPr>
        <w:t>多源融合格点实况插补站点数据流程容错，强化系统模块运行状态监视和产品生产时效监视，提高系统运行稳定性。</w:t>
      </w:r>
    </w:p>
    <w:p w14:paraId="13FF1D90">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（3）当发生高性能、网络、数据等环境不稳定的特殊状态时，能够2小时内，到达现场，对中国区域多源融合实况分析1km、5km分辨率关键要素实况分析系统及</w:t>
      </w:r>
      <w:r>
        <w:rPr>
          <w:rFonts w:ascii="Times New Roman" w:eastAsia="宋体" w:hAnsi="Times New Roman" w:cs="Times New Roman"/>
          <w:sz w:val="24"/>
          <w:szCs w:val="24"/>
        </w:rPr>
        <w:t>多源融合格点实况插补站点数据流程运行状态进行监视和运维，保障产品的正常输出，直至特殊状态结束。</w:t>
      </w:r>
    </w:p>
    <w:p w14:paraId="31136F55">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lang w:val="en-US" w:eastAsia="zh-CN"/>
        </w:rPr>
        <w:t>4</w:t>
      </w:r>
      <w:r>
        <w:rPr>
          <w:rFonts w:ascii="Times New Roman" w:eastAsia="宋体" w:hAnsi="Times New Roman" w:cs="Times New Roman" w:hint="eastAsia"/>
          <w:sz w:val="24"/>
          <w:szCs w:val="24"/>
        </w:rPr>
        <w:t>）能够根据安排，快速配置启动格点数据插补站点数据任务，并在任务运行期间，对插补数据稳定性、插补站数等进行监视。</w:t>
      </w:r>
    </w:p>
    <w:p w14:paraId="24B00039">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val="en-US" w:eastAsia="zh-CN"/>
        </w:rPr>
        <w:t>5</w:t>
      </w:r>
      <w:r>
        <w:rPr>
          <w:rFonts w:ascii="Times New Roman" w:eastAsia="宋体" w:hAnsi="Times New Roman" w:cs="Times New Roman" w:hint="eastAsia"/>
          <w:sz w:val="24"/>
          <w:szCs w:val="24"/>
        </w:rPr>
        <w:t>）</w:t>
      </w:r>
      <w:r>
        <w:rPr>
          <w:rFonts w:ascii="Times New Roman" w:eastAsia="宋体" w:hAnsi="Times New Roman" w:cs="Times New Roman"/>
          <w:sz w:val="24"/>
          <w:szCs w:val="24"/>
        </w:rPr>
        <w:t>根据中国气象局应急响应级别，在</w:t>
      </w:r>
      <w:r>
        <w:rPr>
          <w:rFonts w:ascii="Times New Roman" w:eastAsia="宋体" w:hAnsi="Times New Roman" w:cs="Times New Roman" w:hint="eastAsia"/>
          <w:sz w:val="24"/>
          <w:szCs w:val="24"/>
          <w:lang w:val="en-US" w:eastAsia="zh-CN"/>
        </w:rPr>
        <w:t>三</w:t>
      </w:r>
      <w:r>
        <w:rPr>
          <w:rFonts w:ascii="Times New Roman" w:eastAsia="宋体" w:hAnsi="Times New Roman" w:cs="Times New Roman"/>
          <w:sz w:val="24"/>
          <w:szCs w:val="24"/>
        </w:rPr>
        <w:t>级响应或者更高级别响应、中国气象局要求的重大活动保障期间</w:t>
      </w:r>
      <w:r>
        <w:rPr>
          <w:rFonts w:ascii="Times New Roman" w:eastAsia="宋体" w:hAnsi="Times New Roman" w:cs="Times New Roman" w:hint="eastAsia"/>
          <w:sz w:val="24"/>
          <w:szCs w:val="24"/>
        </w:rPr>
        <w:t>，</w:t>
      </w:r>
      <w:r>
        <w:rPr>
          <w:rFonts w:ascii="Times New Roman" w:eastAsia="宋体" w:hAnsi="Times New Roman" w:cs="Times New Roman"/>
          <w:sz w:val="24"/>
          <w:szCs w:val="24"/>
        </w:rPr>
        <w:t>乙方派遣</w:t>
      </w:r>
      <w:r>
        <w:rPr>
          <w:rFonts w:ascii="Times New Roman" w:eastAsia="宋体" w:hAnsi="Times New Roman" w:cs="Times New Roman" w:hint="eastAsia"/>
          <w:sz w:val="24"/>
          <w:szCs w:val="24"/>
        </w:rPr>
        <w:t>甲方认可的</w:t>
      </w:r>
      <w:r>
        <w:rPr>
          <w:rFonts w:ascii="Times New Roman" w:eastAsia="宋体" w:hAnsi="Times New Roman" w:cs="Times New Roman"/>
          <w:sz w:val="24"/>
          <w:szCs w:val="24"/>
        </w:rPr>
        <w:t>中国区域</w:t>
      </w:r>
      <w:r>
        <w:rPr>
          <w:rFonts w:ascii="Times New Roman" w:eastAsia="宋体" w:hAnsi="Times New Roman" w:cs="Times New Roman" w:hint="eastAsia"/>
          <w:sz w:val="24"/>
          <w:szCs w:val="24"/>
        </w:rPr>
        <w:t>1km、5km</w:t>
      </w:r>
      <w:r>
        <w:rPr>
          <w:rFonts w:ascii="Times New Roman" w:eastAsia="宋体" w:hAnsi="Times New Roman" w:cs="Times New Roman"/>
          <w:sz w:val="24"/>
          <w:szCs w:val="24"/>
        </w:rPr>
        <w:t>业务系统</w:t>
      </w:r>
      <w:r>
        <w:rPr>
          <w:rFonts w:ascii="Times New Roman" w:eastAsia="宋体" w:hAnsi="Times New Roman" w:cs="Times New Roman" w:hint="eastAsia"/>
          <w:sz w:val="24"/>
          <w:szCs w:val="24"/>
        </w:rPr>
        <w:t>及</w:t>
      </w:r>
      <w:r>
        <w:rPr>
          <w:rFonts w:ascii="Times New Roman" w:eastAsia="宋体" w:hAnsi="Times New Roman" w:cs="Times New Roman"/>
          <w:sz w:val="24"/>
          <w:szCs w:val="24"/>
        </w:rPr>
        <w:t>多源融合格点实况插补站点数据流程的技术人员24小时驻场值班，确保实况业务服务正常。</w:t>
      </w:r>
    </w:p>
    <w:p w14:paraId="0AB7D0AE">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val="en-US" w:eastAsia="zh-CN"/>
        </w:rPr>
        <w:t>6</w:t>
      </w:r>
      <w:r>
        <w:rPr>
          <w:rFonts w:ascii="Times New Roman" w:eastAsia="宋体" w:hAnsi="Times New Roman" w:cs="Times New Roman" w:hint="eastAsia"/>
          <w:sz w:val="24"/>
          <w:szCs w:val="24"/>
        </w:rPr>
        <w:t>）2026年11月1日到2027年6月30日</w:t>
      </w:r>
      <w:r>
        <w:rPr>
          <w:rFonts w:ascii="Times New Roman" w:eastAsia="宋体" w:hAnsi="Times New Roman" w:cs="Times New Roman"/>
          <w:sz w:val="24"/>
          <w:szCs w:val="24"/>
        </w:rPr>
        <w:t>，乙方派遣</w:t>
      </w:r>
      <w:r>
        <w:rPr>
          <w:rFonts w:ascii="Times New Roman" w:eastAsia="宋体" w:hAnsi="Times New Roman" w:cs="Times New Roman" w:hint="eastAsia"/>
          <w:sz w:val="24"/>
          <w:szCs w:val="24"/>
        </w:rPr>
        <w:t>甲方认可的</w:t>
      </w:r>
      <w:r>
        <w:rPr>
          <w:rFonts w:ascii="Times New Roman" w:eastAsia="宋体" w:hAnsi="Times New Roman" w:cs="Times New Roman"/>
          <w:sz w:val="24"/>
          <w:szCs w:val="24"/>
        </w:rPr>
        <w:t>中国区域</w:t>
      </w:r>
      <w:r>
        <w:rPr>
          <w:rFonts w:ascii="Times New Roman" w:eastAsia="宋体" w:hAnsi="Times New Roman" w:cs="Times New Roman" w:hint="eastAsia"/>
          <w:sz w:val="24"/>
          <w:szCs w:val="24"/>
        </w:rPr>
        <w:t>1km、5km</w:t>
      </w:r>
      <w:r>
        <w:rPr>
          <w:rFonts w:ascii="Times New Roman" w:eastAsia="宋体" w:hAnsi="Times New Roman" w:cs="Times New Roman"/>
          <w:sz w:val="24"/>
          <w:szCs w:val="24"/>
        </w:rPr>
        <w:t>业务系统</w:t>
      </w:r>
      <w:r>
        <w:rPr>
          <w:rFonts w:ascii="Times New Roman" w:eastAsia="宋体" w:hAnsi="Times New Roman" w:cs="Times New Roman" w:hint="eastAsia"/>
          <w:sz w:val="24"/>
          <w:szCs w:val="24"/>
        </w:rPr>
        <w:t>及</w:t>
      </w:r>
      <w:r>
        <w:rPr>
          <w:rFonts w:ascii="Times New Roman" w:eastAsia="宋体" w:hAnsi="Times New Roman" w:cs="Times New Roman"/>
          <w:sz w:val="24"/>
          <w:szCs w:val="24"/>
        </w:rPr>
        <w:t xml:space="preserve">多源融合格点实况插补站点数据流程的技术人员驻场值班，确保实况业务服务正常。 </w:t>
      </w:r>
      <w:r>
        <w:rPr>
          <w:rFonts w:ascii="Times New Roman" w:eastAsia="宋体" w:hAnsi="Times New Roman" w:cs="Times New Roman" w:hint="eastAsia"/>
          <w:sz w:val="24"/>
          <w:szCs w:val="24"/>
        </w:rPr>
        <w:t>每天北京时间05时、11时、17时、22时查看实况产品生成告警信息，并在5分钟内电话通知甲方产品负责人，配合甲方开展产品运维。</w:t>
      </w:r>
    </w:p>
    <w:p w14:paraId="00C70237">
      <w:pPr>
        <w:keepNext/>
        <w:keepLines/>
        <w:widowControl w:val="0"/>
        <w:numPr>
          <w:ilvl w:val="2"/>
          <w:numId w:val="4"/>
        </w:numPr>
        <w:spacing w:before="260" w:after="260" w:line="416" w:lineRule="auto"/>
        <w:jc w:val="both"/>
        <w:outlineLvl w:val="2"/>
        <w:rPr>
          <w:rFonts w:ascii="Arial" w:eastAsia="黑体" w:hAnsi="Arial" w:cs="Times New Roman"/>
          <w:b/>
          <w:bCs/>
          <w:sz w:val="28"/>
          <w:szCs w:val="32"/>
        </w:rPr>
      </w:pPr>
      <w:bookmarkStart w:id="92" w:name="_Toc23554"/>
      <w:bookmarkStart w:id="93" w:name="_Toc12856"/>
      <w:bookmarkStart w:id="94" w:name="_Toc15629"/>
      <w:bookmarkStart w:id="95" w:name="_Toc18799"/>
      <w:r>
        <w:rPr>
          <w:rFonts w:ascii="Arial" w:eastAsia="黑体" w:hAnsi="Arial" w:cs="Times New Roman" w:hint="eastAsia"/>
          <w:b/>
          <w:bCs/>
          <w:kern w:val="2"/>
          <w:sz w:val="28"/>
          <w:szCs w:val="32"/>
          <w:lang w:val="en-US" w:eastAsia="zh-CN" w:bidi="ar-SA"/>
        </w:rPr>
        <w:t>海洋实况分析系统运行维护</w:t>
      </w:r>
      <w:bookmarkEnd w:id="92"/>
      <w:bookmarkEnd w:id="93"/>
      <w:bookmarkEnd w:id="94"/>
      <w:bookmarkEnd w:id="95"/>
    </w:p>
    <w:p w14:paraId="5275D66F">
      <w:pPr>
        <w:numPr>
          <w:ilvl w:val="0"/>
          <w:numId w:val="9"/>
        </w:numPr>
        <w:spacing w:line="360" w:lineRule="auto"/>
        <w:ind w:left="651" w:hanging="336"/>
        <w:rPr>
          <w:rFonts w:ascii="Times New Roman" w:eastAsia="宋体" w:hAnsi="Times New Roman" w:cs="Times New Roman"/>
          <w:b/>
        </w:rPr>
      </w:pPr>
      <w:r>
        <w:rPr>
          <w:rFonts w:ascii="Times New Roman" w:eastAsia="宋体" w:hAnsi="Times New Roman" w:cs="Times New Roman"/>
          <w:b/>
          <w:sz w:val="24"/>
          <w:szCs w:val="24"/>
        </w:rPr>
        <w:t>概述</w:t>
      </w:r>
    </w:p>
    <w:p w14:paraId="58447976">
      <w:pPr>
        <w:spacing w:line="360" w:lineRule="auto"/>
        <w:ind w:firstLine="480" w:firstLineChars="200"/>
        <w:rPr>
          <w:rFonts w:ascii="宋体" w:eastAsia="宋体" w:hAnsi="宋体" w:cs="宋体" w:hint="eastAsia"/>
          <w:color w:val="000000"/>
        </w:rPr>
      </w:pPr>
      <w:r>
        <w:rPr>
          <w:rFonts w:ascii="宋体" w:eastAsia="宋体" w:hAnsi="宋体" w:cs="宋体"/>
          <w:color w:val="000000"/>
          <w:sz w:val="24"/>
          <w:szCs w:val="24"/>
        </w:rPr>
        <w:t>全球25km/日海表温度</w:t>
      </w:r>
      <w:r>
        <w:rPr>
          <w:rFonts w:ascii="宋体" w:eastAsia="宋体" w:hAnsi="宋体" w:cs="宋体" w:hint="eastAsia"/>
          <w:color w:val="000000"/>
          <w:sz w:val="24"/>
          <w:szCs w:val="24"/>
        </w:rPr>
        <w:t>、海冰密集度</w:t>
      </w:r>
      <w:r>
        <w:rPr>
          <w:rFonts w:ascii="宋体" w:eastAsia="宋体" w:hAnsi="宋体" w:cs="宋体"/>
          <w:color w:val="000000"/>
          <w:sz w:val="24"/>
          <w:szCs w:val="24"/>
        </w:rPr>
        <w:t>融合实况分析系统</w:t>
      </w:r>
      <w:r>
        <w:rPr>
          <w:rFonts w:ascii="宋体" w:eastAsia="宋体" w:hAnsi="宋体" w:cs="宋体" w:hint="eastAsia"/>
          <w:color w:val="000000"/>
          <w:sz w:val="24"/>
          <w:szCs w:val="24"/>
          <w:lang w:eastAsia="zh-CN"/>
        </w:rPr>
        <w:t>、全球10km/6h海表温度融合实况分析</w:t>
      </w:r>
      <w:r>
        <w:rPr>
          <w:rFonts w:ascii="宋体" w:eastAsia="宋体" w:hAnsi="宋体" w:cs="宋体" w:hint="eastAsia"/>
          <w:color w:val="000000"/>
          <w:sz w:val="24"/>
          <w:szCs w:val="24"/>
          <w:lang w:val="en-US" w:eastAsia="zh-CN"/>
        </w:rPr>
        <w:t>系统、</w:t>
      </w:r>
      <w:r>
        <w:rPr>
          <w:rFonts w:ascii="宋体" w:eastAsia="宋体" w:hAnsi="宋体" w:cs="宋体" w:hint="eastAsia"/>
          <w:color w:val="000000"/>
          <w:sz w:val="24"/>
          <w:szCs w:val="24"/>
          <w:lang w:eastAsia="zh-CN"/>
        </w:rPr>
        <w:t>全球10km/3h有效波高融合实况分析</w:t>
      </w:r>
      <w:r>
        <w:rPr>
          <w:rFonts w:ascii="宋体" w:eastAsia="宋体" w:hAnsi="宋体" w:cs="宋体" w:hint="eastAsia"/>
          <w:color w:val="000000"/>
          <w:sz w:val="24"/>
          <w:szCs w:val="24"/>
          <w:lang w:val="en-US" w:eastAsia="zh-CN"/>
        </w:rPr>
        <w:t>系统</w:t>
      </w:r>
      <w:r>
        <w:rPr>
          <w:rFonts w:ascii="宋体" w:eastAsia="宋体" w:hAnsi="宋体" w:cs="宋体"/>
          <w:color w:val="000000"/>
          <w:sz w:val="24"/>
          <w:szCs w:val="24"/>
        </w:rPr>
        <w:t>已实现预报司业务准入，基于服务器稳定运行，可实现每日02时更新上一日实时数据。数据产品通过天擎数据库提供业务服务，并通过天擎省级接口向国省气象部门提供业务服务</w:t>
      </w:r>
      <w:r>
        <w:rPr>
          <w:rFonts w:ascii="仿宋" w:eastAsia="仿宋" w:hAnsi="仿宋" w:cs="仿宋"/>
          <w:color w:val="000000"/>
          <w:sz w:val="28"/>
          <w:szCs w:val="24"/>
        </w:rPr>
        <w:t>。</w:t>
      </w:r>
      <w:r>
        <w:rPr>
          <w:rFonts w:ascii="宋体" w:eastAsia="宋体" w:hAnsi="宋体" w:cs="宋体"/>
          <w:color w:val="000000"/>
          <w:sz w:val="24"/>
          <w:szCs w:val="24"/>
        </w:rPr>
        <w:t>拟通过本项目保障该业务产品的业务运维。</w:t>
      </w:r>
      <w:r>
        <w:rPr>
          <w:rFonts w:ascii="Times New Roman" w:eastAsia="宋体" w:hAnsi="Times New Roman" w:cs="Times New Roman" w:hint="eastAsia"/>
          <w:sz w:val="24"/>
          <w:szCs w:val="24"/>
          <w:lang w:val="en-US" w:eastAsia="zh-CN"/>
        </w:rPr>
        <w:t>产品清单见附件3。</w:t>
      </w:r>
    </w:p>
    <w:p w14:paraId="35430281">
      <w:pPr>
        <w:spacing w:line="360" w:lineRule="auto"/>
        <w:ind w:firstLine="315"/>
        <w:rPr>
          <w:rFonts w:ascii="Times New Roman" w:eastAsia="宋体" w:hAnsi="Times New Roman" w:cs="Times New Roman"/>
          <w:b/>
        </w:rPr>
      </w:pPr>
      <w:r>
        <w:rPr>
          <w:rFonts w:ascii="Times New Roman" w:eastAsia="宋体" w:hAnsi="Times New Roman" w:cs="Times New Roman"/>
          <w:b/>
          <w:sz w:val="24"/>
          <w:szCs w:val="24"/>
        </w:rPr>
        <w:t>2. 功能要求</w:t>
      </w:r>
    </w:p>
    <w:p w14:paraId="20EE04A4">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（1） 按照《全球25km/日海表温度融合实况分析系统运维手册》和《全球25km/日海冰密集度融合实况分析系统运维手册》</w:t>
      </w:r>
      <w:r>
        <w:rPr>
          <w:rFonts w:ascii="Times New Roman" w:eastAsia="宋体" w:hAnsi="Times New Roman" w:cs="Times New Roman" w:hint="eastAsia"/>
          <w:sz w:val="24"/>
          <w:szCs w:val="24"/>
          <w:lang w:eastAsia="zh-CN"/>
        </w:rPr>
        <w:t>、《全球10km/6h海表温度融合实况分析产品V1.0</w:t>
      </w:r>
      <w:r>
        <w:rPr>
          <w:rFonts w:ascii="Times New Roman" w:eastAsia="宋体" w:hAnsi="Times New Roman" w:cs="Times New Roman" w:hint="eastAsia"/>
          <w:sz w:val="24"/>
          <w:szCs w:val="24"/>
          <w:lang w:val="en-US" w:eastAsia="zh-CN"/>
        </w:rPr>
        <w:t>运维手册》、《</w:t>
      </w:r>
      <w:r>
        <w:rPr>
          <w:rFonts w:ascii="Times New Roman" w:eastAsia="宋体" w:hAnsi="Times New Roman" w:cs="Times New Roman" w:hint="eastAsia"/>
          <w:sz w:val="24"/>
          <w:szCs w:val="24"/>
          <w:lang w:eastAsia="zh-CN"/>
        </w:rPr>
        <w:t>全球10km/3h有效波高融合实况分析产品V1.0</w:t>
      </w:r>
      <w:r>
        <w:rPr>
          <w:rFonts w:ascii="Times New Roman" w:eastAsia="宋体" w:hAnsi="Times New Roman" w:cs="Times New Roman" w:hint="eastAsia"/>
          <w:sz w:val="24"/>
          <w:szCs w:val="24"/>
          <w:lang w:val="en-US" w:eastAsia="zh-CN"/>
        </w:rPr>
        <w:t>运维手册》</w:t>
      </w:r>
      <w:r>
        <w:rPr>
          <w:rFonts w:ascii="Times New Roman" w:eastAsia="宋体" w:hAnsi="Times New Roman" w:cs="Times New Roman" w:hint="eastAsia"/>
          <w:sz w:val="24"/>
          <w:szCs w:val="24"/>
        </w:rPr>
        <w:t>要求，掌握全球25km/日海表温度和</w:t>
      </w:r>
      <w:r>
        <w:rPr>
          <w:rFonts w:ascii="宋体" w:eastAsia="宋体" w:hAnsi="宋体" w:cs="宋体" w:hint="eastAsia"/>
          <w:color w:val="000000"/>
          <w:sz w:val="24"/>
          <w:szCs w:val="24"/>
        </w:rPr>
        <w:t>海冰密集度</w:t>
      </w:r>
      <w:r>
        <w:rPr>
          <w:rFonts w:ascii="Times New Roman" w:eastAsia="宋体" w:hAnsi="Times New Roman" w:cs="Times New Roman" w:hint="eastAsia"/>
          <w:sz w:val="24"/>
          <w:szCs w:val="24"/>
        </w:rPr>
        <w:t>融合实况分析系统</w:t>
      </w:r>
      <w:r>
        <w:rPr>
          <w:rFonts w:ascii="Times New Roman" w:eastAsia="宋体" w:hAnsi="Times New Roman" w:cs="Times New Roman" w:hint="eastAsia"/>
          <w:sz w:val="24"/>
          <w:szCs w:val="24"/>
          <w:lang w:eastAsia="zh-CN"/>
        </w:rPr>
        <w:t>、</w:t>
      </w:r>
      <w:r>
        <w:rPr>
          <w:rFonts w:ascii="宋体" w:eastAsia="宋体" w:hAnsi="宋体" w:cs="宋体" w:hint="eastAsia"/>
          <w:color w:val="000000"/>
          <w:sz w:val="24"/>
          <w:szCs w:val="24"/>
          <w:lang w:eastAsia="zh-CN"/>
        </w:rPr>
        <w:t>全球10km/6h海表温度融合实况分析</w:t>
      </w:r>
      <w:r>
        <w:rPr>
          <w:rFonts w:ascii="宋体" w:eastAsia="宋体" w:hAnsi="宋体" w:cs="宋体" w:hint="eastAsia"/>
          <w:color w:val="000000"/>
          <w:sz w:val="24"/>
          <w:szCs w:val="24"/>
          <w:lang w:val="en-US" w:eastAsia="zh-CN"/>
        </w:rPr>
        <w:t>系统、</w:t>
      </w:r>
      <w:r>
        <w:rPr>
          <w:rFonts w:ascii="宋体" w:eastAsia="宋体" w:hAnsi="宋体" w:cs="宋体" w:hint="eastAsia"/>
          <w:color w:val="000000"/>
          <w:sz w:val="24"/>
          <w:szCs w:val="24"/>
          <w:lang w:eastAsia="zh-CN"/>
        </w:rPr>
        <w:t>全球10km/3h有效波高融合实况分析</w:t>
      </w:r>
      <w:r>
        <w:rPr>
          <w:rFonts w:ascii="宋体" w:eastAsia="宋体" w:hAnsi="宋体" w:cs="宋体" w:hint="eastAsia"/>
          <w:color w:val="000000"/>
          <w:sz w:val="24"/>
          <w:szCs w:val="24"/>
          <w:lang w:val="en-US" w:eastAsia="zh-CN"/>
        </w:rPr>
        <w:t>系统</w:t>
      </w:r>
      <w:r>
        <w:rPr>
          <w:rFonts w:ascii="Times New Roman" w:eastAsia="宋体" w:hAnsi="Times New Roman" w:cs="Times New Roman" w:hint="eastAsia"/>
          <w:sz w:val="24"/>
          <w:szCs w:val="24"/>
        </w:rPr>
        <w:t>运行操作，在系统故障、产品生成告警时，能够在30分钟内完成故障原因排查，恢复全球25km/日海表温度融合实况分析系统的正常运行。</w:t>
      </w:r>
    </w:p>
    <w:p w14:paraId="672520B9">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（2） 当发生高性能、网络、数据等环境不稳定的特殊状态时，能够24小时对全球25km/日海表温度和</w:t>
      </w:r>
      <w:r>
        <w:rPr>
          <w:rFonts w:ascii="宋体" w:eastAsia="宋体" w:hAnsi="宋体" w:cs="宋体" w:hint="eastAsia"/>
          <w:color w:val="000000"/>
          <w:sz w:val="24"/>
          <w:szCs w:val="24"/>
        </w:rPr>
        <w:t>海冰密集度</w:t>
      </w:r>
      <w:r>
        <w:rPr>
          <w:rFonts w:ascii="Times New Roman" w:eastAsia="宋体" w:hAnsi="Times New Roman" w:cs="Times New Roman" w:hint="eastAsia"/>
          <w:sz w:val="24"/>
          <w:szCs w:val="24"/>
        </w:rPr>
        <w:t>融合实况分析系统运行状态进行监视和运维，保障产品的正常输出，直至特殊状态结束。</w:t>
      </w:r>
    </w:p>
    <w:p w14:paraId="123032B0">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（3）在中国气象局启动</w:t>
      </w:r>
      <w:r>
        <w:rPr>
          <w:rFonts w:ascii="Times New Roman" w:eastAsia="宋体" w:hAnsi="Times New Roman" w:cs="Times New Roman" w:hint="eastAsia"/>
          <w:sz w:val="24"/>
          <w:szCs w:val="24"/>
          <w:lang w:val="en-US" w:eastAsia="zh-CN"/>
        </w:rPr>
        <w:t>三级、</w:t>
      </w:r>
      <w:r>
        <w:rPr>
          <w:rFonts w:ascii="Times New Roman" w:eastAsia="宋体" w:hAnsi="Times New Roman" w:cs="Times New Roman" w:hint="eastAsia"/>
          <w:sz w:val="24"/>
          <w:szCs w:val="24"/>
        </w:rPr>
        <w:t>二级和一级响应时，能够24小时驻场，当收到系统故障、产品生成告警时，30分钟内完成故障原因排查，恢复全球25km/日海表温度和</w:t>
      </w:r>
      <w:r>
        <w:rPr>
          <w:rFonts w:ascii="宋体" w:eastAsia="宋体" w:hAnsi="宋体" w:cs="宋体" w:hint="eastAsia"/>
          <w:color w:val="000000"/>
          <w:sz w:val="24"/>
          <w:szCs w:val="24"/>
        </w:rPr>
        <w:t>海冰密集度</w:t>
      </w:r>
      <w:r>
        <w:rPr>
          <w:rFonts w:ascii="Times New Roman" w:eastAsia="宋体" w:hAnsi="Times New Roman" w:cs="Times New Roman" w:hint="eastAsia"/>
          <w:sz w:val="24"/>
          <w:szCs w:val="24"/>
        </w:rPr>
        <w:t>融合实况分析系统的正常运行。</w:t>
      </w:r>
    </w:p>
    <w:p w14:paraId="1B8E40B7">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（4）</w:t>
      </w:r>
      <w:r>
        <w:rPr>
          <w:rFonts w:ascii="Times New Roman" w:eastAsia="宋体" w:hAnsi="Times New Roman" w:cs="Times New Roman"/>
          <w:sz w:val="24"/>
          <w:szCs w:val="24"/>
        </w:rPr>
        <w:t>根据中国气象局应急响应级别，在</w:t>
      </w:r>
      <w:r>
        <w:rPr>
          <w:rFonts w:ascii="Times New Roman" w:eastAsia="宋体" w:hAnsi="Times New Roman" w:cs="Times New Roman" w:hint="eastAsia"/>
          <w:sz w:val="24"/>
          <w:szCs w:val="24"/>
          <w:lang w:val="en-US" w:eastAsia="zh-CN"/>
        </w:rPr>
        <w:t>三</w:t>
      </w:r>
      <w:r>
        <w:rPr>
          <w:rFonts w:ascii="Times New Roman" w:eastAsia="宋体" w:hAnsi="Times New Roman" w:cs="Times New Roman"/>
          <w:sz w:val="24"/>
          <w:szCs w:val="24"/>
        </w:rPr>
        <w:t>级响应或者更高级别响应、中国气象局要求的重大活动保障期间</w:t>
      </w:r>
      <w:r>
        <w:rPr>
          <w:rFonts w:ascii="Times New Roman" w:eastAsia="宋体" w:hAnsi="Times New Roman" w:cs="Times New Roman" w:hint="eastAsia"/>
          <w:sz w:val="24"/>
          <w:szCs w:val="24"/>
        </w:rPr>
        <w:t>，</w:t>
      </w:r>
      <w:r>
        <w:rPr>
          <w:rFonts w:ascii="Times New Roman" w:eastAsia="宋体" w:hAnsi="Times New Roman" w:cs="Times New Roman"/>
          <w:sz w:val="24"/>
          <w:szCs w:val="24"/>
        </w:rPr>
        <w:t>乙方派遣</w:t>
      </w:r>
      <w:r>
        <w:rPr>
          <w:rFonts w:ascii="Times New Roman" w:eastAsia="宋体" w:hAnsi="Times New Roman" w:cs="Times New Roman" w:hint="eastAsia"/>
          <w:sz w:val="24"/>
          <w:szCs w:val="24"/>
        </w:rPr>
        <w:t>甲方认可的海洋实况分析系统</w:t>
      </w:r>
      <w:r>
        <w:rPr>
          <w:rFonts w:ascii="Times New Roman" w:eastAsia="宋体" w:hAnsi="Times New Roman" w:cs="Times New Roman"/>
          <w:sz w:val="24"/>
          <w:szCs w:val="24"/>
        </w:rPr>
        <w:t>技术人员24小时驻场值班，确保实况业务服务正常。</w:t>
      </w:r>
    </w:p>
    <w:p w14:paraId="4F6C6309">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（5）2026年11月1日到2027年6月30日</w:t>
      </w:r>
      <w:r>
        <w:rPr>
          <w:rFonts w:ascii="Times New Roman" w:eastAsia="宋体" w:hAnsi="Times New Roman" w:cs="Times New Roman"/>
          <w:sz w:val="24"/>
          <w:szCs w:val="24"/>
        </w:rPr>
        <w:t>，乙方派遣</w:t>
      </w:r>
      <w:r>
        <w:rPr>
          <w:rFonts w:ascii="Times New Roman" w:eastAsia="宋体" w:hAnsi="Times New Roman" w:cs="Times New Roman" w:hint="eastAsia"/>
          <w:sz w:val="24"/>
          <w:szCs w:val="24"/>
        </w:rPr>
        <w:t>甲方认可的海洋实况分析系统</w:t>
      </w:r>
      <w:r>
        <w:rPr>
          <w:rFonts w:ascii="Times New Roman" w:eastAsia="宋体" w:hAnsi="Times New Roman" w:cs="Times New Roman"/>
          <w:sz w:val="24"/>
          <w:szCs w:val="24"/>
        </w:rPr>
        <w:t xml:space="preserve">技术人员驻场值班，确保实况业务服务正常。 </w:t>
      </w:r>
      <w:r>
        <w:rPr>
          <w:rFonts w:ascii="Times New Roman" w:eastAsia="宋体" w:hAnsi="Times New Roman" w:cs="Times New Roman" w:hint="eastAsia"/>
          <w:sz w:val="24"/>
          <w:szCs w:val="24"/>
        </w:rPr>
        <w:t>每天北京时间05时、11时、17时、22时查看实况产品生成告警信息，并在5分钟内电话通知甲方产品负责人，配合甲方开展产品运维。</w:t>
      </w:r>
    </w:p>
    <w:p w14:paraId="420ED79A">
      <w:pPr>
        <w:widowControl w:val="0"/>
        <w:ind w:firstLine="420" w:firstLineChars="200"/>
        <w:jc w:val="both"/>
        <w:rPr>
          <w:rFonts w:ascii="Times New Roman" w:eastAsia="宋体" w:hAnsi="Times New Roman" w:cs="Times New Roman"/>
        </w:rPr>
      </w:pPr>
    </w:p>
    <w:p w14:paraId="6D961DB7">
      <w:pPr>
        <w:keepNext/>
        <w:keepLines/>
        <w:widowControl w:val="0"/>
        <w:numPr>
          <w:ilvl w:val="1"/>
          <w:numId w:val="4"/>
        </w:numPr>
        <w:tabs>
          <w:tab w:val="left" w:pos="432"/>
        </w:tabs>
        <w:spacing w:before="260" w:after="260" w:line="416" w:lineRule="auto"/>
        <w:jc w:val="both"/>
        <w:outlineLvl w:val="1"/>
        <w:rPr>
          <w:rFonts w:ascii="Times New Roman" w:eastAsia="宋体" w:hAnsi="Times New Roman" w:cs="Times New Roman"/>
          <w:b/>
          <w:bCs/>
          <w:szCs w:val="32"/>
        </w:rPr>
      </w:pPr>
      <w:bookmarkStart w:id="96" w:name="_Toc23970"/>
      <w:bookmarkStart w:id="97" w:name="_Toc17346"/>
      <w:bookmarkStart w:id="98" w:name="_Toc20497"/>
      <w:bookmarkStart w:id="99" w:name="_Toc28400"/>
      <w:r>
        <w:rPr>
          <w:rFonts w:ascii="Times New Roman" w:eastAsia="宋体" w:hAnsi="Times New Roman" w:cs="Times New Roman" w:hint="eastAsia"/>
          <w:b/>
          <w:bCs/>
          <w:kern w:val="2"/>
          <w:sz w:val="30"/>
          <w:szCs w:val="32"/>
          <w:lang w:val="en-US" w:eastAsia="zh-CN" w:bidi="ar-SA"/>
        </w:rPr>
        <w:t>实况告警监控功能</w:t>
      </w:r>
      <w:bookmarkEnd w:id="96"/>
      <w:r>
        <w:rPr>
          <w:rFonts w:ascii="Times New Roman" w:eastAsia="宋体" w:hAnsi="Times New Roman" w:cs="Times New Roman" w:hint="eastAsia"/>
          <w:b/>
          <w:bCs/>
          <w:kern w:val="2"/>
          <w:sz w:val="30"/>
          <w:szCs w:val="32"/>
          <w:lang w:val="en-US" w:eastAsia="zh-CN" w:bidi="ar-SA"/>
        </w:rPr>
        <w:t>升级</w:t>
      </w:r>
      <w:bookmarkEnd w:id="97"/>
      <w:bookmarkEnd w:id="98"/>
      <w:bookmarkEnd w:id="99"/>
    </w:p>
    <w:p w14:paraId="2D184CE1">
      <w:pPr>
        <w:spacing w:line="360" w:lineRule="auto"/>
        <w:ind w:firstLine="420"/>
        <w:rPr>
          <w:rFonts w:ascii="Times New Roman" w:eastAsia="宋体" w:hAnsi="Times New Roman" w:cs="Times New Roman"/>
          <w:b/>
        </w:rPr>
      </w:pPr>
      <w:r>
        <w:rPr>
          <w:rFonts w:ascii="Times New Roman" w:eastAsia="宋体" w:hAnsi="Times New Roman" w:cs="Times New Roman" w:hint="eastAsia"/>
          <w:sz w:val="24"/>
          <w:szCs w:val="24"/>
        </w:rPr>
        <w:t>针对研究室研制的多源融合实况分析产品，开发各产品实时生成状态监控模块，针对不同产品时效，实时输出产品制作运行状态，包括</w:t>
      </w:r>
      <w:r>
        <w:rPr>
          <w:rFonts w:ascii="Times New Roman" w:eastAsia="宋体" w:hAnsi="Times New Roman" w:cs="Times New Roman" w:hint="eastAsia"/>
          <w:sz w:val="24"/>
          <w:szCs w:val="24"/>
          <w:lang w:val="en-US" w:eastAsia="zh-CN"/>
        </w:rPr>
        <w:t>但</w:t>
      </w:r>
      <w:r>
        <w:rPr>
          <w:rFonts w:ascii="Times New Roman" w:eastAsia="宋体" w:hAnsi="Times New Roman" w:cs="Times New Roman" w:hint="eastAsia"/>
          <w:sz w:val="24"/>
          <w:szCs w:val="24"/>
        </w:rPr>
        <w:t>不限于产品生成状态、磁盘空间应用比例、作业节点状态等。具体新增告警产品信息见下表。</w:t>
      </w:r>
    </w:p>
    <w:p w14:paraId="4A45B6DF">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）新增产品输出信息根据天镜监控要求，制作对应格式的</w:t>
      </w:r>
      <w:r>
        <w:rPr>
          <w:rFonts w:ascii="Times New Roman" w:eastAsia="宋体" w:hAnsi="Times New Roman" w:cs="Times New Roman"/>
          <w:sz w:val="24"/>
          <w:szCs w:val="24"/>
        </w:rPr>
        <w:t>EI</w:t>
      </w:r>
      <w:r>
        <w:rPr>
          <w:rFonts w:ascii="Times New Roman" w:eastAsia="宋体" w:hAnsi="Times New Roman" w:cs="Times New Roman" w:hint="eastAsia"/>
          <w:sz w:val="24"/>
          <w:szCs w:val="24"/>
        </w:rPr>
        <w:t>消息文件。</w:t>
      </w:r>
    </w:p>
    <w:p w14:paraId="7283EDE8">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（2）新增产品与天镜各流程环境对接，撰写申请天镜展示所需各类材料，包括不限于四级编码、元数据信息、推送群组建立等。</w:t>
      </w:r>
    </w:p>
    <w:p w14:paraId="62BBD34F">
      <w:pPr>
        <w:spacing w:line="360" w:lineRule="auto"/>
        <w:ind w:firstLine="420"/>
        <w:rPr>
          <w:rFonts w:ascii="宋体" w:eastAsia="宋体" w:hAnsi="宋体" w:cs="宋体" w:hint="eastAsia"/>
          <w:color w:val="000000"/>
          <w:kern w:val="0"/>
          <w:lang w:bidi="ar"/>
        </w:rPr>
      </w:pPr>
      <w:r>
        <w:rPr>
          <w:rFonts w:ascii="Times New Roman" w:eastAsia="宋体" w:hAnsi="Times New Roman" w:cs="Times New Roman" w:hint="eastAsia"/>
          <w:sz w:val="24"/>
          <w:szCs w:val="24"/>
        </w:rPr>
        <w:t>（3）通过与天镜对接，根据告警等级，实现自动化告警信息发送。</w:t>
      </w:r>
      <w:r>
        <w:rPr>
          <w:rFonts w:ascii="宋体" w:eastAsia="宋体" w:hAnsi="宋体" w:cs="宋体" w:hint="eastAsia"/>
          <w:color w:val="000000"/>
          <w:kern w:val="0"/>
          <w:sz w:val="24"/>
          <w:szCs w:val="24"/>
          <w:lang w:bidi="ar"/>
        </w:rPr>
        <w:tab/>
      </w:r>
    </w:p>
    <w:p w14:paraId="52988BDE">
      <w:pPr>
        <w:spacing w:line="360" w:lineRule="auto"/>
        <w:ind w:firstLine="420"/>
        <w:rPr>
          <w:rFonts w:ascii="宋体" w:hAnsi="宋体" w:cs="宋体" w:hint="eastAsia"/>
          <w:color w:val="000000"/>
          <w:kern w:val="0"/>
          <w:lang w:bidi="ar"/>
        </w:rPr>
        <w:sectPr>
          <w:pgSz w:w="11906" w:h="16838"/>
          <w:pgMar w:top="1440" w:right="1800" w:bottom="1440" w:left="1800" w:header="851" w:footer="992" w:gutter="0"/>
          <w:pgNumType w:fmt="decimal"/>
          <w:cols w:num="1" w:space="425"/>
          <w:docGrid w:type="lines" w:linePitch="312" w:charSpace="0"/>
        </w:sectPr>
      </w:pPr>
    </w:p>
    <w:p w14:paraId="498D7CF4">
      <w:pPr>
        <w:widowControl/>
        <w:jc w:val="center"/>
        <w:rPr>
          <w:rFonts w:ascii="Times New Roman" w:eastAsia="宋体" w:hAnsi="Times New Roman" w:cs="Times New Roman"/>
        </w:rPr>
      </w:pPr>
      <w:r>
        <w:rPr>
          <w:rFonts w:ascii="宋体" w:eastAsia="宋体" w:hAnsi="宋体" w:cs="宋体" w:hint="eastAsia"/>
          <w:color w:val="000000"/>
          <w:kern w:val="0"/>
          <w:szCs w:val="21"/>
          <w:lang w:bidi="ar"/>
        </w:rPr>
        <w:t xml:space="preserve">表 </w:t>
      </w:r>
      <w:r>
        <w:rPr>
          <w:rFonts w:ascii="Times New Roman" w:eastAsia="宋体" w:hAnsi="Times New Roman" w:cs="Times New Roman"/>
          <w:color w:val="000000"/>
          <w:kern w:val="0"/>
          <w:szCs w:val="21"/>
          <w:lang w:bidi="ar"/>
        </w:rPr>
        <w:t xml:space="preserve">1 </w:t>
      </w:r>
      <w:r>
        <w:rPr>
          <w:rFonts w:ascii="宋体" w:eastAsia="宋体" w:hAnsi="宋体" w:cs="宋体" w:hint="eastAsia"/>
          <w:color w:val="000000"/>
          <w:kern w:val="0"/>
          <w:szCs w:val="21"/>
          <w:lang w:bidi="ar"/>
        </w:rPr>
        <w:t>新增监控开发的实况分析产品和要素表</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54"/>
        <w:gridCol w:w="2201"/>
        <w:gridCol w:w="1698"/>
        <w:gridCol w:w="1457"/>
        <w:gridCol w:w="6090"/>
        <w:gridCol w:w="1193"/>
      </w:tblGrid>
      <w:tr w14:paraId="46C612A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154" w:type="dxa"/>
          </w:tcPr>
          <w:p w14:paraId="03D8DAC5">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序号</w:t>
            </w:r>
          </w:p>
        </w:tc>
        <w:tc>
          <w:tcPr>
            <w:tcW w:w="2201" w:type="dxa"/>
          </w:tcPr>
          <w:p w14:paraId="43B2CD26">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产品名称</w:t>
            </w:r>
          </w:p>
        </w:tc>
        <w:tc>
          <w:tcPr>
            <w:tcW w:w="1698" w:type="dxa"/>
          </w:tcPr>
          <w:p w14:paraId="6C118A49">
            <w:pPr>
              <w:widowControl/>
              <w:jc w:val="center"/>
              <w:rPr>
                <w:rFonts w:ascii="宋体" w:eastAsia="宋体" w:hAnsi="宋体" w:cs="宋体" w:hint="eastAsia"/>
                <w:color w:val="000000"/>
                <w:kern w:val="0"/>
                <w:szCs w:val="21"/>
                <w:lang w:bidi="ar"/>
              </w:rPr>
            </w:pPr>
            <w:r>
              <w:rPr>
                <w:rFonts w:ascii="宋体" w:eastAsia="宋体" w:hAnsi="宋体" w:cs="宋体"/>
                <w:color w:val="000000"/>
                <w:szCs w:val="21"/>
              </w:rPr>
              <w:t>是否为业务产品</w:t>
            </w:r>
          </w:p>
        </w:tc>
        <w:tc>
          <w:tcPr>
            <w:tcW w:w="1457" w:type="dxa"/>
          </w:tcPr>
          <w:p w14:paraId="72D160E8">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系统部署平台</w:t>
            </w:r>
          </w:p>
        </w:tc>
        <w:tc>
          <w:tcPr>
            <w:tcW w:w="6090" w:type="dxa"/>
          </w:tcPr>
          <w:p w14:paraId="2A35084A">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产品包含要素</w:t>
            </w:r>
          </w:p>
        </w:tc>
        <w:tc>
          <w:tcPr>
            <w:tcW w:w="1193" w:type="dxa"/>
          </w:tcPr>
          <w:p w14:paraId="03B9CFB8">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告警方案</w:t>
            </w:r>
          </w:p>
        </w:tc>
      </w:tr>
      <w:tr w14:paraId="0436CDBC">
        <w:tblPrEx>
          <w:tblW w:w="0" w:type="auto"/>
          <w:tblInd w:w="0" w:type="dxa"/>
          <w:tblLayout w:type="fixed"/>
          <w:tblCellMar>
            <w:top w:w="0" w:type="dxa"/>
            <w:left w:w="108" w:type="dxa"/>
            <w:bottom w:w="0" w:type="dxa"/>
            <w:right w:w="108" w:type="dxa"/>
          </w:tblCellMar>
        </w:tblPrEx>
        <w:tc>
          <w:tcPr>
            <w:tcW w:w="1154" w:type="dxa"/>
          </w:tcPr>
          <w:p w14:paraId="4809FA66">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2201" w:type="dxa"/>
          </w:tcPr>
          <w:p w14:paraId="6E922BFD">
            <w:pPr>
              <w:widowControl/>
              <w:jc w:val="center"/>
              <w:rPr>
                <w:rFonts w:ascii="宋体" w:eastAsia="宋体" w:hAnsi="宋体" w:cs="宋体" w:hint="eastAsia"/>
                <w:color w:val="000000"/>
                <w:kern w:val="0"/>
                <w:szCs w:val="21"/>
                <w:lang w:bidi="ar"/>
              </w:rPr>
            </w:pPr>
            <w:r>
              <w:rPr>
                <w:rFonts w:ascii="Times New Roman" w:eastAsia="宋体" w:hAnsi="Times New Roman" w:cs="Times New Roman" w:hint="eastAsia"/>
                <w:szCs w:val="21"/>
              </w:rPr>
              <w:t>中国区域三维大气实况产品</w:t>
            </w:r>
          </w:p>
        </w:tc>
        <w:tc>
          <w:tcPr>
            <w:tcW w:w="1698" w:type="dxa"/>
          </w:tcPr>
          <w:p w14:paraId="6AAE7284">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否</w:t>
            </w:r>
          </w:p>
          <w:p w14:paraId="7B7F7F4B">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（天擎实验目录实时服务中）</w:t>
            </w:r>
          </w:p>
        </w:tc>
        <w:tc>
          <w:tcPr>
            <w:tcW w:w="1457" w:type="dxa"/>
          </w:tcPr>
          <w:p w14:paraId="4A34737C">
            <w:pPr>
              <w:widowControl/>
              <w:jc w:val="center"/>
              <w:rPr>
                <w:rFonts w:ascii="宋体" w:eastAsia="宋体" w:hAnsi="宋体" w:cs="宋体" w:hint="eastAsia"/>
                <w:color w:val="000000"/>
                <w:kern w:val="0"/>
                <w:szCs w:val="21"/>
                <w:lang w:bidi="ar"/>
              </w:rPr>
            </w:pPr>
            <w:r>
              <w:rPr>
                <w:rFonts w:ascii="宋体" w:eastAsia="宋体" w:hAnsi="宋体" w:cs="宋体"/>
                <w:color w:val="000000"/>
                <w:szCs w:val="21"/>
              </w:rPr>
              <w:t>新超算</w:t>
            </w:r>
          </w:p>
        </w:tc>
        <w:tc>
          <w:tcPr>
            <w:tcW w:w="6090" w:type="dxa"/>
          </w:tcPr>
          <w:p w14:paraId="414812F6">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三维温度、三维比湿、三维相对湿度、三维U/V风</w:t>
            </w:r>
          </w:p>
        </w:tc>
        <w:tc>
          <w:tcPr>
            <w:tcW w:w="1193" w:type="dxa"/>
          </w:tcPr>
          <w:p w14:paraId="5119AF17">
            <w:pPr>
              <w:widowControl/>
              <w:jc w:val="center"/>
              <w:rPr>
                <w:rFonts w:ascii="宋体" w:eastAsia="宋体" w:hAnsi="宋体" w:cs="宋体" w:hint="eastAsia"/>
                <w:color w:val="000000"/>
                <w:kern w:val="0"/>
                <w:szCs w:val="21"/>
                <w:lang w:bidi="ar"/>
              </w:rPr>
            </w:pPr>
            <w:r>
              <w:rPr>
                <w:rFonts w:ascii="宋体" w:eastAsia="宋体" w:hAnsi="宋体" w:cs="宋体"/>
                <w:color w:val="000000"/>
                <w:szCs w:val="21"/>
              </w:rPr>
              <w:t>微信告警</w:t>
            </w:r>
          </w:p>
        </w:tc>
      </w:tr>
      <w:tr w14:paraId="475BC4BC">
        <w:tblPrEx>
          <w:tblW w:w="0" w:type="auto"/>
          <w:tblInd w:w="0" w:type="dxa"/>
          <w:tblLayout w:type="fixed"/>
          <w:tblCellMar>
            <w:top w:w="0" w:type="dxa"/>
            <w:left w:w="108" w:type="dxa"/>
            <w:bottom w:w="0" w:type="dxa"/>
            <w:right w:w="108" w:type="dxa"/>
          </w:tblCellMar>
        </w:tblPrEx>
        <w:tc>
          <w:tcPr>
            <w:tcW w:w="1154" w:type="dxa"/>
          </w:tcPr>
          <w:p w14:paraId="3EEA9860">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w:t>
            </w:r>
          </w:p>
        </w:tc>
        <w:tc>
          <w:tcPr>
            <w:tcW w:w="2201" w:type="dxa"/>
          </w:tcPr>
          <w:p w14:paraId="59D388BD">
            <w:pPr>
              <w:widowControl/>
              <w:jc w:val="center"/>
              <w:rPr>
                <w:rFonts w:ascii="宋体" w:eastAsia="宋体" w:hAnsi="宋体" w:cs="宋体" w:hint="eastAsia"/>
                <w:color w:val="000000"/>
                <w:kern w:val="0"/>
                <w:szCs w:val="21"/>
                <w:lang w:bidi="ar"/>
              </w:rPr>
            </w:pPr>
            <w:r>
              <w:rPr>
                <w:rFonts w:ascii="Times New Roman" w:eastAsia="宋体" w:hAnsi="Times New Roman" w:cs="Times New Roman" w:hint="eastAsia"/>
                <w:szCs w:val="21"/>
              </w:rPr>
              <w:t>雷暴大风产品</w:t>
            </w:r>
          </w:p>
        </w:tc>
        <w:tc>
          <w:tcPr>
            <w:tcW w:w="1698" w:type="dxa"/>
          </w:tcPr>
          <w:p w14:paraId="35566F4C">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是</w:t>
            </w:r>
          </w:p>
        </w:tc>
        <w:tc>
          <w:tcPr>
            <w:tcW w:w="1457" w:type="dxa"/>
          </w:tcPr>
          <w:p w14:paraId="71385C36">
            <w:pPr>
              <w:widowControl/>
              <w:jc w:val="center"/>
              <w:rPr>
                <w:rFonts w:ascii="宋体" w:eastAsia="宋体" w:hAnsi="宋体" w:cs="宋体" w:hint="eastAsia"/>
                <w:color w:val="000000"/>
                <w:kern w:val="0"/>
                <w:szCs w:val="21"/>
                <w:lang w:bidi="ar"/>
              </w:rPr>
            </w:pPr>
            <w:r>
              <w:rPr>
                <w:rFonts w:ascii="宋体" w:eastAsia="宋体" w:hAnsi="宋体" w:cs="宋体"/>
                <w:color w:val="000000"/>
                <w:szCs w:val="21"/>
              </w:rPr>
              <w:t>新超算</w:t>
            </w:r>
          </w:p>
        </w:tc>
        <w:tc>
          <w:tcPr>
            <w:tcW w:w="6090" w:type="dxa"/>
          </w:tcPr>
          <w:p w14:paraId="0D55B602">
            <w:pPr>
              <w:widowControl/>
              <w:jc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雷暴大风</w:t>
            </w:r>
          </w:p>
        </w:tc>
        <w:tc>
          <w:tcPr>
            <w:tcW w:w="1193" w:type="dxa"/>
          </w:tcPr>
          <w:p w14:paraId="0BACE5DD">
            <w:pPr>
              <w:widowControl/>
              <w:jc w:val="center"/>
              <w:rPr>
                <w:rFonts w:ascii="宋体" w:eastAsia="宋体" w:hAnsi="宋体" w:cs="宋体" w:hint="eastAsia"/>
                <w:color w:val="000000"/>
                <w:kern w:val="0"/>
                <w:szCs w:val="21"/>
                <w:lang w:bidi="ar"/>
              </w:rPr>
            </w:pPr>
            <w:r>
              <w:rPr>
                <w:rFonts w:ascii="宋体" w:eastAsia="宋体" w:hAnsi="宋体" w:cs="宋体"/>
                <w:color w:val="000000"/>
                <w:szCs w:val="21"/>
              </w:rPr>
              <w:t>微信告警</w:t>
            </w:r>
          </w:p>
        </w:tc>
      </w:tr>
    </w:tbl>
    <w:p w14:paraId="6DC51964">
      <w:pPr>
        <w:widowControl/>
        <w:jc w:val="left"/>
        <w:sectPr>
          <w:headerReference w:type="default" r:id="rId11"/>
          <w:footerReference w:type="default" r:id="rId12"/>
          <w:pgSz w:w="16838" w:h="11906" w:orient="landscape"/>
          <w:pgMar w:top="2041" w:right="1440" w:bottom="1474" w:left="1440" w:header="851" w:footer="992" w:gutter="0"/>
          <w:pgNumType w:fmt="decimal"/>
          <w:cols w:num="1" w:space="708"/>
          <w:docGrid w:linePitch="312" w:charSpace="0"/>
        </w:sectPr>
      </w:pPr>
    </w:p>
    <w:p w14:paraId="4EC6CA23">
      <w:pPr>
        <w:widowControl w:val="0"/>
        <w:ind w:firstLine="0" w:firstLineChars="0"/>
        <w:jc w:val="both"/>
        <w:rPr>
          <w:rFonts w:ascii="Times New Roman" w:eastAsia="宋体" w:hAnsi="Times New Roman" w:cs="Times New Roman"/>
          <w:b/>
        </w:rPr>
      </w:pPr>
    </w:p>
    <w:p w14:paraId="2D92C593">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00" w:name="_Toc16917"/>
      <w:bookmarkStart w:id="101" w:name="_Toc15870"/>
      <w:bookmarkStart w:id="102" w:name="_Toc17664"/>
      <w:bookmarkStart w:id="103" w:name="_Toc19714"/>
      <w:r>
        <w:rPr>
          <w:rFonts w:ascii="Times New Roman" w:eastAsia="宋体" w:hAnsi="Times New Roman" w:cs="Times New Roman" w:hint="eastAsia"/>
          <w:b/>
          <w:bCs/>
          <w:kern w:val="2"/>
          <w:sz w:val="30"/>
          <w:szCs w:val="32"/>
          <w:lang w:val="en-US" w:eastAsia="zh-CN" w:bidi="ar-SA"/>
        </w:rPr>
        <w:t>实况产品运维功能升级</w:t>
      </w:r>
      <w:bookmarkEnd w:id="100"/>
      <w:bookmarkEnd w:id="101"/>
      <w:bookmarkEnd w:id="102"/>
    </w:p>
    <w:p w14:paraId="202E5277">
      <w:pPr>
        <w:keepNext/>
        <w:keepLines/>
        <w:widowControl w:val="0"/>
        <w:numPr>
          <w:ilvl w:val="2"/>
          <w:numId w:val="4"/>
        </w:numPr>
        <w:spacing w:before="260" w:after="260" w:line="416" w:lineRule="auto"/>
        <w:jc w:val="both"/>
        <w:outlineLvl w:val="2"/>
        <w:rPr>
          <w:rFonts w:ascii="Arial" w:eastAsia="黑体" w:hAnsi="Arial" w:cs="Times New Roman"/>
          <w:b/>
          <w:bCs/>
          <w:sz w:val="28"/>
          <w:szCs w:val="32"/>
        </w:rPr>
      </w:pPr>
      <w:bookmarkStart w:id="104" w:name="_Toc28656"/>
      <w:bookmarkStart w:id="105" w:name="_Toc2019"/>
      <w:bookmarkStart w:id="106" w:name="_Toc2025"/>
      <w:r>
        <w:rPr>
          <w:rFonts w:ascii="Arial" w:eastAsia="黑体" w:hAnsi="Arial" w:cs="Times New Roman" w:hint="eastAsia"/>
          <w:b/>
          <w:bCs/>
          <w:kern w:val="2"/>
          <w:sz w:val="28"/>
          <w:szCs w:val="32"/>
          <w:lang w:val="en-US" w:eastAsia="zh-CN" w:bidi="ar-SA"/>
        </w:rPr>
        <w:t>实况业务系统作业异常运维工具开发</w:t>
      </w:r>
      <w:bookmarkEnd w:id="104"/>
      <w:bookmarkEnd w:id="105"/>
      <w:bookmarkEnd w:id="106"/>
    </w:p>
    <w:p w14:paraId="74FDA7BD">
      <w:pPr>
        <w:spacing w:line="360" w:lineRule="auto"/>
        <w:ind w:firstLine="315"/>
        <w:rPr>
          <w:rFonts w:ascii="Times New Roman" w:eastAsia="宋体" w:hAnsi="Times New Roman" w:cs="Times New Roman"/>
        </w:rPr>
      </w:pPr>
      <w:r>
        <w:rPr>
          <w:rFonts w:ascii="宋体" w:eastAsia="宋体" w:hAnsi="宋体" w:cs="宋体"/>
          <w:sz w:val="24"/>
          <w:szCs w:val="24"/>
        </w:rPr>
        <w:t>本流程针对Ecflow调度作业</w:t>
      </w:r>
      <w:r>
        <w:rPr>
          <w:rFonts w:ascii="宋体" w:eastAsia="宋体" w:hAnsi="宋体" w:cs="宋体" w:hint="eastAsia"/>
          <w:sz w:val="24"/>
          <w:szCs w:val="24"/>
        </w:rPr>
        <w:t>开发</w:t>
      </w:r>
      <w:r>
        <w:rPr>
          <w:rFonts w:ascii="宋体" w:eastAsia="宋体" w:hAnsi="宋体" w:cs="宋体"/>
          <w:sz w:val="24"/>
          <w:szCs w:val="24"/>
        </w:rPr>
        <w:t>独立监控运维</w:t>
      </w:r>
      <w:r>
        <w:rPr>
          <w:rFonts w:ascii="宋体" w:eastAsia="宋体" w:hAnsi="宋体" w:cs="宋体" w:hint="eastAsia"/>
          <w:sz w:val="24"/>
          <w:szCs w:val="24"/>
        </w:rPr>
        <w:t>工具</w:t>
      </w:r>
      <w:r>
        <w:rPr>
          <w:rFonts w:ascii="宋体" w:eastAsia="宋体" w:hAnsi="宋体" w:cs="宋体"/>
          <w:sz w:val="24"/>
          <w:szCs w:val="24"/>
        </w:rPr>
        <w:t>，通过常态化定时巡检机制实时把控Ecflow各类作业运行状态，及时发现作业报错、中断异常问题。针对故障报错模块启动强制执行修复机制，保障调度作业正常推进，避免作业停滞引发业务异常。具体执行步骤如下：</w:t>
      </w:r>
    </w:p>
    <w:p w14:paraId="3942A683">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（1）配置固定巡检周期，将作业报错、终止、超时各类运行状态记录日志。</w:t>
      </w:r>
    </w:p>
    <w:p w14:paraId="40E1F7BF">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（2）异常报错模块强制执行修复。</w:t>
      </w:r>
    </w:p>
    <w:p w14:paraId="0087FA1B">
      <w:pPr>
        <w:spacing w:line="360" w:lineRule="auto"/>
        <w:ind w:firstLine="315" w:firstLineChars="0"/>
        <w:rPr>
          <w:rFonts w:ascii="Times New Roman" w:eastAsia="宋体" w:hAnsi="Times New Roman" w:cs="Times New Roman"/>
        </w:rPr>
      </w:pPr>
      <w:r>
        <w:rPr>
          <w:rFonts w:ascii="Times New Roman" w:eastAsia="宋体" w:hAnsi="Times New Roman" w:cs="Times New Roman" w:hint="eastAsia"/>
          <w:sz w:val="24"/>
          <w:szCs w:val="24"/>
        </w:rPr>
        <w:t>（3）精准记录总执行次数、成功次数、失败次数。</w:t>
      </w:r>
    </w:p>
    <w:p w14:paraId="6CC70C96">
      <w:pPr>
        <w:widowControl w:val="0"/>
        <w:ind w:firstLine="420" w:firstLineChars="200"/>
        <w:jc w:val="both"/>
        <w:rPr>
          <w:rFonts w:ascii="Times New Roman" w:eastAsia="宋体" w:hAnsi="Times New Roman" w:cs="Times New Roman"/>
        </w:rPr>
      </w:pPr>
    </w:p>
    <w:p w14:paraId="4A103B13">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bookmarkStart w:id="107" w:name="_Toc25474"/>
      <w:bookmarkStart w:id="108" w:name="_Toc29400"/>
      <w:bookmarkStart w:id="109" w:name="_Toc2928"/>
      <w:r>
        <w:rPr>
          <w:rFonts w:ascii="Arial" w:eastAsia="黑体" w:hAnsi="Arial" w:cs="Times New Roman" w:hint="eastAsia"/>
          <w:b/>
          <w:bCs/>
          <w:kern w:val="2"/>
          <w:sz w:val="28"/>
          <w:szCs w:val="32"/>
          <w:lang w:val="en-US" w:eastAsia="zh-CN" w:bidi="ar-SA"/>
        </w:rPr>
        <w:t>实况产品自动补推工具开发</w:t>
      </w:r>
      <w:bookmarkEnd w:id="107"/>
      <w:bookmarkEnd w:id="108"/>
      <w:bookmarkEnd w:id="109"/>
    </w:p>
    <w:p w14:paraId="30A754B9">
      <w:pPr>
        <w:spacing w:line="360" w:lineRule="auto"/>
        <w:ind w:firstLine="315"/>
        <w:rPr>
          <w:rFonts w:ascii="宋体" w:eastAsia="宋体" w:hAnsi="宋体" w:cs="宋体" w:hint="eastAsia"/>
        </w:rPr>
      </w:pPr>
      <w:r>
        <w:rPr>
          <w:rFonts w:ascii="宋体" w:eastAsia="宋体" w:hAnsi="宋体" w:cs="宋体"/>
          <w:sz w:val="24"/>
          <w:szCs w:val="24"/>
        </w:rPr>
        <w:t>为保障实时系统持续稳定运转，解决产品推送流程里因推送失败引发的产品下发延迟、业务链路受阻等问题，</w:t>
      </w:r>
      <w:r>
        <w:rPr>
          <w:rFonts w:ascii="宋体" w:eastAsia="宋体" w:hAnsi="宋体" w:cs="宋体" w:hint="eastAsia"/>
          <w:sz w:val="24"/>
          <w:szCs w:val="24"/>
        </w:rPr>
        <w:t>借助天镜的API或接口获取对应产品推送情况，</w:t>
      </w:r>
      <w:r>
        <w:rPr>
          <w:rFonts w:ascii="宋体" w:eastAsia="宋体" w:hAnsi="宋体" w:cs="宋体"/>
          <w:sz w:val="24"/>
          <w:szCs w:val="24"/>
        </w:rPr>
        <w:t>研发推送异常专用运维工具，用于实时监控推送状态、处理失败任务，保障整体推送流程顺畅运行。</w:t>
      </w:r>
    </w:p>
    <w:p w14:paraId="49FDC63F">
      <w:pPr>
        <w:numPr>
          <w:ilvl w:val="0"/>
          <w:numId w:val="10"/>
        </w:numPr>
        <w:spacing w:line="360" w:lineRule="auto"/>
        <w:ind w:firstLine="315"/>
        <w:rPr>
          <w:rFonts w:ascii="宋体" w:eastAsia="宋体" w:hAnsi="宋体" w:cs="宋体" w:hint="eastAsia"/>
        </w:rPr>
      </w:pPr>
      <w:r>
        <w:rPr>
          <w:rFonts w:ascii="宋体" w:eastAsia="宋体" w:hAnsi="宋体" w:cs="宋体" w:hint="eastAsia"/>
          <w:sz w:val="24"/>
          <w:szCs w:val="24"/>
        </w:rPr>
        <w:t>获取天镜推送产品到达情况，配置对应系统的自动监控流程。</w:t>
      </w:r>
    </w:p>
    <w:p w14:paraId="236C0F91">
      <w:pPr>
        <w:numPr>
          <w:ilvl w:val="0"/>
          <w:numId w:val="10"/>
        </w:numPr>
        <w:spacing w:line="360" w:lineRule="auto"/>
        <w:ind w:firstLine="315"/>
        <w:rPr>
          <w:rFonts w:ascii="宋体" w:eastAsia="宋体" w:hAnsi="宋体" w:cs="宋体" w:hint="eastAsia"/>
        </w:rPr>
      </w:pPr>
      <w:r>
        <w:rPr>
          <w:rFonts w:ascii="宋体" w:eastAsia="宋体" w:hAnsi="宋体" w:cs="宋体" w:hint="eastAsia"/>
          <w:sz w:val="24"/>
          <w:szCs w:val="24"/>
        </w:rPr>
        <w:t>产品参数配置，录入各类产品的唯一标识、产品类型、推送业务场景、推送优先级、目标推送渠道。</w:t>
      </w:r>
    </w:p>
    <w:p w14:paraId="2729CEFE">
      <w:pPr>
        <w:numPr>
          <w:ilvl w:val="0"/>
          <w:numId w:val="10"/>
        </w:numPr>
        <w:spacing w:line="360" w:lineRule="auto"/>
        <w:ind w:firstLine="315"/>
        <w:rPr>
          <w:rFonts w:ascii="宋体" w:eastAsia="宋体" w:hAnsi="宋体" w:cs="宋体" w:hint="eastAsia"/>
        </w:rPr>
      </w:pPr>
      <w:r>
        <w:rPr>
          <w:rFonts w:ascii="宋体" w:eastAsia="宋体" w:hAnsi="宋体" w:cs="宋体"/>
          <w:sz w:val="24"/>
          <w:szCs w:val="24"/>
        </w:rPr>
        <w:t>单次补推完成后，实时校验推送结果，若补推成功</w:t>
      </w:r>
      <w:r>
        <w:rPr>
          <w:rFonts w:ascii="宋体" w:eastAsia="宋体" w:hAnsi="宋体" w:cs="宋体" w:hint="eastAsia"/>
          <w:sz w:val="24"/>
          <w:szCs w:val="24"/>
        </w:rPr>
        <w:t>，停止任务；若持续推送失败，系统自动终止本轮补推，并记录日志。</w:t>
      </w:r>
    </w:p>
    <w:p w14:paraId="1FA495D2">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10" w:name="_Toc1885"/>
      <w:bookmarkStart w:id="111" w:name="_Toc16588"/>
      <w:bookmarkStart w:id="112" w:name="_Toc14568"/>
      <w:r>
        <w:rPr>
          <w:rFonts w:ascii="Times New Roman" w:eastAsia="宋体" w:hAnsi="Times New Roman" w:cs="Times New Roman" w:hint="eastAsia"/>
          <w:b/>
          <w:bCs/>
          <w:kern w:val="2"/>
          <w:sz w:val="30"/>
          <w:szCs w:val="32"/>
          <w:lang w:val="en-US" w:eastAsia="zh-CN" w:bidi="ar-SA"/>
        </w:rPr>
        <w:t>插补流程功能完善及评估功能开发</w:t>
      </w:r>
      <w:bookmarkEnd w:id="103"/>
      <w:bookmarkEnd w:id="110"/>
      <w:bookmarkEnd w:id="111"/>
      <w:bookmarkEnd w:id="112"/>
    </w:p>
    <w:p w14:paraId="02A22094">
      <w:p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中国气象局三级响应或者更高级别响应以及中国气象局要求的重大活动保障期间，乙方派遣熟悉实况数据插补流程的人员24小时驻场值班，配合甲方开展产品运维，协助甲方完成实况数据插补。并新增插补数据评估功能，用于判断插补站点数据效果。</w:t>
      </w:r>
    </w:p>
    <w:p w14:paraId="3BB04547">
      <w:pPr>
        <w:numPr>
          <w:ilvl w:val="0"/>
          <w:numId w:val="11"/>
        </w:num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对甲方指定要素，进行独立性检验。</w:t>
      </w:r>
    </w:p>
    <w:p w14:paraId="638BD6FE">
      <w:pPr>
        <w:numPr>
          <w:ilvl w:val="0"/>
          <w:numId w:val="11"/>
        </w:numPr>
        <w:spacing w:line="360" w:lineRule="auto"/>
        <w:ind w:firstLine="420"/>
        <w:rPr>
          <w:rFonts w:ascii="Times New Roman" w:eastAsia="宋体" w:hAnsi="Times New Roman" w:cs="Times New Roman"/>
        </w:rPr>
      </w:pPr>
      <w:r>
        <w:rPr>
          <w:rFonts w:ascii="Times New Roman" w:eastAsia="宋体" w:hAnsi="Times New Roman" w:cs="Times New Roman" w:hint="eastAsia"/>
          <w:sz w:val="24"/>
          <w:szCs w:val="24"/>
        </w:rPr>
        <w:t>根据研究室指定方法计算的评估效果，可视化模块开发。</w:t>
      </w:r>
    </w:p>
    <w:p w14:paraId="046FAE54">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13" w:name="_Toc165273438"/>
      <w:bookmarkStart w:id="114" w:name="_Toc8963"/>
      <w:bookmarkStart w:id="115" w:name="_Toc4043"/>
      <w:bookmarkStart w:id="116" w:name="_Toc28004"/>
      <w:r>
        <w:rPr>
          <w:rFonts w:ascii="Times New Roman" w:eastAsia="宋体" w:hAnsi="Times New Roman" w:cs="Times New Roman" w:hint="eastAsia"/>
          <w:b/>
          <w:bCs/>
          <w:kern w:val="2"/>
          <w:sz w:val="30"/>
          <w:szCs w:val="32"/>
          <w:lang w:val="en-US" w:eastAsia="zh-CN" w:bidi="ar-SA"/>
        </w:rPr>
        <w:t>实况业务相关服务器安全漏洞检查和修补</w:t>
      </w:r>
      <w:bookmarkEnd w:id="113"/>
      <w:bookmarkEnd w:id="114"/>
      <w:bookmarkEnd w:id="115"/>
      <w:bookmarkEnd w:id="116"/>
    </w:p>
    <w:p w14:paraId="49D33DC4">
      <w:pPr>
        <w:spacing w:line="360" w:lineRule="auto"/>
        <w:ind w:firstLine="240" w:firstLineChars="100"/>
        <w:rPr>
          <w:rFonts w:ascii="Times New Roman" w:eastAsia="宋体" w:hAnsi="Times New Roman" w:cs="Times New Roman"/>
          <w:b/>
        </w:rPr>
      </w:pPr>
      <w:r>
        <w:rPr>
          <w:rFonts w:ascii="Times New Roman" w:eastAsia="宋体" w:hAnsi="Times New Roman" w:cs="Times New Roman" w:hint="eastAsia"/>
          <w:b/>
          <w:sz w:val="24"/>
          <w:szCs w:val="24"/>
        </w:rPr>
        <w:t xml:space="preserve">1. </w:t>
      </w:r>
      <w:r>
        <w:rPr>
          <w:rFonts w:ascii="Times New Roman" w:eastAsia="宋体" w:hAnsi="Times New Roman" w:cs="Times New Roman"/>
          <w:b/>
          <w:sz w:val="24"/>
          <w:szCs w:val="24"/>
        </w:rPr>
        <w:t>概述</w:t>
      </w:r>
    </w:p>
    <w:p w14:paraId="2BF2CAC7">
      <w:pPr>
        <w:widowControl w:val="0"/>
        <w:spacing w:line="360" w:lineRule="auto"/>
        <w:ind w:left="336" w:firstLine="480" w:firstLineChars="20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基础数据产品和新型垂直观测数据产品的部分功能部署在新超算、评估服务器等相关平台，平台需要持续更新安全补丁，并进行安全巡查等，确保相关业务平台和环境处于健康状态。</w:t>
      </w:r>
      <w:r>
        <w:rPr>
          <w:rFonts w:ascii="Times New Roman" w:eastAsia="宋体" w:hAnsi="Times New Roman" w:cs="Times New Roman" w:hint="eastAsia"/>
          <w:b w:val="0"/>
          <w:bCs/>
          <w:kern w:val="2"/>
          <w:sz w:val="24"/>
          <w:szCs w:val="24"/>
          <w:highlight w:val="none"/>
          <w:lang w:val="en-US" w:eastAsia="zh-CN" w:bidi="ar-SA"/>
        </w:rPr>
        <w:t>雷达系统部署在天擎加工流水线、独立容器或物理机等计算平台，为了维护系统运行安全，需要持续更新安全补丁，并进行安全巡查等，确保相关业务平台和环境处于健康状态。</w:t>
      </w:r>
      <w:r>
        <w:rPr>
          <w:rFonts w:ascii="Times New Roman" w:eastAsia="宋体" w:hAnsi="Times New Roman" w:cs="Times New Roman" w:hint="eastAsia"/>
          <w:kern w:val="2"/>
          <w:sz w:val="24"/>
          <w:szCs w:val="24"/>
          <w:lang w:val="en-US" w:eastAsia="zh-CN" w:bidi="ar-SA"/>
        </w:rPr>
        <w:t>实况分析业务相关服务器部署在派曙光高性能服务器、新超算、虚拟机、加工流水线等相关平台，平台需要持续更新安全补丁，并进行安全巡查等，确保相关业务平台和环境处于健康状态。</w:t>
      </w:r>
    </w:p>
    <w:p w14:paraId="714CB4A7">
      <w:pPr>
        <w:spacing w:line="360" w:lineRule="auto"/>
        <w:ind w:firstLine="315"/>
        <w:rPr>
          <w:rFonts w:ascii="Times New Roman" w:eastAsia="宋体" w:hAnsi="Times New Roman" w:cs="Times New Roman"/>
          <w:b/>
        </w:rPr>
      </w:pPr>
      <w:r>
        <w:rPr>
          <w:rFonts w:ascii="Times New Roman" w:eastAsia="宋体" w:hAnsi="Times New Roman" w:cs="Times New Roman" w:hint="eastAsia"/>
          <w:b/>
          <w:sz w:val="24"/>
          <w:szCs w:val="24"/>
        </w:rPr>
        <w:t xml:space="preserve">2.  </w:t>
      </w:r>
      <w:r>
        <w:rPr>
          <w:rFonts w:ascii="Times New Roman" w:eastAsia="宋体" w:hAnsi="Times New Roman" w:cs="Times New Roman"/>
          <w:b/>
          <w:sz w:val="24"/>
          <w:szCs w:val="24"/>
        </w:rPr>
        <w:t>功能要求</w:t>
      </w:r>
    </w:p>
    <w:p w14:paraId="1CEB9346">
      <w:pPr>
        <w:spacing w:line="360" w:lineRule="auto"/>
        <w:ind w:firstLine="315"/>
        <w:rPr>
          <w:rFonts w:ascii="宋体" w:eastAsia="宋体" w:hAnsi="宋体" w:cs="宋体" w:hint="eastAsia"/>
          <w:color w:val="000000"/>
        </w:rPr>
      </w:pPr>
      <w:r>
        <w:rPr>
          <w:rFonts w:ascii="宋体" w:eastAsia="宋体" w:hAnsi="宋体" w:cs="宋体"/>
          <w:color w:val="000000"/>
          <w:sz w:val="24"/>
          <w:szCs w:val="24"/>
        </w:rPr>
        <w:t xml:space="preserve">  </w:t>
      </w:r>
      <w:r>
        <w:rPr>
          <w:rFonts w:ascii="宋体" w:eastAsia="宋体" w:hAnsi="宋体" w:cs="宋体" w:hint="eastAsia"/>
          <w:color w:val="000000"/>
          <w:sz w:val="24"/>
          <w:szCs w:val="24"/>
        </w:rPr>
        <w:t>（1）服务器日常巡检，每周对服务器存储空间、计算效率等环境指标进行检测，确保实况业务运行环境稳定健康。</w:t>
      </w:r>
    </w:p>
    <w:p w14:paraId="516E925E">
      <w:pPr>
        <w:spacing w:line="360" w:lineRule="auto"/>
        <w:ind w:firstLine="480" w:firstLineChars="200"/>
        <w:rPr>
          <w:rFonts w:ascii="宋体" w:eastAsia="宋体" w:hAnsi="宋体" w:cs="宋体" w:hint="eastAsia"/>
          <w:color w:val="000000"/>
        </w:rPr>
      </w:pPr>
      <w:r>
        <w:rPr>
          <w:rFonts w:ascii="宋体" w:eastAsia="宋体" w:hAnsi="宋体" w:cs="宋体" w:hint="eastAsia"/>
          <w:color w:val="000000"/>
          <w:sz w:val="24"/>
          <w:szCs w:val="24"/>
        </w:rPr>
        <w:t>（2）</w:t>
      </w:r>
      <w:r>
        <w:rPr>
          <w:rFonts w:ascii="宋体" w:eastAsia="宋体" w:hAnsi="宋体" w:cs="宋体"/>
          <w:color w:val="000000"/>
          <w:sz w:val="24"/>
          <w:szCs w:val="24"/>
        </w:rPr>
        <w:t>根据国家气象信息中心服务器漏洞安全提示，对实况分析业务相关服务器进行漏洞修改和安全保障。</w:t>
      </w:r>
    </w:p>
    <w:p w14:paraId="3325366D">
      <w:pPr>
        <w:spacing w:line="360" w:lineRule="auto"/>
        <w:ind w:firstLine="480" w:firstLineChars="200"/>
        <w:rPr>
          <w:rFonts w:ascii="宋体" w:eastAsia="宋体" w:hAnsi="宋体" w:cs="宋体" w:hint="eastAsia"/>
          <w:color w:val="000000"/>
        </w:rPr>
      </w:pPr>
      <w:r>
        <w:rPr>
          <w:rFonts w:ascii="宋体" w:eastAsia="宋体" w:hAnsi="宋体" w:cs="宋体" w:hint="eastAsia"/>
          <w:color w:val="000000"/>
          <w:sz w:val="24"/>
          <w:szCs w:val="24"/>
        </w:rPr>
        <w:t>（3）根据漏洞扫描情况，进行病毒查杀、关闭不必要端口链接。</w:t>
      </w:r>
    </w:p>
    <w:p w14:paraId="6629AF07">
      <w:pPr>
        <w:spacing w:line="360" w:lineRule="auto"/>
        <w:ind w:firstLine="480" w:firstLineChars="200"/>
        <w:rPr>
          <w:rFonts w:ascii="宋体" w:eastAsia="宋体" w:hAnsi="宋体" w:cs="宋体" w:hint="eastAsia"/>
          <w:color w:val="000000"/>
        </w:rPr>
      </w:pPr>
      <w:r>
        <w:rPr>
          <w:rFonts w:ascii="宋体" w:eastAsia="宋体" w:hAnsi="宋体" w:cs="宋体" w:hint="eastAsia"/>
          <w:color w:val="000000"/>
          <w:sz w:val="24"/>
          <w:szCs w:val="24"/>
        </w:rPr>
        <w:t>（4）查杀隐藏信息，检查是否具有暴露敏感信息风险并修复。</w:t>
      </w:r>
    </w:p>
    <w:p w14:paraId="264A4427">
      <w:pPr>
        <w:numPr>
          <w:ilvl w:val="12"/>
          <w:numId w:val="0"/>
        </w:numPr>
        <w:spacing w:line="360" w:lineRule="auto"/>
        <w:rPr>
          <w:rFonts w:ascii="Times New Roman" w:eastAsia="宋体" w:hAnsi="Times New Roman" w:cs="Times New Roman"/>
        </w:rPr>
      </w:pPr>
    </w:p>
    <w:p w14:paraId="17771A22">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17" w:name="_Toc4785"/>
      <w:bookmarkStart w:id="118" w:name="_Toc30172"/>
      <w:r>
        <w:rPr>
          <w:rFonts w:ascii="Times New Roman" w:eastAsia="宋体" w:hAnsi="Times New Roman" w:cs="Times New Roman" w:hint="eastAsia"/>
          <w:b/>
          <w:bCs/>
          <w:kern w:val="2"/>
          <w:sz w:val="30"/>
          <w:szCs w:val="32"/>
          <w:lang w:val="en-US" w:eastAsia="zh-CN" w:bidi="ar-SA"/>
        </w:rPr>
        <w:t>实况分析监控信息网页产品展示升级</w:t>
      </w:r>
      <w:bookmarkEnd w:id="117"/>
      <w:bookmarkEnd w:id="118"/>
    </w:p>
    <w:p w14:paraId="06D57BEC">
      <w:pPr>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为了满足插补流程、中国区域三维大气实况产品的正常运行，监控网站增加。确保主系统运行环节、平台发生故障时，实况分析系统</w:t>
      </w:r>
      <w:r>
        <w:rPr>
          <w:rFonts w:ascii="Times New Roman" w:eastAsia="宋体" w:hAnsi="Times New Roman" w:cs="Times New Roman" w:hint="eastAsia"/>
          <w:sz w:val="24"/>
          <w:szCs w:val="24"/>
          <w:lang w:val="en-US" w:eastAsia="zh-CN"/>
        </w:rPr>
        <w:t>仍</w:t>
      </w:r>
      <w:r>
        <w:rPr>
          <w:rFonts w:ascii="Times New Roman" w:eastAsia="宋体" w:hAnsi="Times New Roman" w:cs="Times New Roman" w:hint="eastAsia"/>
          <w:sz w:val="24"/>
          <w:szCs w:val="24"/>
        </w:rPr>
        <w:t>可正常运行。</w:t>
      </w:r>
    </w:p>
    <w:p w14:paraId="4BEAB8D6">
      <w:pPr>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（1）增加插补流程评估效果图和三维大气实况产品配置。</w:t>
      </w:r>
    </w:p>
    <w:p w14:paraId="1D8BDFFA">
      <w:pPr>
        <w:spacing w:line="360" w:lineRule="auto"/>
        <w:ind w:firstLine="480" w:firstLineChars="200"/>
        <w:rPr>
          <w:rFonts w:ascii="Times New Roman" w:eastAsia="宋体" w:hAnsi="Times New Roman" w:cs="Times New Roman"/>
        </w:rPr>
      </w:pPr>
      <w:r>
        <w:rPr>
          <w:rFonts w:ascii="Times New Roman" w:eastAsia="宋体" w:hAnsi="Times New Roman" w:cs="Times New Roman" w:hint="eastAsia"/>
          <w:sz w:val="24"/>
          <w:szCs w:val="24"/>
        </w:rPr>
        <w:t>（2）产品信息在W</w:t>
      </w:r>
      <w:r>
        <w:rPr>
          <w:rFonts w:ascii="Times New Roman" w:eastAsia="宋体" w:hAnsi="Times New Roman" w:cs="Times New Roman"/>
          <w:sz w:val="24"/>
          <w:szCs w:val="24"/>
        </w:rPr>
        <w:t>EB</w:t>
      </w:r>
      <w:r>
        <w:rPr>
          <w:rFonts w:ascii="Times New Roman" w:eastAsia="宋体" w:hAnsi="Times New Roman" w:cs="Times New Roman" w:hint="eastAsia"/>
          <w:sz w:val="24"/>
          <w:szCs w:val="24"/>
        </w:rPr>
        <w:t>端网页展示，方便及时查看到系统的各个环节的运行状态。</w:t>
      </w:r>
    </w:p>
    <w:p w14:paraId="60BFD98A">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19" w:name="_Toc107924825"/>
      <w:bookmarkEnd w:id="119"/>
      <w:bookmarkStart w:id="120" w:name="_Toc107925059"/>
      <w:bookmarkEnd w:id="120"/>
      <w:bookmarkStart w:id="121" w:name="_Toc107925061"/>
      <w:bookmarkEnd w:id="121"/>
      <w:bookmarkStart w:id="122" w:name="_Toc107924835"/>
      <w:bookmarkEnd w:id="122"/>
      <w:bookmarkStart w:id="123" w:name="_Toc107924821"/>
      <w:bookmarkEnd w:id="123"/>
      <w:bookmarkStart w:id="124" w:name="_Toc107924828"/>
      <w:bookmarkEnd w:id="124"/>
      <w:bookmarkStart w:id="125" w:name="_Toc107925065"/>
      <w:bookmarkEnd w:id="125"/>
      <w:bookmarkStart w:id="126" w:name="_Toc107925057"/>
      <w:bookmarkEnd w:id="126"/>
      <w:bookmarkStart w:id="127" w:name="_Toc107924833"/>
      <w:bookmarkEnd w:id="127"/>
      <w:bookmarkStart w:id="128" w:name="_Toc107925056"/>
      <w:bookmarkEnd w:id="128"/>
      <w:bookmarkStart w:id="129" w:name="_Toc107924820"/>
      <w:bookmarkEnd w:id="129"/>
      <w:bookmarkStart w:id="130" w:name="_Toc107925064"/>
      <w:bookmarkEnd w:id="130"/>
      <w:bookmarkStart w:id="131" w:name="_Toc107925058"/>
      <w:bookmarkEnd w:id="131"/>
      <w:bookmarkStart w:id="132" w:name="_Toc107924834"/>
      <w:bookmarkEnd w:id="132"/>
      <w:bookmarkStart w:id="133" w:name="_Toc107925049"/>
      <w:bookmarkEnd w:id="133"/>
      <w:bookmarkStart w:id="134" w:name="_Toc107925053"/>
      <w:bookmarkEnd w:id="134"/>
      <w:bookmarkStart w:id="135" w:name="_Toc107925051"/>
      <w:bookmarkEnd w:id="135"/>
      <w:bookmarkStart w:id="136" w:name="_Toc107924836"/>
      <w:bookmarkEnd w:id="136"/>
      <w:bookmarkStart w:id="137" w:name="_Toc107925052"/>
      <w:bookmarkEnd w:id="137"/>
      <w:bookmarkStart w:id="138" w:name="_Toc107924827"/>
      <w:bookmarkEnd w:id="138"/>
      <w:bookmarkStart w:id="139" w:name="_Toc107924823"/>
      <w:bookmarkEnd w:id="139"/>
      <w:bookmarkStart w:id="140" w:name="_Toc107924824"/>
      <w:bookmarkEnd w:id="140"/>
      <w:bookmarkStart w:id="141" w:name="_Toc107924832"/>
      <w:bookmarkEnd w:id="141"/>
      <w:bookmarkStart w:id="142" w:name="_Toc107924837"/>
      <w:bookmarkEnd w:id="142"/>
      <w:bookmarkStart w:id="143" w:name="_Toc107925066"/>
      <w:bookmarkEnd w:id="143"/>
      <w:bookmarkStart w:id="144" w:name="_Toc107925060"/>
      <w:bookmarkEnd w:id="144"/>
      <w:bookmarkStart w:id="145" w:name="_Toc107924831"/>
      <w:bookmarkEnd w:id="145"/>
      <w:bookmarkStart w:id="146" w:name="_Toc107924826"/>
      <w:bookmarkEnd w:id="146"/>
      <w:bookmarkStart w:id="147" w:name="_Toc107925054"/>
      <w:bookmarkEnd w:id="147"/>
      <w:bookmarkStart w:id="148" w:name="_Toc107925062"/>
      <w:bookmarkEnd w:id="148"/>
      <w:bookmarkStart w:id="149" w:name="_Toc107924822"/>
      <w:bookmarkEnd w:id="149"/>
      <w:bookmarkStart w:id="150" w:name="_Toc107924830"/>
      <w:bookmarkEnd w:id="150"/>
      <w:bookmarkStart w:id="151" w:name="_Toc107925063"/>
      <w:bookmarkEnd w:id="151"/>
      <w:bookmarkStart w:id="152" w:name="_Toc107925050"/>
      <w:bookmarkEnd w:id="152"/>
      <w:bookmarkStart w:id="153" w:name="_Toc107924829"/>
      <w:bookmarkEnd w:id="153"/>
      <w:bookmarkStart w:id="154" w:name="_Toc107925055"/>
      <w:bookmarkEnd w:id="154"/>
      <w:bookmarkStart w:id="155" w:name="_Toc4124"/>
      <w:bookmarkStart w:id="156" w:name="_Toc20421"/>
      <w:bookmarkStart w:id="157" w:name="_Toc3297"/>
      <w:bookmarkStart w:id="158" w:name="_Toc20544"/>
      <w:bookmarkStart w:id="159" w:name="_Toc176762809"/>
      <w:bookmarkStart w:id="160" w:name="_Toc176757447"/>
      <w:bookmarkStart w:id="161" w:name="_Toc161475271"/>
      <w:bookmarkStart w:id="162" w:name="_Toc176762294"/>
      <w:bookmarkStart w:id="163" w:name="_Toc107927249"/>
      <w:bookmarkStart w:id="164" w:name="_Toc138148071"/>
      <w:bookmarkStart w:id="165" w:name="_Toc107925096"/>
      <w:r>
        <w:rPr>
          <w:rFonts w:ascii="Times New Roman" w:eastAsia="宋体" w:hAnsi="Times New Roman" w:cs="Times New Roman" w:hint="eastAsia"/>
          <w:b/>
          <w:bCs/>
          <w:kern w:val="2"/>
          <w:sz w:val="30"/>
          <w:szCs w:val="32"/>
          <w:lang w:val="en-US" w:eastAsia="zh-CN" w:bidi="ar-SA"/>
        </w:rPr>
        <w:t>气象实况小程序</w:t>
      </w:r>
      <w:bookmarkEnd w:id="155"/>
      <w:r>
        <w:rPr>
          <w:rFonts w:ascii="Times New Roman" w:eastAsia="宋体" w:hAnsi="Times New Roman" w:cs="Times New Roman" w:hint="eastAsia"/>
          <w:b/>
          <w:bCs/>
          <w:kern w:val="2"/>
          <w:sz w:val="30"/>
          <w:szCs w:val="32"/>
          <w:lang w:val="en-US" w:eastAsia="zh-CN" w:bidi="ar-SA"/>
        </w:rPr>
        <w:t>降水质量的检查</w:t>
      </w:r>
      <w:bookmarkEnd w:id="156"/>
      <w:bookmarkEnd w:id="157"/>
      <w:bookmarkEnd w:id="158"/>
    </w:p>
    <w:p w14:paraId="33C39387">
      <w:pPr>
        <w:numPr>
          <w:ilvl w:val="12"/>
          <w:numId w:val="0"/>
        </w:numPr>
        <w:spacing w:line="360" w:lineRule="auto"/>
        <w:ind w:firstLine="480" w:firstLineChars="200"/>
        <w:rPr>
          <w:rFonts w:ascii="Times New Roman" w:eastAsia="宋体" w:hAnsi="Times New Roman" w:cs="Times New Roman" w:hint="eastAsia"/>
        </w:rPr>
      </w:pPr>
      <w:r>
        <w:rPr>
          <w:rFonts w:ascii="Times New Roman" w:eastAsia="宋体" w:hAnsi="Times New Roman" w:cs="Times New Roman" w:hint="eastAsia"/>
          <w:sz w:val="24"/>
          <w:szCs w:val="24"/>
          <w:lang w:val="en-US" w:eastAsia="zh-CN"/>
        </w:rPr>
        <w:t>自合同签订之日</w:t>
      </w:r>
      <w:r>
        <w:rPr>
          <w:rFonts w:ascii="Times New Roman" w:eastAsia="宋体" w:hAnsi="Times New Roman" w:cs="Times New Roman" w:hint="eastAsia"/>
          <w:sz w:val="24"/>
          <w:szCs w:val="24"/>
        </w:rPr>
        <w:t>到2027年6月30日，中国气象局三级响应或者更高级别响应以及中国气象局要求的重大活动保障期间，对“气象实况小程序”上北京及应急响应区域进行降水空间分布异常的检查，检查范围包括：异常小值，异常大值，空间分布异常（雷达边界的圆圈降水、雷达边界辐射降水）。</w:t>
      </w:r>
    </w:p>
    <w:p w14:paraId="38E69A6D">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66" w:name="_Toc20312"/>
      <w:bookmarkStart w:id="167" w:name="_Toc30937"/>
      <w:bookmarkStart w:id="168" w:name="_Toc231805361"/>
      <w:r>
        <w:rPr>
          <w:rFonts w:ascii="Times New Roman" w:eastAsia="宋体" w:hAnsi="Times New Roman" w:cs="Times New Roman" w:hint="eastAsia"/>
          <w:b/>
          <w:bCs/>
          <w:kern w:val="2"/>
          <w:sz w:val="30"/>
          <w:szCs w:val="32"/>
          <w:lang w:val="en-US" w:eastAsia="zh-CN" w:bidi="ar-SA"/>
        </w:rPr>
        <w:t>基础数据产品和新型垂直观测数据产品质量周报工具开发与周报分析</w:t>
      </w:r>
      <w:bookmarkEnd w:id="166"/>
      <w:bookmarkEnd w:id="167"/>
      <w:bookmarkEnd w:id="168"/>
    </w:p>
    <w:p w14:paraId="7045CC3C">
      <w:pPr>
        <w:numPr>
          <w:ilvl w:val="0"/>
          <w:numId w:val="12"/>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概述</w:t>
      </w:r>
    </w:p>
    <w:p w14:paraId="46504E0E">
      <w:pPr>
        <w:spacing w:line="360" w:lineRule="auto"/>
        <w:ind w:firstLine="315"/>
        <w:rPr>
          <w:rFonts w:ascii="Times New Roman" w:eastAsia="宋体" w:hAnsi="Times New Roman" w:cs="Times New Roman"/>
        </w:rPr>
      </w:pPr>
      <w:r>
        <w:rPr>
          <w:rFonts w:ascii="Times New Roman" w:eastAsia="宋体" w:hAnsi="Times New Roman" w:cs="Times New Roman" w:hint="eastAsia"/>
          <w:sz w:val="24"/>
          <w:szCs w:val="24"/>
        </w:rPr>
        <w:t>目前，部分产品已经应用于国家气象中心、国家气候中心等国家级核心业务单位，以及全国各省市县业务系统中。</w:t>
      </w:r>
      <w:r>
        <w:rPr>
          <w:rFonts w:ascii="Times New Roman" w:eastAsia="宋体" w:hAnsi="Times New Roman" w:cs="Times New Roman"/>
          <w:sz w:val="24"/>
          <w:szCs w:val="24"/>
        </w:rPr>
        <w:t>为实时生成产品提供稳定的服务保障</w:t>
      </w:r>
      <w:r>
        <w:rPr>
          <w:rFonts w:ascii="Times New Roman" w:eastAsia="宋体" w:hAnsi="Times New Roman" w:cs="Times New Roman" w:hint="eastAsia"/>
          <w:sz w:val="24"/>
          <w:szCs w:val="24"/>
        </w:rPr>
        <w:t>，开发一套针对实时运行生成产品的周报工具，确保产品的质量得到保证。</w:t>
      </w:r>
    </w:p>
    <w:p w14:paraId="00407FBF">
      <w:pPr>
        <w:numPr>
          <w:ilvl w:val="0"/>
          <w:numId w:val="12"/>
        </w:numPr>
        <w:spacing w:line="360" w:lineRule="auto"/>
        <w:ind w:left="0" w:firstLine="0" w:leftChars="0" w:firstLineChars="0"/>
        <w:rPr>
          <w:rFonts w:ascii="Times New Roman" w:eastAsia="宋体" w:hAnsi="Times New Roman" w:cs="Times New Roman" w:hint="eastAsia"/>
          <w:b/>
        </w:rPr>
      </w:pPr>
      <w:r>
        <w:rPr>
          <w:rFonts w:ascii="Times New Roman" w:eastAsia="宋体" w:hAnsi="Times New Roman" w:cs="Times New Roman" w:hint="eastAsia"/>
          <w:b/>
          <w:sz w:val="24"/>
          <w:szCs w:val="24"/>
        </w:rPr>
        <w:t>功能要求</w:t>
      </w:r>
    </w:p>
    <w:p w14:paraId="1F182537">
      <w:pPr>
        <w:numPr>
          <w:ilvl w:val="0"/>
          <w:numId w:val="13"/>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rPr>
        <w:t>根据当前的产品清单</w:t>
      </w:r>
      <w:r>
        <w:rPr>
          <w:rFonts w:ascii="Times New Roman" w:eastAsia="宋体" w:hAnsi="Times New Roman" w:cs="Times New Roman"/>
          <w:sz w:val="24"/>
          <w:szCs w:val="24"/>
        </w:rPr>
        <w:t>，掌握</w:t>
      </w:r>
      <w:r>
        <w:rPr>
          <w:rFonts w:ascii="Times New Roman" w:eastAsia="宋体" w:hAnsi="Times New Roman" w:cs="Times New Roman" w:hint="eastAsia"/>
          <w:sz w:val="24"/>
          <w:szCs w:val="24"/>
        </w:rPr>
        <w:t>不同类型产品生成的时效性</w:t>
      </w:r>
      <w:r>
        <w:rPr>
          <w:rFonts w:ascii="Times New Roman" w:eastAsia="宋体" w:hAnsi="Times New Roman" w:cs="Times New Roman"/>
          <w:sz w:val="24"/>
          <w:szCs w:val="24"/>
        </w:rPr>
        <w:t>，</w:t>
      </w:r>
      <w:r>
        <w:rPr>
          <w:rFonts w:ascii="Times New Roman" w:eastAsia="宋体" w:hAnsi="Times New Roman" w:cs="Times New Roman" w:hint="eastAsia"/>
          <w:sz w:val="24"/>
          <w:szCs w:val="24"/>
        </w:rPr>
        <w:t>通过开发产品周报工具，</w:t>
      </w:r>
      <w:r>
        <w:rPr>
          <w:rFonts w:ascii="Times New Roman" w:eastAsia="宋体" w:hAnsi="Times New Roman" w:cs="Times New Roman"/>
          <w:sz w:val="24"/>
          <w:szCs w:val="24"/>
        </w:rPr>
        <w:t>能够在</w:t>
      </w:r>
      <w:r>
        <w:rPr>
          <w:rFonts w:ascii="Times New Roman" w:eastAsia="宋体" w:hAnsi="Times New Roman" w:cs="Times New Roman" w:hint="eastAsia"/>
          <w:sz w:val="24"/>
          <w:szCs w:val="24"/>
        </w:rPr>
        <w:t>固定时间段内执行，并产出产品质量周报，评估各套产品数据的连续性、完整性。完成产品的质量检查</w:t>
      </w:r>
      <w:r>
        <w:rPr>
          <w:rFonts w:ascii="Times New Roman" w:eastAsia="宋体" w:hAnsi="Times New Roman" w:cs="Times New Roman"/>
          <w:sz w:val="24"/>
          <w:szCs w:val="24"/>
        </w:rPr>
        <w:t>，</w:t>
      </w:r>
      <w:r>
        <w:rPr>
          <w:rFonts w:ascii="Times New Roman" w:eastAsia="宋体" w:hAnsi="Times New Roman" w:cs="Times New Roman" w:hint="eastAsia"/>
          <w:sz w:val="24"/>
          <w:szCs w:val="24"/>
        </w:rPr>
        <w:t>对产品质量周报中发现异常的产品，即时与甲方进行汇报沟通，及时按需优化算法模块，提高系统产品的稳定性和时效性，及时完成历史数据的回算和补算。</w:t>
      </w:r>
      <w:r>
        <w:rPr>
          <w:rFonts w:ascii="Times New Roman" w:eastAsia="宋体" w:hAnsi="Times New Roman" w:cs="Times New Roman"/>
          <w:sz w:val="24"/>
          <w:szCs w:val="24"/>
        </w:rPr>
        <w:t xml:space="preserve"> </w:t>
      </w:r>
    </w:p>
    <w:p w14:paraId="5329EDD6">
      <w:pPr>
        <w:numPr>
          <w:ilvl w:val="0"/>
          <w:numId w:val="13"/>
        </w:numPr>
        <w:spacing w:line="360" w:lineRule="auto"/>
        <w:ind w:left="425" w:hanging="425" w:leftChars="0" w:firstLineChars="0"/>
        <w:rPr>
          <w:rFonts w:ascii="Times New Roman" w:eastAsia="宋体" w:hAnsi="Times New Roman" w:cs="Times New Roman"/>
        </w:rPr>
      </w:pPr>
      <w:r>
        <w:rPr>
          <w:rFonts w:ascii="Times New Roman" w:eastAsia="宋体" w:hAnsi="Times New Roman" w:cs="Times New Roman" w:hint="eastAsia"/>
          <w:sz w:val="24"/>
          <w:szCs w:val="24"/>
        </w:rPr>
        <w:t>逐周对各功能所在的节点，开展日常巡检，根据日常巡检情况对产品生成情况进行日志记录。</w:t>
      </w:r>
    </w:p>
    <w:p w14:paraId="18229210">
      <w:pPr>
        <w:keepNext/>
        <w:keepLines/>
        <w:widowControl w:val="0"/>
        <w:numPr>
          <w:ilvl w:val="1"/>
          <w:numId w:val="4"/>
        </w:numPr>
        <w:spacing w:before="260" w:after="260" w:line="416" w:lineRule="auto"/>
        <w:jc w:val="both"/>
        <w:outlineLvl w:val="1"/>
        <w:rPr>
          <w:rFonts w:ascii="Times New Roman" w:eastAsia="宋体" w:hAnsi="Times New Roman" w:cs="Times New Roman"/>
          <w:b/>
          <w:bCs/>
          <w:sz w:val="30"/>
          <w:szCs w:val="32"/>
        </w:rPr>
      </w:pPr>
      <w:bookmarkStart w:id="169" w:name="_Toc1995"/>
      <w:bookmarkStart w:id="170" w:name="_Toc231805362"/>
      <w:bookmarkStart w:id="171" w:name="_Toc3745"/>
      <w:r>
        <w:rPr>
          <w:rFonts w:ascii="Times New Roman" w:eastAsia="宋体" w:hAnsi="Times New Roman" w:cs="Times New Roman" w:hint="eastAsia"/>
          <w:b/>
          <w:bCs/>
          <w:kern w:val="2"/>
          <w:sz w:val="30"/>
          <w:szCs w:val="32"/>
          <w:lang w:val="en-US" w:eastAsia="zh-CN" w:bidi="ar-SA"/>
        </w:rPr>
        <w:t>基础数据产品和新型垂直观测数据产品服务器定时调度功能优化</w:t>
      </w:r>
      <w:bookmarkEnd w:id="169"/>
      <w:bookmarkEnd w:id="170"/>
      <w:bookmarkEnd w:id="171"/>
    </w:p>
    <w:p w14:paraId="1E32ED40">
      <w:pPr>
        <w:numPr>
          <w:ilvl w:val="0"/>
          <w:numId w:val="14"/>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概述</w:t>
      </w:r>
    </w:p>
    <w:p w14:paraId="52BC18B0">
      <w:pPr>
        <w:spacing w:line="360" w:lineRule="auto"/>
        <w:ind w:firstLine="315"/>
        <w:rPr>
          <w:rFonts w:ascii="Times New Roman" w:eastAsia="宋体" w:hAnsi="Times New Roman" w:cs="Times New Roman"/>
        </w:rPr>
      </w:pPr>
      <w:r>
        <w:rPr>
          <w:rFonts w:ascii="Times New Roman" w:eastAsia="宋体" w:hAnsi="Times New Roman" w:cs="Times New Roman"/>
          <w:sz w:val="24"/>
          <w:szCs w:val="24"/>
        </w:rPr>
        <w:t>当前</w:t>
      </w:r>
      <w:r>
        <w:rPr>
          <w:rFonts w:ascii="Times New Roman" w:eastAsia="宋体" w:hAnsi="Times New Roman" w:cs="Times New Roman" w:hint="eastAsia"/>
          <w:sz w:val="24"/>
          <w:szCs w:val="24"/>
        </w:rPr>
        <w:t>部分产品的检验评估工作、国网产品产出工作等功能，均部署在基础数据评估服务器中，</w:t>
      </w:r>
      <w:r>
        <w:rPr>
          <w:rFonts w:ascii="Times New Roman" w:eastAsia="宋体" w:hAnsi="Times New Roman" w:cs="Times New Roman"/>
          <w:sz w:val="24"/>
          <w:szCs w:val="24"/>
        </w:rPr>
        <w:t>当前服务器采用系统原生 Crontab 进行定时任务管理，各用户独立维护各自的 Crontab 配置文件，缺乏集中管控手段。</w:t>
      </w:r>
    </w:p>
    <w:p w14:paraId="705BFEE1">
      <w:pPr>
        <w:spacing w:line="360" w:lineRule="auto"/>
        <w:ind w:firstLine="315"/>
        <w:rPr>
          <w:rFonts w:ascii="Times New Roman" w:eastAsia="宋体" w:hAnsi="Times New Roman" w:cs="Times New Roman"/>
        </w:rPr>
      </w:pPr>
      <w:r>
        <w:rPr>
          <w:rFonts w:ascii="Times New Roman" w:eastAsia="宋体" w:hAnsi="Times New Roman" w:cs="Times New Roman"/>
          <w:sz w:val="24"/>
          <w:szCs w:val="24"/>
        </w:rPr>
        <w:t>这一模式存在以下突出问题：</w:t>
      </w:r>
    </w:p>
    <w:p w14:paraId="15F1CAE0">
      <w:pPr>
        <w:widowControl w:val="0"/>
        <w:numPr>
          <w:ilvl w:val="0"/>
          <w:numId w:val="15"/>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任务不可见，管理员无法从全局视角掌握服务器上所有定时任务的分布、调度计划及执行状态；</w:t>
      </w:r>
    </w:p>
    <w:p w14:paraId="14DD7594">
      <w:pPr>
        <w:widowControl w:val="0"/>
        <w:numPr>
          <w:ilvl w:val="0"/>
          <w:numId w:val="15"/>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缺乏统一的日志记录与异常告警机制，任务执行失败后无法第一时间发现，排查依赖人工登录服务器检索分散的日志文件；</w:t>
      </w:r>
    </w:p>
    <w:p w14:paraId="44D4E3F8">
      <w:pPr>
        <w:widowControl w:val="0"/>
        <w:numPr>
          <w:ilvl w:val="0"/>
          <w:numId w:val="15"/>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人员变动时，历史</w:t>
      </w:r>
      <w:r>
        <w:rPr>
          <w:rFonts w:ascii="Times New Roman" w:eastAsia="宋体" w:hAnsi="Times New Roman" w:cs="Times New Roman"/>
          <w:kern w:val="2"/>
          <w:sz w:val="24"/>
          <w:szCs w:val="24"/>
          <w:lang w:val="en-US" w:eastAsia="zh-CN" w:bidi="ar-SA"/>
        </w:rPr>
        <w:t xml:space="preserve"> Crontab </w:t>
      </w:r>
      <w:r>
        <w:rPr>
          <w:rFonts w:ascii="Times New Roman" w:eastAsia="宋体" w:hAnsi="Times New Roman" w:cs="Times New Roman" w:hint="eastAsia"/>
          <w:kern w:val="2"/>
          <w:sz w:val="24"/>
          <w:szCs w:val="24"/>
          <w:lang w:val="en-US" w:eastAsia="zh-CN" w:bidi="ar-SA"/>
        </w:rPr>
        <w:t>配置难以追溯和交接，存在任务遗漏与安全性风险；</w:t>
      </w:r>
    </w:p>
    <w:p w14:paraId="23ABC307">
      <w:pPr>
        <w:widowControl w:val="0"/>
        <w:numPr>
          <w:ilvl w:val="0"/>
          <w:numId w:val="15"/>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kern w:val="2"/>
          <w:sz w:val="24"/>
          <w:szCs w:val="24"/>
          <w:lang w:val="en-US" w:eastAsia="zh-CN" w:bidi="ar-SA"/>
        </w:rPr>
        <w:t xml:space="preserve">Crontab </w:t>
      </w:r>
      <w:r>
        <w:rPr>
          <w:rFonts w:ascii="Times New Roman" w:eastAsia="宋体" w:hAnsi="Times New Roman" w:cs="Times New Roman" w:hint="eastAsia"/>
          <w:kern w:val="2"/>
          <w:sz w:val="24"/>
          <w:szCs w:val="24"/>
          <w:lang w:val="en-US" w:eastAsia="zh-CN" w:bidi="ar-SA"/>
        </w:rPr>
        <w:t>本身不具备任务依赖管理、失败重试、超时控制等调度运维能力，所有容错逻辑均需在脚本层面自行实现，增加了维护复杂度。</w:t>
      </w:r>
    </w:p>
    <w:p w14:paraId="3B7EB23B">
      <w:pPr>
        <w:widowControl w:val="0"/>
        <w:numPr>
          <w:ilvl w:val="0"/>
          <w:numId w:val="15"/>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现有模式在可观测性、可运维性和可治理性方面已无法满足业务发展的要求，亟需引入集约化的定时调度工具。</w:t>
      </w:r>
    </w:p>
    <w:p w14:paraId="6B9CE18C">
      <w:pPr>
        <w:numPr>
          <w:ilvl w:val="0"/>
          <w:numId w:val="14"/>
        </w:numPr>
        <w:spacing w:line="360" w:lineRule="auto"/>
        <w:ind w:left="0" w:firstLine="0" w:leftChars="0" w:firstLineChars="0"/>
        <w:rPr>
          <w:rFonts w:ascii="Times New Roman" w:eastAsia="宋体" w:hAnsi="Times New Roman" w:cs="Times New Roman" w:hint="eastAsia"/>
          <w:b/>
        </w:rPr>
      </w:pPr>
      <w:r>
        <w:rPr>
          <w:rFonts w:ascii="Times New Roman" w:eastAsia="宋体" w:hAnsi="Times New Roman" w:cs="Times New Roman" w:hint="eastAsia"/>
          <w:b/>
          <w:sz w:val="24"/>
          <w:szCs w:val="24"/>
        </w:rPr>
        <w:t>功能要求</w:t>
      </w:r>
    </w:p>
    <w:p w14:paraId="3DBD1815">
      <w:pPr>
        <w:widowControl w:val="0"/>
        <w:numPr>
          <w:ilvl w:val="0"/>
          <w:numId w:val="16"/>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梳理当前服务器所有的定时任务</w:t>
      </w:r>
      <w:r>
        <w:rPr>
          <w:rFonts w:ascii="Times New Roman" w:eastAsia="宋体" w:hAnsi="Times New Roman" w:cs="Times New Roman"/>
          <w:kern w:val="2"/>
          <w:sz w:val="24"/>
          <w:szCs w:val="24"/>
          <w:lang w:val="en-US" w:eastAsia="zh-CN" w:bidi="ar-SA"/>
        </w:rPr>
        <w:t>，</w:t>
      </w:r>
      <w:r>
        <w:rPr>
          <w:rFonts w:ascii="Times New Roman" w:eastAsia="宋体" w:hAnsi="Times New Roman" w:cs="Times New Roman" w:hint="eastAsia"/>
          <w:kern w:val="2"/>
          <w:sz w:val="24"/>
          <w:szCs w:val="24"/>
          <w:lang w:val="en-US" w:eastAsia="zh-CN" w:bidi="ar-SA"/>
        </w:rPr>
        <w:t>并与各自账户负责人确认，形成定时任务清单</w:t>
      </w:r>
    </w:p>
    <w:p w14:paraId="2266641D">
      <w:pPr>
        <w:widowControl w:val="0"/>
        <w:numPr>
          <w:ilvl w:val="0"/>
          <w:numId w:val="16"/>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提供统一的 Web 管理界面，将所有定时任务纳入单一工具进行创建、编辑、启停和删除操作，替代分散的 Crontab 配置，实现任务资产的可视化与集中管控。</w:t>
      </w:r>
    </w:p>
    <w:p w14:paraId="37801237">
      <w:pPr>
        <w:widowControl w:val="0"/>
        <w:numPr>
          <w:ilvl w:val="0"/>
          <w:numId w:val="16"/>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工具应记录每次任务执行的完整日志，支持实时查看与历史回溯；提供任务执行状态（成功/失败/运行中）的实时展示。</w:t>
      </w:r>
    </w:p>
    <w:p w14:paraId="3194B001">
      <w:pPr>
        <w:widowControl w:val="0"/>
        <w:numPr>
          <w:ilvl w:val="0"/>
          <w:numId w:val="16"/>
        </w:numPr>
        <w:spacing w:line="360" w:lineRule="auto"/>
        <w:ind w:left="425" w:hanging="425" w:leftChars="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支持任务超时自动终止、失败自动重试。</w:t>
      </w:r>
    </w:p>
    <w:p w14:paraId="7DABE653">
      <w:pPr>
        <w:numPr>
          <w:ilvl w:val="12"/>
          <w:numId w:val="0"/>
        </w:numPr>
        <w:spacing w:line="360" w:lineRule="auto"/>
        <w:rPr>
          <w:rFonts w:ascii="Times New Roman" w:eastAsia="宋体" w:hAnsi="Times New Roman" w:cs="Times New Roman" w:hint="eastAsia"/>
        </w:rPr>
      </w:pPr>
    </w:p>
    <w:p w14:paraId="635C9140">
      <w:pPr>
        <w:keepNext/>
        <w:keepLines/>
        <w:widowControl w:val="0"/>
        <w:numPr>
          <w:ilvl w:val="1"/>
          <w:numId w:val="4"/>
        </w:numPr>
        <w:spacing w:before="260" w:after="260" w:line="416" w:lineRule="auto"/>
        <w:jc w:val="both"/>
        <w:outlineLvl w:val="1"/>
        <w:rPr>
          <w:rFonts w:ascii="Times New Roman" w:eastAsia="宋体" w:hAnsi="Times New Roman" w:cs="Times New Roman" w:hint="eastAsia"/>
          <w:b/>
          <w:bCs/>
          <w:sz w:val="30"/>
          <w:szCs w:val="32"/>
        </w:rPr>
      </w:pPr>
      <w:bookmarkStart w:id="172" w:name="_Toc8095"/>
      <w:bookmarkStart w:id="173" w:name="_Toc26139"/>
      <w:bookmarkStart w:id="174" w:name="_Toc14830"/>
      <w:r>
        <w:rPr>
          <w:rFonts w:ascii="Times New Roman" w:eastAsia="宋体" w:hAnsi="Times New Roman" w:cs="Times New Roman" w:hint="eastAsia"/>
          <w:b/>
          <w:bCs/>
          <w:kern w:val="2"/>
          <w:sz w:val="30"/>
          <w:szCs w:val="32"/>
          <w:lang w:val="en-US" w:eastAsia="zh-CN" w:bidi="ar-SA"/>
        </w:rPr>
        <w:t>雷达产品质量监视与维护</w:t>
      </w:r>
      <w:bookmarkEnd w:id="172"/>
      <w:bookmarkEnd w:id="173"/>
      <w:bookmarkEnd w:id="174"/>
    </w:p>
    <w:p w14:paraId="3FEFD692">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bookmarkStart w:id="175" w:name="_Toc15042"/>
      <w:bookmarkStart w:id="176" w:name="_Toc24228"/>
      <w:bookmarkStart w:id="177" w:name="_Toc21260"/>
      <w:r>
        <w:rPr>
          <w:rFonts w:ascii="Arial" w:eastAsia="黑体" w:hAnsi="Arial" w:cs="Times New Roman" w:hint="eastAsia"/>
          <w:b/>
          <w:bCs/>
          <w:kern w:val="2"/>
          <w:sz w:val="28"/>
          <w:szCs w:val="32"/>
          <w:lang w:val="en-US" w:eastAsia="zh-CN" w:bidi="ar-SA"/>
        </w:rPr>
        <w:t>国家级雷达实时产品质量监视</w:t>
      </w:r>
      <w:bookmarkEnd w:id="175"/>
      <w:bookmarkEnd w:id="176"/>
      <w:bookmarkEnd w:id="177"/>
    </w:p>
    <w:p w14:paraId="706F0233">
      <w:pPr>
        <w:numPr>
          <w:ilvl w:val="0"/>
          <w:numId w:val="17"/>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概述</w:t>
      </w:r>
    </w:p>
    <w:p w14:paraId="4947F0B1">
      <w:pPr>
        <w:spacing w:line="360" w:lineRule="auto"/>
        <w:ind w:firstLine="315"/>
        <w:rPr>
          <w:rFonts w:ascii="Times New Roman" w:eastAsia="宋体" w:hAnsi="Times New Roman" w:cs="Times New Roman" w:hint="default"/>
        </w:rPr>
      </w:pPr>
      <w:r>
        <w:rPr>
          <w:rFonts w:ascii="Times New Roman" w:eastAsia="宋体" w:hAnsi="Times New Roman" w:cs="Times New Roman" w:hint="eastAsia"/>
          <w:sz w:val="24"/>
          <w:szCs w:val="24"/>
          <w:lang w:val="en-US" w:eastAsia="zh-CN"/>
        </w:rPr>
        <w:t xml:space="preserve">  </w:t>
      </w:r>
      <w:r>
        <w:rPr>
          <w:rFonts w:ascii="Times New Roman" w:eastAsia="宋体" w:hAnsi="Times New Roman" w:cs="Times New Roman"/>
          <w:sz w:val="24"/>
          <w:szCs w:val="24"/>
          <w:lang w:val="en-US" w:eastAsia="zh-CN"/>
        </w:rPr>
        <w:t>突破传统二维平面产品单点、单层的</w:t>
      </w:r>
      <w:r>
        <w:rPr>
          <w:rFonts w:ascii="Times New Roman" w:eastAsia="宋体" w:hAnsi="Times New Roman" w:cs="Times New Roman" w:hint="eastAsia"/>
          <w:sz w:val="24"/>
          <w:szCs w:val="24"/>
          <w:lang w:val="en-US" w:eastAsia="zh-CN"/>
        </w:rPr>
        <w:t>数据质量</w:t>
      </w:r>
      <w:r>
        <w:rPr>
          <w:rFonts w:ascii="Times New Roman" w:eastAsia="宋体" w:hAnsi="Times New Roman" w:cs="Times New Roman"/>
          <w:sz w:val="24"/>
          <w:szCs w:val="24"/>
          <w:lang w:val="en-US" w:eastAsia="zh-CN"/>
        </w:rPr>
        <w:t>评估局限，结合三维风场</w:t>
      </w:r>
      <w:r>
        <w:rPr>
          <w:rFonts w:ascii="Times New Roman" w:eastAsia="宋体" w:hAnsi="Times New Roman" w:cs="Times New Roman" w:hint="eastAsia"/>
          <w:sz w:val="24"/>
          <w:szCs w:val="24"/>
          <w:lang w:val="en-US" w:eastAsia="zh-CN"/>
        </w:rPr>
        <w:t>多</w:t>
      </w:r>
      <w:r>
        <w:rPr>
          <w:rFonts w:ascii="Times New Roman" w:eastAsia="宋体" w:hAnsi="Times New Roman" w:cs="Times New Roman"/>
          <w:sz w:val="24"/>
          <w:szCs w:val="24"/>
          <w:lang w:val="en-US" w:eastAsia="zh-CN"/>
        </w:rPr>
        <w:t>垂直层级、全空间覆盖的立体数据特征，搭建分层级、立体化、全维度的实时质量评估体系</w:t>
      </w:r>
      <w:r>
        <w:rPr>
          <w:rFonts w:ascii="Times New Roman" w:eastAsia="宋体" w:hAnsi="Times New Roman" w:cs="Times New Roman" w:hint="eastAsia"/>
          <w:sz w:val="24"/>
          <w:szCs w:val="24"/>
          <w:lang w:val="en-US" w:eastAsia="zh-CN"/>
        </w:rPr>
        <w:t>与可视化展示模块，</w:t>
      </w:r>
      <w:r>
        <w:rPr>
          <w:rFonts w:ascii="Times New Roman" w:eastAsia="宋体" w:hAnsi="Times New Roman" w:cs="Times New Roman"/>
          <w:sz w:val="24"/>
          <w:szCs w:val="24"/>
          <w:lang w:val="en-US" w:eastAsia="zh-CN"/>
        </w:rPr>
        <w:t>依托</w:t>
      </w:r>
      <w:r>
        <w:rPr>
          <w:rFonts w:ascii="Times New Roman" w:eastAsia="宋体" w:hAnsi="Times New Roman" w:cs="Times New Roman" w:hint="eastAsia"/>
          <w:sz w:val="24"/>
          <w:szCs w:val="24"/>
          <w:lang w:val="en-US" w:eastAsia="zh-CN"/>
        </w:rPr>
        <w:t>探空、</w:t>
      </w:r>
      <w:r>
        <w:rPr>
          <w:rFonts w:ascii="Times New Roman" w:eastAsia="宋体" w:hAnsi="Times New Roman" w:cs="Times New Roman"/>
          <w:sz w:val="24"/>
          <w:szCs w:val="24"/>
          <w:lang w:val="en-US" w:eastAsia="zh-CN"/>
        </w:rPr>
        <w:t>风廓线雷达、激光雷达高精度观测数据，构建三维专属</w:t>
      </w:r>
      <w:r>
        <w:rPr>
          <w:rFonts w:ascii="Times New Roman" w:eastAsia="宋体" w:hAnsi="Times New Roman" w:cs="Times New Roman" w:hint="eastAsia"/>
          <w:sz w:val="24"/>
          <w:szCs w:val="24"/>
          <w:lang w:val="en-US" w:eastAsia="zh-CN"/>
        </w:rPr>
        <w:t>检验</w:t>
      </w:r>
      <w:r>
        <w:rPr>
          <w:rFonts w:ascii="Times New Roman" w:eastAsia="宋体" w:hAnsi="Times New Roman" w:cs="Times New Roman"/>
          <w:sz w:val="24"/>
          <w:szCs w:val="24"/>
          <w:lang w:val="en-US" w:eastAsia="zh-CN"/>
        </w:rPr>
        <w:t>体系和交互式可视化能力，全面提升三维风场产品业务可用性、精准度与展示专业性</w:t>
      </w:r>
      <w:r>
        <w:rPr>
          <w:rFonts w:ascii="Times New Roman" w:eastAsia="宋体" w:hAnsi="Times New Roman" w:cs="Times New Roman" w:hint="eastAsia"/>
          <w:sz w:val="24"/>
          <w:szCs w:val="24"/>
          <w:lang w:val="en-US" w:eastAsia="zh-CN"/>
        </w:rPr>
        <w:t>。</w:t>
      </w:r>
    </w:p>
    <w:p w14:paraId="2C354F42">
      <w:pPr>
        <w:spacing w:line="360" w:lineRule="auto"/>
        <w:ind w:firstLine="480" w:firstLineChars="200"/>
        <w:rPr>
          <w:rFonts w:ascii="宋体" w:eastAsia="宋体" w:hAnsi="宋体" w:cs="宋体" w:hint="eastAsia"/>
          <w:color w:val="000000"/>
          <w:highlight w:val="none"/>
        </w:rPr>
      </w:pPr>
      <w:r>
        <w:rPr>
          <w:rFonts w:ascii="Times New Roman" w:eastAsia="宋体" w:hAnsi="Times New Roman" w:cs="Times New Roman" w:hint="eastAsia"/>
          <w:sz w:val="24"/>
          <w:szCs w:val="24"/>
          <w:lang w:val="en-US" w:eastAsia="zh-CN"/>
        </w:rPr>
        <w:t xml:space="preserve"> </w:t>
      </w:r>
    </w:p>
    <w:p w14:paraId="789EDFF1">
      <w:pPr>
        <w:numPr>
          <w:ilvl w:val="0"/>
          <w:numId w:val="17"/>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功能要求</w:t>
      </w:r>
    </w:p>
    <w:p w14:paraId="5781BD85">
      <w:pPr>
        <w:widowControl w:val="0"/>
        <w:numPr>
          <w:ilvl w:val="0"/>
          <w:numId w:val="18"/>
        </w:numPr>
        <w:spacing w:line="360" w:lineRule="auto"/>
        <w:ind w:left="425" w:hanging="425" w:leftChars="0" w:firstLineChars="0"/>
        <w:jc w:val="both"/>
        <w:rPr>
          <w:rFonts w:ascii="宋体" w:eastAsia="宋体" w:hAnsi="宋体" w:cs="宋体" w:hint="eastAsia"/>
          <w:color w:val="000000"/>
          <w:highlight w:val="none"/>
        </w:rPr>
      </w:pPr>
      <w:r>
        <w:rPr>
          <w:rFonts w:ascii="宋体" w:eastAsia="宋体" w:hAnsi="宋体" w:cs="宋体" w:hint="eastAsia"/>
          <w:b/>
          <w:bCs/>
          <w:color w:val="000000"/>
          <w:kern w:val="2"/>
          <w:sz w:val="24"/>
          <w:szCs w:val="24"/>
          <w:highlight w:val="none"/>
          <w:lang w:val="en-US" w:eastAsia="zh-CN" w:bidi="ar-SA"/>
        </w:rPr>
        <w:t>开发实时产品质量评估模块：</w:t>
      </w:r>
      <w:r>
        <w:rPr>
          <w:rFonts w:ascii="Times New Roman" w:eastAsia="宋体" w:hAnsi="Times New Roman" w:cs="Times New Roman" w:hint="eastAsia"/>
          <w:kern w:val="2"/>
          <w:sz w:val="24"/>
          <w:szCs w:val="24"/>
          <w:lang w:val="en-US" w:eastAsia="zh-CN" w:bidi="ar-SA"/>
        </w:rPr>
        <w:t xml:space="preserve"> </w:t>
      </w:r>
      <w:r>
        <w:rPr>
          <w:rFonts w:ascii="Times New Roman" w:eastAsia="宋体" w:hAnsi="Times New Roman" w:cs="Times New Roman"/>
          <w:kern w:val="2"/>
          <w:sz w:val="24"/>
          <w:szCs w:val="24"/>
          <w:lang w:val="en-US" w:eastAsia="zh-CN" w:bidi="ar-SA"/>
        </w:rPr>
        <w:t>结合三维风场多垂直层级、全空间覆盖的立体数据特征，搭建分层级、立体化、全维度的实时质量评估体系。模块以</w:t>
      </w:r>
      <w:r>
        <w:rPr>
          <w:rFonts w:ascii="Times New Roman" w:eastAsia="宋体" w:hAnsi="Times New Roman" w:cs="Times New Roman" w:hint="eastAsia"/>
          <w:kern w:val="2"/>
          <w:sz w:val="24"/>
          <w:szCs w:val="24"/>
          <w:lang w:val="en-US" w:eastAsia="zh-CN" w:bidi="ar-SA"/>
        </w:rPr>
        <w:t>探空、</w:t>
      </w:r>
      <w:r>
        <w:rPr>
          <w:rFonts w:ascii="Times New Roman" w:eastAsia="宋体" w:hAnsi="Times New Roman" w:cs="Times New Roman"/>
          <w:kern w:val="2"/>
          <w:sz w:val="24"/>
          <w:szCs w:val="24"/>
          <w:lang w:val="en-US" w:eastAsia="zh-CN" w:bidi="ar-SA"/>
        </w:rPr>
        <w:t>风廓线雷达、激光雷达高精度实测数据为真值参照，摒弃传统平面统一评估模式，可针对不同垂直高度层、不同立体空间分区开展差异化质量评估，精准甄别各高度层、各空间区域的风场数据偏差与异常问题。</w:t>
      </w:r>
      <w:r>
        <w:rPr>
          <w:rFonts w:ascii="宋体" w:eastAsia="宋体" w:hAnsi="宋体" w:cs="宋体" w:hint="eastAsia"/>
          <w:color w:val="000000"/>
          <w:kern w:val="2"/>
          <w:sz w:val="24"/>
          <w:szCs w:val="24"/>
          <w:highlight w:val="none"/>
          <w:lang w:val="en-US" w:eastAsia="zh-CN" w:bidi="ar-SA"/>
        </w:rPr>
        <w:t>评估指标至少包括平均绝对误差、均方误差、均方根误差、平均相对误差、偏差、相关系数等，同时应包含产品完整性及覆盖度等评估指标。</w:t>
      </w:r>
      <w:r>
        <w:rPr>
          <w:rFonts w:ascii="Times New Roman" w:eastAsia="宋体" w:hAnsi="Times New Roman" w:cs="Times New Roman" w:hint="eastAsia"/>
          <w:kern w:val="2"/>
          <w:sz w:val="24"/>
          <w:szCs w:val="24"/>
          <w:lang w:val="en-US" w:eastAsia="zh-CN" w:bidi="ar-SA"/>
        </w:rPr>
        <w:t xml:space="preserve"> </w:t>
      </w:r>
    </w:p>
    <w:p w14:paraId="4975602F">
      <w:pPr>
        <w:widowControl w:val="0"/>
        <w:numPr>
          <w:ilvl w:val="0"/>
          <w:numId w:val="18"/>
        </w:numPr>
        <w:spacing w:line="360" w:lineRule="auto"/>
        <w:ind w:left="425" w:hanging="425" w:leftChars="0" w:firstLineChars="0"/>
        <w:jc w:val="both"/>
        <w:rPr>
          <w:rFonts w:ascii="宋体" w:eastAsia="宋体" w:hAnsi="宋体" w:cs="宋体" w:hint="default"/>
          <w:color w:val="000000"/>
          <w:highlight w:val="none"/>
        </w:rPr>
      </w:pPr>
      <w:r>
        <w:rPr>
          <w:rFonts w:ascii="宋体" w:eastAsia="宋体" w:hAnsi="宋体" w:cs="宋体" w:hint="eastAsia"/>
          <w:b/>
          <w:bCs/>
          <w:color w:val="000000"/>
          <w:kern w:val="2"/>
          <w:sz w:val="24"/>
          <w:szCs w:val="24"/>
          <w:highlight w:val="none"/>
          <w:lang w:val="en-US" w:eastAsia="zh-CN" w:bidi="ar-SA"/>
        </w:rPr>
        <w:t>开发实时产品评估可视化展示模块</w:t>
      </w:r>
      <w:r>
        <w:rPr>
          <w:rFonts w:ascii="宋体" w:eastAsia="宋体" w:hAnsi="宋体" w:cs="宋体" w:hint="eastAsia"/>
          <w:color w:val="000000"/>
          <w:kern w:val="2"/>
          <w:sz w:val="24"/>
          <w:szCs w:val="24"/>
          <w:highlight w:val="none"/>
          <w:lang w:val="en-US" w:eastAsia="zh-CN" w:bidi="ar-SA"/>
        </w:rPr>
        <w:t>：适配三维风场立体空间特性，搭建区别于平面产品的多层级、可叠加、可交互的专业化前端可视化展示体系，全面支撑三维质控结果直观展示与业务应用。实现指定区域的三维风场多层级切面展示、任意等高面灵活切换展示，同时支持雷达等高面回波数据与三维风场立体数据的叠加融合展示，直观呈现不同垂直高度、不同空间位置的风场分布状态、强弱特征及数据质量差异，完整展现三维风场立体结构与演变规律。支持人工自主选取垂直层级、划定重点监测区域、切换多维展示模式、调取分层产品质量评估详情，可实时核查各层级三维风场数据质量状况，快速研判立体风场变化态势，大幅提升三维风场产品的业务实用性与场景适配性。此功能包含对历史数据复盘分析场景下的数据产品可视化。</w:t>
      </w:r>
    </w:p>
    <w:p w14:paraId="03897406">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 xml:space="preserve"> </w:t>
      </w:r>
      <w:bookmarkStart w:id="178" w:name="_Toc21254"/>
      <w:bookmarkStart w:id="179" w:name="_Toc31567"/>
      <w:bookmarkStart w:id="180" w:name="_Toc21456"/>
      <w:r>
        <w:rPr>
          <w:rFonts w:ascii="Arial" w:eastAsia="黑体" w:hAnsi="Arial" w:cs="Times New Roman" w:hint="eastAsia"/>
          <w:b/>
          <w:bCs/>
          <w:kern w:val="2"/>
          <w:sz w:val="28"/>
          <w:szCs w:val="32"/>
          <w:lang w:val="en-US" w:eastAsia="zh-CN" w:bidi="ar-SA"/>
        </w:rPr>
        <w:t>异常区域数据溯源</w:t>
      </w:r>
      <w:bookmarkEnd w:id="178"/>
      <w:bookmarkEnd w:id="179"/>
      <w:bookmarkEnd w:id="180"/>
    </w:p>
    <w:p w14:paraId="054F7280">
      <w:pPr>
        <w:numPr>
          <w:ilvl w:val="0"/>
          <w:numId w:val="19"/>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概述</w:t>
      </w:r>
    </w:p>
    <w:p w14:paraId="7768FE35">
      <w:pPr>
        <w:numPr>
          <w:ilvl w:val="0"/>
          <w:numId w:val="0"/>
        </w:numPr>
        <w:spacing w:line="360" w:lineRule="auto"/>
        <w:rPr>
          <w:rFonts w:ascii="宋体" w:eastAsia="宋体" w:hAnsi="宋体" w:cs="宋体" w:hint="eastAsia"/>
          <w:color w:val="000000"/>
          <w:highlight w:val="none"/>
        </w:rPr>
      </w:pPr>
      <w:r>
        <w:rPr>
          <w:rFonts w:ascii="Times New Roman" w:eastAsia="宋体" w:hAnsi="Times New Roman" w:cs="Times New Roman" w:hint="eastAsia"/>
          <w:b/>
          <w:sz w:val="24"/>
          <w:szCs w:val="24"/>
          <w:highlight w:val="none"/>
          <w:lang w:val="en-US" w:eastAsia="zh-CN"/>
        </w:rPr>
        <w:t xml:space="preserve"> </w:t>
      </w:r>
      <w:r>
        <w:rPr>
          <w:rFonts w:ascii="Times New Roman" w:eastAsia="宋体" w:hAnsi="Times New Roman" w:cs="Times New Roman" w:hint="eastAsia"/>
          <w:b/>
          <w:sz w:val="24"/>
          <w:szCs w:val="24"/>
          <w:highlight w:val="none"/>
          <w:lang w:val="en-US" w:eastAsia="zh-CN"/>
        </w:rPr>
        <w:tab/>
      </w:r>
      <w:r>
        <w:rPr>
          <w:rFonts w:ascii="宋体" w:eastAsia="宋体" w:hAnsi="宋体" w:cs="宋体" w:hint="eastAsia"/>
          <w:color w:val="000000"/>
          <w:sz w:val="24"/>
          <w:szCs w:val="24"/>
          <w:highlight w:val="none"/>
          <w:lang w:val="en-US" w:eastAsia="zh-CN"/>
        </w:rPr>
        <w:t>针对当前三维风场产品业务运行中存在的局部区域数据失真、层间风场突变、小范围异常偏差难以定位复盘等突出问题，结合三维风场立体、多层、格点化的数据特征，专项开发重点区域异常回算与格点风场数据溯源功能模块。本模块聚焦三维风场局部空间异常、垂直层异常、格点细节异常场景，实现异常区域精准回算、参数灵活配置、全流程数据溯源，补齐三维风场异常闭环处置能力短板。</w:t>
      </w:r>
    </w:p>
    <w:p w14:paraId="25EEB49F">
      <w:pPr>
        <w:numPr>
          <w:ilvl w:val="0"/>
          <w:numId w:val="0"/>
        </w:numPr>
        <w:spacing w:line="360" w:lineRule="auto"/>
        <w:rPr>
          <w:rFonts w:ascii="Times New Roman" w:eastAsia="宋体" w:hAnsi="Times New Roman" w:cs="Times New Roman" w:hint="default"/>
          <w:b/>
          <w:highlight w:val="none"/>
        </w:rPr>
      </w:pPr>
      <w:r>
        <w:rPr>
          <w:rFonts w:ascii="宋体" w:eastAsia="宋体" w:hAnsi="宋体" w:cs="宋体" w:hint="eastAsia"/>
          <w:kern w:val="0"/>
          <w:sz w:val="24"/>
          <w:szCs w:val="24"/>
          <w:lang w:val="en-US" w:eastAsia="zh-CN" w:bidi="ar"/>
        </w:rPr>
        <w:t xml:space="preserve"> </w:t>
      </w:r>
    </w:p>
    <w:p w14:paraId="14D1D51D">
      <w:pPr>
        <w:numPr>
          <w:ilvl w:val="0"/>
          <w:numId w:val="19"/>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rPr>
        <w:t>功能要求</w:t>
      </w:r>
    </w:p>
    <w:p w14:paraId="0A2FCA0B">
      <w:pPr>
        <w:widowControl w:val="0"/>
        <w:numPr>
          <w:ilvl w:val="0"/>
          <w:numId w:val="20"/>
        </w:numPr>
        <w:spacing w:line="360" w:lineRule="auto"/>
        <w:ind w:left="425" w:hanging="425" w:leftChars="0" w:firstLineChars="0"/>
        <w:jc w:val="both"/>
        <w:rPr>
          <w:rFonts w:ascii="宋体" w:eastAsia="宋体" w:hAnsi="宋体" w:cs="宋体" w:hint="eastAsia"/>
          <w:color w:val="000000"/>
          <w:highlight w:val="none"/>
        </w:rPr>
      </w:pPr>
      <w:r>
        <w:rPr>
          <w:rFonts w:ascii="宋体" w:eastAsia="宋体" w:hAnsi="宋体" w:cs="宋体" w:hint="eastAsia"/>
          <w:b/>
          <w:bCs/>
          <w:color w:val="000000"/>
          <w:kern w:val="2"/>
          <w:sz w:val="24"/>
          <w:szCs w:val="24"/>
          <w:highlight w:val="none"/>
          <w:lang w:val="en-US" w:eastAsia="zh-CN" w:bidi="ar-SA"/>
        </w:rPr>
        <w:t>重点区域逐环节分解回算模块：</w:t>
      </w:r>
      <w:r>
        <w:rPr>
          <w:rFonts w:ascii="宋体" w:eastAsia="宋体" w:hAnsi="宋体" w:cs="宋体" w:hint="eastAsia"/>
          <w:color w:val="000000"/>
          <w:kern w:val="2"/>
          <w:sz w:val="24"/>
          <w:szCs w:val="24"/>
          <w:highlight w:val="none"/>
          <w:lang w:val="en-US" w:eastAsia="zh-CN" w:bidi="ar-SA"/>
        </w:rPr>
        <w:t>对某次过程的三维风场产品进行历史回算，</w:t>
      </w:r>
      <w:r>
        <w:rPr>
          <w:rFonts w:ascii="宋体" w:eastAsia="宋体" w:hAnsi="宋体" w:cs="宋体"/>
          <w:kern w:val="0"/>
          <w:sz w:val="24"/>
          <w:szCs w:val="24"/>
          <w:lang w:val="en-US" w:eastAsia="zh-CN" w:bidi="ar"/>
        </w:rPr>
        <w:t>可自定义划定异常重点回算区域、调整三维格点运算分辨率、指定数据输出存储目录，适配不同尺度、不同精度的复盘分析需求，可针对强对流高发区域、风场紊乱区域、质控异常高亮区域开展定向二次回算矫正，有效修复局部格点数据缺损、畸变、偏差等问题，提升重点关注区域三维风场数据的精准度与完整性</w:t>
      </w:r>
      <w:r>
        <w:rPr>
          <w:rFonts w:ascii="宋体" w:eastAsia="宋体" w:hAnsi="宋体" w:cs="宋体" w:hint="eastAsia"/>
          <w:kern w:val="0"/>
          <w:sz w:val="24"/>
          <w:szCs w:val="24"/>
          <w:lang w:val="en-US" w:eastAsia="zh-CN" w:bidi="ar"/>
        </w:rPr>
        <w:t>。</w:t>
      </w:r>
    </w:p>
    <w:p w14:paraId="049E4B71">
      <w:pPr>
        <w:widowControl w:val="0"/>
        <w:numPr>
          <w:ilvl w:val="0"/>
          <w:numId w:val="20"/>
        </w:numPr>
        <w:spacing w:line="360" w:lineRule="auto"/>
        <w:ind w:left="425" w:hanging="425" w:leftChars="0" w:firstLineChars="0"/>
        <w:jc w:val="both"/>
        <w:rPr>
          <w:rFonts w:ascii="Times New Roman" w:eastAsia="宋体" w:hAnsi="Times New Roman" w:cs="Times New Roman"/>
        </w:rPr>
      </w:pPr>
      <w:r>
        <w:rPr>
          <w:rFonts w:ascii="宋体" w:eastAsia="宋体" w:hAnsi="宋体" w:cs="宋体" w:hint="eastAsia"/>
          <w:b/>
          <w:bCs/>
          <w:color w:val="000000"/>
          <w:kern w:val="2"/>
          <w:sz w:val="24"/>
          <w:szCs w:val="24"/>
          <w:highlight w:val="none"/>
          <w:lang w:val="en-US" w:eastAsia="zh-CN" w:bidi="ar-SA"/>
        </w:rPr>
        <w:t>数据溯源分析：</w:t>
      </w:r>
      <w:r>
        <w:rPr>
          <w:rFonts w:ascii="宋体" w:eastAsia="宋体" w:hAnsi="宋体" w:cs="宋体"/>
          <w:kern w:val="0"/>
          <w:sz w:val="24"/>
          <w:szCs w:val="24"/>
          <w:lang w:val="en-US" w:eastAsia="zh-CN" w:bidi="ar"/>
        </w:rPr>
        <w:t>具备完备的三维格点风场数据溯源能力，打破传统仅输出最终成品数据的局限，可完整追踪三维风场从原始雷达观测数据、质控预处理、风场反演、拼图融合到最终产品生成的全链路过程数据。支持按需提取、输出指定空间范围、指定垂直层级的三维格点风场全过程时序数据，完整留存各运算环节的原始数据、中间结果与迭代状态。通过精细化、全链条的数据溯源，能够精准区分算法误差、数据源异常、系统运算偏差等不同问题成因，为三维风场反演算法优化、质控规则迭代、立体产品质量提升提供真实、完整、可复用的实测过程数据支撑，实现从“发现异常”到“分析异常、优化算法、根治异常”的全闭环能力升级。</w:t>
      </w:r>
    </w:p>
    <w:p w14:paraId="14DCECC9">
      <w:pPr>
        <w:widowControl w:val="0"/>
        <w:ind w:left="0" w:firstLine="0" w:leftChars="0" w:firstLineChars="0"/>
        <w:jc w:val="both"/>
        <w:rPr>
          <w:rFonts w:ascii="Arial" w:eastAsia="黑体" w:hAnsi="Arial" w:cs="Times New Roman" w:hint="eastAsia"/>
          <w:b/>
          <w:bCs/>
          <w:sz w:val="28"/>
          <w:szCs w:val="32"/>
          <w:highlight w:val="yellow"/>
        </w:rPr>
      </w:pPr>
    </w:p>
    <w:p w14:paraId="575AC2DB">
      <w:pPr>
        <w:keepNext/>
        <w:keepLines/>
        <w:widowControl w:val="0"/>
        <w:numPr>
          <w:ilvl w:val="2"/>
          <w:numId w:val="4"/>
        </w:numPr>
        <w:spacing w:before="260" w:after="260" w:line="416" w:lineRule="auto"/>
        <w:jc w:val="both"/>
        <w:outlineLvl w:val="2"/>
        <w:rPr>
          <w:rFonts w:ascii="Arial" w:eastAsia="黑体" w:hAnsi="Arial" w:cs="Times New Roman" w:hint="eastAsia"/>
          <w:b/>
          <w:bCs/>
          <w:sz w:val="28"/>
          <w:szCs w:val="32"/>
        </w:rPr>
      </w:pPr>
      <w:bookmarkStart w:id="181" w:name="_Toc4200"/>
      <w:bookmarkStart w:id="182" w:name="_Toc21910"/>
      <w:bookmarkStart w:id="183" w:name="_Toc29410"/>
      <w:r>
        <w:rPr>
          <w:rFonts w:ascii="Arial" w:eastAsia="黑体" w:hAnsi="Arial" w:cs="Times New Roman" w:hint="eastAsia"/>
          <w:b/>
          <w:bCs/>
          <w:kern w:val="2"/>
          <w:sz w:val="28"/>
          <w:szCs w:val="32"/>
          <w:lang w:val="en-US" w:eastAsia="zh-CN" w:bidi="ar-SA"/>
        </w:rPr>
        <w:t>人工专业故障排查</w:t>
      </w:r>
      <w:bookmarkEnd w:id="181"/>
      <w:bookmarkEnd w:id="182"/>
      <w:bookmarkEnd w:id="183"/>
    </w:p>
    <w:p w14:paraId="06B7C536">
      <w:pPr>
        <w:numPr>
          <w:ilvl w:val="0"/>
          <w:numId w:val="21"/>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lang w:val="en-US" w:eastAsia="zh-CN"/>
        </w:rPr>
        <w:t xml:space="preserve"> </w:t>
      </w:r>
      <w:r>
        <w:rPr>
          <w:rFonts w:ascii="Times New Roman" w:eastAsia="宋体" w:hAnsi="Times New Roman" w:cs="Times New Roman" w:hint="eastAsia"/>
          <w:b/>
          <w:sz w:val="24"/>
          <w:szCs w:val="24"/>
        </w:rPr>
        <w:t>概述</w:t>
      </w:r>
    </w:p>
    <w:p w14:paraId="7BDBA12F">
      <w:pPr>
        <w:numPr>
          <w:ilvl w:val="0"/>
          <w:numId w:val="0"/>
        </w:numPr>
        <w:spacing w:line="360" w:lineRule="auto"/>
        <w:rPr>
          <w:rFonts w:ascii="Times New Roman" w:eastAsia="宋体" w:hAnsi="Times New Roman" w:cs="Times New Roman" w:hint="default"/>
          <w:b w:val="0"/>
          <w:bCs/>
          <w:highlight w:val="none"/>
        </w:rPr>
      </w:pPr>
      <w:r>
        <w:rPr>
          <w:rFonts w:ascii="Times New Roman" w:eastAsia="宋体" w:hAnsi="Times New Roman" w:cs="Times New Roman" w:hint="eastAsia"/>
          <w:b/>
          <w:sz w:val="24"/>
          <w:szCs w:val="24"/>
          <w:highlight w:val="none"/>
          <w:lang w:val="en-US" w:eastAsia="zh-CN"/>
        </w:rPr>
        <w:t xml:space="preserve">     </w:t>
      </w:r>
      <w:r>
        <w:rPr>
          <w:rFonts w:ascii="Times New Roman" w:eastAsia="宋体" w:hAnsi="Times New Roman" w:cs="Times New Roman" w:hint="eastAsia"/>
          <w:b/>
          <w:sz w:val="24"/>
          <w:szCs w:val="24"/>
          <w:highlight w:val="none"/>
          <w:lang w:val="en-US" w:eastAsia="zh-CN"/>
        </w:rPr>
        <w:tab/>
      </w:r>
      <w:r>
        <w:rPr>
          <w:rFonts w:ascii="Times New Roman" w:eastAsia="宋体" w:hAnsi="Times New Roman" w:cs="Times New Roman" w:hint="eastAsia"/>
          <w:b w:val="0"/>
          <w:bCs/>
          <w:sz w:val="24"/>
          <w:szCs w:val="24"/>
          <w:highlight w:val="none"/>
          <w:lang w:val="en-US" w:eastAsia="zh-CN"/>
        </w:rPr>
        <w:t xml:space="preserve">依托本次研发的三维风场实时质量评估、可视化监控、异常回算及数据溯源模块，可实现绝大部分三维风场产品常规异常的自动识别、定位与修复。但针对部分复杂、隐性、复合型产品质量问题，存在自动化系统无法精准溯源、无法自动处置的场景。当三维风场雷达产品出现非常规质量异常，且现有实时评估体系、系统监控模块、自动处理机制无法有效定位异常根源、完成问题处置时，需依托人工专业运维排查能力，通过针对性的数据复盘处理、定制化绘图分析、全流程细节核查等人工手段，深度排查、精准定位、系统分析三维风场产品异常成因，补齐自动化运维短板，构建“智能监测+人工精排”的双层故障保障体系，保障三维风场产品业务连续稳定、数据质量可控。 </w:t>
      </w:r>
    </w:p>
    <w:p w14:paraId="1BE3DD7B">
      <w:pPr>
        <w:numPr>
          <w:ilvl w:val="0"/>
          <w:numId w:val="21"/>
        </w:numPr>
        <w:spacing w:line="360" w:lineRule="auto"/>
        <w:rPr>
          <w:rFonts w:ascii="Times New Roman" w:eastAsia="宋体" w:hAnsi="Times New Roman" w:cs="Times New Roman" w:hint="eastAsia"/>
          <w:b/>
        </w:rPr>
      </w:pPr>
      <w:r>
        <w:rPr>
          <w:rFonts w:ascii="Times New Roman" w:eastAsia="宋体" w:hAnsi="Times New Roman" w:cs="Times New Roman" w:hint="eastAsia"/>
          <w:b/>
          <w:sz w:val="24"/>
          <w:szCs w:val="24"/>
          <w:lang w:val="en-US" w:eastAsia="zh-CN"/>
        </w:rPr>
        <w:t>功能要求</w:t>
      </w:r>
    </w:p>
    <w:p w14:paraId="3F604A05">
      <w:pPr>
        <w:widowControl w:val="0"/>
        <w:numPr>
          <w:ilvl w:val="0"/>
          <w:numId w:val="22"/>
        </w:numPr>
        <w:spacing w:line="360" w:lineRule="auto"/>
        <w:ind w:left="425" w:hanging="425" w:leftChars="0" w:firstLineChars="0"/>
        <w:jc w:val="both"/>
        <w:rPr>
          <w:rFonts w:ascii="Times New Roman" w:eastAsia="宋体" w:hAnsi="Times New Roman" w:cs="Times New Roman" w:hint="eastAsia"/>
          <w:highlight w:val="none"/>
        </w:rPr>
      </w:pPr>
      <w:r>
        <w:rPr>
          <w:rFonts w:ascii="Times New Roman" w:eastAsia="宋体" w:hAnsi="Times New Roman" w:cs="Times New Roman" w:hint="eastAsia"/>
          <w:b/>
          <w:bCs/>
          <w:kern w:val="2"/>
          <w:sz w:val="24"/>
          <w:szCs w:val="24"/>
          <w:highlight w:val="none"/>
          <w:lang w:val="en-US" w:eastAsia="zh-CN" w:bidi="ar-SA"/>
        </w:rPr>
        <w:t>系统类突发异常快速修复：</w:t>
      </w:r>
      <w:r>
        <w:rPr>
          <w:rFonts w:ascii="Times New Roman" w:eastAsia="宋体" w:hAnsi="Times New Roman" w:cs="Times New Roman" w:hint="eastAsia"/>
          <w:kern w:val="2"/>
          <w:sz w:val="24"/>
          <w:szCs w:val="24"/>
          <w:highlight w:val="none"/>
          <w:lang w:val="en-US" w:eastAsia="zh-CN" w:bidi="ar-SA"/>
        </w:rPr>
        <w:t>针对系统运行故障引发的三维风场产品坏图、径向干扰、局部数据缺失、画面畸变等可即时修复的质量问题，建立快速应急处置机制，运维人员需第一时间介入排查，确保30分钟内完成系统故障处置或产品质量修复，快速恢复三维风场产品正常输出，最大限度缩减异常时长、降低业务影响。</w:t>
      </w:r>
    </w:p>
    <w:p w14:paraId="1C917BC9">
      <w:pPr>
        <w:widowControl w:val="0"/>
        <w:numPr>
          <w:ilvl w:val="0"/>
          <w:numId w:val="22"/>
        </w:numPr>
        <w:spacing w:line="360" w:lineRule="auto"/>
        <w:ind w:left="425" w:hanging="425" w:leftChars="0" w:firstLineChars="0"/>
        <w:jc w:val="both"/>
        <w:rPr>
          <w:rFonts w:ascii="Times New Roman" w:eastAsia="宋体" w:hAnsi="Times New Roman" w:cs="Times New Roman" w:hint="eastAsia"/>
          <w:highlight w:val="none"/>
        </w:rPr>
      </w:pPr>
      <w:r>
        <w:rPr>
          <w:rFonts w:ascii="Times New Roman" w:eastAsia="宋体" w:hAnsi="Times New Roman" w:cs="Times New Roman" w:hint="eastAsia"/>
          <w:b/>
          <w:bCs/>
          <w:kern w:val="2"/>
          <w:sz w:val="24"/>
          <w:szCs w:val="24"/>
          <w:highlight w:val="none"/>
          <w:lang w:val="en-US" w:eastAsia="zh-CN" w:bidi="ar-SA"/>
        </w:rPr>
        <w:t>算法及环境类问题规范化分析上报：</w:t>
      </w:r>
      <w:r>
        <w:rPr>
          <w:rFonts w:ascii="Times New Roman" w:eastAsia="宋体" w:hAnsi="Times New Roman" w:cs="Times New Roman" w:hint="eastAsia"/>
          <w:kern w:val="2"/>
          <w:sz w:val="24"/>
          <w:szCs w:val="24"/>
          <w:highlight w:val="none"/>
          <w:lang w:val="en-US" w:eastAsia="zh-CN" w:bidi="ar-SA"/>
        </w:rPr>
        <w:t>针对由算法参数适配偏差、设备运行环境波动、观测数据源偏差、复杂降水天气过程等因素引发的三维风场整体偏差、分层数据异常、全域产品质量波动等系统性、阶段性问题，需开展专业化复盘分析。依托规范的统计指标、对比图表、分层质控数据形成完整分析结论，按照甲方标准格式输出PPT、Word制式的专项分析报告，严格按照甲方指定时限完成结果提交与问题汇报，为算法迭代、设备运维、参数优化提供人工分析支撑。</w:t>
      </w:r>
    </w:p>
    <w:p w14:paraId="28384CCC">
      <w:pPr>
        <w:widowControl w:val="0"/>
        <w:numPr>
          <w:ilvl w:val="0"/>
          <w:numId w:val="22"/>
        </w:numPr>
        <w:spacing w:line="360" w:lineRule="auto"/>
        <w:ind w:left="425" w:hanging="425" w:leftChars="0" w:firstLineChars="0"/>
        <w:jc w:val="both"/>
        <w:rPr>
          <w:rFonts w:ascii="宋体" w:eastAsia="宋体" w:hAnsi="宋体" w:cs="宋体" w:hint="eastAsia"/>
          <w:color w:val="000000"/>
          <w:highlight w:val="none"/>
        </w:rPr>
      </w:pPr>
      <w:r>
        <w:rPr>
          <w:rFonts w:ascii="Times New Roman" w:eastAsia="宋体" w:hAnsi="Times New Roman" w:cs="Times New Roman" w:hint="eastAsia"/>
          <w:kern w:val="2"/>
          <w:sz w:val="24"/>
          <w:szCs w:val="24"/>
          <w:highlight w:val="none"/>
          <w:lang w:val="en-US" w:eastAsia="zh-CN" w:bidi="ar-SA"/>
        </w:rPr>
        <w:t>对于重大过程、重要问题等需进行持续性详细分析的情况，需根据甲方要求，在规定时间内持续开展配合分析。</w:t>
      </w:r>
    </w:p>
    <w:p w14:paraId="50F7917F">
      <w:pPr>
        <w:numPr>
          <w:ilvl w:val="12"/>
          <w:numId w:val="0"/>
        </w:numPr>
        <w:spacing w:line="360" w:lineRule="auto"/>
        <w:rPr>
          <w:rFonts w:ascii="Times New Roman" w:eastAsia="宋体" w:hAnsi="Times New Roman" w:cs="Times New Roman" w:hint="eastAsia"/>
        </w:rPr>
      </w:pPr>
    </w:p>
    <w:p w14:paraId="58D67B9F">
      <w:pPr>
        <w:keepNext/>
        <w:keepLines/>
        <w:widowControl w:val="0"/>
        <w:numPr>
          <w:ilvl w:val="0"/>
          <w:numId w:val="4"/>
        </w:numPr>
        <w:spacing w:before="100" w:beforeAutospacing="1" w:after="100" w:afterAutospacing="1" w:line="360" w:lineRule="auto"/>
        <w:jc w:val="both"/>
        <w:outlineLvl w:val="0"/>
        <w:rPr>
          <w:rFonts w:ascii="Arial" w:eastAsia="黑体" w:hAnsi="Arial" w:cs="Times New Roman"/>
          <w:b/>
          <w:bCs/>
          <w:kern w:val="44"/>
          <w:sz w:val="32"/>
          <w:szCs w:val="44"/>
        </w:rPr>
      </w:pPr>
      <w:bookmarkStart w:id="184" w:name="_Toc19136"/>
      <w:bookmarkStart w:id="185" w:name="_Toc9637"/>
      <w:bookmarkStart w:id="186" w:name="_Toc21517"/>
      <w:bookmarkStart w:id="187" w:name="_Toc22010"/>
      <w:r>
        <w:rPr>
          <w:rFonts w:ascii="Arial" w:eastAsia="黑体" w:hAnsi="Arial" w:cs="Times New Roman"/>
          <w:b/>
          <w:bCs/>
          <w:kern w:val="44"/>
          <w:sz w:val="32"/>
          <w:szCs w:val="44"/>
          <w:lang w:val="en-US" w:eastAsia="zh-CN" w:bidi="ar-SA"/>
        </w:rPr>
        <w:t>设计约束与要求</w:t>
      </w:r>
      <w:bookmarkEnd w:id="159"/>
      <w:bookmarkEnd w:id="160"/>
      <w:bookmarkEnd w:id="161"/>
      <w:bookmarkEnd w:id="162"/>
      <w:bookmarkEnd w:id="163"/>
      <w:bookmarkEnd w:id="164"/>
      <w:bookmarkEnd w:id="165"/>
      <w:bookmarkEnd w:id="184"/>
      <w:bookmarkEnd w:id="185"/>
      <w:bookmarkEnd w:id="186"/>
      <w:bookmarkEnd w:id="187"/>
    </w:p>
    <w:p w14:paraId="2F07C50A">
      <w:pPr>
        <w:spacing w:line="360" w:lineRule="auto"/>
        <w:ind w:firstLine="420"/>
        <w:rPr>
          <w:rFonts w:ascii="Times New Roman" w:eastAsia="宋体" w:hAnsi="Times New Roman" w:cs="Times New Roman" w:hint="eastAsia"/>
        </w:rPr>
      </w:pPr>
      <w:r>
        <w:rPr>
          <w:rFonts w:ascii="Times New Roman" w:eastAsia="宋体" w:hAnsi="Times New Roman" w:cs="Times New Roman" w:hint="eastAsia"/>
          <w:sz w:val="24"/>
          <w:szCs w:val="24"/>
        </w:rPr>
        <w:t>未得到许可的情况下，本项目系统生成产品不得与其他个人或组织共享</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其中新开发模块要适配国产服务器</w:t>
      </w:r>
      <w:r>
        <w:rPr>
          <w:rFonts w:ascii="Times New Roman" w:eastAsia="宋体" w:hAnsi="Times New Roman" w:cs="Times New Roman" w:hint="eastAsia"/>
          <w:sz w:val="24"/>
          <w:szCs w:val="24"/>
        </w:rPr>
        <w:t>。</w:t>
      </w:r>
    </w:p>
    <w:p w14:paraId="42101291">
      <w:pPr>
        <w:spacing w:line="360" w:lineRule="auto"/>
        <w:ind w:firstLine="420"/>
        <w:rPr>
          <w:rFonts w:ascii="Times New Roman" w:eastAsia="宋体" w:hAnsi="Times New Roman" w:cs="Times New Roman" w:hint="eastAsia"/>
        </w:rPr>
      </w:pPr>
    </w:p>
    <w:p w14:paraId="165191CC">
      <w:pPr>
        <w:keepNext/>
        <w:keepLines/>
        <w:pageBreakBefore w:val="0"/>
        <w:widowControl w:val="0"/>
        <w:numPr>
          <w:ilvl w:val="0"/>
          <w:numId w:val="4"/>
        </w:numPr>
        <w:kinsoku/>
        <w:wordWrap/>
        <w:overflowPunct/>
        <w:topLinePunct w:val="0"/>
        <w:autoSpaceDE/>
        <w:autoSpaceDN/>
        <w:bidi w:val="0"/>
        <w:adjustRightInd/>
        <w:snapToGrid/>
        <w:spacing w:before="0" w:after="0" w:line="579" w:lineRule="auto"/>
        <w:ind w:left="431" w:hanging="431"/>
        <w:jc w:val="both"/>
        <w:textAlignment w:val="auto"/>
        <w:outlineLvl w:val="0"/>
        <w:rPr>
          <w:rFonts w:ascii="Arial" w:eastAsia="黑体" w:hAnsi="Arial" w:cs="Times New Roman"/>
          <w:b/>
          <w:bCs/>
          <w:kern w:val="44"/>
          <w:sz w:val="32"/>
          <w:szCs w:val="44"/>
        </w:rPr>
      </w:pPr>
      <w:bookmarkStart w:id="188" w:name="_Toc25631"/>
      <w:bookmarkStart w:id="189" w:name="_Toc107927250"/>
      <w:bookmarkStart w:id="190" w:name="_Toc27579"/>
      <w:bookmarkStart w:id="191" w:name="_Toc10180"/>
      <w:bookmarkStart w:id="192" w:name="_Toc30700"/>
      <w:bookmarkStart w:id="193" w:name="_Toc107925097"/>
      <w:r>
        <w:rPr>
          <w:rFonts w:ascii="Arial" w:eastAsia="黑体" w:hAnsi="Arial" w:cs="Times New Roman" w:hint="eastAsia"/>
          <w:b/>
          <w:bCs/>
          <w:kern w:val="44"/>
          <w:sz w:val="32"/>
          <w:szCs w:val="44"/>
          <w:lang w:val="en-US" w:eastAsia="zh-CN" w:bidi="ar-SA"/>
        </w:rPr>
        <w:t>进度要求</w:t>
      </w:r>
      <w:bookmarkEnd w:id="188"/>
      <w:bookmarkEnd w:id="189"/>
      <w:bookmarkEnd w:id="190"/>
      <w:bookmarkEnd w:id="191"/>
      <w:bookmarkEnd w:id="192"/>
      <w:bookmarkEnd w:id="193"/>
    </w:p>
    <w:p w14:paraId="5AB1E862">
      <w:pPr>
        <w:snapToGrid w:val="0"/>
        <w:spacing w:line="360" w:lineRule="auto"/>
        <w:ind w:firstLine="482"/>
        <w:rPr>
          <w:rFonts w:ascii="Times New Roman" w:eastAsia="宋体" w:hAnsi="Times New Roman" w:cs="Times New Roman"/>
        </w:rPr>
      </w:pPr>
      <w:r>
        <w:rPr>
          <w:rFonts w:ascii="Times New Roman" w:eastAsia="宋体" w:hAnsi="Times New Roman" w:cs="Times New Roman" w:hint="eastAsia"/>
          <w:sz w:val="24"/>
          <w:szCs w:val="24"/>
        </w:rPr>
        <w:t>本项目运维周期为</w:t>
      </w:r>
      <w:r>
        <w:rPr>
          <w:rFonts w:ascii="Times New Roman" w:eastAsia="宋体" w:hAnsi="Times New Roman" w:cs="Times New Roman" w:hint="eastAsia"/>
          <w:sz w:val="24"/>
          <w:szCs w:val="24"/>
          <w:lang w:val="en-US" w:eastAsia="zh-CN"/>
        </w:rPr>
        <w:t>12</w:t>
      </w:r>
      <w:r>
        <w:rPr>
          <w:rFonts w:ascii="Times New Roman" w:eastAsia="宋体" w:hAnsi="Times New Roman" w:cs="Times New Roman" w:hint="eastAsia"/>
          <w:sz w:val="24"/>
          <w:szCs w:val="24"/>
        </w:rPr>
        <w:t>个月，</w:t>
      </w:r>
      <w:r>
        <w:rPr>
          <w:rFonts w:ascii="Times New Roman" w:eastAsia="宋体" w:hAnsi="Times New Roman" w:cs="Times New Roman"/>
          <w:sz w:val="24"/>
          <w:szCs w:val="24"/>
        </w:rPr>
        <w:t>下表给出了任务各阶段的进度要求：</w:t>
      </w:r>
    </w:p>
    <w:p w14:paraId="5B72AA4A">
      <w:pPr>
        <w:spacing w:before="156" w:beforeLines="50" w:line="360" w:lineRule="auto"/>
        <w:ind w:firstLine="425"/>
        <w:jc w:val="center"/>
        <w:rPr>
          <w:rFonts w:ascii="Times New Roman" w:eastAsia="宋体" w:hAnsi="Times New Roman" w:cs="Times New Roman"/>
        </w:rPr>
      </w:pPr>
      <w:r>
        <w:rPr>
          <w:rFonts w:ascii="Times New Roman" w:eastAsia="宋体" w:hAnsi="Times New Roman" w:cs="Times New Roman"/>
          <w:sz w:val="24"/>
          <w:szCs w:val="24"/>
        </w:rPr>
        <w:t>表</w:t>
      </w:r>
      <w:r>
        <w:rPr>
          <w:rFonts w:ascii="Times New Roman" w:eastAsia="宋体" w:hAnsi="Times New Roman" w:cs="Times New Roman" w:hint="eastAsia"/>
          <w:sz w:val="24"/>
          <w:szCs w:val="24"/>
        </w:rPr>
        <w:t>6</w:t>
      </w:r>
      <w:r>
        <w:rPr>
          <w:rFonts w:ascii="Times New Roman" w:eastAsia="宋体" w:hAnsi="Times New Roman" w:cs="Times New Roman"/>
          <w:sz w:val="24"/>
          <w:szCs w:val="24"/>
        </w:rPr>
        <w:t>－</w:t>
      </w:r>
      <w:r>
        <w:rPr>
          <w:rFonts w:ascii="Times New Roman" w:eastAsia="宋体" w:hAnsi="Times New Roman" w:cs="Times New Roman" w:hint="eastAsia"/>
          <w:sz w:val="24"/>
          <w:szCs w:val="24"/>
        </w:rPr>
        <w:t>1运维工作</w:t>
      </w:r>
      <w:r>
        <w:rPr>
          <w:rFonts w:ascii="宋体" w:eastAsia="宋体" w:hAnsi="宋体" w:cs="Times New Roman" w:hint="eastAsia"/>
          <w:sz w:val="24"/>
          <w:szCs w:val="24"/>
        </w:rPr>
        <w:t>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73"/>
        <w:gridCol w:w="2820"/>
        <w:gridCol w:w="4320"/>
      </w:tblGrid>
      <w:tr w14:paraId="4C7C77A1">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573" w:type="dxa"/>
            <w:shd w:val="clear" w:color="auto" w:fill="D0CECE"/>
            <w:vAlign w:val="center"/>
          </w:tcPr>
          <w:p w14:paraId="7D3B8875">
            <w:pPr>
              <w:snapToGrid w:val="0"/>
              <w:spacing w:before="156" w:beforeLines="50" w:after="156" w:afterLines="50"/>
              <w:jc w:val="center"/>
              <w:rPr>
                <w:rFonts w:ascii="Times New Roman" w:eastAsia="宋体" w:hAnsi="Times New Roman" w:cs="Times New Roman"/>
                <w:b/>
                <w:szCs w:val="21"/>
              </w:rPr>
            </w:pPr>
            <w:r>
              <w:rPr>
                <w:rFonts w:ascii="Times New Roman" w:eastAsia="宋体" w:hAnsi="Times New Roman" w:cs="Times New Roman" w:hint="eastAsia"/>
                <w:b/>
                <w:szCs w:val="21"/>
              </w:rPr>
              <w:t>系统运维</w:t>
            </w:r>
            <w:r>
              <w:rPr>
                <w:rFonts w:ascii="Times New Roman" w:eastAsia="宋体" w:hAnsi="Times New Roman" w:cs="Times New Roman"/>
                <w:b/>
                <w:szCs w:val="21"/>
              </w:rPr>
              <w:t>过程</w:t>
            </w:r>
          </w:p>
        </w:tc>
        <w:tc>
          <w:tcPr>
            <w:tcW w:w="2820" w:type="dxa"/>
            <w:shd w:val="clear" w:color="auto" w:fill="D0CECE"/>
            <w:vAlign w:val="center"/>
          </w:tcPr>
          <w:p w14:paraId="6C0BADC5">
            <w:pPr>
              <w:snapToGrid w:val="0"/>
              <w:spacing w:before="156" w:beforeLines="50" w:after="156" w:afterLines="50"/>
              <w:jc w:val="center"/>
              <w:rPr>
                <w:rFonts w:ascii="Times New Roman" w:eastAsia="宋体" w:hAnsi="Times New Roman" w:cs="Times New Roman"/>
                <w:b/>
                <w:szCs w:val="21"/>
              </w:rPr>
            </w:pPr>
            <w:r>
              <w:rPr>
                <w:rFonts w:ascii="Times New Roman" w:eastAsia="宋体" w:hAnsi="Times New Roman" w:cs="Times New Roman"/>
                <w:b/>
                <w:szCs w:val="21"/>
              </w:rPr>
              <w:t>进度要求</w:t>
            </w:r>
          </w:p>
        </w:tc>
        <w:tc>
          <w:tcPr>
            <w:tcW w:w="4320" w:type="dxa"/>
            <w:shd w:val="clear" w:color="auto" w:fill="D0CECE"/>
            <w:vAlign w:val="center"/>
          </w:tcPr>
          <w:p w14:paraId="7202F9B7">
            <w:pPr>
              <w:snapToGrid w:val="0"/>
              <w:spacing w:before="156" w:beforeLines="50" w:after="156" w:afterLines="50"/>
              <w:jc w:val="center"/>
              <w:rPr>
                <w:rFonts w:ascii="Times New Roman" w:eastAsia="宋体" w:hAnsi="Times New Roman" w:cs="Times New Roman"/>
                <w:b/>
                <w:szCs w:val="21"/>
              </w:rPr>
            </w:pPr>
            <w:r>
              <w:rPr>
                <w:rFonts w:ascii="Times New Roman" w:eastAsia="宋体" w:hAnsi="Times New Roman" w:cs="Times New Roman"/>
                <w:b/>
                <w:szCs w:val="21"/>
              </w:rPr>
              <w:t>基本要求</w:t>
            </w:r>
          </w:p>
        </w:tc>
      </w:tr>
      <w:tr w14:paraId="161CC30C">
        <w:tblPrEx>
          <w:tblW w:w="8713" w:type="dxa"/>
          <w:jc w:val="center"/>
          <w:tblLayout w:type="fixed"/>
          <w:tblCellMar>
            <w:top w:w="0" w:type="dxa"/>
            <w:left w:w="108" w:type="dxa"/>
            <w:bottom w:w="0" w:type="dxa"/>
            <w:right w:w="108" w:type="dxa"/>
          </w:tblCellMar>
        </w:tblPrEx>
        <w:trPr>
          <w:jc w:val="center"/>
        </w:trPr>
        <w:tc>
          <w:tcPr>
            <w:tcW w:w="1573" w:type="dxa"/>
            <w:vAlign w:val="center"/>
          </w:tcPr>
          <w:p w14:paraId="3F2BA07C">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运维准备期</w:t>
            </w:r>
          </w:p>
        </w:tc>
        <w:tc>
          <w:tcPr>
            <w:tcW w:w="2820" w:type="dxa"/>
            <w:vAlign w:val="center"/>
          </w:tcPr>
          <w:p w14:paraId="5B9B9FDC">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合同签署15日内完成实况业务系统流程学习，并做好系统运维准备</w:t>
            </w:r>
          </w:p>
        </w:tc>
        <w:tc>
          <w:tcPr>
            <w:tcW w:w="4320" w:type="dxa"/>
            <w:vAlign w:val="center"/>
          </w:tcPr>
          <w:p w14:paraId="4011CCC9">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熟悉实况业务系统运维操作，完成相关运维巡检、故障排查相关工具开发准备</w:t>
            </w:r>
          </w:p>
        </w:tc>
      </w:tr>
      <w:tr w14:paraId="661ABFE7">
        <w:tblPrEx>
          <w:tblW w:w="8713" w:type="dxa"/>
          <w:jc w:val="center"/>
          <w:tblLayout w:type="fixed"/>
          <w:tblCellMar>
            <w:top w:w="0" w:type="dxa"/>
            <w:left w:w="108" w:type="dxa"/>
            <w:bottom w:w="0" w:type="dxa"/>
            <w:right w:w="108" w:type="dxa"/>
          </w:tblCellMar>
        </w:tblPrEx>
        <w:trPr>
          <w:jc w:val="center"/>
        </w:trPr>
        <w:tc>
          <w:tcPr>
            <w:tcW w:w="1573" w:type="dxa"/>
            <w:vAlign w:val="center"/>
          </w:tcPr>
          <w:p w14:paraId="0EA5E21C">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1"/>
              </w:rPr>
              <w:t>开发期</w:t>
            </w:r>
          </w:p>
        </w:tc>
        <w:tc>
          <w:tcPr>
            <w:tcW w:w="2820" w:type="dxa"/>
            <w:vAlign w:val="center"/>
          </w:tcPr>
          <w:p w14:paraId="599F90A1">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1"/>
              </w:rPr>
              <w:t>合同</w:t>
            </w:r>
            <w:r>
              <w:rPr>
                <w:rFonts w:ascii="Times New Roman" w:eastAsia="宋体" w:hAnsi="Times New Roman" w:cs="Times New Roman" w:hint="eastAsia"/>
                <w:szCs w:val="21"/>
                <w:lang w:val="en-US" w:eastAsia="zh-CN"/>
              </w:rPr>
              <w:t>签署</w:t>
            </w:r>
            <w:r>
              <w:rPr>
                <w:rFonts w:ascii="Times New Roman" w:eastAsia="宋体" w:hAnsi="Times New Roman" w:cs="Times New Roman" w:hint="eastAsia"/>
                <w:szCs w:val="21"/>
              </w:rPr>
              <w:t>2个月内</w:t>
            </w:r>
            <w:r>
              <w:rPr>
                <w:rFonts w:ascii="Times New Roman" w:eastAsia="宋体" w:hAnsi="Times New Roman" w:cs="Times New Roman" w:hint="eastAsia"/>
                <w:szCs w:val="21"/>
                <w:lang w:eastAsia="zh-CN"/>
              </w:rPr>
              <w:t>，</w:t>
            </w:r>
            <w:r>
              <w:rPr>
                <w:rFonts w:ascii="Times New Roman" w:eastAsia="宋体" w:hAnsi="Times New Roman" w:cs="Times New Roman" w:hint="eastAsia"/>
                <w:szCs w:val="21"/>
              </w:rPr>
              <w:t>完成产品质量周报工具开发</w:t>
            </w:r>
          </w:p>
        </w:tc>
        <w:tc>
          <w:tcPr>
            <w:tcW w:w="4320" w:type="dxa"/>
            <w:vAlign w:val="center"/>
          </w:tcPr>
          <w:p w14:paraId="05F81DA3">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1"/>
              </w:rPr>
              <w:t>通过</w:t>
            </w:r>
            <w:r>
              <w:rPr>
                <w:rFonts w:ascii="Times New Roman" w:eastAsia="宋体" w:hAnsi="Times New Roman" w:cs="Times New Roman" w:hint="eastAsia"/>
                <w:szCs w:val="24"/>
              </w:rPr>
              <w:t>基础数据产品和新型垂直观测数据产品</w:t>
            </w:r>
            <w:r>
              <w:rPr>
                <w:rFonts w:ascii="Times New Roman" w:eastAsia="宋体" w:hAnsi="Times New Roman" w:cs="Times New Roman" w:hint="eastAsia"/>
                <w:szCs w:val="21"/>
              </w:rPr>
              <w:t>质量周报及时地检查数据的完整性，遇到缺失情况及时补算处理。</w:t>
            </w:r>
          </w:p>
        </w:tc>
      </w:tr>
      <w:tr w14:paraId="5A635EBC">
        <w:tblPrEx>
          <w:tblW w:w="8713" w:type="dxa"/>
          <w:jc w:val="center"/>
          <w:tblLayout w:type="fixed"/>
          <w:tblCellMar>
            <w:top w:w="0" w:type="dxa"/>
            <w:left w:w="108" w:type="dxa"/>
            <w:bottom w:w="0" w:type="dxa"/>
            <w:right w:w="108" w:type="dxa"/>
          </w:tblCellMar>
        </w:tblPrEx>
        <w:trPr>
          <w:jc w:val="center"/>
        </w:trPr>
        <w:tc>
          <w:tcPr>
            <w:tcW w:w="1573" w:type="dxa"/>
            <w:vAlign w:val="center"/>
          </w:tcPr>
          <w:p w14:paraId="18B5A1E4">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开发期</w:t>
            </w:r>
          </w:p>
        </w:tc>
        <w:tc>
          <w:tcPr>
            <w:tcW w:w="2820" w:type="dxa"/>
            <w:vAlign w:val="center"/>
          </w:tcPr>
          <w:p w14:paraId="34396D5E">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合同签署6个月内，完成运维工具开发迭代</w:t>
            </w:r>
          </w:p>
        </w:tc>
        <w:tc>
          <w:tcPr>
            <w:tcW w:w="4320" w:type="dxa"/>
            <w:vAlign w:val="center"/>
          </w:tcPr>
          <w:p w14:paraId="3839190C">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完成“监控网页新增展示产品”上线；</w:t>
            </w:r>
          </w:p>
          <w:p w14:paraId="16018808">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完成“站点查补流程完善及评估功能”开发与测试；</w:t>
            </w:r>
          </w:p>
          <w:p w14:paraId="0809DFB6">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完成“作业异常”与“推送异常”运维工具的初步开发。</w:t>
            </w:r>
          </w:p>
          <w:p w14:paraId="5685A4B3">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lang w:val="en-US" w:eastAsia="zh-CN"/>
              </w:rPr>
              <w:t>完成雷达相关系统前端展示及可视化开发，</w:t>
            </w:r>
            <w:r>
              <w:rPr>
                <w:rFonts w:ascii="Times New Roman" w:eastAsia="宋体" w:hAnsi="Times New Roman" w:cs="Times New Roman" w:hint="eastAsia"/>
                <w:szCs w:val="21"/>
              </w:rPr>
              <w:t>对</w:t>
            </w:r>
            <w:r>
              <w:rPr>
                <w:rFonts w:ascii="Times New Roman" w:eastAsia="宋体" w:hAnsi="Times New Roman" w:cs="Times New Roman" w:hint="eastAsia"/>
                <w:szCs w:val="21"/>
                <w:lang w:val="en-US" w:eastAsia="zh-CN"/>
              </w:rPr>
              <w:t>雷达</w:t>
            </w:r>
            <w:r>
              <w:rPr>
                <w:rFonts w:ascii="Times New Roman" w:eastAsia="宋体" w:hAnsi="Times New Roman" w:cs="Times New Roman" w:hint="eastAsia"/>
                <w:szCs w:val="21"/>
              </w:rPr>
              <w:t>系统运行状态和产品生成情况实时展示。</w:t>
            </w:r>
          </w:p>
        </w:tc>
      </w:tr>
      <w:tr w14:paraId="20C9ED94">
        <w:tblPrEx>
          <w:tblW w:w="8713" w:type="dxa"/>
          <w:jc w:val="center"/>
          <w:tblLayout w:type="fixed"/>
          <w:tblCellMar>
            <w:top w:w="0" w:type="dxa"/>
            <w:left w:w="108" w:type="dxa"/>
            <w:bottom w:w="0" w:type="dxa"/>
            <w:right w:w="108" w:type="dxa"/>
          </w:tblCellMar>
        </w:tblPrEx>
        <w:trPr>
          <w:jc w:val="center"/>
        </w:trPr>
        <w:tc>
          <w:tcPr>
            <w:tcW w:w="1573" w:type="dxa"/>
            <w:vAlign w:val="center"/>
          </w:tcPr>
          <w:p w14:paraId="6BC9B158">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 w:val="21"/>
                <w:szCs w:val="21"/>
              </w:rPr>
              <w:t>试运行与优化</w:t>
            </w:r>
          </w:p>
        </w:tc>
        <w:tc>
          <w:tcPr>
            <w:tcW w:w="2820" w:type="dxa"/>
            <w:vAlign w:val="center"/>
          </w:tcPr>
          <w:p w14:paraId="74A32037">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合同签署6个月内逐步</w:t>
            </w:r>
            <w:r>
              <w:rPr>
                <w:rFonts w:ascii="Times New Roman" w:eastAsia="宋体" w:hAnsi="Times New Roman" w:cs="Times New Roman" w:hint="eastAsia"/>
                <w:szCs w:val="21"/>
                <w:lang w:val="en-US" w:eastAsia="zh-CN"/>
              </w:rPr>
              <w:t>对</w:t>
            </w:r>
            <w:r>
              <w:rPr>
                <w:rFonts w:ascii="Times New Roman" w:eastAsia="宋体" w:hAnsi="Times New Roman" w:cs="Times New Roman" w:hint="eastAsia"/>
                <w:szCs w:val="21"/>
              </w:rPr>
              <w:t>各工具试运行与优化</w:t>
            </w:r>
          </w:p>
        </w:tc>
        <w:tc>
          <w:tcPr>
            <w:tcW w:w="4320" w:type="dxa"/>
            <w:vAlign w:val="center"/>
          </w:tcPr>
          <w:p w14:paraId="05ECEEF4">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所有开发项全量部署至生产环境，开展试运行；</w:t>
            </w:r>
          </w:p>
          <w:p w14:paraId="1A81A30D">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根据试运行期间的反馈，针对查补算法和运维工具进行Bug修复与性能调优；</w:t>
            </w:r>
          </w:p>
          <w:p w14:paraId="3619BF2B">
            <w:pPr>
              <w:rPr>
                <w:rFonts w:ascii="Times New Roman" w:eastAsia="宋体" w:hAnsi="Times New Roman" w:cs="Times New Roman"/>
              </w:rPr>
            </w:pPr>
            <w:r>
              <w:rPr>
                <w:rFonts w:ascii="Times New Roman" w:eastAsia="宋体" w:hAnsi="Times New Roman" w:cs="Times New Roman"/>
                <w:szCs w:val="21"/>
              </w:rPr>
              <w:t>开展关键气象保障期的专项运维。</w:t>
            </w:r>
          </w:p>
          <w:p w14:paraId="57350380">
            <w:pPr>
              <w:snapToGrid w:val="0"/>
              <w:spacing w:before="156" w:beforeLines="50" w:after="156" w:afterLines="50"/>
              <w:rPr>
                <w:rFonts w:ascii="Times New Roman" w:eastAsia="宋体" w:hAnsi="Times New Roman" w:cs="Times New Roman"/>
                <w:szCs w:val="21"/>
              </w:rPr>
            </w:pPr>
          </w:p>
        </w:tc>
      </w:tr>
      <w:tr w14:paraId="3E454EBB">
        <w:tblPrEx>
          <w:tblW w:w="8713" w:type="dxa"/>
          <w:jc w:val="center"/>
          <w:tblLayout w:type="fixed"/>
          <w:tblCellMar>
            <w:top w:w="0" w:type="dxa"/>
            <w:left w:w="108" w:type="dxa"/>
            <w:bottom w:w="0" w:type="dxa"/>
            <w:right w:w="108" w:type="dxa"/>
          </w:tblCellMar>
        </w:tblPrEx>
        <w:trPr>
          <w:jc w:val="center"/>
        </w:trPr>
        <w:tc>
          <w:tcPr>
            <w:tcW w:w="1573" w:type="dxa"/>
            <w:vAlign w:val="center"/>
          </w:tcPr>
          <w:p w14:paraId="1E80F438">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 w:val="21"/>
                <w:szCs w:val="21"/>
              </w:rPr>
              <w:t>常态运维</w:t>
            </w:r>
          </w:p>
        </w:tc>
        <w:tc>
          <w:tcPr>
            <w:tcW w:w="2820" w:type="dxa"/>
            <w:vAlign w:val="center"/>
          </w:tcPr>
          <w:p w14:paraId="5938A791">
            <w:pPr>
              <w:widowControl/>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合同期内对工具常态化运维</w:t>
            </w:r>
          </w:p>
        </w:tc>
        <w:tc>
          <w:tcPr>
            <w:tcW w:w="4320" w:type="dxa"/>
            <w:vAlign w:val="center"/>
          </w:tcPr>
          <w:p w14:paraId="26CB3B96">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szCs w:val="21"/>
              </w:rPr>
              <w:t>全面转入利用新工具进行高效常态化运维阶段；</w:t>
            </w:r>
            <w:r>
              <w:rPr>
                <w:rFonts w:ascii="Times New Roman" w:eastAsia="宋体" w:hAnsi="Times New Roman" w:cs="Times New Roman" w:hint="eastAsia"/>
                <w:szCs w:val="21"/>
              </w:rPr>
              <w:t>按要求进行</w:t>
            </w:r>
            <w:r>
              <w:rPr>
                <w:rFonts w:ascii="Times New Roman" w:eastAsia="宋体" w:hAnsi="Times New Roman" w:cs="Times New Roman" w:hint="eastAsia"/>
                <w:szCs w:val="21"/>
                <w:lang w:val="en-US" w:eastAsia="zh-CN"/>
              </w:rPr>
              <w:t>漏洞</w:t>
            </w:r>
            <w:r>
              <w:rPr>
                <w:rFonts w:ascii="Times New Roman" w:eastAsia="宋体" w:hAnsi="Times New Roman" w:cs="Times New Roman" w:hint="eastAsia"/>
                <w:szCs w:val="21"/>
              </w:rPr>
              <w:t>修复和维护</w:t>
            </w:r>
          </w:p>
        </w:tc>
      </w:tr>
    </w:tbl>
    <w:p w14:paraId="6D81A5BB">
      <w:pPr>
        <w:snapToGrid w:val="0"/>
        <w:spacing w:line="360" w:lineRule="auto"/>
        <w:ind w:firstLine="482"/>
        <w:rPr>
          <w:rFonts w:ascii="Times New Roman" w:eastAsia="宋体" w:hAnsi="Times New Roman" w:cs="Times New Roman"/>
        </w:rPr>
      </w:pPr>
    </w:p>
    <w:p w14:paraId="5F2F4E31">
      <w:pPr>
        <w:keepNext/>
        <w:keepLines/>
        <w:widowControl w:val="0"/>
        <w:numPr>
          <w:ilvl w:val="0"/>
          <w:numId w:val="4"/>
        </w:numPr>
        <w:spacing w:before="340" w:after="330" w:line="578" w:lineRule="auto"/>
        <w:jc w:val="both"/>
        <w:outlineLvl w:val="0"/>
        <w:rPr>
          <w:rFonts w:ascii="Arial" w:eastAsia="黑体" w:hAnsi="Arial" w:cs="Times New Roman"/>
          <w:b/>
          <w:bCs/>
          <w:kern w:val="44"/>
          <w:sz w:val="32"/>
          <w:szCs w:val="44"/>
        </w:rPr>
      </w:pPr>
      <w:bookmarkStart w:id="194" w:name="_Toc107925098"/>
      <w:bookmarkStart w:id="195" w:name="_Toc107927251"/>
      <w:bookmarkStart w:id="196" w:name="_Toc3173"/>
      <w:bookmarkStart w:id="197" w:name="_Toc5330"/>
      <w:bookmarkStart w:id="198" w:name="_Toc5987"/>
      <w:bookmarkStart w:id="199" w:name="_Toc16353"/>
      <w:r>
        <w:rPr>
          <w:rFonts w:ascii="Arial" w:eastAsia="黑体" w:hAnsi="Arial" w:cs="Times New Roman" w:hint="eastAsia"/>
          <w:b/>
          <w:bCs/>
          <w:kern w:val="44"/>
          <w:sz w:val="32"/>
          <w:szCs w:val="44"/>
          <w:lang w:val="en-US" w:eastAsia="zh-CN" w:bidi="ar-SA"/>
        </w:rPr>
        <w:t>软件交付物要求</w:t>
      </w:r>
      <w:bookmarkEnd w:id="194"/>
      <w:bookmarkEnd w:id="195"/>
      <w:bookmarkEnd w:id="196"/>
      <w:bookmarkEnd w:id="197"/>
      <w:bookmarkEnd w:id="198"/>
      <w:bookmarkEnd w:id="199"/>
    </w:p>
    <w:p w14:paraId="22A43A84">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490"/>
        <w:gridCol w:w="7997"/>
      </w:tblGrid>
      <w:tr w14:paraId="4D6AC8EA">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490" w:type="dxa"/>
            <w:shd w:val="pct10" w:color="auto" w:fill="auto"/>
          </w:tcPr>
          <w:p w14:paraId="5AE703AF">
            <w:pPr>
              <w:spacing w:before="156" w:beforeLines="50" w:after="156" w:afterLines="50"/>
              <w:jc w:val="center"/>
              <w:rPr>
                <w:rFonts w:ascii="宋体" w:eastAsia="宋体" w:hAnsi="宋体" w:cs="Times New Roman" w:hint="eastAsia"/>
                <w:b/>
                <w:szCs w:val="21"/>
              </w:rPr>
            </w:pPr>
            <w:r>
              <w:rPr>
                <w:rFonts w:ascii="宋体" w:eastAsia="宋体" w:hAnsi="宋体" w:cs="Times New Roman" w:hint="eastAsia"/>
                <w:b/>
                <w:kern w:val="2"/>
                <w:sz w:val="21"/>
                <w:szCs w:val="21"/>
                <w:lang w:val="en-US" w:eastAsia="zh-CN" w:bidi="ar-SA"/>
              </w:rPr>
              <w:t>序号</w:t>
            </w:r>
          </w:p>
        </w:tc>
        <w:tc>
          <w:tcPr>
            <w:tcW w:w="7997" w:type="dxa"/>
            <w:shd w:val="pct10" w:color="auto" w:fill="auto"/>
          </w:tcPr>
          <w:p w14:paraId="7695F5BA">
            <w:pPr>
              <w:spacing w:before="156" w:beforeLines="50" w:after="156" w:afterLines="50"/>
              <w:jc w:val="center"/>
              <w:rPr>
                <w:rFonts w:ascii="宋体" w:eastAsia="宋体" w:hAnsi="宋体" w:cs="Times New Roman" w:hint="eastAsia"/>
                <w:b/>
                <w:szCs w:val="21"/>
              </w:rPr>
            </w:pPr>
            <w:r>
              <w:rPr>
                <w:rFonts w:ascii="宋体" w:eastAsia="宋体" w:hAnsi="宋体" w:cs="Times New Roman" w:hint="eastAsia"/>
                <w:b/>
                <w:kern w:val="2"/>
                <w:sz w:val="21"/>
                <w:szCs w:val="21"/>
                <w:lang w:val="en-US" w:eastAsia="zh-CN" w:bidi="ar-SA"/>
              </w:rPr>
              <w:t>产品名称</w:t>
            </w:r>
          </w:p>
        </w:tc>
      </w:tr>
      <w:tr w14:paraId="6626E4E8">
        <w:tblPrEx>
          <w:tblW w:w="0" w:type="auto"/>
          <w:jc w:val="center"/>
          <w:tblLayout w:type="fixed"/>
          <w:tblCellMar>
            <w:top w:w="0" w:type="dxa"/>
            <w:left w:w="108" w:type="dxa"/>
            <w:bottom w:w="0" w:type="dxa"/>
            <w:right w:w="108" w:type="dxa"/>
          </w:tblCellMar>
        </w:tblPrEx>
        <w:trPr>
          <w:jc w:val="center"/>
        </w:trPr>
        <w:tc>
          <w:tcPr>
            <w:tcW w:w="490" w:type="dxa"/>
          </w:tcPr>
          <w:p w14:paraId="5F46F3BD">
            <w:pPr>
              <w:snapToGrid w:val="0"/>
              <w:spacing w:before="156" w:beforeLines="50" w:after="156" w:afterLines="50"/>
              <w:jc w:val="center"/>
              <w:rPr>
                <w:rFonts w:ascii="Times New Roman" w:eastAsia="宋体" w:hAnsi="Times New Roman" w:cs="Times New Roman"/>
                <w:szCs w:val="21"/>
              </w:rPr>
            </w:pPr>
            <w:r>
              <w:rPr>
                <w:rFonts w:ascii="Times New Roman" w:eastAsia="宋体" w:hAnsi="Times New Roman" w:cs="Times New Roman" w:hint="eastAsia"/>
                <w:szCs w:val="21"/>
              </w:rPr>
              <w:t>1</w:t>
            </w:r>
          </w:p>
        </w:tc>
        <w:tc>
          <w:tcPr>
            <w:tcW w:w="7997" w:type="dxa"/>
          </w:tcPr>
          <w:p w14:paraId="11B604B3">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实况系统运维工具及其程序代码</w:t>
            </w:r>
          </w:p>
        </w:tc>
      </w:tr>
      <w:tr w14:paraId="1D17097B">
        <w:tblPrEx>
          <w:tblW w:w="0" w:type="auto"/>
          <w:jc w:val="center"/>
          <w:tblLayout w:type="fixed"/>
          <w:tblCellMar>
            <w:top w:w="0" w:type="dxa"/>
            <w:left w:w="108" w:type="dxa"/>
            <w:bottom w:w="0" w:type="dxa"/>
            <w:right w:w="108" w:type="dxa"/>
          </w:tblCellMar>
        </w:tblPrEx>
        <w:trPr>
          <w:jc w:val="center"/>
        </w:trPr>
        <w:tc>
          <w:tcPr>
            <w:tcW w:w="490" w:type="dxa"/>
          </w:tcPr>
          <w:p w14:paraId="4DE37ACB">
            <w:pPr>
              <w:snapToGrid w:val="0"/>
              <w:spacing w:before="156" w:beforeLines="50" w:after="156" w:afterLines="50"/>
              <w:jc w:val="center"/>
              <w:rPr>
                <w:rFonts w:ascii="Times New Roman" w:eastAsia="宋体" w:hAnsi="Times New Roman" w:cs="Times New Roman" w:hint="eastAsia"/>
                <w:szCs w:val="21"/>
              </w:rPr>
            </w:pPr>
            <w:r>
              <w:rPr>
                <w:rFonts w:ascii="Times New Roman" w:eastAsia="宋体" w:hAnsi="Times New Roman" w:cs="Times New Roman" w:hint="eastAsia"/>
                <w:szCs w:val="21"/>
                <w:lang w:val="en-US" w:eastAsia="zh-CN"/>
              </w:rPr>
              <w:t>2</w:t>
            </w:r>
          </w:p>
        </w:tc>
        <w:tc>
          <w:tcPr>
            <w:tcW w:w="7997" w:type="dxa"/>
          </w:tcPr>
          <w:p w14:paraId="74F31951">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4"/>
              </w:rPr>
              <w:t>基础数据产品和新型垂直观测数据产品</w:t>
            </w:r>
            <w:r>
              <w:rPr>
                <w:rFonts w:ascii="Times New Roman" w:eastAsia="宋体" w:hAnsi="Times New Roman" w:cs="Times New Roman" w:hint="eastAsia"/>
                <w:szCs w:val="21"/>
              </w:rPr>
              <w:t>质量周报工具及其程序代码</w:t>
            </w:r>
          </w:p>
        </w:tc>
      </w:tr>
      <w:tr w14:paraId="2E0166E2">
        <w:tblPrEx>
          <w:tblW w:w="0" w:type="auto"/>
          <w:jc w:val="center"/>
          <w:tblLayout w:type="fixed"/>
          <w:tblCellMar>
            <w:top w:w="0" w:type="dxa"/>
            <w:left w:w="108" w:type="dxa"/>
            <w:bottom w:w="0" w:type="dxa"/>
            <w:right w:w="108" w:type="dxa"/>
          </w:tblCellMar>
        </w:tblPrEx>
        <w:trPr>
          <w:jc w:val="center"/>
        </w:trPr>
        <w:tc>
          <w:tcPr>
            <w:tcW w:w="490" w:type="dxa"/>
          </w:tcPr>
          <w:p w14:paraId="0D8F68C9">
            <w:pPr>
              <w:snapToGrid w:val="0"/>
              <w:spacing w:before="156" w:beforeLines="50" w:after="156" w:afterLines="50"/>
              <w:jc w:val="center"/>
              <w:rPr>
                <w:rFonts w:ascii="Times New Roman" w:eastAsia="宋体" w:hAnsi="Times New Roman" w:cs="Times New Roman" w:hint="default"/>
                <w:szCs w:val="21"/>
              </w:rPr>
            </w:pPr>
            <w:r>
              <w:rPr>
                <w:rFonts w:ascii="Times New Roman" w:eastAsia="宋体" w:hAnsi="Times New Roman" w:cs="Times New Roman" w:hint="eastAsia"/>
                <w:szCs w:val="21"/>
                <w:lang w:val="en-US" w:eastAsia="zh-CN"/>
              </w:rPr>
              <w:t>3</w:t>
            </w:r>
          </w:p>
        </w:tc>
        <w:tc>
          <w:tcPr>
            <w:tcW w:w="7997" w:type="dxa"/>
          </w:tcPr>
          <w:p w14:paraId="124D2866">
            <w:pPr>
              <w:snapToGrid w:val="0"/>
              <w:spacing w:before="156" w:beforeLines="50" w:after="156" w:afterLines="50"/>
              <w:rPr>
                <w:rFonts w:ascii="Times New Roman" w:eastAsia="宋体" w:hAnsi="Times New Roman" w:cs="Times New Roman" w:hint="default"/>
                <w:szCs w:val="21"/>
              </w:rPr>
            </w:pPr>
            <w:r>
              <w:rPr>
                <w:rFonts w:ascii="Times New Roman" w:eastAsia="宋体" w:hAnsi="Times New Roman" w:cs="Times New Roman" w:hint="eastAsia"/>
                <w:szCs w:val="21"/>
                <w:lang w:val="en-US" w:eastAsia="zh-CN"/>
              </w:rPr>
              <w:t>雷达产品运维工具及其程序代码</w:t>
            </w:r>
          </w:p>
        </w:tc>
      </w:tr>
      <w:tr w14:paraId="27F0E7F0">
        <w:tblPrEx>
          <w:tblW w:w="0" w:type="auto"/>
          <w:jc w:val="center"/>
          <w:tblLayout w:type="fixed"/>
          <w:tblCellMar>
            <w:top w:w="0" w:type="dxa"/>
            <w:left w:w="108" w:type="dxa"/>
            <w:bottom w:w="0" w:type="dxa"/>
            <w:right w:w="108" w:type="dxa"/>
          </w:tblCellMar>
        </w:tblPrEx>
        <w:trPr>
          <w:jc w:val="center"/>
        </w:trPr>
        <w:tc>
          <w:tcPr>
            <w:tcW w:w="490" w:type="dxa"/>
          </w:tcPr>
          <w:p w14:paraId="1F614A22">
            <w:pPr>
              <w:snapToGrid w:val="0"/>
              <w:spacing w:before="156" w:beforeLines="50" w:after="156" w:afterLines="50"/>
              <w:jc w:val="center"/>
              <w:rPr>
                <w:rFonts w:ascii="Times New Roman" w:eastAsia="宋体" w:hAnsi="Times New Roman" w:cs="Times New Roman" w:hint="eastAsia"/>
                <w:szCs w:val="21"/>
              </w:rPr>
            </w:pPr>
            <w:r>
              <w:rPr>
                <w:rFonts w:ascii="Times New Roman" w:eastAsia="宋体" w:hAnsi="Times New Roman" w:cs="Times New Roman" w:hint="eastAsia"/>
                <w:szCs w:val="21"/>
                <w:lang w:val="en-US" w:eastAsia="zh-CN"/>
              </w:rPr>
              <w:t>4</w:t>
            </w:r>
          </w:p>
        </w:tc>
        <w:tc>
          <w:tcPr>
            <w:tcW w:w="7997" w:type="dxa"/>
          </w:tcPr>
          <w:p w14:paraId="23D54A2F">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1"/>
                <w:lang w:val="en-US" w:eastAsia="zh-CN"/>
              </w:rPr>
              <w:t>国家级雷达产品实时系统监视及产品质量评估系统（V2.0）</w:t>
            </w:r>
          </w:p>
        </w:tc>
      </w:tr>
    </w:tbl>
    <w:p w14:paraId="1C7036C3">
      <w:pPr>
        <w:widowControl w:val="0"/>
        <w:spacing w:before="312" w:beforeLines="100"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3144"/>
        <w:gridCol w:w="5066"/>
      </w:tblGrid>
      <w:tr w14:paraId="44377D66">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3144" w:type="dxa"/>
            <w:shd w:val="pct10" w:color="auto" w:fill="auto"/>
          </w:tcPr>
          <w:p w14:paraId="272E240B">
            <w:pPr>
              <w:spacing w:before="156" w:beforeLines="50" w:after="156" w:afterLines="50"/>
              <w:jc w:val="center"/>
              <w:rPr>
                <w:rFonts w:ascii="宋体" w:eastAsia="宋体" w:hAnsi="宋体" w:cs="Times New Roman" w:hint="eastAsia"/>
                <w:b/>
                <w:szCs w:val="21"/>
              </w:rPr>
            </w:pPr>
            <w:r>
              <w:rPr>
                <w:rFonts w:ascii="宋体" w:eastAsia="宋体" w:hAnsi="宋体" w:cs="Times New Roman" w:hint="eastAsia"/>
                <w:b/>
                <w:kern w:val="2"/>
                <w:sz w:val="21"/>
                <w:szCs w:val="21"/>
                <w:lang w:val="en-US" w:eastAsia="zh-CN" w:bidi="ar-SA"/>
              </w:rPr>
              <w:t>工作内容</w:t>
            </w:r>
          </w:p>
        </w:tc>
        <w:tc>
          <w:tcPr>
            <w:tcW w:w="5066" w:type="dxa"/>
            <w:shd w:val="pct10" w:color="auto" w:fill="auto"/>
          </w:tcPr>
          <w:p w14:paraId="3D04AD2A">
            <w:pPr>
              <w:spacing w:before="156" w:beforeLines="50" w:after="156" w:afterLines="50"/>
              <w:jc w:val="center"/>
              <w:rPr>
                <w:rFonts w:ascii="宋体" w:eastAsia="宋体" w:hAnsi="宋体" w:cs="Times New Roman" w:hint="eastAsia"/>
                <w:b/>
                <w:szCs w:val="21"/>
              </w:rPr>
            </w:pPr>
            <w:r>
              <w:rPr>
                <w:rFonts w:ascii="宋体" w:eastAsia="宋体" w:hAnsi="宋体" w:cs="Times New Roman" w:hint="eastAsia"/>
                <w:b/>
                <w:kern w:val="2"/>
                <w:sz w:val="21"/>
                <w:szCs w:val="21"/>
                <w:lang w:val="en-US" w:eastAsia="zh-CN" w:bidi="ar-SA"/>
              </w:rPr>
              <w:t>技术文档</w:t>
            </w:r>
          </w:p>
        </w:tc>
      </w:tr>
      <w:tr w14:paraId="13C78978">
        <w:tblPrEx>
          <w:tblW w:w="0" w:type="auto"/>
          <w:jc w:val="center"/>
          <w:tblLayout w:type="fixed"/>
          <w:tblCellMar>
            <w:top w:w="0" w:type="dxa"/>
            <w:left w:w="108" w:type="dxa"/>
            <w:bottom w:w="0" w:type="dxa"/>
            <w:right w:w="108" w:type="dxa"/>
          </w:tblCellMar>
        </w:tblPrEx>
        <w:trPr>
          <w:jc w:val="center"/>
        </w:trPr>
        <w:tc>
          <w:tcPr>
            <w:tcW w:w="3144" w:type="dxa"/>
          </w:tcPr>
          <w:p w14:paraId="2E12B289">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实况</w:t>
            </w:r>
            <w:r>
              <w:rPr>
                <w:rFonts w:ascii="Times New Roman" w:eastAsia="宋体" w:hAnsi="Times New Roman" w:cs="Times New Roman" w:hint="eastAsia"/>
                <w:szCs w:val="21"/>
                <w:lang w:val="en-US" w:eastAsia="zh-CN"/>
              </w:rPr>
              <w:t>分析</w:t>
            </w:r>
            <w:r>
              <w:rPr>
                <w:rFonts w:ascii="Times New Roman" w:eastAsia="宋体" w:hAnsi="Times New Roman" w:cs="Times New Roman" w:hint="eastAsia"/>
                <w:szCs w:val="21"/>
              </w:rPr>
              <w:t>系统运维工作报告</w:t>
            </w:r>
          </w:p>
        </w:tc>
        <w:tc>
          <w:tcPr>
            <w:tcW w:w="5066" w:type="dxa"/>
          </w:tcPr>
          <w:p w14:paraId="531180F0">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实况系统</w:t>
            </w:r>
            <w:r>
              <w:rPr>
                <w:rFonts w:ascii="Times New Roman" w:eastAsia="宋体" w:hAnsi="Times New Roman" w:cs="Times New Roman" w:hint="eastAsia"/>
                <w:szCs w:val="21"/>
                <w:lang w:val="en-US" w:eastAsia="zh-CN"/>
              </w:rPr>
              <w:t>分析</w:t>
            </w:r>
            <w:r>
              <w:rPr>
                <w:rFonts w:ascii="Times New Roman" w:eastAsia="宋体" w:hAnsi="Times New Roman" w:cs="Times New Roman" w:hint="eastAsia"/>
                <w:szCs w:val="21"/>
              </w:rPr>
              <w:t>运维工具使用说明</w:t>
            </w:r>
          </w:p>
        </w:tc>
      </w:tr>
      <w:tr w14:paraId="29EF837C">
        <w:tblPrEx>
          <w:tblW w:w="0" w:type="auto"/>
          <w:jc w:val="center"/>
          <w:tblLayout w:type="fixed"/>
          <w:tblCellMar>
            <w:top w:w="0" w:type="dxa"/>
            <w:left w:w="108" w:type="dxa"/>
            <w:bottom w:w="0" w:type="dxa"/>
            <w:right w:w="108" w:type="dxa"/>
          </w:tblCellMar>
        </w:tblPrEx>
        <w:trPr>
          <w:jc w:val="center"/>
        </w:trPr>
        <w:tc>
          <w:tcPr>
            <w:tcW w:w="3144" w:type="dxa"/>
          </w:tcPr>
          <w:p w14:paraId="0695B297">
            <w:pPr>
              <w:snapToGrid w:val="0"/>
              <w:spacing w:before="156" w:beforeLines="50" w:after="156" w:afterLines="50"/>
              <w:rPr>
                <w:rFonts w:ascii="Times New Roman" w:eastAsia="宋体" w:hAnsi="Times New Roman" w:cs="Times New Roman"/>
                <w:szCs w:val="21"/>
              </w:rPr>
            </w:pPr>
            <w:bookmarkStart w:id="200" w:name="_Toc107925099"/>
            <w:bookmarkStart w:id="201" w:name="_Toc107927252"/>
            <w:r>
              <w:rPr>
                <w:rFonts w:ascii="Times New Roman" w:eastAsia="宋体" w:hAnsi="Times New Roman" w:cs="Times New Roman" w:hint="eastAsia"/>
                <w:szCs w:val="21"/>
              </w:rPr>
              <w:t>每日巡检</w:t>
            </w:r>
          </w:p>
        </w:tc>
        <w:tc>
          <w:tcPr>
            <w:tcW w:w="5066" w:type="dxa"/>
          </w:tcPr>
          <w:p w14:paraId="0C621665">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1"/>
              </w:rPr>
              <w:t>巡检报告</w:t>
            </w:r>
          </w:p>
        </w:tc>
      </w:tr>
      <w:tr w14:paraId="4085E117">
        <w:tblPrEx>
          <w:tblW w:w="0" w:type="auto"/>
          <w:jc w:val="center"/>
          <w:tblLayout w:type="fixed"/>
          <w:tblCellMar>
            <w:top w:w="0" w:type="dxa"/>
            <w:left w:w="108" w:type="dxa"/>
            <w:bottom w:w="0" w:type="dxa"/>
            <w:right w:w="108" w:type="dxa"/>
          </w:tblCellMar>
        </w:tblPrEx>
        <w:trPr>
          <w:jc w:val="center"/>
        </w:trPr>
        <w:tc>
          <w:tcPr>
            <w:tcW w:w="3144" w:type="dxa"/>
            <w:vAlign w:val="center"/>
          </w:tcPr>
          <w:p w14:paraId="7D86DC12">
            <w:pPr>
              <w:snapToGrid w:val="0"/>
              <w:spacing w:before="156" w:beforeLines="50" w:after="156" w:afterLines="50"/>
              <w:rPr>
                <w:rFonts w:ascii="Times New Roman" w:eastAsia="宋体" w:hAnsi="Times New Roman" w:cs="Times New Roman" w:hint="eastAsia"/>
                <w:szCs w:val="21"/>
              </w:rPr>
            </w:pPr>
            <w:bookmarkStart w:id="202" w:name="_Toc31931"/>
            <w:bookmarkStart w:id="203" w:name="_Toc18712"/>
            <w:r>
              <w:rPr>
                <w:rFonts w:ascii="Times New Roman" w:eastAsia="宋体" w:hAnsi="Times New Roman" w:cs="Times New Roman" w:hint="eastAsia"/>
                <w:szCs w:val="21"/>
              </w:rPr>
              <w:t>运维工作报告</w:t>
            </w:r>
          </w:p>
        </w:tc>
        <w:tc>
          <w:tcPr>
            <w:tcW w:w="5066" w:type="dxa"/>
            <w:vAlign w:val="center"/>
          </w:tcPr>
          <w:p w14:paraId="095C0878">
            <w:pPr>
              <w:snapToGrid w:val="0"/>
              <w:spacing w:before="156" w:beforeLines="50" w:after="156" w:afterLines="50"/>
              <w:rPr>
                <w:rFonts w:ascii="Times New Roman" w:eastAsia="宋体" w:hAnsi="Times New Roman" w:cs="Times New Roman"/>
                <w:szCs w:val="21"/>
              </w:rPr>
            </w:pPr>
            <w:r>
              <w:rPr>
                <w:rFonts w:ascii="Times New Roman" w:eastAsia="宋体" w:hAnsi="Times New Roman" w:cs="Times New Roman" w:hint="eastAsia"/>
                <w:szCs w:val="24"/>
              </w:rPr>
              <w:t>基础数据产品和新型垂直观测数据产品</w:t>
            </w:r>
            <w:r>
              <w:rPr>
                <w:rFonts w:ascii="Times New Roman" w:eastAsia="宋体" w:hAnsi="Times New Roman" w:cs="Times New Roman" w:hint="eastAsia"/>
                <w:szCs w:val="21"/>
              </w:rPr>
              <w:t>质量周报工具使用说明</w:t>
            </w:r>
          </w:p>
          <w:p w14:paraId="11DA8AA6">
            <w:pPr>
              <w:snapToGrid w:val="0"/>
              <w:spacing w:before="156" w:beforeLines="50" w:after="156" w:afterLines="50"/>
              <w:rPr>
                <w:rFonts w:ascii="Times New Roman" w:eastAsia="宋体" w:hAnsi="Times New Roman" w:cs="Times New Roman" w:hint="eastAsia"/>
                <w:szCs w:val="21"/>
              </w:rPr>
            </w:pPr>
            <w:r>
              <w:rPr>
                <w:rFonts w:ascii="Times New Roman" w:eastAsia="宋体" w:hAnsi="Times New Roman" w:cs="Times New Roman" w:hint="eastAsia"/>
                <w:szCs w:val="24"/>
              </w:rPr>
              <w:t>基础数据产品和新型垂直观测数据</w:t>
            </w:r>
            <w:r>
              <w:rPr>
                <w:rFonts w:ascii="Times New Roman" w:eastAsia="宋体" w:hAnsi="Times New Roman" w:cs="Times New Roman" w:hint="eastAsia"/>
                <w:szCs w:val="21"/>
              </w:rPr>
              <w:t>产品运维手册</w:t>
            </w:r>
          </w:p>
          <w:p w14:paraId="17E57820">
            <w:pPr>
              <w:snapToGrid w:val="0"/>
              <w:spacing w:before="156" w:beforeLines="50" w:after="156" w:afterLines="50"/>
              <w:rPr>
                <w:rFonts w:ascii="Times New Roman" w:eastAsia="宋体" w:hAnsi="Times New Roman" w:cs="Times New Roman" w:hint="default"/>
                <w:szCs w:val="21"/>
              </w:rPr>
            </w:pPr>
            <w:r>
              <w:rPr>
                <w:rFonts w:ascii="Times New Roman" w:eastAsia="宋体" w:hAnsi="Times New Roman" w:cs="Times New Roman" w:hint="eastAsia"/>
                <w:szCs w:val="21"/>
                <w:lang w:val="en-US" w:eastAsia="zh-CN"/>
              </w:rPr>
              <w:t>雷达产品运维保障记录</w:t>
            </w:r>
          </w:p>
        </w:tc>
      </w:tr>
      <w:tr w14:paraId="18A1DEAC">
        <w:tblPrEx>
          <w:tblW w:w="0" w:type="auto"/>
          <w:jc w:val="center"/>
          <w:tblLayout w:type="fixed"/>
          <w:tblCellMar>
            <w:top w:w="0" w:type="dxa"/>
            <w:left w:w="108" w:type="dxa"/>
            <w:bottom w:w="0" w:type="dxa"/>
            <w:right w:w="108" w:type="dxa"/>
          </w:tblCellMar>
        </w:tblPrEx>
        <w:trPr>
          <w:jc w:val="center"/>
        </w:trPr>
        <w:tc>
          <w:tcPr>
            <w:tcW w:w="3144" w:type="dxa"/>
            <w:vAlign w:val="center"/>
          </w:tcPr>
          <w:p w14:paraId="572BC57D">
            <w:pPr>
              <w:snapToGrid w:val="0"/>
              <w:spacing w:before="156" w:beforeLines="50" w:after="156" w:afterLines="50"/>
              <w:rPr>
                <w:rFonts w:ascii="Times New Roman" w:eastAsia="宋体" w:hAnsi="Times New Roman" w:cs="Times New Roman" w:hint="default"/>
                <w:szCs w:val="21"/>
              </w:rPr>
            </w:pPr>
            <w:r>
              <w:rPr>
                <w:rFonts w:ascii="Times New Roman" w:eastAsia="宋体" w:hAnsi="Times New Roman" w:cs="Times New Roman" w:hint="eastAsia"/>
                <w:szCs w:val="21"/>
                <w:lang w:val="en-US" w:eastAsia="zh-CN"/>
              </w:rPr>
              <w:t>雷达部分使用手册</w:t>
            </w:r>
          </w:p>
        </w:tc>
        <w:tc>
          <w:tcPr>
            <w:tcW w:w="5066" w:type="dxa"/>
            <w:vAlign w:val="center"/>
          </w:tcPr>
          <w:p w14:paraId="26047F20">
            <w:pPr>
              <w:snapToGrid w:val="0"/>
              <w:spacing w:before="156" w:beforeLines="50" w:after="156" w:afterLines="50"/>
              <w:rPr>
                <w:rFonts w:ascii="Times New Roman" w:eastAsia="宋体" w:hAnsi="Times New Roman" w:cs="Times New Roman" w:hint="eastAsia"/>
              </w:rPr>
            </w:pPr>
            <w:r>
              <w:rPr>
                <w:rFonts w:ascii="Times New Roman" w:eastAsia="宋体" w:hAnsi="Times New Roman" w:cs="Times New Roman" w:hint="eastAsia"/>
                <w:szCs w:val="24"/>
              </w:rPr>
              <w:t>国家级雷达产品实时系统监视及产品质量评估系统使用手册（V2.0）</w:t>
            </w:r>
          </w:p>
          <w:p w14:paraId="729D793E">
            <w:pPr>
              <w:snapToGrid w:val="0"/>
              <w:spacing w:before="156" w:beforeLines="50" w:after="156" w:afterLines="50"/>
              <w:rPr>
                <w:rFonts w:ascii="Times New Roman" w:eastAsia="宋体" w:hAnsi="Times New Roman" w:cs="Times New Roman" w:hint="eastAsia"/>
              </w:rPr>
            </w:pPr>
            <w:r>
              <w:rPr>
                <w:rFonts w:ascii="Times New Roman" w:eastAsia="宋体" w:hAnsi="Times New Roman" w:cs="Times New Roman" w:hint="eastAsia"/>
                <w:szCs w:val="24"/>
              </w:rPr>
              <w:t>雷达三维风场产品可视化工具使用手册</w:t>
            </w:r>
          </w:p>
          <w:p w14:paraId="27417D1A">
            <w:pPr>
              <w:snapToGrid w:val="0"/>
              <w:spacing w:before="156" w:beforeLines="50" w:after="156" w:afterLines="50"/>
              <w:rPr>
                <w:rFonts w:ascii="Times New Roman" w:eastAsia="宋体" w:hAnsi="Times New Roman" w:cs="Times New Roman" w:hint="eastAsia"/>
              </w:rPr>
            </w:pPr>
            <w:r>
              <w:rPr>
                <w:rFonts w:ascii="Times New Roman" w:eastAsia="宋体" w:hAnsi="Times New Roman" w:cs="Times New Roman" w:hint="eastAsia"/>
                <w:szCs w:val="24"/>
              </w:rPr>
              <w:t>雷达三维风场产品回算及溯源使用手册</w:t>
            </w:r>
          </w:p>
        </w:tc>
      </w:tr>
    </w:tbl>
    <w:p w14:paraId="68E7CB45">
      <w:pPr>
        <w:keepNext/>
        <w:keepLines/>
        <w:widowControl w:val="0"/>
        <w:numPr>
          <w:ilvl w:val="0"/>
          <w:numId w:val="4"/>
        </w:numPr>
        <w:spacing w:before="340" w:after="330" w:line="578" w:lineRule="auto"/>
        <w:jc w:val="both"/>
        <w:outlineLvl w:val="0"/>
        <w:rPr>
          <w:rFonts w:ascii="Arial" w:eastAsia="黑体" w:hAnsi="Arial" w:cs="Times New Roman"/>
          <w:b/>
          <w:bCs/>
          <w:kern w:val="44"/>
          <w:sz w:val="32"/>
          <w:szCs w:val="44"/>
        </w:rPr>
      </w:pPr>
      <w:bookmarkStart w:id="204" w:name="_Toc16368"/>
      <w:bookmarkStart w:id="205" w:name="_Toc19014"/>
      <w:r>
        <w:rPr>
          <w:rFonts w:ascii="Arial" w:eastAsia="黑体" w:hAnsi="Arial" w:cs="Times New Roman" w:hint="eastAsia"/>
          <w:b/>
          <w:bCs/>
          <w:kern w:val="44"/>
          <w:sz w:val="32"/>
          <w:szCs w:val="44"/>
          <w:lang w:val="en-US" w:eastAsia="zh-CN" w:bidi="ar-SA"/>
        </w:rPr>
        <w:t>项目组织与管理要求</w:t>
      </w:r>
      <w:bookmarkEnd w:id="200"/>
      <w:bookmarkEnd w:id="201"/>
      <w:bookmarkEnd w:id="202"/>
      <w:bookmarkEnd w:id="203"/>
      <w:bookmarkEnd w:id="204"/>
      <w:bookmarkEnd w:id="205"/>
    </w:p>
    <w:p w14:paraId="1797DAB9">
      <w:pPr>
        <w:keepNext/>
        <w:keepLines/>
        <w:widowControl w:val="0"/>
        <w:numPr>
          <w:ilvl w:val="1"/>
          <w:numId w:val="4"/>
        </w:numPr>
        <w:tabs>
          <w:tab w:val="left" w:pos="432"/>
        </w:tabs>
        <w:spacing w:before="260" w:after="260" w:line="416" w:lineRule="auto"/>
        <w:jc w:val="both"/>
        <w:outlineLvl w:val="1"/>
        <w:rPr>
          <w:rFonts w:ascii="Times New Roman" w:eastAsia="宋体" w:hAnsi="Times New Roman" w:cs="Times New Roman"/>
          <w:b/>
          <w:bCs/>
          <w:sz w:val="30"/>
          <w:szCs w:val="32"/>
        </w:rPr>
      </w:pPr>
      <w:bookmarkStart w:id="206" w:name="_Toc22633"/>
      <w:bookmarkStart w:id="207" w:name="_Toc29153"/>
      <w:bookmarkStart w:id="208" w:name="_Toc107925100"/>
      <w:bookmarkStart w:id="209" w:name="_Toc107927253"/>
      <w:bookmarkStart w:id="210" w:name="_Toc2167"/>
      <w:bookmarkStart w:id="211" w:name="_Toc32183"/>
      <w:r>
        <w:rPr>
          <w:rFonts w:ascii="Times New Roman" w:eastAsia="宋体" w:hAnsi="Times New Roman" w:cs="Times New Roman" w:hint="eastAsia"/>
          <w:b/>
          <w:bCs/>
          <w:kern w:val="2"/>
          <w:sz w:val="30"/>
          <w:szCs w:val="32"/>
          <w:lang w:val="en-US" w:eastAsia="zh-CN" w:bidi="ar-SA"/>
        </w:rPr>
        <w:t>编制实况系统运维实施进度计划并组织实施</w:t>
      </w:r>
      <w:bookmarkEnd w:id="206"/>
      <w:bookmarkEnd w:id="207"/>
      <w:bookmarkEnd w:id="208"/>
      <w:bookmarkEnd w:id="209"/>
      <w:bookmarkEnd w:id="210"/>
      <w:bookmarkEnd w:id="211"/>
    </w:p>
    <w:p w14:paraId="28664463">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提供实况系统运维实施计划。</w:t>
      </w:r>
    </w:p>
    <w:p w14:paraId="434A2B81">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每周向甲方提供工作实施进展情况，并提出相关建议。</w:t>
      </w:r>
    </w:p>
    <w:p w14:paraId="47EC28F0">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解决实况系统运维实施过程中出现的各种技术问题。</w:t>
      </w:r>
    </w:p>
    <w:p w14:paraId="0BB1E60C">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协助甲方处理实施过程中出现的质量事故。</w:t>
      </w:r>
    </w:p>
    <w:p w14:paraId="4B81908B">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计划周密，当项目建设过程中出现变化时，要能及时做出调整。</w:t>
      </w:r>
    </w:p>
    <w:p w14:paraId="1EA1DB53">
      <w:pPr>
        <w:widowControl w:val="0"/>
        <w:numPr>
          <w:ilvl w:val="0"/>
          <w:numId w:val="23"/>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要有规范的进度管理机制。</w:t>
      </w:r>
    </w:p>
    <w:p w14:paraId="12A84651">
      <w:pPr>
        <w:keepNext/>
        <w:keepLines/>
        <w:widowControl w:val="0"/>
        <w:numPr>
          <w:ilvl w:val="1"/>
          <w:numId w:val="4"/>
        </w:numPr>
        <w:tabs>
          <w:tab w:val="left" w:pos="432"/>
        </w:tabs>
        <w:spacing w:before="260" w:after="260" w:line="416" w:lineRule="auto"/>
        <w:jc w:val="both"/>
        <w:outlineLvl w:val="1"/>
        <w:rPr>
          <w:rFonts w:ascii="Times New Roman" w:eastAsia="宋体" w:hAnsi="Times New Roman" w:cs="Times New Roman"/>
          <w:b/>
          <w:bCs/>
          <w:sz w:val="30"/>
          <w:szCs w:val="32"/>
        </w:rPr>
      </w:pPr>
      <w:bookmarkStart w:id="212" w:name="_Toc13102"/>
      <w:bookmarkStart w:id="213" w:name="_Toc107925101"/>
      <w:bookmarkStart w:id="214" w:name="_Toc5181"/>
      <w:bookmarkStart w:id="215" w:name="_Toc21164"/>
      <w:bookmarkStart w:id="216" w:name="_Toc1291"/>
      <w:bookmarkStart w:id="217" w:name="_Toc107927254"/>
      <w:r>
        <w:rPr>
          <w:rFonts w:ascii="Times New Roman" w:eastAsia="宋体" w:hAnsi="Times New Roman" w:cs="Times New Roman" w:hint="eastAsia"/>
          <w:b/>
          <w:bCs/>
          <w:kern w:val="2"/>
          <w:sz w:val="30"/>
          <w:szCs w:val="32"/>
          <w:lang w:val="en-US" w:eastAsia="zh-CN" w:bidi="ar-SA"/>
        </w:rPr>
        <w:t>进行项目开发的日常组织、管理、协调</w:t>
      </w:r>
      <w:bookmarkEnd w:id="212"/>
      <w:bookmarkEnd w:id="213"/>
      <w:bookmarkEnd w:id="214"/>
      <w:bookmarkEnd w:id="215"/>
      <w:bookmarkEnd w:id="216"/>
      <w:bookmarkEnd w:id="217"/>
    </w:p>
    <w:p w14:paraId="236C5BA2">
      <w:pPr>
        <w:widowControl w:val="0"/>
        <w:numPr>
          <w:ilvl w:val="0"/>
          <w:numId w:val="24"/>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参加甲方组织与项目建设有关的各类会议。</w:t>
      </w:r>
    </w:p>
    <w:p w14:paraId="0D3EF941">
      <w:pPr>
        <w:widowControl w:val="0"/>
        <w:numPr>
          <w:ilvl w:val="0"/>
          <w:numId w:val="24"/>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要遵循相应的项目管理规范，并有相应的项目管理文档。</w:t>
      </w:r>
    </w:p>
    <w:p w14:paraId="186C626B">
      <w:pPr>
        <w:widowControl w:val="0"/>
        <w:numPr>
          <w:ilvl w:val="0"/>
          <w:numId w:val="24"/>
        </w:numPr>
        <w:spacing w:line="360" w:lineRule="auto"/>
        <w:ind w:left="840" w:hanging="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对系统运维任务中出现的调整，要及时做出安排，并尊重甲方的安排。</w:t>
      </w:r>
    </w:p>
    <w:p w14:paraId="774F0FB8">
      <w:pPr>
        <w:keepNext/>
        <w:keepLines/>
        <w:widowControl w:val="0"/>
        <w:numPr>
          <w:ilvl w:val="0"/>
          <w:numId w:val="4"/>
        </w:numPr>
        <w:spacing w:before="340" w:after="330" w:line="578" w:lineRule="auto"/>
        <w:jc w:val="both"/>
        <w:outlineLvl w:val="0"/>
        <w:rPr>
          <w:rFonts w:ascii="Arial" w:eastAsia="黑体" w:hAnsi="Arial" w:cs="Times New Roman"/>
          <w:b/>
          <w:bCs/>
          <w:kern w:val="44"/>
          <w:sz w:val="32"/>
          <w:szCs w:val="44"/>
        </w:rPr>
      </w:pPr>
      <w:bookmarkStart w:id="218" w:name="_Toc14405"/>
      <w:bookmarkStart w:id="219" w:name="_Toc24960"/>
      <w:bookmarkStart w:id="220" w:name="_Toc107925102"/>
      <w:bookmarkStart w:id="221" w:name="_Toc13654"/>
      <w:bookmarkStart w:id="222" w:name="_Toc107927255"/>
      <w:bookmarkStart w:id="223" w:name="_Toc17508"/>
      <w:r>
        <w:rPr>
          <w:rFonts w:ascii="Arial" w:eastAsia="黑体" w:hAnsi="Arial" w:cs="Times New Roman" w:hint="eastAsia"/>
          <w:b/>
          <w:bCs/>
          <w:kern w:val="44"/>
          <w:sz w:val="32"/>
          <w:szCs w:val="44"/>
          <w:lang w:val="en-US" w:eastAsia="zh-CN" w:bidi="ar-SA"/>
        </w:rPr>
        <w:t>项目的人员及组织机构要求</w:t>
      </w:r>
      <w:bookmarkEnd w:id="218"/>
      <w:bookmarkEnd w:id="219"/>
      <w:bookmarkEnd w:id="220"/>
      <w:bookmarkEnd w:id="221"/>
      <w:bookmarkEnd w:id="222"/>
      <w:bookmarkEnd w:id="223"/>
    </w:p>
    <w:p w14:paraId="5DAB518E">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任务承接方必须成立合理的组织机构，建立健全保障设计、开发工作顺利实施的各项管理制度和质量保证体系，安排好足够的高素质人才参加本项目工作。</w:t>
      </w:r>
    </w:p>
    <w:p w14:paraId="458961BA">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在组织机构中应明确各岗位的职责、任职资格及成果，确保项目顺利实施，应分别配备有项目经理、技术负责人承担本项目工作。</w:t>
      </w:r>
    </w:p>
    <w:p w14:paraId="76CEEC10">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任务承接方应确保服务于本项目的核心技术人员及主要开发人员稳定，团队人数不少于4人，未经甲方允许不得调整核心团队成员，甲方有权要求更换任务承接方项目团队成员。</w:t>
      </w:r>
    </w:p>
    <w:p w14:paraId="0E9874AE">
      <w:pPr>
        <w:keepNext/>
        <w:keepLines/>
        <w:widowControl w:val="0"/>
        <w:numPr>
          <w:ilvl w:val="0"/>
          <w:numId w:val="4"/>
        </w:numPr>
        <w:spacing w:before="340" w:after="330" w:line="578" w:lineRule="auto"/>
        <w:jc w:val="both"/>
        <w:outlineLvl w:val="0"/>
        <w:rPr>
          <w:rFonts w:ascii="Arial" w:eastAsia="黑体" w:hAnsi="Arial" w:cs="Times New Roman"/>
          <w:b/>
          <w:bCs/>
          <w:kern w:val="44"/>
          <w:sz w:val="32"/>
          <w:szCs w:val="44"/>
        </w:rPr>
      </w:pPr>
      <w:bookmarkStart w:id="224" w:name="_Toc20558"/>
      <w:bookmarkStart w:id="225" w:name="_Toc107925104"/>
      <w:bookmarkStart w:id="226" w:name="_Toc20671"/>
      <w:bookmarkStart w:id="227" w:name="_Toc8739"/>
      <w:bookmarkStart w:id="228" w:name="_Toc24937"/>
      <w:bookmarkStart w:id="229" w:name="_Toc107927257"/>
      <w:r>
        <w:rPr>
          <w:rFonts w:ascii="Arial" w:eastAsia="黑体" w:hAnsi="Arial" w:cs="Times New Roman" w:hint="eastAsia"/>
          <w:b/>
          <w:bCs/>
          <w:kern w:val="44"/>
          <w:sz w:val="32"/>
          <w:szCs w:val="44"/>
          <w:lang w:val="en-US" w:eastAsia="zh-CN" w:bidi="ar-SA"/>
        </w:rPr>
        <w:t>安全保密要求</w:t>
      </w:r>
      <w:bookmarkEnd w:id="224"/>
      <w:bookmarkEnd w:id="225"/>
      <w:bookmarkEnd w:id="226"/>
      <w:bookmarkEnd w:id="227"/>
      <w:bookmarkEnd w:id="228"/>
      <w:bookmarkEnd w:id="229"/>
    </w:p>
    <w:p w14:paraId="1DD5E642">
      <w:pPr>
        <w:widowControl w:val="0"/>
        <w:spacing w:line="360" w:lineRule="auto"/>
        <w:ind w:firstLine="480" w:firstLineChars="20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任务承接方必须对项目技术文件以及由交办方提供的所有内部材料、技术文档和信息予以保密。未经交办方书面许可，任务承接方不得以任何形式向第三方透露本项目标书以及本项目的任何内容。</w:t>
      </w:r>
    </w:p>
    <w:p w14:paraId="7A3BC60E">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承接方承诺，遵守《中华人民共和国国家安全法》《中华人民共和国保守国家秘密法》《中华人民共和国气象法》《中华人民共和国网络安全法》《中华人民共和国数据安全法》《气象信息服务管理办法》（中国气象局令第35号）《中国气象局网络安全管理办法》和《气象数据管理办法》中的各项规定。任务承接方按照交办方要求，签署相关数据安全协议。任务承接方未经交办方允许不得利用开发之便，违规获取气象数据。任务承接方承诺对交办方提供的气象资料，仅限于任务承接方在本合同中使用，为最终用户。</w:t>
      </w:r>
    </w:p>
    <w:p w14:paraId="2FC0FC61">
      <w:pPr>
        <w:keepNext/>
        <w:keepLines/>
        <w:widowControl w:val="0"/>
        <w:numPr>
          <w:ilvl w:val="0"/>
          <w:numId w:val="4"/>
        </w:numPr>
        <w:spacing w:before="340" w:after="330" w:line="578" w:lineRule="auto"/>
        <w:jc w:val="both"/>
        <w:outlineLvl w:val="0"/>
        <w:rPr>
          <w:rFonts w:ascii="Arial" w:eastAsia="黑体" w:hAnsi="Arial" w:cs="Times New Roman"/>
          <w:b/>
          <w:bCs/>
          <w:kern w:val="44"/>
          <w:szCs w:val="44"/>
        </w:rPr>
      </w:pPr>
      <w:bookmarkStart w:id="230" w:name="_Toc107927258"/>
      <w:bookmarkStart w:id="231" w:name="_Toc17504"/>
      <w:bookmarkStart w:id="232" w:name="_Toc25927"/>
      <w:bookmarkStart w:id="233" w:name="_Toc107925105"/>
      <w:bookmarkStart w:id="234" w:name="_Toc568"/>
      <w:bookmarkStart w:id="235" w:name="_Toc19511"/>
      <w:r>
        <w:rPr>
          <w:rFonts w:ascii="Arial" w:eastAsia="黑体" w:hAnsi="Arial" w:cs="Times New Roman" w:hint="eastAsia"/>
          <w:b/>
          <w:bCs/>
          <w:kern w:val="44"/>
          <w:sz w:val="32"/>
          <w:szCs w:val="44"/>
          <w:lang w:val="en-US" w:eastAsia="zh-CN" w:bidi="ar-SA"/>
        </w:rPr>
        <w:t>售后服务要求</w:t>
      </w:r>
      <w:bookmarkEnd w:id="230"/>
      <w:bookmarkEnd w:id="231"/>
      <w:bookmarkEnd w:id="232"/>
      <w:bookmarkEnd w:id="233"/>
      <w:bookmarkEnd w:id="234"/>
      <w:bookmarkEnd w:id="235"/>
    </w:p>
    <w:p w14:paraId="412539BE">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本项目要求任务承接方能够提供从系统终验之日起1年免费技术支持服务。</w:t>
      </w:r>
    </w:p>
    <w:p w14:paraId="5A27473C">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kern w:val="2"/>
          <w:sz w:val="24"/>
          <w:szCs w:val="24"/>
          <w:lang w:val="en-US" w:eastAsia="zh-CN" w:bidi="ar-SA"/>
        </w:rPr>
        <w:t>系统发生异常情况，在接到</w:t>
      </w:r>
      <w:r>
        <w:rPr>
          <w:rFonts w:ascii="Times New Roman" w:eastAsia="宋体" w:hAnsi="Times New Roman" w:cs="Times New Roman" w:hint="eastAsia"/>
          <w:kern w:val="2"/>
          <w:sz w:val="24"/>
          <w:szCs w:val="24"/>
          <w:lang w:val="en-US" w:eastAsia="zh-CN" w:bidi="ar-SA"/>
        </w:rPr>
        <w:t>甲方</w:t>
      </w:r>
      <w:r>
        <w:rPr>
          <w:rFonts w:ascii="Times New Roman" w:eastAsia="宋体" w:hAnsi="Times New Roman" w:cs="Times New Roman"/>
          <w:kern w:val="2"/>
          <w:sz w:val="24"/>
          <w:szCs w:val="24"/>
          <w:lang w:val="en-US" w:eastAsia="zh-CN" w:bidi="ar-SA"/>
        </w:rPr>
        <w:t>的通知后，</w:t>
      </w:r>
      <w:r>
        <w:rPr>
          <w:rFonts w:ascii="Times New Roman" w:eastAsia="宋体" w:hAnsi="Times New Roman" w:cs="Times New Roman" w:hint="eastAsia"/>
          <w:kern w:val="2"/>
          <w:sz w:val="24"/>
          <w:szCs w:val="24"/>
          <w:lang w:val="en-US" w:eastAsia="zh-CN" w:bidi="ar-SA"/>
        </w:rPr>
        <w:t>任务承接方</w:t>
      </w:r>
      <w:r>
        <w:rPr>
          <w:rFonts w:ascii="Times New Roman" w:eastAsia="宋体" w:hAnsi="Times New Roman" w:cs="Times New Roman"/>
          <w:kern w:val="2"/>
          <w:sz w:val="24"/>
          <w:szCs w:val="24"/>
          <w:lang w:val="en-US" w:eastAsia="zh-CN" w:bidi="ar-SA"/>
        </w:rPr>
        <w:t>技术人员应提供7*24小时的服务响应，</w:t>
      </w:r>
      <w:r>
        <w:rPr>
          <w:rFonts w:ascii="Times New Roman" w:eastAsia="宋体" w:hAnsi="Times New Roman" w:cs="Times New Roman" w:hint="eastAsia"/>
          <w:kern w:val="2"/>
          <w:sz w:val="24"/>
          <w:szCs w:val="24"/>
          <w:lang w:val="en-US" w:eastAsia="zh-CN" w:bidi="ar-SA"/>
        </w:rPr>
        <w:t>随时进行</w:t>
      </w:r>
      <w:r>
        <w:rPr>
          <w:rFonts w:ascii="Times New Roman" w:eastAsia="宋体" w:hAnsi="Times New Roman" w:cs="Times New Roman"/>
          <w:kern w:val="2"/>
          <w:sz w:val="24"/>
          <w:szCs w:val="24"/>
          <w:lang w:val="en-US" w:eastAsia="zh-CN" w:bidi="ar-SA"/>
        </w:rPr>
        <w:t>电话应答；在</w:t>
      </w:r>
      <w:r>
        <w:rPr>
          <w:rFonts w:ascii="Times New Roman" w:eastAsia="宋体" w:hAnsi="Times New Roman" w:cs="Times New Roman" w:hint="eastAsia"/>
          <w:kern w:val="2"/>
          <w:sz w:val="24"/>
          <w:szCs w:val="24"/>
          <w:lang w:val="en-US" w:eastAsia="zh-CN" w:bidi="ar-SA"/>
        </w:rPr>
        <w:t>2</w:t>
      </w:r>
      <w:r>
        <w:rPr>
          <w:rFonts w:ascii="Times New Roman" w:eastAsia="宋体" w:hAnsi="Times New Roman" w:cs="Times New Roman"/>
          <w:kern w:val="2"/>
          <w:sz w:val="24"/>
          <w:szCs w:val="24"/>
          <w:lang w:val="en-US" w:eastAsia="zh-CN" w:bidi="ar-SA"/>
        </w:rPr>
        <w:t>小时内到达国家气象信息中心现场解决疑难。</w:t>
      </w:r>
    </w:p>
    <w:p w14:paraId="367F0A09">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项目开发质量保障期为1年。质量</w:t>
      </w:r>
      <w:r>
        <w:rPr>
          <w:rFonts w:ascii="Times New Roman" w:eastAsia="宋体" w:hAnsi="Times New Roman" w:cs="Times New Roman"/>
          <w:kern w:val="2"/>
          <w:sz w:val="24"/>
          <w:szCs w:val="24"/>
          <w:lang w:val="en-US" w:eastAsia="zh-CN" w:bidi="ar-SA"/>
        </w:rPr>
        <w:t>保证期后，</w:t>
      </w:r>
      <w:r>
        <w:rPr>
          <w:rFonts w:ascii="Times New Roman" w:eastAsia="宋体" w:hAnsi="Times New Roman" w:cs="Times New Roman" w:hint="eastAsia"/>
          <w:kern w:val="2"/>
          <w:sz w:val="24"/>
          <w:szCs w:val="24"/>
          <w:lang w:val="en-US" w:eastAsia="zh-CN" w:bidi="ar-SA"/>
        </w:rPr>
        <w:t>任务承接方</w:t>
      </w:r>
      <w:r>
        <w:rPr>
          <w:rFonts w:ascii="Times New Roman" w:eastAsia="宋体" w:hAnsi="Times New Roman" w:cs="Times New Roman"/>
          <w:kern w:val="2"/>
          <w:sz w:val="24"/>
          <w:szCs w:val="24"/>
          <w:lang w:val="en-US" w:eastAsia="zh-CN" w:bidi="ar-SA"/>
        </w:rPr>
        <w:t>仍应根据合同要求向</w:t>
      </w:r>
      <w:r>
        <w:rPr>
          <w:rFonts w:ascii="Times New Roman" w:eastAsia="宋体" w:hAnsi="Times New Roman" w:cs="Times New Roman" w:hint="eastAsia"/>
          <w:kern w:val="2"/>
          <w:sz w:val="24"/>
          <w:szCs w:val="24"/>
          <w:lang w:val="en-US" w:eastAsia="zh-CN" w:bidi="ar-SA"/>
        </w:rPr>
        <w:t>甲方</w:t>
      </w:r>
      <w:r>
        <w:rPr>
          <w:rFonts w:ascii="Times New Roman" w:eastAsia="宋体" w:hAnsi="Times New Roman" w:cs="Times New Roman"/>
          <w:kern w:val="2"/>
          <w:sz w:val="24"/>
          <w:szCs w:val="24"/>
          <w:lang w:val="en-US" w:eastAsia="zh-CN" w:bidi="ar-SA"/>
        </w:rPr>
        <w:t>提供技术服务，以合理价格提供软件功能改进技术服务。</w:t>
      </w:r>
    </w:p>
    <w:p w14:paraId="7B5FB489">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质量</w:t>
      </w:r>
      <w:r>
        <w:rPr>
          <w:rFonts w:ascii="Times New Roman" w:eastAsia="宋体" w:hAnsi="Times New Roman" w:cs="Times New Roman"/>
          <w:kern w:val="2"/>
          <w:sz w:val="24"/>
          <w:szCs w:val="24"/>
          <w:lang w:val="en-US" w:eastAsia="zh-CN" w:bidi="ar-SA"/>
        </w:rPr>
        <w:t>保证期</w:t>
      </w:r>
      <w:r>
        <w:rPr>
          <w:rFonts w:ascii="Times New Roman" w:eastAsia="宋体" w:hAnsi="Times New Roman" w:cs="Times New Roman" w:hint="eastAsia"/>
          <w:kern w:val="2"/>
          <w:sz w:val="24"/>
          <w:szCs w:val="24"/>
          <w:lang w:val="en-US" w:eastAsia="zh-CN" w:bidi="ar-SA"/>
        </w:rPr>
        <w:t>间</w:t>
      </w:r>
      <w:r>
        <w:rPr>
          <w:rFonts w:ascii="Times New Roman" w:eastAsia="宋体" w:hAnsi="Times New Roman" w:cs="Times New Roman"/>
          <w:kern w:val="2"/>
          <w:sz w:val="24"/>
          <w:szCs w:val="24"/>
          <w:lang w:val="en-US" w:eastAsia="zh-CN" w:bidi="ar-SA"/>
        </w:rPr>
        <w:t>的维护服务不收取任何额外费用，</w:t>
      </w:r>
      <w:r>
        <w:rPr>
          <w:rFonts w:ascii="Times New Roman" w:eastAsia="宋体" w:hAnsi="Times New Roman" w:cs="Times New Roman" w:hint="eastAsia"/>
          <w:kern w:val="2"/>
          <w:sz w:val="24"/>
          <w:szCs w:val="24"/>
          <w:lang w:val="en-US" w:eastAsia="zh-CN" w:bidi="ar-SA"/>
        </w:rPr>
        <w:t>质量</w:t>
      </w:r>
      <w:r>
        <w:rPr>
          <w:rFonts w:ascii="Times New Roman" w:eastAsia="宋体" w:hAnsi="Times New Roman" w:cs="Times New Roman"/>
          <w:kern w:val="2"/>
          <w:sz w:val="24"/>
          <w:szCs w:val="24"/>
          <w:lang w:val="en-US" w:eastAsia="zh-CN" w:bidi="ar-SA"/>
        </w:rPr>
        <w:t>保证期后</w:t>
      </w:r>
      <w:r>
        <w:rPr>
          <w:rFonts w:ascii="Times New Roman" w:eastAsia="宋体" w:hAnsi="Times New Roman" w:cs="Times New Roman" w:hint="eastAsia"/>
          <w:kern w:val="2"/>
          <w:sz w:val="24"/>
          <w:szCs w:val="24"/>
          <w:lang w:val="en-US" w:eastAsia="zh-CN" w:bidi="ar-SA"/>
        </w:rPr>
        <w:t>按合同约定进行维护。</w:t>
      </w:r>
    </w:p>
    <w:p w14:paraId="222B711E">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应用系统软件通过全部测试并终验后，任务承接方主要开发技术人员至少1人免费驻场服务，服务期不少于1年，期间产生的费用由任务承接方承担。</w:t>
      </w:r>
    </w:p>
    <w:p w14:paraId="01FE0193">
      <w:pPr>
        <w:keepNext/>
        <w:keepLines/>
        <w:widowControl w:val="0"/>
        <w:numPr>
          <w:ilvl w:val="0"/>
          <w:numId w:val="4"/>
        </w:numPr>
        <w:spacing w:before="340" w:after="330" w:line="578" w:lineRule="auto"/>
        <w:jc w:val="both"/>
        <w:outlineLvl w:val="0"/>
        <w:rPr>
          <w:rFonts w:ascii="Arial" w:eastAsia="黑体" w:hAnsi="Arial" w:cs="Times New Roman"/>
          <w:b/>
          <w:bCs/>
          <w:kern w:val="44"/>
          <w:sz w:val="32"/>
          <w:szCs w:val="44"/>
        </w:rPr>
      </w:pPr>
      <w:bookmarkStart w:id="236" w:name="_Toc28331"/>
      <w:bookmarkStart w:id="237" w:name="_Toc107925106"/>
      <w:bookmarkStart w:id="238" w:name="_Toc22046"/>
      <w:bookmarkStart w:id="239" w:name="_Toc4751"/>
      <w:bookmarkStart w:id="240" w:name="_Toc23814"/>
      <w:bookmarkStart w:id="241" w:name="_Toc107927259"/>
      <w:r>
        <w:rPr>
          <w:rFonts w:ascii="Arial" w:eastAsia="黑体" w:hAnsi="Arial" w:cs="Times New Roman" w:hint="eastAsia"/>
          <w:b/>
          <w:bCs/>
          <w:kern w:val="44"/>
          <w:sz w:val="32"/>
          <w:szCs w:val="44"/>
          <w:lang w:val="en-US" w:eastAsia="zh-CN" w:bidi="ar-SA"/>
        </w:rPr>
        <w:t>知识产权要求</w:t>
      </w:r>
      <w:bookmarkEnd w:id="236"/>
      <w:bookmarkEnd w:id="237"/>
      <w:bookmarkEnd w:id="238"/>
      <w:bookmarkEnd w:id="239"/>
      <w:bookmarkEnd w:id="240"/>
      <w:bookmarkEnd w:id="241"/>
    </w:p>
    <w:p w14:paraId="4F8CB075">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全部及/或任何部分的相关知识产权，包括相关权益，归甲方共有。任务承接方有不可争议的义务确保采购人依据本次采购所获得的知识产权不存在任何瑕疵并且可以不受限制地行使相关权利，包括各项延伸权利。若因此发生任何争议均应当由任务承接方独自承担全部及/或任何责任，包括但不限于应当承担其自身及采购方为排除任何争议或瑕疵所应当或所需支付的一切相关/或由此引起的费用。</w:t>
      </w:r>
    </w:p>
    <w:p w14:paraId="1CAA6D96">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任务承接方应当保证其有关参与本次采购相关的活动包括履行本次采购的任何行为，以及本次采购活动结束之后的任何涉及到本次采购的行为，均不会侵犯任何第三方的知识产权。若因此发生任何争议、侵权，均应当由任务承接方独自承担全部及/或任何责任，包括但不限于应当承担其自身及采购中心为排除任何争议及/或赔偿侵权所应当或所需支付的一切相关及/或由此引起的费用。</w:t>
      </w:r>
    </w:p>
    <w:p w14:paraId="1447D1E6">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为甲方提供与本项目设计、开发和集成有关的各类技术咨询服务。</w:t>
      </w:r>
    </w:p>
    <w:p w14:paraId="0352DD29">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协助甲方预见本项目设计、开发和系统集成工作中和项目其他建设工作中可能发生的问题和困难，并向甲方提出解决的办法或建议。</w:t>
      </w:r>
    </w:p>
    <w:p w14:paraId="315A67FE">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在系统的运行维护阶段提供技术支持。对运行过程中出现的新问题提供建议和解决方案。</w:t>
      </w:r>
    </w:p>
    <w:p w14:paraId="3FC91048">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提供其他与项目相关的服务。</w:t>
      </w:r>
    </w:p>
    <w:p w14:paraId="52B6C107">
      <w:pPr>
        <w:widowControl w:val="0"/>
        <w:spacing w:line="360" w:lineRule="auto"/>
        <w:ind w:firstLine="420" w:firstLineChars="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积极协助配合甲方开展与项目有关的工作。</w:t>
      </w:r>
    </w:p>
    <w:p w14:paraId="309F40BC">
      <w:pPr>
        <w:widowControl w:val="0"/>
        <w:spacing w:line="360" w:lineRule="auto"/>
        <w:ind w:firstLine="480" w:firstLineChars="200"/>
        <w:jc w:val="both"/>
        <w:rPr>
          <w:rFonts w:ascii="Times New Roman" w:eastAsia="宋体" w:hAnsi="Times New Roman" w:cs="Times New Roman" w:hint="eastAsia"/>
        </w:rPr>
      </w:pPr>
      <w:r>
        <w:rPr>
          <w:rFonts w:ascii="Times New Roman" w:eastAsia="宋体" w:hAnsi="Times New Roman" w:cs="Times New Roman" w:hint="eastAsia"/>
          <w:kern w:val="2"/>
          <w:sz w:val="24"/>
          <w:szCs w:val="24"/>
          <w:lang w:val="en-US" w:eastAsia="zh-CN" w:bidi="ar-SA"/>
        </w:rPr>
        <w:t>技术支持工作需要及时、有效，充分满足项目建设的需求。</w:t>
      </w:r>
    </w:p>
    <w:p w14:paraId="69F7E2BA">
      <w:pPr>
        <w:widowControl w:val="0"/>
        <w:spacing w:line="360" w:lineRule="auto"/>
        <w:ind w:left="0" w:firstLine="0" w:leftChars="0" w:firstLineChars="0"/>
        <w:jc w:val="both"/>
        <w:rPr>
          <w:rFonts w:ascii="Times New Roman" w:eastAsia="宋体" w:hAnsi="Times New Roman" w:cs="Times New Roman" w:hint="eastAsia"/>
        </w:rPr>
      </w:pPr>
    </w:p>
    <w:p w14:paraId="304CB4BD">
      <w:pPr>
        <w:widowControl w:val="0"/>
        <w:spacing w:line="360" w:lineRule="auto"/>
        <w:ind w:left="0" w:firstLine="0" w:leftChars="0" w:firstLineChars="0"/>
        <w:jc w:val="both"/>
        <w:rPr>
          <w:rFonts w:ascii="Times New Roman" w:eastAsia="宋体" w:hAnsi="Times New Roman" w:cs="Times New Roman" w:hint="eastAsia"/>
        </w:rPr>
      </w:pPr>
    </w:p>
    <w:p w14:paraId="2584BD9F">
      <w:pPr>
        <w:keepNext/>
        <w:keepLines/>
        <w:pageBreakBefore w:val="0"/>
        <w:widowControl w:val="0"/>
        <w:numPr>
          <w:ilvl w:val="0"/>
          <w:numId w:val="0"/>
        </w:numPr>
        <w:tabs>
          <w:tab w:val="left" w:pos="432"/>
        </w:tabs>
        <w:kinsoku/>
        <w:wordWrap/>
        <w:overflowPunct/>
        <w:topLinePunct w:val="0"/>
        <w:autoSpaceDE/>
        <w:autoSpaceDN/>
        <w:bidi w:val="0"/>
        <w:adjustRightInd/>
        <w:snapToGrid/>
        <w:spacing w:before="0" w:after="0" w:line="579" w:lineRule="auto"/>
        <w:jc w:val="both"/>
        <w:textAlignment w:val="auto"/>
        <w:outlineLvl w:val="0"/>
        <w:rPr>
          <w:rFonts w:ascii="Arial" w:eastAsia="黑体" w:hAnsi="Arial" w:cs="Times New Roman"/>
          <w:b/>
          <w:bCs/>
          <w:kern w:val="44"/>
          <w:sz w:val="32"/>
          <w:szCs w:val="44"/>
        </w:rPr>
      </w:pPr>
      <w:bookmarkStart w:id="242" w:name="_Toc12918"/>
      <w:bookmarkStart w:id="243" w:name="_Toc231805373"/>
      <w:bookmarkStart w:id="244" w:name="_Toc7959"/>
      <w:r>
        <w:rPr>
          <w:rFonts w:ascii="Arial" w:eastAsia="黑体" w:hAnsi="Arial" w:cs="Times New Roman" w:hint="eastAsia"/>
          <w:b/>
          <w:bCs/>
          <w:kern w:val="44"/>
          <w:sz w:val="32"/>
          <w:szCs w:val="44"/>
          <w:lang w:val="en-US" w:eastAsia="zh-CN" w:bidi="ar-SA"/>
        </w:rPr>
        <w:t>附件1：基础数据产品和新型垂直观测数据清单</w:t>
      </w:r>
      <w:bookmarkEnd w:id="242"/>
      <w:bookmarkEnd w:id="243"/>
      <w:bookmarkEnd w:id="244"/>
    </w:p>
    <w:p w14:paraId="566DBAE2">
      <w:pPr>
        <w:widowControl w:val="0"/>
        <w:ind w:firstLine="480" w:firstLineChars="200"/>
        <w:jc w:val="both"/>
        <w:rPr>
          <w:rFonts w:ascii="Times New Roman" w:eastAsia="宋体" w:hAnsi="Times New Roman" w:cs="Times New Roman"/>
        </w:rPr>
      </w:pPr>
      <w:r>
        <w:rPr>
          <w:rFonts w:ascii="Times New Roman" w:eastAsia="宋体" w:hAnsi="Times New Roman" w:cs="Times New Roman" w:hint="eastAsia"/>
          <w:kern w:val="2"/>
          <w:sz w:val="24"/>
          <w:szCs w:val="24"/>
          <w:lang w:val="en-US" w:eastAsia="zh-CN" w:bidi="ar-SA"/>
        </w:rPr>
        <w:t>全球基础数据产品24套，中国基础数据产品16套，气候序列均一化产品23套，新型垂直观测数据产品7套。</w:t>
      </w:r>
    </w:p>
    <w:p w14:paraId="541729F0">
      <w:pPr>
        <w:widowControl w:val="0"/>
        <w:ind w:firstLine="420" w:firstLineChars="200"/>
        <w:jc w:val="both"/>
        <w:rPr>
          <w:rFonts w:ascii="Times New Roman" w:eastAsia="宋体" w:hAnsi="Times New Roman" w:cs="Times New Roman"/>
        </w:rPr>
      </w:pP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85"/>
        <w:gridCol w:w="7537"/>
      </w:tblGrid>
      <w:tr w14:paraId="597B71A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985" w:type="dxa"/>
            <w:shd w:val="clear" w:color="auto" w:fill="D9D9D9"/>
            <w:vAlign w:val="center"/>
          </w:tcPr>
          <w:p w14:paraId="791B2FB0">
            <w:pPr>
              <w:widowControl w:val="0"/>
              <w:spacing w:line="360" w:lineRule="auto"/>
              <w:ind w:firstLine="0" w:firstLineChars="0"/>
              <w:jc w:val="both"/>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序号</w:t>
            </w:r>
          </w:p>
        </w:tc>
        <w:tc>
          <w:tcPr>
            <w:tcW w:w="7537" w:type="dxa"/>
            <w:shd w:val="clear" w:color="auto" w:fill="D9D9D9"/>
            <w:vAlign w:val="center"/>
          </w:tcPr>
          <w:p w14:paraId="2C6963B2">
            <w:pPr>
              <w:widowControl w:val="0"/>
              <w:spacing w:line="360" w:lineRule="auto"/>
              <w:ind w:firstLine="0" w:firstLineChars="0"/>
              <w:jc w:val="both"/>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产品名称</w:t>
            </w:r>
          </w:p>
        </w:tc>
      </w:tr>
      <w:tr w14:paraId="6F51EDC2">
        <w:tblPrEx>
          <w:tblW w:w="0" w:type="auto"/>
          <w:tblInd w:w="0" w:type="dxa"/>
          <w:tblCellMar>
            <w:top w:w="0" w:type="dxa"/>
            <w:left w:w="108" w:type="dxa"/>
            <w:bottom w:w="0" w:type="dxa"/>
            <w:right w:w="108" w:type="dxa"/>
          </w:tblCellMar>
        </w:tblPrEx>
        <w:tc>
          <w:tcPr>
            <w:tcW w:w="8522" w:type="dxa"/>
            <w:gridSpan w:val="2"/>
            <w:vAlign w:val="center"/>
          </w:tcPr>
          <w:p w14:paraId="7EB5DF10">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全球基础数据产品</w:t>
            </w:r>
          </w:p>
        </w:tc>
      </w:tr>
      <w:tr w14:paraId="166328BA">
        <w:tblPrEx>
          <w:tblW w:w="0" w:type="auto"/>
          <w:tblInd w:w="0" w:type="dxa"/>
          <w:tblCellMar>
            <w:top w:w="0" w:type="dxa"/>
            <w:left w:w="108" w:type="dxa"/>
            <w:bottom w:w="0" w:type="dxa"/>
            <w:right w:w="108" w:type="dxa"/>
          </w:tblCellMar>
        </w:tblPrEx>
        <w:tc>
          <w:tcPr>
            <w:tcW w:w="985" w:type="dxa"/>
            <w:vAlign w:val="top"/>
          </w:tcPr>
          <w:p w14:paraId="00E689C4">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50B998F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全球陆地小时值整合数据集（V3.0）</w:t>
            </w:r>
          </w:p>
        </w:tc>
      </w:tr>
      <w:tr w14:paraId="429E7A18">
        <w:tblPrEx>
          <w:tblW w:w="0" w:type="auto"/>
          <w:tblInd w:w="0" w:type="dxa"/>
          <w:tblCellMar>
            <w:top w:w="0" w:type="dxa"/>
            <w:left w:w="108" w:type="dxa"/>
            <w:bottom w:w="0" w:type="dxa"/>
            <w:right w:w="108" w:type="dxa"/>
          </w:tblCellMar>
        </w:tblPrEx>
        <w:tc>
          <w:tcPr>
            <w:tcW w:w="985" w:type="dxa"/>
            <w:vAlign w:val="top"/>
          </w:tcPr>
          <w:p w14:paraId="5117EFD9">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2AFE0E1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全球陆地气温月值格点重建（1°x1°）数据集(V1.0)</w:t>
            </w:r>
          </w:p>
        </w:tc>
      </w:tr>
      <w:tr w14:paraId="57D1A87B">
        <w:tblPrEx>
          <w:tblW w:w="0" w:type="auto"/>
          <w:tblInd w:w="0" w:type="dxa"/>
          <w:tblCellMar>
            <w:top w:w="0" w:type="dxa"/>
            <w:left w:w="108" w:type="dxa"/>
            <w:bottom w:w="0" w:type="dxa"/>
            <w:right w:w="108" w:type="dxa"/>
          </w:tblCellMar>
        </w:tblPrEx>
        <w:tc>
          <w:tcPr>
            <w:tcW w:w="985" w:type="dxa"/>
            <w:vAlign w:val="top"/>
          </w:tcPr>
          <w:p w14:paraId="541132E8">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17E15716">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全球表面温度月值格点重建数据集(V2.0)</w:t>
            </w:r>
          </w:p>
        </w:tc>
      </w:tr>
      <w:tr w14:paraId="7C0DB720">
        <w:tblPrEx>
          <w:tblW w:w="0" w:type="auto"/>
          <w:tblInd w:w="0" w:type="dxa"/>
          <w:tblCellMar>
            <w:top w:w="0" w:type="dxa"/>
            <w:left w:w="108" w:type="dxa"/>
            <w:bottom w:w="0" w:type="dxa"/>
            <w:right w:w="108" w:type="dxa"/>
          </w:tblCellMar>
        </w:tblPrEx>
        <w:tc>
          <w:tcPr>
            <w:tcW w:w="985" w:type="dxa"/>
            <w:vAlign w:val="top"/>
          </w:tcPr>
          <w:p w14:paraId="64243251">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35EC3CF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全球地面气温日值整合数据集（V2.0）</w:t>
            </w:r>
          </w:p>
        </w:tc>
      </w:tr>
      <w:tr w14:paraId="165DDB4E">
        <w:tblPrEx>
          <w:tblW w:w="0" w:type="auto"/>
          <w:tblInd w:w="0" w:type="dxa"/>
          <w:tblCellMar>
            <w:top w:w="0" w:type="dxa"/>
            <w:left w:w="108" w:type="dxa"/>
            <w:bottom w:w="0" w:type="dxa"/>
            <w:right w:w="108" w:type="dxa"/>
          </w:tblCellMar>
        </w:tblPrEx>
        <w:tc>
          <w:tcPr>
            <w:tcW w:w="985" w:type="dxa"/>
            <w:vAlign w:val="top"/>
          </w:tcPr>
          <w:p w14:paraId="7C11786E">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76705AF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全球地面最高气温日值整合数据集V1.0</w:t>
            </w:r>
          </w:p>
        </w:tc>
      </w:tr>
      <w:tr w14:paraId="55354A9F">
        <w:tblPrEx>
          <w:tblW w:w="0" w:type="auto"/>
          <w:tblInd w:w="0" w:type="dxa"/>
          <w:tblCellMar>
            <w:top w:w="0" w:type="dxa"/>
            <w:left w:w="108" w:type="dxa"/>
            <w:bottom w:w="0" w:type="dxa"/>
            <w:right w:w="108" w:type="dxa"/>
          </w:tblCellMar>
        </w:tblPrEx>
        <w:tc>
          <w:tcPr>
            <w:tcW w:w="985" w:type="dxa"/>
            <w:vAlign w:val="top"/>
          </w:tcPr>
          <w:p w14:paraId="02828733">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6A6B67B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全球地面最低气温日值整合数据集V1.0</w:t>
            </w:r>
          </w:p>
        </w:tc>
      </w:tr>
      <w:tr w14:paraId="46519E81">
        <w:tblPrEx>
          <w:tblW w:w="0" w:type="auto"/>
          <w:tblInd w:w="0" w:type="dxa"/>
          <w:tblCellMar>
            <w:top w:w="0" w:type="dxa"/>
            <w:left w:w="108" w:type="dxa"/>
            <w:bottom w:w="0" w:type="dxa"/>
            <w:right w:w="108" w:type="dxa"/>
          </w:tblCellMar>
        </w:tblPrEx>
        <w:tc>
          <w:tcPr>
            <w:tcW w:w="985" w:type="dxa"/>
            <w:vAlign w:val="top"/>
          </w:tcPr>
          <w:p w14:paraId="2B9BE897">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1A899066">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全球地面最高气温日值统计数据集(V1.0)</w:t>
            </w:r>
          </w:p>
        </w:tc>
      </w:tr>
      <w:tr w14:paraId="7B079400">
        <w:tblPrEx>
          <w:tblW w:w="0" w:type="auto"/>
          <w:tblInd w:w="0" w:type="dxa"/>
          <w:tblCellMar>
            <w:top w:w="0" w:type="dxa"/>
            <w:left w:w="108" w:type="dxa"/>
            <w:bottom w:w="0" w:type="dxa"/>
            <w:right w:w="108" w:type="dxa"/>
          </w:tblCellMar>
        </w:tblPrEx>
        <w:tc>
          <w:tcPr>
            <w:tcW w:w="985" w:type="dxa"/>
            <w:vAlign w:val="top"/>
          </w:tcPr>
          <w:p w14:paraId="321FEC77">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322620F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全球地面最低气温日值统计数据集(V1.0)</w:t>
            </w:r>
          </w:p>
        </w:tc>
      </w:tr>
      <w:tr w14:paraId="7AFDD63D">
        <w:tblPrEx>
          <w:tblW w:w="0" w:type="auto"/>
          <w:tblInd w:w="0" w:type="dxa"/>
          <w:tblCellMar>
            <w:top w:w="0" w:type="dxa"/>
            <w:left w:w="108" w:type="dxa"/>
            <w:bottom w:w="0" w:type="dxa"/>
            <w:right w:w="108" w:type="dxa"/>
          </w:tblCellMar>
        </w:tblPrEx>
        <w:tc>
          <w:tcPr>
            <w:tcW w:w="985" w:type="dxa"/>
            <w:vAlign w:val="top"/>
          </w:tcPr>
          <w:p w14:paraId="1553ECEF">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0625586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全球地面露点温度日值统计数据集(V1.0)</w:t>
            </w:r>
          </w:p>
        </w:tc>
      </w:tr>
      <w:tr w14:paraId="0EABC2C4">
        <w:tblPrEx>
          <w:tblW w:w="0" w:type="auto"/>
          <w:tblInd w:w="0" w:type="dxa"/>
          <w:tblCellMar>
            <w:top w:w="0" w:type="dxa"/>
            <w:left w:w="108" w:type="dxa"/>
            <w:bottom w:w="0" w:type="dxa"/>
            <w:right w:w="108" w:type="dxa"/>
          </w:tblCellMar>
        </w:tblPrEx>
        <w:tc>
          <w:tcPr>
            <w:tcW w:w="985" w:type="dxa"/>
            <w:vAlign w:val="top"/>
          </w:tcPr>
          <w:p w14:paraId="6C005397">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467BFA0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全球地面日值网格化(0.5°x0.5°)平均气温数据集(V1.0)</w:t>
            </w:r>
          </w:p>
        </w:tc>
      </w:tr>
      <w:tr w14:paraId="17F93002">
        <w:tblPrEx>
          <w:tblW w:w="0" w:type="auto"/>
          <w:tblInd w:w="0" w:type="dxa"/>
          <w:tblCellMar>
            <w:top w:w="0" w:type="dxa"/>
            <w:left w:w="108" w:type="dxa"/>
            <w:bottom w:w="0" w:type="dxa"/>
            <w:right w:w="108" w:type="dxa"/>
          </w:tblCellMar>
        </w:tblPrEx>
        <w:tc>
          <w:tcPr>
            <w:tcW w:w="985" w:type="dxa"/>
            <w:vAlign w:val="top"/>
          </w:tcPr>
          <w:p w14:paraId="00A66DF5">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1ED927B4">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全球地面日值网格化(0.5°x0.5°)降水数据集(V1.0)</w:t>
            </w:r>
          </w:p>
        </w:tc>
      </w:tr>
      <w:tr w14:paraId="679DE886">
        <w:tblPrEx>
          <w:tblW w:w="0" w:type="auto"/>
          <w:tblInd w:w="0" w:type="dxa"/>
          <w:tblCellMar>
            <w:top w:w="0" w:type="dxa"/>
            <w:left w:w="108" w:type="dxa"/>
            <w:bottom w:w="0" w:type="dxa"/>
            <w:right w:w="108" w:type="dxa"/>
          </w:tblCellMar>
        </w:tblPrEx>
        <w:tc>
          <w:tcPr>
            <w:tcW w:w="985" w:type="dxa"/>
            <w:vAlign w:val="top"/>
          </w:tcPr>
          <w:p w14:paraId="53EED164">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23BF375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全球地面降水日值整合数据集(V2.0)</w:t>
            </w:r>
          </w:p>
        </w:tc>
      </w:tr>
      <w:tr w14:paraId="6715A7B8">
        <w:tblPrEx>
          <w:tblW w:w="0" w:type="auto"/>
          <w:tblInd w:w="0" w:type="dxa"/>
          <w:tblCellMar>
            <w:top w:w="0" w:type="dxa"/>
            <w:left w:w="108" w:type="dxa"/>
            <w:bottom w:w="0" w:type="dxa"/>
            <w:right w:w="108" w:type="dxa"/>
          </w:tblCellMar>
        </w:tblPrEx>
        <w:tc>
          <w:tcPr>
            <w:tcW w:w="985" w:type="dxa"/>
            <w:vAlign w:val="top"/>
          </w:tcPr>
          <w:p w14:paraId="4B91A14A">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0E434F0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全球地面气温月值整合数据集（V2.0）</w:t>
            </w:r>
          </w:p>
        </w:tc>
      </w:tr>
      <w:tr w14:paraId="63487DA1">
        <w:tblPrEx>
          <w:tblW w:w="0" w:type="auto"/>
          <w:tblInd w:w="0" w:type="dxa"/>
          <w:tblCellMar>
            <w:top w:w="0" w:type="dxa"/>
            <w:left w:w="108" w:type="dxa"/>
            <w:bottom w:w="0" w:type="dxa"/>
            <w:right w:w="108" w:type="dxa"/>
          </w:tblCellMar>
        </w:tblPrEx>
        <w:tc>
          <w:tcPr>
            <w:tcW w:w="985" w:type="dxa"/>
            <w:vAlign w:val="top"/>
          </w:tcPr>
          <w:p w14:paraId="74066CDE">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49FED17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全球地面降水月值整合数据集（V2.0）</w:t>
            </w:r>
          </w:p>
        </w:tc>
      </w:tr>
      <w:tr w14:paraId="1EA7E2EA">
        <w:tblPrEx>
          <w:tblW w:w="0" w:type="auto"/>
          <w:tblInd w:w="0" w:type="dxa"/>
          <w:tblCellMar>
            <w:top w:w="0" w:type="dxa"/>
            <w:left w:w="108" w:type="dxa"/>
            <w:bottom w:w="0" w:type="dxa"/>
            <w:right w:w="108" w:type="dxa"/>
          </w:tblCellMar>
        </w:tblPrEx>
        <w:tc>
          <w:tcPr>
            <w:tcW w:w="985" w:type="dxa"/>
            <w:vAlign w:val="top"/>
          </w:tcPr>
          <w:p w14:paraId="3DC7B1AC">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495D6FD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全球地面均一化降水月值数据集(V2.0)</w:t>
            </w:r>
          </w:p>
        </w:tc>
      </w:tr>
      <w:tr w14:paraId="07DB991D">
        <w:tblPrEx>
          <w:tblW w:w="0" w:type="auto"/>
          <w:tblInd w:w="0" w:type="dxa"/>
          <w:tblCellMar>
            <w:top w:w="0" w:type="dxa"/>
            <w:left w:w="108" w:type="dxa"/>
            <w:bottom w:w="0" w:type="dxa"/>
            <w:right w:w="108" w:type="dxa"/>
          </w:tblCellMar>
        </w:tblPrEx>
        <w:tc>
          <w:tcPr>
            <w:tcW w:w="985" w:type="dxa"/>
            <w:vAlign w:val="top"/>
          </w:tcPr>
          <w:p w14:paraId="4F7558C9">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4D766C2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全球陆地均一化气温月值数据集（V2.0）</w:t>
            </w:r>
          </w:p>
        </w:tc>
      </w:tr>
      <w:tr w14:paraId="22B6695F">
        <w:tblPrEx>
          <w:tblW w:w="0" w:type="auto"/>
          <w:tblInd w:w="0" w:type="dxa"/>
          <w:tblCellMar>
            <w:top w:w="0" w:type="dxa"/>
            <w:left w:w="108" w:type="dxa"/>
            <w:bottom w:w="0" w:type="dxa"/>
            <w:right w:w="108" w:type="dxa"/>
          </w:tblCellMar>
        </w:tblPrEx>
        <w:tc>
          <w:tcPr>
            <w:tcW w:w="985" w:type="dxa"/>
            <w:vAlign w:val="top"/>
          </w:tcPr>
          <w:p w14:paraId="12AC7A14">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0C99970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全球地面气压日值统计数据集(V1.0)</w:t>
            </w:r>
          </w:p>
        </w:tc>
      </w:tr>
      <w:tr w14:paraId="7F40E748">
        <w:tblPrEx>
          <w:tblW w:w="0" w:type="auto"/>
          <w:tblInd w:w="0" w:type="dxa"/>
          <w:tblCellMar>
            <w:top w:w="0" w:type="dxa"/>
            <w:left w:w="108" w:type="dxa"/>
            <w:bottom w:w="0" w:type="dxa"/>
            <w:right w:w="108" w:type="dxa"/>
          </w:tblCellMar>
        </w:tblPrEx>
        <w:tc>
          <w:tcPr>
            <w:tcW w:w="985" w:type="dxa"/>
            <w:vAlign w:val="top"/>
          </w:tcPr>
          <w:p w14:paraId="7B116FFD">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7900FA8A">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全球地面风速日值统计数据集(V1.1)</w:t>
            </w:r>
          </w:p>
        </w:tc>
      </w:tr>
      <w:tr w14:paraId="15136AE9">
        <w:tblPrEx>
          <w:tblW w:w="0" w:type="auto"/>
          <w:tblInd w:w="0" w:type="dxa"/>
          <w:tblCellMar>
            <w:top w:w="0" w:type="dxa"/>
            <w:left w:w="108" w:type="dxa"/>
            <w:bottom w:w="0" w:type="dxa"/>
            <w:right w:w="108" w:type="dxa"/>
          </w:tblCellMar>
        </w:tblPrEx>
        <w:tc>
          <w:tcPr>
            <w:tcW w:w="985" w:type="dxa"/>
            <w:vAlign w:val="top"/>
          </w:tcPr>
          <w:p w14:paraId="453487A7">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78827A5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全球地面积雪深度日值数据集(V1.0)</w:t>
            </w:r>
          </w:p>
        </w:tc>
      </w:tr>
      <w:tr w14:paraId="58B66511">
        <w:tblPrEx>
          <w:tblW w:w="0" w:type="auto"/>
          <w:tblInd w:w="0" w:type="dxa"/>
          <w:tblCellMar>
            <w:top w:w="0" w:type="dxa"/>
            <w:left w:w="108" w:type="dxa"/>
            <w:bottom w:w="0" w:type="dxa"/>
            <w:right w:w="108" w:type="dxa"/>
          </w:tblCellMar>
        </w:tblPrEx>
        <w:tc>
          <w:tcPr>
            <w:tcW w:w="985" w:type="dxa"/>
            <w:vAlign w:val="top"/>
          </w:tcPr>
          <w:p w14:paraId="47DFBB79">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0518D8A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全球地面日值天气现象数据集(V1.0)</w:t>
            </w:r>
          </w:p>
        </w:tc>
      </w:tr>
      <w:tr w14:paraId="59038017">
        <w:tblPrEx>
          <w:tblW w:w="0" w:type="auto"/>
          <w:tblInd w:w="0" w:type="dxa"/>
          <w:tblCellMar>
            <w:top w:w="0" w:type="dxa"/>
            <w:left w:w="108" w:type="dxa"/>
            <w:bottom w:w="0" w:type="dxa"/>
            <w:right w:w="108" w:type="dxa"/>
          </w:tblCellMar>
        </w:tblPrEx>
        <w:tc>
          <w:tcPr>
            <w:tcW w:w="985" w:type="dxa"/>
            <w:vAlign w:val="top"/>
          </w:tcPr>
          <w:p w14:paraId="7D64BAB9">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427F4DD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全球风廓线雷达小时水平风数据集(V1.0)</w:t>
            </w:r>
          </w:p>
        </w:tc>
      </w:tr>
      <w:tr w14:paraId="5F16E60D">
        <w:tblPrEx>
          <w:tblW w:w="0" w:type="auto"/>
          <w:tblInd w:w="0" w:type="dxa"/>
          <w:tblCellMar>
            <w:top w:w="0" w:type="dxa"/>
            <w:left w:w="108" w:type="dxa"/>
            <w:bottom w:w="0" w:type="dxa"/>
            <w:right w:w="108" w:type="dxa"/>
          </w:tblCellMar>
        </w:tblPrEx>
        <w:tc>
          <w:tcPr>
            <w:tcW w:w="985" w:type="dxa"/>
            <w:vAlign w:val="top"/>
          </w:tcPr>
          <w:p w14:paraId="6E4532B4">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5C10BBF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全球海表观测定时值数据集（V3.0）</w:t>
            </w:r>
          </w:p>
        </w:tc>
      </w:tr>
      <w:tr w14:paraId="51BA652C">
        <w:tblPrEx>
          <w:tblW w:w="0" w:type="auto"/>
          <w:tblInd w:w="0" w:type="dxa"/>
          <w:tblCellMar>
            <w:top w:w="0" w:type="dxa"/>
            <w:left w:w="108" w:type="dxa"/>
            <w:bottom w:w="0" w:type="dxa"/>
            <w:right w:w="108" w:type="dxa"/>
          </w:tblCellMar>
        </w:tblPrEx>
        <w:tc>
          <w:tcPr>
            <w:tcW w:w="985" w:type="dxa"/>
            <w:vAlign w:val="top"/>
          </w:tcPr>
          <w:p w14:paraId="1E3E0DCB">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73A3C34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全球海表温度格点重建数据集（V1.0）</w:t>
            </w:r>
          </w:p>
        </w:tc>
      </w:tr>
      <w:tr w14:paraId="6F4B6734">
        <w:tblPrEx>
          <w:tblW w:w="0" w:type="auto"/>
          <w:tblInd w:w="0" w:type="dxa"/>
          <w:tblCellMar>
            <w:top w:w="0" w:type="dxa"/>
            <w:left w:w="108" w:type="dxa"/>
            <w:bottom w:w="0" w:type="dxa"/>
            <w:right w:w="108" w:type="dxa"/>
          </w:tblCellMar>
        </w:tblPrEx>
        <w:tc>
          <w:tcPr>
            <w:tcW w:w="985" w:type="dxa"/>
            <w:vAlign w:val="top"/>
          </w:tcPr>
          <w:p w14:paraId="563533CF">
            <w:pPr>
              <w:widowControl w:val="0"/>
              <w:numPr>
                <w:ilvl w:val="0"/>
                <w:numId w:val="25"/>
              </w:numPr>
              <w:spacing w:line="360" w:lineRule="auto"/>
              <w:ind w:firstLine="420" w:firstLineChars="0"/>
              <w:jc w:val="center"/>
              <w:rPr>
                <w:rFonts w:ascii="微软雅黑" w:eastAsia="微软雅黑" w:hAnsi="微软雅黑" w:cs="Times New Roman" w:hint="eastAsia"/>
                <w:szCs w:val="21"/>
              </w:rPr>
            </w:pPr>
          </w:p>
        </w:tc>
        <w:tc>
          <w:tcPr>
            <w:tcW w:w="7537" w:type="dxa"/>
            <w:vAlign w:val="center"/>
          </w:tcPr>
          <w:p w14:paraId="51752FD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全球海表观测基本气候数据集（V1.0）</w:t>
            </w:r>
          </w:p>
        </w:tc>
      </w:tr>
      <w:tr w14:paraId="3203541A">
        <w:tblPrEx>
          <w:tblW w:w="0" w:type="auto"/>
          <w:tblInd w:w="0" w:type="dxa"/>
          <w:tblCellMar>
            <w:top w:w="0" w:type="dxa"/>
            <w:left w:w="108" w:type="dxa"/>
            <w:bottom w:w="0" w:type="dxa"/>
            <w:right w:w="108" w:type="dxa"/>
          </w:tblCellMar>
        </w:tblPrEx>
        <w:tc>
          <w:tcPr>
            <w:tcW w:w="8522" w:type="dxa"/>
            <w:gridSpan w:val="2"/>
            <w:vAlign w:val="center"/>
          </w:tcPr>
          <w:p w14:paraId="5FCFBA3C">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中国基础数据产品</w:t>
            </w:r>
          </w:p>
        </w:tc>
      </w:tr>
      <w:tr w14:paraId="3DFC6133">
        <w:tblPrEx>
          <w:tblW w:w="0" w:type="auto"/>
          <w:tblInd w:w="0" w:type="dxa"/>
          <w:tblCellMar>
            <w:top w:w="0" w:type="dxa"/>
            <w:left w:w="108" w:type="dxa"/>
            <w:bottom w:w="0" w:type="dxa"/>
            <w:right w:w="108" w:type="dxa"/>
          </w:tblCellMar>
        </w:tblPrEx>
        <w:tc>
          <w:tcPr>
            <w:tcW w:w="985" w:type="dxa"/>
            <w:vAlign w:val="center"/>
          </w:tcPr>
          <w:p w14:paraId="38466A84">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D36D3F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中国大气成分观测基础数据集（V1.0）</w:t>
            </w:r>
          </w:p>
        </w:tc>
      </w:tr>
      <w:tr w14:paraId="46DD5F89">
        <w:tblPrEx>
          <w:tblW w:w="0" w:type="auto"/>
          <w:tblInd w:w="0" w:type="dxa"/>
          <w:tblCellMar>
            <w:top w:w="0" w:type="dxa"/>
            <w:left w:w="108" w:type="dxa"/>
            <w:bottom w:w="0" w:type="dxa"/>
            <w:right w:w="108" w:type="dxa"/>
          </w:tblCellMar>
        </w:tblPrEx>
        <w:tc>
          <w:tcPr>
            <w:tcW w:w="985" w:type="dxa"/>
            <w:vAlign w:val="center"/>
          </w:tcPr>
          <w:p w14:paraId="049A69ED">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F81477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中国地面小时能见度数据集(V1.0)</w:t>
            </w:r>
          </w:p>
        </w:tc>
      </w:tr>
      <w:tr w14:paraId="7B4B9B1C">
        <w:tblPrEx>
          <w:tblW w:w="0" w:type="auto"/>
          <w:tblInd w:w="0" w:type="dxa"/>
          <w:tblCellMar>
            <w:top w:w="0" w:type="dxa"/>
            <w:left w:w="108" w:type="dxa"/>
            <w:bottom w:w="0" w:type="dxa"/>
            <w:right w:w="108" w:type="dxa"/>
          </w:tblCellMar>
        </w:tblPrEx>
        <w:tc>
          <w:tcPr>
            <w:tcW w:w="985" w:type="dxa"/>
            <w:vAlign w:val="center"/>
          </w:tcPr>
          <w:p w14:paraId="1AD201BA">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2B9CC95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中国地面自动站逐小时降水数据集(V1.0)</w:t>
            </w:r>
          </w:p>
        </w:tc>
      </w:tr>
      <w:tr w14:paraId="1E0EC8E9">
        <w:tblPrEx>
          <w:tblW w:w="0" w:type="auto"/>
          <w:tblInd w:w="0" w:type="dxa"/>
          <w:tblCellMar>
            <w:top w:w="0" w:type="dxa"/>
            <w:left w:w="108" w:type="dxa"/>
            <w:bottom w:w="0" w:type="dxa"/>
            <w:right w:w="108" w:type="dxa"/>
          </w:tblCellMar>
        </w:tblPrEx>
        <w:tc>
          <w:tcPr>
            <w:tcW w:w="985" w:type="dxa"/>
            <w:vAlign w:val="center"/>
          </w:tcPr>
          <w:p w14:paraId="3301FA2E">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BD6493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中国地面小时积雪深度数据集(V1.0)</w:t>
            </w:r>
          </w:p>
        </w:tc>
      </w:tr>
      <w:tr w14:paraId="4D67AE2B">
        <w:tblPrEx>
          <w:tblW w:w="0" w:type="auto"/>
          <w:tblInd w:w="0" w:type="dxa"/>
          <w:tblCellMar>
            <w:top w:w="0" w:type="dxa"/>
            <w:left w:w="108" w:type="dxa"/>
            <w:bottom w:w="0" w:type="dxa"/>
            <w:right w:w="108" w:type="dxa"/>
          </w:tblCellMar>
        </w:tblPrEx>
        <w:tc>
          <w:tcPr>
            <w:tcW w:w="985" w:type="dxa"/>
            <w:vAlign w:val="center"/>
          </w:tcPr>
          <w:p w14:paraId="1E1B7C88">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0DCAD57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中国冻土深度基础数据集(V1.0)</w:t>
            </w:r>
          </w:p>
        </w:tc>
      </w:tr>
      <w:tr w14:paraId="1B057BDE">
        <w:tblPrEx>
          <w:tblW w:w="0" w:type="auto"/>
          <w:tblInd w:w="0" w:type="dxa"/>
          <w:tblCellMar>
            <w:top w:w="0" w:type="dxa"/>
            <w:left w:w="108" w:type="dxa"/>
            <w:bottom w:w="0" w:type="dxa"/>
            <w:right w:w="108" w:type="dxa"/>
          </w:tblCellMar>
        </w:tblPrEx>
        <w:tc>
          <w:tcPr>
            <w:tcW w:w="985" w:type="dxa"/>
            <w:vAlign w:val="center"/>
          </w:tcPr>
          <w:p w14:paraId="7FAB6E22">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9F9867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中国积雪日数月值数据集(V1.0)</w:t>
            </w:r>
          </w:p>
        </w:tc>
      </w:tr>
      <w:tr w14:paraId="69B0773E">
        <w:tblPrEx>
          <w:tblW w:w="0" w:type="auto"/>
          <w:tblInd w:w="0" w:type="dxa"/>
          <w:tblCellMar>
            <w:top w:w="0" w:type="dxa"/>
            <w:left w:w="108" w:type="dxa"/>
            <w:bottom w:w="0" w:type="dxa"/>
            <w:right w:w="108" w:type="dxa"/>
          </w:tblCellMar>
        </w:tblPrEx>
        <w:tc>
          <w:tcPr>
            <w:tcW w:w="985" w:type="dxa"/>
            <w:vAlign w:val="center"/>
          </w:tcPr>
          <w:p w14:paraId="6D91D381">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B9DA03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中国积雪日数年值数据集(V1.0)</w:t>
            </w:r>
          </w:p>
        </w:tc>
      </w:tr>
      <w:tr w14:paraId="2F68630C">
        <w:tblPrEx>
          <w:tblW w:w="0" w:type="auto"/>
          <w:tblInd w:w="0" w:type="dxa"/>
          <w:tblCellMar>
            <w:top w:w="0" w:type="dxa"/>
            <w:left w:w="108" w:type="dxa"/>
            <w:bottom w:w="0" w:type="dxa"/>
            <w:right w:w="108" w:type="dxa"/>
          </w:tblCellMar>
        </w:tblPrEx>
        <w:tc>
          <w:tcPr>
            <w:tcW w:w="985" w:type="dxa"/>
            <w:vAlign w:val="center"/>
          </w:tcPr>
          <w:p w14:paraId="433879FF">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DC6C7C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中国最大冻土深度日值数据集</w:t>
            </w:r>
          </w:p>
        </w:tc>
      </w:tr>
      <w:tr w14:paraId="4F7CC64E">
        <w:tblPrEx>
          <w:tblW w:w="0" w:type="auto"/>
          <w:tblInd w:w="0" w:type="dxa"/>
          <w:tblCellMar>
            <w:top w:w="0" w:type="dxa"/>
            <w:left w:w="108" w:type="dxa"/>
            <w:bottom w:w="0" w:type="dxa"/>
            <w:right w:w="108" w:type="dxa"/>
          </w:tblCellMar>
        </w:tblPrEx>
        <w:tc>
          <w:tcPr>
            <w:tcW w:w="985" w:type="dxa"/>
            <w:vAlign w:val="center"/>
          </w:tcPr>
          <w:p w14:paraId="76FBFB83">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249F0DA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中国最大冻土深度旬值数据集</w:t>
            </w:r>
          </w:p>
        </w:tc>
      </w:tr>
      <w:tr w14:paraId="09082476">
        <w:tblPrEx>
          <w:tblW w:w="0" w:type="auto"/>
          <w:tblInd w:w="0" w:type="dxa"/>
          <w:tblCellMar>
            <w:top w:w="0" w:type="dxa"/>
            <w:left w:w="108" w:type="dxa"/>
            <w:bottom w:w="0" w:type="dxa"/>
            <w:right w:w="108" w:type="dxa"/>
          </w:tblCellMar>
        </w:tblPrEx>
        <w:tc>
          <w:tcPr>
            <w:tcW w:w="985" w:type="dxa"/>
            <w:vAlign w:val="center"/>
          </w:tcPr>
          <w:p w14:paraId="27D52E07">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D57DEF0">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中国最大冻土深度月值数据集</w:t>
            </w:r>
          </w:p>
        </w:tc>
      </w:tr>
      <w:tr w14:paraId="6F52A97D">
        <w:tblPrEx>
          <w:tblW w:w="0" w:type="auto"/>
          <w:tblInd w:w="0" w:type="dxa"/>
          <w:tblCellMar>
            <w:top w:w="0" w:type="dxa"/>
            <w:left w:w="108" w:type="dxa"/>
            <w:bottom w:w="0" w:type="dxa"/>
            <w:right w:w="108" w:type="dxa"/>
          </w:tblCellMar>
        </w:tblPrEx>
        <w:tc>
          <w:tcPr>
            <w:tcW w:w="985" w:type="dxa"/>
            <w:vAlign w:val="center"/>
          </w:tcPr>
          <w:p w14:paraId="44D13914">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1A18CFC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中国最大冻土深度年值数据集</w:t>
            </w:r>
          </w:p>
        </w:tc>
      </w:tr>
      <w:tr w14:paraId="68A89720">
        <w:tblPrEx>
          <w:tblW w:w="0" w:type="auto"/>
          <w:tblInd w:w="0" w:type="dxa"/>
          <w:tblCellMar>
            <w:top w:w="0" w:type="dxa"/>
            <w:left w:w="108" w:type="dxa"/>
            <w:bottom w:w="0" w:type="dxa"/>
            <w:right w:w="108" w:type="dxa"/>
          </w:tblCellMar>
        </w:tblPrEx>
        <w:tc>
          <w:tcPr>
            <w:tcW w:w="985" w:type="dxa"/>
            <w:vAlign w:val="center"/>
          </w:tcPr>
          <w:p w14:paraId="1B6AB9EB">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06557F2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中国探空秒级数据集（V2.0）</w:t>
            </w:r>
          </w:p>
        </w:tc>
      </w:tr>
      <w:tr w14:paraId="48A2C673">
        <w:tblPrEx>
          <w:tblW w:w="0" w:type="auto"/>
          <w:tblInd w:w="0" w:type="dxa"/>
          <w:tblCellMar>
            <w:top w:w="0" w:type="dxa"/>
            <w:left w:w="108" w:type="dxa"/>
            <w:bottom w:w="0" w:type="dxa"/>
            <w:right w:w="108" w:type="dxa"/>
          </w:tblCellMar>
        </w:tblPrEx>
        <w:tc>
          <w:tcPr>
            <w:tcW w:w="985" w:type="dxa"/>
            <w:vAlign w:val="center"/>
          </w:tcPr>
          <w:p w14:paraId="52A74E95">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115FD03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中国近海锚碇浮标数据集(V1.0)</w:t>
            </w:r>
          </w:p>
        </w:tc>
      </w:tr>
      <w:tr w14:paraId="5A3DFDDC">
        <w:tblPrEx>
          <w:tblW w:w="0" w:type="auto"/>
          <w:tblInd w:w="0" w:type="dxa"/>
          <w:tblCellMar>
            <w:top w:w="0" w:type="dxa"/>
            <w:left w:w="108" w:type="dxa"/>
            <w:bottom w:w="0" w:type="dxa"/>
            <w:right w:w="108" w:type="dxa"/>
          </w:tblCellMar>
        </w:tblPrEx>
        <w:tc>
          <w:tcPr>
            <w:tcW w:w="985" w:type="dxa"/>
            <w:vAlign w:val="center"/>
          </w:tcPr>
          <w:p w14:paraId="5C40D74F">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7BD524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中国自动观测土壤水分小时数据集</w:t>
            </w:r>
          </w:p>
        </w:tc>
      </w:tr>
      <w:tr w14:paraId="37A42701">
        <w:tblPrEx>
          <w:tblW w:w="0" w:type="auto"/>
          <w:tblInd w:w="0" w:type="dxa"/>
          <w:tblCellMar>
            <w:top w:w="0" w:type="dxa"/>
            <w:left w:w="108" w:type="dxa"/>
            <w:bottom w:w="0" w:type="dxa"/>
            <w:right w:w="108" w:type="dxa"/>
          </w:tblCellMar>
        </w:tblPrEx>
        <w:tc>
          <w:tcPr>
            <w:tcW w:w="985" w:type="dxa"/>
            <w:vAlign w:val="center"/>
          </w:tcPr>
          <w:p w14:paraId="0AC00ABB">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A2028B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中国区域沙尘、雾和霾实况分析产品(V1.0)</w:t>
            </w:r>
          </w:p>
        </w:tc>
      </w:tr>
      <w:tr w14:paraId="0E0B040C">
        <w:tblPrEx>
          <w:tblW w:w="0" w:type="auto"/>
          <w:tblInd w:w="0" w:type="dxa"/>
          <w:tblCellMar>
            <w:top w:w="0" w:type="dxa"/>
            <w:left w:w="108" w:type="dxa"/>
            <w:bottom w:w="0" w:type="dxa"/>
            <w:right w:w="108" w:type="dxa"/>
          </w:tblCellMar>
        </w:tblPrEx>
        <w:tc>
          <w:tcPr>
            <w:tcW w:w="985" w:type="dxa"/>
            <w:vAlign w:val="center"/>
          </w:tcPr>
          <w:p w14:paraId="1FA97DE2">
            <w:pPr>
              <w:widowControl w:val="0"/>
              <w:numPr>
                <w:ilvl w:val="0"/>
                <w:numId w:val="26"/>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3BC31F4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中国区域沙尘、雾和霾实况分析产品-24小时累积(V1.0)</w:t>
            </w:r>
          </w:p>
        </w:tc>
      </w:tr>
      <w:tr w14:paraId="067E3982">
        <w:tblPrEx>
          <w:tblW w:w="0" w:type="auto"/>
          <w:tblInd w:w="0" w:type="dxa"/>
          <w:tblCellMar>
            <w:top w:w="0" w:type="dxa"/>
            <w:left w:w="108" w:type="dxa"/>
            <w:bottom w:w="0" w:type="dxa"/>
            <w:right w:w="108" w:type="dxa"/>
          </w:tblCellMar>
        </w:tblPrEx>
        <w:tc>
          <w:tcPr>
            <w:tcW w:w="8522" w:type="dxa"/>
            <w:gridSpan w:val="2"/>
            <w:vAlign w:val="center"/>
          </w:tcPr>
          <w:p w14:paraId="78A0586F">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b/>
                <w:bCs/>
                <w:kern w:val="2"/>
                <w:sz w:val="21"/>
                <w:szCs w:val="21"/>
                <w:lang w:val="en-US" w:eastAsia="zh-CN" w:bidi="ar-SA"/>
              </w:rPr>
              <w:t>气候序列均一化产品</w:t>
            </w:r>
          </w:p>
        </w:tc>
      </w:tr>
      <w:tr w14:paraId="52A5DCC5">
        <w:tblPrEx>
          <w:tblW w:w="0" w:type="auto"/>
          <w:tblInd w:w="0" w:type="dxa"/>
          <w:tblCellMar>
            <w:top w:w="0" w:type="dxa"/>
            <w:left w:w="108" w:type="dxa"/>
            <w:bottom w:w="0" w:type="dxa"/>
            <w:right w:w="108" w:type="dxa"/>
          </w:tblCellMar>
        </w:tblPrEx>
        <w:tc>
          <w:tcPr>
            <w:tcW w:w="985" w:type="dxa"/>
            <w:vAlign w:val="center"/>
          </w:tcPr>
          <w:p w14:paraId="61C37282">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A138FC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 xml:space="preserve">中国国家级地面气象站均一化气温日值数据集 (V2.0) </w:t>
            </w:r>
          </w:p>
        </w:tc>
      </w:tr>
      <w:tr w14:paraId="37CBAAB6">
        <w:tblPrEx>
          <w:tblW w:w="0" w:type="auto"/>
          <w:tblInd w:w="0" w:type="dxa"/>
          <w:tblCellMar>
            <w:top w:w="0" w:type="dxa"/>
            <w:left w:w="108" w:type="dxa"/>
            <w:bottom w:w="0" w:type="dxa"/>
            <w:right w:w="108" w:type="dxa"/>
          </w:tblCellMar>
        </w:tblPrEx>
        <w:tc>
          <w:tcPr>
            <w:tcW w:w="985" w:type="dxa"/>
            <w:vAlign w:val="center"/>
          </w:tcPr>
          <w:p w14:paraId="2B8DED0C">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3F7286C">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 xml:space="preserve">中国国家级地面气象站均一化气温月值数据集(V2.0) </w:t>
            </w:r>
          </w:p>
        </w:tc>
      </w:tr>
      <w:tr w14:paraId="660213AD">
        <w:tblPrEx>
          <w:tblW w:w="0" w:type="auto"/>
          <w:tblInd w:w="0" w:type="dxa"/>
          <w:tblCellMar>
            <w:top w:w="0" w:type="dxa"/>
            <w:left w:w="108" w:type="dxa"/>
            <w:bottom w:w="0" w:type="dxa"/>
            <w:right w:w="108" w:type="dxa"/>
          </w:tblCellMar>
        </w:tblPrEx>
        <w:tc>
          <w:tcPr>
            <w:tcW w:w="985" w:type="dxa"/>
            <w:vAlign w:val="center"/>
          </w:tcPr>
          <w:p w14:paraId="5F9B040E">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781E35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中国国家级地面气象站均一化降水日值数据集(V2.0)</w:t>
            </w:r>
          </w:p>
        </w:tc>
      </w:tr>
      <w:tr w14:paraId="17C30CB6">
        <w:tblPrEx>
          <w:tblW w:w="0" w:type="auto"/>
          <w:tblInd w:w="0" w:type="dxa"/>
          <w:tblCellMar>
            <w:top w:w="0" w:type="dxa"/>
            <w:left w:w="108" w:type="dxa"/>
            <w:bottom w:w="0" w:type="dxa"/>
            <w:right w:w="108" w:type="dxa"/>
          </w:tblCellMar>
        </w:tblPrEx>
        <w:tc>
          <w:tcPr>
            <w:tcW w:w="985" w:type="dxa"/>
            <w:vAlign w:val="center"/>
          </w:tcPr>
          <w:p w14:paraId="4828AE1C">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0D0AED9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中国国家级地面气象站均一化降水月值数据集(V2.0)</w:t>
            </w:r>
          </w:p>
        </w:tc>
      </w:tr>
      <w:tr w14:paraId="71F262FD">
        <w:tblPrEx>
          <w:tblW w:w="0" w:type="auto"/>
          <w:tblInd w:w="0" w:type="dxa"/>
          <w:tblCellMar>
            <w:top w:w="0" w:type="dxa"/>
            <w:left w:w="108" w:type="dxa"/>
            <w:bottom w:w="0" w:type="dxa"/>
            <w:right w:w="108" w:type="dxa"/>
          </w:tblCellMar>
        </w:tblPrEx>
        <w:tc>
          <w:tcPr>
            <w:tcW w:w="985" w:type="dxa"/>
            <w:vAlign w:val="center"/>
          </w:tcPr>
          <w:p w14:paraId="7ED76DC6">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0703E76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中国国家级地面气象站均一化相对湿度日值数据集 (V2.0)</w:t>
            </w:r>
          </w:p>
        </w:tc>
      </w:tr>
      <w:tr w14:paraId="17AF3DE9">
        <w:tblPrEx>
          <w:tblW w:w="0" w:type="auto"/>
          <w:tblInd w:w="0" w:type="dxa"/>
          <w:tblCellMar>
            <w:top w:w="0" w:type="dxa"/>
            <w:left w:w="108" w:type="dxa"/>
            <w:bottom w:w="0" w:type="dxa"/>
            <w:right w:w="108" w:type="dxa"/>
          </w:tblCellMar>
        </w:tblPrEx>
        <w:tc>
          <w:tcPr>
            <w:tcW w:w="985" w:type="dxa"/>
            <w:vAlign w:val="center"/>
          </w:tcPr>
          <w:p w14:paraId="2E20F6D4">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322AD40">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中国国家级地面气象站均一化相对湿度月值数据集 (V2.0)</w:t>
            </w:r>
          </w:p>
        </w:tc>
      </w:tr>
      <w:tr w14:paraId="4E24EAC7">
        <w:tblPrEx>
          <w:tblW w:w="0" w:type="auto"/>
          <w:tblInd w:w="0" w:type="dxa"/>
          <w:tblCellMar>
            <w:top w:w="0" w:type="dxa"/>
            <w:left w:w="108" w:type="dxa"/>
            <w:bottom w:w="0" w:type="dxa"/>
            <w:right w:w="108" w:type="dxa"/>
          </w:tblCellMar>
        </w:tblPrEx>
        <w:tc>
          <w:tcPr>
            <w:tcW w:w="985" w:type="dxa"/>
            <w:vAlign w:val="center"/>
          </w:tcPr>
          <w:p w14:paraId="5D9A4D01">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870C29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中国国家级地面气象站均一化云量日值数据集(V1.0)</w:t>
            </w:r>
          </w:p>
        </w:tc>
      </w:tr>
      <w:tr w14:paraId="67D988EE">
        <w:tblPrEx>
          <w:tblW w:w="0" w:type="auto"/>
          <w:tblInd w:w="0" w:type="dxa"/>
          <w:tblCellMar>
            <w:top w:w="0" w:type="dxa"/>
            <w:left w:w="108" w:type="dxa"/>
            <w:bottom w:w="0" w:type="dxa"/>
            <w:right w:w="108" w:type="dxa"/>
          </w:tblCellMar>
        </w:tblPrEx>
        <w:tc>
          <w:tcPr>
            <w:tcW w:w="985" w:type="dxa"/>
            <w:vAlign w:val="center"/>
          </w:tcPr>
          <w:p w14:paraId="4BEBFA0D">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17FE48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中国国家级地面气象站均一化云量月值数据集(V1.0)</w:t>
            </w:r>
          </w:p>
        </w:tc>
      </w:tr>
      <w:tr w14:paraId="71BF7A8F">
        <w:tblPrEx>
          <w:tblW w:w="0" w:type="auto"/>
          <w:tblInd w:w="0" w:type="dxa"/>
          <w:tblCellMar>
            <w:top w:w="0" w:type="dxa"/>
            <w:left w:w="108" w:type="dxa"/>
            <w:bottom w:w="0" w:type="dxa"/>
            <w:right w:w="108" w:type="dxa"/>
          </w:tblCellMar>
        </w:tblPrEx>
        <w:tc>
          <w:tcPr>
            <w:tcW w:w="985" w:type="dxa"/>
            <w:vAlign w:val="center"/>
          </w:tcPr>
          <w:p w14:paraId="3DE91A53">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BDC302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中国国家级地面气象站均一化能见度月值数据集(V1.0)</w:t>
            </w:r>
          </w:p>
        </w:tc>
      </w:tr>
      <w:tr w14:paraId="45B06144">
        <w:tblPrEx>
          <w:tblW w:w="0" w:type="auto"/>
          <w:tblInd w:w="0" w:type="dxa"/>
          <w:tblCellMar>
            <w:top w:w="0" w:type="dxa"/>
            <w:left w:w="108" w:type="dxa"/>
            <w:bottom w:w="0" w:type="dxa"/>
            <w:right w:w="108" w:type="dxa"/>
          </w:tblCellMar>
        </w:tblPrEx>
        <w:tc>
          <w:tcPr>
            <w:tcW w:w="985" w:type="dxa"/>
            <w:vAlign w:val="center"/>
          </w:tcPr>
          <w:p w14:paraId="70E37F85">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166C40D">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中国国家级地面气象站均一化风速月值数据集 (V2.0)</w:t>
            </w:r>
          </w:p>
        </w:tc>
      </w:tr>
      <w:tr w14:paraId="4F816FE7">
        <w:tblPrEx>
          <w:tblW w:w="0" w:type="auto"/>
          <w:tblInd w:w="0" w:type="dxa"/>
          <w:tblCellMar>
            <w:top w:w="0" w:type="dxa"/>
            <w:left w:w="108" w:type="dxa"/>
            <w:bottom w:w="0" w:type="dxa"/>
            <w:right w:w="108" w:type="dxa"/>
          </w:tblCellMar>
        </w:tblPrEx>
        <w:tc>
          <w:tcPr>
            <w:tcW w:w="985" w:type="dxa"/>
            <w:vAlign w:val="center"/>
          </w:tcPr>
          <w:p w14:paraId="5B61D2F5">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6392AA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中国国家级地面气象站均一化气压月值数据集(V2.0)</w:t>
            </w:r>
          </w:p>
        </w:tc>
      </w:tr>
      <w:tr w14:paraId="59CC5BA6">
        <w:tblPrEx>
          <w:tblW w:w="0" w:type="auto"/>
          <w:tblInd w:w="0" w:type="dxa"/>
          <w:tblCellMar>
            <w:top w:w="0" w:type="dxa"/>
            <w:left w:w="108" w:type="dxa"/>
            <w:bottom w:w="0" w:type="dxa"/>
            <w:right w:w="108" w:type="dxa"/>
          </w:tblCellMar>
        </w:tblPrEx>
        <w:tc>
          <w:tcPr>
            <w:tcW w:w="985" w:type="dxa"/>
            <w:vAlign w:val="center"/>
          </w:tcPr>
          <w:p w14:paraId="10383BDF">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C908A0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中国国家级地面气象站均一化日照时数月值数据集(V1.0)</w:t>
            </w:r>
          </w:p>
        </w:tc>
      </w:tr>
      <w:tr w14:paraId="4DDDA2B3">
        <w:tblPrEx>
          <w:tblW w:w="0" w:type="auto"/>
          <w:tblInd w:w="0" w:type="dxa"/>
          <w:tblCellMar>
            <w:top w:w="0" w:type="dxa"/>
            <w:left w:w="108" w:type="dxa"/>
            <w:bottom w:w="0" w:type="dxa"/>
            <w:right w:w="108" w:type="dxa"/>
          </w:tblCellMar>
        </w:tblPrEx>
        <w:tc>
          <w:tcPr>
            <w:tcW w:w="985" w:type="dxa"/>
            <w:vAlign w:val="center"/>
          </w:tcPr>
          <w:p w14:paraId="57F7752A">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2A0121F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中国近百年均一化气温月值数据集 (V1.0)</w:t>
            </w:r>
          </w:p>
        </w:tc>
      </w:tr>
      <w:tr w14:paraId="638DB526">
        <w:tblPrEx>
          <w:tblW w:w="0" w:type="auto"/>
          <w:tblInd w:w="0" w:type="dxa"/>
          <w:tblCellMar>
            <w:top w:w="0" w:type="dxa"/>
            <w:left w:w="108" w:type="dxa"/>
            <w:bottom w:w="0" w:type="dxa"/>
            <w:right w:w="108" w:type="dxa"/>
          </w:tblCellMar>
        </w:tblPrEx>
        <w:tc>
          <w:tcPr>
            <w:tcW w:w="985" w:type="dxa"/>
            <w:vAlign w:val="center"/>
          </w:tcPr>
          <w:p w14:paraId="5D18829E">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429E197">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中国气象辐射站均一化太阳总辐射月值数据集(V1.0)</w:t>
            </w:r>
          </w:p>
        </w:tc>
      </w:tr>
      <w:tr w14:paraId="7EFD7B35">
        <w:tblPrEx>
          <w:tblW w:w="0" w:type="auto"/>
          <w:tblInd w:w="0" w:type="dxa"/>
          <w:tblCellMar>
            <w:top w:w="0" w:type="dxa"/>
            <w:left w:w="108" w:type="dxa"/>
            <w:bottom w:w="0" w:type="dxa"/>
            <w:right w:w="108" w:type="dxa"/>
          </w:tblCellMar>
        </w:tblPrEx>
        <w:tc>
          <w:tcPr>
            <w:tcW w:w="985" w:type="dxa"/>
            <w:vAlign w:val="center"/>
          </w:tcPr>
          <w:p w14:paraId="3904288B">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E7A1A8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中国国家站地表温度定时值偏差订正数据</w:t>
            </w:r>
          </w:p>
        </w:tc>
      </w:tr>
      <w:tr w14:paraId="3C206C34">
        <w:tblPrEx>
          <w:tblW w:w="0" w:type="auto"/>
          <w:tblInd w:w="0" w:type="dxa"/>
          <w:tblCellMar>
            <w:top w:w="0" w:type="dxa"/>
            <w:left w:w="108" w:type="dxa"/>
            <w:bottom w:w="0" w:type="dxa"/>
            <w:right w:w="108" w:type="dxa"/>
          </w:tblCellMar>
        </w:tblPrEx>
        <w:tc>
          <w:tcPr>
            <w:tcW w:w="985" w:type="dxa"/>
            <w:vAlign w:val="center"/>
          </w:tcPr>
          <w:p w14:paraId="7B627636">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5FB898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中国国家站地表温度日值偏差订正数据</w:t>
            </w:r>
          </w:p>
        </w:tc>
      </w:tr>
      <w:tr w14:paraId="5651334A">
        <w:tblPrEx>
          <w:tblW w:w="0" w:type="auto"/>
          <w:tblInd w:w="0" w:type="dxa"/>
          <w:tblCellMar>
            <w:top w:w="0" w:type="dxa"/>
            <w:left w:w="108" w:type="dxa"/>
            <w:bottom w:w="0" w:type="dxa"/>
            <w:right w:w="108" w:type="dxa"/>
          </w:tblCellMar>
        </w:tblPrEx>
        <w:tc>
          <w:tcPr>
            <w:tcW w:w="985" w:type="dxa"/>
            <w:vAlign w:val="center"/>
          </w:tcPr>
          <w:p w14:paraId="4D7403E0">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325E4D5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中国国家站地表温度月值均一化数据</w:t>
            </w:r>
          </w:p>
        </w:tc>
      </w:tr>
      <w:tr w14:paraId="5CD73621">
        <w:tblPrEx>
          <w:tblW w:w="0" w:type="auto"/>
          <w:tblInd w:w="0" w:type="dxa"/>
          <w:tblCellMar>
            <w:top w:w="0" w:type="dxa"/>
            <w:left w:w="108" w:type="dxa"/>
            <w:bottom w:w="0" w:type="dxa"/>
            <w:right w:w="108" w:type="dxa"/>
          </w:tblCellMar>
        </w:tblPrEx>
        <w:tc>
          <w:tcPr>
            <w:tcW w:w="985" w:type="dxa"/>
            <w:vAlign w:val="center"/>
          </w:tcPr>
          <w:p w14:paraId="75071FAF">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FFC6D04">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中国均一化土壤相对湿度月值数据集(V1.0)</w:t>
            </w:r>
          </w:p>
        </w:tc>
      </w:tr>
      <w:tr w14:paraId="39EF2238">
        <w:tblPrEx>
          <w:tblW w:w="0" w:type="auto"/>
          <w:tblInd w:w="0" w:type="dxa"/>
          <w:tblCellMar>
            <w:top w:w="0" w:type="dxa"/>
            <w:left w:w="108" w:type="dxa"/>
            <w:bottom w:w="0" w:type="dxa"/>
            <w:right w:w="108" w:type="dxa"/>
          </w:tblCellMar>
        </w:tblPrEx>
        <w:tc>
          <w:tcPr>
            <w:tcW w:w="985" w:type="dxa"/>
            <w:vAlign w:val="center"/>
          </w:tcPr>
          <w:p w14:paraId="49939341">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2092CCF">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中国高空规定等压面日定时温度订正数据集(V2.0)</w:t>
            </w:r>
          </w:p>
        </w:tc>
      </w:tr>
      <w:tr w14:paraId="42C9E060">
        <w:tblPrEx>
          <w:tblW w:w="0" w:type="auto"/>
          <w:tblInd w:w="0" w:type="dxa"/>
          <w:tblCellMar>
            <w:top w:w="0" w:type="dxa"/>
            <w:left w:w="108" w:type="dxa"/>
            <w:bottom w:w="0" w:type="dxa"/>
            <w:right w:w="108" w:type="dxa"/>
          </w:tblCellMar>
        </w:tblPrEx>
        <w:tc>
          <w:tcPr>
            <w:tcW w:w="985" w:type="dxa"/>
            <w:vAlign w:val="center"/>
          </w:tcPr>
          <w:p w14:paraId="008650D4">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55C0C1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中国高空标准等压面日定时露点温度订正数据集(V1.0)</w:t>
            </w:r>
          </w:p>
        </w:tc>
      </w:tr>
      <w:tr w14:paraId="39B9A9B2">
        <w:tblPrEx>
          <w:tblW w:w="0" w:type="auto"/>
          <w:tblInd w:w="0" w:type="dxa"/>
          <w:tblCellMar>
            <w:top w:w="0" w:type="dxa"/>
            <w:left w:w="108" w:type="dxa"/>
            <w:bottom w:w="0" w:type="dxa"/>
            <w:right w:w="108" w:type="dxa"/>
          </w:tblCellMar>
        </w:tblPrEx>
        <w:tc>
          <w:tcPr>
            <w:tcW w:w="985" w:type="dxa"/>
            <w:vAlign w:val="center"/>
          </w:tcPr>
          <w:p w14:paraId="7605225A">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EAAEDF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中国高空规定等压面月平均温度订正数据</w:t>
            </w:r>
          </w:p>
        </w:tc>
      </w:tr>
      <w:tr w14:paraId="51E96DFD">
        <w:tblPrEx>
          <w:tblW w:w="0" w:type="auto"/>
          <w:tblInd w:w="0" w:type="dxa"/>
          <w:tblCellMar>
            <w:top w:w="0" w:type="dxa"/>
            <w:left w:w="108" w:type="dxa"/>
            <w:bottom w:w="0" w:type="dxa"/>
            <w:right w:w="108" w:type="dxa"/>
          </w:tblCellMar>
        </w:tblPrEx>
        <w:tc>
          <w:tcPr>
            <w:tcW w:w="985" w:type="dxa"/>
            <w:vAlign w:val="center"/>
          </w:tcPr>
          <w:p w14:paraId="105AD01A">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21ED7BA">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中国高空规定等压面月平均位势高度均一性订正数据</w:t>
            </w:r>
          </w:p>
        </w:tc>
      </w:tr>
      <w:tr w14:paraId="0C3B118C">
        <w:tblPrEx>
          <w:tblW w:w="0" w:type="auto"/>
          <w:tblInd w:w="0" w:type="dxa"/>
          <w:tblCellMar>
            <w:top w:w="0" w:type="dxa"/>
            <w:left w:w="108" w:type="dxa"/>
            <w:bottom w:w="0" w:type="dxa"/>
            <w:right w:w="108" w:type="dxa"/>
          </w:tblCellMar>
        </w:tblPrEx>
        <w:tc>
          <w:tcPr>
            <w:tcW w:w="985" w:type="dxa"/>
            <w:vAlign w:val="center"/>
          </w:tcPr>
          <w:p w14:paraId="131ED495">
            <w:pPr>
              <w:widowControl w:val="0"/>
              <w:numPr>
                <w:ilvl w:val="0"/>
                <w:numId w:val="27"/>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2403D4B">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中国高空标准等压面月平均露点温度订正数据集（V2.0）</w:t>
            </w:r>
          </w:p>
        </w:tc>
      </w:tr>
      <w:tr w14:paraId="181B381F">
        <w:tblPrEx>
          <w:tblW w:w="0" w:type="auto"/>
          <w:tblInd w:w="0" w:type="dxa"/>
          <w:tblCellMar>
            <w:top w:w="0" w:type="dxa"/>
            <w:left w:w="108" w:type="dxa"/>
            <w:bottom w:w="0" w:type="dxa"/>
            <w:right w:w="108" w:type="dxa"/>
          </w:tblCellMar>
        </w:tblPrEx>
        <w:tc>
          <w:tcPr>
            <w:tcW w:w="8522" w:type="dxa"/>
            <w:gridSpan w:val="2"/>
            <w:vAlign w:val="center"/>
          </w:tcPr>
          <w:p w14:paraId="273D823F">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b/>
                <w:bCs/>
                <w:kern w:val="2"/>
                <w:sz w:val="21"/>
                <w:szCs w:val="21"/>
                <w:lang w:val="en-US" w:eastAsia="zh-CN" w:bidi="ar-SA"/>
              </w:rPr>
              <w:t>新型垂直观测数据产品</w:t>
            </w:r>
          </w:p>
        </w:tc>
      </w:tr>
      <w:tr w14:paraId="03E728E7">
        <w:tblPrEx>
          <w:tblW w:w="0" w:type="auto"/>
          <w:tblInd w:w="0" w:type="dxa"/>
          <w:tblCellMar>
            <w:top w:w="0" w:type="dxa"/>
            <w:left w:w="108" w:type="dxa"/>
            <w:bottom w:w="0" w:type="dxa"/>
            <w:right w:w="108" w:type="dxa"/>
          </w:tblCellMar>
        </w:tblPrEx>
        <w:tc>
          <w:tcPr>
            <w:tcW w:w="985" w:type="dxa"/>
            <w:vAlign w:val="center"/>
          </w:tcPr>
          <w:p w14:paraId="310C9DAF">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BC1404A">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中国区域毫米波测云仪反演云高产品(V1.0)</w:t>
            </w:r>
          </w:p>
        </w:tc>
      </w:tr>
      <w:tr w14:paraId="6955166C">
        <w:tblPrEx>
          <w:tblW w:w="0" w:type="auto"/>
          <w:tblInd w:w="0" w:type="dxa"/>
          <w:tblCellMar>
            <w:top w:w="0" w:type="dxa"/>
            <w:left w:w="108" w:type="dxa"/>
            <w:bottom w:w="0" w:type="dxa"/>
            <w:right w:w="108" w:type="dxa"/>
          </w:tblCellMar>
        </w:tblPrEx>
        <w:tc>
          <w:tcPr>
            <w:tcW w:w="985" w:type="dxa"/>
            <w:vAlign w:val="center"/>
          </w:tcPr>
          <w:p w14:paraId="37C174F9">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6D89B321">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中国地面分钟雨滴谱数据（V1.0）</w:t>
            </w:r>
          </w:p>
        </w:tc>
      </w:tr>
      <w:tr w14:paraId="054E8CC4">
        <w:tblPrEx>
          <w:tblW w:w="0" w:type="auto"/>
          <w:tblInd w:w="0" w:type="dxa"/>
          <w:tblCellMar>
            <w:top w:w="0" w:type="dxa"/>
            <w:left w:w="108" w:type="dxa"/>
            <w:bottom w:w="0" w:type="dxa"/>
            <w:right w:w="108" w:type="dxa"/>
          </w:tblCellMar>
        </w:tblPrEx>
        <w:tc>
          <w:tcPr>
            <w:tcW w:w="985" w:type="dxa"/>
            <w:vAlign w:val="center"/>
          </w:tcPr>
          <w:p w14:paraId="6C549C88">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BB4A5C4">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中国区域气溶胶激光雷达数据产品(V1.0)</w:t>
            </w:r>
          </w:p>
        </w:tc>
      </w:tr>
      <w:tr w14:paraId="0A188EBC">
        <w:tblPrEx>
          <w:tblW w:w="0" w:type="auto"/>
          <w:tblInd w:w="0" w:type="dxa"/>
          <w:tblCellMar>
            <w:top w:w="0" w:type="dxa"/>
            <w:left w:w="108" w:type="dxa"/>
            <w:bottom w:w="0" w:type="dxa"/>
            <w:right w:w="108" w:type="dxa"/>
          </w:tblCellMar>
        </w:tblPrEx>
        <w:tc>
          <w:tcPr>
            <w:tcW w:w="985" w:type="dxa"/>
            <w:vAlign w:val="center"/>
          </w:tcPr>
          <w:p w14:paraId="253D1C59">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428B3A2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微波辐射计气象数据产品</w:t>
            </w:r>
          </w:p>
        </w:tc>
      </w:tr>
      <w:tr w14:paraId="7F92B838">
        <w:tblPrEx>
          <w:tblW w:w="0" w:type="auto"/>
          <w:tblInd w:w="0" w:type="dxa"/>
          <w:tblCellMar>
            <w:top w:w="0" w:type="dxa"/>
            <w:left w:w="108" w:type="dxa"/>
            <w:bottom w:w="0" w:type="dxa"/>
            <w:right w:w="108" w:type="dxa"/>
          </w:tblCellMar>
        </w:tblPrEx>
        <w:tc>
          <w:tcPr>
            <w:tcW w:w="985" w:type="dxa"/>
            <w:vAlign w:val="center"/>
          </w:tcPr>
          <w:p w14:paraId="635A8C4F">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0A5EA1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中国区域GNSS/MET质控后水汽数据产品</w:t>
            </w:r>
          </w:p>
        </w:tc>
      </w:tr>
      <w:tr w14:paraId="237A71CC">
        <w:tblPrEx>
          <w:tblW w:w="0" w:type="auto"/>
          <w:tblInd w:w="0" w:type="dxa"/>
          <w:tblCellMar>
            <w:top w:w="0" w:type="dxa"/>
            <w:left w:w="108" w:type="dxa"/>
            <w:bottom w:w="0" w:type="dxa"/>
            <w:right w:w="108" w:type="dxa"/>
          </w:tblCellMar>
        </w:tblPrEx>
        <w:tc>
          <w:tcPr>
            <w:tcW w:w="985" w:type="dxa"/>
            <w:vAlign w:val="center"/>
          </w:tcPr>
          <w:p w14:paraId="1E8317EB">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7B18D0C2">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基于多源观测资料的中国区域垂直廓线反演产品</w:t>
            </w:r>
          </w:p>
        </w:tc>
      </w:tr>
      <w:tr w14:paraId="764CB9B3">
        <w:tblPrEx>
          <w:tblW w:w="0" w:type="auto"/>
          <w:tblInd w:w="0" w:type="dxa"/>
          <w:tblCellMar>
            <w:top w:w="0" w:type="dxa"/>
            <w:left w:w="108" w:type="dxa"/>
            <w:bottom w:w="0" w:type="dxa"/>
            <w:right w:w="108" w:type="dxa"/>
          </w:tblCellMar>
        </w:tblPrEx>
        <w:tc>
          <w:tcPr>
            <w:tcW w:w="985" w:type="dxa"/>
            <w:vAlign w:val="center"/>
          </w:tcPr>
          <w:p w14:paraId="5D01630B">
            <w:pPr>
              <w:widowControl w:val="0"/>
              <w:numPr>
                <w:ilvl w:val="0"/>
                <w:numId w:val="28"/>
              </w:numPr>
              <w:spacing w:line="360" w:lineRule="auto"/>
              <w:ind w:firstLine="420" w:firstLineChars="0"/>
              <w:jc w:val="both"/>
              <w:rPr>
                <w:rFonts w:ascii="微软雅黑" w:eastAsia="微软雅黑" w:hAnsi="微软雅黑" w:cs="Times New Roman" w:hint="eastAsia"/>
                <w:szCs w:val="21"/>
              </w:rPr>
            </w:pPr>
          </w:p>
        </w:tc>
        <w:tc>
          <w:tcPr>
            <w:tcW w:w="7537" w:type="dxa"/>
            <w:vAlign w:val="center"/>
          </w:tcPr>
          <w:p w14:paraId="5E4A2C3D">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中国区域激光测风雷达风场产品（V1.0）</w:t>
            </w:r>
          </w:p>
        </w:tc>
      </w:tr>
    </w:tbl>
    <w:p w14:paraId="55E19DC4">
      <w:pPr>
        <w:widowControl w:val="0"/>
        <w:ind w:firstLine="420" w:firstLineChars="200"/>
        <w:jc w:val="both"/>
        <w:rPr>
          <w:rFonts w:ascii="Times New Roman" w:eastAsia="宋体" w:hAnsi="Times New Roman" w:cs="Times New Roman"/>
        </w:rPr>
      </w:pPr>
    </w:p>
    <w:p w14:paraId="23042668">
      <w:pPr>
        <w:ind w:left="0" w:leftChars="0" w:firstLineChars="0"/>
        <w:rPr>
          <w:rFonts w:ascii="Times New Roman" w:eastAsia="宋体" w:hAnsi="Times New Roman" w:cs="Times New Roman" w:hint="eastAsia"/>
        </w:rPr>
      </w:pPr>
      <w:r>
        <w:rPr>
          <w:rFonts w:ascii="Times New Roman" w:eastAsia="宋体" w:hAnsi="Times New Roman" w:cs="Times New Roman" w:hint="eastAsia"/>
          <w:sz w:val="24"/>
          <w:szCs w:val="24"/>
        </w:rPr>
        <w:br w:type="page"/>
      </w:r>
    </w:p>
    <w:p w14:paraId="3FBA4F6C">
      <w:pPr>
        <w:keepNext/>
        <w:keepLines/>
        <w:pageBreakBefore w:val="0"/>
        <w:widowControl w:val="0"/>
        <w:numPr>
          <w:ilvl w:val="0"/>
          <w:numId w:val="0"/>
        </w:numPr>
        <w:tabs>
          <w:tab w:val="left" w:pos="432"/>
        </w:tabs>
        <w:kinsoku/>
        <w:wordWrap/>
        <w:overflowPunct/>
        <w:topLinePunct w:val="0"/>
        <w:autoSpaceDE/>
        <w:autoSpaceDN/>
        <w:bidi w:val="0"/>
        <w:adjustRightInd/>
        <w:snapToGrid/>
        <w:spacing w:before="0" w:after="0" w:line="579" w:lineRule="auto"/>
        <w:jc w:val="both"/>
        <w:textAlignment w:val="auto"/>
        <w:outlineLvl w:val="0"/>
        <w:rPr>
          <w:rFonts w:ascii="Arial" w:eastAsia="黑体" w:hAnsi="Arial" w:cs="Times New Roman"/>
          <w:b/>
          <w:bCs/>
          <w:kern w:val="44"/>
          <w:sz w:val="32"/>
          <w:szCs w:val="44"/>
        </w:rPr>
      </w:pPr>
      <w:bookmarkStart w:id="245" w:name="_Toc744"/>
      <w:r>
        <w:rPr>
          <w:rFonts w:ascii="Arial" w:eastAsia="黑体" w:hAnsi="Arial" w:cs="Times New Roman" w:hint="eastAsia"/>
          <w:b/>
          <w:bCs/>
          <w:kern w:val="44"/>
          <w:sz w:val="32"/>
          <w:szCs w:val="44"/>
          <w:lang w:val="en-US" w:eastAsia="zh-CN" w:bidi="ar-SA"/>
        </w:rPr>
        <w:t>附件2：雷达产品数据清单</w:t>
      </w:r>
      <w:bookmarkEnd w:id="245"/>
    </w:p>
    <w:p w14:paraId="7E06987D">
      <w:pPr>
        <w:widowControl w:val="0"/>
        <w:numPr>
          <w:ilvl w:val="0"/>
          <w:numId w:val="0"/>
        </w:numPr>
        <w:spacing w:before="100" w:beforeAutospacing="1" w:after="100" w:afterAutospacing="1" w:line="360" w:lineRule="auto"/>
        <w:ind w:left="0" w:firstLine="480" w:leftChars="0" w:firstLineChars="200"/>
        <w:contextualSpacing/>
        <w:jc w:val="both"/>
        <w:rPr>
          <w:rFonts w:ascii="等线" w:eastAsia="宋体" w:hAnsi="等线" w:cs="Times New Roman" w:hint="eastAsia"/>
          <w:szCs w:val="21"/>
        </w:rPr>
      </w:pPr>
      <w:r>
        <w:rPr>
          <w:rFonts w:ascii="等线" w:eastAsia="宋体" w:hAnsi="等线" w:cs="Times New Roman" w:hint="eastAsia"/>
          <w:kern w:val="2"/>
          <w:sz w:val="24"/>
          <w:szCs w:val="21"/>
          <w:lang w:val="en-US" w:eastAsia="zh-CN" w:bidi="ar-SA"/>
        </w:rPr>
        <w:t>本项目需监视及维护的雷达产品对象为国家气象信息中心研发的面向实况业务的雷达产品系统及其产出的单站和拼图产品。其中，雷达产品系统包括面向国家级实况业务应用的中国区域雷达实况产品系统和面向重大活动保障或重点区域的局地雷达产品系统。其中，基于天擎开发的系统包含业务系统及其对应的备份系统。雷达产品包括以下13类，分别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64"/>
        <w:gridCol w:w="7658"/>
      </w:tblGrid>
      <w:tr w14:paraId="463CEE8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869" w:type="dxa"/>
            <w:vAlign w:val="center"/>
          </w:tcPr>
          <w:p w14:paraId="597A0985">
            <w:pPr>
              <w:widowControl w:val="0"/>
              <w:spacing w:line="360" w:lineRule="auto"/>
              <w:ind w:firstLine="0" w:firstLineChars="0"/>
              <w:jc w:val="both"/>
              <w:rPr>
                <w:rFonts w:ascii="微软雅黑" w:eastAsia="微软雅黑" w:hAnsi="微软雅黑" w:cs="Times New Roman" w:hint="eastAsia"/>
                <w:b/>
                <w:bCs/>
                <w:szCs w:val="21"/>
                <w:vertAlign w:val="baseline"/>
              </w:rPr>
            </w:pPr>
            <w:r>
              <w:rPr>
                <w:rFonts w:ascii="微软雅黑" w:eastAsia="微软雅黑" w:hAnsi="微软雅黑" w:cs="Times New Roman" w:hint="eastAsia"/>
                <w:b/>
                <w:bCs/>
                <w:kern w:val="2"/>
                <w:sz w:val="21"/>
                <w:szCs w:val="21"/>
                <w:lang w:val="en-US" w:eastAsia="zh-CN" w:bidi="ar-SA"/>
              </w:rPr>
              <w:t>序号</w:t>
            </w:r>
          </w:p>
        </w:tc>
        <w:tc>
          <w:tcPr>
            <w:tcW w:w="7738" w:type="dxa"/>
            <w:vAlign w:val="center"/>
          </w:tcPr>
          <w:p w14:paraId="7CD7E04B">
            <w:pPr>
              <w:widowControl w:val="0"/>
              <w:spacing w:line="360" w:lineRule="auto"/>
              <w:ind w:firstLine="0" w:firstLineChars="0"/>
              <w:jc w:val="both"/>
              <w:rPr>
                <w:rFonts w:ascii="微软雅黑" w:eastAsia="微软雅黑" w:hAnsi="微软雅黑" w:cs="Times New Roman" w:hint="eastAsia"/>
                <w:b/>
                <w:bCs/>
                <w:szCs w:val="21"/>
                <w:vertAlign w:val="baseline"/>
              </w:rPr>
            </w:pPr>
            <w:r>
              <w:rPr>
                <w:rFonts w:ascii="微软雅黑" w:eastAsia="微软雅黑" w:hAnsi="微软雅黑" w:cs="Times New Roman" w:hint="eastAsia"/>
                <w:b/>
                <w:bCs/>
                <w:kern w:val="2"/>
                <w:sz w:val="21"/>
                <w:szCs w:val="21"/>
                <w:lang w:val="en-US" w:eastAsia="zh-CN" w:bidi="ar-SA"/>
              </w:rPr>
              <w:t>产品名称</w:t>
            </w:r>
          </w:p>
        </w:tc>
      </w:tr>
      <w:tr w14:paraId="4D643E8A">
        <w:tblPrEx>
          <w:tblW w:w="0" w:type="auto"/>
          <w:tblInd w:w="0" w:type="dxa"/>
          <w:tblCellMar>
            <w:top w:w="0" w:type="dxa"/>
            <w:left w:w="108" w:type="dxa"/>
            <w:bottom w:w="0" w:type="dxa"/>
            <w:right w:w="108" w:type="dxa"/>
          </w:tblCellMar>
        </w:tblPrEx>
        <w:tc>
          <w:tcPr>
            <w:tcW w:w="869" w:type="dxa"/>
          </w:tcPr>
          <w:p w14:paraId="02808E42">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423E56E9">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中国区域1km/5min雷达QPE组网拼图产品（QPE5）</w:t>
            </w:r>
          </w:p>
        </w:tc>
      </w:tr>
      <w:tr w14:paraId="54420C1A">
        <w:tblPrEx>
          <w:tblW w:w="0" w:type="auto"/>
          <w:tblInd w:w="0" w:type="dxa"/>
          <w:tblCellMar>
            <w:top w:w="0" w:type="dxa"/>
            <w:left w:w="108" w:type="dxa"/>
            <w:bottom w:w="0" w:type="dxa"/>
            <w:right w:w="108" w:type="dxa"/>
          </w:tblCellMar>
        </w:tblPrEx>
        <w:tc>
          <w:tcPr>
            <w:tcW w:w="869" w:type="dxa"/>
          </w:tcPr>
          <w:p w14:paraId="045CF367">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0AAB7DED">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中国区域1km/10min雷达QPE组网拼图产品（QPE10）</w:t>
            </w:r>
          </w:p>
        </w:tc>
      </w:tr>
      <w:tr w14:paraId="2B51EEE8">
        <w:tblPrEx>
          <w:tblW w:w="0" w:type="auto"/>
          <w:tblInd w:w="0" w:type="dxa"/>
          <w:tblCellMar>
            <w:top w:w="0" w:type="dxa"/>
            <w:left w:w="108" w:type="dxa"/>
            <w:bottom w:w="0" w:type="dxa"/>
            <w:right w:w="108" w:type="dxa"/>
          </w:tblCellMar>
        </w:tblPrEx>
        <w:tc>
          <w:tcPr>
            <w:tcW w:w="869" w:type="dxa"/>
          </w:tcPr>
          <w:p w14:paraId="4176396B">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087C07A1">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中国区域1km/1h雷达QPE组网拼图产品（OHP）</w:t>
            </w:r>
          </w:p>
        </w:tc>
      </w:tr>
      <w:tr w14:paraId="0516CD66">
        <w:tblPrEx>
          <w:tblW w:w="0" w:type="auto"/>
          <w:tblInd w:w="0" w:type="dxa"/>
          <w:tblCellMar>
            <w:top w:w="0" w:type="dxa"/>
            <w:left w:w="108" w:type="dxa"/>
            <w:bottom w:w="0" w:type="dxa"/>
            <w:right w:w="108" w:type="dxa"/>
          </w:tblCellMar>
        </w:tblPrEx>
        <w:tc>
          <w:tcPr>
            <w:tcW w:w="869" w:type="dxa"/>
          </w:tcPr>
          <w:p w14:paraId="1AE03392">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1DD77869">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中国区域多普勒雷达冰雹落区产品(HAIL)</w:t>
            </w:r>
          </w:p>
        </w:tc>
      </w:tr>
      <w:tr w14:paraId="4B8815C3">
        <w:tblPrEx>
          <w:tblW w:w="0" w:type="auto"/>
          <w:tblInd w:w="0" w:type="dxa"/>
          <w:tblCellMar>
            <w:top w:w="0" w:type="dxa"/>
            <w:left w:w="108" w:type="dxa"/>
            <w:bottom w:w="0" w:type="dxa"/>
            <w:right w:w="108" w:type="dxa"/>
          </w:tblCellMar>
        </w:tblPrEx>
        <w:tc>
          <w:tcPr>
            <w:tcW w:w="869" w:type="dxa"/>
          </w:tcPr>
          <w:p w14:paraId="1363485A">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49C9F4E3">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中国区域天气雷达三维风场产品(WIND)</w:t>
            </w:r>
          </w:p>
        </w:tc>
      </w:tr>
      <w:tr w14:paraId="4142C018">
        <w:tblPrEx>
          <w:tblW w:w="0" w:type="auto"/>
          <w:tblInd w:w="0" w:type="dxa"/>
          <w:tblCellMar>
            <w:top w:w="0" w:type="dxa"/>
            <w:left w:w="108" w:type="dxa"/>
            <w:bottom w:w="0" w:type="dxa"/>
            <w:right w:w="108" w:type="dxa"/>
          </w:tblCellMar>
        </w:tblPrEx>
        <w:tc>
          <w:tcPr>
            <w:tcW w:w="869" w:type="dxa"/>
          </w:tcPr>
          <w:p w14:paraId="7FAE08B3">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12063E15">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中国区域1km/10min组合反射率组网拼图产品(CR)</w:t>
            </w:r>
          </w:p>
        </w:tc>
      </w:tr>
      <w:tr w14:paraId="153DA813">
        <w:tblPrEx>
          <w:tblW w:w="0" w:type="auto"/>
          <w:tblInd w:w="0" w:type="dxa"/>
          <w:tblCellMar>
            <w:top w:w="0" w:type="dxa"/>
            <w:left w:w="108" w:type="dxa"/>
            <w:bottom w:w="0" w:type="dxa"/>
            <w:right w:w="108" w:type="dxa"/>
          </w:tblCellMar>
        </w:tblPrEx>
        <w:tc>
          <w:tcPr>
            <w:tcW w:w="869" w:type="dxa"/>
          </w:tcPr>
          <w:p w14:paraId="5173C974">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051B18C4">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中国区域1km/10min混合扫描反射率组网拼图产品（HBR）</w:t>
            </w:r>
          </w:p>
        </w:tc>
      </w:tr>
      <w:tr w14:paraId="3E8F16E9">
        <w:tblPrEx>
          <w:tblW w:w="0" w:type="auto"/>
          <w:tblInd w:w="0" w:type="dxa"/>
          <w:tblCellMar>
            <w:top w:w="0" w:type="dxa"/>
            <w:left w:w="108" w:type="dxa"/>
            <w:bottom w:w="0" w:type="dxa"/>
            <w:right w:w="108" w:type="dxa"/>
          </w:tblCellMar>
        </w:tblPrEx>
        <w:tc>
          <w:tcPr>
            <w:tcW w:w="869" w:type="dxa"/>
          </w:tcPr>
          <w:p w14:paraId="09FECC0E">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4ABE768D">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中国区域1km/10min三维等高面反射率拼图产品(CAP)</w:t>
            </w:r>
          </w:p>
        </w:tc>
      </w:tr>
      <w:tr w14:paraId="7899484B">
        <w:tblPrEx>
          <w:tblW w:w="0" w:type="auto"/>
          <w:tblInd w:w="0" w:type="dxa"/>
          <w:tblCellMar>
            <w:top w:w="0" w:type="dxa"/>
            <w:left w:w="108" w:type="dxa"/>
            <w:bottom w:w="0" w:type="dxa"/>
            <w:right w:w="108" w:type="dxa"/>
          </w:tblCellMar>
        </w:tblPrEx>
        <w:tc>
          <w:tcPr>
            <w:tcW w:w="869" w:type="dxa"/>
          </w:tcPr>
          <w:p w14:paraId="690524C7">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2F74546F">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中国区域1km/10min回波顶高组网拼图产品(ET)</w:t>
            </w:r>
          </w:p>
        </w:tc>
      </w:tr>
      <w:tr w14:paraId="4801E846">
        <w:tblPrEx>
          <w:tblW w:w="0" w:type="auto"/>
          <w:tblInd w:w="0" w:type="dxa"/>
          <w:tblCellMar>
            <w:top w:w="0" w:type="dxa"/>
            <w:left w:w="108" w:type="dxa"/>
            <w:bottom w:w="0" w:type="dxa"/>
            <w:right w:w="108" w:type="dxa"/>
          </w:tblCellMar>
        </w:tblPrEx>
        <w:tc>
          <w:tcPr>
            <w:tcW w:w="869" w:type="dxa"/>
          </w:tcPr>
          <w:p w14:paraId="6C324D32">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18BEE142">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中国区域1km/10min最大反射率高度组网拼图产品(CRH)</w:t>
            </w:r>
          </w:p>
        </w:tc>
      </w:tr>
      <w:tr w14:paraId="52D26DA9">
        <w:tblPrEx>
          <w:tblW w:w="0" w:type="auto"/>
          <w:tblInd w:w="0" w:type="dxa"/>
          <w:tblCellMar>
            <w:top w:w="0" w:type="dxa"/>
            <w:left w:w="108" w:type="dxa"/>
            <w:bottom w:w="0" w:type="dxa"/>
            <w:right w:w="108" w:type="dxa"/>
          </w:tblCellMar>
        </w:tblPrEx>
        <w:tc>
          <w:tcPr>
            <w:tcW w:w="869" w:type="dxa"/>
          </w:tcPr>
          <w:p w14:paraId="220E0B1F">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150BC883">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中国区域1km/10min垂直液态水含量组网拼图产品(VIL)</w:t>
            </w:r>
          </w:p>
        </w:tc>
      </w:tr>
      <w:tr w14:paraId="1BD67A6D">
        <w:tblPrEx>
          <w:tblW w:w="0" w:type="auto"/>
          <w:tblInd w:w="0" w:type="dxa"/>
          <w:tblCellMar>
            <w:top w:w="0" w:type="dxa"/>
            <w:left w:w="108" w:type="dxa"/>
            <w:bottom w:w="0" w:type="dxa"/>
            <w:right w:w="108" w:type="dxa"/>
          </w:tblCellMar>
        </w:tblPrEx>
        <w:tc>
          <w:tcPr>
            <w:tcW w:w="869" w:type="dxa"/>
          </w:tcPr>
          <w:p w14:paraId="076CDC3F">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54CF2E80">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重大活动保障或重点区域的局地百米雷达产品及雷达回波体积产品</w:t>
            </w:r>
          </w:p>
        </w:tc>
      </w:tr>
      <w:tr w14:paraId="1C504741">
        <w:tblPrEx>
          <w:tblW w:w="0" w:type="auto"/>
          <w:tblInd w:w="0" w:type="dxa"/>
          <w:tblCellMar>
            <w:top w:w="0" w:type="dxa"/>
            <w:left w:w="108" w:type="dxa"/>
            <w:bottom w:w="0" w:type="dxa"/>
            <w:right w:w="108" w:type="dxa"/>
          </w:tblCellMar>
        </w:tblPrEx>
        <w:tc>
          <w:tcPr>
            <w:tcW w:w="869" w:type="dxa"/>
          </w:tcPr>
          <w:p w14:paraId="4A51A15E">
            <w:pPr>
              <w:widowControl w:val="0"/>
              <w:numPr>
                <w:ilvl w:val="0"/>
                <w:numId w:val="29"/>
              </w:numPr>
              <w:spacing w:before="100" w:beforeAutospacing="1" w:after="100" w:afterAutospacing="1" w:line="360" w:lineRule="auto"/>
              <w:ind w:left="0" w:firstLine="0" w:firstLineChars="0"/>
              <w:contextualSpacing/>
              <w:jc w:val="both"/>
              <w:rPr>
                <w:rFonts w:ascii="等线" w:eastAsia="宋体" w:hAnsi="等线" w:cs="Times New Roman" w:hint="default"/>
                <w:szCs w:val="21"/>
                <w:vertAlign w:val="baseline"/>
              </w:rPr>
            </w:pPr>
          </w:p>
        </w:tc>
        <w:tc>
          <w:tcPr>
            <w:tcW w:w="7738" w:type="dxa"/>
          </w:tcPr>
          <w:p w14:paraId="109AA4E9">
            <w:pPr>
              <w:adjustRightInd w:val="0"/>
              <w:snapToGrid w:val="0"/>
              <w:spacing w:line="240" w:lineRule="auto"/>
              <w:rPr>
                <w:rFonts w:ascii="Times New Roman" w:eastAsia="宋体" w:hAnsi="Times New Roman" w:cs="Times New Roman" w:hint="eastAsia"/>
                <w:color w:val="000000"/>
                <w:kern w:val="0"/>
                <w:szCs w:val="21"/>
                <w:vertAlign w:val="baseline"/>
              </w:rPr>
            </w:pPr>
            <w:r>
              <w:rPr>
                <w:rFonts w:ascii="Times New Roman" w:eastAsia="宋体" w:hAnsi="Times New Roman" w:cs="Times New Roman" w:hint="eastAsia"/>
                <w:color w:val="000000"/>
                <w:kern w:val="0"/>
                <w:sz w:val="21"/>
                <w:szCs w:val="21"/>
                <w:lang w:val="en-US" w:eastAsia="zh-CN"/>
              </w:rPr>
              <w:t>以上1）至11）项中对应的质量控制后天气雷达基数据及单站产品</w:t>
            </w:r>
          </w:p>
        </w:tc>
      </w:tr>
    </w:tbl>
    <w:p w14:paraId="2F9810D6">
      <w:pPr>
        <w:keepNext/>
        <w:keepLines/>
        <w:pageBreakBefore w:val="0"/>
        <w:widowControl w:val="0"/>
        <w:tabs>
          <w:tab w:val="left" w:pos="432"/>
        </w:tabs>
        <w:kinsoku/>
        <w:wordWrap/>
        <w:overflowPunct/>
        <w:topLinePunct w:val="0"/>
        <w:autoSpaceDE/>
        <w:autoSpaceDN/>
        <w:bidi w:val="0"/>
        <w:adjustRightInd/>
        <w:snapToGrid/>
        <w:spacing w:before="0" w:after="0"/>
        <w:textAlignment w:val="auto"/>
        <w:rPr>
          <w:rFonts w:ascii="Times New Roman" w:eastAsia="宋体" w:hAnsi="Times New Roman" w:cs="Times New Roman" w:hint="eastAsia"/>
        </w:rPr>
      </w:pPr>
    </w:p>
    <w:p w14:paraId="5AB82BB7">
      <w:pPr>
        <w:keepNext/>
        <w:keepLines/>
        <w:pageBreakBefore w:val="0"/>
        <w:widowControl w:val="0"/>
        <w:numPr>
          <w:ilvl w:val="0"/>
          <w:numId w:val="0"/>
        </w:numPr>
        <w:tabs>
          <w:tab w:val="left" w:pos="432"/>
        </w:tabs>
        <w:kinsoku/>
        <w:wordWrap/>
        <w:overflowPunct/>
        <w:topLinePunct w:val="0"/>
        <w:autoSpaceDE/>
        <w:autoSpaceDN/>
        <w:bidi w:val="0"/>
        <w:adjustRightInd/>
        <w:snapToGrid/>
        <w:spacing w:before="0" w:after="0" w:line="579" w:lineRule="auto"/>
        <w:jc w:val="both"/>
        <w:textAlignment w:val="auto"/>
        <w:outlineLvl w:val="0"/>
        <w:rPr>
          <w:rFonts w:ascii="Arial" w:eastAsia="黑体" w:hAnsi="Arial" w:cs="Times New Roman" w:hint="eastAsia"/>
          <w:b/>
          <w:bCs/>
          <w:kern w:val="44"/>
          <w:sz w:val="32"/>
          <w:szCs w:val="44"/>
        </w:rPr>
      </w:pPr>
      <w:bookmarkStart w:id="246" w:name="_Toc13593"/>
      <w:r>
        <w:rPr>
          <w:rFonts w:ascii="Arial" w:eastAsia="黑体" w:hAnsi="Arial" w:cs="Times New Roman" w:hint="eastAsia"/>
          <w:b/>
          <w:bCs/>
          <w:kern w:val="44"/>
          <w:sz w:val="32"/>
          <w:szCs w:val="44"/>
          <w:lang w:val="en-US" w:eastAsia="zh-CN" w:bidi="ar-SA"/>
        </w:rPr>
        <w:t>附件3：实况分析产品清单</w:t>
      </w:r>
      <w:bookmarkEnd w:id="246"/>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92"/>
        <w:gridCol w:w="7530"/>
      </w:tblGrid>
      <w:tr w14:paraId="78CCC19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992" w:type="dxa"/>
            <w:shd w:val="clear" w:color="auto" w:fill="D9D9D9"/>
            <w:vAlign w:val="center"/>
          </w:tcPr>
          <w:p w14:paraId="7E1150AE">
            <w:pPr>
              <w:widowControl w:val="0"/>
              <w:spacing w:line="360" w:lineRule="auto"/>
              <w:ind w:firstLine="0" w:firstLineChars="0"/>
              <w:jc w:val="both"/>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序号</w:t>
            </w:r>
          </w:p>
        </w:tc>
        <w:tc>
          <w:tcPr>
            <w:tcW w:w="7530" w:type="dxa"/>
            <w:shd w:val="clear" w:color="auto" w:fill="D9D9D9"/>
            <w:vAlign w:val="center"/>
          </w:tcPr>
          <w:p w14:paraId="7CBB0BC3">
            <w:pPr>
              <w:widowControl w:val="0"/>
              <w:spacing w:line="360" w:lineRule="auto"/>
              <w:ind w:firstLine="0" w:firstLineChars="0"/>
              <w:jc w:val="both"/>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产品名称</w:t>
            </w:r>
          </w:p>
        </w:tc>
      </w:tr>
      <w:tr w14:paraId="635F4768">
        <w:tblPrEx>
          <w:tblW w:w="0" w:type="auto"/>
          <w:tblInd w:w="0" w:type="dxa"/>
          <w:tblCellMar>
            <w:top w:w="0" w:type="dxa"/>
            <w:left w:w="108" w:type="dxa"/>
            <w:bottom w:w="0" w:type="dxa"/>
            <w:right w:w="108" w:type="dxa"/>
          </w:tblCellMar>
        </w:tblPrEx>
        <w:tc>
          <w:tcPr>
            <w:tcW w:w="8522" w:type="dxa"/>
            <w:gridSpan w:val="2"/>
            <w:vAlign w:val="center"/>
          </w:tcPr>
          <w:p w14:paraId="1DE04B5C">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全球实况分析产品</w:t>
            </w:r>
          </w:p>
        </w:tc>
      </w:tr>
      <w:tr w14:paraId="3DB66965">
        <w:tblPrEx>
          <w:tblW w:w="0" w:type="auto"/>
          <w:tblInd w:w="0" w:type="dxa"/>
          <w:tblCellMar>
            <w:top w:w="0" w:type="dxa"/>
            <w:left w:w="108" w:type="dxa"/>
            <w:bottom w:w="0" w:type="dxa"/>
            <w:right w:w="108" w:type="dxa"/>
          </w:tblCellMar>
        </w:tblPrEx>
        <w:tc>
          <w:tcPr>
            <w:tcW w:w="992" w:type="dxa"/>
            <w:vAlign w:val="center"/>
          </w:tcPr>
          <w:p w14:paraId="142414C8">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9065485">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全球大气实况分析</w:t>
            </w:r>
            <w:r>
              <w:rPr>
                <w:rFonts w:ascii="Times New Roman" w:eastAsia="宋体" w:hAnsi="Times New Roman" w:cs="Times New Roman" w:hint="eastAsia"/>
                <w:color w:val="000000"/>
                <w:kern w:val="0"/>
                <w:szCs w:val="21"/>
                <w:lang w:val="en-US" w:eastAsia="zh-CN"/>
              </w:rPr>
              <w:t>产品</w:t>
            </w:r>
          </w:p>
        </w:tc>
      </w:tr>
      <w:tr w14:paraId="26157A54">
        <w:tblPrEx>
          <w:tblW w:w="0" w:type="auto"/>
          <w:tblInd w:w="0" w:type="dxa"/>
          <w:tblCellMar>
            <w:top w:w="0" w:type="dxa"/>
            <w:left w:w="108" w:type="dxa"/>
            <w:bottom w:w="0" w:type="dxa"/>
            <w:right w:w="108" w:type="dxa"/>
          </w:tblCellMar>
        </w:tblPrEx>
        <w:tc>
          <w:tcPr>
            <w:tcW w:w="992" w:type="dxa"/>
            <w:vAlign w:val="center"/>
          </w:tcPr>
          <w:p w14:paraId="73423315">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60A7CE1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全球表面实况分析产品</w:t>
            </w:r>
          </w:p>
        </w:tc>
      </w:tr>
      <w:tr w14:paraId="1F6756C6">
        <w:tblPrEx>
          <w:tblW w:w="0" w:type="auto"/>
          <w:tblInd w:w="0" w:type="dxa"/>
          <w:tblCellMar>
            <w:top w:w="0" w:type="dxa"/>
            <w:left w:w="108" w:type="dxa"/>
            <w:bottom w:w="0" w:type="dxa"/>
            <w:right w:w="108" w:type="dxa"/>
          </w:tblCellMar>
        </w:tblPrEx>
        <w:tc>
          <w:tcPr>
            <w:tcW w:w="992" w:type="dxa"/>
            <w:vAlign w:val="center"/>
          </w:tcPr>
          <w:p w14:paraId="1AD4A02D">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7E8FE8DD">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全球降水实况分析产品</w:t>
            </w:r>
          </w:p>
        </w:tc>
      </w:tr>
      <w:tr w14:paraId="55DD6EE3">
        <w:tblPrEx>
          <w:tblW w:w="0" w:type="auto"/>
          <w:tblInd w:w="0" w:type="dxa"/>
          <w:tblCellMar>
            <w:top w:w="0" w:type="dxa"/>
            <w:left w:w="108" w:type="dxa"/>
            <w:bottom w:w="0" w:type="dxa"/>
            <w:right w:w="108" w:type="dxa"/>
          </w:tblCellMar>
        </w:tblPrEx>
        <w:tc>
          <w:tcPr>
            <w:tcW w:w="992" w:type="dxa"/>
            <w:vAlign w:val="center"/>
          </w:tcPr>
          <w:p w14:paraId="2BE66157">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9A7A0F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全球高低温监测专题实况产品</w:t>
            </w:r>
          </w:p>
        </w:tc>
      </w:tr>
      <w:tr w14:paraId="7FA1082F">
        <w:tblPrEx>
          <w:tblW w:w="0" w:type="auto"/>
          <w:tblInd w:w="0" w:type="dxa"/>
          <w:tblCellMar>
            <w:top w:w="0" w:type="dxa"/>
            <w:left w:w="108" w:type="dxa"/>
            <w:bottom w:w="0" w:type="dxa"/>
            <w:right w:w="108" w:type="dxa"/>
          </w:tblCellMar>
        </w:tblPrEx>
        <w:tc>
          <w:tcPr>
            <w:tcW w:w="992" w:type="dxa"/>
            <w:vAlign w:val="center"/>
          </w:tcPr>
          <w:p w14:paraId="7D610EDC">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7F4AA99D">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全球旬月季平均气温及距平产品</w:t>
            </w:r>
          </w:p>
        </w:tc>
      </w:tr>
      <w:tr w14:paraId="46770105">
        <w:tblPrEx>
          <w:tblW w:w="0" w:type="auto"/>
          <w:tblInd w:w="0" w:type="dxa"/>
          <w:tblCellMar>
            <w:top w:w="0" w:type="dxa"/>
            <w:left w:w="108" w:type="dxa"/>
            <w:bottom w:w="0" w:type="dxa"/>
            <w:right w:w="108" w:type="dxa"/>
          </w:tblCellMar>
        </w:tblPrEx>
        <w:tc>
          <w:tcPr>
            <w:tcW w:w="992" w:type="dxa"/>
            <w:vAlign w:val="center"/>
          </w:tcPr>
          <w:p w14:paraId="3B02A928">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221FD314">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中国第一代全球陆面再分析降水累积产品</w:t>
            </w:r>
          </w:p>
        </w:tc>
      </w:tr>
      <w:tr w14:paraId="71FEE1F4">
        <w:tblPrEx>
          <w:tblW w:w="0" w:type="auto"/>
          <w:tblInd w:w="0" w:type="dxa"/>
          <w:tblCellMar>
            <w:top w:w="0" w:type="dxa"/>
            <w:left w:w="108" w:type="dxa"/>
            <w:bottom w:w="0" w:type="dxa"/>
            <w:right w:w="108" w:type="dxa"/>
          </w:tblCellMar>
        </w:tblPrEx>
        <w:tc>
          <w:tcPr>
            <w:tcW w:w="992" w:type="dxa"/>
            <w:vAlign w:val="center"/>
          </w:tcPr>
          <w:p w14:paraId="2FD1B337">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071B179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中国第一代全球陆面再分析距平百分率产品</w:t>
            </w:r>
          </w:p>
        </w:tc>
      </w:tr>
      <w:tr w14:paraId="4E1ADE2D">
        <w:tblPrEx>
          <w:tblW w:w="0" w:type="auto"/>
          <w:tblInd w:w="0" w:type="dxa"/>
          <w:tblCellMar>
            <w:top w:w="0" w:type="dxa"/>
            <w:left w:w="108" w:type="dxa"/>
            <w:bottom w:w="0" w:type="dxa"/>
            <w:right w:w="108" w:type="dxa"/>
          </w:tblCellMar>
        </w:tblPrEx>
        <w:tc>
          <w:tcPr>
            <w:tcW w:w="992" w:type="dxa"/>
            <w:vAlign w:val="center"/>
          </w:tcPr>
          <w:p w14:paraId="1259A98B">
            <w:pPr>
              <w:widowControl w:val="0"/>
              <w:numPr>
                <w:ilvl w:val="0"/>
                <w:numId w:val="30"/>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6C1C1238">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lang w:val="en-US" w:eastAsia="zh-CN"/>
              </w:rPr>
              <w:t>全球大气实况台风专题图像产品</w:t>
            </w:r>
          </w:p>
        </w:tc>
      </w:tr>
      <w:tr w14:paraId="2E5E93FB">
        <w:tblPrEx>
          <w:tblW w:w="0" w:type="auto"/>
          <w:tblInd w:w="0" w:type="dxa"/>
          <w:tblCellMar>
            <w:top w:w="0" w:type="dxa"/>
            <w:left w:w="108" w:type="dxa"/>
            <w:bottom w:w="0" w:type="dxa"/>
            <w:right w:w="108" w:type="dxa"/>
          </w:tblCellMar>
        </w:tblPrEx>
        <w:tc>
          <w:tcPr>
            <w:tcW w:w="8522" w:type="dxa"/>
            <w:gridSpan w:val="2"/>
            <w:vAlign w:val="center"/>
          </w:tcPr>
          <w:p w14:paraId="396EE95D">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区域实况产品</w:t>
            </w:r>
          </w:p>
        </w:tc>
      </w:tr>
      <w:tr w14:paraId="346F310A">
        <w:tblPrEx>
          <w:tblW w:w="0" w:type="auto"/>
          <w:tblInd w:w="0" w:type="dxa"/>
          <w:tblCellMar>
            <w:top w:w="0" w:type="dxa"/>
            <w:left w:w="108" w:type="dxa"/>
            <w:bottom w:w="0" w:type="dxa"/>
            <w:right w:w="108" w:type="dxa"/>
          </w:tblCellMar>
        </w:tblPrEx>
        <w:tc>
          <w:tcPr>
            <w:tcW w:w="992" w:type="dxa"/>
            <w:vAlign w:val="center"/>
          </w:tcPr>
          <w:p w14:paraId="7D4724BB">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7299B2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中国区域三维大气实况</w:t>
            </w:r>
            <w:r>
              <w:rPr>
                <w:rFonts w:ascii="Times New Roman" w:eastAsia="宋体" w:hAnsi="Times New Roman" w:cs="Times New Roman" w:hint="eastAsia"/>
                <w:color w:val="000000"/>
                <w:kern w:val="0"/>
                <w:sz w:val="21"/>
                <w:szCs w:val="21"/>
                <w:lang w:val="en-US" w:eastAsia="zh-CN"/>
              </w:rPr>
              <w:t>分析</w:t>
            </w:r>
            <w:r>
              <w:rPr>
                <w:rFonts w:ascii="Times New Roman" w:eastAsia="宋体" w:hAnsi="Times New Roman" w:cs="Times New Roman" w:hint="eastAsia"/>
                <w:color w:val="000000"/>
                <w:kern w:val="0"/>
                <w:sz w:val="21"/>
                <w:szCs w:val="21"/>
              </w:rPr>
              <w:t>产品</w:t>
            </w:r>
          </w:p>
        </w:tc>
      </w:tr>
      <w:tr w14:paraId="455A282A">
        <w:tblPrEx>
          <w:tblW w:w="0" w:type="auto"/>
          <w:tblInd w:w="0" w:type="dxa"/>
          <w:tblCellMar>
            <w:top w:w="0" w:type="dxa"/>
            <w:left w:w="108" w:type="dxa"/>
            <w:bottom w:w="0" w:type="dxa"/>
            <w:right w:w="108" w:type="dxa"/>
          </w:tblCellMar>
        </w:tblPrEx>
        <w:tc>
          <w:tcPr>
            <w:tcW w:w="992" w:type="dxa"/>
            <w:vAlign w:val="center"/>
          </w:tcPr>
          <w:p w14:paraId="77C18C0D">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3D94A0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中国区域5公里/1小时三维云实况分析产品</w:t>
            </w:r>
          </w:p>
        </w:tc>
      </w:tr>
      <w:tr w14:paraId="5AE41A2D">
        <w:tblPrEx>
          <w:tblW w:w="0" w:type="auto"/>
          <w:tblInd w:w="0" w:type="dxa"/>
          <w:tblCellMar>
            <w:top w:w="0" w:type="dxa"/>
            <w:left w:w="108" w:type="dxa"/>
            <w:bottom w:w="0" w:type="dxa"/>
            <w:right w:w="108" w:type="dxa"/>
          </w:tblCellMar>
        </w:tblPrEx>
        <w:tc>
          <w:tcPr>
            <w:tcW w:w="992" w:type="dxa"/>
            <w:vAlign w:val="center"/>
          </w:tcPr>
          <w:p w14:paraId="2FFD4E38">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023C4F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中国区域1公里/1小时三维云实况分析产品</w:t>
            </w:r>
          </w:p>
        </w:tc>
      </w:tr>
      <w:tr w14:paraId="1F769140">
        <w:tblPrEx>
          <w:tblW w:w="0" w:type="auto"/>
          <w:tblInd w:w="0" w:type="dxa"/>
          <w:tblCellMar>
            <w:top w:w="0" w:type="dxa"/>
            <w:left w:w="108" w:type="dxa"/>
            <w:bottom w:w="0" w:type="dxa"/>
            <w:right w:w="108" w:type="dxa"/>
          </w:tblCellMar>
        </w:tblPrEx>
        <w:tc>
          <w:tcPr>
            <w:tcW w:w="992" w:type="dxa"/>
            <w:vAlign w:val="center"/>
          </w:tcPr>
          <w:p w14:paraId="0C389807">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CB5AE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中国区域5公里逐小时降水实况分析产品（ARTv1.1）</w:t>
            </w:r>
          </w:p>
        </w:tc>
      </w:tr>
      <w:tr w14:paraId="6224E9D8">
        <w:tblPrEx>
          <w:tblW w:w="0" w:type="auto"/>
          <w:tblInd w:w="0" w:type="dxa"/>
          <w:tblCellMar>
            <w:top w:w="0" w:type="dxa"/>
            <w:left w:w="108" w:type="dxa"/>
            <w:bottom w:w="0" w:type="dxa"/>
            <w:right w:w="108" w:type="dxa"/>
          </w:tblCellMar>
        </w:tblPrEx>
        <w:tc>
          <w:tcPr>
            <w:tcW w:w="992" w:type="dxa"/>
            <w:vAlign w:val="center"/>
          </w:tcPr>
          <w:p w14:paraId="2F3857F6">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1C1E20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中国区域多源融合实况分析1公里分辨率产品（ART_1km,地面）-CMPAS逐小时降水产品</w:t>
            </w:r>
          </w:p>
        </w:tc>
      </w:tr>
      <w:tr w14:paraId="718BB565">
        <w:tblPrEx>
          <w:tblW w:w="0" w:type="auto"/>
          <w:tblInd w:w="0" w:type="dxa"/>
          <w:tblCellMar>
            <w:top w:w="0" w:type="dxa"/>
            <w:left w:w="108" w:type="dxa"/>
            <w:bottom w:w="0" w:type="dxa"/>
            <w:right w:w="108" w:type="dxa"/>
          </w:tblCellMar>
        </w:tblPrEx>
        <w:tc>
          <w:tcPr>
            <w:tcW w:w="992" w:type="dxa"/>
            <w:vAlign w:val="center"/>
          </w:tcPr>
          <w:p w14:paraId="2E856B71">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11379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中国区域1公里逐10分钟融合降水实况分析产品V1.0</w:t>
            </w:r>
          </w:p>
        </w:tc>
      </w:tr>
      <w:tr w14:paraId="5490DE23">
        <w:tblPrEx>
          <w:tblW w:w="0" w:type="auto"/>
          <w:tblInd w:w="0" w:type="dxa"/>
          <w:tblCellMar>
            <w:top w:w="0" w:type="dxa"/>
            <w:left w:w="108" w:type="dxa"/>
            <w:bottom w:w="0" w:type="dxa"/>
            <w:right w:w="108" w:type="dxa"/>
          </w:tblCellMar>
        </w:tblPrEx>
        <w:tc>
          <w:tcPr>
            <w:tcW w:w="992" w:type="dxa"/>
            <w:vAlign w:val="center"/>
          </w:tcPr>
          <w:p w14:paraId="0B837E3B">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696917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w:t>
            </w:r>
            <w:r>
              <w:rPr>
                <w:rFonts w:ascii="Times New Roman" w:eastAsia="宋体" w:hAnsi="Times New Roman" w:cs="Times New Roman"/>
                <w:color w:val="000000"/>
                <w:kern w:val="0"/>
                <w:sz w:val="21"/>
                <w:szCs w:val="21"/>
              </w:rPr>
              <w:t>1</w:t>
            </w:r>
            <w:r>
              <w:rPr>
                <w:rFonts w:ascii="Times New Roman" w:eastAsia="宋体" w:hAnsi="Times New Roman" w:cs="Times New Roman" w:hint="eastAsia"/>
                <w:color w:val="000000"/>
                <w:kern w:val="0"/>
                <w:sz w:val="21"/>
                <w:szCs w:val="21"/>
              </w:rPr>
              <w:t>公里</w:t>
            </w:r>
            <w:r>
              <w:rPr>
                <w:rFonts w:ascii="Times New Roman" w:eastAsia="宋体" w:hAnsi="Times New Roman" w:cs="Times New Roman"/>
                <w:color w:val="000000"/>
                <w:kern w:val="0"/>
                <w:sz w:val="21"/>
                <w:szCs w:val="21"/>
              </w:rPr>
              <w:t>/</w:t>
            </w:r>
            <w:r>
              <w:rPr>
                <w:rFonts w:ascii="Times New Roman" w:eastAsia="宋体" w:hAnsi="Times New Roman" w:cs="Times New Roman" w:hint="eastAsia"/>
                <w:color w:val="000000"/>
                <w:kern w:val="0"/>
                <w:sz w:val="21"/>
                <w:szCs w:val="21"/>
              </w:rPr>
              <w:t>小时降水相态实况分析产品（</w:t>
            </w:r>
            <w:r>
              <w:rPr>
                <w:rFonts w:ascii="Times New Roman" w:eastAsia="宋体" w:hAnsi="Times New Roman" w:cs="Times New Roman"/>
                <w:color w:val="000000"/>
                <w:kern w:val="0"/>
                <w:sz w:val="21"/>
                <w:szCs w:val="21"/>
              </w:rPr>
              <w:t>V2.0</w:t>
            </w:r>
            <w:r>
              <w:rPr>
                <w:rFonts w:ascii="Times New Roman" w:eastAsia="宋体" w:hAnsi="Times New Roman" w:cs="Times New Roman" w:hint="eastAsia"/>
                <w:color w:val="000000"/>
                <w:kern w:val="0"/>
                <w:sz w:val="21"/>
                <w:szCs w:val="21"/>
              </w:rPr>
              <w:t>）</w:t>
            </w:r>
          </w:p>
        </w:tc>
      </w:tr>
      <w:tr w14:paraId="57F486BE">
        <w:tblPrEx>
          <w:tblW w:w="0" w:type="auto"/>
          <w:tblInd w:w="0" w:type="dxa"/>
          <w:tblCellMar>
            <w:top w:w="0" w:type="dxa"/>
            <w:left w:w="108" w:type="dxa"/>
            <w:bottom w:w="0" w:type="dxa"/>
            <w:right w:w="108" w:type="dxa"/>
          </w:tblCellMar>
        </w:tblPrEx>
        <w:tc>
          <w:tcPr>
            <w:tcW w:w="992" w:type="dxa"/>
            <w:vAlign w:val="center"/>
          </w:tcPr>
          <w:p w14:paraId="42D71109">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7C486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中国区域1公里/10分钟强对流实况分析产品（V1.0）</w:t>
            </w:r>
          </w:p>
        </w:tc>
      </w:tr>
      <w:tr w14:paraId="31CDE372">
        <w:tblPrEx>
          <w:tblW w:w="0" w:type="auto"/>
          <w:tblInd w:w="0" w:type="dxa"/>
          <w:tblCellMar>
            <w:top w:w="0" w:type="dxa"/>
            <w:left w:w="108" w:type="dxa"/>
            <w:bottom w:w="0" w:type="dxa"/>
            <w:right w:w="108" w:type="dxa"/>
          </w:tblCellMar>
        </w:tblPrEx>
        <w:tc>
          <w:tcPr>
            <w:tcW w:w="992" w:type="dxa"/>
            <w:vAlign w:val="center"/>
          </w:tcPr>
          <w:p w14:paraId="5B383162">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1B2536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中国智能网格实况分析小时产品</w:t>
            </w:r>
          </w:p>
        </w:tc>
      </w:tr>
      <w:tr w14:paraId="6A473A23">
        <w:tblPrEx>
          <w:tblW w:w="0" w:type="auto"/>
          <w:tblInd w:w="0" w:type="dxa"/>
          <w:tblCellMar>
            <w:top w:w="0" w:type="dxa"/>
            <w:left w:w="108" w:type="dxa"/>
            <w:bottom w:w="0" w:type="dxa"/>
            <w:right w:w="108" w:type="dxa"/>
          </w:tblCellMar>
        </w:tblPrEx>
        <w:tc>
          <w:tcPr>
            <w:tcW w:w="992" w:type="dxa"/>
            <w:vAlign w:val="center"/>
          </w:tcPr>
          <w:p w14:paraId="1C7EBCF8">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18D7DD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中国区域多源融合实况分析</w:t>
            </w:r>
            <w:r>
              <w:rPr>
                <w:rFonts w:ascii="Times New Roman" w:eastAsia="宋体" w:hAnsi="Times New Roman" w:cs="Times New Roman"/>
                <w:color w:val="000000"/>
                <w:kern w:val="0"/>
                <w:sz w:val="21"/>
                <w:szCs w:val="21"/>
              </w:rPr>
              <w:t>1</w:t>
            </w:r>
            <w:r>
              <w:rPr>
                <w:rFonts w:ascii="Times New Roman" w:eastAsia="宋体" w:hAnsi="Times New Roman" w:cs="Times New Roman" w:hint="eastAsia"/>
                <w:color w:val="000000"/>
                <w:kern w:val="0"/>
                <w:sz w:val="21"/>
                <w:szCs w:val="21"/>
              </w:rPr>
              <w:t>公里分辨率产品（</w:t>
            </w:r>
            <w:r>
              <w:rPr>
                <w:rFonts w:ascii="Times New Roman" w:eastAsia="宋体" w:hAnsi="Times New Roman" w:cs="Times New Roman"/>
                <w:color w:val="000000"/>
                <w:kern w:val="0"/>
                <w:sz w:val="21"/>
                <w:szCs w:val="21"/>
              </w:rPr>
              <w:t>ART_1km,</w:t>
            </w:r>
            <w:r>
              <w:rPr>
                <w:rFonts w:ascii="Times New Roman" w:eastAsia="宋体" w:hAnsi="Times New Roman" w:cs="Times New Roman" w:hint="eastAsia"/>
                <w:color w:val="000000"/>
                <w:kern w:val="0"/>
                <w:sz w:val="21"/>
                <w:szCs w:val="21"/>
              </w:rPr>
              <w:t>地面）</w:t>
            </w:r>
            <w:r>
              <w:rPr>
                <w:rFonts w:ascii="Times New Roman" w:eastAsia="宋体" w:hAnsi="Times New Roman" w:cs="Times New Roman"/>
                <w:color w:val="000000"/>
                <w:kern w:val="0"/>
                <w:sz w:val="21"/>
                <w:szCs w:val="21"/>
              </w:rPr>
              <w:t>-HRCLDAS</w:t>
            </w:r>
            <w:r>
              <w:rPr>
                <w:rFonts w:ascii="Times New Roman" w:eastAsia="宋体" w:hAnsi="Times New Roman" w:cs="Times New Roman" w:hint="eastAsia"/>
                <w:color w:val="000000"/>
                <w:kern w:val="0"/>
                <w:sz w:val="21"/>
                <w:szCs w:val="21"/>
              </w:rPr>
              <w:t>中国逐小时温湿风实时产品</w:t>
            </w:r>
          </w:p>
        </w:tc>
      </w:tr>
      <w:tr w14:paraId="5E2510E8">
        <w:tblPrEx>
          <w:tblW w:w="0" w:type="auto"/>
          <w:tblInd w:w="0" w:type="dxa"/>
          <w:tblCellMar>
            <w:top w:w="0" w:type="dxa"/>
            <w:left w:w="108" w:type="dxa"/>
            <w:bottom w:w="0" w:type="dxa"/>
            <w:right w:w="108" w:type="dxa"/>
          </w:tblCellMar>
        </w:tblPrEx>
        <w:tc>
          <w:tcPr>
            <w:tcW w:w="992" w:type="dxa"/>
            <w:vAlign w:val="center"/>
          </w:tcPr>
          <w:p w14:paraId="3D8A865A">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647C5F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w:t>
            </w:r>
            <w:r>
              <w:rPr>
                <w:rFonts w:ascii="Times New Roman" w:eastAsia="宋体" w:hAnsi="Times New Roman" w:cs="Times New Roman"/>
                <w:color w:val="000000"/>
                <w:kern w:val="0"/>
                <w:sz w:val="21"/>
                <w:szCs w:val="21"/>
              </w:rPr>
              <w:t>1</w:t>
            </w:r>
            <w:r>
              <w:rPr>
                <w:rFonts w:ascii="Times New Roman" w:eastAsia="宋体" w:hAnsi="Times New Roman" w:cs="Times New Roman" w:hint="eastAsia"/>
                <w:color w:val="000000"/>
                <w:kern w:val="0"/>
                <w:sz w:val="21"/>
                <w:szCs w:val="21"/>
              </w:rPr>
              <w:t>公里逐</w:t>
            </w:r>
            <w:r>
              <w:rPr>
                <w:rFonts w:ascii="Times New Roman" w:eastAsia="宋体" w:hAnsi="Times New Roman" w:cs="Times New Roman"/>
                <w:color w:val="000000"/>
                <w:kern w:val="0"/>
                <w:sz w:val="21"/>
                <w:szCs w:val="21"/>
              </w:rPr>
              <w:t>10</w:t>
            </w:r>
            <w:r>
              <w:rPr>
                <w:rFonts w:ascii="Times New Roman" w:eastAsia="宋体" w:hAnsi="Times New Roman" w:cs="Times New Roman" w:hint="eastAsia"/>
                <w:color w:val="000000"/>
                <w:kern w:val="0"/>
                <w:sz w:val="21"/>
                <w:szCs w:val="21"/>
              </w:rPr>
              <w:t>分钟近地面温压湿风多源融合实况分析产品</w:t>
            </w:r>
            <w:r>
              <w:rPr>
                <w:rFonts w:ascii="Times New Roman" w:eastAsia="宋体" w:hAnsi="Times New Roman" w:cs="Times New Roman"/>
                <w:color w:val="000000"/>
                <w:kern w:val="0"/>
                <w:sz w:val="21"/>
                <w:szCs w:val="21"/>
              </w:rPr>
              <w:t>V1.0</w:t>
            </w:r>
          </w:p>
        </w:tc>
      </w:tr>
      <w:tr w14:paraId="73490AF2">
        <w:tblPrEx>
          <w:tblW w:w="0" w:type="auto"/>
          <w:tblInd w:w="0" w:type="dxa"/>
          <w:tblCellMar>
            <w:top w:w="0" w:type="dxa"/>
            <w:left w:w="108" w:type="dxa"/>
            <w:bottom w:w="0" w:type="dxa"/>
            <w:right w:w="108" w:type="dxa"/>
          </w:tblCellMar>
        </w:tblPrEx>
        <w:tc>
          <w:tcPr>
            <w:tcW w:w="992" w:type="dxa"/>
            <w:vAlign w:val="center"/>
          </w:tcPr>
          <w:p w14:paraId="46E010EF">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158178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中国区域陆面实况分析产品（CLDAS-V3.0）</w:t>
            </w:r>
          </w:p>
        </w:tc>
      </w:tr>
      <w:tr w14:paraId="7C055BB0">
        <w:tblPrEx>
          <w:tblW w:w="0" w:type="auto"/>
          <w:tblInd w:w="0" w:type="dxa"/>
          <w:tblCellMar>
            <w:top w:w="0" w:type="dxa"/>
            <w:left w:w="108" w:type="dxa"/>
            <w:bottom w:w="0" w:type="dxa"/>
            <w:right w:w="108" w:type="dxa"/>
          </w:tblCellMar>
        </w:tblPrEx>
        <w:tc>
          <w:tcPr>
            <w:tcW w:w="992" w:type="dxa"/>
            <w:vAlign w:val="center"/>
          </w:tcPr>
          <w:p w14:paraId="2EC5A97C">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7703D9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Times New Roman" w:eastAsia="宋体" w:hAnsi="Times New Roman" w:cs="Times New Roman" w:hint="default"/>
                <w:color w:val="000000"/>
                <w:kern w:val="0"/>
                <w:szCs w:val="21"/>
              </w:rPr>
            </w:pPr>
            <w:r>
              <w:rPr>
                <w:rFonts w:ascii="Times New Roman" w:eastAsia="宋体" w:hAnsi="Times New Roman" w:cs="Times New Roman" w:hint="eastAsia"/>
                <w:color w:val="000000"/>
                <w:kern w:val="0"/>
                <w:sz w:val="21"/>
                <w:szCs w:val="21"/>
              </w:rPr>
              <w:t>中国区域陆面实况分析产品（CLDAS-V</w:t>
            </w:r>
            <w:r>
              <w:rPr>
                <w:rFonts w:ascii="Times New Roman" w:eastAsia="宋体" w:hAnsi="Times New Roman" w:cs="Times New Roman" w:hint="eastAsia"/>
                <w:color w:val="000000"/>
                <w:kern w:val="0"/>
                <w:sz w:val="21"/>
                <w:szCs w:val="21"/>
                <w:lang w:val="en-US" w:eastAsia="zh-CN"/>
              </w:rPr>
              <w:t>2</w:t>
            </w:r>
            <w:r>
              <w:rPr>
                <w:rFonts w:ascii="Times New Roman" w:eastAsia="宋体" w:hAnsi="Times New Roman" w:cs="Times New Roman" w:hint="eastAsia"/>
                <w:color w:val="000000"/>
                <w:kern w:val="0"/>
                <w:sz w:val="21"/>
                <w:szCs w:val="21"/>
              </w:rPr>
              <w:t>.0）</w:t>
            </w:r>
            <w:r>
              <w:rPr>
                <w:rFonts w:ascii="Times New Roman" w:eastAsia="宋体" w:hAnsi="Times New Roman" w:cs="Times New Roman" w:hint="eastAsia"/>
                <w:color w:val="000000"/>
                <w:kern w:val="0"/>
                <w:sz w:val="21"/>
                <w:szCs w:val="21"/>
                <w:lang w:val="en-US" w:eastAsia="zh-CN"/>
              </w:rPr>
              <w:t>及衍生产品</w:t>
            </w:r>
          </w:p>
        </w:tc>
      </w:tr>
      <w:tr w14:paraId="43FA1BED">
        <w:tblPrEx>
          <w:tblW w:w="0" w:type="auto"/>
          <w:tblInd w:w="0" w:type="dxa"/>
          <w:tblCellMar>
            <w:top w:w="0" w:type="dxa"/>
            <w:left w:w="108" w:type="dxa"/>
            <w:bottom w:w="0" w:type="dxa"/>
            <w:right w:w="108" w:type="dxa"/>
          </w:tblCellMar>
        </w:tblPrEx>
        <w:tc>
          <w:tcPr>
            <w:tcW w:w="992" w:type="dxa"/>
            <w:vAlign w:val="center"/>
          </w:tcPr>
          <w:p w14:paraId="1FC61EA8">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E591A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中国区域大气化学实况分析产品</w:t>
            </w:r>
          </w:p>
        </w:tc>
      </w:tr>
      <w:tr w14:paraId="46E228B7">
        <w:tblPrEx>
          <w:tblW w:w="0" w:type="auto"/>
          <w:tblInd w:w="0" w:type="dxa"/>
          <w:tblCellMar>
            <w:top w:w="0" w:type="dxa"/>
            <w:left w:w="108" w:type="dxa"/>
            <w:bottom w:w="0" w:type="dxa"/>
            <w:right w:w="108" w:type="dxa"/>
          </w:tblCellMar>
        </w:tblPrEx>
        <w:tc>
          <w:tcPr>
            <w:tcW w:w="992" w:type="dxa"/>
            <w:vAlign w:val="center"/>
          </w:tcPr>
          <w:p w14:paraId="6F67F6A2">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D8F63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w:t>
            </w:r>
            <w:r>
              <w:rPr>
                <w:rFonts w:ascii="Times New Roman" w:eastAsia="宋体" w:hAnsi="Times New Roman" w:cs="Times New Roman"/>
                <w:color w:val="000000"/>
                <w:kern w:val="0"/>
                <w:sz w:val="21"/>
                <w:szCs w:val="21"/>
              </w:rPr>
              <w:t>5</w:t>
            </w:r>
            <w:r>
              <w:rPr>
                <w:rFonts w:ascii="Times New Roman" w:eastAsia="宋体" w:hAnsi="Times New Roman" w:cs="Times New Roman" w:hint="eastAsia"/>
                <w:color w:val="000000"/>
                <w:kern w:val="0"/>
                <w:sz w:val="21"/>
                <w:szCs w:val="21"/>
              </w:rPr>
              <w:t>公里逐小时能见度实况分析产品</w:t>
            </w:r>
          </w:p>
        </w:tc>
      </w:tr>
      <w:tr w14:paraId="282B2834">
        <w:tblPrEx>
          <w:tblW w:w="0" w:type="auto"/>
          <w:tblInd w:w="0" w:type="dxa"/>
          <w:tblCellMar>
            <w:top w:w="0" w:type="dxa"/>
            <w:left w:w="108" w:type="dxa"/>
            <w:bottom w:w="0" w:type="dxa"/>
            <w:right w:w="108" w:type="dxa"/>
          </w:tblCellMar>
        </w:tblPrEx>
        <w:tc>
          <w:tcPr>
            <w:tcW w:w="992" w:type="dxa"/>
            <w:vAlign w:val="center"/>
          </w:tcPr>
          <w:p w14:paraId="70F5500B">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816F0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w:t>
            </w:r>
            <w:r>
              <w:rPr>
                <w:rFonts w:ascii="Times New Roman" w:eastAsia="宋体" w:hAnsi="Times New Roman" w:cs="Times New Roman"/>
                <w:color w:val="000000"/>
                <w:kern w:val="0"/>
                <w:sz w:val="21"/>
                <w:szCs w:val="21"/>
              </w:rPr>
              <w:t>1</w:t>
            </w:r>
            <w:r>
              <w:rPr>
                <w:rFonts w:ascii="Times New Roman" w:eastAsia="宋体" w:hAnsi="Times New Roman" w:cs="Times New Roman" w:hint="eastAsia"/>
                <w:color w:val="000000"/>
                <w:kern w:val="0"/>
                <w:sz w:val="21"/>
                <w:szCs w:val="21"/>
              </w:rPr>
              <w:t>公里逐小时能见度实况分析产品</w:t>
            </w:r>
          </w:p>
        </w:tc>
      </w:tr>
      <w:tr w14:paraId="6EDECE7D">
        <w:tblPrEx>
          <w:tblW w:w="0" w:type="auto"/>
          <w:tblInd w:w="0" w:type="dxa"/>
          <w:tblCellMar>
            <w:top w:w="0" w:type="dxa"/>
            <w:left w:w="108" w:type="dxa"/>
            <w:bottom w:w="0" w:type="dxa"/>
            <w:right w:w="108" w:type="dxa"/>
          </w:tblCellMar>
        </w:tblPrEx>
        <w:tc>
          <w:tcPr>
            <w:tcW w:w="992" w:type="dxa"/>
            <w:vAlign w:val="center"/>
          </w:tcPr>
          <w:p w14:paraId="38F8DCEC">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0E657E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中国区域沙尘、雾和霾实况分析产品（V1.0）</w:t>
            </w:r>
          </w:p>
        </w:tc>
      </w:tr>
      <w:tr w14:paraId="3546CBB0">
        <w:tblPrEx>
          <w:tblW w:w="0" w:type="auto"/>
          <w:tblInd w:w="0" w:type="dxa"/>
          <w:tblCellMar>
            <w:top w:w="0" w:type="dxa"/>
            <w:left w:w="108" w:type="dxa"/>
            <w:bottom w:w="0" w:type="dxa"/>
            <w:right w:w="108" w:type="dxa"/>
          </w:tblCellMar>
        </w:tblPrEx>
        <w:tc>
          <w:tcPr>
            <w:tcW w:w="992" w:type="dxa"/>
            <w:vAlign w:val="center"/>
          </w:tcPr>
          <w:p w14:paraId="76E0751C">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5EBA8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中国责任海区5公里/3小时海表温度多源融合实况分析产品</w:t>
            </w:r>
          </w:p>
        </w:tc>
      </w:tr>
      <w:tr w14:paraId="170B49EB">
        <w:tblPrEx>
          <w:tblW w:w="0" w:type="auto"/>
          <w:tblInd w:w="0" w:type="dxa"/>
          <w:tblCellMar>
            <w:top w:w="0" w:type="dxa"/>
            <w:left w:w="108" w:type="dxa"/>
            <w:bottom w:w="0" w:type="dxa"/>
            <w:right w:w="108" w:type="dxa"/>
          </w:tblCellMar>
        </w:tblPrEx>
        <w:tc>
          <w:tcPr>
            <w:tcW w:w="992" w:type="dxa"/>
            <w:vAlign w:val="center"/>
          </w:tcPr>
          <w:p w14:paraId="0D771F1A">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9763B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中国责任海区5公里/小时海雾多源融合实况产品（V1.0）</w:t>
            </w:r>
          </w:p>
        </w:tc>
      </w:tr>
      <w:tr w14:paraId="4845D73F">
        <w:tblPrEx>
          <w:tblW w:w="0" w:type="auto"/>
          <w:tblInd w:w="0" w:type="dxa"/>
          <w:tblCellMar>
            <w:top w:w="0" w:type="dxa"/>
            <w:left w:w="108" w:type="dxa"/>
            <w:bottom w:w="0" w:type="dxa"/>
            <w:right w:w="108" w:type="dxa"/>
          </w:tblCellMar>
        </w:tblPrEx>
        <w:tc>
          <w:tcPr>
            <w:tcW w:w="992" w:type="dxa"/>
            <w:vAlign w:val="center"/>
          </w:tcPr>
          <w:p w14:paraId="75D14F05">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54C8FC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微软雅黑" w:eastAsia="微软雅黑" w:hAnsi="微软雅黑" w:cs="Times New Roman" w:hint="eastAsia"/>
                <w:szCs w:val="21"/>
              </w:rPr>
            </w:pPr>
            <w:r>
              <w:rPr>
                <w:rFonts w:ascii="Times New Roman" w:eastAsia="宋体" w:hAnsi="Times New Roman" w:cs="Times New Roman" w:hint="eastAsia"/>
                <w:color w:val="000000"/>
                <w:kern w:val="0"/>
                <w:sz w:val="21"/>
                <w:szCs w:val="21"/>
              </w:rPr>
              <w:t>中国责任海区5公里/3小时有效波高多源融合实况分析产品V1.0</w:t>
            </w:r>
          </w:p>
        </w:tc>
      </w:tr>
      <w:tr w14:paraId="18B12E6A">
        <w:tblPrEx>
          <w:tblW w:w="0" w:type="auto"/>
          <w:tblInd w:w="0" w:type="dxa"/>
          <w:tblCellMar>
            <w:top w:w="0" w:type="dxa"/>
            <w:left w:w="108" w:type="dxa"/>
            <w:bottom w:w="0" w:type="dxa"/>
            <w:right w:w="108" w:type="dxa"/>
          </w:tblCellMar>
        </w:tblPrEx>
        <w:tc>
          <w:tcPr>
            <w:tcW w:w="992" w:type="dxa"/>
            <w:vAlign w:val="center"/>
          </w:tcPr>
          <w:p w14:paraId="7C58687D">
            <w:pPr>
              <w:widowControl w:val="0"/>
              <w:numPr>
                <w:ilvl w:val="0"/>
                <w:numId w:val="31"/>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09712BB2">
            <w:pPr>
              <w:adjustRightInd w:val="0"/>
              <w:snapToGrid w:val="0"/>
              <w:spacing w:line="240" w:lineRule="auto"/>
              <w:ind w:firstLineChars="0"/>
              <w:rPr>
                <w:rFonts w:ascii="微软雅黑" w:eastAsia="微软雅黑" w:hAnsi="微软雅黑" w:cs="Times New Roman" w:hint="eastAsia"/>
                <w:szCs w:val="21"/>
              </w:rPr>
            </w:pPr>
            <w:r>
              <w:rPr>
                <w:rFonts w:ascii="Times New Roman" w:eastAsia="宋体" w:hAnsi="Times New Roman" w:cs="Times New Roman" w:hint="eastAsia"/>
                <w:color w:val="000000"/>
                <w:kern w:val="0"/>
                <w:szCs w:val="21"/>
              </w:rPr>
              <w:t>多源融合格点实况插补站点数据流程运维</w:t>
            </w:r>
          </w:p>
        </w:tc>
      </w:tr>
      <w:tr w14:paraId="5F0D17C8">
        <w:tblPrEx>
          <w:tblW w:w="0" w:type="auto"/>
          <w:tblInd w:w="0" w:type="dxa"/>
          <w:tblCellMar>
            <w:top w:w="0" w:type="dxa"/>
            <w:left w:w="108" w:type="dxa"/>
            <w:bottom w:w="0" w:type="dxa"/>
            <w:right w:w="108" w:type="dxa"/>
          </w:tblCellMar>
        </w:tblPrEx>
        <w:tc>
          <w:tcPr>
            <w:tcW w:w="992" w:type="dxa"/>
            <w:vAlign w:val="center"/>
          </w:tcPr>
          <w:p w14:paraId="6D793AA5">
            <w:pPr>
              <w:rPr>
                <w:rFonts w:ascii="Times New Roman" w:eastAsia="宋体" w:hAnsi="Times New Roman" w:cs="Times New Roman"/>
              </w:rPr>
            </w:pPr>
          </w:p>
        </w:tc>
        <w:tc>
          <w:tcPr>
            <w:tcW w:w="7530" w:type="dxa"/>
            <w:vAlign w:val="center"/>
          </w:tcPr>
          <w:p w14:paraId="36C8D7F3">
            <w:pPr>
              <w:rPr>
                <w:rFonts w:ascii="Times New Roman" w:eastAsia="宋体" w:hAnsi="Times New Roman" w:cs="Times New Roman"/>
              </w:rPr>
            </w:pPr>
          </w:p>
        </w:tc>
      </w:tr>
      <w:tr w14:paraId="4F8B10C7">
        <w:tblPrEx>
          <w:tblW w:w="0" w:type="auto"/>
          <w:tblInd w:w="0" w:type="dxa"/>
          <w:tblCellMar>
            <w:top w:w="0" w:type="dxa"/>
            <w:left w:w="108" w:type="dxa"/>
            <w:bottom w:w="0" w:type="dxa"/>
            <w:right w:w="108" w:type="dxa"/>
          </w:tblCellMar>
        </w:tblPrEx>
        <w:tc>
          <w:tcPr>
            <w:tcW w:w="8522" w:type="dxa"/>
            <w:gridSpan w:val="2"/>
            <w:vAlign w:val="center"/>
          </w:tcPr>
          <w:p w14:paraId="2105DC1B">
            <w:pPr>
              <w:widowControl w:val="0"/>
              <w:spacing w:line="360" w:lineRule="auto"/>
              <w:ind w:firstLine="0" w:firstLineChars="0"/>
              <w:jc w:val="center"/>
              <w:rPr>
                <w:rFonts w:ascii="微软雅黑" w:eastAsia="微软雅黑" w:hAnsi="微软雅黑" w:cs="Times New Roman" w:hint="eastAsia"/>
                <w:b/>
                <w:bCs/>
                <w:szCs w:val="21"/>
              </w:rPr>
            </w:pPr>
            <w:r>
              <w:rPr>
                <w:rFonts w:ascii="微软雅黑" w:eastAsia="微软雅黑" w:hAnsi="微软雅黑" w:cs="Times New Roman" w:hint="eastAsia"/>
                <w:b/>
                <w:bCs/>
                <w:kern w:val="2"/>
                <w:sz w:val="21"/>
                <w:szCs w:val="21"/>
                <w:lang w:val="en-US" w:eastAsia="zh-CN" w:bidi="ar-SA"/>
              </w:rPr>
              <w:t>海洋实况分析</w:t>
            </w:r>
            <w:r>
              <w:rPr>
                <w:rFonts w:ascii="微软雅黑" w:eastAsia="微软雅黑" w:hAnsi="微软雅黑" w:cs="Times New Roman"/>
                <w:b/>
                <w:bCs/>
                <w:kern w:val="2"/>
                <w:sz w:val="21"/>
                <w:szCs w:val="21"/>
                <w:lang w:val="en-US" w:eastAsia="zh-CN" w:bidi="ar-SA"/>
              </w:rPr>
              <w:t>产品</w:t>
            </w:r>
          </w:p>
        </w:tc>
      </w:tr>
      <w:tr w14:paraId="38FF1E21">
        <w:tblPrEx>
          <w:tblW w:w="0" w:type="auto"/>
          <w:tblInd w:w="0" w:type="dxa"/>
          <w:tblCellMar>
            <w:top w:w="0" w:type="dxa"/>
            <w:left w:w="108" w:type="dxa"/>
            <w:bottom w:w="0" w:type="dxa"/>
            <w:right w:w="108" w:type="dxa"/>
          </w:tblCellMar>
        </w:tblPrEx>
        <w:tc>
          <w:tcPr>
            <w:tcW w:w="992" w:type="dxa"/>
            <w:vAlign w:val="center"/>
          </w:tcPr>
          <w:p w14:paraId="00EB34D3">
            <w:pPr>
              <w:widowControl w:val="0"/>
              <w:numPr>
                <w:ilvl w:val="0"/>
                <w:numId w:val="32"/>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05AE73A9">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全球25km/日海表温度、海冰密集度融合实况分析</w:t>
            </w:r>
            <w:r>
              <w:rPr>
                <w:rFonts w:ascii="Times New Roman" w:eastAsia="宋体" w:hAnsi="Times New Roman" w:cs="Times New Roman" w:hint="eastAsia"/>
                <w:color w:val="000000"/>
                <w:kern w:val="0"/>
                <w:szCs w:val="21"/>
                <w:lang w:val="en-US" w:eastAsia="zh-CN"/>
              </w:rPr>
              <w:t>产品</w:t>
            </w:r>
          </w:p>
        </w:tc>
      </w:tr>
      <w:tr w14:paraId="28779572">
        <w:tblPrEx>
          <w:tblW w:w="0" w:type="auto"/>
          <w:tblInd w:w="0" w:type="dxa"/>
          <w:tblCellMar>
            <w:top w:w="0" w:type="dxa"/>
            <w:left w:w="108" w:type="dxa"/>
            <w:bottom w:w="0" w:type="dxa"/>
            <w:right w:w="108" w:type="dxa"/>
          </w:tblCellMar>
        </w:tblPrEx>
        <w:tc>
          <w:tcPr>
            <w:tcW w:w="992" w:type="dxa"/>
            <w:vAlign w:val="center"/>
          </w:tcPr>
          <w:p w14:paraId="1E8EC8AD">
            <w:pPr>
              <w:widowControl w:val="0"/>
              <w:numPr>
                <w:ilvl w:val="0"/>
                <w:numId w:val="32"/>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402F637E">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全球10km/6h海表温度融合实况分析</w:t>
            </w:r>
            <w:r>
              <w:rPr>
                <w:rFonts w:ascii="Times New Roman" w:eastAsia="宋体" w:hAnsi="Times New Roman" w:cs="Times New Roman" w:hint="eastAsia"/>
                <w:color w:val="000000"/>
                <w:kern w:val="0"/>
                <w:szCs w:val="21"/>
                <w:lang w:val="en-US" w:eastAsia="zh-CN"/>
              </w:rPr>
              <w:t>产品</w:t>
            </w:r>
          </w:p>
        </w:tc>
      </w:tr>
      <w:tr w14:paraId="6A3B39F0">
        <w:tblPrEx>
          <w:tblW w:w="0" w:type="auto"/>
          <w:tblInd w:w="0" w:type="dxa"/>
          <w:tblCellMar>
            <w:top w:w="0" w:type="dxa"/>
            <w:left w:w="108" w:type="dxa"/>
            <w:bottom w:w="0" w:type="dxa"/>
            <w:right w:w="108" w:type="dxa"/>
          </w:tblCellMar>
        </w:tblPrEx>
        <w:tc>
          <w:tcPr>
            <w:tcW w:w="992" w:type="dxa"/>
            <w:vAlign w:val="center"/>
          </w:tcPr>
          <w:p w14:paraId="5D70D250">
            <w:pPr>
              <w:widowControl w:val="0"/>
              <w:numPr>
                <w:ilvl w:val="0"/>
                <w:numId w:val="32"/>
              </w:numPr>
              <w:spacing w:line="360" w:lineRule="auto"/>
              <w:ind w:firstLine="420" w:firstLineChars="0"/>
              <w:jc w:val="both"/>
              <w:rPr>
                <w:rFonts w:ascii="微软雅黑" w:eastAsia="微软雅黑" w:hAnsi="微软雅黑" w:cs="Times New Roman" w:hint="eastAsia"/>
                <w:szCs w:val="21"/>
              </w:rPr>
            </w:pPr>
          </w:p>
        </w:tc>
        <w:tc>
          <w:tcPr>
            <w:tcW w:w="7530" w:type="dxa"/>
            <w:vAlign w:val="center"/>
          </w:tcPr>
          <w:p w14:paraId="7102CC83">
            <w:pPr>
              <w:adjustRightInd w:val="0"/>
              <w:snapToGrid w:val="0"/>
              <w:spacing w:line="240" w:lineRule="auto"/>
              <w:ind w:firstLineChars="0"/>
              <w:rPr>
                <w:rFonts w:ascii="Times New Roman" w:eastAsia="宋体" w:hAnsi="Times New Roman" w:cs="Times New Roman" w:hint="eastAsia"/>
                <w:color w:val="000000"/>
                <w:kern w:val="0"/>
                <w:szCs w:val="21"/>
              </w:rPr>
            </w:pPr>
            <w:r>
              <w:rPr>
                <w:rFonts w:ascii="Times New Roman" w:eastAsia="宋体" w:hAnsi="Times New Roman" w:cs="Times New Roman" w:hint="eastAsia"/>
                <w:color w:val="000000"/>
                <w:kern w:val="0"/>
                <w:szCs w:val="21"/>
              </w:rPr>
              <w:t>全球10km/3h有效波高融合实况分析</w:t>
            </w:r>
            <w:r>
              <w:rPr>
                <w:rFonts w:ascii="Times New Roman" w:eastAsia="宋体" w:hAnsi="Times New Roman" w:cs="Times New Roman" w:hint="eastAsia"/>
                <w:color w:val="000000"/>
                <w:kern w:val="0"/>
                <w:szCs w:val="21"/>
                <w:lang w:val="en-US" w:eastAsia="zh-CN"/>
              </w:rPr>
              <w:t>产品</w:t>
            </w:r>
          </w:p>
        </w:tc>
      </w:tr>
    </w:tbl>
    <w:p w14:paraId="1E0A7FC9">
      <w:pPr>
        <w:widowControl w:val="0"/>
        <w:ind w:firstLine="0" w:firstLineChars="0"/>
        <w:jc w:val="both"/>
        <w:rPr>
          <w:rFonts w:ascii="Times New Roman" w:eastAsia="宋体" w:hAnsi="Times New Roman" w:cs="Times New Roman" w:hint="eastAsia"/>
        </w:rPr>
      </w:pPr>
    </w:p>
    <w:p w14:paraId="33095F4B">
      <w:pPr>
        <w:widowControl w:val="0"/>
        <w:ind w:firstLine="0" w:firstLineChars="0"/>
        <w:jc w:val="both"/>
        <w:rPr>
          <w:rFonts w:ascii="Times New Roman" w:eastAsia="宋体" w:hAnsi="Times New Roman" w:cs="Times New Roman" w:hint="eastAsia"/>
        </w:rPr>
      </w:pPr>
    </w:p>
    <w:p w14:paraId="38350854">
      <w:pPr>
        <w:snapToGrid w:val="0"/>
        <w:spacing w:line="360" w:lineRule="auto"/>
        <w:ind w:firstLine="420"/>
        <w:jc w:val="left"/>
        <w:rPr>
          <w:rFonts w:ascii="宋体" w:eastAsia="宋体" w:hAnsi="宋体" w:cs="Times New Roman" w:hint="eastAsia"/>
          <w:szCs w:val="21"/>
        </w:rPr>
      </w:pPr>
    </w:p>
    <w:p w14:paraId="4FD4F2B8"/>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A6773A" w14:paraId="690CD5D0" w14:textId="77777777">
      <w:pPr>
        <w:spacing w:before="156" w:beforeLines="50" w:line="360" w:lineRule="auto"/>
        <w:jc w:val="center"/>
        <w:outlineLvl w:val="1"/>
        <w:rPr>
          <w:rFonts w:ascii="宋体" w:eastAsia="宋体" w:hAnsi="宋体" w:cs="Times New Roman"/>
          <w:b/>
          <w:sz w:val="30"/>
          <w:szCs w:val="30"/>
        </w:rPr>
      </w:pPr>
      <w:bookmarkStart w:id="247" w:name="投标被拒绝条款专用部分_JJTK"/>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响应被拒绝条款专用部分</w:t>
      </w:r>
    </w:p>
    <w:p w:rsidR="00A6773A" w14:paraId="65AC929B" w14:textId="77777777">
      <w:pPr>
        <w:adjustRightInd w:val="0"/>
        <w:snapToGrid w:val="0"/>
        <w:spacing w:before="156" w:beforeLines="50" w:line="360" w:lineRule="auto"/>
        <w:rPr>
          <w:rFonts w:ascii="宋体" w:eastAsia="宋体" w:hAnsi="宋体" w:cs="Times New Roman"/>
          <w:szCs w:val="21"/>
        </w:rPr>
      </w:pPr>
    </w:p>
    <w:p w:rsidR="00A6773A" w14:paraId="0DF8E2E2" w14:textId="77777777">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6841D3FB" w14:textId="77777777" w:rsidTr="001C553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6773A" w14:paraId="2B67E693"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A6773A" w14:paraId="470A2975"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A6773A" w14:paraId="0B0768CA"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A6773A" w14:paraId="5D7E2C8D"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6CFF796" w14:textId="77777777" w:rsidTr="001C5537">
        <w:tblPrEx>
          <w:tblW w:w="8789" w:type="dxa"/>
          <w:tblLayout w:type="fixed"/>
          <w:tblLook w:val="04A0"/>
        </w:tblPrEx>
        <w:trPr>
          <w:cantSplit/>
        </w:trPr>
        <w:tc>
          <w:tcPr>
            <w:tcW w:w="8789" w:type="dxa"/>
            <w:gridSpan w:val="3"/>
            <w:vAlign w:val="center"/>
          </w:tcPr>
          <w:p w:rsidR="00A6773A" w14:paraId="18859A76"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1B4E5D9B" w14:textId="77777777" w:rsidTr="001C5537">
        <w:tblPrEx>
          <w:tblW w:w="8789" w:type="dxa"/>
          <w:tblLayout w:type="fixed"/>
          <w:tblLook w:val="04A0"/>
        </w:tblPrEx>
        <w:trPr>
          <w:cantSplit/>
        </w:trPr>
        <w:tc>
          <w:tcPr>
            <w:tcW w:w="544" w:type="dxa"/>
            <w:vAlign w:val="center"/>
          </w:tcPr>
          <w:p w:rsidR="00A6773A" w14:paraId="3ABD7353" w14:textId="77777777">
            <w:pPr>
              <w:numPr>
                <w:ilvl w:val="0"/>
                <w:numId w:val="37"/>
              </w:numPr>
              <w:rPr>
                <w:rFonts w:ascii="宋体" w:eastAsia="宋体" w:hAnsi="宋体" w:cs="Times New Roman"/>
                <w:sz w:val="18"/>
                <w:szCs w:val="18"/>
              </w:rPr>
            </w:pPr>
          </w:p>
        </w:tc>
        <w:tc>
          <w:tcPr>
            <w:tcW w:w="898" w:type="dxa"/>
            <w:vAlign w:val="center"/>
          </w:tcPr>
          <w:p w:rsidR="00A6773A" w14:paraId="4B7B6EDA"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A6773A" w14:paraId="5E44A4E7" w14:textId="57FF51E4">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rPr>
              <w:t>无</w:t>
            </w:r>
          </w:p>
        </w:tc>
      </w:tr>
      <w:tr w14:paraId="7090A2FC" w14:textId="77777777" w:rsidTr="001C5537">
        <w:tblPrEx>
          <w:tblW w:w="8789" w:type="dxa"/>
          <w:tblLayout w:type="fixed"/>
          <w:tblLook w:val="04A0"/>
        </w:tblPrEx>
        <w:trPr>
          <w:cantSplit/>
        </w:trPr>
        <w:tc>
          <w:tcPr>
            <w:tcW w:w="8789" w:type="dxa"/>
            <w:gridSpan w:val="3"/>
            <w:vAlign w:val="center"/>
          </w:tcPr>
          <w:p w:rsidR="00A6773A" w14:paraId="682E9810"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5A66825F" w14:textId="77777777" w:rsidTr="001C5537">
        <w:tblPrEx>
          <w:tblW w:w="8789" w:type="dxa"/>
          <w:tblLayout w:type="fixed"/>
          <w:tblLook w:val="04A0"/>
        </w:tblPrEx>
        <w:trPr>
          <w:cantSplit/>
        </w:trPr>
        <w:tc>
          <w:tcPr>
            <w:tcW w:w="544" w:type="dxa"/>
            <w:vAlign w:val="center"/>
          </w:tcPr>
          <w:p w:rsidR="00A6773A" w14:paraId="24819A7A" w14:textId="77777777">
            <w:pPr>
              <w:numPr>
                <w:ilvl w:val="0"/>
                <w:numId w:val="37"/>
              </w:numPr>
              <w:rPr>
                <w:rFonts w:ascii="宋体" w:eastAsia="宋体" w:hAnsi="宋体" w:cs="Times New Roman"/>
                <w:sz w:val="18"/>
                <w:szCs w:val="18"/>
              </w:rPr>
            </w:pPr>
          </w:p>
        </w:tc>
        <w:tc>
          <w:tcPr>
            <w:tcW w:w="898" w:type="dxa"/>
            <w:vAlign w:val="center"/>
          </w:tcPr>
          <w:p w:rsidR="00A6773A" w14:paraId="01F0DC9F" w14:textId="77777777">
            <w:pPr>
              <w:jc w:val="center"/>
              <w:rPr>
                <w:rFonts w:ascii="宋体" w:eastAsia="宋体" w:hAnsi="宋体" w:cs="Times New Roman"/>
                <w:sz w:val="18"/>
                <w:szCs w:val="18"/>
              </w:rPr>
            </w:pPr>
          </w:p>
        </w:tc>
        <w:tc>
          <w:tcPr>
            <w:tcW w:w="7347" w:type="dxa"/>
            <w:vAlign w:val="center"/>
          </w:tcPr>
          <w:p w:rsidR="00A6773A" w14:paraId="49149440" w14:textId="6D8E0B3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A6773A" w14:paraId="0655B375" w14:textId="77777777">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A6773A" w14:paraId="5BD33A1F"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3"/>
          <w:footerReference w:type="default" r:id="rId14"/>
          <w:pgSz w:w="11906" w:h="16838"/>
          <w:pgMar w:top="1440" w:right="1800" w:bottom="1440" w:left="1800" w:header="851" w:footer="992" w:gutter="0"/>
          <w:cols w:num="1" w:space="425"/>
          <w:docGrid w:type="lines" w:linePitch="312" w:charSpace="0"/>
        </w:sectPr>
      </w:pPr>
      <w:bookmarkEnd w:id="247"/>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167FBF5E">
      <w:pPr>
        <w:spacing w:line="360" w:lineRule="auto"/>
        <w:ind w:firstLine="3066" w:firstLineChars="1460"/>
        <w:jc w:val="left"/>
        <w:rPr>
          <w:rFonts w:ascii="Times New Roman" w:eastAsia="宋体" w:hAnsi="Times New Roman" w:cs="Times New Roman"/>
          <w:b/>
          <w:bCs/>
          <w:szCs w:val="21"/>
        </w:rPr>
      </w:pPr>
      <w:bookmarkStart w:id="248" w:name="采购公告合同部分_ZBGGHT"/>
      <w:r>
        <w:rPr>
          <w:rFonts w:ascii="Times New Roman" w:eastAsia="宋体" w:hAnsi="Times New Roman" w:cs="Times New Roman" w:hint="eastAsia"/>
          <w:b/>
          <w:bCs/>
          <w:szCs w:val="21"/>
        </w:rPr>
        <w:t>第八章  采购合同</w:t>
      </w:r>
    </w:p>
    <w:p w14:paraId="66214D4C">
      <w:pPr>
        <w:widowControl/>
        <w:jc w:val="left"/>
        <w:rPr>
          <w:rFonts w:ascii="Calibri" w:eastAsia="宋体" w:hAnsi="Calibri" w:cs="Times New Roman"/>
        </w:rPr>
      </w:pPr>
      <w:r>
        <w:rPr>
          <w:rFonts w:ascii="Calibri" w:eastAsia="宋体" w:hAnsi="Calibri" w:cs="Times New Roman"/>
        </w:rPr>
        <w:br w:type="page"/>
      </w:r>
    </w:p>
    <w:p w14:paraId="40A476FD">
      <w:pPr>
        <w:rPr>
          <w:rFonts w:ascii="Calibri" w:eastAsia="宋体" w:hAnsi="Calibri" w:cs="Times New Roman"/>
        </w:rPr>
      </w:pPr>
    </w:p>
    <w:p w14:paraId="243712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50F5EDE9">
      <w:pPr>
        <w:rPr>
          <w:rFonts w:ascii="宋体" w:eastAsia="宋体" w:hAnsi="宋体" w:cs="宋体"/>
          <w:b/>
          <w:bCs/>
          <w:spacing w:val="-20"/>
          <w:kern w:val="44"/>
          <w:sz w:val="40"/>
          <w:szCs w:val="40"/>
        </w:rPr>
      </w:pPr>
    </w:p>
    <w:p w14:paraId="347AE273">
      <w:pPr>
        <w:rPr>
          <w:rFonts w:ascii="宋体" w:eastAsia="宋体" w:hAnsi="宋体" w:cs="宋体"/>
          <w:b/>
          <w:bCs/>
          <w:spacing w:val="-20"/>
          <w:kern w:val="44"/>
          <w:sz w:val="40"/>
          <w:szCs w:val="40"/>
        </w:rPr>
      </w:pPr>
    </w:p>
    <w:p w14:paraId="53B2F58F">
      <w:pPr>
        <w:rPr>
          <w:rFonts w:ascii="宋体" w:eastAsia="宋体" w:hAnsi="宋体" w:cs="宋体"/>
          <w:b/>
          <w:bCs/>
          <w:spacing w:val="-20"/>
          <w:kern w:val="44"/>
          <w:sz w:val="40"/>
          <w:szCs w:val="40"/>
        </w:rPr>
      </w:pPr>
    </w:p>
    <w:p w14:paraId="0FE498C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41CC605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37B94C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EE447D2">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D9ED0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1C13A4E1">
      <w:pPr>
        <w:rPr>
          <w:rFonts w:ascii="Times New Roman" w:eastAsia="宋体" w:hAnsi="Times New Roman" w:cs="Times New Roman"/>
          <w:szCs w:val="20"/>
        </w:rPr>
      </w:pPr>
    </w:p>
    <w:p w14:paraId="22AA2C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4ADB236">
      <w:pPr>
        <w:rPr>
          <w:rFonts w:ascii="Times New Roman" w:eastAsia="黑体" w:hAnsi="Times New Roman" w:cs="Times New Roman"/>
          <w:sz w:val="44"/>
          <w:szCs w:val="44"/>
        </w:rPr>
      </w:pPr>
    </w:p>
    <w:p w14:paraId="151EFB7D">
      <w:pPr>
        <w:rPr>
          <w:rFonts w:ascii="Times New Roman" w:eastAsia="黑体" w:hAnsi="Times New Roman" w:cs="Times New Roman"/>
          <w:sz w:val="44"/>
          <w:szCs w:val="44"/>
        </w:rPr>
      </w:pPr>
    </w:p>
    <w:p w14:paraId="3A82454C">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2416D1A1">
      <w:pPr>
        <w:ind w:firstLine="640" w:firstLineChars="200"/>
        <w:rPr>
          <w:rFonts w:ascii="仿宋_GB2312" w:eastAsia="仿宋_GB2312" w:hAnsi="仿宋_GB2312" w:cs="仿宋_GB2312"/>
          <w:sz w:val="32"/>
          <w:szCs w:val="32"/>
        </w:rPr>
      </w:pPr>
    </w:p>
    <w:p w14:paraId="0051FEFB">
      <w:pPr>
        <w:numPr>
          <w:ilvl w:val="0"/>
          <w:numId w:val="3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5C1DA517">
      <w:pPr>
        <w:numPr>
          <w:ilvl w:val="0"/>
          <w:numId w:val="3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05A0B304">
      <w:pPr>
        <w:numPr>
          <w:ilvl w:val="0"/>
          <w:numId w:val="3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1D4F64B">
      <w:pPr>
        <w:widowControl/>
        <w:jc w:val="left"/>
        <w:rPr>
          <w:rFonts w:ascii="宋体" w:eastAsia="宋体" w:hAnsi="宋体" w:cs="Times New Roman"/>
          <w:szCs w:val="21"/>
        </w:rPr>
      </w:pPr>
      <w:r>
        <w:rPr>
          <w:rFonts w:ascii="宋体" w:eastAsia="宋体" w:hAnsi="宋体" w:cs="Times New Roman"/>
          <w:szCs w:val="21"/>
        </w:rPr>
        <w:br w:type="page"/>
      </w:r>
    </w:p>
    <w:p w14:paraId="70B1E463">
      <w:pPr>
        <w:snapToGrid w:val="0"/>
        <w:spacing w:line="360" w:lineRule="auto"/>
        <w:ind w:firstLine="420"/>
        <w:rPr>
          <w:rFonts w:ascii="宋体" w:eastAsia="宋体" w:hAnsi="宋体" w:cs="Times New Roman" w:hint="eastAsia"/>
          <w:szCs w:val="21"/>
        </w:rPr>
      </w:pPr>
    </w:p>
    <w:p w14:paraId="6F7B6C6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331EB2F7">
      <w:pPr>
        <w:snapToGrid w:val="0"/>
        <w:spacing w:line="360" w:lineRule="auto"/>
        <w:jc w:val="center"/>
        <w:rPr>
          <w:b/>
          <w:bCs/>
          <w:sz w:val="36"/>
          <w:szCs w:val="36"/>
          <w:highlight w:val="none"/>
        </w:rPr>
      </w:pPr>
      <w:r>
        <w:rPr>
          <w:rFonts w:hint="eastAsia"/>
          <w:b/>
          <w:bCs/>
          <w:sz w:val="36"/>
          <w:szCs w:val="36"/>
          <w:highlight w:val="none"/>
        </w:rPr>
        <w:t>合同协议书</w:t>
      </w:r>
    </w:p>
    <w:p w14:paraId="7711C937">
      <w:pPr>
        <w:snapToGrid w:val="0"/>
        <w:spacing w:line="360" w:lineRule="auto"/>
        <w:rPr>
          <w:sz w:val="28"/>
          <w:szCs w:val="28"/>
          <w:highlight w:val="none"/>
        </w:rPr>
      </w:pPr>
    </w:p>
    <w:p w14:paraId="4D52796B">
      <w:pPr>
        <w:snapToGrid w:val="0"/>
        <w:spacing w:line="360" w:lineRule="auto"/>
        <w:rPr>
          <w:szCs w:val="21"/>
          <w:highlight w:val="none"/>
        </w:rPr>
      </w:pPr>
    </w:p>
    <w:p w14:paraId="02E025DF">
      <w:pPr>
        <w:snapToGrid w:val="0"/>
        <w:spacing w:line="360" w:lineRule="auto"/>
        <w:rPr>
          <w:szCs w:val="21"/>
          <w:highlight w:val="none"/>
        </w:rPr>
      </w:pPr>
    </w:p>
    <w:p w14:paraId="26904867">
      <w:pPr>
        <w:snapToGrid w:val="0"/>
        <w:spacing w:line="360" w:lineRule="auto"/>
        <w:rPr>
          <w:szCs w:val="21"/>
          <w:highlight w:val="none"/>
        </w:rPr>
      </w:pPr>
    </w:p>
    <w:p w14:paraId="6036FA29">
      <w:pPr>
        <w:snapToGrid w:val="0"/>
        <w:spacing w:line="360" w:lineRule="auto"/>
        <w:rPr>
          <w:szCs w:val="21"/>
          <w:highlight w:val="none"/>
        </w:rPr>
      </w:pPr>
    </w:p>
    <w:p w14:paraId="0150B97A">
      <w:pPr>
        <w:snapToGrid w:val="0"/>
        <w:spacing w:line="360" w:lineRule="auto"/>
        <w:rPr>
          <w:sz w:val="28"/>
          <w:szCs w:val="28"/>
          <w:highlight w:val="none"/>
        </w:rPr>
      </w:pPr>
      <w:r>
        <w:rPr>
          <w:rFonts w:hint="eastAsia"/>
          <w:sz w:val="28"/>
          <w:szCs w:val="28"/>
          <w:highlight w:val="none"/>
        </w:rPr>
        <w:t>项目名称：________________________________________</w:t>
      </w:r>
    </w:p>
    <w:p w14:paraId="157EBB48">
      <w:pPr>
        <w:snapToGrid w:val="0"/>
        <w:spacing w:line="360" w:lineRule="auto"/>
        <w:rPr>
          <w:sz w:val="28"/>
          <w:szCs w:val="28"/>
          <w:highlight w:val="none"/>
        </w:rPr>
      </w:pPr>
      <w:r>
        <w:rPr>
          <w:rFonts w:hint="eastAsia"/>
          <w:sz w:val="28"/>
          <w:szCs w:val="28"/>
          <w:highlight w:val="none"/>
        </w:rPr>
        <w:t>项目编号：________________________________________</w:t>
      </w:r>
    </w:p>
    <w:p w14:paraId="322D34D4">
      <w:pPr>
        <w:snapToGrid w:val="0"/>
        <w:spacing w:line="360" w:lineRule="auto"/>
        <w:rPr>
          <w:sz w:val="28"/>
          <w:szCs w:val="28"/>
          <w:highlight w:val="none"/>
        </w:rPr>
      </w:pPr>
      <w:r>
        <w:rPr>
          <w:rFonts w:hint="eastAsia"/>
          <w:sz w:val="28"/>
          <w:szCs w:val="28"/>
          <w:highlight w:val="none"/>
        </w:rPr>
        <w:t>合同编号：________________________________________</w:t>
      </w:r>
    </w:p>
    <w:p w14:paraId="0152A7AD">
      <w:pPr>
        <w:snapToGrid w:val="0"/>
        <w:spacing w:line="360" w:lineRule="auto"/>
        <w:rPr>
          <w:szCs w:val="21"/>
          <w:highlight w:val="none"/>
        </w:rPr>
      </w:pPr>
      <w:r>
        <w:rPr>
          <w:szCs w:val="21"/>
          <w:highlight w:val="none"/>
        </w:rPr>
        <w:t xml:space="preserve">    </w:t>
      </w:r>
    </w:p>
    <w:p w14:paraId="575244C0">
      <w:pPr>
        <w:snapToGrid w:val="0"/>
        <w:spacing w:line="360" w:lineRule="auto"/>
        <w:rPr>
          <w:szCs w:val="21"/>
          <w:highlight w:val="none"/>
        </w:rPr>
      </w:pPr>
    </w:p>
    <w:p w14:paraId="3E0DBCEA">
      <w:pPr>
        <w:snapToGrid w:val="0"/>
        <w:spacing w:line="360" w:lineRule="auto"/>
        <w:rPr>
          <w:sz w:val="28"/>
          <w:szCs w:val="28"/>
          <w:highlight w:val="none"/>
        </w:rPr>
      </w:pPr>
      <w:r>
        <w:rPr>
          <w:rFonts w:hint="eastAsia"/>
          <w:sz w:val="28"/>
          <w:szCs w:val="28"/>
          <w:highlight w:val="none"/>
        </w:rPr>
        <w:t>甲方</w:t>
      </w:r>
      <w:r>
        <w:rPr>
          <w:rFonts w:hint="eastAsia"/>
          <w:sz w:val="28"/>
          <w:szCs w:val="28"/>
          <w:highlight w:val="none"/>
          <w:lang w:eastAsia="zh-CN"/>
        </w:rPr>
        <w:t>（</w:t>
      </w:r>
      <w:r>
        <w:rPr>
          <w:rFonts w:hint="eastAsia"/>
          <w:sz w:val="28"/>
          <w:szCs w:val="28"/>
          <w:highlight w:val="none"/>
          <w:lang w:val="en-US" w:eastAsia="zh-CN"/>
        </w:rPr>
        <w:t>采购人</w:t>
      </w:r>
      <w:r>
        <w:rPr>
          <w:rFonts w:hint="eastAsia"/>
          <w:sz w:val="28"/>
          <w:szCs w:val="28"/>
          <w:highlight w:val="none"/>
          <w:lang w:eastAsia="zh-CN"/>
        </w:rPr>
        <w:t>）</w:t>
      </w:r>
      <w:r>
        <w:rPr>
          <w:rFonts w:hint="eastAsia"/>
          <w:sz w:val="28"/>
          <w:szCs w:val="28"/>
          <w:highlight w:val="none"/>
        </w:rPr>
        <w:t>：_</w:t>
      </w:r>
      <w:r>
        <w:rPr>
          <w:rFonts w:hint="eastAsia"/>
          <w:sz w:val="28"/>
          <w:szCs w:val="28"/>
          <w:highlight w:val="none"/>
          <w:u w:val="single"/>
        </w:rPr>
        <w:t>国家气象信息</w:t>
      </w:r>
      <w:r>
        <w:rPr>
          <w:sz w:val="28"/>
          <w:szCs w:val="28"/>
          <w:highlight w:val="none"/>
          <w:u w:val="single"/>
        </w:rPr>
        <w:t>中心</w:t>
      </w:r>
      <w:r>
        <w:rPr>
          <w:rFonts w:hint="eastAsia"/>
          <w:sz w:val="28"/>
          <w:szCs w:val="28"/>
          <w:highlight w:val="none"/>
        </w:rPr>
        <w:t>_________________</w:t>
      </w:r>
    </w:p>
    <w:p w14:paraId="1388D519">
      <w:pPr>
        <w:snapToGrid w:val="0"/>
        <w:spacing w:line="360" w:lineRule="auto"/>
        <w:rPr>
          <w:rFonts w:hint="eastAsia"/>
          <w:sz w:val="28"/>
          <w:szCs w:val="28"/>
          <w:highlight w:val="none"/>
        </w:rPr>
      </w:pPr>
      <w:r>
        <w:rPr>
          <w:rFonts w:hint="eastAsia"/>
          <w:sz w:val="28"/>
          <w:szCs w:val="28"/>
          <w:highlight w:val="none"/>
        </w:rPr>
        <w:t>乙方</w:t>
      </w:r>
      <w:r>
        <w:rPr>
          <w:rFonts w:hint="eastAsia"/>
          <w:sz w:val="28"/>
          <w:szCs w:val="28"/>
          <w:highlight w:val="none"/>
          <w:lang w:eastAsia="zh-CN"/>
        </w:rPr>
        <w:t>（</w:t>
      </w:r>
      <w:r>
        <w:rPr>
          <w:rFonts w:hint="eastAsia"/>
          <w:sz w:val="28"/>
          <w:szCs w:val="28"/>
          <w:highlight w:val="none"/>
          <w:lang w:val="en-US" w:eastAsia="zh-CN"/>
        </w:rPr>
        <w:t>联合体</w:t>
      </w:r>
      <w:r>
        <w:rPr>
          <w:rFonts w:hint="eastAsia"/>
          <w:sz w:val="28"/>
          <w:szCs w:val="28"/>
          <w:highlight w:val="none"/>
          <w:lang w:eastAsia="zh-CN"/>
        </w:rPr>
        <w:t>）</w:t>
      </w:r>
      <w:r>
        <w:rPr>
          <w:rFonts w:hint="eastAsia"/>
          <w:sz w:val="28"/>
          <w:szCs w:val="28"/>
          <w:highlight w:val="none"/>
        </w:rPr>
        <w:t>：</w:t>
      </w:r>
    </w:p>
    <w:p w14:paraId="431E2B64">
      <w:pPr>
        <w:snapToGrid w:val="0"/>
        <w:spacing w:line="360" w:lineRule="auto"/>
        <w:ind w:firstLine="0" w:firstLineChars="0"/>
        <w:rPr>
          <w:rFonts w:hint="eastAsia"/>
          <w:sz w:val="28"/>
          <w:szCs w:val="28"/>
          <w:highlight w:val="none"/>
          <w:u w:val="single"/>
        </w:rPr>
      </w:pPr>
      <w:r>
        <w:rPr>
          <w:rFonts w:hint="eastAsia"/>
          <w:sz w:val="28"/>
          <w:szCs w:val="28"/>
          <w:highlight w:val="none"/>
          <w:u w:val="none"/>
          <w:lang w:val="en-US" w:eastAsia="zh-CN"/>
        </w:rPr>
        <w:t>乙方成员一：</w:t>
      </w:r>
      <w:r>
        <w:rPr>
          <w:rFonts w:hint="eastAsia"/>
          <w:sz w:val="28"/>
          <w:szCs w:val="28"/>
          <w:highlight w:val="none"/>
          <w:u w:val="single"/>
          <w:lang w:val="en-US" w:eastAsia="zh-CN"/>
        </w:rPr>
        <w:t>【乙方1名称】（联合体成员）</w:t>
      </w:r>
    </w:p>
    <w:p w14:paraId="4D0257EE">
      <w:pPr>
        <w:snapToGrid w:val="0"/>
        <w:spacing w:line="360" w:lineRule="auto"/>
        <w:ind w:firstLine="0" w:firstLineChars="0"/>
        <w:rPr>
          <w:rFonts w:hint="eastAsia"/>
          <w:sz w:val="28"/>
          <w:szCs w:val="28"/>
          <w:highlight w:val="none"/>
          <w:u w:val="single"/>
        </w:rPr>
      </w:pPr>
      <w:r>
        <w:rPr>
          <w:rFonts w:asciiTheme="minorHAnsi" w:eastAsiaTheme="minorEastAsia" w:hint="eastAsia"/>
          <w:sz w:val="28"/>
          <w:szCs w:val="28"/>
          <w:highlight w:val="none"/>
          <w:u w:val="none"/>
          <w:lang w:val="en-US" w:eastAsia="zh-CN"/>
        </w:rPr>
        <w:t>乙方成员</w:t>
      </w:r>
      <w:r>
        <w:rPr>
          <w:rFonts w:hint="eastAsia"/>
          <w:sz w:val="28"/>
          <w:szCs w:val="28"/>
          <w:highlight w:val="none"/>
          <w:u w:val="none"/>
          <w:lang w:val="en-US" w:eastAsia="zh-CN"/>
        </w:rPr>
        <w:t>二</w:t>
      </w:r>
      <w:r>
        <w:rPr>
          <w:rFonts w:asciiTheme="minorHAnsi" w:eastAsiaTheme="minorEastAsia" w:hint="eastAsia"/>
          <w:sz w:val="28"/>
          <w:szCs w:val="28"/>
          <w:highlight w:val="none"/>
          <w:u w:val="none"/>
          <w:lang w:val="en-US" w:eastAsia="zh-CN"/>
        </w:rPr>
        <w:t>：</w:t>
      </w:r>
      <w:r>
        <w:rPr>
          <w:rFonts w:asciiTheme="minorHAnsi" w:eastAsiaTheme="minorEastAsia" w:hint="eastAsia"/>
          <w:sz w:val="28"/>
          <w:szCs w:val="28"/>
          <w:highlight w:val="none"/>
          <w:u w:val="single"/>
          <w:lang w:val="en-US" w:eastAsia="zh-CN"/>
        </w:rPr>
        <w:t>【</w:t>
      </w:r>
      <w:r>
        <w:rPr>
          <w:rFonts w:hint="eastAsia"/>
          <w:sz w:val="28"/>
          <w:szCs w:val="28"/>
          <w:highlight w:val="none"/>
          <w:u w:val="single"/>
          <w:lang w:val="en-US" w:eastAsia="zh-CN"/>
        </w:rPr>
        <w:t>乙方2名称</w:t>
      </w:r>
      <w:r>
        <w:rPr>
          <w:rFonts w:asciiTheme="minorHAnsi" w:eastAsiaTheme="minorEastAsia" w:hint="eastAsia"/>
          <w:sz w:val="28"/>
          <w:szCs w:val="28"/>
          <w:highlight w:val="none"/>
          <w:u w:val="single"/>
          <w:lang w:val="en-US" w:eastAsia="zh-CN"/>
        </w:rPr>
        <w:t>】（联合体成员）</w:t>
      </w:r>
    </w:p>
    <w:p w14:paraId="52E0F70C">
      <w:pPr>
        <w:snapToGrid w:val="0"/>
        <w:spacing w:line="360" w:lineRule="auto"/>
        <w:ind w:firstLine="0" w:firstLineChars="0"/>
        <w:rPr>
          <w:rFonts w:hint="eastAsia"/>
          <w:sz w:val="28"/>
          <w:szCs w:val="28"/>
          <w:highlight w:val="none"/>
          <w:u w:val="single"/>
        </w:rPr>
      </w:pPr>
      <w:r>
        <w:rPr>
          <w:rFonts w:asciiTheme="minorHAnsi" w:eastAsiaTheme="minorEastAsia" w:hint="eastAsia"/>
          <w:sz w:val="28"/>
          <w:szCs w:val="28"/>
          <w:highlight w:val="none"/>
          <w:u w:val="none"/>
          <w:lang w:val="en-US" w:eastAsia="zh-CN"/>
        </w:rPr>
        <w:t>乙方成员</w:t>
      </w:r>
      <w:r>
        <w:rPr>
          <w:rFonts w:hint="eastAsia"/>
          <w:sz w:val="28"/>
          <w:szCs w:val="28"/>
          <w:highlight w:val="none"/>
          <w:u w:val="none"/>
          <w:lang w:val="en-US" w:eastAsia="zh-CN"/>
        </w:rPr>
        <w:t>三</w:t>
      </w:r>
      <w:r>
        <w:rPr>
          <w:rFonts w:asciiTheme="minorHAnsi" w:eastAsiaTheme="minorEastAsia" w:hint="eastAsia"/>
          <w:sz w:val="28"/>
          <w:szCs w:val="28"/>
          <w:highlight w:val="none"/>
          <w:u w:val="none"/>
          <w:lang w:val="en-US" w:eastAsia="zh-CN"/>
        </w:rPr>
        <w:t>：</w:t>
      </w:r>
      <w:r>
        <w:rPr>
          <w:rFonts w:asciiTheme="minorHAnsi" w:eastAsiaTheme="minorEastAsia" w:hint="eastAsia"/>
          <w:sz w:val="28"/>
          <w:szCs w:val="28"/>
          <w:highlight w:val="none"/>
          <w:u w:val="single"/>
          <w:lang w:val="en-US" w:eastAsia="zh-CN"/>
        </w:rPr>
        <w:t>【</w:t>
      </w:r>
      <w:r>
        <w:rPr>
          <w:rFonts w:hint="eastAsia"/>
          <w:sz w:val="28"/>
          <w:szCs w:val="28"/>
          <w:highlight w:val="none"/>
          <w:u w:val="single"/>
          <w:lang w:val="en-US" w:eastAsia="zh-CN"/>
        </w:rPr>
        <w:t>乙方3名称</w:t>
      </w:r>
      <w:r>
        <w:rPr>
          <w:rFonts w:asciiTheme="minorHAnsi" w:eastAsiaTheme="minorEastAsia" w:hint="eastAsia"/>
          <w:sz w:val="28"/>
          <w:szCs w:val="28"/>
          <w:highlight w:val="none"/>
          <w:u w:val="single"/>
          <w:lang w:val="en-US" w:eastAsia="zh-CN"/>
        </w:rPr>
        <w:t>】（联合体成员）</w:t>
      </w:r>
    </w:p>
    <w:p w14:paraId="0D3851F2">
      <w:pPr>
        <w:snapToGrid w:val="0"/>
        <w:spacing w:line="360" w:lineRule="auto"/>
        <w:ind w:firstLine="0" w:firstLineChars="0"/>
        <w:rPr>
          <w:rFonts w:hint="eastAsia"/>
          <w:sz w:val="28"/>
          <w:szCs w:val="28"/>
          <w:highlight w:val="none"/>
        </w:rPr>
      </w:pPr>
    </w:p>
    <w:p w14:paraId="25C77B18">
      <w:pPr>
        <w:snapToGrid w:val="0"/>
        <w:spacing w:line="360" w:lineRule="auto"/>
        <w:rPr>
          <w:rFonts w:hint="eastAsia"/>
          <w:sz w:val="28"/>
          <w:szCs w:val="28"/>
          <w:highlight w:val="none"/>
        </w:rPr>
      </w:pPr>
    </w:p>
    <w:p w14:paraId="5D2DB94C">
      <w:pPr>
        <w:snapToGrid w:val="0"/>
        <w:spacing w:line="360" w:lineRule="auto"/>
        <w:rPr>
          <w:rFonts w:hint="eastAsia"/>
          <w:sz w:val="28"/>
          <w:szCs w:val="28"/>
          <w:highlight w:val="none"/>
        </w:rPr>
      </w:pPr>
    </w:p>
    <w:p w14:paraId="030DF242">
      <w:pPr>
        <w:snapToGrid w:val="0"/>
        <w:spacing w:line="360" w:lineRule="auto"/>
        <w:jc w:val="center"/>
        <w:outlineLvl w:val="2"/>
        <w:rPr>
          <w:rFonts w:ascii="宋体" w:hAnsi="宋体"/>
          <w:szCs w:val="21"/>
          <w:highlight w:val="none"/>
        </w:rPr>
      </w:pPr>
      <w:r>
        <w:rPr>
          <w:b/>
          <w:sz w:val="28"/>
          <w:szCs w:val="28"/>
          <w:highlight w:val="none"/>
        </w:rPr>
        <w:br w:type="page"/>
      </w:r>
    </w:p>
    <w:p w14:paraId="1D77FE8B">
      <w:pPr>
        <w:tabs>
          <w:tab w:val="left" w:pos="1573"/>
        </w:tabs>
        <w:snapToGrid w:val="0"/>
        <w:spacing w:line="360" w:lineRule="auto"/>
        <w:jc w:val="center"/>
        <w:rPr>
          <w:rFonts w:ascii="宋体" w:hAnsi="宋体"/>
          <w:szCs w:val="21"/>
          <w:highlight w:val="none"/>
        </w:rPr>
      </w:pPr>
      <w:r>
        <w:rPr>
          <w:rFonts w:ascii="宋体" w:hAnsi="宋体" w:hint="eastAsia"/>
          <w:b/>
          <w:sz w:val="28"/>
          <w:szCs w:val="28"/>
          <w:highlight w:val="none"/>
        </w:rPr>
        <w:t xml:space="preserve"> </w:t>
      </w:r>
    </w:p>
    <w:p w14:paraId="18849081">
      <w:pPr>
        <w:tabs>
          <w:tab w:val="left" w:pos="1573"/>
        </w:tabs>
        <w:adjustRightInd w:val="0"/>
        <w:snapToGrid w:val="0"/>
        <w:spacing w:line="360" w:lineRule="auto"/>
        <w:rPr>
          <w:rFonts w:ascii="宋体" w:hAnsi="宋体" w:hint="eastAsia"/>
          <w:szCs w:val="21"/>
          <w:highlight w:val="none"/>
        </w:rPr>
      </w:pPr>
      <w:r>
        <w:rPr>
          <w:rFonts w:ascii="宋体" w:hAnsi="宋体" w:hint="eastAsia"/>
          <w:szCs w:val="21"/>
          <w:highlight w:val="none"/>
        </w:rPr>
        <w:t xml:space="preserve">    </w:t>
      </w:r>
      <w:r>
        <w:rPr>
          <w:rFonts w:ascii="仿宋_GB2312" w:eastAsia="仿宋_GB2312" w:hint="eastAsia"/>
          <w:highlight w:val="none"/>
        </w:rPr>
        <w:t xml:space="preserve"> </w:t>
      </w:r>
      <w:r>
        <w:rPr>
          <w:rFonts w:ascii="宋体" w:hAnsi="宋体" w:hint="eastAsia"/>
          <w:szCs w:val="21"/>
          <w:highlight w:val="none"/>
        </w:rPr>
        <w:t>___</w:t>
      </w:r>
      <w:r>
        <w:rPr>
          <w:rFonts w:ascii="宋体" w:hAnsi="宋体" w:hint="eastAsia"/>
          <w:szCs w:val="21"/>
          <w:highlight w:val="none"/>
          <w:u w:val="single"/>
        </w:rPr>
        <w:t>国家</w:t>
      </w:r>
      <w:r>
        <w:rPr>
          <w:rFonts w:ascii="宋体" w:hAnsi="宋体"/>
          <w:szCs w:val="21"/>
          <w:highlight w:val="none"/>
          <w:u w:val="single"/>
        </w:rPr>
        <w:t>气象信息中心</w:t>
      </w:r>
      <w:r>
        <w:rPr>
          <w:rFonts w:ascii="宋体" w:hAnsi="宋体" w:hint="eastAsia"/>
          <w:szCs w:val="21"/>
          <w:highlight w:val="none"/>
        </w:rPr>
        <w:t>____(以下简称“甲方”)在本项目中所需货物和服务由</w:t>
      </w:r>
      <w:r>
        <w:rPr>
          <w:rFonts w:ascii="宋体" w:hAnsi="宋体" w:hint="eastAsia"/>
          <w:szCs w:val="21"/>
          <w:highlight w:val="none"/>
          <w:u w:val="single"/>
        </w:rPr>
        <w:t>中国气象局政府采购中心</w:t>
      </w:r>
      <w:r>
        <w:rPr>
          <w:rFonts w:ascii="宋体" w:hAnsi="宋体" w:hint="eastAsia"/>
          <w:szCs w:val="21"/>
          <w:highlight w:val="none"/>
        </w:rPr>
        <w:t>在境内进行</w:t>
      </w:r>
      <w:r>
        <w:rPr>
          <w:rFonts w:ascii="宋体" w:hAnsi="宋体" w:eastAsiaTheme="minorEastAsia" w:cstheme="minorBidi" w:hint="eastAsia"/>
          <w:szCs w:val="21"/>
          <w:highlight w:val="green"/>
          <w:lang w:val="en-US" w:eastAsia="zh-CN"/>
        </w:rPr>
        <w:t>竞争性谈判</w:t>
      </w:r>
      <w:r>
        <w:rPr>
          <w:rFonts w:ascii="宋体" w:hAnsi="宋体" w:hint="eastAsia"/>
          <w:szCs w:val="21"/>
          <w:highlight w:val="none"/>
        </w:rPr>
        <w:t>，经评审委员会评定，确定</w:t>
      </w:r>
      <w:r>
        <w:rPr>
          <w:rFonts w:ascii="宋体" w:hAnsi="宋体" w:hint="eastAsia"/>
          <w:szCs w:val="21"/>
          <w:highlight w:val="none"/>
          <w:lang w:eastAsia="zh-CN"/>
        </w:rPr>
        <w:t>【】（</w:t>
      </w:r>
      <w:r>
        <w:rPr>
          <w:rFonts w:ascii="宋体" w:hAnsi="宋体" w:hint="eastAsia"/>
          <w:szCs w:val="21"/>
          <w:highlight w:val="none"/>
          <w:lang w:val="en-US" w:eastAsia="zh-CN"/>
        </w:rPr>
        <w:t>以下简称“乙方1”</w:t>
      </w:r>
      <w:r>
        <w:rPr>
          <w:rFonts w:ascii="宋体" w:hAnsi="宋体" w:hint="eastAsia"/>
          <w:szCs w:val="21"/>
          <w:highlight w:val="none"/>
          <w:lang w:eastAsia="zh-CN"/>
        </w:rPr>
        <w:t>）</w:t>
      </w:r>
      <w:r>
        <w:rPr>
          <w:rFonts w:ascii="宋体" w:hAnsi="宋体" w:hint="eastAsia"/>
          <w:szCs w:val="21"/>
          <w:highlight w:val="none"/>
          <w:u w:val="none"/>
          <w:lang w:val="en-US" w:eastAsia="zh-CN"/>
        </w:rPr>
        <w:t>、【】（以下简称“乙方2”）、 【】（以下简称“乙方3”）等</w:t>
      </w:r>
      <w:r>
        <w:rPr>
          <w:rFonts w:ascii="宋体" w:hAnsi="宋体" w:hint="eastAsia"/>
          <w:szCs w:val="21"/>
          <w:highlight w:val="none"/>
          <w:lang w:val="en-US" w:eastAsia="zh-CN"/>
        </w:rPr>
        <w:t>XX</w:t>
      </w:r>
      <w:r>
        <w:rPr>
          <w:rFonts w:ascii="宋体" w:hAnsi="宋体" w:hint="eastAsia"/>
          <w:szCs w:val="21"/>
          <w:highlight w:val="none"/>
        </w:rPr>
        <w:t>家单位组成的联合体</w:t>
      </w:r>
      <w:r>
        <w:rPr>
          <w:rFonts w:ascii="宋体" w:hAnsi="宋体" w:hint="eastAsia"/>
          <w:szCs w:val="21"/>
          <w:highlight w:val="none"/>
          <w:lang w:eastAsia="zh-CN"/>
        </w:rPr>
        <w:t>（</w:t>
      </w:r>
      <w:r>
        <w:rPr>
          <w:rFonts w:ascii="宋体" w:hAnsi="宋体" w:hint="eastAsia"/>
          <w:szCs w:val="21"/>
          <w:highlight w:val="none"/>
          <w:lang w:val="en-US" w:eastAsia="zh-CN"/>
        </w:rPr>
        <w:t>以下简称“乙方”</w:t>
      </w:r>
      <w:r>
        <w:rPr>
          <w:rFonts w:ascii="宋体" w:hAnsi="宋体" w:hint="eastAsia"/>
          <w:szCs w:val="21"/>
          <w:highlight w:val="none"/>
          <w:lang w:eastAsia="zh-CN"/>
        </w:rPr>
        <w:t>）</w:t>
      </w:r>
      <w:r>
        <w:rPr>
          <w:rFonts w:ascii="宋体" w:hAnsi="宋体" w:hint="eastAsia"/>
          <w:szCs w:val="21"/>
          <w:highlight w:val="none"/>
        </w:rPr>
        <w:t>为本项目中标人。</w:t>
      </w:r>
    </w:p>
    <w:p w14:paraId="09603742">
      <w:pPr>
        <w:tabs>
          <w:tab w:val="left" w:pos="1573"/>
        </w:tabs>
        <w:adjustRightInd w:val="0"/>
        <w:snapToGrid w:val="0"/>
        <w:spacing w:line="360" w:lineRule="auto"/>
        <w:ind w:firstLine="420" w:firstLineChars="200"/>
        <w:rPr>
          <w:rFonts w:ascii="宋体" w:hAnsi="宋体" w:hint="eastAsia"/>
          <w:szCs w:val="21"/>
          <w:highlight w:val="none"/>
        </w:rPr>
      </w:pPr>
      <w:r>
        <w:rPr>
          <w:rFonts w:ascii="宋体" w:hAnsi="宋体" w:hint="eastAsia"/>
          <w:szCs w:val="21"/>
          <w:highlight w:val="none"/>
        </w:rPr>
        <w:t>以上乙方</w:t>
      </w:r>
      <w:r>
        <w:rPr>
          <w:rFonts w:ascii="宋体" w:hAnsi="宋体" w:hint="eastAsia"/>
          <w:szCs w:val="21"/>
          <w:highlight w:val="none"/>
          <w:lang w:val="en-US" w:eastAsia="zh-CN"/>
        </w:rPr>
        <w:t>1</w:t>
      </w:r>
      <w:r>
        <w:rPr>
          <w:rFonts w:ascii="宋体" w:hAnsi="宋体" w:hint="eastAsia"/>
          <w:szCs w:val="21"/>
          <w:highlight w:val="none"/>
        </w:rPr>
        <w:t>、乙方</w:t>
      </w:r>
      <w:r>
        <w:rPr>
          <w:rFonts w:ascii="宋体" w:hAnsi="宋体" w:hint="eastAsia"/>
          <w:szCs w:val="21"/>
          <w:highlight w:val="none"/>
          <w:lang w:val="en-US" w:eastAsia="zh-CN"/>
        </w:rPr>
        <w:t>2</w:t>
      </w:r>
      <w:r>
        <w:rPr>
          <w:rFonts w:ascii="宋体" w:hAnsi="宋体" w:hint="eastAsia"/>
          <w:szCs w:val="21"/>
          <w:highlight w:val="none"/>
          <w:lang w:eastAsia="zh-CN"/>
        </w:rPr>
        <w:t>、</w:t>
      </w:r>
      <w:r>
        <w:rPr>
          <w:rFonts w:ascii="宋体" w:hAnsi="宋体" w:hint="eastAsia"/>
          <w:szCs w:val="21"/>
          <w:highlight w:val="none"/>
          <w:lang w:val="en-US" w:eastAsia="zh-CN"/>
        </w:rPr>
        <w:t>乙方3</w:t>
      </w:r>
      <w:r>
        <w:rPr>
          <w:rFonts w:ascii="宋体" w:hAnsi="宋体" w:hint="eastAsia"/>
          <w:szCs w:val="21"/>
          <w:highlight w:val="none"/>
        </w:rPr>
        <w:t>单独称"各成员"，合称"乙方"或"联合体"</w:t>
      </w:r>
      <w:r>
        <w:rPr>
          <w:rFonts w:ascii="宋体" w:hAnsi="宋体" w:hint="eastAsia"/>
          <w:szCs w:val="21"/>
          <w:highlight w:val="none"/>
          <w:lang w:eastAsia="zh-CN"/>
        </w:rPr>
        <w:t>。</w:t>
      </w:r>
    </w:p>
    <w:p w14:paraId="6FA0EF5A">
      <w:pPr>
        <w:tabs>
          <w:tab w:val="left" w:pos="1573"/>
        </w:tabs>
        <w:adjustRightInd w:val="0"/>
        <w:snapToGrid w:val="0"/>
        <w:spacing w:line="360" w:lineRule="auto"/>
        <w:ind w:firstLine="420" w:firstLineChars="200"/>
        <w:rPr>
          <w:rFonts w:ascii="宋体" w:hAnsi="宋体" w:hint="eastAsia"/>
          <w:szCs w:val="21"/>
          <w:highlight w:val="none"/>
        </w:rPr>
      </w:pPr>
      <w:r>
        <w:rPr>
          <w:rFonts w:ascii="宋体" w:hAnsi="宋体" w:hint="eastAsia"/>
          <w:szCs w:val="21"/>
          <w:highlight w:val="none"/>
          <w:lang w:eastAsia="zh-CN"/>
        </w:rPr>
        <w:t>乙方各成员已于【】年【】月【】日签订《联合体协议》（见本合同附件</w:t>
      </w:r>
      <w:r>
        <w:rPr>
          <w:rFonts w:ascii="宋体" w:hAnsi="宋体" w:hint="eastAsia"/>
          <w:szCs w:val="21"/>
          <w:highlight w:val="none"/>
          <w:lang w:val="en-US" w:eastAsia="zh-CN"/>
        </w:rPr>
        <w:t>2</w:t>
      </w:r>
      <w:r>
        <w:rPr>
          <w:rFonts w:ascii="宋体" w:hAnsi="宋体" w:hint="eastAsia"/>
          <w:szCs w:val="21"/>
          <w:highlight w:val="none"/>
          <w:lang w:eastAsia="zh-CN"/>
        </w:rPr>
        <w:t>），明确了各成员</w:t>
      </w:r>
      <w:r>
        <w:rPr>
          <w:rFonts w:ascii="宋体" w:hAnsi="宋体" w:hint="eastAsia"/>
          <w:szCs w:val="21"/>
          <w:highlight w:val="none"/>
          <w:lang w:val="en-US" w:eastAsia="zh-CN"/>
        </w:rPr>
        <w:t>承担的工作和义务</w:t>
      </w:r>
      <w:r>
        <w:rPr>
          <w:rFonts w:ascii="宋体" w:hAnsi="宋体" w:hint="eastAsia"/>
          <w:szCs w:val="21"/>
          <w:highlight w:val="none"/>
          <w:lang w:eastAsia="zh-CN"/>
        </w:rPr>
        <w:t>。乙方各成员同意遵守本合同约定，就本合同的履行共同向甲方承担连带责任。</w:t>
      </w:r>
    </w:p>
    <w:p w14:paraId="224E307C">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甲乙双方</w:t>
      </w:r>
      <w:r>
        <w:rPr>
          <w:rFonts w:hint="eastAsia"/>
          <w:szCs w:val="21"/>
          <w:highlight w:val="none"/>
        </w:rPr>
        <w:t>根据《中华人民共和国民法典》、《中华人民共和国政府采购法》、和《中华人民共和国招标投标法》等相关法律法规以及本项目招标文件的规定，经平等协商，</w:t>
      </w:r>
      <w:r>
        <w:rPr>
          <w:rFonts w:ascii="宋体" w:hAnsi="宋体" w:hint="eastAsia"/>
          <w:szCs w:val="21"/>
          <w:highlight w:val="none"/>
        </w:rPr>
        <w:t>同意按下述条款和条件签署________________________ 采购合同(以下简称“合同”)。</w:t>
      </w:r>
    </w:p>
    <w:p w14:paraId="7C24012D">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一、定义</w:t>
      </w:r>
    </w:p>
    <w:p w14:paraId="26EB55D3">
      <w:pPr>
        <w:pStyle w:val="20"/>
        <w:adjustRightInd w:val="0"/>
        <w:snapToGrid w:val="0"/>
        <w:spacing w:before="0" w:after="0"/>
        <w:ind w:left="200" w:firstLine="200" w:leftChars="95" w:firstLineChars="95"/>
        <w:rPr>
          <w:rFonts w:ascii="宋体" w:hAnsi="宋体"/>
          <w:sz w:val="21"/>
          <w:szCs w:val="21"/>
          <w:highlight w:val="none"/>
        </w:rPr>
      </w:pPr>
      <w:r>
        <w:rPr>
          <w:rFonts w:ascii="宋体" w:hAnsi="宋体" w:hint="eastAsia"/>
          <w:sz w:val="21"/>
          <w:szCs w:val="21"/>
          <w:highlight w:val="none"/>
        </w:rPr>
        <w:t>本合同下列术语应解释为：</w:t>
      </w:r>
    </w:p>
    <w:p w14:paraId="467533B4">
      <w:pPr>
        <w:adjustRightInd w:val="0"/>
        <w:snapToGrid w:val="0"/>
        <w:spacing w:line="360" w:lineRule="auto"/>
        <w:ind w:firstLine="420" w:firstLineChars="200"/>
        <w:rPr>
          <w:rFonts w:ascii="宋体" w:hAnsi="宋体"/>
          <w:szCs w:val="21"/>
          <w:highlight w:val="none"/>
        </w:rPr>
      </w:pPr>
      <w:r>
        <w:rPr>
          <w:rFonts w:ascii="宋体" w:hAnsi="宋体" w:hint="eastAsia"/>
          <w:kern w:val="0"/>
          <w:szCs w:val="21"/>
          <w:highlight w:val="none"/>
          <w:lang w:val="zh-CN"/>
        </w:rPr>
        <w:t>1、</w:t>
      </w:r>
      <w:r>
        <w:rPr>
          <w:rFonts w:ascii="宋体" w:hAnsi="宋体" w:hint="eastAsia"/>
          <w:kern w:val="0"/>
          <w:szCs w:val="21"/>
          <w:highlight w:val="none"/>
        </w:rPr>
        <w:t>“</w:t>
      </w:r>
      <w:r>
        <w:rPr>
          <w:rFonts w:ascii="宋体" w:hAnsi="宋体" w:hint="eastAsia"/>
          <w:szCs w:val="21"/>
          <w:highlight w:val="none"/>
        </w:rPr>
        <w:t>合同”系指甲乙双方签署的、合同格式中载明的甲乙双方所达成的协议，包括所有的附件、附录和上述文件所提到的构成合同的所有文件。</w:t>
      </w:r>
    </w:p>
    <w:p w14:paraId="2C817FDE">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2、“合同价”系指根据合同规定乙方在正确地完全履行合同义务后甲方应支付给乙方的价格。</w:t>
      </w:r>
    </w:p>
    <w:p w14:paraId="061E1451">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3</w:t>
      </w:r>
      <w:r>
        <w:rPr>
          <w:rFonts w:ascii="宋体" w:hAnsi="宋体" w:hint="eastAsia"/>
          <w:szCs w:val="21"/>
          <w:highlight w:val="none"/>
        </w:rPr>
        <w:t>、“合同条款”是指本合同条款。</w:t>
      </w:r>
    </w:p>
    <w:p w14:paraId="077A848B">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4</w:t>
      </w:r>
      <w:r>
        <w:rPr>
          <w:rFonts w:ascii="宋体" w:hAnsi="宋体" w:hint="eastAsia"/>
          <w:szCs w:val="21"/>
          <w:highlight w:val="none"/>
        </w:rPr>
        <w:t>、“服务”系指如数据分析等技术文件中所描述的活动。服务亦包括技术文件中特别描述的其它形式的服务。</w:t>
      </w:r>
    </w:p>
    <w:p w14:paraId="5B5199F5">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5</w:t>
      </w:r>
      <w:r>
        <w:rPr>
          <w:rFonts w:ascii="宋体" w:hAnsi="宋体" w:hint="eastAsia"/>
          <w:szCs w:val="21"/>
          <w:highlight w:val="none"/>
        </w:rPr>
        <w:t>、“资料”系指依据合同规定，由乙方提供数据、报告、图表等资料。</w:t>
      </w:r>
    </w:p>
    <w:p w14:paraId="32B1A6F3">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6</w:t>
      </w:r>
      <w:r>
        <w:rPr>
          <w:rFonts w:ascii="宋体" w:hAnsi="宋体" w:hint="eastAsia"/>
          <w:szCs w:val="21"/>
          <w:highlight w:val="none"/>
        </w:rPr>
        <w:t>、“天”指日历天数。</w:t>
      </w:r>
    </w:p>
    <w:p w14:paraId="1C6A5D9E">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7</w:t>
      </w:r>
      <w:r>
        <w:rPr>
          <w:rFonts w:ascii="宋体" w:hAnsi="宋体" w:hint="eastAsia"/>
          <w:szCs w:val="21"/>
          <w:highlight w:val="none"/>
        </w:rPr>
        <w:t>、“附件”是指与本合同的订立、履行有关的，经甲乙双方认可的，对本合同约定的内容进行细化、补充、修改、变更的文件、图纸、音像制品等资料。</w:t>
      </w:r>
    </w:p>
    <w:p w14:paraId="02221057">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8</w:t>
      </w:r>
      <w:r>
        <w:rPr>
          <w:rFonts w:ascii="宋体" w:hAnsi="宋体" w:hint="eastAsia"/>
          <w:szCs w:val="21"/>
          <w:highlight w:val="none"/>
        </w:rPr>
        <w:t>、“第三人”是指本合同双方以外的任何中国境内、外的自然人、法人或其他经济组织。</w:t>
      </w:r>
    </w:p>
    <w:p w14:paraId="4DE994C5">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9</w:t>
      </w:r>
      <w:r>
        <w:rPr>
          <w:rFonts w:ascii="宋体" w:hAnsi="宋体" w:hint="eastAsia"/>
          <w:szCs w:val="21"/>
          <w:highlight w:val="none"/>
        </w:rPr>
        <w:t>、“法律、法规”是指由中国有关部门制定的法律、行政法规、地方性法规、规章及其他规范性文件以及经全国人民代表大会常务委员会批准的中国缔结、参加的国际条（公）约的有关规定。</w:t>
      </w:r>
    </w:p>
    <w:p w14:paraId="3D5E7462">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w:t>
      </w:r>
      <w:r>
        <w:rPr>
          <w:rFonts w:ascii="宋体" w:hAnsi="宋体"/>
          <w:szCs w:val="21"/>
          <w:highlight w:val="none"/>
        </w:rPr>
        <w:t>0</w:t>
      </w:r>
      <w:r>
        <w:rPr>
          <w:rFonts w:ascii="宋体" w:hAnsi="宋体" w:hint="eastAsia"/>
          <w:szCs w:val="21"/>
          <w:highlight w:val="none"/>
        </w:rPr>
        <w:t>、“合同标的”甲方同意从乙方购买，乙方同意向甲方出售合同货物清单（同投标文件中供货清单）中所列未曾销售并未曾使用过的、 未曾返修过且新下线的、崭新的、正品合格品货物及相关服务。</w:t>
      </w:r>
    </w:p>
    <w:p w14:paraId="1C79E837">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w:t>
      </w:r>
      <w:r>
        <w:rPr>
          <w:rFonts w:ascii="宋体" w:hAnsi="宋体"/>
          <w:szCs w:val="21"/>
          <w:highlight w:val="none"/>
        </w:rPr>
        <w:t>1</w:t>
      </w:r>
      <w:r>
        <w:rPr>
          <w:rFonts w:ascii="宋体" w:hAnsi="宋体" w:hint="eastAsia"/>
          <w:szCs w:val="21"/>
          <w:highlight w:val="none"/>
        </w:rPr>
        <w:t>、“招标文件”指采购机构发布的本项目招标文件。</w:t>
      </w:r>
    </w:p>
    <w:p w14:paraId="2D963975">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12</w:t>
      </w:r>
      <w:r>
        <w:rPr>
          <w:rFonts w:ascii="宋体" w:hAnsi="宋体" w:hint="eastAsia"/>
          <w:szCs w:val="21"/>
          <w:highlight w:val="none"/>
        </w:rPr>
        <w:t>、“投标文件”指乙方按照采购机构发布的本项目招标文件的要求编制和投递，并最终被采购机构接受的投标文件。</w:t>
      </w:r>
    </w:p>
    <w:p w14:paraId="32618291">
      <w:pPr>
        <w:tabs>
          <w:tab w:val="left" w:pos="1573"/>
        </w:tabs>
        <w:adjustRightInd w:val="0"/>
        <w:snapToGrid w:val="0"/>
        <w:spacing w:line="360" w:lineRule="auto"/>
        <w:ind w:firstLine="420" w:firstLineChars="200"/>
        <w:rPr>
          <w:rFonts w:ascii="宋体" w:hAnsi="宋体" w:hint="eastAsia"/>
          <w:szCs w:val="21"/>
          <w:highlight w:val="none"/>
        </w:rPr>
      </w:pPr>
      <w:r>
        <w:rPr>
          <w:rFonts w:ascii="宋体" w:hAnsi="宋体" w:hint="eastAsia"/>
          <w:szCs w:val="21"/>
          <w:highlight w:val="none"/>
        </w:rPr>
        <w:t>13、</w:t>
      </w:r>
      <w:bookmarkStart w:id="249" w:name="OLE_LINK26"/>
      <w:bookmarkStart w:id="250" w:name="OLE_LINK25"/>
      <w:r>
        <w:rPr>
          <w:rFonts w:ascii="宋体" w:hAnsi="宋体" w:hint="eastAsia"/>
          <w:szCs w:val="21"/>
          <w:highlight w:val="none"/>
        </w:rPr>
        <w:t>“履约保函”指由银行向甲方开具的履约保函，有效期截止时间不得早于合同最终验收时间。</w:t>
      </w:r>
      <w:bookmarkEnd w:id="249"/>
      <w:bookmarkEnd w:id="250"/>
    </w:p>
    <w:p w14:paraId="6641F046">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14、“预付款保函”指由银行向甲方开具的预付款保函，有效期截止时间不得早于合同最终验收时间。</w:t>
      </w:r>
    </w:p>
    <w:p w14:paraId="2BD46EEC">
      <w:pPr>
        <w:pStyle w:val="NormalIndent"/>
        <w:adjustRightInd w:val="0"/>
        <w:snapToGrid w:val="0"/>
        <w:spacing w:line="360" w:lineRule="auto"/>
        <w:outlineLvl w:val="0"/>
        <w:rPr>
          <w:rFonts w:ascii="宋体" w:hAnsi="宋体"/>
          <w:b/>
          <w:szCs w:val="21"/>
          <w:highlight w:val="none"/>
          <w:lang w:val="en-US"/>
        </w:rPr>
      </w:pPr>
      <w:r>
        <w:rPr>
          <w:rFonts w:ascii="宋体" w:hAnsi="宋体" w:hint="eastAsia"/>
          <w:b/>
          <w:szCs w:val="21"/>
          <w:highlight w:val="none"/>
        </w:rPr>
        <w:t>二、合同文件</w:t>
      </w:r>
    </w:p>
    <w:p w14:paraId="5D18D128">
      <w:pPr>
        <w:snapToGrid w:val="0"/>
        <w:spacing w:line="360" w:lineRule="auto"/>
        <w:ind w:firstLine="420" w:firstLineChars="200"/>
        <w:rPr>
          <w:rFonts w:ascii="宋体" w:hAnsi="宋体"/>
          <w:szCs w:val="21"/>
          <w:highlight w:val="none"/>
        </w:rPr>
      </w:pPr>
      <w:r>
        <w:rPr>
          <w:rFonts w:ascii="宋体" w:hAnsi="宋体" w:hint="eastAsia"/>
          <w:szCs w:val="21"/>
          <w:highlight w:val="none"/>
        </w:rPr>
        <w:t>本合同所附下列文件是构成本合同不可分割的部分：</w:t>
      </w:r>
    </w:p>
    <w:p w14:paraId="70534ADF">
      <w:pPr>
        <w:snapToGrid w:val="0"/>
        <w:spacing w:line="360" w:lineRule="auto"/>
        <w:ind w:firstLine="315" w:firstLineChars="150"/>
        <w:rPr>
          <w:rFonts w:ascii="宋体" w:hAnsi="宋体"/>
          <w:szCs w:val="21"/>
          <w:highlight w:val="none"/>
        </w:rPr>
      </w:pPr>
      <w:r>
        <w:rPr>
          <w:rFonts w:ascii="宋体" w:hAnsi="宋体" w:hint="eastAsia"/>
          <w:szCs w:val="21"/>
          <w:highlight w:val="none"/>
        </w:rPr>
        <w:t>（一）本项目招标文件、中标人的投标文件；</w:t>
      </w:r>
    </w:p>
    <w:p w14:paraId="43914F83">
      <w:pPr>
        <w:snapToGrid w:val="0"/>
        <w:spacing w:line="360" w:lineRule="auto"/>
        <w:ind w:firstLine="315" w:firstLineChars="150"/>
        <w:rPr>
          <w:rFonts w:ascii="宋体" w:hAnsi="宋体"/>
          <w:szCs w:val="21"/>
          <w:highlight w:val="none"/>
        </w:rPr>
      </w:pPr>
      <w:r>
        <w:rPr>
          <w:rFonts w:ascii="宋体" w:hAnsi="宋体" w:hint="eastAsia"/>
          <w:szCs w:val="21"/>
          <w:highlight w:val="none"/>
        </w:rPr>
        <w:t>（二）投标人提交的投标函格式</w:t>
      </w:r>
    </w:p>
    <w:p w14:paraId="398FD4B2">
      <w:pPr>
        <w:snapToGrid w:val="0"/>
        <w:spacing w:line="360" w:lineRule="auto"/>
        <w:ind w:firstLine="315" w:firstLineChars="150"/>
        <w:rPr>
          <w:rFonts w:ascii="宋体" w:hAnsi="宋体"/>
          <w:szCs w:val="21"/>
          <w:highlight w:val="none"/>
        </w:rPr>
      </w:pPr>
      <w:r>
        <w:rPr>
          <w:rFonts w:ascii="宋体" w:hAnsi="宋体" w:hint="eastAsia"/>
          <w:szCs w:val="21"/>
          <w:highlight w:val="none"/>
        </w:rPr>
        <w:t>（三）服务产品质量及报价表</w:t>
      </w:r>
    </w:p>
    <w:p w14:paraId="2F797EBD">
      <w:pPr>
        <w:snapToGrid w:val="0"/>
        <w:spacing w:line="360" w:lineRule="auto"/>
        <w:ind w:firstLine="315" w:firstLineChars="150"/>
        <w:rPr>
          <w:rFonts w:ascii="宋体" w:hAnsi="宋体"/>
          <w:szCs w:val="21"/>
          <w:highlight w:val="none"/>
        </w:rPr>
      </w:pPr>
      <w:r>
        <w:rPr>
          <w:rFonts w:ascii="宋体" w:hAnsi="宋体" w:hint="eastAsia"/>
          <w:szCs w:val="21"/>
          <w:highlight w:val="none"/>
        </w:rPr>
        <w:t>（四）项目实施方案</w:t>
      </w:r>
    </w:p>
    <w:p w14:paraId="34E0711D">
      <w:pPr>
        <w:snapToGrid w:val="0"/>
        <w:spacing w:line="360" w:lineRule="auto"/>
        <w:ind w:firstLine="315" w:firstLineChars="150"/>
        <w:rPr>
          <w:rFonts w:ascii="宋体" w:hAnsi="宋体"/>
          <w:szCs w:val="21"/>
          <w:highlight w:val="none"/>
        </w:rPr>
      </w:pPr>
      <w:r>
        <w:rPr>
          <w:rFonts w:ascii="宋体" w:hAnsi="宋体" w:hint="eastAsia"/>
          <w:szCs w:val="21"/>
          <w:highlight w:val="none"/>
        </w:rPr>
        <w:t>（五）验收办法</w:t>
      </w:r>
    </w:p>
    <w:p w14:paraId="6F8658B7">
      <w:pPr>
        <w:snapToGrid w:val="0"/>
        <w:spacing w:line="360" w:lineRule="auto"/>
        <w:ind w:firstLine="315" w:firstLineChars="150"/>
        <w:rPr>
          <w:rFonts w:ascii="宋体" w:hAnsi="宋体"/>
          <w:szCs w:val="21"/>
          <w:highlight w:val="none"/>
        </w:rPr>
      </w:pPr>
      <w:r>
        <w:rPr>
          <w:rFonts w:ascii="宋体" w:hAnsi="宋体" w:hint="eastAsia"/>
          <w:szCs w:val="21"/>
          <w:highlight w:val="none"/>
        </w:rPr>
        <w:t>（六）中标通知书</w:t>
      </w:r>
    </w:p>
    <w:p w14:paraId="5DE406EB">
      <w:pPr>
        <w:snapToGrid w:val="0"/>
        <w:spacing w:line="360" w:lineRule="auto"/>
        <w:ind w:firstLine="315" w:firstLineChars="150"/>
        <w:rPr>
          <w:rFonts w:ascii="宋体" w:hAnsi="宋体"/>
          <w:szCs w:val="21"/>
          <w:highlight w:val="none"/>
        </w:rPr>
      </w:pPr>
      <w:r>
        <w:rPr>
          <w:rFonts w:ascii="宋体" w:hAnsi="宋体" w:hint="eastAsia"/>
          <w:szCs w:val="21"/>
          <w:highlight w:val="none"/>
        </w:rPr>
        <w:t>（七）服务产品提供方式</w:t>
      </w:r>
    </w:p>
    <w:p w14:paraId="1FE349DC">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三、合同范围和条件</w:t>
      </w:r>
    </w:p>
    <w:p w14:paraId="6A181C0C">
      <w:pPr>
        <w:snapToGrid w:val="0"/>
        <w:spacing w:line="360" w:lineRule="auto"/>
        <w:ind w:firstLine="420" w:firstLineChars="200"/>
        <w:rPr>
          <w:rFonts w:ascii="宋体" w:hAnsi="宋体" w:hint="eastAsia"/>
          <w:szCs w:val="21"/>
          <w:highlight w:val="none"/>
        </w:rPr>
      </w:pPr>
      <w:r>
        <w:rPr>
          <w:rFonts w:ascii="宋体" w:hAnsi="宋体" w:hint="eastAsia"/>
          <w:szCs w:val="21"/>
          <w:highlight w:val="none"/>
        </w:rPr>
        <w:t>本合同的范围和条件应与上述合同文件的规定相一致。</w:t>
      </w:r>
      <w:r>
        <w:rPr>
          <w:rFonts w:ascii="宋体" w:hAnsi="宋体" w:hint="eastAsia"/>
          <w:szCs w:val="21"/>
          <w:highlight w:val="none"/>
          <w:lang w:val="en-US" w:eastAsia="zh-CN"/>
        </w:rPr>
        <w:t>其中联合体服务范围如下：</w:t>
      </w:r>
    </w:p>
    <w:p w14:paraId="7B8D462D">
      <w:pPr>
        <w:numPr>
          <w:ilvl w:val="0"/>
          <w:numId w:val="34"/>
        </w:numPr>
        <w:snapToGrid w:val="0"/>
        <w:spacing w:line="360" w:lineRule="auto"/>
        <w:ind w:firstLine="420" w:firstLineChars="200"/>
        <w:rPr>
          <w:rFonts w:ascii="宋体" w:hAnsi="宋体" w:hint="default"/>
          <w:szCs w:val="21"/>
          <w:highlight w:val="none"/>
        </w:rPr>
      </w:pP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负责</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，以及甲方安排的其他相关工作；</w:t>
      </w:r>
    </w:p>
    <w:p w14:paraId="00281FB8">
      <w:pPr>
        <w:numPr>
          <w:ilvl w:val="0"/>
          <w:numId w:val="34"/>
        </w:numPr>
        <w:snapToGrid w:val="0"/>
        <w:spacing w:line="360" w:lineRule="auto"/>
        <w:ind w:firstLine="420" w:firstLineChars="200"/>
        <w:rPr>
          <w:rFonts w:ascii="宋体" w:hAnsi="宋体" w:hint="default"/>
          <w:szCs w:val="21"/>
          <w:highlight w:val="none"/>
        </w:rPr>
      </w:pP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负责</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，以及甲方安排的其他相关工作；</w:t>
      </w:r>
    </w:p>
    <w:p w14:paraId="0B5ABDFD">
      <w:pPr>
        <w:numPr>
          <w:ilvl w:val="0"/>
          <w:numId w:val="34"/>
        </w:numPr>
        <w:snapToGrid w:val="0"/>
        <w:spacing w:line="360" w:lineRule="auto"/>
        <w:ind w:firstLine="420" w:firstLineChars="200"/>
        <w:rPr>
          <w:rFonts w:ascii="宋体" w:hAnsi="宋体" w:hint="default"/>
          <w:szCs w:val="21"/>
          <w:highlight w:val="none"/>
        </w:rPr>
      </w:pP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负责</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，以及甲方安排的其他相关工作。</w:t>
      </w:r>
    </w:p>
    <w:p w14:paraId="5B6934FF">
      <w:pPr>
        <w:numPr>
          <w:ilvl w:val="0"/>
          <w:numId w:val="0"/>
        </w:numPr>
        <w:snapToGrid w:val="0"/>
        <w:spacing w:line="360" w:lineRule="auto"/>
        <w:rPr>
          <w:rFonts w:ascii="宋体" w:hAnsi="宋体" w:hint="default"/>
          <w:szCs w:val="21"/>
          <w:highlight w:val="none"/>
        </w:rPr>
      </w:pPr>
      <w:r>
        <w:rPr>
          <w:rFonts w:ascii="宋体" w:hAnsi="宋体" w:hint="eastAsia"/>
          <w:szCs w:val="21"/>
          <w:highlight w:val="none"/>
          <w:lang w:val="en-US" w:eastAsia="zh-CN"/>
        </w:rPr>
        <w:t xml:space="preserve">    双方联合体协议见附件2。</w:t>
      </w:r>
    </w:p>
    <w:p w14:paraId="4053DCF9">
      <w:pPr>
        <w:snapToGrid w:val="0"/>
        <w:spacing w:line="360" w:lineRule="auto"/>
        <w:ind w:firstLine="420" w:firstLineChars="200"/>
        <w:rPr>
          <w:rFonts w:ascii="宋体" w:hAnsi="宋体" w:hint="eastAsia"/>
          <w:szCs w:val="21"/>
          <w:highlight w:val="none"/>
        </w:rPr>
      </w:pPr>
    </w:p>
    <w:p w14:paraId="3DDB04CA">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27DEAC64">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6DC3ECDD">
            <w:pPr>
              <w:tabs>
                <w:tab w:val="left" w:pos="1573"/>
              </w:tabs>
              <w:autoSpaceDE w:val="0"/>
              <w:autoSpaceDN w:val="0"/>
              <w:adjustRightInd w:val="0"/>
              <w:snapToGrid w:val="0"/>
              <w:spacing w:line="360" w:lineRule="auto"/>
              <w:jc w:val="center"/>
              <w:rPr>
                <w:szCs w:val="21"/>
                <w:highlight w:val="none"/>
              </w:rPr>
            </w:pPr>
            <w:r>
              <w:rPr>
                <w:rFonts w:ascii="宋体" w:hAnsi="宋体"/>
                <w:szCs w:val="21"/>
                <w:highlight w:val="none"/>
              </w:rPr>
              <w:t>No.</w:t>
            </w:r>
          </w:p>
        </w:tc>
        <w:tc>
          <w:tcPr>
            <w:tcW w:w="2935" w:type="dxa"/>
            <w:vAlign w:val="center"/>
          </w:tcPr>
          <w:p w14:paraId="63FF9A3F">
            <w:pPr>
              <w:tabs>
                <w:tab w:val="left" w:pos="1573"/>
              </w:tabs>
              <w:autoSpaceDE w:val="0"/>
              <w:autoSpaceDN w:val="0"/>
              <w:adjustRightInd w:val="0"/>
              <w:snapToGrid w:val="0"/>
              <w:spacing w:line="360" w:lineRule="auto"/>
              <w:jc w:val="center"/>
              <w:rPr>
                <w:szCs w:val="21"/>
                <w:highlight w:val="none"/>
              </w:rPr>
            </w:pPr>
            <w:r>
              <w:rPr>
                <w:rFonts w:ascii="宋体" w:hAnsi="宋体" w:hint="eastAsia"/>
                <w:szCs w:val="21"/>
                <w:highlight w:val="none"/>
              </w:rPr>
              <w:t>服务产品名称</w:t>
            </w:r>
          </w:p>
        </w:tc>
        <w:tc>
          <w:tcPr>
            <w:tcW w:w="735" w:type="dxa"/>
            <w:vAlign w:val="center"/>
          </w:tcPr>
          <w:p w14:paraId="7CCC6CB4">
            <w:pPr>
              <w:tabs>
                <w:tab w:val="left" w:pos="1573"/>
              </w:tabs>
              <w:autoSpaceDE w:val="0"/>
              <w:autoSpaceDN w:val="0"/>
              <w:adjustRightInd w:val="0"/>
              <w:snapToGrid w:val="0"/>
              <w:spacing w:line="360" w:lineRule="auto"/>
              <w:jc w:val="center"/>
              <w:rPr>
                <w:szCs w:val="21"/>
                <w:highlight w:val="none"/>
              </w:rPr>
            </w:pPr>
            <w:r>
              <w:rPr>
                <w:rFonts w:ascii="宋体" w:hAnsi="宋体" w:hint="eastAsia"/>
                <w:szCs w:val="21"/>
                <w:highlight w:val="none"/>
              </w:rPr>
              <w:t>数量</w:t>
            </w:r>
          </w:p>
        </w:tc>
        <w:tc>
          <w:tcPr>
            <w:tcW w:w="1318" w:type="dxa"/>
            <w:vAlign w:val="center"/>
          </w:tcPr>
          <w:p w14:paraId="7195C00D">
            <w:pPr>
              <w:tabs>
                <w:tab w:val="left" w:pos="1573"/>
              </w:tabs>
              <w:autoSpaceDE w:val="0"/>
              <w:autoSpaceDN w:val="0"/>
              <w:adjustRightInd w:val="0"/>
              <w:snapToGrid w:val="0"/>
              <w:spacing w:line="360" w:lineRule="auto"/>
              <w:jc w:val="center"/>
              <w:rPr>
                <w:szCs w:val="21"/>
                <w:highlight w:val="none"/>
              </w:rPr>
            </w:pPr>
            <w:r>
              <w:rPr>
                <w:rFonts w:ascii="宋体" w:hAnsi="宋体" w:hint="eastAsia"/>
                <w:szCs w:val="21"/>
                <w:highlight w:val="none"/>
              </w:rPr>
              <w:t>质量说明</w:t>
            </w:r>
          </w:p>
        </w:tc>
        <w:tc>
          <w:tcPr>
            <w:tcW w:w="750" w:type="dxa"/>
            <w:vAlign w:val="center"/>
          </w:tcPr>
          <w:p w14:paraId="5D9875E9">
            <w:pPr>
              <w:tabs>
                <w:tab w:val="left" w:pos="1573"/>
              </w:tabs>
              <w:autoSpaceDE w:val="0"/>
              <w:autoSpaceDN w:val="0"/>
              <w:adjustRightInd w:val="0"/>
              <w:snapToGrid w:val="0"/>
              <w:spacing w:line="360" w:lineRule="auto"/>
              <w:jc w:val="center"/>
              <w:rPr>
                <w:szCs w:val="21"/>
                <w:highlight w:val="none"/>
              </w:rPr>
            </w:pPr>
            <w:r>
              <w:rPr>
                <w:rFonts w:ascii="宋体" w:hAnsi="宋体" w:hint="eastAsia"/>
                <w:szCs w:val="21"/>
                <w:highlight w:val="none"/>
              </w:rPr>
              <w:t>价格（元）</w:t>
            </w:r>
          </w:p>
        </w:tc>
        <w:tc>
          <w:tcPr>
            <w:tcW w:w="1275" w:type="dxa"/>
            <w:vAlign w:val="center"/>
          </w:tcPr>
          <w:p w14:paraId="13B9FC58">
            <w:pPr>
              <w:tabs>
                <w:tab w:val="left" w:pos="1573"/>
              </w:tabs>
              <w:autoSpaceDE w:val="0"/>
              <w:autoSpaceDN w:val="0"/>
              <w:adjustRightInd w:val="0"/>
              <w:snapToGrid w:val="0"/>
              <w:spacing w:line="360" w:lineRule="auto"/>
              <w:jc w:val="center"/>
              <w:rPr>
                <w:rFonts w:ascii="宋体" w:hAnsi="宋体"/>
                <w:szCs w:val="21"/>
                <w:highlight w:val="none"/>
              </w:rPr>
            </w:pPr>
            <w:r>
              <w:rPr>
                <w:rFonts w:ascii="宋体" w:hAnsi="宋体" w:hint="eastAsia"/>
                <w:szCs w:val="21"/>
                <w:highlight w:val="none"/>
              </w:rPr>
              <w:t>合同最终验收时间</w:t>
            </w:r>
          </w:p>
        </w:tc>
      </w:tr>
      <w:tr w14:paraId="5DDF37CA">
        <w:tblPrEx>
          <w:tblW w:w="0" w:type="auto"/>
          <w:jc w:val="center"/>
          <w:tblLayout w:type="fixed"/>
          <w:tblCellMar>
            <w:top w:w="0" w:type="dxa"/>
            <w:left w:w="108" w:type="dxa"/>
            <w:bottom w:w="0" w:type="dxa"/>
            <w:right w:w="108" w:type="dxa"/>
          </w:tblCellMar>
        </w:tblPrEx>
        <w:trPr>
          <w:jc w:val="center"/>
        </w:trPr>
        <w:tc>
          <w:tcPr>
            <w:tcW w:w="768" w:type="dxa"/>
            <w:vAlign w:val="center"/>
          </w:tcPr>
          <w:p w14:paraId="30BAA9F9">
            <w:pPr>
              <w:tabs>
                <w:tab w:val="left" w:pos="1573"/>
              </w:tabs>
              <w:autoSpaceDE w:val="0"/>
              <w:autoSpaceDN w:val="0"/>
              <w:adjustRightInd w:val="0"/>
              <w:snapToGrid w:val="0"/>
              <w:spacing w:line="360" w:lineRule="auto"/>
              <w:rPr>
                <w:rFonts w:ascii="宋体" w:hAnsi="宋体"/>
                <w:szCs w:val="21"/>
                <w:highlight w:val="none"/>
              </w:rPr>
            </w:pPr>
          </w:p>
        </w:tc>
        <w:tc>
          <w:tcPr>
            <w:tcW w:w="2935" w:type="dxa"/>
            <w:vAlign w:val="center"/>
          </w:tcPr>
          <w:p w14:paraId="690C8CEA">
            <w:pPr>
              <w:tabs>
                <w:tab w:val="left" w:pos="1573"/>
              </w:tabs>
              <w:autoSpaceDE w:val="0"/>
              <w:autoSpaceDN w:val="0"/>
              <w:adjustRightInd w:val="0"/>
              <w:snapToGrid w:val="0"/>
              <w:spacing w:line="360" w:lineRule="auto"/>
              <w:rPr>
                <w:rFonts w:ascii="宋体" w:hAnsi="宋体"/>
                <w:szCs w:val="21"/>
                <w:highlight w:val="none"/>
              </w:rPr>
            </w:pPr>
          </w:p>
        </w:tc>
        <w:tc>
          <w:tcPr>
            <w:tcW w:w="735" w:type="dxa"/>
            <w:vAlign w:val="center"/>
          </w:tcPr>
          <w:p w14:paraId="78CA297F">
            <w:pPr>
              <w:tabs>
                <w:tab w:val="left" w:pos="1573"/>
              </w:tabs>
              <w:autoSpaceDE w:val="0"/>
              <w:autoSpaceDN w:val="0"/>
              <w:adjustRightInd w:val="0"/>
              <w:snapToGrid w:val="0"/>
              <w:spacing w:line="360" w:lineRule="auto"/>
              <w:rPr>
                <w:rFonts w:ascii="宋体" w:hAnsi="宋体"/>
                <w:szCs w:val="21"/>
                <w:highlight w:val="none"/>
              </w:rPr>
            </w:pPr>
          </w:p>
        </w:tc>
        <w:tc>
          <w:tcPr>
            <w:tcW w:w="1318" w:type="dxa"/>
            <w:vAlign w:val="center"/>
          </w:tcPr>
          <w:p w14:paraId="49A367D5">
            <w:pPr>
              <w:tabs>
                <w:tab w:val="left" w:pos="1573"/>
              </w:tabs>
              <w:autoSpaceDE w:val="0"/>
              <w:autoSpaceDN w:val="0"/>
              <w:adjustRightInd w:val="0"/>
              <w:snapToGrid w:val="0"/>
              <w:spacing w:line="360" w:lineRule="auto"/>
              <w:rPr>
                <w:rFonts w:ascii="宋体" w:hAnsi="宋体"/>
                <w:szCs w:val="21"/>
                <w:highlight w:val="none"/>
              </w:rPr>
            </w:pPr>
          </w:p>
        </w:tc>
        <w:tc>
          <w:tcPr>
            <w:tcW w:w="750" w:type="dxa"/>
            <w:vAlign w:val="center"/>
          </w:tcPr>
          <w:p w14:paraId="7937D175">
            <w:pPr>
              <w:tabs>
                <w:tab w:val="left" w:pos="1573"/>
              </w:tabs>
              <w:autoSpaceDE w:val="0"/>
              <w:autoSpaceDN w:val="0"/>
              <w:adjustRightInd w:val="0"/>
              <w:snapToGrid w:val="0"/>
              <w:spacing w:line="360" w:lineRule="auto"/>
              <w:rPr>
                <w:rFonts w:ascii="宋体" w:hAnsi="宋体"/>
                <w:szCs w:val="21"/>
                <w:highlight w:val="none"/>
              </w:rPr>
            </w:pPr>
          </w:p>
        </w:tc>
        <w:tc>
          <w:tcPr>
            <w:tcW w:w="1275" w:type="dxa"/>
            <w:vAlign w:val="center"/>
          </w:tcPr>
          <w:p w14:paraId="41D86292">
            <w:pPr>
              <w:tabs>
                <w:tab w:val="left" w:pos="1573"/>
              </w:tabs>
              <w:autoSpaceDE w:val="0"/>
              <w:autoSpaceDN w:val="0"/>
              <w:adjustRightInd w:val="0"/>
              <w:snapToGrid w:val="0"/>
              <w:spacing w:line="360" w:lineRule="auto"/>
              <w:rPr>
                <w:rFonts w:ascii="宋体" w:hAnsi="宋体"/>
                <w:szCs w:val="21"/>
                <w:highlight w:val="none"/>
              </w:rPr>
            </w:pPr>
          </w:p>
        </w:tc>
      </w:tr>
      <w:tr w14:paraId="3B7973B1">
        <w:tblPrEx>
          <w:tblW w:w="0" w:type="auto"/>
          <w:jc w:val="center"/>
          <w:tblLayout w:type="fixed"/>
          <w:tblCellMar>
            <w:top w:w="0" w:type="dxa"/>
            <w:left w:w="108" w:type="dxa"/>
            <w:bottom w:w="0" w:type="dxa"/>
            <w:right w:w="108" w:type="dxa"/>
          </w:tblCellMar>
        </w:tblPrEx>
        <w:trPr>
          <w:jc w:val="center"/>
        </w:trPr>
        <w:tc>
          <w:tcPr>
            <w:tcW w:w="768" w:type="dxa"/>
            <w:vAlign w:val="center"/>
          </w:tcPr>
          <w:p w14:paraId="6BF56D64">
            <w:pPr>
              <w:tabs>
                <w:tab w:val="left" w:pos="1573"/>
              </w:tabs>
              <w:autoSpaceDE w:val="0"/>
              <w:autoSpaceDN w:val="0"/>
              <w:adjustRightInd w:val="0"/>
              <w:snapToGrid w:val="0"/>
              <w:spacing w:line="360" w:lineRule="auto"/>
              <w:rPr>
                <w:rFonts w:ascii="宋体" w:hAnsi="宋体"/>
                <w:szCs w:val="21"/>
                <w:highlight w:val="none"/>
              </w:rPr>
            </w:pPr>
          </w:p>
        </w:tc>
        <w:tc>
          <w:tcPr>
            <w:tcW w:w="2935" w:type="dxa"/>
            <w:vAlign w:val="center"/>
          </w:tcPr>
          <w:p w14:paraId="391FB3E5">
            <w:pPr>
              <w:tabs>
                <w:tab w:val="left" w:pos="1573"/>
              </w:tabs>
              <w:autoSpaceDE w:val="0"/>
              <w:autoSpaceDN w:val="0"/>
              <w:adjustRightInd w:val="0"/>
              <w:snapToGrid w:val="0"/>
              <w:spacing w:line="360" w:lineRule="auto"/>
              <w:rPr>
                <w:rFonts w:ascii="宋体" w:hAnsi="宋体"/>
                <w:szCs w:val="21"/>
                <w:highlight w:val="none"/>
              </w:rPr>
            </w:pPr>
          </w:p>
        </w:tc>
        <w:tc>
          <w:tcPr>
            <w:tcW w:w="735" w:type="dxa"/>
            <w:vAlign w:val="center"/>
          </w:tcPr>
          <w:p w14:paraId="450673AE">
            <w:pPr>
              <w:tabs>
                <w:tab w:val="left" w:pos="1573"/>
              </w:tabs>
              <w:autoSpaceDE w:val="0"/>
              <w:autoSpaceDN w:val="0"/>
              <w:adjustRightInd w:val="0"/>
              <w:snapToGrid w:val="0"/>
              <w:spacing w:line="360" w:lineRule="auto"/>
              <w:rPr>
                <w:rFonts w:ascii="宋体" w:hAnsi="宋体"/>
                <w:szCs w:val="21"/>
                <w:highlight w:val="none"/>
              </w:rPr>
            </w:pPr>
          </w:p>
        </w:tc>
        <w:tc>
          <w:tcPr>
            <w:tcW w:w="1318" w:type="dxa"/>
            <w:vAlign w:val="center"/>
          </w:tcPr>
          <w:p w14:paraId="74B983E9">
            <w:pPr>
              <w:tabs>
                <w:tab w:val="left" w:pos="1573"/>
              </w:tabs>
              <w:autoSpaceDE w:val="0"/>
              <w:autoSpaceDN w:val="0"/>
              <w:adjustRightInd w:val="0"/>
              <w:snapToGrid w:val="0"/>
              <w:spacing w:line="360" w:lineRule="auto"/>
              <w:rPr>
                <w:rFonts w:ascii="宋体" w:hAnsi="宋体"/>
                <w:szCs w:val="21"/>
                <w:highlight w:val="none"/>
              </w:rPr>
            </w:pPr>
          </w:p>
        </w:tc>
        <w:tc>
          <w:tcPr>
            <w:tcW w:w="750" w:type="dxa"/>
            <w:vAlign w:val="center"/>
          </w:tcPr>
          <w:p w14:paraId="43FEEC9A">
            <w:pPr>
              <w:tabs>
                <w:tab w:val="left" w:pos="1573"/>
              </w:tabs>
              <w:autoSpaceDE w:val="0"/>
              <w:autoSpaceDN w:val="0"/>
              <w:adjustRightInd w:val="0"/>
              <w:snapToGrid w:val="0"/>
              <w:spacing w:line="360" w:lineRule="auto"/>
              <w:rPr>
                <w:rFonts w:ascii="宋体" w:hAnsi="宋体"/>
                <w:szCs w:val="21"/>
                <w:highlight w:val="none"/>
              </w:rPr>
            </w:pPr>
          </w:p>
        </w:tc>
        <w:tc>
          <w:tcPr>
            <w:tcW w:w="1275" w:type="dxa"/>
            <w:vAlign w:val="center"/>
          </w:tcPr>
          <w:p w14:paraId="2E82A469">
            <w:pPr>
              <w:tabs>
                <w:tab w:val="left" w:pos="1573"/>
              </w:tabs>
              <w:autoSpaceDE w:val="0"/>
              <w:autoSpaceDN w:val="0"/>
              <w:adjustRightInd w:val="0"/>
              <w:snapToGrid w:val="0"/>
              <w:spacing w:line="360" w:lineRule="auto"/>
              <w:rPr>
                <w:rFonts w:ascii="宋体" w:hAnsi="宋体"/>
                <w:szCs w:val="21"/>
                <w:highlight w:val="none"/>
              </w:rPr>
            </w:pPr>
          </w:p>
        </w:tc>
      </w:tr>
    </w:tbl>
    <w:p w14:paraId="75EF9476">
      <w:pPr>
        <w:tabs>
          <w:tab w:val="left" w:pos="1480"/>
        </w:tabs>
        <w:adjustRightInd w:val="0"/>
        <w:snapToGrid w:val="0"/>
        <w:spacing w:line="360" w:lineRule="auto"/>
        <w:ind w:firstLine="420" w:firstLineChars="200"/>
        <w:jc w:val="left"/>
        <w:rPr>
          <w:rFonts w:ascii="宋体" w:hAnsi="宋体"/>
          <w:szCs w:val="21"/>
          <w:highlight w:val="none"/>
        </w:rPr>
      </w:pPr>
    </w:p>
    <w:p w14:paraId="563A3A54">
      <w:pPr>
        <w:tabs>
          <w:tab w:val="left" w:pos="1480"/>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交付地点：</w:t>
      </w:r>
      <w:r>
        <w:rPr>
          <w:rFonts w:ascii="宋体" w:hAnsi="宋体" w:hint="eastAsia"/>
          <w:szCs w:val="21"/>
          <w:highlight w:val="none"/>
          <w:u w:val="single"/>
        </w:rPr>
        <w:t xml:space="preserve">                                                    </w:t>
      </w:r>
    </w:p>
    <w:p w14:paraId="1B14362F">
      <w:pPr>
        <w:pStyle w:val="NormalIndent"/>
        <w:adjustRightInd w:val="0"/>
        <w:snapToGrid w:val="0"/>
        <w:spacing w:line="360" w:lineRule="auto"/>
        <w:outlineLvl w:val="0"/>
        <w:rPr>
          <w:rFonts w:ascii="宋体" w:hAnsi="宋体"/>
          <w:b/>
          <w:szCs w:val="21"/>
          <w:highlight w:val="none"/>
        </w:rPr>
      </w:pPr>
      <w:bookmarkStart w:id="251" w:name="OLE_LINK2"/>
      <w:bookmarkStart w:id="252" w:name="OLE_LINK1"/>
      <w:r>
        <w:rPr>
          <w:rFonts w:ascii="宋体" w:hAnsi="宋体" w:hint="eastAsia"/>
          <w:b/>
          <w:szCs w:val="21"/>
          <w:highlight w:val="none"/>
        </w:rPr>
        <w:t>五、</w:t>
      </w:r>
      <w:bookmarkStart w:id="253" w:name="_Toc86202595"/>
      <w:r>
        <w:rPr>
          <w:rFonts w:ascii="宋体" w:hAnsi="宋体" w:hint="eastAsia"/>
          <w:b/>
          <w:szCs w:val="21"/>
          <w:highlight w:val="none"/>
        </w:rPr>
        <w:t>合同</w:t>
      </w:r>
      <w:bookmarkEnd w:id="253"/>
      <w:r>
        <w:rPr>
          <w:rFonts w:ascii="宋体" w:hAnsi="宋体" w:hint="eastAsia"/>
          <w:b/>
          <w:szCs w:val="21"/>
          <w:highlight w:val="none"/>
        </w:rPr>
        <w:t>金额</w:t>
      </w:r>
      <w:r>
        <w:rPr>
          <w:rFonts w:ascii="宋体" w:hAnsi="宋体"/>
          <w:b/>
          <w:szCs w:val="21"/>
          <w:highlight w:val="none"/>
        </w:rPr>
        <w:t>及付款方式</w:t>
      </w:r>
    </w:p>
    <w:p w14:paraId="4D521C5A">
      <w:pPr>
        <w:snapToGrid w:val="0"/>
        <w:spacing w:line="360" w:lineRule="auto"/>
        <w:ind w:firstLine="420" w:firstLineChars="200"/>
        <w:rPr>
          <w:rFonts w:ascii="宋体" w:hAnsi="宋体" w:hint="eastAsia"/>
          <w:szCs w:val="21"/>
          <w:highlight w:val="none"/>
        </w:rPr>
      </w:pPr>
      <w:r>
        <w:rPr>
          <w:rFonts w:ascii="宋体" w:hAnsi="宋体" w:hint="eastAsia"/>
          <w:szCs w:val="21"/>
          <w:highlight w:val="none"/>
        </w:rPr>
        <w:t>1、根据上述合同文件要求，合同的总金额为人民币：________元 (大写)，_______元（小写），分项价格详见合同服务产品清单。</w:t>
      </w:r>
    </w:p>
    <w:p w14:paraId="7D2AB6C8">
      <w:pPr>
        <w:pStyle w:val="NormalWeb"/>
        <w:widowControl/>
        <w:spacing w:beforeAutospacing="0" w:afterAutospacing="0" w:line="360" w:lineRule="auto"/>
        <w:ind w:firstLine="420" w:firstLineChars="200"/>
        <w:rPr>
          <w:rFonts w:hint="eastAsia"/>
          <w:szCs w:val="21"/>
          <w:highlight w:val="none"/>
        </w:rPr>
      </w:pPr>
      <w:r>
        <w:rPr>
          <w:rFonts w:ascii="宋体" w:hAnsi="宋体" w:hint="eastAsia"/>
          <w:kern w:val="2"/>
          <w:sz w:val="21"/>
          <w:szCs w:val="21"/>
          <w:highlight w:val="none"/>
        </w:rPr>
        <w:t>2、</w:t>
      </w:r>
      <w:bookmarkStart w:id="254" w:name="OLE_LINK21"/>
      <w:bookmarkStart w:id="255" w:name="OLE_LINK22"/>
      <w:r>
        <w:rPr>
          <w:rFonts w:ascii="宋体" w:hAnsi="宋体" w:hint="eastAsia"/>
          <w:kern w:val="2"/>
          <w:sz w:val="21"/>
          <w:szCs w:val="21"/>
          <w:highlight w:val="none"/>
          <w:shd w:val="pct15" w:color="auto" w:fill="FFFFFF"/>
        </w:rPr>
        <w:t>甲</w:t>
      </w:r>
      <w:r>
        <w:rPr>
          <w:rFonts w:hint="eastAsia"/>
          <w:kern w:val="2"/>
          <w:sz w:val="21"/>
          <w:szCs w:val="21"/>
          <w:highlight w:val="none"/>
          <w:shd w:val="pct15" w:color="auto" w:fill="FFFFFF"/>
          <w:lang w:val="en-US" w:eastAsia="zh-CN"/>
        </w:rPr>
        <w:t>方与</w:t>
      </w:r>
      <w:r>
        <w:rPr>
          <w:rFonts w:ascii="宋体" w:hAnsi="宋体" w:hint="eastAsia"/>
          <w:kern w:val="2"/>
          <w:sz w:val="21"/>
          <w:szCs w:val="21"/>
          <w:highlight w:val="none"/>
          <w:shd w:val="pct15" w:color="auto" w:fill="FFFFFF"/>
        </w:rPr>
        <w:t>乙</w:t>
      </w:r>
      <w:r>
        <w:rPr>
          <w:rFonts w:hint="eastAsia"/>
          <w:kern w:val="2"/>
          <w:sz w:val="21"/>
          <w:szCs w:val="21"/>
          <w:highlight w:val="none"/>
          <w:shd w:val="pct15" w:color="auto" w:fill="FFFFFF"/>
          <w:lang w:val="en-US" w:eastAsia="zh-CN"/>
        </w:rPr>
        <w:t>方1</w:t>
      </w:r>
      <w:r>
        <w:rPr>
          <w:rFonts w:ascii="宋体" w:hAnsi="宋体" w:hint="eastAsia"/>
          <w:szCs w:val="21"/>
          <w:highlight w:val="none"/>
        </w:rPr>
        <w:t>_______</w:t>
      </w:r>
      <w:r>
        <w:rPr>
          <w:rFonts w:ascii="宋体" w:hAnsi="宋体" w:hint="eastAsia"/>
          <w:kern w:val="2"/>
          <w:sz w:val="21"/>
          <w:szCs w:val="21"/>
          <w:highlight w:val="none"/>
          <w:shd w:val="pct15" w:color="auto" w:fill="FFFFFF"/>
        </w:rPr>
        <w:t>签署合同后</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个工作日内，乙方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 xml:space="preserve">30% </w:t>
      </w:r>
      <w:r>
        <w:rPr>
          <w:rFonts w:ascii="宋体" w:hAnsi="宋体" w:hint="eastAsia"/>
          <w:kern w:val="2"/>
          <w:sz w:val="21"/>
          <w:szCs w:val="21"/>
          <w:highlight w:val="none"/>
          <w:shd w:val="pct15" w:color="auto" w:fill="FFFFFF"/>
        </w:rPr>
        <w:t>的预付款保函，即人民币：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日。甲方收到乙方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提供的预付款保函后</w:t>
      </w:r>
      <w:r>
        <w:rPr>
          <w:rFonts w:ascii="宋体" w:hAnsi="宋体" w:hint="eastAsia"/>
          <w:kern w:val="2"/>
          <w:sz w:val="21"/>
          <w:szCs w:val="21"/>
          <w:highlight w:val="none"/>
          <w:u w:val="single"/>
          <w:shd w:val="pct15" w:color="auto" w:fill="FFFFFF"/>
        </w:rPr>
        <w:t xml:space="preserve"> 10</w:t>
      </w:r>
      <w:r>
        <w:rPr>
          <w:rFonts w:ascii="宋体" w:hAnsi="宋体" w:hint="eastAsia"/>
          <w:sz w:val="21"/>
          <w:szCs w:val="21"/>
          <w:highlight w:val="none"/>
          <w:shd w:val="pct15" w:color="auto" w:fill="FFFFFF"/>
        </w:rPr>
        <w:t>个工作日内，</w:t>
      </w:r>
      <w:r>
        <w:rPr>
          <w:rFonts w:ascii="宋体" w:hAnsi="宋体" w:hint="eastAsia"/>
          <w:kern w:val="2"/>
          <w:sz w:val="21"/>
          <w:szCs w:val="21"/>
          <w:highlight w:val="none"/>
          <w:shd w:val="pct15" w:color="auto" w:fill="FFFFFF"/>
        </w:rPr>
        <w:t>向乙方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支付合同总金额的</w:t>
      </w:r>
      <w:r>
        <w:rPr>
          <w:rFonts w:ascii="宋体" w:hAnsi="宋体" w:hint="eastAsia"/>
          <w:kern w:val="2"/>
          <w:sz w:val="21"/>
          <w:szCs w:val="21"/>
          <w:highlight w:val="none"/>
          <w:u w:val="single"/>
          <w:shd w:val="pct15" w:color="auto" w:fill="FFFFFF"/>
        </w:rPr>
        <w:t>100%</w:t>
      </w:r>
      <w:r>
        <w:rPr>
          <w:rFonts w:ascii="宋体" w:hAnsi="宋体" w:hint="eastAsia"/>
          <w:kern w:val="2"/>
          <w:sz w:val="21"/>
          <w:szCs w:val="21"/>
          <w:highlight w:val="none"/>
          <w:shd w:val="pct15" w:color="auto" w:fill="FFFFFF"/>
        </w:rPr>
        <w:t>，即人民币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元（小写）。甲方组织完成本服务合同履约情况评审且评审通过后，将退还乙方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前述预付款保函；同时乙方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的履约保函，即人民币：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w:t>
      </w:r>
      <w:r>
        <w:rPr>
          <w:rFonts w:ascii="宋体" w:hAnsi="宋体" w:hint="eastAsia"/>
          <w:kern w:val="2"/>
          <w:sz w:val="21"/>
          <w:szCs w:val="21"/>
          <w:highlight w:val="none"/>
        </w:rPr>
        <w:t>。</w:t>
      </w:r>
      <w:bookmarkEnd w:id="254"/>
      <w:bookmarkEnd w:id="255"/>
    </w:p>
    <w:p w14:paraId="1BB646E8">
      <w:pPr>
        <w:pStyle w:val="NormalWeb"/>
        <w:widowControl/>
        <w:spacing w:beforeAutospacing="0" w:afterAutospacing="0" w:line="360" w:lineRule="auto"/>
        <w:ind w:firstLine="420" w:firstLineChars="200"/>
        <w:rPr>
          <w:szCs w:val="21"/>
          <w:highlight w:val="none"/>
          <w:shd w:val="pct15" w:color="auto" w:fill="FFFFFF"/>
        </w:rPr>
      </w:pPr>
      <w:r>
        <w:rPr>
          <w:rFonts w:hint="eastAsia"/>
          <w:kern w:val="2"/>
          <w:sz w:val="21"/>
          <w:szCs w:val="21"/>
          <w:highlight w:val="none"/>
          <w:lang w:val="en-US" w:eastAsia="zh-CN"/>
        </w:rPr>
        <w:t>3</w:t>
      </w:r>
      <w:r>
        <w:rPr>
          <w:rFonts w:ascii="宋体" w:hAnsi="宋体" w:hint="eastAsia"/>
          <w:kern w:val="2"/>
          <w:sz w:val="21"/>
          <w:szCs w:val="21"/>
          <w:highlight w:val="none"/>
        </w:rPr>
        <w:t>、</w:t>
      </w:r>
      <w:r>
        <w:rPr>
          <w:rFonts w:ascii="宋体" w:hAnsi="宋体" w:hint="eastAsia"/>
          <w:kern w:val="2"/>
          <w:sz w:val="21"/>
          <w:szCs w:val="21"/>
          <w:highlight w:val="none"/>
          <w:shd w:val="pct15" w:color="auto" w:fill="FFFFFF"/>
        </w:rPr>
        <w:t>甲</w:t>
      </w:r>
      <w:r>
        <w:rPr>
          <w:rFonts w:hint="eastAsia"/>
          <w:kern w:val="2"/>
          <w:sz w:val="21"/>
          <w:szCs w:val="21"/>
          <w:highlight w:val="none"/>
          <w:shd w:val="pct15" w:color="auto" w:fill="FFFFFF"/>
          <w:lang w:val="en-US" w:eastAsia="zh-CN"/>
        </w:rPr>
        <w:t>方与</w:t>
      </w:r>
      <w:r>
        <w:rPr>
          <w:rFonts w:ascii="宋体" w:hAnsi="宋体" w:hint="eastAsia"/>
          <w:kern w:val="2"/>
          <w:sz w:val="21"/>
          <w:szCs w:val="21"/>
          <w:highlight w:val="none"/>
          <w:shd w:val="pct15" w:color="auto" w:fill="FFFFFF"/>
        </w:rPr>
        <w:t>乙</w:t>
      </w:r>
      <w:r>
        <w:rPr>
          <w:rFonts w:hint="eastAsia"/>
          <w:kern w:val="2"/>
          <w:sz w:val="21"/>
          <w:szCs w:val="21"/>
          <w:highlight w:val="none"/>
          <w:shd w:val="pct15" w:color="auto" w:fill="FFFFFF"/>
          <w:lang w:val="en-US" w:eastAsia="zh-CN"/>
        </w:rPr>
        <w:t>方2</w:t>
      </w:r>
      <w:r>
        <w:rPr>
          <w:rFonts w:ascii="宋体" w:hAnsi="宋体" w:hint="eastAsia"/>
          <w:szCs w:val="21"/>
          <w:highlight w:val="none"/>
        </w:rPr>
        <w:t>_______</w:t>
      </w:r>
      <w:r>
        <w:rPr>
          <w:rFonts w:ascii="宋体" w:hAnsi="宋体" w:hint="eastAsia"/>
          <w:kern w:val="2"/>
          <w:sz w:val="21"/>
          <w:szCs w:val="21"/>
          <w:highlight w:val="none"/>
          <w:shd w:val="pct15" w:color="auto" w:fill="FFFFFF"/>
        </w:rPr>
        <w:t>签署合同后</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个工作日内，乙方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 xml:space="preserve">30% </w:t>
      </w:r>
      <w:r>
        <w:rPr>
          <w:rFonts w:ascii="宋体" w:hAnsi="宋体" w:hint="eastAsia"/>
          <w:kern w:val="2"/>
          <w:sz w:val="21"/>
          <w:szCs w:val="21"/>
          <w:highlight w:val="none"/>
          <w:shd w:val="pct15" w:color="auto" w:fill="FFFFFF"/>
        </w:rPr>
        <w:t>的预付款保函，即人民币：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日。甲方收到乙方</w:t>
      </w:r>
      <w:r>
        <w:rPr>
          <w:rFonts w:hint="eastAsia"/>
          <w:kern w:val="2"/>
          <w:sz w:val="21"/>
          <w:szCs w:val="21"/>
          <w:highlight w:val="none"/>
          <w:shd w:val="pct15" w:color="auto" w:fill="FFFFFF"/>
          <w:lang w:val="en-US" w:eastAsia="zh-CN"/>
        </w:rPr>
        <w:t>2</w:t>
      </w:r>
      <w:r>
        <w:rPr>
          <w:rFonts w:ascii="宋体" w:hAnsi="宋体" w:hint="eastAsia"/>
          <w:kern w:val="2"/>
          <w:sz w:val="21"/>
          <w:szCs w:val="21"/>
          <w:highlight w:val="none"/>
          <w:shd w:val="pct15" w:color="auto" w:fill="FFFFFF"/>
        </w:rPr>
        <w:t>提供的预付款保函后</w:t>
      </w:r>
      <w:r>
        <w:rPr>
          <w:rFonts w:ascii="宋体" w:hAnsi="宋体" w:hint="eastAsia"/>
          <w:kern w:val="2"/>
          <w:sz w:val="21"/>
          <w:szCs w:val="21"/>
          <w:highlight w:val="none"/>
          <w:u w:val="single"/>
          <w:shd w:val="pct15" w:color="auto" w:fill="FFFFFF"/>
        </w:rPr>
        <w:t xml:space="preserve"> 10</w:t>
      </w:r>
      <w:r>
        <w:rPr>
          <w:rFonts w:ascii="宋体" w:hAnsi="宋体" w:hint="eastAsia"/>
          <w:sz w:val="21"/>
          <w:szCs w:val="21"/>
          <w:highlight w:val="none"/>
          <w:shd w:val="pct15" w:color="auto" w:fill="FFFFFF"/>
        </w:rPr>
        <w:t>个工作日内，</w:t>
      </w:r>
      <w:r>
        <w:rPr>
          <w:rFonts w:ascii="宋体" w:hAnsi="宋体" w:hint="eastAsia"/>
          <w:kern w:val="2"/>
          <w:sz w:val="21"/>
          <w:szCs w:val="21"/>
          <w:highlight w:val="none"/>
          <w:shd w:val="pct15" w:color="auto" w:fill="FFFFFF"/>
        </w:rPr>
        <w:t>向乙方</w:t>
      </w:r>
      <w:r>
        <w:rPr>
          <w:rFonts w:hint="eastAsia"/>
          <w:kern w:val="2"/>
          <w:sz w:val="21"/>
          <w:szCs w:val="21"/>
          <w:highlight w:val="none"/>
          <w:shd w:val="pct15" w:color="auto" w:fill="FFFFFF"/>
          <w:lang w:val="en-US" w:eastAsia="zh-CN"/>
        </w:rPr>
        <w:t>2</w:t>
      </w:r>
      <w:r>
        <w:rPr>
          <w:rFonts w:ascii="宋体" w:hAnsi="宋体" w:hint="eastAsia"/>
          <w:kern w:val="2"/>
          <w:sz w:val="21"/>
          <w:szCs w:val="21"/>
          <w:highlight w:val="none"/>
          <w:shd w:val="pct15" w:color="auto" w:fill="FFFFFF"/>
        </w:rPr>
        <w:t>支付合同总金额的</w:t>
      </w:r>
      <w:r>
        <w:rPr>
          <w:rFonts w:ascii="宋体" w:hAnsi="宋体" w:hint="eastAsia"/>
          <w:kern w:val="2"/>
          <w:sz w:val="21"/>
          <w:szCs w:val="21"/>
          <w:highlight w:val="none"/>
          <w:u w:val="single"/>
          <w:shd w:val="pct15" w:color="auto" w:fill="FFFFFF"/>
        </w:rPr>
        <w:t>100%</w:t>
      </w:r>
      <w:r>
        <w:rPr>
          <w:rFonts w:ascii="宋体" w:hAnsi="宋体" w:hint="eastAsia"/>
          <w:kern w:val="2"/>
          <w:sz w:val="21"/>
          <w:szCs w:val="21"/>
          <w:highlight w:val="none"/>
          <w:shd w:val="pct15" w:color="auto" w:fill="FFFFFF"/>
        </w:rPr>
        <w:t>，即人民币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元（小写）。甲方组织完成本服务合同履约情况评审且评审通过后，将退还乙方</w:t>
      </w:r>
      <w:r>
        <w:rPr>
          <w:rFonts w:hint="eastAsia"/>
          <w:kern w:val="2"/>
          <w:sz w:val="21"/>
          <w:szCs w:val="21"/>
          <w:highlight w:val="none"/>
          <w:shd w:val="pct15" w:color="auto" w:fill="FFFFFF"/>
          <w:lang w:val="en-US" w:eastAsia="zh-CN"/>
        </w:rPr>
        <w:t>2</w:t>
      </w:r>
      <w:r>
        <w:rPr>
          <w:rFonts w:ascii="宋体" w:hAnsi="宋体" w:hint="eastAsia"/>
          <w:kern w:val="2"/>
          <w:sz w:val="21"/>
          <w:szCs w:val="21"/>
          <w:highlight w:val="none"/>
          <w:shd w:val="pct15" w:color="auto" w:fill="FFFFFF"/>
        </w:rPr>
        <w:t>前述预付款保函；同时乙方</w:t>
      </w:r>
      <w:r>
        <w:rPr>
          <w:rFonts w:hint="eastAsia"/>
          <w:kern w:val="2"/>
          <w:sz w:val="21"/>
          <w:szCs w:val="21"/>
          <w:highlight w:val="none"/>
          <w:shd w:val="pct15" w:color="auto" w:fill="FFFFFF"/>
          <w:lang w:val="en-US" w:eastAsia="zh-CN"/>
        </w:rPr>
        <w:t>2</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的履约保函，即人民币：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w:t>
      </w:r>
      <w:r>
        <w:rPr>
          <w:rFonts w:ascii="宋体" w:hAnsi="宋体" w:hint="eastAsia"/>
          <w:kern w:val="2"/>
          <w:sz w:val="21"/>
          <w:szCs w:val="21"/>
          <w:highlight w:val="none"/>
        </w:rPr>
        <w:t>。</w:t>
      </w:r>
    </w:p>
    <w:p w14:paraId="0CB28ECC">
      <w:pPr>
        <w:pStyle w:val="NormalWeb"/>
        <w:widowControl/>
        <w:spacing w:beforeAutospacing="0" w:afterAutospacing="0" w:line="360" w:lineRule="auto"/>
        <w:ind w:firstLine="420" w:firstLineChars="200"/>
        <w:rPr>
          <w:rFonts w:hint="eastAsia"/>
          <w:szCs w:val="21"/>
          <w:highlight w:val="none"/>
        </w:rPr>
      </w:pPr>
      <w:r>
        <w:rPr>
          <w:rFonts w:hint="eastAsia"/>
          <w:kern w:val="2"/>
          <w:sz w:val="21"/>
          <w:szCs w:val="21"/>
          <w:highlight w:val="none"/>
          <w:lang w:val="en-US" w:eastAsia="zh-CN"/>
        </w:rPr>
        <w:t>4</w:t>
      </w:r>
      <w:r>
        <w:rPr>
          <w:rFonts w:ascii="宋体" w:hAnsi="宋体" w:hint="eastAsia"/>
          <w:kern w:val="2"/>
          <w:sz w:val="21"/>
          <w:szCs w:val="21"/>
          <w:highlight w:val="none"/>
        </w:rPr>
        <w:t>、</w:t>
      </w:r>
      <w:r>
        <w:rPr>
          <w:rFonts w:ascii="宋体" w:hAnsi="宋体" w:hint="eastAsia"/>
          <w:kern w:val="2"/>
          <w:sz w:val="21"/>
          <w:szCs w:val="21"/>
          <w:highlight w:val="none"/>
          <w:shd w:val="pct15" w:color="auto" w:fill="FFFFFF"/>
        </w:rPr>
        <w:t>甲</w:t>
      </w:r>
      <w:r>
        <w:rPr>
          <w:rFonts w:hint="eastAsia"/>
          <w:kern w:val="2"/>
          <w:sz w:val="21"/>
          <w:szCs w:val="21"/>
          <w:highlight w:val="none"/>
          <w:shd w:val="pct15" w:color="auto" w:fill="FFFFFF"/>
          <w:lang w:val="en-US" w:eastAsia="zh-CN"/>
        </w:rPr>
        <w:t>方与</w:t>
      </w:r>
      <w:r>
        <w:rPr>
          <w:rFonts w:ascii="宋体" w:hAnsi="宋体" w:hint="eastAsia"/>
          <w:kern w:val="2"/>
          <w:sz w:val="21"/>
          <w:szCs w:val="21"/>
          <w:highlight w:val="none"/>
          <w:shd w:val="pct15" w:color="auto" w:fill="FFFFFF"/>
        </w:rPr>
        <w:t>乙</w:t>
      </w:r>
      <w:r>
        <w:rPr>
          <w:rFonts w:hint="eastAsia"/>
          <w:kern w:val="2"/>
          <w:sz w:val="21"/>
          <w:szCs w:val="21"/>
          <w:highlight w:val="none"/>
          <w:shd w:val="pct15" w:color="auto" w:fill="FFFFFF"/>
          <w:lang w:val="en-US" w:eastAsia="zh-CN"/>
        </w:rPr>
        <w:t>方3</w:t>
      </w:r>
      <w:r>
        <w:rPr>
          <w:rFonts w:ascii="宋体" w:hAnsi="宋体" w:hint="eastAsia"/>
          <w:szCs w:val="21"/>
          <w:highlight w:val="none"/>
        </w:rPr>
        <w:t>_______</w:t>
      </w:r>
      <w:r>
        <w:rPr>
          <w:rFonts w:ascii="宋体" w:hAnsi="宋体" w:hint="eastAsia"/>
          <w:kern w:val="2"/>
          <w:sz w:val="21"/>
          <w:szCs w:val="21"/>
          <w:highlight w:val="none"/>
          <w:shd w:val="pct15" w:color="auto" w:fill="FFFFFF"/>
        </w:rPr>
        <w:t>签署合同后</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个工作日内，乙方</w:t>
      </w:r>
      <w:r>
        <w:rPr>
          <w:rFonts w:hint="eastAsia"/>
          <w:kern w:val="2"/>
          <w:sz w:val="21"/>
          <w:szCs w:val="21"/>
          <w:highlight w:val="none"/>
          <w:shd w:val="pct15" w:color="auto" w:fill="FFFFFF"/>
          <w:lang w:val="en-US" w:eastAsia="zh-CN"/>
        </w:rPr>
        <w:t>1</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 xml:space="preserve">30% </w:t>
      </w:r>
      <w:r>
        <w:rPr>
          <w:rFonts w:ascii="宋体" w:hAnsi="宋体" w:hint="eastAsia"/>
          <w:kern w:val="2"/>
          <w:sz w:val="21"/>
          <w:szCs w:val="21"/>
          <w:highlight w:val="none"/>
          <w:shd w:val="pct15" w:color="auto" w:fill="FFFFFF"/>
        </w:rPr>
        <w:t>的预付款保函，即人民币：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日。甲方收到乙方</w:t>
      </w:r>
      <w:r>
        <w:rPr>
          <w:rFonts w:hint="eastAsia"/>
          <w:kern w:val="2"/>
          <w:sz w:val="21"/>
          <w:szCs w:val="21"/>
          <w:highlight w:val="none"/>
          <w:shd w:val="pct15" w:color="auto" w:fill="FFFFFF"/>
          <w:lang w:val="en-US" w:eastAsia="zh-CN"/>
        </w:rPr>
        <w:t>3</w:t>
      </w:r>
      <w:r>
        <w:rPr>
          <w:rFonts w:ascii="宋体" w:hAnsi="宋体" w:hint="eastAsia"/>
          <w:kern w:val="2"/>
          <w:sz w:val="21"/>
          <w:szCs w:val="21"/>
          <w:highlight w:val="none"/>
          <w:shd w:val="pct15" w:color="auto" w:fill="FFFFFF"/>
        </w:rPr>
        <w:t>提供的预付款保函后</w:t>
      </w:r>
      <w:r>
        <w:rPr>
          <w:rFonts w:ascii="宋体" w:hAnsi="宋体" w:hint="eastAsia"/>
          <w:kern w:val="2"/>
          <w:sz w:val="21"/>
          <w:szCs w:val="21"/>
          <w:highlight w:val="none"/>
          <w:u w:val="single"/>
          <w:shd w:val="pct15" w:color="auto" w:fill="FFFFFF"/>
        </w:rPr>
        <w:t xml:space="preserve"> 10</w:t>
      </w:r>
      <w:r>
        <w:rPr>
          <w:rFonts w:ascii="宋体" w:hAnsi="宋体" w:hint="eastAsia"/>
          <w:sz w:val="21"/>
          <w:szCs w:val="21"/>
          <w:highlight w:val="none"/>
          <w:shd w:val="pct15" w:color="auto" w:fill="FFFFFF"/>
        </w:rPr>
        <w:t>个工作日内，</w:t>
      </w:r>
      <w:r>
        <w:rPr>
          <w:rFonts w:ascii="宋体" w:hAnsi="宋体" w:hint="eastAsia"/>
          <w:kern w:val="2"/>
          <w:sz w:val="21"/>
          <w:szCs w:val="21"/>
          <w:highlight w:val="none"/>
          <w:shd w:val="pct15" w:color="auto" w:fill="FFFFFF"/>
        </w:rPr>
        <w:t>向乙方</w:t>
      </w:r>
      <w:r>
        <w:rPr>
          <w:rFonts w:hint="eastAsia"/>
          <w:kern w:val="2"/>
          <w:sz w:val="21"/>
          <w:szCs w:val="21"/>
          <w:highlight w:val="none"/>
          <w:shd w:val="pct15" w:color="auto" w:fill="FFFFFF"/>
          <w:lang w:val="en-US" w:eastAsia="zh-CN"/>
        </w:rPr>
        <w:t>3</w:t>
      </w:r>
      <w:r>
        <w:rPr>
          <w:rFonts w:ascii="宋体" w:hAnsi="宋体" w:hint="eastAsia"/>
          <w:kern w:val="2"/>
          <w:sz w:val="21"/>
          <w:szCs w:val="21"/>
          <w:highlight w:val="none"/>
          <w:shd w:val="pct15" w:color="auto" w:fill="FFFFFF"/>
        </w:rPr>
        <w:t>支付合同总金额的</w:t>
      </w:r>
      <w:r>
        <w:rPr>
          <w:rFonts w:ascii="宋体" w:hAnsi="宋体" w:hint="eastAsia"/>
          <w:kern w:val="2"/>
          <w:sz w:val="21"/>
          <w:szCs w:val="21"/>
          <w:highlight w:val="none"/>
          <w:u w:val="single"/>
          <w:shd w:val="pct15" w:color="auto" w:fill="FFFFFF"/>
        </w:rPr>
        <w:t>100%</w:t>
      </w:r>
      <w:r>
        <w:rPr>
          <w:rFonts w:ascii="宋体" w:hAnsi="宋体" w:hint="eastAsia"/>
          <w:kern w:val="2"/>
          <w:sz w:val="21"/>
          <w:szCs w:val="21"/>
          <w:highlight w:val="none"/>
          <w:shd w:val="pct15" w:color="auto" w:fill="FFFFFF"/>
        </w:rPr>
        <w:t>，即人民币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元（小写）。甲方组织完成本服务合同履约情况评审且评审通过后，将退还乙方</w:t>
      </w:r>
      <w:r>
        <w:rPr>
          <w:rFonts w:hint="eastAsia"/>
          <w:kern w:val="2"/>
          <w:sz w:val="21"/>
          <w:szCs w:val="21"/>
          <w:highlight w:val="none"/>
          <w:shd w:val="pct15" w:color="auto" w:fill="FFFFFF"/>
          <w:lang w:val="en-US" w:eastAsia="zh-CN"/>
        </w:rPr>
        <w:t>3</w:t>
      </w:r>
      <w:r>
        <w:rPr>
          <w:rFonts w:ascii="宋体" w:hAnsi="宋体" w:hint="eastAsia"/>
          <w:kern w:val="2"/>
          <w:sz w:val="21"/>
          <w:szCs w:val="21"/>
          <w:highlight w:val="none"/>
          <w:shd w:val="pct15" w:color="auto" w:fill="FFFFFF"/>
        </w:rPr>
        <w:t>前述预付款保函；同时乙方</w:t>
      </w:r>
      <w:r>
        <w:rPr>
          <w:rFonts w:hint="eastAsia"/>
          <w:kern w:val="2"/>
          <w:sz w:val="21"/>
          <w:szCs w:val="21"/>
          <w:highlight w:val="none"/>
          <w:shd w:val="pct15" w:color="auto" w:fill="FFFFFF"/>
          <w:lang w:val="en-US" w:eastAsia="zh-CN"/>
        </w:rPr>
        <w:t>3</w:t>
      </w:r>
      <w:r>
        <w:rPr>
          <w:rFonts w:ascii="宋体" w:hAnsi="宋体" w:hint="eastAsia"/>
          <w:kern w:val="2"/>
          <w:sz w:val="21"/>
          <w:szCs w:val="21"/>
          <w:highlight w:val="none"/>
          <w:shd w:val="pct15" w:color="auto" w:fill="FFFFFF"/>
        </w:rPr>
        <w:t>向甲方提供合同总金额</w:t>
      </w:r>
      <w:r>
        <w:rPr>
          <w:rFonts w:ascii="宋体" w:hAnsi="宋体" w:hint="eastAsia"/>
          <w:kern w:val="2"/>
          <w:sz w:val="21"/>
          <w:szCs w:val="21"/>
          <w:highlight w:val="none"/>
          <w:u w:val="single"/>
          <w:shd w:val="pct15" w:color="auto" w:fill="FFFFFF"/>
        </w:rPr>
        <w:t>10%</w:t>
      </w:r>
      <w:r>
        <w:rPr>
          <w:rFonts w:ascii="宋体" w:hAnsi="宋体" w:hint="eastAsia"/>
          <w:kern w:val="2"/>
          <w:sz w:val="21"/>
          <w:szCs w:val="21"/>
          <w:highlight w:val="none"/>
          <w:shd w:val="pct15" w:color="auto" w:fill="FFFFFF"/>
        </w:rPr>
        <w:t>的履约保函，即人民币：</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元(大写)：</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 xml:space="preserve"> 元（小写），有效期截止</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年</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月</w:t>
      </w:r>
      <w:r>
        <w:rPr>
          <w:rFonts w:ascii="宋体" w:hAnsi="宋体" w:hint="eastAsia"/>
          <w:kern w:val="2"/>
          <w:sz w:val="21"/>
          <w:szCs w:val="21"/>
          <w:highlight w:val="none"/>
          <w:u w:val="single"/>
          <w:shd w:val="pct15" w:color="auto" w:fill="FFFFFF"/>
        </w:rPr>
        <w:t xml:space="preserve">   </w:t>
      </w:r>
      <w:r>
        <w:rPr>
          <w:rFonts w:ascii="宋体" w:hAnsi="宋体" w:hint="eastAsia"/>
          <w:kern w:val="2"/>
          <w:sz w:val="21"/>
          <w:szCs w:val="21"/>
          <w:highlight w:val="none"/>
          <w:shd w:val="pct15" w:color="auto" w:fill="FFFFFF"/>
        </w:rPr>
        <w:t>日</w:t>
      </w:r>
      <w:r>
        <w:rPr>
          <w:rFonts w:ascii="宋体" w:hAnsi="宋体" w:hint="eastAsia"/>
          <w:kern w:val="2"/>
          <w:sz w:val="21"/>
          <w:szCs w:val="21"/>
          <w:highlight w:val="none"/>
        </w:rPr>
        <w:t>。</w:t>
      </w:r>
    </w:p>
    <w:p w14:paraId="170DEADE">
      <w:pPr>
        <w:pStyle w:val="NormalWeb"/>
        <w:widowControl/>
        <w:spacing w:beforeAutospacing="0" w:afterAutospacing="0" w:line="360" w:lineRule="auto"/>
        <w:ind w:firstLine="420"/>
        <w:jc w:val="both"/>
        <w:rPr>
          <w:szCs w:val="21"/>
          <w:highlight w:val="none"/>
        </w:rPr>
      </w:pPr>
      <w:r>
        <w:rPr>
          <w:rFonts w:ascii="宋体" w:hAnsi="宋体" w:hint="eastAsia"/>
          <w:kern w:val="2"/>
          <w:sz w:val="21"/>
          <w:szCs w:val="21"/>
          <w:highlight w:val="none"/>
        </w:rPr>
        <w:t>3、项目终验合格且收到终验合格证明</w:t>
      </w:r>
      <w:r>
        <w:rPr>
          <w:rFonts w:ascii="宋体" w:hAnsi="宋体" w:hint="eastAsia"/>
          <w:kern w:val="2"/>
          <w:sz w:val="21"/>
          <w:szCs w:val="21"/>
          <w:highlight w:val="none"/>
          <w:u w:val="single"/>
        </w:rPr>
        <w:t>10</w:t>
      </w:r>
      <w:r>
        <w:rPr>
          <w:rFonts w:ascii="宋体" w:hAnsi="宋体" w:hint="eastAsia"/>
          <w:sz w:val="21"/>
          <w:szCs w:val="21"/>
          <w:highlight w:val="none"/>
        </w:rPr>
        <w:t>个工作</w:t>
      </w:r>
      <w:r>
        <w:rPr>
          <w:rFonts w:ascii="宋体" w:hAnsi="宋体" w:hint="eastAsia"/>
          <w:kern w:val="2"/>
          <w:sz w:val="21"/>
          <w:szCs w:val="21"/>
          <w:highlight w:val="none"/>
        </w:rPr>
        <w:t>日内，甲方退还乙方</w:t>
      </w:r>
      <w:r>
        <w:rPr>
          <w:rFonts w:hint="eastAsia"/>
          <w:kern w:val="2"/>
          <w:sz w:val="21"/>
          <w:szCs w:val="21"/>
          <w:highlight w:val="none"/>
          <w:lang w:val="en-US" w:eastAsia="zh-CN"/>
        </w:rPr>
        <w:t>1、乙方2、乙方3</w:t>
      </w:r>
      <w:r>
        <w:rPr>
          <w:rFonts w:ascii="宋体" w:hAnsi="宋体" w:hint="eastAsia"/>
          <w:kern w:val="2"/>
          <w:sz w:val="21"/>
          <w:szCs w:val="21"/>
          <w:highlight w:val="none"/>
        </w:rPr>
        <w:t>履约保函。</w:t>
      </w:r>
    </w:p>
    <w:p w14:paraId="5CEA02E6">
      <w:pPr>
        <w:pStyle w:val="NormalWeb"/>
        <w:widowControl/>
        <w:spacing w:beforeAutospacing="0" w:afterAutospacing="0" w:line="360" w:lineRule="auto"/>
        <w:ind w:firstLine="420"/>
        <w:jc w:val="both"/>
        <w:rPr>
          <w:szCs w:val="21"/>
          <w:highlight w:val="none"/>
        </w:rPr>
      </w:pPr>
      <w:r>
        <w:rPr>
          <w:rFonts w:ascii="宋体" w:hAnsi="宋体" w:hint="eastAsia"/>
          <w:kern w:val="2"/>
          <w:sz w:val="21"/>
          <w:szCs w:val="21"/>
          <w:highlight w:val="none"/>
        </w:rPr>
        <w:t>4、本合同价格包括服务产品金额，是在项目交付前、交付时所发生或引起的本合同相关的全部成本、费用等，且为完税后价格。除此之外，甲方不再向乙方支付其他任何费用。</w:t>
      </w:r>
    </w:p>
    <w:p w14:paraId="5995964F">
      <w:pPr>
        <w:tabs>
          <w:tab w:val="left" w:pos="1573"/>
        </w:tabs>
        <w:adjustRightInd w:val="0"/>
        <w:snapToGrid w:val="0"/>
        <w:spacing w:line="360" w:lineRule="auto"/>
        <w:ind w:firstLine="420" w:firstLineChars="200"/>
        <w:rPr>
          <w:szCs w:val="21"/>
          <w:highlight w:val="none"/>
        </w:rPr>
      </w:pPr>
      <w:r>
        <w:rPr>
          <w:rFonts w:asciiTheme="minorEastAsia" w:eastAsiaTheme="minorEastAsia" w:hAnsiTheme="minorEastAsia" w:hint="eastAsia"/>
          <w:szCs w:val="21"/>
          <w:highlight w:val="none"/>
        </w:rPr>
        <w:t>5、</w:t>
      </w:r>
      <w:r>
        <w:rPr>
          <w:rFonts w:asciiTheme="minorHAnsi" w:hAnsiTheme="minorHAnsi" w:hint="eastAsia"/>
          <w:szCs w:val="21"/>
          <w:highlight w:val="none"/>
        </w:rPr>
        <w:t>如付款条件满足，但项目资金未完全下达，则</w:t>
      </w:r>
      <w:r>
        <w:rPr>
          <w:rFonts w:hint="eastAsia"/>
          <w:szCs w:val="21"/>
          <w:highlight w:val="none"/>
          <w:lang w:val="en-US" w:eastAsia="zh-CN"/>
        </w:rPr>
        <w:t>甲方有权将</w:t>
      </w:r>
      <w:r>
        <w:rPr>
          <w:rFonts w:asciiTheme="minorHAnsi" w:hAnsiTheme="minorHAnsi" w:hint="eastAsia"/>
          <w:szCs w:val="21"/>
          <w:highlight w:val="none"/>
        </w:rPr>
        <w:t>付款时间延后为资金下</w:t>
      </w:r>
      <w:r>
        <w:rPr>
          <w:rFonts w:asciiTheme="minorEastAsia" w:eastAsiaTheme="minorEastAsia" w:hAnsiTheme="minorEastAsia" w:hint="eastAsia"/>
          <w:szCs w:val="21"/>
          <w:highlight w:val="none"/>
        </w:rPr>
        <w:t>达后</w:t>
      </w:r>
      <w:r>
        <w:rPr>
          <w:rFonts w:asciiTheme="minorEastAsia" w:eastAsiaTheme="minorEastAsia" w:hAnsiTheme="minorEastAsia" w:hint="eastAsia"/>
          <w:szCs w:val="21"/>
          <w:highlight w:val="none"/>
          <w:u w:val="single"/>
        </w:rPr>
        <w:t xml:space="preserve"> 15</w:t>
      </w:r>
      <w:r>
        <w:rPr>
          <w:rFonts w:asciiTheme="minorEastAsia" w:eastAsiaTheme="minorEastAsia" w:hAnsiTheme="minorEastAsia" w:hint="eastAsia"/>
          <w:szCs w:val="21"/>
          <w:highlight w:val="none"/>
        </w:rPr>
        <w:t>个工</w:t>
      </w:r>
      <w:r>
        <w:rPr>
          <w:rFonts w:asciiTheme="minorHAnsi" w:hAnsiTheme="minorHAnsi" w:hint="eastAsia"/>
          <w:szCs w:val="21"/>
          <w:highlight w:val="none"/>
        </w:rPr>
        <w:t>作日内</w:t>
      </w:r>
      <w:r>
        <w:rPr>
          <w:rFonts w:hint="eastAsia"/>
          <w:szCs w:val="21"/>
          <w:highlight w:val="none"/>
          <w:lang w:val="en-US" w:eastAsia="zh-CN"/>
        </w:rPr>
        <w:t>且不承担违约责任。</w:t>
      </w:r>
    </w:p>
    <w:bookmarkEnd w:id="251"/>
    <w:bookmarkEnd w:id="252"/>
    <w:p w14:paraId="05F7C53E">
      <w:pPr>
        <w:pStyle w:val="NormalIndent"/>
        <w:adjustRightInd w:val="0"/>
        <w:snapToGrid w:val="0"/>
        <w:spacing w:line="360" w:lineRule="auto"/>
        <w:outlineLvl w:val="0"/>
        <w:rPr>
          <w:rFonts w:ascii="宋体" w:hAnsi="宋体"/>
          <w:b/>
          <w:szCs w:val="21"/>
          <w:highlight w:val="none"/>
        </w:rPr>
      </w:pPr>
      <w:bookmarkStart w:id="256" w:name="_Toc86202596"/>
      <w:r>
        <w:rPr>
          <w:rFonts w:ascii="宋体" w:hAnsi="宋体" w:hint="eastAsia"/>
          <w:b/>
          <w:szCs w:val="21"/>
          <w:highlight w:val="none"/>
        </w:rPr>
        <w:t>六、支付和结算方式</w:t>
      </w:r>
      <w:bookmarkEnd w:id="256"/>
    </w:p>
    <w:p w14:paraId="69CBC350">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1、双方因本合同发生的一切费用均以人民币结算及支付。</w:t>
      </w:r>
    </w:p>
    <w:p w14:paraId="4838A6A7">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2、双方的</w:t>
      </w:r>
      <w:bookmarkStart w:id="257" w:name="OLE_LINK11"/>
      <w:bookmarkStart w:id="258" w:name="OLE_LINK12"/>
      <w:r>
        <w:rPr>
          <w:rFonts w:ascii="宋体" w:hAnsi="宋体" w:hint="eastAsia"/>
          <w:szCs w:val="21"/>
          <w:highlight w:val="none"/>
        </w:rPr>
        <w:t>账</w:t>
      </w:r>
      <w:bookmarkEnd w:id="257"/>
      <w:bookmarkEnd w:id="258"/>
      <w:r>
        <w:rPr>
          <w:rFonts w:ascii="宋体" w:hAnsi="宋体" w:hint="eastAsia"/>
          <w:szCs w:val="21"/>
          <w:highlight w:val="none"/>
        </w:rPr>
        <w:t>户名称、开户银行及账号以本合同提供的为准。</w:t>
      </w:r>
    </w:p>
    <w:p w14:paraId="38786CDF">
      <w:pPr>
        <w:tabs>
          <w:tab w:val="left" w:pos="1573"/>
        </w:tabs>
        <w:adjustRightInd w:val="0"/>
        <w:snapToGrid w:val="0"/>
        <w:spacing w:line="360" w:lineRule="auto"/>
        <w:ind w:firstLine="420" w:firstLineChars="200"/>
        <w:rPr>
          <w:rFonts w:ascii="宋体" w:hAnsi="宋体"/>
          <w:szCs w:val="21"/>
          <w:highlight w:val="none"/>
        </w:rPr>
      </w:pPr>
      <w:bookmarkStart w:id="259" w:name="_Toc86202597"/>
      <w:r>
        <w:rPr>
          <w:rFonts w:ascii="宋体" w:hAnsi="宋体"/>
          <w:szCs w:val="21"/>
          <w:highlight w:val="none"/>
        </w:rPr>
        <w:t>3</w:t>
      </w:r>
      <w:r>
        <w:rPr>
          <w:rFonts w:ascii="宋体" w:hAnsi="宋体" w:hint="eastAsia"/>
          <w:szCs w:val="21"/>
          <w:highlight w:val="none"/>
        </w:rPr>
        <w:t>、乙方在收到甲方每一笔付款的同时，应向甲方开具相应金额的</w:t>
      </w:r>
      <w:r>
        <w:rPr>
          <w:rFonts w:ascii="宋体" w:hAnsi="宋体" w:hint="eastAsia"/>
          <w:szCs w:val="21"/>
          <w:highlight w:val="none"/>
          <w:lang w:val="en-US" w:eastAsia="zh-CN"/>
        </w:rPr>
        <w:t>合法有效的</w:t>
      </w:r>
      <w:r>
        <w:rPr>
          <w:rFonts w:ascii="宋体" w:hAnsi="宋体" w:hint="eastAsia"/>
          <w:szCs w:val="21"/>
          <w:highlight w:val="none"/>
        </w:rPr>
        <w:t>商业发票。</w:t>
      </w:r>
    </w:p>
    <w:p w14:paraId="5D1F2E33">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4</w:t>
      </w:r>
      <w:r>
        <w:rPr>
          <w:rFonts w:ascii="宋体" w:hAnsi="宋体" w:hint="eastAsia"/>
          <w:szCs w:val="21"/>
          <w:highlight w:val="none"/>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3A0E7FE5">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七、甲方权利</w:t>
      </w:r>
      <w:r>
        <w:rPr>
          <w:rFonts w:ascii="宋体" w:hAnsi="宋体"/>
          <w:b/>
          <w:szCs w:val="21"/>
          <w:highlight w:val="none"/>
        </w:rPr>
        <w:t>和义务</w:t>
      </w:r>
    </w:p>
    <w:p w14:paraId="3E0D7C05">
      <w:pPr>
        <w:pStyle w:val="NormalIndent"/>
        <w:adjustRightInd w:val="0"/>
        <w:snapToGrid w:val="0"/>
        <w:spacing w:line="360" w:lineRule="auto"/>
        <w:ind w:left="210" w:firstLine="206" w:leftChars="100" w:firstLineChars="98"/>
        <w:rPr>
          <w:rFonts w:ascii="宋体" w:hAnsi="宋体"/>
          <w:szCs w:val="21"/>
          <w:highlight w:val="none"/>
        </w:rPr>
      </w:pPr>
      <w:r>
        <w:rPr>
          <w:rFonts w:ascii="宋体" w:hAnsi="宋体"/>
          <w:szCs w:val="21"/>
          <w:highlight w:val="none"/>
        </w:rPr>
        <w:t>1</w:t>
      </w:r>
      <w:r>
        <w:rPr>
          <w:rFonts w:ascii="宋体" w:hAnsi="宋体" w:hint="eastAsia"/>
          <w:szCs w:val="21"/>
          <w:highlight w:val="none"/>
        </w:rPr>
        <w:t>、甲方可对乙方的组织实施工作进行检查。</w:t>
      </w:r>
    </w:p>
    <w:p w14:paraId="4E600AB1">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2</w:t>
      </w:r>
      <w:r>
        <w:rPr>
          <w:rFonts w:ascii="宋体" w:hAnsi="宋体" w:hint="eastAsia"/>
          <w:szCs w:val="21"/>
          <w:highlight w:val="none"/>
        </w:rPr>
        <w:t>、甲方如对乙方工作有任何异议，应于服务产品提交后15日内以书面形式向乙方提出，对经乙方确认的异议，乙方应根据行业要求做出合理处理。逾期未提出书面异议，视同无异议。</w:t>
      </w:r>
    </w:p>
    <w:p w14:paraId="1D38641D">
      <w:pPr>
        <w:adjustRightInd w:val="0"/>
        <w:snapToGrid w:val="0"/>
        <w:spacing w:line="360" w:lineRule="auto"/>
        <w:ind w:firstLine="420" w:firstLineChars="200"/>
        <w:rPr>
          <w:rFonts w:ascii="宋体" w:hAnsi="宋体"/>
          <w:szCs w:val="21"/>
          <w:highlight w:val="none"/>
        </w:rPr>
      </w:pPr>
      <w:r>
        <w:rPr>
          <w:rFonts w:ascii="宋体" w:hAnsi="宋体"/>
          <w:szCs w:val="21"/>
          <w:highlight w:val="none"/>
        </w:rPr>
        <w:t>3</w:t>
      </w:r>
      <w:r>
        <w:rPr>
          <w:rFonts w:ascii="宋体" w:hAnsi="宋体" w:hint="eastAsia"/>
          <w:szCs w:val="21"/>
          <w:highlight w:val="none"/>
        </w:rPr>
        <w:t>、在履行合同过程中，甲方应给予乙方必要的配合，提供履行合同所必须的资料。</w:t>
      </w:r>
    </w:p>
    <w:p w14:paraId="62DB0573">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w:t>
      </w:r>
    </w:p>
    <w:p w14:paraId="60FC417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w:t>
      </w:r>
    </w:p>
    <w:p w14:paraId="580E7D63">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八</w:t>
      </w:r>
      <w:r>
        <w:rPr>
          <w:rFonts w:ascii="宋体" w:hAnsi="宋体"/>
          <w:b/>
          <w:szCs w:val="21"/>
          <w:highlight w:val="none"/>
        </w:rPr>
        <w:t>、</w:t>
      </w:r>
      <w:r>
        <w:rPr>
          <w:rFonts w:ascii="宋体" w:hAnsi="宋体" w:hint="eastAsia"/>
          <w:b/>
          <w:szCs w:val="21"/>
          <w:highlight w:val="none"/>
        </w:rPr>
        <w:t>乙方权利</w:t>
      </w:r>
      <w:r>
        <w:rPr>
          <w:rFonts w:ascii="宋体" w:hAnsi="宋体"/>
          <w:b/>
          <w:szCs w:val="21"/>
          <w:highlight w:val="none"/>
        </w:rPr>
        <w:t>和义务</w:t>
      </w:r>
    </w:p>
    <w:p w14:paraId="050E1E74">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1、合同签订生效后，乙方应组织有关人员在甲方的指导下负责拟定项目实施方案，经甲方认可后执行。乙方负责办理调查项目的审批手续。</w:t>
      </w:r>
    </w:p>
    <w:p w14:paraId="69051908">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2、乙方接受甲方的委托后，及时向甲方提供项目实施的具体工作日程安排。</w:t>
      </w:r>
    </w:p>
    <w:p w14:paraId="0826C9D6">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3、合同签订生效后，乙方应按实施方案完成有关任务，按照合同约定的时间向甲方提供服务产品，满足甲方在技术需求和业务需求中的要求。项目实施各阶段评审发生的评审费、文档印刷费等费用由乙方承担。</w:t>
      </w:r>
    </w:p>
    <w:p w14:paraId="52A6E048">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14:paraId="3B20EF78">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w:t>
      </w:r>
      <w:r>
        <w:rPr>
          <w:rFonts w:ascii="宋体" w:hAnsi="宋体" w:hint="eastAsia"/>
          <w:szCs w:val="21"/>
          <w:highlight w:val="none"/>
          <w:lang w:val="en-US" w:eastAsia="zh-CN"/>
        </w:rPr>
        <w:t>经济</w:t>
      </w:r>
      <w:r>
        <w:rPr>
          <w:rFonts w:ascii="宋体" w:hAnsi="宋体" w:hint="eastAsia"/>
          <w:szCs w:val="21"/>
          <w:highlight w:val="none"/>
        </w:rPr>
        <w:t>损失（包括数据恢复费用、业务中断损失、监管罚款等），并承担因此产生的法律责任。</w:t>
      </w:r>
    </w:p>
    <w:p w14:paraId="0741C6A9">
      <w:pPr>
        <w:pStyle w:val="NormalIndent"/>
        <w:adjustRightInd w:val="0"/>
        <w:snapToGrid w:val="0"/>
        <w:spacing w:line="360" w:lineRule="auto"/>
        <w:outlineLvl w:val="0"/>
        <w:rPr>
          <w:rFonts w:ascii="宋体" w:hAnsi="宋体"/>
          <w:b/>
          <w:szCs w:val="21"/>
          <w:highlight w:val="none"/>
          <w:lang w:val="en-US"/>
        </w:rPr>
      </w:pPr>
      <w:r>
        <w:rPr>
          <w:rFonts w:ascii="宋体" w:hAnsi="宋体" w:hint="eastAsia"/>
          <w:b/>
          <w:szCs w:val="21"/>
          <w:highlight w:val="none"/>
        </w:rPr>
        <w:t>九、质量标准和检验方式</w:t>
      </w:r>
    </w:p>
    <w:p w14:paraId="40AD02D8">
      <w:pPr>
        <w:pStyle w:val="NormalIndent"/>
        <w:numPr>
          <w:ilvl w:val="6"/>
          <w:numId w:val="0"/>
        </w:numPr>
        <w:adjustRightInd w:val="0"/>
        <w:snapToGrid w:val="0"/>
        <w:spacing w:line="360" w:lineRule="auto"/>
        <w:ind w:firstLine="420" w:firstLineChars="200"/>
        <w:rPr>
          <w:rFonts w:ascii="宋体" w:hAnsi="宋体"/>
          <w:szCs w:val="21"/>
          <w:highlight w:val="none"/>
          <w:lang w:val="en-US"/>
        </w:rPr>
      </w:pPr>
    </w:p>
    <w:p w14:paraId="10D50D0E">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十、资料的使用</w:t>
      </w:r>
    </w:p>
    <w:p w14:paraId="21CBB0B6">
      <w:pPr>
        <w:adjustRightInd w:val="0"/>
        <w:snapToGrid w:val="0"/>
        <w:spacing w:line="360" w:lineRule="auto"/>
        <w:ind w:left="105" w:firstLine="315" w:leftChars="50" w:firstLineChars="150"/>
        <w:rPr>
          <w:rFonts w:ascii="宋体" w:hAnsi="宋体"/>
          <w:szCs w:val="21"/>
          <w:highlight w:val="none"/>
        </w:rPr>
      </w:pPr>
      <w:r>
        <w:rPr>
          <w:rFonts w:ascii="宋体" w:hAnsi="宋体"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2BEAA436">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2、没有甲方事先书面同意，除了履行本合同之外，乙方不应使用甲方提供的任何文件和资料。</w:t>
      </w:r>
    </w:p>
    <w:p w14:paraId="151BC7A2">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w:t>
      </w:r>
      <w:r>
        <w:rPr>
          <w:rFonts w:ascii="宋体" w:hAnsi="宋体" w:hint="eastAsia"/>
          <w:szCs w:val="21"/>
          <w:highlight w:val="none"/>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若因上述行为导致</w:t>
      </w:r>
      <w:r>
        <w:rPr>
          <w:rFonts w:ascii="宋体" w:hAnsi="宋体" w:hint="eastAsia"/>
          <w:szCs w:val="21"/>
          <w:highlight w:val="none"/>
          <w:lang w:val="en-US" w:eastAsia="zh-CN" w:bidi="ar"/>
        </w:rPr>
        <w:t>甲方产生损失</w:t>
      </w:r>
      <w:r>
        <w:rPr>
          <w:rFonts w:ascii="宋体" w:hAnsi="宋体" w:hint="eastAsia"/>
          <w:szCs w:val="21"/>
          <w:highlight w:val="none"/>
          <w:lang w:bidi="ar"/>
        </w:rPr>
        <w:t>，乙方需赔偿</w:t>
      </w:r>
      <w:r>
        <w:rPr>
          <w:rFonts w:ascii="宋体" w:hAnsi="宋体" w:hint="eastAsia"/>
          <w:szCs w:val="21"/>
          <w:highlight w:val="none"/>
          <w:lang w:val="en-US" w:eastAsia="zh-CN" w:bidi="ar"/>
        </w:rPr>
        <w:t>甲方</w:t>
      </w:r>
      <w:r>
        <w:rPr>
          <w:rFonts w:ascii="宋体" w:hAnsi="宋体" w:hint="eastAsia"/>
          <w:szCs w:val="21"/>
          <w:highlight w:val="none"/>
          <w:lang w:bidi="ar"/>
        </w:rPr>
        <w:t>全部经济损失（包括数据恢复费用、业务中断损失、监管罚款</w:t>
      </w:r>
      <w:r>
        <w:rPr>
          <w:rFonts w:ascii="宋体" w:hAnsi="宋体" w:hint="eastAsia"/>
          <w:szCs w:val="21"/>
          <w:highlight w:val="none"/>
          <w:lang w:eastAsia="zh-CN" w:bidi="ar"/>
        </w:rPr>
        <w:t>、</w:t>
      </w:r>
      <w:r>
        <w:rPr>
          <w:rFonts w:ascii="宋体" w:hAnsi="宋体" w:hint="eastAsia"/>
          <w:szCs w:val="21"/>
          <w:highlight w:val="none"/>
          <w:lang w:val="en-US" w:eastAsia="zh-CN" w:bidi="ar"/>
        </w:rPr>
        <w:t>为避免信息扩散而支出的补救费用</w:t>
      </w:r>
      <w:r>
        <w:rPr>
          <w:rFonts w:ascii="宋体" w:hAnsi="宋体" w:hint="eastAsia"/>
          <w:szCs w:val="21"/>
          <w:highlight w:val="none"/>
          <w:lang w:bidi="ar"/>
        </w:rPr>
        <w:t>等），并承担因此产生的法律责任。</w:t>
      </w:r>
    </w:p>
    <w:p w14:paraId="6EF19D80">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4、除了合同本身以外，甲方提供给乙方的任何文件是甲方的财产。如果甲方有要求，乙方在完成合同后应将这些文件(全部拷贝)还给甲方。</w:t>
      </w:r>
    </w:p>
    <w:p w14:paraId="71E5E5BF">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甲方提供该乙方履行合同所需的资料清单如下</w:t>
      </w:r>
      <w:r>
        <w:rPr>
          <w:rFonts w:ascii="宋体" w:hAnsi="宋体"/>
          <w:szCs w:val="21"/>
          <w:highlight w:val="none"/>
        </w:rPr>
        <w:t>：</w:t>
      </w:r>
    </w:p>
    <w:p w14:paraId="0AFB0DB2">
      <w:pPr>
        <w:tabs>
          <w:tab w:val="left" w:pos="1573"/>
        </w:tabs>
        <w:adjustRightInd w:val="0"/>
        <w:snapToGrid w:val="0"/>
        <w:spacing w:line="360" w:lineRule="auto"/>
        <w:ind w:firstLine="420" w:firstLineChars="200"/>
        <w:rPr>
          <w:rFonts w:ascii="宋体" w:hAnsi="宋体"/>
          <w:szCs w:val="21"/>
          <w:highlight w:val="none"/>
          <w:u w:val="single"/>
        </w:rPr>
      </w:pPr>
      <w:r>
        <w:rPr>
          <w:rFonts w:ascii="宋体" w:hAnsi="宋体" w:hint="eastAsia"/>
          <w:szCs w:val="21"/>
          <w:highlight w:val="none"/>
        </w:rPr>
        <w:t>1）</w:t>
      </w:r>
      <w:r>
        <w:rPr>
          <w:rFonts w:ascii="宋体" w:hAnsi="宋体" w:hint="eastAsia"/>
          <w:szCs w:val="21"/>
          <w:highlight w:val="none"/>
          <w:u w:val="single"/>
        </w:rPr>
        <w:t xml:space="preserve">                      </w:t>
      </w:r>
    </w:p>
    <w:p w14:paraId="1DBE4937">
      <w:pPr>
        <w:tabs>
          <w:tab w:val="left" w:pos="1573"/>
        </w:tabs>
        <w:adjustRightInd w:val="0"/>
        <w:snapToGrid w:val="0"/>
        <w:spacing w:line="360" w:lineRule="auto"/>
        <w:ind w:firstLine="420" w:firstLineChars="200"/>
        <w:rPr>
          <w:rFonts w:ascii="宋体" w:hAnsi="宋体"/>
          <w:szCs w:val="21"/>
          <w:highlight w:val="none"/>
          <w:u w:val="single"/>
        </w:rPr>
      </w:pPr>
      <w:r>
        <w:rPr>
          <w:rFonts w:ascii="宋体" w:hAnsi="宋体"/>
          <w:szCs w:val="21"/>
          <w:highlight w:val="none"/>
        </w:rPr>
        <w:t>2</w:t>
      </w:r>
      <w:r>
        <w:rPr>
          <w:rFonts w:ascii="宋体" w:hAnsi="宋体" w:hint="eastAsia"/>
          <w:szCs w:val="21"/>
          <w:highlight w:val="none"/>
        </w:rPr>
        <w:t>）</w:t>
      </w:r>
      <w:r>
        <w:rPr>
          <w:rFonts w:ascii="宋体" w:hAnsi="宋体" w:hint="eastAsia"/>
          <w:szCs w:val="21"/>
          <w:highlight w:val="none"/>
          <w:u w:val="single"/>
        </w:rPr>
        <w:t xml:space="preserve">                      </w:t>
      </w:r>
    </w:p>
    <w:p w14:paraId="72C774A2">
      <w:pPr>
        <w:tabs>
          <w:tab w:val="left" w:pos="1573"/>
        </w:tabs>
        <w:adjustRightInd w:val="0"/>
        <w:snapToGrid w:val="0"/>
        <w:spacing w:line="360" w:lineRule="auto"/>
        <w:ind w:firstLine="420" w:firstLineChars="200"/>
        <w:rPr>
          <w:rFonts w:ascii="宋体" w:hAnsi="宋体"/>
          <w:szCs w:val="21"/>
          <w:highlight w:val="none"/>
          <w:u w:val="single"/>
        </w:rPr>
      </w:pPr>
      <w:r>
        <w:rPr>
          <w:rFonts w:ascii="宋体" w:hAnsi="宋体"/>
          <w:szCs w:val="21"/>
          <w:highlight w:val="none"/>
        </w:rPr>
        <w:t>3</w:t>
      </w:r>
      <w:r>
        <w:rPr>
          <w:rFonts w:ascii="宋体" w:hAnsi="宋体" w:hint="eastAsia"/>
          <w:szCs w:val="21"/>
          <w:highlight w:val="none"/>
        </w:rPr>
        <w:t>）</w:t>
      </w:r>
      <w:r>
        <w:rPr>
          <w:rFonts w:ascii="宋体" w:hAnsi="宋体" w:hint="eastAsia"/>
          <w:szCs w:val="21"/>
          <w:highlight w:val="none"/>
          <w:u w:val="single"/>
        </w:rPr>
        <w:t xml:space="preserve">                      </w:t>
      </w:r>
    </w:p>
    <w:p w14:paraId="6235322F">
      <w:pPr>
        <w:tabs>
          <w:tab w:val="left" w:pos="1573"/>
        </w:tabs>
        <w:adjustRightInd w:val="0"/>
        <w:snapToGrid w:val="0"/>
        <w:spacing w:line="360" w:lineRule="auto"/>
        <w:ind w:firstLine="420" w:firstLineChars="200"/>
        <w:rPr>
          <w:rFonts w:ascii="宋体" w:hAnsi="宋体"/>
          <w:szCs w:val="21"/>
          <w:highlight w:val="none"/>
          <w:u w:val="single"/>
        </w:rPr>
      </w:pPr>
      <w:r>
        <w:rPr>
          <w:rFonts w:ascii="宋体" w:hAnsi="宋体"/>
          <w:szCs w:val="21"/>
          <w:highlight w:val="none"/>
        </w:rPr>
        <w:t>4</w:t>
      </w:r>
      <w:r>
        <w:rPr>
          <w:rFonts w:ascii="宋体" w:hAnsi="宋体" w:hint="eastAsia"/>
          <w:szCs w:val="21"/>
          <w:highlight w:val="none"/>
        </w:rPr>
        <w:t>）</w:t>
      </w:r>
      <w:r>
        <w:rPr>
          <w:rFonts w:ascii="宋体" w:hAnsi="宋体" w:hint="eastAsia"/>
          <w:szCs w:val="21"/>
          <w:highlight w:val="none"/>
          <w:u w:val="single"/>
        </w:rPr>
        <w:t xml:space="preserve">                      </w:t>
      </w:r>
    </w:p>
    <w:p w14:paraId="3D66F255">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w:t>
      </w:r>
    </w:p>
    <w:p w14:paraId="0357A5B3">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十一、知识产权</w:t>
      </w:r>
    </w:p>
    <w:p w14:paraId="56B608E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1、在本协议生效日前业已存在的版权及其他知识产权应属于本协议生效前既拥有该等权利的一方。</w:t>
      </w:r>
    </w:p>
    <w:p w14:paraId="09D377C5">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2、任何一方均不可凭借本协议取得另一方此前所已经拥有且根据本合同不应被合理的推论为其已经同意转移的版权、专利、商业秘密、商标或其他知识产权的所有权。</w:t>
      </w:r>
    </w:p>
    <w:p w14:paraId="55AD959C">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3、符合法律规定及当事人约定的原则：任何相关事项均应当符合法律规定，及应当符合当事人约定。</w:t>
      </w:r>
    </w:p>
    <w:p w14:paraId="2103659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7AE60F6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14:paraId="1EFB78BA">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14:paraId="2740DAFB">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十二、进度要求</w:t>
      </w:r>
    </w:p>
    <w:bookmarkEnd w:id="259"/>
    <w:p w14:paraId="0616176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1、交付日期：</w:t>
      </w:r>
      <w:r>
        <w:rPr>
          <w:rFonts w:ascii="宋体" w:hAnsi="宋体" w:hint="eastAsia"/>
          <w:szCs w:val="21"/>
          <w:highlight w:val="none"/>
          <w:u w:val="single"/>
        </w:rPr>
        <w:tab/>
      </w:r>
      <w:r>
        <w:rPr>
          <w:rFonts w:ascii="宋体" w:hAnsi="宋体" w:hint="eastAsia"/>
          <w:szCs w:val="21"/>
          <w:highlight w:val="none"/>
        </w:rPr>
        <w:t>。</w:t>
      </w:r>
    </w:p>
    <w:p w14:paraId="4B1AA6C5">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2、交付地点：</w:t>
      </w:r>
      <w:r>
        <w:rPr>
          <w:rFonts w:ascii="宋体" w:hAnsi="宋体" w:hint="eastAsia"/>
          <w:szCs w:val="21"/>
          <w:highlight w:val="none"/>
          <w:u w:val="single"/>
        </w:rPr>
        <w:tab/>
      </w:r>
      <w:r>
        <w:rPr>
          <w:rFonts w:ascii="宋体" w:hAnsi="宋体" w:hint="eastAsia"/>
          <w:szCs w:val="21"/>
          <w:highlight w:val="none"/>
        </w:rPr>
        <w:t>。</w:t>
      </w:r>
    </w:p>
    <w:p w14:paraId="41C4F911">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3、服务期：</w:t>
      </w:r>
      <w:r>
        <w:rPr>
          <w:rFonts w:ascii="宋体" w:hAnsi="宋体" w:hint="eastAsia"/>
          <w:szCs w:val="21"/>
          <w:highlight w:val="none"/>
          <w:u w:val="single"/>
        </w:rPr>
        <w:tab/>
      </w:r>
      <w:r>
        <w:rPr>
          <w:rFonts w:ascii="宋体" w:hAnsi="宋体"/>
          <w:szCs w:val="21"/>
          <w:highlight w:val="none"/>
          <w:u w:val="single"/>
        </w:rPr>
        <w:t xml:space="preserve">  </w:t>
      </w:r>
      <w:r>
        <w:rPr>
          <w:rFonts w:ascii="宋体" w:hAnsi="宋体" w:hint="eastAsia"/>
          <w:szCs w:val="21"/>
          <w:highlight w:val="none"/>
        </w:rPr>
        <w:t>。</w:t>
      </w:r>
    </w:p>
    <w:p w14:paraId="27BC6D87">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4、其他约定事项：</w:t>
      </w:r>
      <w:r>
        <w:rPr>
          <w:rFonts w:ascii="宋体" w:hAnsi="宋体" w:hint="eastAsia"/>
          <w:szCs w:val="21"/>
          <w:highlight w:val="none"/>
          <w:u w:val="single"/>
        </w:rPr>
        <w:t xml:space="preserve">     </w:t>
      </w:r>
      <w:r>
        <w:rPr>
          <w:rFonts w:ascii="宋体" w:hAnsi="宋体" w:hint="eastAsia"/>
          <w:szCs w:val="21"/>
          <w:highlight w:val="none"/>
        </w:rPr>
        <w:t>。</w:t>
      </w:r>
    </w:p>
    <w:p w14:paraId="45D6BA61">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十三、</w:t>
      </w:r>
      <w:bookmarkStart w:id="260" w:name="_Toc86202602"/>
      <w:r>
        <w:rPr>
          <w:rFonts w:ascii="宋体" w:hAnsi="宋体" w:hint="eastAsia"/>
          <w:b/>
          <w:szCs w:val="21"/>
          <w:highlight w:val="none"/>
        </w:rPr>
        <w:t>预付款保函及履约保函</w:t>
      </w:r>
    </w:p>
    <w:p w14:paraId="7B0F77D4">
      <w:pPr>
        <w:snapToGrid w:val="0"/>
        <w:spacing w:line="360" w:lineRule="auto"/>
        <w:ind w:firstLine="420" w:firstLineChars="200"/>
        <w:rPr>
          <w:rFonts w:ascii="宋体" w:hAnsi="宋体"/>
          <w:bCs/>
          <w:szCs w:val="21"/>
          <w:highlight w:val="none"/>
        </w:rPr>
      </w:pPr>
      <w:r>
        <w:rPr>
          <w:rFonts w:ascii="宋体" w:hAnsi="宋体" w:hint="eastAsia"/>
          <w:bCs/>
          <w:szCs w:val="21"/>
          <w:highlight w:val="none"/>
        </w:rPr>
        <w:t>详见</w:t>
      </w:r>
      <w:r>
        <w:rPr>
          <w:rFonts w:ascii="宋体" w:hAnsi="宋体" w:hint="eastAsia"/>
          <w:szCs w:val="21"/>
          <w:highlight w:val="none"/>
        </w:rPr>
        <w:t>“一、定义”及</w:t>
      </w:r>
      <w:r>
        <w:rPr>
          <w:rFonts w:ascii="宋体" w:hAnsi="宋体" w:hint="eastAsia"/>
          <w:bCs/>
          <w:szCs w:val="21"/>
          <w:highlight w:val="none"/>
        </w:rPr>
        <w:t>“六、付款方式”。</w:t>
      </w:r>
    </w:p>
    <w:p w14:paraId="172A1022">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十四、审计及检查</w:t>
      </w:r>
    </w:p>
    <w:p w14:paraId="3AB93A86">
      <w:pPr>
        <w:tabs>
          <w:tab w:val="left" w:pos="360"/>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如果甲方</w:t>
      </w:r>
      <w:r>
        <w:rPr>
          <w:rFonts w:ascii="宋体" w:hAnsi="宋体"/>
          <w:bCs/>
          <w:szCs w:val="21"/>
          <w:highlight w:val="none"/>
        </w:rPr>
        <w:t>或</w:t>
      </w:r>
      <w:r>
        <w:rPr>
          <w:rFonts w:ascii="宋体" w:hAnsi="宋体" w:hint="eastAsia"/>
          <w:bCs/>
          <w:szCs w:val="21"/>
          <w:highlight w:val="none"/>
        </w:rPr>
        <w:t>采购人要求，乙方</w:t>
      </w:r>
      <w:r>
        <w:rPr>
          <w:rFonts w:ascii="宋体" w:hAnsi="宋体"/>
          <w:bCs/>
          <w:szCs w:val="21"/>
          <w:highlight w:val="none"/>
        </w:rPr>
        <w:t>或</w:t>
      </w:r>
      <w:r>
        <w:rPr>
          <w:rFonts w:ascii="宋体" w:hAnsi="宋体" w:hint="eastAsia"/>
          <w:bCs/>
          <w:szCs w:val="21"/>
          <w:highlight w:val="none"/>
        </w:rPr>
        <w:t>中标人应允许甲方</w:t>
      </w:r>
      <w:r>
        <w:rPr>
          <w:rFonts w:ascii="宋体" w:hAnsi="宋体"/>
          <w:bCs/>
          <w:szCs w:val="21"/>
          <w:highlight w:val="none"/>
        </w:rPr>
        <w:t>或</w:t>
      </w:r>
      <w:r>
        <w:rPr>
          <w:rFonts w:ascii="宋体" w:hAnsi="宋体" w:hint="eastAsia"/>
          <w:bCs/>
          <w:szCs w:val="21"/>
          <w:highlight w:val="none"/>
        </w:rPr>
        <w:t>采购人检查乙方</w:t>
      </w:r>
      <w:r>
        <w:rPr>
          <w:rFonts w:ascii="宋体" w:hAnsi="宋体"/>
          <w:bCs/>
          <w:szCs w:val="21"/>
          <w:highlight w:val="none"/>
        </w:rPr>
        <w:t>或</w:t>
      </w:r>
      <w:r>
        <w:rPr>
          <w:rFonts w:ascii="宋体" w:hAnsi="宋体" w:hint="eastAsia"/>
          <w:bCs/>
          <w:szCs w:val="21"/>
          <w:highlight w:val="none"/>
        </w:rPr>
        <w:t>中标人与实施本合同有关的资金、</w:t>
      </w:r>
      <w:r>
        <w:rPr>
          <w:rFonts w:ascii="宋体" w:hAnsi="宋体" w:hint="eastAsia"/>
          <w:szCs w:val="21"/>
          <w:highlight w:val="none"/>
        </w:rPr>
        <w:t>账</w:t>
      </w:r>
      <w:r>
        <w:rPr>
          <w:rFonts w:ascii="宋体" w:hAnsi="宋体" w:hint="eastAsia"/>
          <w:bCs/>
          <w:szCs w:val="21"/>
          <w:highlight w:val="none"/>
        </w:rPr>
        <w:t>户和记录，并由甲方</w:t>
      </w:r>
      <w:r>
        <w:rPr>
          <w:rFonts w:ascii="宋体" w:hAnsi="宋体"/>
          <w:bCs/>
          <w:szCs w:val="21"/>
          <w:highlight w:val="none"/>
        </w:rPr>
        <w:t>或</w:t>
      </w:r>
      <w:r>
        <w:rPr>
          <w:rFonts w:ascii="宋体" w:hAnsi="宋体" w:hint="eastAsia"/>
          <w:bCs/>
          <w:szCs w:val="21"/>
          <w:highlight w:val="none"/>
        </w:rPr>
        <w:t>采购人指定的审计人员对其进行审计。</w:t>
      </w:r>
    </w:p>
    <w:p w14:paraId="0E4AE8FF">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十五、违约责任</w:t>
      </w:r>
      <w:bookmarkEnd w:id="260"/>
    </w:p>
    <w:p w14:paraId="7E528573">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4C198098">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700E253F">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（1）在甲方同意延长的期限内交付服务产品并承担由此给甲方造成的直接损失及甲方因此产生的对第三方的责任。</w:t>
      </w:r>
    </w:p>
    <w:p w14:paraId="419A2DF4">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（2）甲方有权部分或全部解除合同并要求乙方赔偿由此造成的损失及甲方因此产生的对第三方的责任。此时甲方可采取必要的补救措施，相关费用由乙方承担。</w:t>
      </w:r>
    </w:p>
    <w:p w14:paraId="53B30AEB">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（3）上述情形下甲方为采取必要的补救措施或因防止损失扩大而支出的合理费用应由乙方承担。</w:t>
      </w:r>
    </w:p>
    <w:p w14:paraId="3F9D8392">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236277DB">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4、延期交付或延期付款的违约责任：如乙方延期交付或甲方延期付款，每逾期一天，违约方应按延期交货所折合的金额</w:t>
      </w:r>
      <w:r>
        <w:rPr>
          <w:rFonts w:ascii="宋体" w:hAnsi="宋体" w:hint="eastAsia"/>
          <w:szCs w:val="21"/>
          <w:highlight w:val="none"/>
          <w:u w:val="single"/>
        </w:rPr>
        <w:t xml:space="preserve">    </w:t>
      </w:r>
      <w:r>
        <w:rPr>
          <w:rFonts w:ascii="宋体" w:hAnsi="宋体" w:hint="eastAsia"/>
          <w:szCs w:val="21"/>
          <w:highlight w:val="none"/>
        </w:rPr>
        <w:t>%或延期付款金额每天</w:t>
      </w:r>
      <w:r>
        <w:rPr>
          <w:rFonts w:ascii="宋体" w:hAnsi="宋体"/>
          <w:szCs w:val="21"/>
          <w:highlight w:val="none"/>
          <w:u w:val="single"/>
        </w:rPr>
        <w:t xml:space="preserve">       </w:t>
      </w:r>
      <w:r>
        <w:rPr>
          <w:rFonts w:ascii="宋体" w:hAnsi="宋体" w:hint="eastAsia"/>
          <w:szCs w:val="21"/>
          <w:highlight w:val="none"/>
        </w:rPr>
        <w:t>‰ 的比例向对方支付违约金。上述逾期超过</w:t>
      </w:r>
      <w:r>
        <w:rPr>
          <w:rFonts w:ascii="宋体" w:hAnsi="宋体" w:hint="eastAsia"/>
          <w:szCs w:val="21"/>
          <w:highlight w:val="none"/>
          <w:u w:val="single"/>
        </w:rPr>
        <w:t xml:space="preserve">      天</w:t>
      </w:r>
      <w:r>
        <w:rPr>
          <w:rFonts w:ascii="宋体" w:hAnsi="宋体" w:hint="eastAsia"/>
          <w:szCs w:val="21"/>
          <w:highlight w:val="none"/>
        </w:rPr>
        <w:t>，守约方有权解除合同，违约方应按本合同总金额的20%向守约方支付违约金，如违约金不足以弥补损失的，应赔偿由此造成的所有损失。</w:t>
      </w:r>
    </w:p>
    <w:p w14:paraId="2CEF4AC4">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 xml:space="preserve">5、其它违约责任 </w:t>
      </w:r>
    </w:p>
    <w:p w14:paraId="3F48F3DB">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（1）如任何一方无故解除合同或有违反本合同规定的任何情形均属于违约行为，违约方应就每一单项违约向对方支付合同总金额</w:t>
      </w:r>
      <w:r>
        <w:rPr>
          <w:rFonts w:ascii="宋体" w:hAnsi="宋体" w:hint="eastAsia"/>
          <w:szCs w:val="21"/>
          <w:highlight w:val="none"/>
          <w:u w:val="single"/>
        </w:rPr>
        <w:t xml:space="preserve">     </w:t>
      </w:r>
      <w:r>
        <w:rPr>
          <w:rFonts w:ascii="宋体" w:hAnsi="宋体" w:hint="eastAsia"/>
          <w:szCs w:val="21"/>
          <w:highlight w:val="none"/>
        </w:rPr>
        <w:t>%的违约金。</w:t>
      </w:r>
    </w:p>
    <w:p w14:paraId="24D4D94B">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（2）如乙方在合同规定的交付日期后10天内仍未能交付，则视为乙方不能交付，甲方有权解除合同，乙方若已经收取了甲方的定金则同时还应双倍返还已收取的定金。</w:t>
      </w:r>
      <w:bookmarkStart w:id="261" w:name="_Toc86202603"/>
    </w:p>
    <w:p w14:paraId="09BEDFCE">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6、乙方违反规定，有下列行为之一的，甲方有权对因此造成的损失追究责任；构成犯罪的，由司法机关追究其刑事责任：</w:t>
      </w:r>
    </w:p>
    <w:p w14:paraId="5309F95F">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（1）擅自向第三方提供或者转让项目资料的；</w:t>
      </w:r>
    </w:p>
    <w:p w14:paraId="02327136">
      <w:pPr>
        <w:pStyle w:val="20"/>
        <w:adjustRightInd w:val="0"/>
        <w:snapToGrid w:val="0"/>
        <w:spacing w:before="0" w:after="0"/>
        <w:ind w:left="200" w:firstLine="200" w:leftChars="95" w:firstLineChars="95"/>
        <w:rPr>
          <w:rFonts w:ascii="宋体" w:hAnsi="宋体"/>
          <w:sz w:val="21"/>
          <w:szCs w:val="21"/>
          <w:highlight w:val="none"/>
        </w:rPr>
      </w:pPr>
      <w:r>
        <w:rPr>
          <w:rFonts w:ascii="宋体" w:hAnsi="宋体" w:hint="eastAsia"/>
          <w:sz w:val="21"/>
          <w:szCs w:val="21"/>
          <w:highlight w:val="none"/>
          <w:lang w:val="en-US"/>
        </w:rPr>
        <w:t>（</w:t>
      </w:r>
      <w:r>
        <w:rPr>
          <w:rFonts w:ascii="宋体" w:hAnsi="宋体" w:hint="eastAsia"/>
          <w:sz w:val="21"/>
          <w:szCs w:val="21"/>
          <w:highlight w:val="none"/>
        </w:rPr>
        <w:t>2）未经甲方许可使用项目资料的；</w:t>
      </w:r>
    </w:p>
    <w:p w14:paraId="4AB4B2FE">
      <w:pPr>
        <w:pStyle w:val="20"/>
        <w:adjustRightInd w:val="0"/>
        <w:snapToGrid w:val="0"/>
        <w:spacing w:before="0" w:after="0"/>
        <w:ind w:left="200" w:firstLine="200" w:leftChars="95" w:firstLineChars="95"/>
        <w:rPr>
          <w:rFonts w:ascii="宋体" w:hAnsi="宋体"/>
          <w:sz w:val="21"/>
          <w:szCs w:val="21"/>
          <w:highlight w:val="none"/>
        </w:rPr>
      </w:pPr>
      <w:r>
        <w:rPr>
          <w:rFonts w:ascii="宋体" w:hAnsi="宋体" w:hint="eastAsia"/>
          <w:sz w:val="21"/>
          <w:szCs w:val="21"/>
          <w:highlight w:val="none"/>
        </w:rPr>
        <w:t>（3）项目完成后，乙方未经甲方许可保留项目资料的；</w:t>
      </w:r>
    </w:p>
    <w:p w14:paraId="0AFDD8DE">
      <w:pPr>
        <w:pStyle w:val="20"/>
        <w:adjustRightInd w:val="0"/>
        <w:snapToGrid w:val="0"/>
        <w:spacing w:before="0" w:after="0"/>
        <w:ind w:left="200" w:firstLine="200" w:leftChars="95" w:firstLineChars="95"/>
        <w:rPr>
          <w:rFonts w:ascii="宋体" w:hAnsi="宋体"/>
          <w:sz w:val="21"/>
          <w:szCs w:val="21"/>
          <w:highlight w:val="none"/>
        </w:rPr>
      </w:pPr>
      <w:r>
        <w:rPr>
          <w:rFonts w:ascii="宋体" w:hAnsi="宋体" w:hint="eastAsia"/>
          <w:sz w:val="21"/>
          <w:szCs w:val="21"/>
          <w:highlight w:val="none"/>
        </w:rPr>
        <w:t>（4）对项目资料保管不当，造成数据全部或者部分丢失、被窃的。</w:t>
      </w:r>
    </w:p>
    <w:p w14:paraId="311DFE02">
      <w:pPr>
        <w:pStyle w:val="20"/>
        <w:adjustRightInd w:val="0"/>
        <w:snapToGrid w:val="0"/>
        <w:spacing w:before="0" w:after="0"/>
        <w:ind w:left="0" w:firstLine="424" w:leftChars="0" w:firstLineChars="202"/>
        <w:rPr>
          <w:rFonts w:ascii="宋体" w:hAnsi="宋体"/>
          <w:sz w:val="21"/>
          <w:szCs w:val="21"/>
          <w:highlight w:val="none"/>
        </w:rPr>
      </w:pPr>
      <w:r>
        <w:rPr>
          <w:rFonts w:ascii="宋体" w:hAnsi="宋体" w:hint="eastAsia"/>
          <w:sz w:val="21"/>
          <w:szCs w:val="21"/>
          <w:highlight w:val="none"/>
        </w:rPr>
        <w:t>7、乙方在进行项目时违反有关保密规定的，依照《中华人民共和国保</w:t>
      </w:r>
      <w:r>
        <w:rPr>
          <w:rFonts w:ascii="宋体" w:hAnsi="宋体" w:hint="eastAsia"/>
          <w:sz w:val="21"/>
          <w:szCs w:val="21"/>
          <w:highlight w:val="none"/>
          <w:lang w:val="en-US" w:eastAsia="zh-CN"/>
        </w:rPr>
        <w:t>守国家秘</w:t>
      </w:r>
      <w:r>
        <w:rPr>
          <w:rFonts w:ascii="宋体" w:hAnsi="宋体" w:hint="eastAsia"/>
          <w:sz w:val="21"/>
          <w:szCs w:val="21"/>
          <w:highlight w:val="none"/>
        </w:rPr>
        <w:t>密法》等有关法律法规的规定处理。</w:t>
      </w:r>
    </w:p>
    <w:p w14:paraId="69281E4A">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0167EA4F">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9、以上各项交付的违约金并不影响违约方履行合同的各项义务。</w:t>
      </w:r>
    </w:p>
    <w:p w14:paraId="10F1853B">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10、乙方</w:t>
      </w:r>
      <w:r>
        <w:rPr>
          <w:rFonts w:ascii="宋体" w:hAnsi="宋体" w:hint="eastAsia"/>
          <w:szCs w:val="21"/>
          <w:highlight w:val="none"/>
          <w:lang w:val="en-US" w:eastAsia="zh-CN"/>
        </w:rPr>
        <w:t>以联合体形式向甲方提供服务</w:t>
      </w:r>
      <w:r>
        <w:rPr>
          <w:rFonts w:ascii="宋体" w:hAnsi="宋体" w:hint="eastAsia"/>
          <w:szCs w:val="21"/>
          <w:highlight w:val="none"/>
          <w:lang w:eastAsia="zh-CN"/>
        </w:rPr>
        <w:t>，</w:t>
      </w:r>
      <w:r>
        <w:rPr>
          <w:rFonts w:ascii="宋体" w:hAnsi="宋体" w:hint="eastAsia"/>
          <w:szCs w:val="21"/>
          <w:highlight w:val="none"/>
        </w:rPr>
        <w:t>相关责任义务等均由乙方</w:t>
      </w:r>
      <w:r>
        <w:rPr>
          <w:rFonts w:ascii="宋体" w:hAnsi="宋体" w:hint="eastAsia"/>
          <w:szCs w:val="21"/>
          <w:highlight w:val="none"/>
          <w:lang w:val="en-US" w:eastAsia="zh-CN"/>
        </w:rPr>
        <w:t>联合体各成员</w:t>
      </w:r>
      <w:r>
        <w:rPr>
          <w:rFonts w:ascii="宋体" w:hAnsi="宋体" w:hint="eastAsia"/>
          <w:szCs w:val="21"/>
          <w:highlight w:val="none"/>
        </w:rPr>
        <w:t>自行协商约定，</w:t>
      </w:r>
      <w:r>
        <w:rPr>
          <w:rFonts w:ascii="宋体" w:hAnsi="宋体" w:hint="eastAsia"/>
          <w:szCs w:val="21"/>
          <w:highlight w:val="none"/>
          <w:lang w:val="en-US" w:eastAsia="zh-CN"/>
        </w:rPr>
        <w:t>并达成协议。</w:t>
      </w:r>
      <w:r>
        <w:rPr>
          <w:rFonts w:ascii="宋体" w:hAnsi="宋体" w:hint="eastAsia"/>
          <w:szCs w:val="21"/>
          <w:highlight w:val="none"/>
        </w:rPr>
        <w:t>但在与本协议相关的任何情形下，乙方</w:t>
      </w:r>
      <w:r>
        <w:rPr>
          <w:rFonts w:ascii="宋体" w:hAnsi="宋体" w:hint="eastAsia"/>
          <w:szCs w:val="21"/>
          <w:highlight w:val="none"/>
          <w:lang w:val="en-US" w:eastAsia="zh-CN"/>
        </w:rPr>
        <w:t>联合体各成员</w:t>
      </w:r>
      <w:r>
        <w:rPr>
          <w:rFonts w:ascii="宋体" w:hAnsi="宋体" w:hint="eastAsia"/>
          <w:szCs w:val="21"/>
          <w:highlight w:val="none"/>
        </w:rPr>
        <w:t>之间的约定仅属于其内部分担权利义务及其内部约定分担对外责任的办法，乙方联合体</w:t>
      </w:r>
      <w:r>
        <w:rPr>
          <w:rFonts w:ascii="宋体" w:hAnsi="宋体" w:hint="eastAsia"/>
          <w:szCs w:val="21"/>
          <w:highlight w:val="none"/>
          <w:lang w:val="en-US" w:eastAsia="zh-CN"/>
        </w:rPr>
        <w:t>各</w:t>
      </w:r>
      <w:r>
        <w:rPr>
          <w:rFonts w:ascii="宋体" w:hAnsi="宋体" w:hint="eastAsia"/>
          <w:szCs w:val="21"/>
          <w:highlight w:val="none"/>
        </w:rPr>
        <w:t>成员对甲方、用户、相关第三方则应承担连带责任，而乙方依据本合同原所应承担的对甲方、用户或第三方的责任均并不因此被减免。</w:t>
      </w:r>
    </w:p>
    <w:p w14:paraId="57360FC3">
      <w:pPr>
        <w:pStyle w:val="20"/>
        <w:adjustRightInd w:val="0"/>
        <w:snapToGrid w:val="0"/>
        <w:spacing w:before="0" w:after="0"/>
        <w:ind w:left="0" w:firstLine="315" w:leftChars="0" w:firstLineChars="150"/>
        <w:rPr>
          <w:rFonts w:ascii="宋体" w:hAnsi="宋体"/>
          <w:b/>
          <w:sz w:val="21"/>
          <w:szCs w:val="21"/>
          <w:highlight w:val="none"/>
        </w:rPr>
      </w:pPr>
      <w:r>
        <w:rPr>
          <w:rFonts w:ascii="宋体" w:hAnsi="宋体" w:hint="eastAsia"/>
          <w:sz w:val="21"/>
          <w:szCs w:val="21"/>
          <w:highlight w:val="none"/>
          <w:lang w:val="en-US"/>
        </w:rPr>
        <w:t>11</w:t>
      </w:r>
      <w:r>
        <w:rPr>
          <w:rFonts w:ascii="宋体" w:hAnsi="宋体" w:hint="eastAsia"/>
          <w:sz w:val="21"/>
          <w:szCs w:val="21"/>
          <w:highlight w:val="none"/>
        </w:rPr>
        <w:t>、本次采购的合同项下的任何合同、文件等均应当符合有关环保、知识产权及其他法律法规的规定，包括童工禁用、劳动保护待遇等法律规定。投标人或中标人或乙方等均已清楚本次政府采购招标中的政府或其部门、采购中心、采购人或使用人等，均已尽声明、提示、审慎核查等注意义务及相关责任，若仍发生任何相关违反法律、法规之情形均属投标人或中标人或乙方等单方面之因素、原因、责任。投标人或中标人或乙方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261"/>
    <w:p w14:paraId="037057F9">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十六、</w:t>
      </w:r>
      <w:bookmarkStart w:id="262" w:name="_Toc86202604"/>
      <w:r>
        <w:rPr>
          <w:rFonts w:ascii="宋体" w:hAnsi="宋体" w:hint="eastAsia"/>
          <w:b/>
          <w:szCs w:val="21"/>
          <w:highlight w:val="none"/>
        </w:rPr>
        <w:t>联系方式</w:t>
      </w:r>
      <w:bookmarkEnd w:id="262"/>
    </w:p>
    <w:p w14:paraId="13AA1D4C">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甲方：</w:t>
      </w:r>
    </w:p>
    <w:p w14:paraId="5B8C014B">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联系人：</w:t>
      </w:r>
    </w:p>
    <w:p w14:paraId="291AECE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地址：              </w:t>
      </w:r>
      <w:r>
        <w:rPr>
          <w:rFonts w:ascii="宋体" w:hAnsi="宋体" w:hint="eastAsia"/>
          <w:szCs w:val="21"/>
          <w:highlight w:val="none"/>
        </w:rPr>
        <w:tab/>
      </w:r>
      <w:r>
        <w:rPr>
          <w:rFonts w:ascii="宋体" w:hAnsi="宋体" w:hint="eastAsia"/>
          <w:szCs w:val="21"/>
          <w:highlight w:val="none"/>
        </w:rPr>
        <w:t>邮编：</w:t>
      </w:r>
    </w:p>
    <w:p w14:paraId="13BF8F4B">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电话：              </w:t>
      </w:r>
      <w:r>
        <w:rPr>
          <w:rFonts w:ascii="宋体" w:hAnsi="宋体" w:hint="eastAsia"/>
          <w:szCs w:val="21"/>
          <w:highlight w:val="none"/>
        </w:rPr>
        <w:tab/>
      </w:r>
      <w:r>
        <w:rPr>
          <w:rFonts w:ascii="宋体" w:hAnsi="宋体" w:hint="eastAsia"/>
          <w:szCs w:val="21"/>
          <w:highlight w:val="none"/>
        </w:rPr>
        <w:t>传真：              电子</w:t>
      </w:r>
      <w:r>
        <w:rPr>
          <w:rFonts w:ascii="宋体" w:hAnsi="宋体"/>
          <w:szCs w:val="21"/>
          <w:highlight w:val="none"/>
        </w:rPr>
        <w:t>邮箱：</w:t>
      </w:r>
    </w:p>
    <w:p w14:paraId="5DF258A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开户银行及账号：</w:t>
      </w:r>
    </w:p>
    <w:p w14:paraId="6280F347">
      <w:pPr>
        <w:tabs>
          <w:tab w:val="left" w:pos="1573"/>
        </w:tabs>
        <w:adjustRightInd w:val="0"/>
        <w:snapToGrid w:val="0"/>
        <w:spacing w:line="360" w:lineRule="auto"/>
        <w:jc w:val="left"/>
        <w:rPr>
          <w:rFonts w:ascii="宋体" w:hAnsi="宋体"/>
          <w:szCs w:val="21"/>
          <w:highlight w:val="none"/>
        </w:rPr>
      </w:pPr>
    </w:p>
    <w:p w14:paraId="043842D3">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乙方</w:t>
      </w:r>
      <w:r>
        <w:rPr>
          <w:rFonts w:ascii="宋体" w:hAnsi="宋体" w:hint="eastAsia"/>
          <w:szCs w:val="21"/>
          <w:highlight w:val="none"/>
          <w:lang w:val="en-US" w:eastAsia="zh-CN"/>
        </w:rPr>
        <w:t>1</w:t>
      </w:r>
      <w:r>
        <w:rPr>
          <w:rFonts w:ascii="宋体" w:hAnsi="宋体" w:hint="eastAsia"/>
          <w:szCs w:val="21"/>
          <w:highlight w:val="none"/>
        </w:rPr>
        <w:t>：</w:t>
      </w:r>
    </w:p>
    <w:p w14:paraId="30C0904B">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联系人：</w:t>
      </w:r>
    </w:p>
    <w:p w14:paraId="211F178E">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地址：              </w:t>
      </w:r>
      <w:r>
        <w:rPr>
          <w:rFonts w:ascii="宋体" w:hAnsi="宋体" w:hint="eastAsia"/>
          <w:szCs w:val="21"/>
          <w:highlight w:val="none"/>
        </w:rPr>
        <w:tab/>
      </w:r>
      <w:r>
        <w:rPr>
          <w:rFonts w:ascii="宋体" w:hAnsi="宋体" w:hint="eastAsia"/>
          <w:szCs w:val="21"/>
          <w:highlight w:val="none"/>
        </w:rPr>
        <w:t>邮编：</w:t>
      </w:r>
    </w:p>
    <w:p w14:paraId="3E64EAEA">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电话：              </w:t>
      </w:r>
      <w:r>
        <w:rPr>
          <w:rFonts w:ascii="宋体" w:hAnsi="宋体" w:hint="eastAsia"/>
          <w:szCs w:val="21"/>
          <w:highlight w:val="none"/>
        </w:rPr>
        <w:tab/>
      </w:r>
      <w:r>
        <w:rPr>
          <w:rFonts w:ascii="宋体" w:hAnsi="宋体" w:hint="eastAsia"/>
          <w:szCs w:val="21"/>
          <w:highlight w:val="none"/>
        </w:rPr>
        <w:t>传真：              电子</w:t>
      </w:r>
      <w:r>
        <w:rPr>
          <w:rFonts w:ascii="宋体" w:hAnsi="宋体"/>
          <w:szCs w:val="21"/>
          <w:highlight w:val="none"/>
        </w:rPr>
        <w:t>邮箱：</w:t>
      </w:r>
    </w:p>
    <w:p w14:paraId="37077E40">
      <w:pPr>
        <w:tabs>
          <w:tab w:val="left" w:pos="1573"/>
        </w:tabs>
        <w:adjustRightInd w:val="0"/>
        <w:snapToGrid w:val="0"/>
        <w:spacing w:line="360" w:lineRule="auto"/>
        <w:ind w:firstLine="420" w:firstLineChars="200"/>
        <w:jc w:val="left"/>
        <w:rPr>
          <w:rFonts w:ascii="宋体" w:hAnsi="宋体" w:hint="eastAsia"/>
          <w:szCs w:val="21"/>
          <w:highlight w:val="none"/>
        </w:rPr>
      </w:pPr>
      <w:r>
        <w:rPr>
          <w:rFonts w:ascii="宋体" w:hAnsi="宋体" w:hint="eastAsia"/>
          <w:szCs w:val="21"/>
          <w:highlight w:val="none"/>
        </w:rPr>
        <w:t>开户银行及账号：</w:t>
      </w:r>
    </w:p>
    <w:p w14:paraId="3A64C39C">
      <w:pPr>
        <w:tabs>
          <w:tab w:val="left" w:pos="1573"/>
        </w:tabs>
        <w:adjustRightInd w:val="0"/>
        <w:snapToGrid w:val="0"/>
        <w:spacing w:line="360" w:lineRule="auto"/>
        <w:ind w:firstLine="420" w:firstLineChars="200"/>
        <w:jc w:val="left"/>
        <w:rPr>
          <w:rFonts w:ascii="宋体" w:hAnsi="宋体" w:hint="eastAsia"/>
          <w:szCs w:val="21"/>
          <w:highlight w:val="none"/>
        </w:rPr>
      </w:pPr>
    </w:p>
    <w:p w14:paraId="3D6D03AB">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乙方</w:t>
      </w:r>
      <w:r>
        <w:rPr>
          <w:rFonts w:ascii="宋体" w:hAnsi="宋体" w:hint="eastAsia"/>
          <w:szCs w:val="21"/>
          <w:highlight w:val="none"/>
          <w:lang w:val="en-US" w:eastAsia="zh-CN"/>
        </w:rPr>
        <w:t>2</w:t>
      </w:r>
      <w:r>
        <w:rPr>
          <w:rFonts w:ascii="宋体" w:hAnsi="宋体" w:hint="eastAsia"/>
          <w:szCs w:val="21"/>
          <w:highlight w:val="none"/>
        </w:rPr>
        <w:t>：</w:t>
      </w:r>
    </w:p>
    <w:p w14:paraId="491867AD">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联系人：</w:t>
      </w:r>
    </w:p>
    <w:p w14:paraId="1E1203E5">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地址：              </w:t>
      </w:r>
      <w:r>
        <w:rPr>
          <w:rFonts w:ascii="宋体" w:hAnsi="宋体" w:hint="eastAsia"/>
          <w:szCs w:val="21"/>
          <w:highlight w:val="none"/>
        </w:rPr>
        <w:tab/>
      </w:r>
      <w:r>
        <w:rPr>
          <w:rFonts w:ascii="宋体" w:hAnsi="宋体" w:hint="eastAsia"/>
          <w:szCs w:val="21"/>
          <w:highlight w:val="none"/>
        </w:rPr>
        <w:t>邮编：</w:t>
      </w:r>
    </w:p>
    <w:p w14:paraId="595F5291">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电话：              </w:t>
      </w:r>
      <w:r>
        <w:rPr>
          <w:rFonts w:ascii="宋体" w:hAnsi="宋体" w:hint="eastAsia"/>
          <w:szCs w:val="21"/>
          <w:highlight w:val="none"/>
        </w:rPr>
        <w:tab/>
      </w:r>
      <w:r>
        <w:rPr>
          <w:rFonts w:ascii="宋体" w:hAnsi="宋体" w:hint="eastAsia"/>
          <w:szCs w:val="21"/>
          <w:highlight w:val="none"/>
        </w:rPr>
        <w:t>传真：              电子</w:t>
      </w:r>
      <w:r>
        <w:rPr>
          <w:rFonts w:ascii="宋体" w:hAnsi="宋体"/>
          <w:szCs w:val="21"/>
          <w:highlight w:val="none"/>
        </w:rPr>
        <w:t>邮箱：</w:t>
      </w:r>
    </w:p>
    <w:p w14:paraId="5CD6AC20">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开户银行及账号：</w:t>
      </w:r>
    </w:p>
    <w:p w14:paraId="263026D6">
      <w:pPr>
        <w:tabs>
          <w:tab w:val="left" w:pos="1573"/>
        </w:tabs>
        <w:adjustRightInd w:val="0"/>
        <w:snapToGrid w:val="0"/>
        <w:spacing w:line="360" w:lineRule="auto"/>
        <w:ind w:firstLine="420" w:firstLineChars="200"/>
        <w:jc w:val="left"/>
        <w:rPr>
          <w:rFonts w:ascii="宋体" w:hAnsi="宋体" w:hint="eastAsia"/>
          <w:szCs w:val="21"/>
          <w:highlight w:val="none"/>
        </w:rPr>
      </w:pPr>
    </w:p>
    <w:p w14:paraId="78CF86BB">
      <w:pPr>
        <w:tabs>
          <w:tab w:val="left" w:pos="1573"/>
        </w:tabs>
        <w:adjustRightInd w:val="0"/>
        <w:snapToGrid w:val="0"/>
        <w:spacing w:line="360" w:lineRule="auto"/>
        <w:ind w:firstLine="420" w:firstLineChars="200"/>
        <w:jc w:val="left"/>
        <w:rPr>
          <w:rFonts w:ascii="宋体" w:hAnsi="宋体" w:hint="eastAsia"/>
          <w:szCs w:val="21"/>
          <w:highlight w:val="none"/>
        </w:rPr>
      </w:pPr>
    </w:p>
    <w:p w14:paraId="114E678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乙方</w:t>
      </w:r>
      <w:r>
        <w:rPr>
          <w:rFonts w:ascii="宋体" w:hAnsi="宋体" w:hint="eastAsia"/>
          <w:szCs w:val="21"/>
          <w:highlight w:val="none"/>
          <w:lang w:val="en-US" w:eastAsia="zh-CN"/>
        </w:rPr>
        <w:t>3</w:t>
      </w:r>
      <w:r>
        <w:rPr>
          <w:rFonts w:ascii="宋体" w:hAnsi="宋体" w:hint="eastAsia"/>
          <w:szCs w:val="21"/>
          <w:highlight w:val="none"/>
        </w:rPr>
        <w:t>：</w:t>
      </w:r>
    </w:p>
    <w:p w14:paraId="206BAA7F">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联系人：</w:t>
      </w:r>
    </w:p>
    <w:p w14:paraId="7959A9D6">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地址：              </w:t>
      </w:r>
      <w:r>
        <w:rPr>
          <w:rFonts w:ascii="宋体" w:hAnsi="宋体" w:hint="eastAsia"/>
          <w:szCs w:val="21"/>
          <w:highlight w:val="none"/>
        </w:rPr>
        <w:tab/>
      </w:r>
      <w:r>
        <w:rPr>
          <w:rFonts w:ascii="宋体" w:hAnsi="宋体" w:hint="eastAsia"/>
          <w:szCs w:val="21"/>
          <w:highlight w:val="none"/>
        </w:rPr>
        <w:t>邮编：</w:t>
      </w:r>
    </w:p>
    <w:p w14:paraId="79FE3209">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 xml:space="preserve">电话：              </w:t>
      </w:r>
      <w:r>
        <w:rPr>
          <w:rFonts w:ascii="宋体" w:hAnsi="宋体" w:hint="eastAsia"/>
          <w:szCs w:val="21"/>
          <w:highlight w:val="none"/>
        </w:rPr>
        <w:tab/>
      </w:r>
      <w:r>
        <w:rPr>
          <w:rFonts w:ascii="宋体" w:hAnsi="宋体" w:hint="eastAsia"/>
          <w:szCs w:val="21"/>
          <w:highlight w:val="none"/>
        </w:rPr>
        <w:t>传真：              电子</w:t>
      </w:r>
      <w:r>
        <w:rPr>
          <w:rFonts w:ascii="宋体" w:hAnsi="宋体"/>
          <w:szCs w:val="21"/>
          <w:highlight w:val="none"/>
        </w:rPr>
        <w:t>邮箱：</w:t>
      </w:r>
    </w:p>
    <w:p w14:paraId="3CB10AFB">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开户银行及账号：</w:t>
      </w:r>
    </w:p>
    <w:p w14:paraId="14DEB53B">
      <w:pPr>
        <w:tabs>
          <w:tab w:val="left" w:pos="1573"/>
        </w:tabs>
        <w:adjustRightInd w:val="0"/>
        <w:snapToGrid w:val="0"/>
        <w:spacing w:line="360" w:lineRule="auto"/>
        <w:ind w:firstLine="420" w:firstLineChars="200"/>
        <w:jc w:val="left"/>
        <w:rPr>
          <w:rFonts w:ascii="宋体" w:hAnsi="宋体" w:hint="eastAsia"/>
          <w:szCs w:val="21"/>
          <w:highlight w:val="none"/>
        </w:rPr>
      </w:pPr>
    </w:p>
    <w:p w14:paraId="433BD277">
      <w:pPr>
        <w:tabs>
          <w:tab w:val="left" w:pos="1573"/>
        </w:tabs>
        <w:adjustRightInd w:val="0"/>
        <w:snapToGrid w:val="0"/>
        <w:spacing w:line="360" w:lineRule="auto"/>
        <w:jc w:val="left"/>
        <w:rPr>
          <w:rFonts w:ascii="宋体" w:hAnsi="宋体"/>
          <w:szCs w:val="21"/>
          <w:highlight w:val="none"/>
        </w:rPr>
      </w:pPr>
      <w:r>
        <w:rPr>
          <w:rFonts w:ascii="宋体" w:hAnsi="宋体" w:hint="eastAsia"/>
          <w:szCs w:val="21"/>
          <w:highlight w:val="none"/>
        </w:rPr>
        <w:t xml:space="preserve">            </w:t>
      </w:r>
    </w:p>
    <w:p w14:paraId="04296552">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14:paraId="73D79E74">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highlight w:val="none"/>
        </w:rPr>
        <w:t>账号书面</w:t>
      </w:r>
      <w:r>
        <w:rPr>
          <w:rFonts w:ascii="宋体" w:hAnsi="宋体" w:hint="eastAsia"/>
          <w:szCs w:val="21"/>
          <w:highlight w:val="none"/>
        </w:rPr>
        <w:t>通知对方（书面通知</w:t>
      </w:r>
      <w:r>
        <w:rPr>
          <w:rFonts w:ascii="宋体" w:hAnsi="宋体"/>
          <w:szCs w:val="21"/>
          <w:highlight w:val="none"/>
        </w:rPr>
        <w:t>应说明变更理由，并</w:t>
      </w:r>
      <w:r>
        <w:rPr>
          <w:rFonts w:ascii="宋体" w:hAnsi="宋体" w:hint="eastAsia"/>
          <w:szCs w:val="21"/>
          <w:highlight w:val="none"/>
        </w:rPr>
        <w:t>有</w:t>
      </w:r>
      <w:r>
        <w:rPr>
          <w:rFonts w:ascii="宋体" w:hAnsi="宋体"/>
          <w:szCs w:val="21"/>
          <w:highlight w:val="none"/>
        </w:rPr>
        <w:t>法定代表人签字加盖单位公章和财务章）</w:t>
      </w:r>
      <w:r>
        <w:rPr>
          <w:rFonts w:ascii="宋体" w:hAnsi="宋体" w:hint="eastAsia"/>
          <w:szCs w:val="21"/>
          <w:highlight w:val="none"/>
        </w:rPr>
        <w:t>。变更方不履行通知义务的，应对此造成的一切后果承担法律责任。</w:t>
      </w:r>
    </w:p>
    <w:p w14:paraId="04091A5A">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3、上述发出通知、回复的费用由发出一方承担。</w:t>
      </w:r>
    </w:p>
    <w:p w14:paraId="443C3E7E">
      <w:pPr>
        <w:pStyle w:val="NormalIndent"/>
        <w:adjustRightInd w:val="0"/>
        <w:snapToGrid w:val="0"/>
        <w:spacing w:line="360" w:lineRule="auto"/>
        <w:outlineLvl w:val="0"/>
        <w:rPr>
          <w:rFonts w:ascii="宋体" w:hAnsi="宋体"/>
          <w:b/>
          <w:szCs w:val="21"/>
          <w:highlight w:val="none"/>
        </w:rPr>
      </w:pPr>
      <w:bookmarkStart w:id="263" w:name="_Toc86202606"/>
      <w:r>
        <w:rPr>
          <w:rFonts w:ascii="宋体" w:hAnsi="宋体" w:hint="eastAsia"/>
          <w:b/>
          <w:szCs w:val="21"/>
          <w:highlight w:val="none"/>
        </w:rPr>
        <w:t>十七、保密条款</w:t>
      </w:r>
    </w:p>
    <w:p w14:paraId="651934C1">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14:paraId="17E8059E">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7B226A61">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13BE8563">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14:paraId="7F91A289">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十八、合同的解释和法律适用</w:t>
      </w:r>
      <w:bookmarkEnd w:id="263"/>
    </w:p>
    <w:p w14:paraId="589F65BA">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1、任何一方对本合同及其附件的解释均应遵循诚实信用原则，依照本合同签订时有效的中国法律、法规以及通常的理解进行。</w:t>
      </w:r>
    </w:p>
    <w:p w14:paraId="60AF8BC0">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2、本合同标题仅供查阅方便，并非对本合同的诠释或解释；本合同中以日表述的时间期限均指自然日。</w:t>
      </w:r>
    </w:p>
    <w:p w14:paraId="3707F9AC">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3、对本合同的任何解释均应以书面作出。</w:t>
      </w:r>
    </w:p>
    <w:p w14:paraId="347BEEE5">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4、本合同及附件的订立、效力、解释、履行、争议的解决等适用本合同签订时有效的中华人民共和国法律、法规的有关规定。</w:t>
      </w:r>
    </w:p>
    <w:p w14:paraId="3DB7B3B6">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5</w:t>
      </w:r>
      <w:r>
        <w:rPr>
          <w:rFonts w:ascii="宋体" w:hAnsi="宋体" w:hint="eastAsia"/>
          <w:szCs w:val="21"/>
          <w:highlight w:val="none"/>
        </w:rPr>
        <w:t>、在本合同履行期间，因中国法律、法规、政策的变化致使本合同的部分条款相冲突、无效或失去可强制执行效力时，双方同意将密切合作，尽快修改本合同中相冲突或无效或失去强制执行效力的有关条款。</w:t>
      </w:r>
    </w:p>
    <w:p w14:paraId="003E843E">
      <w:pPr>
        <w:pStyle w:val="NormalIndent"/>
        <w:adjustRightInd w:val="0"/>
        <w:snapToGrid w:val="0"/>
        <w:spacing w:line="360" w:lineRule="auto"/>
        <w:outlineLvl w:val="0"/>
        <w:rPr>
          <w:rFonts w:ascii="宋体" w:hAnsi="宋体"/>
          <w:b/>
          <w:szCs w:val="21"/>
          <w:highlight w:val="none"/>
        </w:rPr>
      </w:pPr>
      <w:bookmarkStart w:id="264" w:name="_Toc86202608"/>
      <w:r>
        <w:rPr>
          <w:rFonts w:ascii="宋体" w:hAnsi="宋体" w:hint="eastAsia"/>
          <w:b/>
          <w:szCs w:val="21"/>
          <w:highlight w:val="none"/>
        </w:rPr>
        <w:t>十九、权利的保留</w:t>
      </w:r>
      <w:bookmarkEnd w:id="264"/>
    </w:p>
    <w:p w14:paraId="4F34ED2F">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59E0018B">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64DCE17A">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二十、不可抗力</w:t>
      </w:r>
    </w:p>
    <w:p w14:paraId="0AB2B896">
      <w:pPr>
        <w:snapToGrid w:val="0"/>
        <w:spacing w:line="360" w:lineRule="auto"/>
        <w:ind w:firstLine="420" w:firstLineChars="200"/>
        <w:rPr>
          <w:rFonts w:ascii="宋体" w:hAnsi="宋体"/>
          <w:szCs w:val="21"/>
          <w:highlight w:val="none"/>
        </w:rPr>
      </w:pPr>
      <w:r>
        <w:rPr>
          <w:rFonts w:ascii="宋体" w:hAnsi="宋体"/>
          <w:szCs w:val="21"/>
          <w:highlight w:val="none"/>
        </w:rPr>
        <w:t>1</w:t>
      </w:r>
      <w:r>
        <w:rPr>
          <w:rFonts w:ascii="宋体" w:hAnsi="宋体" w:hint="eastAsia"/>
          <w:szCs w:val="21"/>
          <w:highlight w:val="none"/>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14:paraId="1147C37E">
      <w:pPr>
        <w:snapToGrid w:val="0"/>
        <w:spacing w:line="360" w:lineRule="auto"/>
        <w:ind w:firstLine="420" w:firstLineChars="200"/>
        <w:rPr>
          <w:rFonts w:ascii="宋体" w:hAnsi="宋体"/>
          <w:szCs w:val="21"/>
          <w:highlight w:val="none"/>
        </w:rPr>
      </w:pPr>
      <w:r>
        <w:rPr>
          <w:rFonts w:ascii="宋体" w:hAnsi="宋体"/>
          <w:szCs w:val="21"/>
          <w:highlight w:val="none"/>
        </w:rPr>
        <w:t>2</w:t>
      </w:r>
      <w:r>
        <w:rPr>
          <w:rFonts w:ascii="宋体" w:hAnsi="宋体" w:hint="eastAsia"/>
          <w:szCs w:val="21"/>
          <w:highlight w:val="none"/>
        </w:rPr>
        <w:t>、</w:t>
      </w:r>
      <w:r>
        <w:rPr>
          <w:rFonts w:ascii="宋体" w:hAnsi="宋体"/>
          <w:szCs w:val="21"/>
          <w:highlight w:val="none"/>
        </w:rPr>
        <w:t xml:space="preserve"> </w:t>
      </w:r>
      <w:r>
        <w:rPr>
          <w:rFonts w:ascii="宋体" w:hAnsi="宋体" w:hint="eastAsia"/>
          <w:szCs w:val="21"/>
          <w:highlight w:val="none"/>
        </w:rPr>
        <w:t>受阻一方应在不可抗力事件发生后尽快用电报、传真或电传通知对方，并于事件发生后</w:t>
      </w:r>
      <w:r>
        <w:rPr>
          <w:rFonts w:ascii="宋体" w:hAnsi="宋体"/>
          <w:szCs w:val="21"/>
          <w:highlight w:val="none"/>
        </w:rPr>
        <w:t>14</w:t>
      </w:r>
      <w:r>
        <w:rPr>
          <w:rFonts w:ascii="宋体" w:hAnsi="宋体" w:hint="eastAsia"/>
          <w:szCs w:val="21"/>
          <w:highlight w:val="none"/>
        </w:rPr>
        <w:t>天内将有关当局出具的证明文件用特快专递或挂号信寄给对方审阅确认。一旦不可抗力事件的影响持续</w:t>
      </w:r>
      <w:r>
        <w:rPr>
          <w:rFonts w:ascii="宋体" w:hAnsi="宋体"/>
          <w:szCs w:val="21"/>
          <w:highlight w:val="none"/>
        </w:rPr>
        <w:t>120</w:t>
      </w:r>
      <w:r>
        <w:rPr>
          <w:rFonts w:ascii="宋体" w:hAnsi="宋体" w:hint="eastAsia"/>
          <w:szCs w:val="21"/>
          <w:highlight w:val="none"/>
        </w:rPr>
        <w:t>天以上，双方应通过友好协商在合理的时间内达成进一步履行合同的协议，甲方也可考虑解除合同。</w:t>
      </w:r>
    </w:p>
    <w:p w14:paraId="391321DF">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3825A846">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二十一、</w:t>
      </w:r>
      <w:bookmarkStart w:id="265" w:name="_Toc86202609"/>
      <w:r>
        <w:rPr>
          <w:rFonts w:ascii="宋体" w:hAnsi="宋体" w:hint="eastAsia"/>
          <w:b/>
          <w:szCs w:val="21"/>
          <w:highlight w:val="none"/>
        </w:rPr>
        <w:t>争议的解决</w:t>
      </w:r>
      <w:bookmarkEnd w:id="265"/>
    </w:p>
    <w:p w14:paraId="7988513A">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1、合同双方可通过友好协商解决因解释﹑执行本合同所发生的和本合同有关的一切争议。如果经协商不能达成协议，则双方同意由</w:t>
      </w:r>
      <w:r>
        <w:rPr>
          <w:rFonts w:ascii="宋体" w:hAnsi="宋体" w:hint="eastAsia"/>
          <w:szCs w:val="21"/>
          <w:highlight w:val="none"/>
          <w:u w:val="single"/>
        </w:rPr>
        <w:t>北京仲裁委员会</w:t>
      </w:r>
      <w:r>
        <w:rPr>
          <w:rFonts w:ascii="宋体" w:hAnsi="宋体" w:hint="eastAsia"/>
          <w:szCs w:val="21"/>
          <w:highlight w:val="none"/>
        </w:rPr>
        <w:t>根据其现行有效的仲裁程序进行仲裁。</w:t>
      </w:r>
    </w:p>
    <w:p w14:paraId="53DFD73B">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2、本</w:t>
      </w:r>
      <w:r>
        <w:rPr>
          <w:rFonts w:ascii="宋体" w:hAnsi="宋体"/>
          <w:szCs w:val="21"/>
          <w:highlight w:val="none"/>
        </w:rPr>
        <w:t>合同</w:t>
      </w:r>
      <w:r>
        <w:rPr>
          <w:rFonts w:ascii="宋体" w:hAnsi="宋体" w:hint="eastAsia"/>
          <w:szCs w:val="21"/>
          <w:highlight w:val="none"/>
        </w:rPr>
        <w:t>甲、乙双方一致认为，本</w:t>
      </w:r>
      <w:r>
        <w:rPr>
          <w:rFonts w:ascii="宋体" w:hAnsi="宋体"/>
          <w:szCs w:val="21"/>
          <w:highlight w:val="none"/>
        </w:rPr>
        <w:t>合同</w:t>
      </w:r>
      <w:r>
        <w:rPr>
          <w:rFonts w:ascii="宋体" w:hAnsi="宋体" w:hint="eastAsia"/>
          <w:szCs w:val="21"/>
          <w:highlight w:val="none"/>
        </w:rPr>
        <w:t>仅</w:t>
      </w:r>
      <w:r>
        <w:rPr>
          <w:rFonts w:ascii="宋体" w:hAnsi="宋体"/>
          <w:szCs w:val="21"/>
          <w:highlight w:val="none"/>
        </w:rPr>
        <w:t>属于</w:t>
      </w:r>
      <w:r>
        <w:rPr>
          <w:rFonts w:ascii="宋体" w:hAnsi="宋体" w:hint="eastAsia"/>
          <w:szCs w:val="21"/>
          <w:highlight w:val="none"/>
        </w:rPr>
        <w:t>甲、乙双方</w:t>
      </w:r>
      <w:r>
        <w:rPr>
          <w:rFonts w:ascii="宋体" w:hAnsi="宋体"/>
          <w:szCs w:val="21"/>
          <w:highlight w:val="none"/>
        </w:rPr>
        <w:t>之间的</w:t>
      </w:r>
      <w:r>
        <w:rPr>
          <w:rFonts w:ascii="宋体" w:hAnsi="宋体" w:hint="eastAsia"/>
          <w:szCs w:val="21"/>
          <w:highlight w:val="none"/>
        </w:rPr>
        <w:t>协议，任何</w:t>
      </w:r>
      <w:r>
        <w:rPr>
          <w:rFonts w:ascii="宋体" w:hAnsi="宋体"/>
          <w:szCs w:val="21"/>
          <w:highlight w:val="none"/>
        </w:rPr>
        <w:t>争议</w:t>
      </w:r>
      <w:r>
        <w:rPr>
          <w:rFonts w:ascii="宋体" w:hAnsi="宋体" w:hint="eastAsia"/>
          <w:szCs w:val="21"/>
          <w:highlight w:val="none"/>
        </w:rPr>
        <w:t>均只</w:t>
      </w:r>
      <w:r>
        <w:rPr>
          <w:rFonts w:ascii="宋体" w:hAnsi="宋体"/>
          <w:szCs w:val="21"/>
          <w:highlight w:val="none"/>
        </w:rPr>
        <w:t>应当</w:t>
      </w:r>
      <w:r>
        <w:rPr>
          <w:rFonts w:ascii="宋体" w:hAnsi="宋体" w:hint="eastAsia"/>
          <w:szCs w:val="21"/>
          <w:highlight w:val="none"/>
        </w:rPr>
        <w:t>按照本合同</w:t>
      </w:r>
      <w:r>
        <w:rPr>
          <w:rFonts w:ascii="宋体" w:hAnsi="宋体"/>
          <w:szCs w:val="21"/>
          <w:highlight w:val="none"/>
        </w:rPr>
        <w:t>的约定方式处理，</w:t>
      </w:r>
      <w:r>
        <w:rPr>
          <w:rFonts w:ascii="宋体" w:hAnsi="宋体" w:hint="eastAsia"/>
          <w:szCs w:val="21"/>
          <w:highlight w:val="none"/>
        </w:rPr>
        <w:t>任何情形下采购中心均</w:t>
      </w:r>
      <w:r>
        <w:rPr>
          <w:rFonts w:ascii="宋体" w:hAnsi="宋体"/>
          <w:szCs w:val="21"/>
          <w:highlight w:val="none"/>
        </w:rPr>
        <w:t>不应当成为该等争议的当事人，无论该等仲裁或诉讼均不得</w:t>
      </w:r>
      <w:r>
        <w:rPr>
          <w:rFonts w:ascii="宋体" w:hAnsi="宋体" w:hint="eastAsia"/>
          <w:szCs w:val="21"/>
          <w:highlight w:val="none"/>
        </w:rPr>
        <w:t>针</w:t>
      </w:r>
      <w:r>
        <w:rPr>
          <w:rFonts w:ascii="宋体" w:hAnsi="宋体"/>
          <w:szCs w:val="21"/>
          <w:highlight w:val="none"/>
        </w:rPr>
        <w:t>对</w:t>
      </w:r>
      <w:r>
        <w:rPr>
          <w:rFonts w:ascii="宋体" w:hAnsi="宋体" w:hint="eastAsia"/>
          <w:szCs w:val="21"/>
          <w:highlight w:val="none"/>
        </w:rPr>
        <w:t>采购中心</w:t>
      </w:r>
      <w:r>
        <w:rPr>
          <w:rFonts w:ascii="宋体" w:hAnsi="宋体"/>
          <w:szCs w:val="21"/>
          <w:highlight w:val="none"/>
        </w:rPr>
        <w:t>提起。</w:t>
      </w:r>
    </w:p>
    <w:p w14:paraId="6F0A09DD">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3、在争议解决期间，除了诉讼或仲裁进行过程中正在解决的那部分问题外，合同其余部分应继续履行。</w:t>
      </w:r>
    </w:p>
    <w:p w14:paraId="4BB89286">
      <w:pPr>
        <w:tabs>
          <w:tab w:val="left" w:pos="1573"/>
        </w:tabs>
        <w:adjustRightInd w:val="0"/>
        <w:snapToGrid w:val="0"/>
        <w:spacing w:line="360" w:lineRule="auto"/>
        <w:ind w:firstLine="0" w:firstLineChars="0"/>
        <w:rPr>
          <w:rFonts w:ascii="宋体" w:hAnsi="宋体"/>
          <w:szCs w:val="21"/>
          <w:highlight w:val="none"/>
        </w:rPr>
      </w:pPr>
    </w:p>
    <w:p w14:paraId="7D58D159">
      <w:pPr>
        <w:pStyle w:val="NormalIndent"/>
        <w:adjustRightInd w:val="0"/>
        <w:snapToGrid w:val="0"/>
        <w:spacing w:line="360" w:lineRule="auto"/>
        <w:outlineLvl w:val="0"/>
        <w:rPr>
          <w:rFonts w:ascii="宋体" w:hAnsi="宋体"/>
          <w:b/>
          <w:szCs w:val="21"/>
          <w:highlight w:val="none"/>
        </w:rPr>
      </w:pPr>
      <w:bookmarkStart w:id="266" w:name="_Toc86202611"/>
      <w:r>
        <w:rPr>
          <w:rFonts w:ascii="宋体" w:hAnsi="宋体" w:hint="eastAsia"/>
          <w:b/>
          <w:szCs w:val="21"/>
          <w:highlight w:val="none"/>
        </w:rPr>
        <w:t>二十二、合同的补充、修改和变更</w:t>
      </w:r>
    </w:p>
    <w:p w14:paraId="3403021D">
      <w:pPr>
        <w:pStyle w:val="20"/>
        <w:adjustRightInd w:val="0"/>
        <w:snapToGrid w:val="0"/>
        <w:spacing w:before="0" w:after="0"/>
        <w:ind w:left="0" w:firstLine="420" w:leftChars="0"/>
        <w:rPr>
          <w:rFonts w:ascii="宋体" w:hAnsi="宋体"/>
          <w:b/>
          <w:bCs/>
          <w:sz w:val="21"/>
          <w:szCs w:val="21"/>
          <w:highlight w:val="none"/>
        </w:rPr>
      </w:pPr>
      <w:r>
        <w:rPr>
          <w:rFonts w:ascii="宋体" w:hAnsi="宋体" w:hint="eastAsia"/>
          <w:sz w:val="21"/>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2307683C">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67284F1A">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14:paraId="0D812BB1">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3、如甲方不同意乙方的上述回应、如对价格或交付日期的变化等，甲乙双方有权将此争议提交仲裁委员会进行仲裁；在仲裁裁决生效之前，乙方应执行甲方所要求的修改。</w:t>
      </w:r>
    </w:p>
    <w:p w14:paraId="424F992A">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4、如乙方提出项目的部分修改建议，乙方应同时详细阐明该变更对合同价格、项目交付日期、项目技术参数的影响和变化以及对合同条款的影响等。</w:t>
      </w:r>
    </w:p>
    <w:p w14:paraId="7E70D319">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0859DDCC">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6、所有的修改应在双方签署书面的修改备忘录时生效。修改备忘录将变更或取代有关的技术文件中或先前的任何修改备忘录中所有不一致的条款。</w:t>
      </w:r>
    </w:p>
    <w:p w14:paraId="49A9A6ED">
      <w:pPr>
        <w:adjustRightInd w:val="0"/>
        <w:snapToGrid w:val="0"/>
        <w:spacing w:line="360" w:lineRule="auto"/>
        <w:ind w:firstLine="424" w:firstLineChars="202"/>
        <w:rPr>
          <w:rFonts w:ascii="宋体" w:hAnsi="宋体"/>
          <w:szCs w:val="21"/>
          <w:highlight w:val="none"/>
        </w:rPr>
      </w:pPr>
      <w:r>
        <w:rPr>
          <w:rFonts w:ascii="宋体" w:hAnsi="宋体" w:hint="eastAsia"/>
          <w:szCs w:val="21"/>
          <w:highlight w:val="none"/>
        </w:rPr>
        <w:t>7、任何对合同条件的变更或修改均须双方签订书面的修改书，并由乙方自签订补充合同之日起五日内报采购中心备案。</w:t>
      </w:r>
    </w:p>
    <w:p w14:paraId="0E462280">
      <w:pPr>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14:paraId="2FCA108C">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二十三、转包与分包</w:t>
      </w:r>
    </w:p>
    <w:p w14:paraId="46B6BB4D">
      <w:pPr>
        <w:pStyle w:val="20"/>
        <w:adjustRightInd w:val="0"/>
        <w:snapToGrid w:val="0"/>
        <w:spacing w:before="0" w:after="0"/>
        <w:ind w:left="0" w:firstLine="420" w:leftChars="0"/>
        <w:rPr>
          <w:rFonts w:ascii="宋体" w:hAnsi="宋体"/>
          <w:sz w:val="21"/>
          <w:szCs w:val="21"/>
          <w:highlight w:val="none"/>
        </w:rPr>
      </w:pPr>
      <w:r>
        <w:rPr>
          <w:rFonts w:ascii="宋体" w:hAnsi="宋体" w:hint="eastAsia"/>
          <w:sz w:val="21"/>
          <w:szCs w:val="21"/>
          <w:highlight w:val="none"/>
        </w:rPr>
        <w:t>乙方签订合同后，未经甲方</w:t>
      </w:r>
      <w:r>
        <w:rPr>
          <w:rFonts w:ascii="宋体" w:hAnsi="宋体" w:hint="eastAsia"/>
          <w:sz w:val="21"/>
          <w:szCs w:val="21"/>
          <w:highlight w:val="none"/>
          <w:lang w:val="en-US"/>
        </w:rPr>
        <w:t>书面</w:t>
      </w:r>
      <w:r>
        <w:rPr>
          <w:rFonts w:ascii="宋体" w:hAnsi="宋体" w:hint="eastAsia"/>
          <w:sz w:val="21"/>
          <w:szCs w:val="21"/>
          <w:highlight w:val="none"/>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14:paraId="2F5466A7">
      <w:pPr>
        <w:pStyle w:val="NormalIndent"/>
        <w:adjustRightInd w:val="0"/>
        <w:snapToGrid w:val="0"/>
        <w:spacing w:line="360" w:lineRule="auto"/>
        <w:outlineLvl w:val="0"/>
        <w:rPr>
          <w:rFonts w:ascii="宋体" w:hAnsi="宋体"/>
          <w:b/>
          <w:szCs w:val="21"/>
          <w:highlight w:val="none"/>
        </w:rPr>
      </w:pPr>
      <w:bookmarkStart w:id="267" w:name="_Toc86202607"/>
      <w:r>
        <w:rPr>
          <w:rFonts w:ascii="宋体" w:hAnsi="宋体" w:hint="eastAsia"/>
          <w:b/>
          <w:szCs w:val="21"/>
          <w:highlight w:val="none"/>
        </w:rPr>
        <w:t>二十四、合同的终止</w:t>
      </w:r>
      <w:bookmarkEnd w:id="267"/>
    </w:p>
    <w:p w14:paraId="10198EE9">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1、本合同因下列原因而终止：</w:t>
      </w:r>
    </w:p>
    <w:p w14:paraId="43A5AFFC">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（1）本合同正常履行完毕；</w:t>
      </w:r>
    </w:p>
    <w:p w14:paraId="490EE5D5">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（2）合同双方协议终止本合同的履行；</w:t>
      </w:r>
    </w:p>
    <w:p w14:paraId="7019E026">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（3）不可抗力事件导致本合同无法履行或履行不必要；</w:t>
      </w:r>
    </w:p>
    <w:p w14:paraId="32BAB9BE">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（4）任何一方行使解除权，解除本合同。</w:t>
      </w:r>
    </w:p>
    <w:p w14:paraId="77730D42">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2、乙方有关</w:t>
      </w:r>
      <w:r>
        <w:rPr>
          <w:rFonts w:ascii="宋体" w:hAnsi="宋体"/>
          <w:szCs w:val="21"/>
          <w:highlight w:val="none"/>
        </w:rPr>
        <w:t>资质在</w:t>
      </w:r>
      <w:r>
        <w:rPr>
          <w:rFonts w:ascii="宋体" w:hAnsi="宋体" w:hint="eastAsia"/>
          <w:szCs w:val="21"/>
          <w:highlight w:val="none"/>
        </w:rPr>
        <w:t>合同执行</w:t>
      </w:r>
      <w:r>
        <w:rPr>
          <w:rFonts w:ascii="宋体" w:hAnsi="宋体"/>
          <w:szCs w:val="21"/>
          <w:highlight w:val="none"/>
        </w:rPr>
        <w:t>完</w:t>
      </w:r>
      <w:r>
        <w:rPr>
          <w:rFonts w:ascii="宋体" w:hAnsi="宋体" w:hint="eastAsia"/>
          <w:szCs w:val="21"/>
          <w:highlight w:val="none"/>
        </w:rPr>
        <w:t>毕之前到期的，应确保该资质有效期得到延长至合同执行完毕之后，或者取得有效期至执行合同完毕之后的更高等级的该资质，否则甲</w:t>
      </w:r>
      <w:r>
        <w:rPr>
          <w:rFonts w:ascii="宋体" w:hAnsi="宋体"/>
          <w:szCs w:val="21"/>
          <w:highlight w:val="none"/>
        </w:rPr>
        <w:t>方有权</w:t>
      </w:r>
      <w:r>
        <w:rPr>
          <w:rFonts w:ascii="宋体" w:hAnsi="宋体" w:hint="eastAsia"/>
          <w:szCs w:val="21"/>
          <w:highlight w:val="none"/>
        </w:rPr>
        <w:t>中止合同，并</w:t>
      </w:r>
      <w:r>
        <w:rPr>
          <w:rFonts w:ascii="宋体" w:hAnsi="宋体"/>
          <w:szCs w:val="21"/>
          <w:highlight w:val="none"/>
        </w:rPr>
        <w:t>追究</w:t>
      </w:r>
      <w:r>
        <w:rPr>
          <w:rFonts w:ascii="宋体" w:hAnsi="宋体" w:hint="eastAsia"/>
          <w:szCs w:val="21"/>
          <w:highlight w:val="none"/>
        </w:rPr>
        <w:t>乙</w:t>
      </w:r>
      <w:r>
        <w:rPr>
          <w:rFonts w:ascii="宋体" w:hAnsi="宋体"/>
          <w:szCs w:val="21"/>
          <w:highlight w:val="none"/>
        </w:rPr>
        <w:t>方的责任</w:t>
      </w:r>
      <w:r>
        <w:rPr>
          <w:rFonts w:ascii="宋体" w:hAnsi="宋体" w:hint="eastAsia"/>
          <w:szCs w:val="21"/>
          <w:highlight w:val="none"/>
        </w:rPr>
        <w:t>。</w:t>
      </w:r>
    </w:p>
    <w:p w14:paraId="5FEB41A8">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3、若甲方在合同履行过程中发现乙方提供的货物和服务与投标文件中提供的技术指标不符，甲方有权终止合同，并有权反映至政府采购监管部门或财政部。</w:t>
      </w:r>
    </w:p>
    <w:p w14:paraId="671ACCA4">
      <w:pPr>
        <w:tabs>
          <w:tab w:val="left" w:pos="1573"/>
        </w:tabs>
        <w:adjustRightInd w:val="0"/>
        <w:snapToGrid w:val="0"/>
        <w:spacing w:line="360" w:lineRule="auto"/>
        <w:ind w:firstLine="420" w:firstLineChars="200"/>
        <w:rPr>
          <w:rFonts w:ascii="宋体" w:hAnsi="宋体"/>
          <w:szCs w:val="21"/>
          <w:highlight w:val="none"/>
        </w:rPr>
      </w:pPr>
      <w:r>
        <w:rPr>
          <w:rFonts w:ascii="宋体" w:hAnsi="宋体" w:hint="eastAsia"/>
          <w:szCs w:val="21"/>
          <w:highlight w:val="none"/>
        </w:rPr>
        <w:t>4、对本合同终止有过错的一方应赔偿另一方因合同终止而受到的损失。对合同终止双方均无过错的，则各自承担所受到的损失。</w:t>
      </w:r>
    </w:p>
    <w:p w14:paraId="1E3539B9">
      <w:pPr>
        <w:snapToGrid w:val="0"/>
        <w:spacing w:line="360" w:lineRule="auto"/>
        <w:ind w:firstLine="420" w:firstLineChars="200"/>
        <w:rPr>
          <w:rFonts w:ascii="宋体" w:hAnsi="宋体"/>
          <w:szCs w:val="21"/>
          <w:highlight w:val="none"/>
        </w:rPr>
      </w:pPr>
      <w:r>
        <w:rPr>
          <w:rFonts w:ascii="宋体" w:hAnsi="宋体"/>
          <w:szCs w:val="21"/>
          <w:highlight w:val="none"/>
        </w:rPr>
        <w:t>5</w:t>
      </w:r>
      <w:r>
        <w:rPr>
          <w:rFonts w:ascii="宋体" w:hAnsi="宋体" w:hint="eastAsia"/>
          <w:szCs w:val="21"/>
          <w:highlight w:val="none"/>
        </w:rPr>
        <w:t>、如果乙方破产或无清偿能力，甲方可在任何时候以书面形式通知乙方，提出终止合同而不给乙方补偿。该终止合同将不损害或影响甲方已经采取或将要采取的任何行动或补救措施的权利。</w:t>
      </w:r>
    </w:p>
    <w:p w14:paraId="0DC1BCC3">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二十五、合同的生效</w:t>
      </w:r>
      <w:bookmarkEnd w:id="266"/>
    </w:p>
    <w:p w14:paraId="056C2DC8">
      <w:pPr>
        <w:snapToGrid w:val="0"/>
        <w:spacing w:line="360" w:lineRule="auto"/>
        <w:ind w:firstLine="420" w:firstLineChars="200"/>
        <w:rPr>
          <w:rFonts w:ascii="宋体" w:hAnsi="宋体"/>
          <w:szCs w:val="21"/>
          <w:highlight w:val="none"/>
        </w:rPr>
      </w:pPr>
      <w:r>
        <w:rPr>
          <w:rFonts w:ascii="宋体" w:hAnsi="宋体" w:hint="eastAsia"/>
          <w:szCs w:val="21"/>
          <w:highlight w:val="none"/>
        </w:rPr>
        <w:t>本合同经双方法定代表人或授权代表签字</w:t>
      </w:r>
      <w:r>
        <w:rPr>
          <w:rFonts w:ascii="宋体" w:hAnsi="宋体" w:hint="eastAsia"/>
          <w:szCs w:val="21"/>
          <w:highlight w:val="none"/>
          <w:lang w:val="en-US" w:eastAsia="zh-CN"/>
        </w:rPr>
        <w:t>并加</w:t>
      </w:r>
      <w:r>
        <w:rPr>
          <w:rFonts w:ascii="宋体" w:hAnsi="宋体" w:hint="eastAsia"/>
          <w:szCs w:val="21"/>
          <w:highlight w:val="none"/>
        </w:rPr>
        <w:t>盖</w:t>
      </w:r>
      <w:r>
        <w:rPr>
          <w:rFonts w:ascii="宋体" w:hAnsi="宋体" w:hint="eastAsia"/>
          <w:szCs w:val="21"/>
          <w:highlight w:val="none"/>
          <w:lang w:val="en-US" w:eastAsia="zh-CN"/>
        </w:rPr>
        <w:t>公</w:t>
      </w:r>
      <w:r>
        <w:rPr>
          <w:rFonts w:ascii="宋体" w:hAnsi="宋体" w:hint="eastAsia"/>
          <w:szCs w:val="21"/>
          <w:highlight w:val="none"/>
        </w:rPr>
        <w:t>章后生效。</w:t>
      </w:r>
    </w:p>
    <w:p w14:paraId="236BDD9B">
      <w:pPr>
        <w:pStyle w:val="NormalIndent"/>
        <w:adjustRightInd w:val="0"/>
        <w:snapToGrid w:val="0"/>
        <w:spacing w:line="360" w:lineRule="auto"/>
        <w:outlineLvl w:val="0"/>
        <w:rPr>
          <w:rFonts w:ascii="宋体" w:hAnsi="宋体"/>
          <w:b/>
          <w:szCs w:val="21"/>
          <w:highlight w:val="none"/>
        </w:rPr>
      </w:pPr>
      <w:r>
        <w:rPr>
          <w:rFonts w:ascii="宋体" w:hAnsi="宋体" w:hint="eastAsia"/>
          <w:b/>
          <w:szCs w:val="21"/>
          <w:highlight w:val="none"/>
        </w:rPr>
        <w:t>二十六、</w:t>
      </w:r>
      <w:bookmarkStart w:id="268" w:name="_Toc86202612"/>
      <w:r>
        <w:rPr>
          <w:rFonts w:ascii="宋体" w:hAnsi="宋体" w:hint="eastAsia"/>
          <w:b/>
          <w:szCs w:val="21"/>
          <w:highlight w:val="none"/>
        </w:rPr>
        <w:t>其它约定事项</w:t>
      </w:r>
      <w:bookmarkEnd w:id="268"/>
    </w:p>
    <w:p w14:paraId="110F7754">
      <w:pPr>
        <w:snapToGrid w:val="0"/>
        <w:spacing w:line="360" w:lineRule="auto"/>
        <w:ind w:firstLine="420" w:firstLineChars="200"/>
        <w:rPr>
          <w:rFonts w:ascii="宋体" w:hAnsi="宋体"/>
          <w:szCs w:val="21"/>
          <w:highlight w:val="none"/>
        </w:rPr>
      </w:pPr>
      <w:r>
        <w:rPr>
          <w:rFonts w:ascii="宋体" w:hAnsi="宋体"/>
          <w:szCs w:val="21"/>
          <w:highlight w:val="none"/>
        </w:rPr>
        <w:t>1</w:t>
      </w:r>
      <w:r>
        <w:rPr>
          <w:rFonts w:ascii="宋体" w:hAnsi="宋体" w:hint="eastAsia"/>
          <w:szCs w:val="21"/>
          <w:highlight w:val="none"/>
        </w:rPr>
        <w:t>、如果本合同的货物在进口时需要进口许可证的话，乙方负责办理进口许可证，费用自理。</w:t>
      </w:r>
    </w:p>
    <w:p w14:paraId="5228ED49">
      <w:pPr>
        <w:tabs>
          <w:tab w:val="left" w:pos="1573"/>
        </w:tabs>
        <w:adjustRightInd w:val="0"/>
        <w:snapToGrid w:val="0"/>
        <w:spacing w:line="360" w:lineRule="auto"/>
        <w:ind w:left="420" w:leftChars="200"/>
        <w:rPr>
          <w:rFonts w:ascii="宋体" w:hAnsi="宋体"/>
          <w:szCs w:val="21"/>
          <w:highlight w:val="none"/>
        </w:rPr>
      </w:pPr>
      <w:r>
        <w:rPr>
          <w:rFonts w:ascii="宋体" w:hAnsi="宋体"/>
          <w:szCs w:val="21"/>
          <w:highlight w:val="none"/>
        </w:rPr>
        <w:t>2</w:t>
      </w:r>
      <w:r>
        <w:rPr>
          <w:rFonts w:ascii="宋体" w:hAnsi="宋体" w:hint="eastAsia"/>
          <w:szCs w:val="21"/>
          <w:highlight w:val="none"/>
        </w:rPr>
        <w:t>、本合同中的附件均为本合同不可分割的部分，与本合同具有相同的法律效力。</w:t>
      </w:r>
    </w:p>
    <w:p w14:paraId="5A40AD48">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附件</w:t>
      </w:r>
      <w:r>
        <w:rPr>
          <w:rFonts w:ascii="宋体" w:hAnsi="宋体"/>
          <w:szCs w:val="21"/>
          <w:highlight w:val="none"/>
        </w:rPr>
        <w:t>：</w:t>
      </w:r>
    </w:p>
    <w:p w14:paraId="55AC391F">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（1）合同服务产品清单</w:t>
      </w:r>
    </w:p>
    <w:p w14:paraId="03195B58">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（2）</w:t>
      </w:r>
    </w:p>
    <w:p w14:paraId="080B91C3">
      <w:pPr>
        <w:tabs>
          <w:tab w:val="left" w:pos="1573"/>
        </w:tabs>
        <w:adjustRightInd w:val="0"/>
        <w:snapToGrid w:val="0"/>
        <w:spacing w:line="360" w:lineRule="auto"/>
        <w:ind w:left="420" w:leftChars="200"/>
        <w:rPr>
          <w:rFonts w:ascii="宋体" w:hAnsi="宋体"/>
          <w:szCs w:val="21"/>
          <w:highlight w:val="none"/>
        </w:rPr>
      </w:pPr>
      <w:r>
        <w:rPr>
          <w:rFonts w:ascii="宋体" w:hAnsi="宋体" w:hint="eastAsia"/>
          <w:szCs w:val="21"/>
          <w:highlight w:val="none"/>
        </w:rPr>
        <w:t>……</w:t>
      </w:r>
    </w:p>
    <w:p w14:paraId="66D45E81">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3</w:t>
      </w:r>
      <w:r>
        <w:rPr>
          <w:rFonts w:ascii="宋体" w:hAnsi="宋体" w:hint="eastAsia"/>
          <w:szCs w:val="21"/>
          <w:highlight w:val="none"/>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14:paraId="0AD9F340">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4</w:t>
      </w:r>
      <w:r>
        <w:rPr>
          <w:rFonts w:ascii="宋体" w:hAnsi="宋体" w:hint="eastAsia"/>
          <w:szCs w:val="21"/>
          <w:highlight w:val="none"/>
        </w:rPr>
        <w:t>、本合同正本一式</w:t>
      </w:r>
      <w:r>
        <w:rPr>
          <w:rFonts w:ascii="宋体" w:hAnsi="宋体" w:hint="eastAsia"/>
          <w:szCs w:val="21"/>
          <w:highlight w:val="none"/>
          <w:lang w:val="en-US" w:eastAsia="zh-CN"/>
        </w:rPr>
        <w:t>捌</w:t>
      </w:r>
      <w:r>
        <w:rPr>
          <w:rFonts w:ascii="宋体" w:hAnsi="宋体" w:hint="eastAsia"/>
          <w:szCs w:val="21"/>
          <w:highlight w:val="none"/>
        </w:rPr>
        <w:t>份，甲</w:t>
      </w:r>
      <w:r>
        <w:rPr>
          <w:rFonts w:ascii="宋体" w:hAnsi="宋体" w:hint="eastAsia"/>
          <w:szCs w:val="21"/>
          <w:highlight w:val="none"/>
          <w:lang w:val="en-US" w:eastAsia="zh-CN"/>
        </w:rPr>
        <w:t>方</w:t>
      </w:r>
      <w:r>
        <w:rPr>
          <w:rFonts w:ascii="宋体" w:hAnsi="宋体" w:hint="eastAsia"/>
          <w:szCs w:val="21"/>
          <w:highlight w:val="none"/>
        </w:rPr>
        <w:t>、乙方</w:t>
      </w:r>
      <w:r>
        <w:rPr>
          <w:rFonts w:ascii="宋体" w:hAnsi="宋体" w:hint="eastAsia"/>
          <w:szCs w:val="21"/>
          <w:highlight w:val="none"/>
          <w:lang w:val="en-US" w:eastAsia="zh-CN"/>
        </w:rPr>
        <w:t>联合体各成员</w:t>
      </w:r>
      <w:r>
        <w:rPr>
          <w:rFonts w:ascii="宋体" w:hAnsi="宋体" w:hint="eastAsia"/>
          <w:szCs w:val="21"/>
          <w:highlight w:val="none"/>
        </w:rPr>
        <w:t>各执</w:t>
      </w:r>
      <w:r>
        <w:rPr>
          <w:rFonts w:ascii="宋体" w:hAnsi="宋体" w:hint="eastAsia"/>
          <w:szCs w:val="21"/>
          <w:highlight w:val="none"/>
          <w:lang w:val="en-US" w:eastAsia="zh-CN"/>
        </w:rPr>
        <w:t>贰</w:t>
      </w:r>
      <w:r>
        <w:rPr>
          <w:rFonts w:ascii="宋体" w:hAnsi="宋体" w:hint="eastAsia"/>
          <w:szCs w:val="21"/>
          <w:highlight w:val="none"/>
        </w:rPr>
        <w:t>份，每份正本具有同等法律效力，副本报财政部备案。</w:t>
      </w:r>
    </w:p>
    <w:p w14:paraId="25DE50B1">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5</w:t>
      </w:r>
      <w:r>
        <w:rPr>
          <w:rFonts w:ascii="宋体" w:hAnsi="宋体" w:hint="eastAsia"/>
          <w:szCs w:val="21"/>
          <w:highlight w:val="none"/>
        </w:rPr>
        <w:t>、本合同涉及的招标文件和投标文件，正本由中国气象局政府采购中心保存。</w:t>
      </w:r>
    </w:p>
    <w:p w14:paraId="3C6107FC">
      <w:pPr>
        <w:tabs>
          <w:tab w:val="left" w:pos="1573"/>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6</w:t>
      </w:r>
      <w:r>
        <w:rPr>
          <w:rFonts w:ascii="宋体" w:hAnsi="宋体" w:hint="eastAsia"/>
          <w:szCs w:val="21"/>
          <w:highlight w:val="none"/>
        </w:rPr>
        <w:t>、对本合同的补充、修改或变更必须以书面形式进行，并由乙方自签订补充合同之日起五日内报采购中心备案。</w:t>
      </w:r>
    </w:p>
    <w:p w14:paraId="32595CBD">
      <w:pPr>
        <w:adjustRightInd w:val="0"/>
        <w:spacing w:line="360" w:lineRule="auto"/>
        <w:ind w:firstLine="420" w:firstLineChars="200"/>
        <w:rPr>
          <w:rFonts w:ascii="宋体" w:hAnsi="宋体"/>
          <w:b/>
          <w:szCs w:val="21"/>
          <w:highlight w:val="none"/>
        </w:rPr>
      </w:pPr>
      <w:r>
        <w:rPr>
          <w:rFonts w:ascii="宋体" w:hAnsi="宋体"/>
          <w:szCs w:val="21"/>
          <w:highlight w:val="none"/>
        </w:rPr>
        <w:t>7</w:t>
      </w:r>
      <w:r>
        <w:rPr>
          <w:rFonts w:ascii="宋体" w:hAnsi="宋体" w:hint="eastAsia"/>
          <w:szCs w:val="21"/>
          <w:highlight w:val="none"/>
        </w:rPr>
        <w:t xml:space="preserve">、双方约定本合同其他相关事项为：               </w:t>
      </w:r>
    </w:p>
    <w:p w14:paraId="77575F8D">
      <w:pPr>
        <w:tabs>
          <w:tab w:val="left" w:pos="1573"/>
        </w:tabs>
        <w:adjustRightInd w:val="0"/>
        <w:snapToGrid w:val="0"/>
        <w:spacing w:line="360" w:lineRule="auto"/>
        <w:ind w:firstLine="420" w:firstLineChars="200"/>
        <w:rPr>
          <w:rFonts w:ascii="宋体" w:hAnsi="宋体"/>
          <w:szCs w:val="21"/>
          <w:highlight w:val="none"/>
        </w:rPr>
      </w:pPr>
    </w:p>
    <w:p w14:paraId="1A4E0407">
      <w:pPr>
        <w:snapToGrid w:val="0"/>
        <w:spacing w:line="360" w:lineRule="auto"/>
        <w:rPr>
          <w:rFonts w:ascii="宋体" w:hAnsi="宋体"/>
          <w:szCs w:val="21"/>
          <w:highlight w:val="none"/>
        </w:rPr>
      </w:pPr>
    </w:p>
    <w:p w14:paraId="6EFF5EF0">
      <w:pPr>
        <w:snapToGrid w:val="0"/>
        <w:spacing w:line="360" w:lineRule="auto"/>
        <w:ind w:firstLine="309" w:firstLineChars="147"/>
        <w:rPr>
          <w:rFonts w:ascii="宋体" w:hAnsi="宋体"/>
          <w:b/>
          <w:szCs w:val="21"/>
          <w:highlight w:val="none"/>
        </w:rPr>
      </w:pPr>
      <w:bookmarkStart w:id="269" w:name="OLE_LINK10"/>
      <w:bookmarkStart w:id="270" w:name="OLE_LINK9"/>
      <w:r>
        <w:rPr>
          <w:rFonts w:ascii="宋体" w:hAnsi="宋体" w:hint="eastAsia"/>
          <w:b/>
          <w:szCs w:val="21"/>
          <w:highlight w:val="none"/>
        </w:rPr>
        <w:t>甲方：                                   乙方</w:t>
      </w:r>
      <w:r>
        <w:rPr>
          <w:rFonts w:ascii="宋体" w:hAnsi="宋体" w:hint="eastAsia"/>
          <w:b/>
          <w:szCs w:val="21"/>
          <w:highlight w:val="none"/>
          <w:lang w:val="en-US" w:eastAsia="zh-CN"/>
        </w:rPr>
        <w:t>1</w:t>
      </w:r>
      <w:r>
        <w:rPr>
          <w:rFonts w:ascii="宋体" w:hAnsi="宋体" w:hint="eastAsia"/>
          <w:b/>
          <w:szCs w:val="21"/>
          <w:highlight w:val="none"/>
        </w:rPr>
        <w:t>：</w:t>
      </w:r>
    </w:p>
    <w:p w14:paraId="526D9797">
      <w:pPr>
        <w:snapToGrid w:val="0"/>
        <w:spacing w:line="360" w:lineRule="auto"/>
        <w:ind w:firstLine="309" w:firstLineChars="147"/>
        <w:rPr>
          <w:rFonts w:ascii="宋体" w:hAnsi="宋体"/>
          <w:b/>
          <w:szCs w:val="21"/>
          <w:highlight w:val="none"/>
        </w:rPr>
      </w:pPr>
      <w:r>
        <w:rPr>
          <w:rFonts w:ascii="宋体" w:hAnsi="宋体" w:hint="eastAsia"/>
          <w:b/>
          <w:szCs w:val="21"/>
          <w:highlight w:val="none"/>
        </w:rPr>
        <w:t>单位名称：（盖章）                       单位名称：（盖章）</w:t>
      </w:r>
    </w:p>
    <w:p w14:paraId="40F6AFFA">
      <w:pPr>
        <w:snapToGrid w:val="0"/>
        <w:spacing w:line="360" w:lineRule="auto"/>
        <w:ind w:firstLine="309" w:firstLineChars="147"/>
        <w:rPr>
          <w:rFonts w:ascii="宋体" w:hAnsi="宋体"/>
          <w:b/>
          <w:szCs w:val="21"/>
          <w:highlight w:val="none"/>
        </w:rPr>
      </w:pPr>
      <w:r>
        <w:rPr>
          <w:rFonts w:ascii="宋体" w:hAnsi="宋体" w:hint="eastAsia"/>
          <w:b/>
          <w:szCs w:val="21"/>
          <w:highlight w:val="none"/>
        </w:rPr>
        <w:t>法定代表人</w:t>
      </w:r>
      <w:bookmarkStart w:id="271" w:name="OLE_LINK3"/>
      <w:bookmarkStart w:id="272" w:name="OLE_LINK4"/>
      <w:r>
        <w:rPr>
          <w:rFonts w:ascii="宋体" w:hAnsi="宋体" w:hint="eastAsia"/>
          <w:b/>
          <w:szCs w:val="21"/>
          <w:highlight w:val="none"/>
        </w:rPr>
        <w:t>/授权代表</w:t>
      </w:r>
      <w:bookmarkEnd w:id="271"/>
      <w:bookmarkEnd w:id="272"/>
      <w:r>
        <w:rPr>
          <w:rFonts w:ascii="宋体" w:hAnsi="宋体" w:hint="eastAsia"/>
          <w:b/>
          <w:szCs w:val="21"/>
          <w:highlight w:val="none"/>
        </w:rPr>
        <w:t>：                    法定代表人/授权代表：</w:t>
      </w:r>
    </w:p>
    <w:p w14:paraId="61BF7679">
      <w:pPr>
        <w:snapToGrid w:val="0"/>
        <w:spacing w:line="360" w:lineRule="auto"/>
        <w:ind w:firstLine="309" w:firstLineChars="147"/>
        <w:rPr>
          <w:rFonts w:ascii="宋体" w:hAnsi="宋体"/>
          <w:b/>
          <w:szCs w:val="21"/>
          <w:highlight w:val="none"/>
        </w:rPr>
      </w:pPr>
      <w:r>
        <w:rPr>
          <w:rFonts w:ascii="宋体" w:hAnsi="宋体" w:hint="eastAsia"/>
          <w:b/>
          <w:szCs w:val="21"/>
          <w:highlight w:val="none"/>
        </w:rPr>
        <w:t>经办人：                                 经办人：</w:t>
      </w:r>
    </w:p>
    <w:p w14:paraId="2C8A4462">
      <w:pPr>
        <w:snapToGrid w:val="0"/>
        <w:spacing w:line="360" w:lineRule="auto"/>
        <w:ind w:firstLine="309" w:firstLineChars="147"/>
        <w:rPr>
          <w:rFonts w:ascii="宋体" w:hAnsi="宋体"/>
          <w:b/>
          <w:szCs w:val="21"/>
          <w:highlight w:val="none"/>
        </w:rPr>
      </w:pPr>
      <w:r>
        <w:rPr>
          <w:rFonts w:ascii="宋体" w:hAnsi="宋体" w:hint="eastAsia"/>
          <w:b/>
          <w:szCs w:val="21"/>
          <w:highlight w:val="none"/>
        </w:rPr>
        <w:t>签约日期：                               签约日期：</w:t>
      </w:r>
      <w:bookmarkEnd w:id="269"/>
      <w:bookmarkEnd w:id="270"/>
    </w:p>
    <w:p w14:paraId="07F2BB57">
      <w:pPr>
        <w:snapToGrid w:val="0"/>
        <w:spacing w:line="360" w:lineRule="auto"/>
        <w:rPr>
          <w:b/>
          <w:sz w:val="28"/>
          <w:szCs w:val="28"/>
          <w:highlight w:val="none"/>
        </w:rPr>
      </w:pPr>
      <w:r>
        <w:rPr>
          <w:rFonts w:hint="eastAsia"/>
          <w:b/>
          <w:sz w:val="28"/>
          <w:szCs w:val="28"/>
          <w:highlight w:val="none"/>
        </w:rPr>
        <w:t xml:space="preserve">   </w:t>
      </w:r>
    </w:p>
    <w:p w14:paraId="5985940E">
      <w:pPr>
        <w:snapToGrid w:val="0"/>
        <w:spacing w:line="360" w:lineRule="auto"/>
        <w:ind w:firstLine="309" w:firstLineChars="147"/>
        <w:rPr>
          <w:rFonts w:ascii="宋体" w:hAnsi="宋体"/>
          <w:b/>
          <w:szCs w:val="21"/>
          <w:highlight w:val="none"/>
        </w:rPr>
      </w:pPr>
      <w:r>
        <w:rPr>
          <w:rFonts w:ascii="宋体" w:hAnsi="宋体" w:hint="eastAsia"/>
          <w:b/>
          <w:szCs w:val="21"/>
          <w:highlight w:val="none"/>
          <w:lang w:val="en-US" w:eastAsia="zh-CN"/>
        </w:rPr>
        <w:t>乙方2</w:t>
      </w:r>
      <w:r>
        <w:rPr>
          <w:rFonts w:ascii="宋体" w:hAnsi="宋体" w:hint="eastAsia"/>
          <w:b/>
          <w:szCs w:val="21"/>
          <w:highlight w:val="none"/>
        </w:rPr>
        <w:t>：                                  乙方</w:t>
      </w:r>
      <w:r>
        <w:rPr>
          <w:rFonts w:ascii="宋体" w:hAnsi="宋体" w:hint="eastAsia"/>
          <w:b/>
          <w:szCs w:val="21"/>
          <w:highlight w:val="none"/>
          <w:lang w:val="en-US" w:eastAsia="zh-CN"/>
        </w:rPr>
        <w:t>3</w:t>
      </w:r>
      <w:r>
        <w:rPr>
          <w:rFonts w:ascii="宋体" w:hAnsi="宋体" w:hint="eastAsia"/>
          <w:b/>
          <w:szCs w:val="21"/>
          <w:highlight w:val="none"/>
        </w:rPr>
        <w:t>：</w:t>
      </w:r>
    </w:p>
    <w:p w14:paraId="35822F1F">
      <w:pPr>
        <w:snapToGrid w:val="0"/>
        <w:spacing w:line="360" w:lineRule="auto"/>
        <w:ind w:firstLine="309" w:firstLineChars="147"/>
        <w:rPr>
          <w:rFonts w:ascii="宋体" w:hAnsi="宋体"/>
          <w:b/>
          <w:szCs w:val="21"/>
          <w:highlight w:val="none"/>
        </w:rPr>
      </w:pPr>
      <w:r>
        <w:rPr>
          <w:rFonts w:ascii="宋体" w:hAnsi="宋体" w:hint="eastAsia"/>
          <w:b/>
          <w:szCs w:val="21"/>
          <w:highlight w:val="none"/>
        </w:rPr>
        <w:t>单位名称：（盖章）                       单位名称：（盖章）</w:t>
      </w:r>
    </w:p>
    <w:p w14:paraId="5151AA9F">
      <w:pPr>
        <w:snapToGrid w:val="0"/>
        <w:spacing w:line="360" w:lineRule="auto"/>
        <w:ind w:firstLine="309" w:firstLineChars="147"/>
        <w:rPr>
          <w:rFonts w:ascii="宋体" w:hAnsi="宋体"/>
          <w:b/>
          <w:szCs w:val="21"/>
          <w:highlight w:val="none"/>
        </w:rPr>
      </w:pPr>
      <w:r>
        <w:rPr>
          <w:rFonts w:ascii="宋体" w:hAnsi="宋体" w:hint="eastAsia"/>
          <w:b/>
          <w:szCs w:val="21"/>
          <w:highlight w:val="none"/>
        </w:rPr>
        <w:t>法定代表人/授权代表：                    法定代表人/授权代表：</w:t>
      </w:r>
    </w:p>
    <w:p w14:paraId="4544467D">
      <w:pPr>
        <w:snapToGrid w:val="0"/>
        <w:spacing w:line="360" w:lineRule="auto"/>
        <w:ind w:firstLine="309" w:firstLineChars="147"/>
        <w:rPr>
          <w:rFonts w:ascii="宋体" w:hAnsi="宋体"/>
          <w:b/>
          <w:szCs w:val="21"/>
          <w:highlight w:val="none"/>
        </w:rPr>
      </w:pPr>
      <w:r>
        <w:rPr>
          <w:rFonts w:ascii="宋体" w:hAnsi="宋体" w:hint="eastAsia"/>
          <w:b/>
          <w:szCs w:val="21"/>
          <w:highlight w:val="none"/>
        </w:rPr>
        <w:t>经办人：                                 经办人：</w:t>
      </w:r>
    </w:p>
    <w:p w14:paraId="7F938CDB">
      <w:pPr>
        <w:snapToGrid w:val="0"/>
        <w:spacing w:line="360" w:lineRule="auto"/>
        <w:ind w:firstLine="309" w:firstLineChars="147"/>
        <w:rPr>
          <w:rFonts w:ascii="宋体" w:hAnsi="宋体"/>
          <w:b/>
          <w:szCs w:val="21"/>
          <w:highlight w:val="none"/>
        </w:rPr>
      </w:pPr>
      <w:r>
        <w:rPr>
          <w:rFonts w:ascii="宋体" w:hAnsi="宋体" w:hint="eastAsia"/>
          <w:b/>
          <w:szCs w:val="21"/>
          <w:highlight w:val="none"/>
        </w:rPr>
        <w:t>签约日期：                               签约日期：</w:t>
      </w:r>
    </w:p>
    <w:p w14:paraId="7F93A1A7">
      <w:pPr>
        <w:tabs>
          <w:tab w:val="left" w:pos="1573"/>
        </w:tabs>
        <w:adjustRightInd w:val="0"/>
        <w:snapToGrid w:val="0"/>
        <w:spacing w:line="360" w:lineRule="auto"/>
        <w:ind w:firstLine="420" w:firstLineChars="200"/>
        <w:rPr>
          <w:rFonts w:ascii="宋体" w:hAnsi="宋体"/>
          <w:szCs w:val="21"/>
          <w:highlight w:val="none"/>
        </w:rPr>
      </w:pPr>
    </w:p>
    <w:p w14:paraId="404D8831">
      <w:pPr>
        <w:adjustRightInd w:val="0"/>
        <w:snapToGrid w:val="0"/>
        <w:spacing w:line="360" w:lineRule="auto"/>
        <w:ind w:firstLine="420" w:firstLineChars="200"/>
        <w:rPr>
          <w:szCs w:val="21"/>
          <w:highlight w:val="none"/>
        </w:rPr>
      </w:pPr>
      <w:r>
        <w:rPr>
          <w:rFonts w:hint="eastAsia"/>
          <w:szCs w:val="21"/>
          <w:highlight w:val="none"/>
        </w:rPr>
        <w:t xml:space="preserve">                            </w:t>
      </w:r>
    </w:p>
    <w:p w14:paraId="5F55878A">
      <w:pPr>
        <w:adjustRightInd w:val="0"/>
        <w:snapToGrid w:val="0"/>
        <w:spacing w:line="360" w:lineRule="auto"/>
        <w:ind w:firstLine="420" w:firstLineChars="200"/>
        <w:rPr>
          <w:szCs w:val="21"/>
          <w:highlight w:val="none"/>
        </w:rPr>
      </w:pPr>
    </w:p>
    <w:p w14:paraId="27DC125C">
      <w:pPr>
        <w:adjustRightInd w:val="0"/>
        <w:snapToGrid w:val="0"/>
        <w:spacing w:line="360" w:lineRule="auto"/>
        <w:ind w:firstLine="420" w:firstLineChars="200"/>
        <w:rPr>
          <w:szCs w:val="21"/>
          <w:highlight w:val="none"/>
        </w:rPr>
      </w:pPr>
      <w:r>
        <w:rPr>
          <w:rFonts w:hint="eastAsia"/>
          <w:szCs w:val="21"/>
          <w:highlight w:val="none"/>
        </w:rPr>
        <w:t xml:space="preserve">                            </w:t>
      </w:r>
    </w:p>
    <w:p w14:paraId="3CDE0E5D">
      <w:pPr>
        <w:adjustRightInd w:val="0"/>
        <w:snapToGrid w:val="0"/>
        <w:spacing w:line="360" w:lineRule="auto"/>
        <w:ind w:firstLine="420" w:firstLineChars="200"/>
        <w:rPr>
          <w:szCs w:val="21"/>
          <w:highlight w:val="none"/>
        </w:rPr>
      </w:pPr>
    </w:p>
    <w:p w14:paraId="7488F933">
      <w:pPr>
        <w:adjustRightInd w:val="0"/>
        <w:snapToGrid w:val="0"/>
        <w:spacing w:line="360" w:lineRule="auto"/>
        <w:ind w:firstLine="420" w:firstLineChars="200"/>
        <w:rPr>
          <w:szCs w:val="21"/>
          <w:highlight w:val="none"/>
        </w:rPr>
      </w:pPr>
    </w:p>
    <w:p w14:paraId="666D9E7C">
      <w:pPr>
        <w:pStyle w:val="10"/>
        <w:numPr>
          <w:ilvl w:val="0"/>
          <w:numId w:val="0"/>
        </w:numPr>
        <w:tabs>
          <w:tab w:val="left" w:pos="1573"/>
        </w:tabs>
        <w:adjustRightInd w:val="0"/>
        <w:snapToGrid w:val="0"/>
        <w:spacing w:line="560" w:lineRule="exact"/>
        <w:rPr>
          <w:rFonts w:ascii="黑体" w:eastAsia="黑体" w:hAnsi="黑体" w:cs="黑体"/>
          <w:sz w:val="32"/>
          <w:szCs w:val="32"/>
          <w:highlight w:val="none"/>
        </w:rPr>
      </w:pPr>
      <w:r>
        <w:rPr>
          <w:rFonts w:ascii="黑体" w:eastAsia="黑体" w:hAnsi="黑体" w:cs="黑体" w:hint="eastAsia"/>
          <w:sz w:val="32"/>
          <w:szCs w:val="32"/>
          <w:highlight w:val="none"/>
        </w:rPr>
        <w:t>附件</w:t>
      </w:r>
    </w:p>
    <w:p w14:paraId="5AB7CD92">
      <w:pPr>
        <w:snapToGrid w:val="0"/>
        <w:spacing w:line="560" w:lineRule="exact"/>
        <w:jc w:val="center"/>
        <w:rPr>
          <w:b/>
          <w:sz w:val="28"/>
          <w:szCs w:val="28"/>
          <w:highlight w:val="none"/>
        </w:rPr>
      </w:pPr>
    </w:p>
    <w:p w14:paraId="6EA58C61">
      <w:pPr>
        <w:snapToGrid w:val="0"/>
        <w:spacing w:line="560" w:lineRule="exact"/>
        <w:jc w:val="center"/>
        <w:rPr>
          <w:rFonts w:ascii="小标宋" w:eastAsia="小标宋" w:hAnsi="小标宋" w:cs="小标宋"/>
          <w:b/>
          <w:bCs/>
          <w:sz w:val="36"/>
          <w:szCs w:val="36"/>
          <w:highlight w:val="none"/>
        </w:rPr>
      </w:pPr>
      <w:r>
        <w:rPr>
          <w:rFonts w:ascii="小标宋" w:eastAsia="小标宋" w:hAnsi="小标宋" w:cs="小标宋" w:hint="eastAsia"/>
          <w:b/>
          <w:bCs/>
          <w:caps/>
          <w:sz w:val="48"/>
          <w:szCs w:val="48"/>
          <w:highlight w:val="none"/>
        </w:rPr>
        <w:t>廉  洁  协  议</w:t>
      </w:r>
    </w:p>
    <w:p w14:paraId="28DD0A2B">
      <w:pPr>
        <w:snapToGrid w:val="0"/>
        <w:spacing w:line="560" w:lineRule="exact"/>
        <w:rPr>
          <w:szCs w:val="21"/>
          <w:highlight w:val="none"/>
        </w:rPr>
      </w:pPr>
    </w:p>
    <w:p w14:paraId="444867EB">
      <w:pPr>
        <w:autoSpaceDE w:val="0"/>
        <w:autoSpaceDN w:val="0"/>
        <w:adjustRightInd w:val="0"/>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14:paraId="34B4A6A9">
      <w:pPr>
        <w:spacing w:line="560" w:lineRule="exact"/>
        <w:ind w:firstLine="640" w:firstLineChars="200"/>
        <w:rPr>
          <w:rFonts w:ascii="仿宋_GB2312" w:eastAsia="仿宋_GB2312" w:hAnsi="宋体"/>
          <w:sz w:val="32"/>
          <w:szCs w:val="32"/>
          <w:highlight w:val="none"/>
        </w:rPr>
      </w:pPr>
      <w:r>
        <w:rPr>
          <w:rFonts w:ascii="黑体" w:eastAsia="黑体" w:hAnsi="黑体" w:cs="黑体" w:hint="eastAsia"/>
          <w:kern w:val="32"/>
          <w:sz w:val="32"/>
          <w:szCs w:val="32"/>
          <w:highlight w:val="none"/>
        </w:rPr>
        <w:t>一、</w:t>
      </w:r>
      <w:r>
        <w:rPr>
          <w:rFonts w:ascii="黑体" w:eastAsia="黑体" w:hAnsi="黑体" w:cs="黑体" w:hint="eastAsia"/>
          <w:sz w:val="32"/>
          <w:szCs w:val="32"/>
          <w:highlight w:val="none"/>
        </w:rPr>
        <w:t>双方共同责任</w:t>
      </w:r>
    </w:p>
    <w:p w14:paraId="1ECFEE01">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（一）双方应严格遵守国家关于经济活动的有关法律法规、政策规章及双方关于廉政建设的有关规定。</w:t>
      </w:r>
    </w:p>
    <w:p w14:paraId="307F2027">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（二）坚持公平、公正、公开、诚信、透明的原则，不得为获得不正当利益损害双方利益。</w:t>
      </w:r>
    </w:p>
    <w:p w14:paraId="10C6A234">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（三）建立健全自我制约制度，开展廉洁教育，监督并认真查处违法违纪违规行为。</w:t>
      </w:r>
    </w:p>
    <w:p w14:paraId="15A47AB3">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（四）发现对方在合同履行过程中存在违反本协议的行为，应及时提醒和敦促对方纠正；情节严重的，应向双方有关部门检举、揭发。</w:t>
      </w:r>
    </w:p>
    <w:p w14:paraId="343E4EA6">
      <w:pPr>
        <w:spacing w:line="560" w:lineRule="exact"/>
        <w:ind w:firstLine="640" w:firstLineChars="200"/>
        <w:rPr>
          <w:rFonts w:ascii="黑体" w:eastAsia="黑体" w:hAnsi="黑体" w:cs="黑体"/>
          <w:sz w:val="32"/>
          <w:szCs w:val="32"/>
          <w:highlight w:val="none"/>
        </w:rPr>
      </w:pPr>
      <w:r>
        <w:rPr>
          <w:rFonts w:ascii="黑体" w:eastAsia="黑体" w:hAnsi="黑体" w:cs="黑体" w:hint="eastAsia"/>
          <w:kern w:val="32"/>
          <w:sz w:val="32"/>
          <w:szCs w:val="32"/>
          <w:highlight w:val="none"/>
        </w:rPr>
        <w:t>二、</w:t>
      </w:r>
      <w:r>
        <w:rPr>
          <w:rFonts w:ascii="黑体" w:eastAsia="黑体" w:hAnsi="黑体" w:cs="黑体" w:hint="eastAsia"/>
          <w:sz w:val="32"/>
          <w:szCs w:val="32"/>
          <w:highlight w:val="none"/>
        </w:rPr>
        <w:t>甲方权利与义务</w:t>
      </w:r>
    </w:p>
    <w:p w14:paraId="54759FC5">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（一）甲方有权对乙方在合同履行过程中的廉洁自律情况进行监督。</w:t>
      </w:r>
    </w:p>
    <w:p w14:paraId="5A54E96E">
      <w:pPr>
        <w:spacing w:line="560" w:lineRule="exact"/>
        <w:ind w:firstLine="640" w:firstLineChars="200"/>
        <w:rPr>
          <w:rFonts w:ascii="仿宋_GB2312" w:eastAsia="仿宋_GB2312" w:hAnsi="宋体"/>
          <w:color w:val="FF0000"/>
          <w:sz w:val="32"/>
          <w:szCs w:val="32"/>
          <w:highlight w:val="none"/>
        </w:rPr>
      </w:pPr>
      <w:r>
        <w:rPr>
          <w:rFonts w:ascii="仿宋_GB2312" w:eastAsia="仿宋_GB2312" w:hAnsi="宋体" w:hint="eastAsia"/>
          <w:sz w:val="32"/>
          <w:szCs w:val="32"/>
          <w:highlight w:val="none"/>
        </w:rPr>
        <w:t>（二）甲方及其工作人员不得索要或接受乙方及其工作人员的钱物(现金、有价证券、信用卡、礼金、奖金、补贴、物品等)，不得在乙方报销任何应由甲方或个人支付的费用。</w:t>
      </w:r>
    </w:p>
    <w:p w14:paraId="096537BF">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（三）甲方及其工作人员不得接受乙方安排的可能影响公正工作的住宿、宴请和娱乐活动；不得接受乙方提供的合同规定外的通讯工具、交通工具和办公用品等。</w:t>
      </w:r>
    </w:p>
    <w:p w14:paraId="7A095023">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（四）甲方及其工作人员不得要求、暗示或者接受乙方为其住房装修、婚丧嫁娶活动、配偶子女的工作安排以及出国出境、旅游等提供便利。</w:t>
      </w:r>
    </w:p>
    <w:p w14:paraId="6EABD6F0">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（五）甲方工作人员不得向乙方及相关单位介绍或推荐其关联亲属参加与合同有关的经济活动。</w:t>
      </w:r>
    </w:p>
    <w:p w14:paraId="6DF4D9BD">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（六）甲方工作人员不得违反规定向乙方推荐合作方。</w:t>
      </w:r>
    </w:p>
    <w:p w14:paraId="0A9548FC">
      <w:pPr>
        <w:spacing w:line="560" w:lineRule="exact"/>
        <w:ind w:firstLine="640" w:firstLineChars="200"/>
        <w:rPr>
          <w:rFonts w:ascii="黑体" w:eastAsia="黑体" w:hAnsi="黑体" w:cs="黑体"/>
          <w:sz w:val="32"/>
          <w:szCs w:val="32"/>
          <w:highlight w:val="none"/>
        </w:rPr>
      </w:pPr>
      <w:r>
        <w:rPr>
          <w:rFonts w:ascii="黑体" w:eastAsia="黑体" w:hAnsi="黑体" w:cs="黑体" w:hint="eastAsia"/>
          <w:kern w:val="32"/>
          <w:sz w:val="32"/>
          <w:szCs w:val="32"/>
          <w:highlight w:val="none"/>
        </w:rPr>
        <w:t>三、</w:t>
      </w:r>
      <w:r>
        <w:rPr>
          <w:rFonts w:ascii="黑体" w:eastAsia="黑体" w:hAnsi="黑体" w:cs="黑体" w:hint="eastAsia"/>
          <w:sz w:val="32"/>
          <w:szCs w:val="32"/>
          <w:highlight w:val="none"/>
        </w:rPr>
        <w:t>乙方权利与义务</w:t>
      </w:r>
    </w:p>
    <w:p w14:paraId="3D81E74B">
      <w:pPr>
        <w:numPr>
          <w:ilvl w:val="0"/>
          <w:numId w:val="35"/>
        </w:num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乙方对甲方及其工作人员提出的合同规定外的要求，有权予以拒绝。</w:t>
      </w:r>
    </w:p>
    <w:p w14:paraId="6B76B4E0">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（二）乙方不得以任何理由向甲方、甲方工作人员及其关联亲属馈赠钱物(现金、有价证券、信用卡、礼金、奖金、补贴、物品等)。</w:t>
      </w:r>
    </w:p>
    <w:p w14:paraId="28C679CC">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（三）乙方不得以任何名义为甲方、甲方工作人员及其关联亲属报销应由甲方单位或个人支付的任何费用。</w:t>
      </w:r>
    </w:p>
    <w:p w14:paraId="0ED79745">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（四）乙方不得以任何理由安排甲方、甲方工作人员及其关联亲属参加宴请及娱乐活动。</w:t>
      </w:r>
    </w:p>
    <w:p w14:paraId="27D5B162">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（五）乙方不得为甲方、甲方工作人员及其关联亲属购置或提供合同规定外的通讯工具、交通工具和高档办公用品等。</w:t>
      </w:r>
    </w:p>
    <w:p w14:paraId="521BAE20">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（六）乙方不得为甲方工作人员及其关联亲属提供任何形式的生活便利。</w:t>
      </w:r>
    </w:p>
    <w:p w14:paraId="665E45B4">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（七）乙方不得存在其他影响甲方工作人员公正从业的有关行为。</w:t>
      </w:r>
    </w:p>
    <w:p w14:paraId="53DAE01F">
      <w:pPr>
        <w:spacing w:line="560" w:lineRule="exact"/>
        <w:ind w:firstLine="640" w:firstLineChars="200"/>
        <w:rPr>
          <w:rFonts w:ascii="黑体" w:eastAsia="黑体" w:hAnsi="黑体" w:cs="黑体"/>
          <w:sz w:val="32"/>
          <w:szCs w:val="32"/>
          <w:highlight w:val="none"/>
        </w:rPr>
      </w:pPr>
      <w:r>
        <w:rPr>
          <w:rFonts w:ascii="黑体" w:eastAsia="黑体" w:hAnsi="黑体" w:cs="黑体" w:hint="eastAsia"/>
          <w:kern w:val="32"/>
          <w:sz w:val="32"/>
          <w:szCs w:val="32"/>
          <w:highlight w:val="none"/>
        </w:rPr>
        <w:t>四、</w:t>
      </w:r>
      <w:r>
        <w:rPr>
          <w:rFonts w:ascii="黑体" w:eastAsia="黑体" w:hAnsi="黑体" w:cs="黑体" w:hint="eastAsia"/>
          <w:sz w:val="32"/>
          <w:szCs w:val="32"/>
          <w:highlight w:val="none"/>
        </w:rPr>
        <w:t>违约责任</w:t>
      </w:r>
    </w:p>
    <w:p w14:paraId="2C4B01B6">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（一）双方人员如有违反本协议行为的，按照管理权限，由各自单位按照有关法律法规和规章制度进行处理。涉嫌犯罪的，移交司法机关追究刑事责任。</w:t>
      </w:r>
    </w:p>
    <w:p w14:paraId="14249582">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（二）由甲/乙方及所属人员违规造成对方损失的，由双方依据实际情况协调赔偿方式。</w:t>
      </w:r>
    </w:p>
    <w:p w14:paraId="1D407C1C">
      <w:pPr>
        <w:spacing w:line="560" w:lineRule="exact"/>
        <w:ind w:firstLine="640" w:firstLineChars="200"/>
        <w:rPr>
          <w:rFonts w:ascii="黑体" w:eastAsia="黑体" w:hAnsi="黑体" w:cs="黑体"/>
          <w:sz w:val="32"/>
          <w:szCs w:val="32"/>
          <w:highlight w:val="none"/>
        </w:rPr>
      </w:pPr>
      <w:r>
        <w:rPr>
          <w:rFonts w:ascii="黑体" w:eastAsia="黑体" w:hAnsi="黑体" w:cs="黑体" w:hint="eastAsia"/>
          <w:kern w:val="32"/>
          <w:sz w:val="32"/>
          <w:szCs w:val="32"/>
          <w:highlight w:val="none"/>
        </w:rPr>
        <w:t>五、</w:t>
      </w:r>
      <w:r>
        <w:rPr>
          <w:rFonts w:ascii="黑体" w:eastAsia="黑体" w:hAnsi="黑体" w:cs="黑体" w:hint="eastAsia"/>
          <w:sz w:val="32"/>
          <w:szCs w:val="32"/>
          <w:highlight w:val="none"/>
        </w:rPr>
        <w:t>其他</w:t>
      </w:r>
    </w:p>
    <w:p w14:paraId="383C0059">
      <w:pPr>
        <w:widowControl/>
        <w:numPr>
          <w:ilvl w:val="0"/>
          <w:numId w:val="36"/>
        </w:numPr>
        <w:spacing w:line="560" w:lineRule="exact"/>
        <w:ind w:firstLine="640" w:firstLineChars="200"/>
        <w:jc w:val="left"/>
        <w:rPr>
          <w:rFonts w:ascii="仿宋_GB2312" w:eastAsia="仿宋_GB2312" w:hAnsi="宋体"/>
          <w:sz w:val="32"/>
          <w:szCs w:val="32"/>
          <w:highlight w:val="none"/>
        </w:rPr>
      </w:pPr>
      <w:r>
        <w:rPr>
          <w:rFonts w:ascii="仿宋_GB2312" w:eastAsia="仿宋_GB2312" w:hAnsi="宋体" w:hint="eastAsia"/>
          <w:sz w:val="32"/>
          <w:szCs w:val="32"/>
          <w:highlight w:val="none"/>
        </w:rPr>
        <w:t>为保证双方合法权益，双方特设立举报电话及举报邮箱：</w:t>
      </w:r>
    </w:p>
    <w:p w14:paraId="599482FE">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1.甲方：</w:t>
      </w:r>
    </w:p>
    <w:p w14:paraId="16BC0721">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监督部门：国家气象信息中心纪委  </w:t>
      </w:r>
    </w:p>
    <w:p w14:paraId="4D826CC2">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联 系 人：杨根录</w:t>
      </w:r>
    </w:p>
    <w:p w14:paraId="22323F85">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举报电话：010-68406214 </w:t>
      </w:r>
    </w:p>
    <w:p w14:paraId="52D9CA6E">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举报邮箱：yanggl@cma.gov.cn</w:t>
      </w:r>
    </w:p>
    <w:p w14:paraId="2531411C">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2.乙方</w:t>
      </w:r>
      <w:r>
        <w:rPr>
          <w:rFonts w:ascii="仿宋_GB2312" w:eastAsia="仿宋_GB2312" w:hAnsi="宋体" w:hint="eastAsia"/>
          <w:sz w:val="32"/>
          <w:szCs w:val="32"/>
          <w:highlight w:val="none"/>
          <w:lang w:val="en-US" w:eastAsia="zh-CN"/>
        </w:rPr>
        <w:t>1</w:t>
      </w:r>
      <w:r>
        <w:rPr>
          <w:rFonts w:ascii="仿宋_GB2312" w:eastAsia="仿宋_GB2312" w:hAnsi="宋体" w:hint="eastAsia"/>
          <w:sz w:val="32"/>
          <w:szCs w:val="32"/>
          <w:highlight w:val="none"/>
        </w:rPr>
        <w:t>：</w:t>
      </w:r>
    </w:p>
    <w:p w14:paraId="1497996F">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监督部门：                      </w:t>
      </w:r>
    </w:p>
    <w:p w14:paraId="2282F128">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联 系 人： </w:t>
      </w:r>
    </w:p>
    <w:p w14:paraId="1A8C8C3D">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举报电话：     </w:t>
      </w:r>
    </w:p>
    <w:p w14:paraId="38E565A7">
      <w:pPr>
        <w:spacing w:line="560" w:lineRule="exact"/>
        <w:ind w:firstLine="640" w:firstLineChars="200"/>
        <w:rPr>
          <w:rFonts w:ascii="仿宋_GB2312" w:eastAsia="仿宋_GB2312" w:hAnsi="宋体" w:hint="eastAsia"/>
          <w:sz w:val="32"/>
          <w:szCs w:val="32"/>
          <w:highlight w:val="none"/>
        </w:rPr>
      </w:pPr>
      <w:r>
        <w:rPr>
          <w:rFonts w:ascii="仿宋_GB2312" w:eastAsia="仿宋_GB2312" w:hAnsi="宋体" w:hint="eastAsia"/>
          <w:sz w:val="32"/>
          <w:szCs w:val="32"/>
          <w:highlight w:val="none"/>
        </w:rPr>
        <w:t>举报邮箱：</w:t>
      </w:r>
    </w:p>
    <w:p w14:paraId="1D1BB4FC">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lang w:val="en-US" w:eastAsia="zh-CN"/>
        </w:rPr>
        <w:t>3</w:t>
      </w:r>
      <w:r>
        <w:rPr>
          <w:rFonts w:ascii="仿宋_GB2312" w:eastAsia="仿宋_GB2312" w:hAnsi="宋体" w:hint="eastAsia"/>
          <w:sz w:val="32"/>
          <w:szCs w:val="32"/>
          <w:highlight w:val="none"/>
        </w:rPr>
        <w:t>.乙方</w:t>
      </w:r>
      <w:r>
        <w:rPr>
          <w:rFonts w:ascii="仿宋_GB2312" w:eastAsia="仿宋_GB2312" w:hAnsi="宋体" w:hint="eastAsia"/>
          <w:sz w:val="32"/>
          <w:szCs w:val="32"/>
          <w:highlight w:val="none"/>
          <w:lang w:val="en-US" w:eastAsia="zh-CN"/>
        </w:rPr>
        <w:t>2</w:t>
      </w:r>
      <w:r>
        <w:rPr>
          <w:rFonts w:ascii="仿宋_GB2312" w:eastAsia="仿宋_GB2312" w:hAnsi="宋体" w:hint="eastAsia"/>
          <w:sz w:val="32"/>
          <w:szCs w:val="32"/>
          <w:highlight w:val="none"/>
        </w:rPr>
        <w:t>：</w:t>
      </w:r>
    </w:p>
    <w:p w14:paraId="75A53DAE">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监督部门：                      </w:t>
      </w:r>
    </w:p>
    <w:p w14:paraId="3F7510BF">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联 系 人： </w:t>
      </w:r>
    </w:p>
    <w:p w14:paraId="3FF78AEF">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举报电话：     </w:t>
      </w:r>
    </w:p>
    <w:p w14:paraId="13BD140C">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举报邮箱： </w:t>
      </w:r>
    </w:p>
    <w:p w14:paraId="7B187163">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lang w:val="en-US" w:eastAsia="zh-CN"/>
        </w:rPr>
        <w:t>4</w:t>
      </w:r>
      <w:r>
        <w:rPr>
          <w:rFonts w:ascii="仿宋_GB2312" w:eastAsia="仿宋_GB2312" w:hAnsi="宋体" w:hint="eastAsia"/>
          <w:sz w:val="32"/>
          <w:szCs w:val="32"/>
          <w:highlight w:val="none"/>
        </w:rPr>
        <w:t>.乙方</w:t>
      </w:r>
      <w:r>
        <w:rPr>
          <w:rFonts w:ascii="仿宋_GB2312" w:eastAsia="仿宋_GB2312" w:hAnsi="宋体" w:hint="eastAsia"/>
          <w:sz w:val="32"/>
          <w:szCs w:val="32"/>
          <w:highlight w:val="none"/>
          <w:lang w:val="en-US" w:eastAsia="zh-CN"/>
        </w:rPr>
        <w:t>3</w:t>
      </w:r>
      <w:r>
        <w:rPr>
          <w:rFonts w:ascii="仿宋_GB2312" w:eastAsia="仿宋_GB2312" w:hAnsi="宋体" w:hint="eastAsia"/>
          <w:sz w:val="32"/>
          <w:szCs w:val="32"/>
          <w:highlight w:val="none"/>
        </w:rPr>
        <w:t>：</w:t>
      </w:r>
    </w:p>
    <w:p w14:paraId="431B72CE">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监督部门：                      </w:t>
      </w:r>
    </w:p>
    <w:p w14:paraId="6156A1FA">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联 系 人： </w:t>
      </w:r>
    </w:p>
    <w:p w14:paraId="6C978AE6">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举报电话：     </w:t>
      </w:r>
    </w:p>
    <w:p w14:paraId="36204FD7">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 xml:space="preserve">举报邮箱： </w:t>
      </w:r>
    </w:p>
    <w:p w14:paraId="198167F6">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lang w:val="en-US" w:eastAsia="zh-CN"/>
        </w:rPr>
        <w:t>5</w:t>
      </w:r>
      <w:r>
        <w:rPr>
          <w:rFonts w:ascii="仿宋_GB2312" w:eastAsia="仿宋_GB2312" w:hAnsi="宋体" w:hint="eastAsia"/>
          <w:sz w:val="32"/>
          <w:szCs w:val="32"/>
          <w:highlight w:val="none"/>
        </w:rPr>
        <w:t>.对举报人的资料，双方应予以保密。</w:t>
      </w:r>
    </w:p>
    <w:p w14:paraId="385AD6A0">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（二）本协议作为合同补充内容，与合同具有同等法律效力。</w:t>
      </w:r>
    </w:p>
    <w:p w14:paraId="7FF3A1B6">
      <w:pPr>
        <w:spacing w:line="560" w:lineRule="exact"/>
        <w:ind w:firstLine="640" w:firstLineChars="200"/>
        <w:rPr>
          <w:rFonts w:ascii="仿宋_GB2312" w:eastAsia="仿宋_GB2312" w:hAnsi="宋体"/>
          <w:sz w:val="32"/>
          <w:szCs w:val="32"/>
          <w:highlight w:val="none"/>
        </w:rPr>
      </w:pPr>
      <w:r>
        <w:rPr>
          <w:rFonts w:ascii="仿宋_GB2312" w:eastAsia="仿宋_GB2312" w:hAnsi="宋体" w:hint="eastAsia"/>
          <w:sz w:val="32"/>
          <w:szCs w:val="32"/>
          <w:highlight w:val="none"/>
        </w:rPr>
        <w:t>（三）本协议的有效期为合同双方签字盖章之日起至合同履行完成时止。但对隐蔽性强，后期发现属于该项目双方违法违纪违规行为的，应当按照本协议约定的相关规定执行。</w:t>
      </w:r>
    </w:p>
    <w:p w14:paraId="54D29709">
      <w:pPr>
        <w:adjustRightInd w:val="0"/>
        <w:snapToGrid w:val="0"/>
        <w:spacing w:line="360" w:lineRule="auto"/>
        <w:ind w:firstLine="420" w:firstLineChars="200"/>
        <w:rPr>
          <w:szCs w:val="21"/>
          <w:highlight w:val="none"/>
        </w:rPr>
      </w:pPr>
    </w:p>
    <w:p w14:paraId="5A43637F">
      <w:pPr>
        <w:snapToGrid w:val="0"/>
        <w:spacing w:line="360" w:lineRule="auto"/>
        <w:ind w:firstLine="420"/>
        <w:jc w:val="center"/>
        <w:rPr>
          <w:rFonts w:ascii="宋体" w:eastAsia="宋体" w:hAnsi="宋体" w:cs="Times New Roman" w:hint="eastAsia"/>
          <w:szCs w:val="21"/>
        </w:rPr>
      </w:pPr>
    </w:p>
    <w:p w14:paraId="13EDD09B">
      <w:pPr>
        <w:spacing w:line="360" w:lineRule="auto"/>
        <w:jc w:val="left"/>
        <w:rPr>
          <w:rFonts w:ascii="Times New Roman" w:eastAsia="宋体" w:hAnsi="Times New Roman" w:cs="Times New Roman"/>
          <w:b/>
          <w:bCs/>
          <w:sz w:val="44"/>
          <w:szCs w:val="44"/>
        </w:rPr>
      </w:pPr>
    </w:p>
    <w:p w:rsidR="00A77B3E"/>
    <w:p w14:paraId="0D9A9C79">
      <w:pPr>
        <w:spacing w:line="360" w:lineRule="auto"/>
        <w:ind w:firstLine="3066" w:firstLineChars="1460"/>
        <w:jc w:val="left"/>
        <w:rPr>
          <w:rFonts w:ascii="Times New Roman" w:eastAsia="宋体" w:hAnsi="Times New Roman" w:cs="Times New Roman"/>
          <w:b/>
          <w:bCs/>
          <w:szCs w:val="21"/>
        </w:rPr>
      </w:pPr>
      <w:bookmarkEnd w:id="248"/>
    </w:p>
    <w:sectPr>
      <w:headerReference w:type="even" r:id="rId15"/>
      <w:headerReference w:type="default" r:id="rId16"/>
      <w:footerReference w:type="default" r:id="rId17"/>
      <w:headerReference w:type="first" r:id="rId18"/>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小标宋">
    <w:altName w:val="宋体"/>
    <w:panose1 w:val="00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F36BF9">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14:paraId="38EA33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F9C2EC">
    <w:pPr>
      <w:pStyle w:val="Footer"/>
      <w:framePr w:wrap="auto" w:vAnchor="text" w:hAnchor="margin" w:xAlign="center" w:y="1"/>
      <w:rPr>
        <w:rStyle w:val="PageNumber"/>
      </w:rPr>
    </w:pPr>
  </w:p>
  <w:p w14:paraId="388B2D5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2253D35">
    <w:pPr>
      <w:widowControl w:val="0"/>
      <w:tabs>
        <w:tab w:val="center" w:pos="4153"/>
        <w:tab w:val="right" w:pos="8306"/>
      </w:tabs>
      <w:snapToGrid w:val="0"/>
      <w:ind w:right="360"/>
      <w:jc w:val="center"/>
      <w:rPr>
        <w:rFonts w:ascii="Times New Roman" w:eastAsia="宋体" w:hAnsi="Times New Roman" w:cs="Times New Roman"/>
        <w:sz w:val="18"/>
        <w:szCs w:val="18"/>
      </w:rPr>
    </w:pPr>
    <w:r>
      <w:rPr>
        <w:rFonts w:ascii="Times New Roman" w:eastAsia="宋体" w:hAnsi="Times New Roman"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snapToGrid w:val="0"/>
                            <w:jc w:val="left"/>
                            <w:rPr>
                              <w:rFonts w:ascii="Times New Roman" w:eastAsia="宋体" w:hAnsi="Times New Roman" w:cs="Times New Roman"/>
                              <w:color w:val="auto"/>
                              <w:sz w:val="18"/>
                              <w:szCs w:val="18"/>
                            </w:rPr>
                          </w:pPr>
                          <w:r>
                            <w:rPr>
                              <w:rFonts w:ascii="Times New Roman" w:eastAsia="宋体" w:hAnsi="Times New Roman" w:cs="Times New Roman"/>
                              <w:kern w:val="2"/>
                              <w:sz w:val="18"/>
                              <w:szCs w:val="18"/>
                              <w:lang w:val="en-US" w:eastAsia="zh-CN" w:bidi="ar-SA"/>
                            </w:rPr>
                            <w:fldChar w:fldCharType="begin"/>
                          </w:r>
                          <w:r>
                            <w:rPr>
                              <w:rFonts w:ascii="Times New Roman" w:eastAsia="宋体" w:hAnsi="Times New Roman" w:cs="Times New Roman"/>
                              <w:kern w:val="2"/>
                              <w:sz w:val="18"/>
                              <w:szCs w:val="18"/>
                              <w:lang w:val="en-US" w:eastAsia="zh-CN" w:bidi="ar-SA"/>
                            </w:rPr>
                            <w:instrText xml:space="preserve"> PAGE  \* MERGEFORMAT </w:instrText>
                          </w:r>
                          <w:r>
                            <w:rPr>
                              <w:rFonts w:ascii="Times New Roman" w:eastAsia="宋体" w:hAnsi="Times New Roman" w:cs="Times New Roman"/>
                              <w:kern w:val="2"/>
                              <w:sz w:val="18"/>
                              <w:szCs w:val="18"/>
                              <w:lang w:val="en-US" w:eastAsia="zh-CN" w:bidi="ar-SA"/>
                            </w:rPr>
                            <w:fldChar w:fldCharType="separate"/>
                          </w:r>
                          <w:r>
                            <w:rPr>
                              <w:rFonts w:ascii="Times New Roman" w:eastAsia="宋体" w:hAnsi="Times New Roman" w:cs="Times New Roman"/>
                              <w:kern w:val="2"/>
                              <w:sz w:val="18"/>
                              <w:szCs w:val="18"/>
                              <w:lang w:val="en-US" w:eastAsia="zh-CN" w:bidi="ar-SA"/>
                            </w:rPr>
                            <w:t>1</w:t>
                          </w:r>
                          <w:r>
                            <w:rPr>
                              <w:rFonts w:ascii="Times New Roman" w:eastAsia="宋体" w:hAnsi="Times New Roman"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031C46CB">
                    <w:pPr>
                      <w:widowControl w:val="0"/>
                      <w:tabs>
                        <w:tab w:val="center" w:pos="4153"/>
                        <w:tab w:val="right" w:pos="8306"/>
                      </w:tabs>
                      <w:snapToGrid w:val="0"/>
                      <w:jc w:val="left"/>
                      <w:rPr>
                        <w:rFonts w:ascii="Times New Roman" w:eastAsia="宋体" w:hAnsi="Times New Roman" w:cs="Times New Roman"/>
                        <w:color w:val="auto"/>
                        <w:sz w:val="18"/>
                        <w:szCs w:val="18"/>
                      </w:rPr>
                    </w:pPr>
                    <w:r>
                      <w:rPr>
                        <w:rFonts w:ascii="Times New Roman" w:eastAsia="宋体" w:hAnsi="Times New Roman" w:cs="Times New Roman"/>
                        <w:kern w:val="2"/>
                        <w:sz w:val="18"/>
                        <w:szCs w:val="18"/>
                        <w:lang w:val="en-US" w:eastAsia="zh-CN" w:bidi="ar-SA"/>
                      </w:rPr>
                      <w:fldChar w:fldCharType="begin"/>
                    </w:r>
                    <w:r>
                      <w:rPr>
                        <w:rFonts w:ascii="Times New Roman" w:eastAsia="宋体" w:hAnsi="Times New Roman" w:cs="Times New Roman"/>
                        <w:kern w:val="2"/>
                        <w:sz w:val="18"/>
                        <w:szCs w:val="18"/>
                        <w:lang w:val="en-US" w:eastAsia="zh-CN" w:bidi="ar-SA"/>
                      </w:rPr>
                      <w:instrText xml:space="preserve"> PAGE  \* MERGEFORMAT </w:instrText>
                    </w:r>
                    <w:r>
                      <w:rPr>
                        <w:rFonts w:ascii="Times New Roman" w:eastAsia="宋体" w:hAnsi="Times New Roman" w:cs="Times New Roman"/>
                        <w:kern w:val="2"/>
                        <w:sz w:val="18"/>
                        <w:szCs w:val="18"/>
                        <w:lang w:val="en-US" w:eastAsia="zh-CN" w:bidi="ar-SA"/>
                      </w:rPr>
                      <w:fldChar w:fldCharType="separate"/>
                    </w:r>
                    <w:r>
                      <w:rPr>
                        <w:rFonts w:ascii="Times New Roman" w:eastAsia="宋体" w:hAnsi="Times New Roman" w:cs="Times New Roman"/>
                        <w:kern w:val="2"/>
                        <w:sz w:val="18"/>
                        <w:szCs w:val="18"/>
                        <w:lang w:val="en-US" w:eastAsia="zh-CN" w:bidi="ar-SA"/>
                      </w:rPr>
                      <w:t>1</w:t>
                    </w:r>
                    <w:r>
                      <w:rPr>
                        <w:rFonts w:ascii="Times New Roman" w:eastAsia="宋体" w:hAnsi="Times New Roman" w:cs="Times New Roman"/>
                        <w:kern w:val="2"/>
                        <w:sz w:val="18"/>
                        <w:szCs w:val="18"/>
                        <w:lang w:val="en-US" w:eastAsia="zh-CN" w:bidi="ar-S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0A32893">
    <w:pPr>
      <w:widowControl w:val="0"/>
      <w:tabs>
        <w:tab w:val="center" w:pos="4153"/>
        <w:tab w:val="right" w:pos="8306"/>
      </w:tabs>
      <w:snapToGrid w:val="0"/>
      <w:ind w:right="360"/>
      <w:jc w:val="center"/>
      <w:rPr>
        <w:rFonts w:ascii="Times New Roman" w:eastAsia="宋体" w:hAnsi="Times New Roman" w:cs="Times New Roman"/>
        <w:sz w:val="18"/>
        <w:szCs w:val="18"/>
      </w:rPr>
    </w:pPr>
    <w:r>
      <w:rPr>
        <w:rFonts w:ascii="Times New Roman" w:eastAsia="宋体" w:hAnsi="Times New Roman"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snapToGrid w:val="0"/>
                            <w:jc w:val="left"/>
                            <w:rPr>
                              <w:rFonts w:ascii="Times New Roman" w:eastAsia="宋体" w:hAnsi="Times New Roman" w:cs="Times New Roman"/>
                              <w:color w:val="auto"/>
                              <w:sz w:val="18"/>
                              <w:szCs w:val="18"/>
                            </w:rPr>
                          </w:pPr>
                          <w:r>
                            <w:rPr>
                              <w:rFonts w:ascii="Times New Roman" w:eastAsia="宋体" w:hAnsi="Times New Roman" w:cs="Times New Roman"/>
                              <w:kern w:val="2"/>
                              <w:sz w:val="18"/>
                              <w:szCs w:val="18"/>
                              <w:lang w:val="en-US" w:eastAsia="zh-CN" w:bidi="ar-SA"/>
                            </w:rPr>
                            <w:fldChar w:fldCharType="begin"/>
                          </w:r>
                          <w:r>
                            <w:rPr>
                              <w:rFonts w:ascii="Times New Roman" w:eastAsia="宋体" w:hAnsi="Times New Roman" w:cs="Times New Roman"/>
                              <w:kern w:val="2"/>
                              <w:sz w:val="18"/>
                              <w:szCs w:val="18"/>
                              <w:lang w:val="en-US" w:eastAsia="zh-CN" w:bidi="ar-SA"/>
                            </w:rPr>
                            <w:instrText xml:space="preserve"> PAGE  \* MERGEFORMAT </w:instrText>
                          </w:r>
                          <w:r>
                            <w:rPr>
                              <w:rFonts w:ascii="Times New Roman" w:eastAsia="宋体" w:hAnsi="Times New Roman" w:cs="Times New Roman"/>
                              <w:kern w:val="2"/>
                              <w:sz w:val="18"/>
                              <w:szCs w:val="18"/>
                              <w:lang w:val="en-US" w:eastAsia="zh-CN" w:bidi="ar-SA"/>
                            </w:rPr>
                            <w:fldChar w:fldCharType="separate"/>
                          </w:r>
                          <w:r>
                            <w:rPr>
                              <w:rFonts w:ascii="Times New Roman" w:eastAsia="宋体" w:hAnsi="Times New Roman" w:cs="Times New Roman"/>
                              <w:kern w:val="2"/>
                              <w:sz w:val="18"/>
                              <w:szCs w:val="18"/>
                              <w:lang w:val="en-US" w:eastAsia="zh-CN" w:bidi="ar-SA"/>
                            </w:rPr>
                            <w:t>1</w:t>
                          </w:r>
                          <w:r>
                            <w:rPr>
                              <w:rFonts w:ascii="Times New Roman" w:eastAsia="宋体" w:hAnsi="Times New Roman"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14:paraId="5092732B">
                    <w:pPr>
                      <w:widowControl w:val="0"/>
                      <w:tabs>
                        <w:tab w:val="center" w:pos="4153"/>
                        <w:tab w:val="right" w:pos="8306"/>
                      </w:tabs>
                      <w:snapToGrid w:val="0"/>
                      <w:jc w:val="left"/>
                      <w:rPr>
                        <w:rFonts w:ascii="Times New Roman" w:eastAsia="宋体" w:hAnsi="Times New Roman" w:cs="Times New Roman"/>
                        <w:color w:val="auto"/>
                        <w:sz w:val="18"/>
                        <w:szCs w:val="18"/>
                      </w:rPr>
                    </w:pPr>
                    <w:r>
                      <w:rPr>
                        <w:rFonts w:ascii="Times New Roman" w:eastAsia="宋体" w:hAnsi="Times New Roman" w:cs="Times New Roman"/>
                        <w:kern w:val="2"/>
                        <w:sz w:val="18"/>
                        <w:szCs w:val="18"/>
                        <w:lang w:val="en-US" w:eastAsia="zh-CN" w:bidi="ar-SA"/>
                      </w:rPr>
                      <w:fldChar w:fldCharType="begin"/>
                    </w:r>
                    <w:r>
                      <w:rPr>
                        <w:rFonts w:ascii="Times New Roman" w:eastAsia="宋体" w:hAnsi="Times New Roman" w:cs="Times New Roman"/>
                        <w:kern w:val="2"/>
                        <w:sz w:val="18"/>
                        <w:szCs w:val="18"/>
                        <w:lang w:val="en-US" w:eastAsia="zh-CN" w:bidi="ar-SA"/>
                      </w:rPr>
                      <w:instrText xml:space="preserve"> PAGE  \* MERGEFORMAT </w:instrText>
                    </w:r>
                    <w:r>
                      <w:rPr>
                        <w:rFonts w:ascii="Times New Roman" w:eastAsia="宋体" w:hAnsi="Times New Roman" w:cs="Times New Roman"/>
                        <w:kern w:val="2"/>
                        <w:sz w:val="18"/>
                        <w:szCs w:val="18"/>
                        <w:lang w:val="en-US" w:eastAsia="zh-CN" w:bidi="ar-SA"/>
                      </w:rPr>
                      <w:fldChar w:fldCharType="separate"/>
                    </w:r>
                    <w:r>
                      <w:rPr>
                        <w:rFonts w:ascii="Times New Roman" w:eastAsia="宋体" w:hAnsi="Times New Roman" w:cs="Times New Roman"/>
                        <w:kern w:val="2"/>
                        <w:sz w:val="18"/>
                        <w:szCs w:val="18"/>
                        <w:lang w:val="en-US" w:eastAsia="zh-CN" w:bidi="ar-SA"/>
                      </w:rPr>
                      <w:t>1</w:t>
                    </w:r>
                    <w:r>
                      <w:rPr>
                        <w:rFonts w:ascii="Times New Roman" w:eastAsia="宋体" w:hAnsi="Times New Roman" w:cs="Times New Roman"/>
                        <w:kern w:val="2"/>
                        <w:sz w:val="18"/>
                        <w:szCs w:val="18"/>
                        <w:lang w:val="en-US" w:eastAsia="zh-CN" w:bidi="ar-SA"/>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4FDD126">
    <w:pPr>
      <w:widowControl w:val="0"/>
      <w:pBdr>
        <w:bottom w:val="single" w:sz="6" w:space="1" w:color="auto"/>
      </w:pBdr>
      <w:tabs>
        <w:tab w:val="center" w:pos="4153"/>
        <w:tab w:val="right" w:pos="8306"/>
      </w:tabs>
      <w:snapToGrid w:val="0"/>
      <w:jc w:val="center"/>
      <w:rPr>
        <w:rFonts w:ascii="Times New Roman" w:eastAsia="宋体" w:hAnsi="Times New Roman" w:cs="Times New Roman"/>
        <w:sz w:val="18"/>
        <w:szCs w:val="18"/>
      </w:rPr>
    </w:pPr>
    <w:r>
      <w:rPr>
        <w:rFonts w:ascii="Times New Roman" w:eastAsia="宋体" w:hAnsi="Times New Roman" w:cs="Times New Roman" w:hint="eastAsia"/>
        <w:kern w:val="2"/>
        <w:sz w:val="18"/>
        <w:szCs w:val="18"/>
        <w:lang w:val="en-US" w:eastAsia="zh-CN" w:bidi="ar-SA"/>
      </w:rPr>
      <w:t>实况业务运行维护任务书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4"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5"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B1F20E6"/>
    <w:multiLevelType w:val="singleLevel"/>
    <w:tmpl w:val="9B1F20E6"/>
    <w:lvl w:ilvl="0">
      <w:start w:val="1"/>
      <w:numFmt w:val="decimal"/>
      <w:suff w:val="space"/>
      <w:lvlText w:val="%1."/>
      <w:lvlJc w:val="left"/>
    </w:lvl>
  </w:abstractNum>
  <w:abstractNum w:abstractNumId="2">
    <w:nsid w:val="A129DDB6"/>
    <w:multiLevelType w:val="singleLevel"/>
    <w:tmpl w:val="A129DDB6"/>
    <w:lvl w:ilvl="0">
      <w:start w:val="1"/>
      <w:numFmt w:val="decimal"/>
      <w:suff w:val="space"/>
      <w:lvlText w:val="%1."/>
      <w:lvlJc w:val="left"/>
    </w:lvl>
  </w:abstractNum>
  <w:abstractNum w:abstractNumId="3">
    <w:nsid w:val="AB75262F"/>
    <w:multiLevelType w:val="singleLevel"/>
    <w:tmpl w:val="AB75262F"/>
    <w:lvl w:ilvl="0">
      <w:start w:val="1"/>
      <w:numFmt w:val="decimal"/>
      <w:lvlText w:val="(%1)"/>
      <w:lvlJc w:val="left"/>
      <w:pPr>
        <w:ind w:left="425" w:hanging="425"/>
      </w:pPr>
      <w:rPr>
        <w:rFonts w:hint="default"/>
      </w:rPr>
    </w:lvl>
  </w:abstractNum>
  <w:abstractNum w:abstractNumId="4">
    <w:nsid w:val="C4AF08B5"/>
    <w:multiLevelType w:val="singleLevel"/>
    <w:tmpl w:val="C4AF08B5"/>
    <w:lvl w:ilvl="0">
      <w:start w:val="1"/>
      <w:numFmt w:val="decimal"/>
      <w:suff w:val="nothing"/>
      <w:lvlText w:val="（%1）"/>
      <w:lvlJc w:val="left"/>
    </w:lvl>
  </w:abstractNum>
  <w:abstractNum w:abstractNumId="5">
    <w:nsid w:val="C8C8E522"/>
    <w:multiLevelType w:val="singleLevel"/>
    <w:tmpl w:val="C8C8E522"/>
    <w:lvl w:ilvl="0">
      <w:start w:val="1"/>
      <w:numFmt w:val="decimal"/>
      <w:lvlText w:val="(%1)"/>
      <w:lvlJc w:val="left"/>
      <w:pPr>
        <w:ind w:left="425" w:hanging="425"/>
      </w:pPr>
      <w:rPr>
        <w:rFonts w:hint="default"/>
      </w:rPr>
    </w:lvl>
  </w:abstractNum>
  <w:abstractNum w:abstractNumId="6">
    <w:nsid w:val="C9CF2AD8"/>
    <w:multiLevelType w:val="multilevel"/>
    <w:tmpl w:val="C9CF2AD8"/>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nsid w:val="CBED2E2C"/>
    <w:multiLevelType w:val="singleLevel"/>
    <w:tmpl w:val="CBED2E2C"/>
    <w:lvl w:ilvl="0">
      <w:start w:val="1"/>
      <w:numFmt w:val="decimal"/>
      <w:suff w:val="nothing"/>
      <w:lvlText w:val="（%1）"/>
      <w:lvlJc w:val="left"/>
    </w:lvl>
  </w:abstractNum>
  <w:abstractNum w:abstractNumId="8">
    <w:nsid w:val="D491F193"/>
    <w:multiLevelType w:val="singleLevel"/>
    <w:tmpl w:val="D491F193"/>
    <w:lvl w:ilvl="0">
      <w:start w:val="1"/>
      <w:numFmt w:val="decimal"/>
      <w:suff w:val="space"/>
      <w:lvlText w:val="%1."/>
      <w:lvlJc w:val="left"/>
    </w:lvl>
  </w:abstractNum>
  <w:abstractNum w:abstractNumId="9">
    <w:nsid w:val="DB9E9925"/>
    <w:multiLevelType w:val="singleLevel"/>
    <w:tmpl w:val="DB9E9925"/>
    <w:lvl w:ilvl="0">
      <w:start w:val="1"/>
      <w:numFmt w:val="decimal"/>
      <w:suff w:val="nothing"/>
      <w:lvlText w:val="%1）"/>
      <w:lvlJc w:val="left"/>
    </w:lvl>
  </w:abstractNum>
  <w:abstractNum w:abstractNumId="10">
    <w:nsid w:val="DF000F2E"/>
    <w:multiLevelType w:val="singleLevel"/>
    <w:tmpl w:val="DF000F2E"/>
    <w:lvl w:ilvl="0">
      <w:start w:val="1"/>
      <w:numFmt w:val="decimal"/>
      <w:lvlText w:val="(%1)"/>
      <w:lvlJc w:val="left"/>
      <w:pPr>
        <w:ind w:left="425" w:hanging="425"/>
      </w:pPr>
      <w:rPr>
        <w:rFonts w:hint="default"/>
      </w:rPr>
    </w:lvl>
  </w:abstractNum>
  <w:abstractNum w:abstractNumId="11">
    <w:nsid w:val="EFCC408F"/>
    <w:multiLevelType w:val="singleLevel"/>
    <w:tmpl w:val="EFCC408F"/>
    <w:lvl w:ilvl="0">
      <w:start w:val="1"/>
      <w:numFmt w:val="decimal"/>
      <w:lvlText w:val="(%1)"/>
      <w:lvlJc w:val="left"/>
      <w:pPr>
        <w:ind w:left="425" w:hanging="425"/>
      </w:pPr>
      <w:rPr>
        <w:rFonts w:hint="default"/>
      </w:rPr>
    </w:lvl>
  </w:abstractNum>
  <w:abstractNum w:abstractNumId="12">
    <w:nsid w:val="F5F4D1F2"/>
    <w:multiLevelType w:val="singleLevel"/>
    <w:tmpl w:val="F5F4D1F2"/>
    <w:lvl w:ilvl="0">
      <w:start w:val="1"/>
      <w:numFmt w:val="decimal"/>
      <w:suff w:val="space"/>
      <w:lvlText w:val="%1）"/>
      <w:lvlJc w:val="left"/>
    </w:lvl>
  </w:abstractNum>
  <w:abstractNum w:abstractNumId="13">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B20D462"/>
    <w:multiLevelType w:val="singleLevel"/>
    <w:tmpl w:val="0B20D462"/>
    <w:lvl w:ilvl="0">
      <w:start w:val="1"/>
      <w:numFmt w:val="decimal"/>
      <w:suff w:val="nothing"/>
      <w:lvlText w:val="%1．"/>
      <w:lvlJc w:val="left"/>
      <w:pPr>
        <w:ind w:left="0" w:firstLine="400"/>
      </w:pPr>
      <w:rPr>
        <w:rFonts w:hint="default"/>
      </w:rPr>
    </w:lvl>
  </w:abstractNum>
  <w:abstractNum w:abstractNumId="17">
    <w:nsid w:val="0E829AFE"/>
    <w:multiLevelType w:val="multilevel"/>
    <w:tmpl w:val="0E829AFE"/>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nsid w:val="114A6C15"/>
    <w:multiLevelType w:val="multilevel"/>
    <w:tmpl w:val="114A6C15"/>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nsid w:val="14FF33EB"/>
    <w:multiLevelType w:val="singleLevel"/>
    <w:tmpl w:val="14FF33EB"/>
    <w:lvl w:ilvl="0">
      <w:start w:val="1"/>
      <w:numFmt w:val="decimal"/>
      <w:lvlText w:val="(%1)"/>
      <w:lvlJc w:val="left"/>
      <w:pPr>
        <w:ind w:left="425" w:hanging="425"/>
      </w:pPr>
      <w:rPr>
        <w:rFonts w:hint="default"/>
      </w:rPr>
    </w:lvl>
  </w:abstractNum>
  <w:abstractNum w:abstractNumId="20">
    <w:nsid w:val="1F99733F"/>
    <w:multiLevelType w:val="multilevel"/>
    <w:tmpl w:val="1F99733F"/>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2FF926BE"/>
    <w:multiLevelType w:val="multilevel"/>
    <w:tmpl w:val="2FF926BE"/>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31CE2188"/>
    <w:multiLevelType w:val="multilevel"/>
    <w:tmpl w:val="31CE2188"/>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31E1128F"/>
    <w:multiLevelType w:val="singleLevel"/>
    <w:tmpl w:val="31E1128F"/>
    <w:lvl w:ilvl="0">
      <w:start w:val="1"/>
      <w:numFmt w:val="decimal"/>
      <w:suff w:val="space"/>
      <w:lvlText w:val="%1."/>
      <w:lvlJc w:val="left"/>
    </w:lvl>
  </w:abstractNum>
  <w:abstractNum w:abstractNumId="25">
    <w:nsid w:val="36251327"/>
    <w:multiLevelType w:val="singleLevel"/>
    <w:tmpl w:val="36251327"/>
    <w:lvl w:ilvl="0">
      <w:start w:val="1"/>
      <w:numFmt w:val="decimal"/>
      <w:lvlText w:val="(%1)"/>
      <w:lvlJc w:val="left"/>
      <w:pPr>
        <w:ind w:left="425" w:hanging="425"/>
      </w:pPr>
      <w:rPr>
        <w:rFonts w:hint="default"/>
      </w:rPr>
    </w:lvl>
  </w:abstractNum>
  <w:abstractNum w:abstractNumId="26">
    <w:nsid w:val="3AA0597D"/>
    <w:multiLevelType w:val="singleLevel"/>
    <w:tmpl w:val="3AA0597D"/>
    <w:lvl w:ilvl="0">
      <w:start w:val="1"/>
      <w:numFmt w:val="decimal"/>
      <w:lvlText w:val="(%1)"/>
      <w:lvlJc w:val="left"/>
      <w:pPr>
        <w:ind w:left="425" w:hanging="425"/>
      </w:pPr>
      <w:rPr>
        <w:rFonts w:hint="default"/>
      </w:rPr>
    </w:lvl>
  </w:abstractNum>
  <w:abstractNum w:abstractNumId="27">
    <w:nsid w:val="45191655"/>
    <w:multiLevelType w:val="multilevel"/>
    <w:tmpl w:val="45191655"/>
    <w:lvl w:ilvl="0">
      <w:start w:val="1"/>
      <w:numFmt w:val="decimal"/>
      <w:suff w:val="nothing"/>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489FB27F"/>
    <w:multiLevelType w:val="singleLevel"/>
    <w:tmpl w:val="489FB27F"/>
    <w:lvl w:ilvl="0">
      <w:start w:val="1"/>
      <w:numFmt w:val="decimal"/>
      <w:suff w:val="space"/>
      <w:lvlText w:val="%1."/>
      <w:lvlJc w:val="left"/>
    </w:lvl>
  </w:abstractNum>
  <w:abstractNum w:abstractNumId="29">
    <w:nsid w:val="4D0551B9"/>
    <w:multiLevelType w:val="singleLevel"/>
    <w:tmpl w:val="4D0551B9"/>
    <w:lvl w:ilvl="0">
      <w:start w:val="1"/>
      <w:numFmt w:val="decimal"/>
      <w:suff w:val="space"/>
      <w:lvlText w:val="%1."/>
      <w:lvlJc w:val="left"/>
    </w:lvl>
  </w:abstractNum>
  <w:abstractNum w:abstractNumId="30">
    <w:nsid w:val="51991928"/>
    <w:multiLevelType w:val="multilevel"/>
    <w:tmpl w:val="51991928"/>
    <w:lvl w:ilvl="0">
      <w:start w:val="1"/>
      <w:numFmt w:val="decimal"/>
      <w:lvlText w:val="%1"/>
      <w:lvlJc w:val="left"/>
      <w:pPr>
        <w:tabs>
          <w:tab w:val="left" w:pos="432"/>
        </w:tabs>
        <w:ind w:left="432" w:hanging="432"/>
      </w:pPr>
      <w:rPr>
        <w:rFonts w:ascii="Arial" w:eastAsia="黑体" w:hAnsi="Arial" w:hint="default"/>
        <w:b/>
        <w:i w:val="0"/>
        <w:color w:val="auto"/>
        <w:sz w:val="30"/>
      </w:rPr>
    </w:lvl>
    <w:lvl w:ilvl="1">
      <w:start w:val="1"/>
      <w:numFmt w:val="decimal"/>
      <w:lvlText w:val="%1.%2"/>
      <w:lvlJc w:val="left"/>
      <w:pPr>
        <w:tabs>
          <w:tab w:val="left" w:pos="576"/>
        </w:tabs>
        <w:ind w:left="576" w:hanging="576"/>
      </w:pPr>
      <w:rPr>
        <w:rFonts w:ascii="Times New Roman" w:eastAsia="宋体" w:hAnsi="Times New Roman" w:hint="default"/>
        <w:b/>
        <w:i w:val="0"/>
        <w:sz w:val="30"/>
      </w:rPr>
    </w:lvl>
    <w:lvl w:ilvl="2">
      <w:start w:val="1"/>
      <w:numFmt w:val="decimal"/>
      <w:lvlText w:val="%1.%2.%3"/>
      <w:lvlJc w:val="left"/>
      <w:pPr>
        <w:tabs>
          <w:tab w:val="left" w:pos="720"/>
        </w:tabs>
        <w:ind w:left="720" w:hanging="720"/>
      </w:pPr>
      <w:rPr>
        <w:rFonts w:ascii="Arial" w:eastAsia="黑体" w:hAnsi="Arial" w:hint="default"/>
        <w:b/>
        <w:i w:val="0"/>
        <w:sz w:val="28"/>
      </w:rPr>
    </w:lvl>
    <w:lvl w:ilvl="3">
      <w:start w:val="1"/>
      <w:numFmt w:val="decimal"/>
      <w:isLgl/>
      <w:lvlText w:val="%1.%2.%3.%4"/>
      <w:lvlJc w:val="left"/>
      <w:pPr>
        <w:tabs>
          <w:tab w:val="left" w:pos="864"/>
        </w:tabs>
        <w:ind w:left="864" w:hanging="864"/>
      </w:pPr>
      <w:rPr>
        <w:rFonts w:ascii="Times New Roman" w:eastAsia="宋体" w:hAnsi="Times New Roman" w:hint="default"/>
        <w:b/>
        <w:i w:val="0"/>
        <w:sz w:val="24"/>
      </w:rPr>
    </w:lvl>
    <w:lvl w:ilvl="4">
      <w:start w:val="1"/>
      <w:numFmt w:val="decimal"/>
      <w:lvlText w:val="%1.%2.%3.%4.%5"/>
      <w:lvlJc w:val="left"/>
      <w:pPr>
        <w:tabs>
          <w:tab w:val="left" w:pos="1008"/>
        </w:tabs>
        <w:ind w:left="1008" w:hanging="1008"/>
      </w:pPr>
      <w:rPr>
        <w:rFonts w:ascii="Times New Roman" w:eastAsia="宋体" w:hAnsi="Times New Roman" w:hint="default"/>
        <w:b/>
        <w:i w:val="0"/>
        <w:sz w:val="21"/>
      </w:rPr>
    </w:lvl>
    <w:lvl w:ilvl="5">
      <w:start w:val="1"/>
      <w:numFmt w:val="decimal"/>
      <w:lvlText w:val="%1.%2.%3.%4.%5.%6"/>
      <w:lvlJc w:val="left"/>
      <w:pPr>
        <w:tabs>
          <w:tab w:val="left" w:pos="1152"/>
        </w:tabs>
        <w:ind w:left="1152" w:hanging="1152"/>
      </w:pPr>
      <w:rPr>
        <w:rFonts w:ascii="Times New Roman" w:eastAsia="黑体" w:hAnsi="Times New Roman" w:hint="default"/>
        <w:sz w:val="21"/>
      </w:rPr>
    </w:lvl>
    <w:lvl w:ilvl="6">
      <w:start w:val="1"/>
      <w:numFmt w:val="decimal"/>
      <w:lvlText w:val="%1.%2.%3.%4.%5.%6.%7"/>
      <w:lvlJc w:val="left"/>
      <w:pPr>
        <w:tabs>
          <w:tab w:val="left" w:pos="1440"/>
        </w:tabs>
        <w:ind w:left="1296" w:hanging="1296"/>
      </w:pPr>
      <w:rPr>
        <w:rFonts w:hint="eastAsia"/>
      </w:rPr>
    </w:lvl>
    <w:lvl w:ilvl="7">
      <w:start w:val="1"/>
      <w:numFmt w:val="decimal"/>
      <w:lvlText w:val="%1.%2.%3.%4.%5.%6.%7.%8"/>
      <w:lvlJc w:val="left"/>
      <w:pPr>
        <w:tabs>
          <w:tab w:val="left" w:pos="180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1">
    <w:nsid w:val="562D2F2D"/>
    <w:multiLevelType w:val="singleLevel"/>
    <w:tmpl w:val="562D2F2D"/>
    <w:lvl w:ilvl="0">
      <w:start w:val="1"/>
      <w:numFmt w:val="decimal"/>
      <w:lvlText w:val="(%1)"/>
      <w:lvlJc w:val="left"/>
      <w:pPr>
        <w:ind w:left="425" w:hanging="425"/>
      </w:pPr>
      <w:rPr>
        <w:rFonts w:hint="default"/>
      </w:rPr>
    </w:lvl>
  </w:abstractNum>
  <w:abstractNum w:abstractNumId="32">
    <w:nsid w:val="5AA4E4C1"/>
    <w:multiLevelType w:val="singleLevel"/>
    <w:tmpl w:val="5AA4E4C1"/>
    <w:lvl w:ilvl="0">
      <w:start w:val="1"/>
      <w:numFmt w:val="chineseCounting"/>
      <w:suff w:val="nothing"/>
      <w:lvlText w:val="（%1）"/>
      <w:lvlJc w:val="left"/>
      <w:pPr>
        <w:ind w:left="0" w:firstLine="0"/>
      </w:pPr>
    </w:lvl>
  </w:abstractNum>
  <w:abstractNum w:abstractNumId="33">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4">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5">
    <w:nsid w:val="63D35550"/>
    <w:multiLevelType w:val="multilevel"/>
    <w:tmpl w:val="63D35550"/>
    <w:lvl w:ilvl="0">
      <w:start w:val="1"/>
      <w:numFmt w:val="decimal"/>
      <w:lvlText w:val="%1."/>
      <w:lvlJc w:val="left"/>
      <w:pPr>
        <w:ind w:left="651" w:hanging="336"/>
      </w:pPr>
    </w:lvl>
    <w:lvl w:ilvl="1">
      <w:start w:val="1"/>
      <w:numFmt w:val="lowerLetter"/>
      <w:lvlText w:val="%2."/>
      <w:lvlJc w:val="left"/>
      <w:pPr>
        <w:ind w:left="1071" w:hanging="336"/>
      </w:pPr>
    </w:lvl>
    <w:lvl w:ilvl="2">
      <w:start w:val="1"/>
      <w:numFmt w:val="lowerRoman"/>
      <w:lvlText w:val="%3."/>
      <w:lvlJc w:val="left"/>
      <w:pPr>
        <w:ind w:left="1491" w:hanging="336"/>
      </w:pPr>
    </w:lvl>
    <w:lvl w:ilvl="3">
      <w:start w:val="1"/>
      <w:numFmt w:val="decimal"/>
      <w:lvlText w:val="%4."/>
      <w:lvlJc w:val="left"/>
      <w:pPr>
        <w:ind w:left="1911" w:hanging="336"/>
      </w:pPr>
    </w:lvl>
    <w:lvl w:ilvl="4">
      <w:start w:val="1"/>
      <w:numFmt w:val="lowerLetter"/>
      <w:lvlText w:val="%5."/>
      <w:lvlJc w:val="left"/>
      <w:pPr>
        <w:ind w:left="2331" w:hanging="336"/>
      </w:pPr>
    </w:lvl>
    <w:lvl w:ilvl="5">
      <w:start w:val="1"/>
      <w:numFmt w:val="lowerRoman"/>
      <w:lvlText w:val="%6."/>
      <w:lvlJc w:val="left"/>
      <w:pPr>
        <w:ind w:left="2751" w:hanging="336"/>
      </w:pPr>
    </w:lvl>
    <w:lvl w:ilvl="6">
      <w:start w:val="1"/>
      <w:numFmt w:val="decimal"/>
      <w:lvlText w:val="%7."/>
      <w:lvlJc w:val="left"/>
      <w:pPr>
        <w:ind w:left="3171" w:hanging="336"/>
      </w:pPr>
    </w:lvl>
    <w:lvl w:ilvl="7">
      <w:start w:val="1"/>
      <w:numFmt w:val="lowerLetter"/>
      <w:lvlText w:val="%8."/>
      <w:lvlJc w:val="left"/>
      <w:pPr>
        <w:ind w:left="3591" w:hanging="336"/>
      </w:pPr>
    </w:lvl>
    <w:lvl w:ilvl="8">
      <w:start w:val="1"/>
      <w:numFmt w:val="lowerRoman"/>
      <w:lvlText w:val="%9."/>
      <w:lvlJc w:val="left"/>
      <w:pPr>
        <w:ind w:left="4011" w:hanging="336"/>
      </w:pPr>
    </w:lvl>
  </w:abstractNum>
  <w:abstractNum w:abstractNumId="36">
    <w:nsid w:val="7DF7CD28"/>
    <w:multiLevelType w:val="singleLevel"/>
    <w:tmpl w:val="7DF7CD28"/>
    <w:lvl w:ilvl="0">
      <w:start w:val="1"/>
      <w:numFmt w:val="chineseCounting"/>
      <w:suff w:val="nothing"/>
      <w:lvlText w:val="（%1）"/>
      <w:lvlJc w:val="left"/>
      <w:pPr>
        <w:ind w:left="0" w:firstLine="0"/>
      </w:pPr>
    </w:lvl>
  </w:abstractNum>
  <w:num w:numId="1">
    <w:abstractNumId w:val="14"/>
  </w:num>
  <w:num w:numId="2">
    <w:abstractNumId w:val="13"/>
  </w:num>
  <w:num w:numId="3">
    <w:abstractNumId w:val="15"/>
  </w:num>
  <w:num w:numId="4">
    <w:abstractNumId w:val="30"/>
  </w:num>
  <w:num w:numId="5">
    <w:abstractNumId w:val="9"/>
  </w:num>
  <w:num w:numId="6">
    <w:abstractNumId w:val="3"/>
  </w:num>
  <w:num w:numId="7">
    <w:abstractNumId w:val="2"/>
  </w:num>
  <w:num w:numId="8">
    <w:abstractNumId w:val="11"/>
  </w:num>
  <w:num w:numId="9">
    <w:abstractNumId w:val="35"/>
  </w:num>
  <w:num w:numId="10">
    <w:abstractNumId w:val="7"/>
  </w:num>
  <w:num w:numId="11">
    <w:abstractNumId w:val="4"/>
  </w:num>
  <w:num w:numId="12">
    <w:abstractNumId w:val="24"/>
  </w:num>
  <w:num w:numId="13">
    <w:abstractNumId w:val="26"/>
  </w:num>
  <w:num w:numId="14">
    <w:abstractNumId w:val="28"/>
  </w:num>
  <w:num w:numId="15">
    <w:abstractNumId w:val="10"/>
  </w:num>
  <w:num w:numId="16">
    <w:abstractNumId w:val="25"/>
  </w:num>
  <w:num w:numId="17">
    <w:abstractNumId w:val="29"/>
  </w:num>
  <w:num w:numId="18">
    <w:abstractNumId w:val="31"/>
  </w:num>
  <w:num w:numId="19">
    <w:abstractNumId w:val="1"/>
  </w:num>
  <w:num w:numId="20">
    <w:abstractNumId w:val="19"/>
  </w:num>
  <w:num w:numId="21">
    <w:abstractNumId w:val="8"/>
  </w:num>
  <w:num w:numId="22">
    <w:abstractNumId w:val="5"/>
  </w:num>
  <w:num w:numId="23">
    <w:abstractNumId w:val="33"/>
  </w:num>
  <w:num w:numId="24">
    <w:abstractNumId w:val="34"/>
  </w:num>
  <w:num w:numId="25">
    <w:abstractNumId w:val="6"/>
  </w:num>
  <w:num w:numId="26">
    <w:abstractNumId w:val="18"/>
  </w:num>
  <w:num w:numId="27">
    <w:abstractNumId w:val="27"/>
  </w:num>
  <w:num w:numId="28">
    <w:abstractNumId w:val="20"/>
  </w:num>
  <w:num w:numId="29">
    <w:abstractNumId w:val="16"/>
  </w:num>
  <w:num w:numId="30">
    <w:abstractNumId w:val="22"/>
  </w:num>
  <w:num w:numId="31">
    <w:abstractNumId w:val="23"/>
  </w:num>
  <w:num w:numId="32">
    <w:abstractNumId w:val="17"/>
  </w:num>
  <w:num w:numId="33">
    <w:abstractNumId w:val="0"/>
  </w:num>
  <w:num w:numId="34">
    <w:abstractNumId w:val="12"/>
  </w:num>
  <w:num w:numId="35">
    <w:abstractNumId w:val="36"/>
    <w:lvlOverride w:ilvl="0">
      <w:startOverride w:val="1"/>
    </w:lvlOverride>
  </w:num>
  <w:num w:numId="36">
    <w:abstractNumId w:val="32"/>
    <w:lvlOverride w:ilvl="0">
      <w:startOverride w:val="1"/>
    </w:lvlOverride>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6773A"/>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65B82001"/>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table" w:styleId="TableGrid">
    <w:name w:val="Table Grid"/>
    <w:basedOn w:val="TableNormal"/>
    <w:uiPriority w:val="59"/>
    <w:qFormat/>
    <w:rPr>
      <w:rFonts w:ascii="Calibri" w:eastAsia="宋体" w:hAnsi="Calibri" w:cs="Times New Roman"/>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qFormat/>
    <w:pPr>
      <w:spacing w:line="360" w:lineRule="auto"/>
      <w:ind w:firstLine="420" w:firstLineChars="200"/>
    </w:pPr>
    <w:rPr>
      <w:rFonts w:ascii="等线" w:eastAsia="宋体" w:hAnsi="等线" w:cs="Times New Roman"/>
    </w:rPr>
  </w:style>
  <w:style w:type="paragraph" w:customStyle="1" w:styleId="20">
    <w:name w:val="正文字缩2字"/>
    <w:basedOn w:val="Normal"/>
    <w:qFormat/>
    <w:pPr>
      <w:spacing w:before="60" w:after="60" w:line="360" w:lineRule="auto"/>
      <w:ind w:left="200" w:firstLine="200" w:leftChars="200" w:firstLineChars="200"/>
    </w:pPr>
    <w:rPr>
      <w:rFonts w:ascii="Calibri" w:eastAsia="宋体" w:hAnsi="Calibri" w:cs="Times New Roman"/>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2.xml" /><Relationship Id="rId12" Type="http://schemas.openxmlformats.org/officeDocument/2006/relationships/footer" Target="footer5.xml" /><Relationship Id="rId13" Type="http://schemas.openxmlformats.org/officeDocument/2006/relationships/header" Target="header3.xml" /><Relationship Id="rId14" Type="http://schemas.openxmlformats.org/officeDocument/2006/relationships/footer" Target="footer6.xml" /><Relationship Id="rId15" Type="http://schemas.openxmlformats.org/officeDocument/2006/relationships/header" Target="header4.xml" /><Relationship Id="rId16" Type="http://schemas.openxmlformats.org/officeDocument/2006/relationships/header" Target="header5.xml" /><Relationship Id="rId17" Type="http://schemas.openxmlformats.org/officeDocument/2006/relationships/footer" Target="footer7.xml" /><Relationship Id="rId18" Type="http://schemas.openxmlformats.org/officeDocument/2006/relationships/header" Target="header6.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25220</Words>
  <Characters>26650</Characters>
  <Application>Microsoft Office Word</Application>
  <DocSecurity>0</DocSecurity>
  <Lines>430</Lines>
  <Paragraphs>121</Paragraphs>
  <ScaleCrop>false</ScaleCrop>
  <Company/>
  <LinksUpToDate>false</LinksUpToDate>
  <CharactersWithSpaces>26829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2026-07-20T07:18:40Z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