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福建闽侯S波段双偏振相控阵天气雷达测试标定与应用试验设备采购项目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ZQCD-25234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福建省大气探测技术保障中心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福建闽侯S波段双偏振相控阵天气雷达测试标定与应用试验设备采购项目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ZQCD-25234</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合同签订后180天内交货，270天内完成安装调试并具备验收条件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甲方指定地点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2025年08月12日 00:00:00</w:t>
      </w:r>
      <w:bookmarkEnd w:id="26"/>
      <w:r>
        <w:rPr>
          <w:rFonts w:ascii="宋体" w:hint="eastAsia"/>
          <w:szCs w:val="21"/>
          <w:highlight w:val="none"/>
        </w:rPr>
        <w:t>至</w:t>
      </w:r>
      <w:bookmarkStart w:id="27" w:name="项目公告_signUpLastTime"/>
      <w:r>
        <w:rPr>
          <w:rFonts w:ascii="宋体" w:hint="eastAsia"/>
          <w:szCs w:val="21"/>
          <w:highlight w:val="none"/>
        </w:rPr>
        <w:t>2025年08月20日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2025年09月10日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福建省大气探测技术保障中心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任雍</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0591-83327971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福建省福州市仓山区建新中路98号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福建省大气探测技术保障中心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不允许（仅针对以下产品：无不允许代理商投标）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标的：福建闽侯S波段双偏振相控阵天气雷达测试标定与应用试验设备，属于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是，中标服务费：5.3万元。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640.000000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640.000000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至少提供八年质保</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1"/>
        <w:gridCol w:w="280"/>
        <w:gridCol w:w="1429"/>
        <w:gridCol w:w="280"/>
        <w:gridCol w:w="684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(2)</w:t>
            </w:r>
          </w:p>
        </w:tc>
        <w:tc>
          <w:tcPr/>
          <w:p>
            <w:r>
              <w:t>评审标准：</w:t>
            </w:r>
          </w:p>
          <w:p>
            <w:r>
              <w:t>投标人具有ISO9000系列质量管理体系认证或同等质量管理体系认证、职业健康安全管理体系认证、环境管理体系认证、信息技术服务管理体系认证，每提供一份证书得0.5分，最多得2分。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(3)</w:t>
            </w:r>
          </w:p>
        </w:tc>
        <w:tc>
          <w:tcPr/>
          <w:p>
            <w:r>
              <w:t>评审标准：</w:t>
            </w:r>
          </w:p>
          <w:p>
            <w:r>
              <w:t>销售合同必须包括S波段相控阵天气雷达或C波段相控阵天气雷达，每提供1份合同得1分，最多得3分，不提供不得分。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投标人技术实力</w:t>
            </w:r>
          </w:p>
        </w:tc>
        <w:tc>
          <w:tcPr/>
          <w:p>
            <w:r>
              <w:t>勾选打分</w:t>
            </w:r>
            <w:r>
              <w:t>(2)</w:t>
            </w:r>
          </w:p>
        </w:tc>
        <w:tc>
          <w:tcPr/>
          <w:p>
            <w:r>
              <w:t>评审标准：</w:t>
            </w:r>
          </w:p>
          <w:p>
            <w:r>
              <w:t>投标人具有相控阵天气雷达相关发明专利证书，每提供1份得0.5分，最多得2分。不提供得0分。</w:t>
            </w:r>
          </w:p>
          <w:p>
            <w:r>
              <w:t>评审标准说明：</w:t>
            </w:r>
          </w:p>
          <w:p>
            <w:r>
              <w:t>须提供相关证书复印件，并加盖投标人公章。</w:t>
            </w:r>
          </w:p>
          <w:p/>
        </w:tc>
      </w:tr>
      <w:tr>
        <w:tblPrEx>
          <w:tblW w:w="5000" w:type="pct"/>
          <w:tblCellMar>
            <w:left w:w="108" w:type="dxa"/>
            <w:right w:w="108" w:type="dxa"/>
          </w:tblCellMar>
        </w:tblPrEx>
        <w:tc>
          <w:tcPr/>
          <w:p>
            <w:r>
              <w:t>5</w:t>
            </w:r>
          </w:p>
        </w:tc>
        <w:tc>
          <w:tcPr>
            <w:vMerge w:val="restart"/>
          </w:tcPr>
          <w:p>
            <w:r>
              <w:t>服务部分</w:t>
            </w:r>
          </w:p>
        </w:tc>
        <w:tc>
          <w:tcPr/>
          <w:p>
            <w:r>
              <w:t>售后服务（主观分）</w:t>
            </w:r>
          </w:p>
        </w:tc>
        <w:tc>
          <w:tcPr/>
          <w:p>
            <w:r>
              <w:t>勾选打分</w:t>
            </w:r>
            <w:r>
              <w:t>(2)</w:t>
            </w:r>
          </w:p>
        </w:tc>
        <w:tc>
          <w:tcPr/>
          <w:p>
            <w:r>
              <w:t>评审标准：</w:t>
            </w:r>
          </w:p>
          <w:p>
            <w:r>
              <w:t>一档0分</w:t>
              <w:cr/>
              <w:t>二档1分</w:t>
              <w:cr/>
              <w:t>三档1.5分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w:t>
              <w:cr/>
              <w:t>四档：售后服务方案完整，针对性强，建立合理的技术支持机构或技术支持小组，技术支持内容明确，完全满足采购文件需求。</w:t>
            </w:r>
          </w:p>
          <w:p/>
        </w:tc>
      </w:tr>
      <w:tr>
        <w:tblPrEx>
          <w:tblW w:w="5000" w:type="pct"/>
          <w:tblCellMar>
            <w:left w:w="108" w:type="dxa"/>
            <w:right w:w="108" w:type="dxa"/>
          </w:tblCellMar>
        </w:tblPrEx>
        <w:tc>
          <w:tcPr/>
          <w:p>
            <w:r>
              <w:t>6</w:t>
            </w:r>
          </w:p>
        </w:tc>
        <w:tc>
          <w:tcPr>
            <w:vMerge/>
          </w:tcPr>
          <w:p>
            <w:r>
              <w:t>服务部分</w:t>
            </w:r>
          </w:p>
        </w:tc>
        <w:tc>
          <w:tcPr/>
          <w:p>
            <w:r>
              <w:t>产品质量保证能力（主观分）</w:t>
            </w:r>
          </w:p>
        </w:tc>
        <w:tc>
          <w:tcPr/>
          <w:p>
            <w:r>
              <w:t>勾选打分</w:t>
            </w:r>
            <w:r>
              <w:t>(2)</w:t>
            </w:r>
          </w:p>
        </w:tc>
        <w:tc>
          <w:tcPr/>
          <w:p>
            <w:r>
              <w:t>评审标准：</w:t>
            </w:r>
          </w:p>
          <w:p>
            <w:r>
              <w:t>一档0分</w:t>
              <w:cr/>
              <w:t>二档1分</w:t>
              <w:cr/>
              <w:t>三档1.5分</w:t>
              <w:cr/>
              <w:t>四档2分</w:t>
            </w:r>
          </w:p>
          <w:p>
            <w:r>
              <w:t>评审标准说明：</w:t>
            </w:r>
          </w:p>
          <w:p>
            <w:r>
              <w:t>根据投标人提供的产品质量管理方案进行评分，具体评审标准如下：</w:t>
              <w:cr/>
              <w:t>一档：未提产品质量管理方案。</w:t>
              <w:cr/>
              <w:t>二档：质量控制标准模糊，方法落后；无明确控制措施或存在明显漏洞；</w:t>
              <w:cr/>
              <w:t>三挡：基本覆盖关键质量环节，措施可行但细节不足，无显著缺陷但创新性不足，基本满足采购文件需求；</w:t>
              <w:cr/>
              <w:t>四档：方案全面系统，涵盖设计、生产、检验全流程；质量控制点明确，管理体系健全，控制措施完善；提供投标产品质量保证承诺。完全满足采购文件需求。</w:t>
              <w:cr/>
            </w:r>
          </w:p>
          <w:p/>
        </w:tc>
      </w:tr>
      <w:tr>
        <w:tblPrEx>
          <w:tblW w:w="5000" w:type="pct"/>
          <w:tblCellMar>
            <w:left w:w="108" w:type="dxa"/>
            <w:right w:w="108" w:type="dxa"/>
          </w:tblCellMar>
        </w:tblPrEx>
        <w:tc>
          <w:tcPr/>
          <w:p>
            <w:r>
              <w:t>7</w:t>
            </w:r>
          </w:p>
        </w:tc>
        <w:tc>
          <w:tcPr>
            <w:vMerge/>
          </w:tcPr>
          <w:p>
            <w:r>
              <w:t>服务部分</w:t>
            </w:r>
          </w:p>
        </w:tc>
        <w:tc>
          <w:tcPr/>
          <w:p>
            <w:r>
              <w:t>质保服务方案（主观分）</w:t>
            </w:r>
          </w:p>
        </w:tc>
        <w:tc>
          <w:tcPr/>
          <w:p>
            <w:r>
              <w:t>勾选打分</w:t>
            </w:r>
            <w:r>
              <w:t>(2)</w:t>
            </w:r>
          </w:p>
        </w:tc>
        <w:tc>
          <w:tcPr/>
          <w:p>
            <w:r>
              <w:t>评审标准：</w:t>
            </w:r>
          </w:p>
          <w:p>
            <w:r>
              <w:t>一档0分</w:t>
              <w:cr/>
              <w:t>二档1分</w:t>
              <w:cr/>
              <w:t>三档1.5分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cr/>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针对S波段或C波段相控阵天气雷达，每提供1分用户证明材料得1.5分，最多得3分。否则不得分。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val="restart"/>
          </w:tcPr>
          <w:p>
            <w:r>
              <w:t>技术部分</w:t>
            </w:r>
          </w:p>
        </w:tc>
        <w:tc>
          <w:tcPr/>
          <w:p>
            <w:r>
              <w:t>投标产品技术性能（客观分）</w:t>
            </w:r>
          </w:p>
        </w:tc>
        <w:tc>
          <w:tcPr/>
          <w:p>
            <w:r>
              <w:t>区间打分</w:t>
            </w:r>
            <w:r>
              <w:t>(44)</w:t>
            </w:r>
          </w:p>
        </w:tc>
        <w:tc>
          <w:tcPr/>
          <w:p>
            <w:r>
              <w:t>评审标准：</w:t>
            </w:r>
          </w:p>
          <w:p>
            <w:r>
              <w:t>详细技术指标共14项（包括12项普通指标及2项标注#的重要指标）。普通指标每满足一项（如有多个下级指标，则每个下级指标均应满足）得3分；标注#的重要指标每满足一项（如有多个下级指标，则每个下级指标均应满足）得4分。满分44分。</w:t>
            </w:r>
          </w:p>
          <w:p>
            <w:r>
              <w:t>评审标准说明：</w:t>
            </w:r>
          </w:p>
          <w:p>
            <w:r>
              <w:t>需提供技术文档。响应且满足招标文件第七章详细技术指标要求。针对12项普通技术指标，需提供加盖投标人公章的技术性能承诺书作为证明材料，否则不得分；针对2项标注#的重要技术指标，需提供加盖投标人公章的技术性能承诺书及第三方测试报告作为证明材料，否则不得分。</w:t>
            </w:r>
          </w:p>
          <w:p/>
        </w:tc>
      </w:tr>
      <w:tr>
        <w:tblPrEx>
          <w:tblW w:w="5000" w:type="pct"/>
          <w:tblCellMar>
            <w:left w:w="108" w:type="dxa"/>
            <w:right w:w="108" w:type="dxa"/>
          </w:tblCellMar>
        </w:tblPrEx>
        <w:tc>
          <w:tcPr/>
          <w:p>
            <w:r>
              <w:t>10</w:t>
            </w:r>
          </w:p>
        </w:tc>
        <w:tc>
          <w:tcPr>
            <w:vMerge/>
          </w:tcPr>
          <w:p>
            <w:r>
              <w:t>技术部分</w:t>
            </w:r>
          </w:p>
        </w:tc>
        <w:tc>
          <w:tcPr/>
          <w:p>
            <w:r>
              <w:t>投标产品技术方案（主观分）</w:t>
            </w:r>
          </w:p>
        </w:tc>
        <w:tc>
          <w:tcPr/>
          <w:p>
            <w:r>
              <w:t>勾选打分</w:t>
            </w:r>
            <w:r>
              <w:t>(2)</w:t>
            </w:r>
          </w:p>
        </w:tc>
        <w:tc>
          <w:tcPr/>
          <w:p>
            <w:r>
              <w:t>评审标准：</w:t>
            </w:r>
          </w:p>
          <w:p>
            <w:r>
              <w:t>一档0分</w:t>
              <w:cr/>
              <w:t>二档1分</w:t>
              <w:cr/>
              <w:t>三档1.5分</w:t>
              <w:cr/>
              <w:t>四档2分</w:t>
            </w:r>
          </w:p>
          <w:p>
            <w:r>
              <w:t>评审标准说明：</w:t>
            </w:r>
          </w:p>
          <w:p>
            <w:r>
              <w:t>根据投标人提供的技术方案进行评分，具体评分标准如下：</w:t>
              <w:cr/>
              <w:t xml:space="preserve">一档：未提供技术方案。 </w:t>
              <w:cr/>
              <w:t>二档：提供的技术方案简单，未体现先进性。</w:t>
              <w:cr/>
              <w:t>三档：技术方案基本满足项目技术需求，但技术响应比较浅显，缺乏针对性。</w:t>
              <w:cr/>
              <w:t>四档：技术方案能按照招标文件的要求进行响应，内容详实，要点清晰，满足招标文件的要求且技术方案先进。</w:t>
              <w:cr/>
            </w:r>
          </w:p>
          <w:p/>
        </w:tc>
      </w:tr>
      <w:tr>
        <w:tblPrEx>
          <w:tblW w:w="5000" w:type="pct"/>
          <w:tblCellMar>
            <w:left w:w="108" w:type="dxa"/>
            <w:right w:w="108" w:type="dxa"/>
          </w:tblCellMar>
        </w:tblPrEx>
        <w:tc>
          <w:tcPr/>
          <w:p>
            <w:r>
              <w:t>11</w:t>
            </w:r>
          </w:p>
        </w:tc>
        <w:tc>
          <w:tcPr>
            <w:vMerge/>
          </w:tcPr>
          <w:p>
            <w:r>
              <w:t>技术部分</w:t>
            </w:r>
          </w:p>
        </w:tc>
        <w:tc>
          <w:tcPr/>
          <w:p>
            <w:r>
              <w:t>关键核心技术能力（主观分）</w:t>
            </w:r>
          </w:p>
        </w:tc>
        <w:tc>
          <w:tcPr/>
          <w:p>
            <w:r>
              <w:t>勾选打分</w:t>
            </w:r>
            <w:r>
              <w:t>(2)</w:t>
            </w:r>
          </w:p>
        </w:tc>
        <w:tc>
          <w:tcPr/>
          <w:p>
            <w:r>
              <w:t>评审标准：</w:t>
            </w:r>
          </w:p>
          <w:p>
            <w:r>
              <w:t>一档0分</w:t>
              <w:cr/>
              <w:t>二档1分</w:t>
              <w:cr/>
              <w:t>三档1.5分</w:t>
              <w:cr/>
              <w:t>四档2分</w:t>
            </w:r>
          </w:p>
          <w:p>
            <w:r>
              <w:t>评审标准说明：</w:t>
            </w:r>
          </w:p>
          <w:p>
            <w:r>
              <w:t>根据投标人提供的大型相控阵天气雷达测试标定关键核心技术说明进行评分，具体评分标准如下：</w:t>
              <w:cr/>
              <w:t>一档：不掌握大型相控阵天气雷达测试标定关键核心技术。</w:t>
              <w:cr/>
              <w:t>二档：技术覆盖面窄，仅具备理论基础，无实际验证。</w:t>
              <w:cr/>
              <w:t>三档：技术覆盖较全，理论有一定深度，部分技术经小型验证。</w:t>
              <w:cr/>
              <w:t>四档：技术全面，理论深入，具备相关工程实践经验。</w:t>
              <w:cr/>
            </w:r>
          </w:p>
          <w:p/>
        </w:tc>
      </w:tr>
      <w:tr>
        <w:tblPrEx>
          <w:tblW w:w="5000" w:type="pct"/>
          <w:tblCellMar>
            <w:left w:w="108" w:type="dxa"/>
            <w:right w:w="108" w:type="dxa"/>
          </w:tblCellMar>
        </w:tblPrEx>
        <w:tc>
          <w:tcPr/>
          <w:p>
            <w:r>
              <w:t>12</w:t>
            </w:r>
          </w:p>
        </w:tc>
        <w:tc>
          <w:tcPr>
            <w:vMerge/>
          </w:tcPr>
          <w:p>
            <w:r>
              <w:t>技术部分</w:t>
            </w:r>
          </w:p>
        </w:tc>
        <w:tc>
          <w:tcPr/>
          <w:p>
            <w:r>
              <w:t>第三方测试报告</w:t>
            </w:r>
          </w:p>
        </w:tc>
        <w:tc>
          <w:tcPr/>
          <w:p>
            <w:r>
              <w:t>勾选打分</w:t>
            </w:r>
            <w:r>
              <w:t>(2)</w:t>
            </w:r>
          </w:p>
        </w:tc>
        <w:tc>
          <w:tcPr/>
          <w:p>
            <w:r>
              <w:t>评审标准：</w:t>
            </w:r>
          </w:p>
          <w:p>
            <w:r>
              <w:t>提供行业主管部门、用户单位或其他第三方机构出具的S波段或C波段相控阵天气雷达测试报告，每提供1份得1分，最多得2分。</w:t>
            </w:r>
          </w:p>
          <w:p>
            <w:r>
              <w:t>评审标准说明：</w:t>
            </w:r>
          </w:p>
          <w:p>
            <w:r>
              <w:t>须提供报告复印件，其中必须包括报告首页、设备定标检验测试结果、测试结论页及组长签字页，并加盖投标人公章。原件备查。</w:t>
            </w:r>
          </w:p>
          <w:p/>
        </w:tc>
      </w:tr>
      <w:tr>
        <w:tblPrEx>
          <w:tblW w:w="5000" w:type="pct"/>
          <w:tblCellMar>
            <w:left w:w="108" w:type="dxa"/>
            <w:right w:w="108" w:type="dxa"/>
          </w:tblCellMar>
        </w:tblPrEx>
        <w:tc>
          <w:tcPr/>
          <w:p>
            <w:r>
              <w:t>13</w:t>
            </w:r>
          </w:p>
        </w:tc>
        <w:tc>
          <w:tcPr>
            <w:vMerge/>
          </w:tcPr>
          <w:p>
            <w:r>
              <w:t>技术部分</w:t>
            </w:r>
          </w:p>
        </w:tc>
        <w:tc>
          <w:tcPr/>
          <w:p>
            <w:r>
              <w:t>项目需求理解（主观分）</w:t>
            </w:r>
          </w:p>
        </w:tc>
        <w:tc>
          <w:tcPr/>
          <w:p>
            <w:r>
              <w:t>勾选打分</w:t>
            </w:r>
            <w:r>
              <w:t>(2)</w:t>
            </w:r>
          </w:p>
        </w:tc>
        <w:tc>
          <w:tcPr/>
          <w:p>
            <w:r>
              <w:t>评审标准：</w:t>
            </w:r>
          </w:p>
          <w:p>
            <w:r>
              <w:t>一档0分</w:t>
              <w:cr/>
              <w:t>二档1分</w:t>
              <w:cr/>
              <w:t>三档1.5分</w:t>
              <w:cr/>
              <w:t>四档2分</w:t>
            </w:r>
          </w:p>
          <w:p>
            <w:r>
              <w:t>评审标准说明：</w:t>
            </w:r>
          </w:p>
          <w:p>
            <w:r>
              <w:t>投标人需理解用户的测试标定需求，并结合当地天气特征进行需求分析，提供分析报告。</w:t>
              <w:cr/>
              <w:t>一档：未提供分析报告。</w:t>
              <w:cr/>
              <w:t>二档：对项目需求理解片面，未能结合当地天气特征分析需求。</w:t>
              <w:cr/>
              <w:t>三档：对项目需求理解全面，典型天气特征分析及需求分析未突出。</w:t>
              <w:cr/>
              <w:t>四档：对项目需求理解透彻，天气特征及需求分析到位，并能结合需求分析给出针对性扫描模式设计。</w:t>
              <w:cr/>
              <w:cr/>
            </w:r>
          </w:p>
          <w:p/>
        </w:tc>
      </w:tr>
      <w:tr>
        <w:tblPrEx>
          <w:tblW w:w="5000" w:type="pct"/>
          <w:tblCellMar>
            <w:left w:w="108" w:type="dxa"/>
            <w:right w:w="108" w:type="dxa"/>
          </w:tblCellMar>
        </w:tblPrEx>
        <w:tc>
          <w:tcPr/>
          <w:p>
            <w:r>
              <w:t>14</w:t>
            </w:r>
          </w:p>
        </w:tc>
        <w:tc>
          <w:tcPr>
            <w:vMerge/>
          </w:tcPr>
          <w:p>
            <w:r>
              <w:t>技术部分</w:t>
            </w:r>
          </w:p>
        </w:tc>
        <w:tc>
          <w:tcPr/>
          <w:p>
            <w:r>
              <w:t>雷达标校体系方案（主观分）</w:t>
            </w:r>
          </w:p>
        </w:tc>
        <w:tc>
          <w:tcPr/>
          <w:p>
            <w:r>
              <w:t>勾选打分</w:t>
            </w:r>
            <w:r>
              <w:t>(2)</w:t>
            </w:r>
          </w:p>
        </w:tc>
        <w:tc>
          <w:tcPr/>
          <w:p>
            <w:r>
              <w:t>评审标准：</w:t>
            </w:r>
          </w:p>
          <w:p>
            <w:r>
              <w:t>一档0分</w:t>
              <w:cr/>
              <w:t>二档1分</w:t>
              <w:cr/>
              <w:t>三档1.5分</w:t>
              <w:cr/>
              <w:t>四档2分</w:t>
            </w:r>
          </w:p>
          <w:p>
            <w:r>
              <w:t>评审标准说明：</w:t>
            </w:r>
          </w:p>
          <w:p>
            <w:r>
              <w:t>根据投标人提供的雷达标校体系和技术方法说明进行评分，具体评分标准如下：</w:t>
              <w:cr/>
              <w:t>一档（0分）：未提供雷达标校体系和技术方法说明。</w:t>
              <w:cr/>
              <w:t>二档（1分）：提供的标校体系和技术方法简单，不具备可操作性。</w:t>
              <w:cr/>
              <w:t>三档（2分）：提供的标校体系和技术方法全面，具备一定的可操作性。</w:t>
              <w:cr/>
              <w:t>四档（3分）：提供的标校体系和技术方法全面、可操作性强，且能提供针对性实测标定结果。</w:t>
              <w:cr/>
            </w:r>
          </w:p>
          <w:p/>
        </w:tc>
      </w:tr>
    </w:tbl>
    <w:p w:rsidR="00A77B3E">
      <w:r>
        <w:t xml:space="preserve">      </w:t>
      </w:r>
    </w:p>
    <w:p w:rsidR="00A77B3E"/>
    <w:p w:rsidR="00A77B3E">
      <w:bookmarkEnd w:id="58"/>
    </w:p>
    <w:p w:rsidR="00B677AD">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B677AD" w:rsidRPr="008918E3" w:rsidP="008918E3">
      <w:pPr>
        <w:keepNext/>
        <w:keepLines/>
        <w:spacing w:line="480" w:lineRule="auto"/>
        <w:contextualSpacing/>
        <w:outlineLvl w:val="2"/>
        <w:rPr>
          <w:rFonts w:ascii="黑体" w:eastAsia="黑体" w:hAnsi="黑体"/>
          <w:b/>
          <w:bCs/>
          <w:color w:val="000000" w:themeColor="text1"/>
        </w:rPr>
      </w:pPr>
      <w:r w:rsidRPr="008918E3">
        <w:rPr>
          <w:rFonts w:ascii="黑体" w:eastAsia="黑体" w:hAnsi="黑体" w:hint="eastAsia"/>
          <w:b/>
          <w:bCs/>
          <w:color w:val="000000" w:themeColor="text1"/>
          <w:sz w:val="24"/>
          <w:szCs w:val="24"/>
        </w:rPr>
        <w:t>一、项目概况及总体要求</w:t>
      </w:r>
    </w:p>
    <w:p w:rsidR="00B677AD">
      <w:pPr>
        <w:snapToGrid w:val="0"/>
        <w:spacing w:line="360" w:lineRule="auto"/>
        <w:ind w:firstLine="508" w:firstLineChars="242"/>
        <w:jc w:val="left"/>
        <w:rPr>
          <w:rFonts w:asciiTheme="minorEastAsia" w:hAnsiTheme="minorEastAsia" w:cs="Times New Roman"/>
          <w:color w:val="000000" w:themeColor="text1"/>
          <w:szCs w:val="21"/>
        </w:rPr>
      </w:pPr>
      <w:r>
        <w:rPr>
          <w:rFonts w:asciiTheme="minorEastAsia" w:hAnsiTheme="minorEastAsia" w:hint="eastAsia"/>
          <w:color w:val="000000" w:themeColor="text1"/>
          <w:szCs w:val="21"/>
        </w:rPr>
        <w:t>本项目借助福建闽侯S波段双偏振相控阵天气雷达成熟的测试和试验条件，开展雷达测试和标定、数据质量控制、相控阵雷达气象产品开发、观测试验验证及新技术应用等方面的研究。旨在加强雷达对强对流、台风等重大自然灾害性天气过程的观测应用，了解更快捷、更精细、更先进的相控阵雷达观测技术对气象预报预警业务支持和促进作用的潜力，提升对台风及强对流天气的精细化探测能力，推进气象观测业务高效和创新发展，促进并带动气象探测、预报、通信系统以及气象服务产品加工分发等系统的变革与进步，从而形成以先进的探测系统为基础，以现代化的天气预报、服务为中心，以迅速快捷的通信传输为手段的现代化综合气象防灾、减灾服务决策体系，进一步提高福建省气象现代化建</w:t>
      </w:r>
      <w:r>
        <w:rPr>
          <w:rFonts w:asciiTheme="minorEastAsia" w:hAnsiTheme="minorEastAsia" w:hint="eastAsia"/>
          <w:color w:val="000000" w:themeColor="text1"/>
          <w:szCs w:val="21"/>
        </w:rPr>
        <w:t>设总体水平，为福建省经济的发展和防灾减灾提供更加科学的服务保障</w:t>
      </w:r>
      <w:r w:rsidRPr="008918E3" w:rsidR="008918E3">
        <w:rPr>
          <w:rFonts w:asciiTheme="minorEastAsia" w:hAnsiTheme="minorEastAsia" w:cs="Times New Roman" w:hint="eastAsia"/>
          <w:color w:val="000000" w:themeColor="text1"/>
          <w:szCs w:val="21"/>
        </w:rPr>
        <w:t>。</w:t>
      </w:r>
    </w:p>
    <w:p w:rsidR="00B677AD" w:rsidRPr="008918E3" w:rsidP="008918E3">
      <w:pPr>
        <w:keepNext/>
        <w:keepLines/>
        <w:spacing w:line="480" w:lineRule="auto"/>
        <w:contextualSpacing/>
        <w:outlineLvl w:val="2"/>
        <w:rPr>
          <w:rFonts w:ascii="黑体" w:eastAsia="黑体" w:hAnsi="黑体"/>
          <w:b/>
          <w:bCs/>
          <w:color w:val="000000" w:themeColor="text1"/>
        </w:rPr>
      </w:pPr>
      <w:r w:rsidRPr="008918E3">
        <w:rPr>
          <w:rFonts w:ascii="黑体" w:eastAsia="黑体" w:hAnsi="黑体" w:hint="eastAsia"/>
          <w:b/>
          <w:bCs/>
          <w:color w:val="000000" w:themeColor="text1"/>
          <w:sz w:val="24"/>
          <w:szCs w:val="24"/>
        </w:rPr>
        <w:t>二、设备需求一览表（见第七章 采购需求 附表）</w:t>
      </w:r>
    </w:p>
    <w:p w:rsidR="00B677AD" w:rsidRPr="008918E3" w:rsidP="008918E3">
      <w:pPr>
        <w:keepNext/>
        <w:keepLines/>
        <w:spacing w:line="480" w:lineRule="auto"/>
        <w:contextualSpacing/>
        <w:outlineLvl w:val="2"/>
        <w:rPr>
          <w:rFonts w:ascii="黑体" w:eastAsia="黑体" w:hAnsi="黑体"/>
          <w:b/>
          <w:bCs/>
          <w:color w:val="000000" w:themeColor="text1"/>
        </w:rPr>
      </w:pPr>
      <w:r w:rsidRPr="008918E3">
        <w:rPr>
          <w:rFonts w:ascii="黑体" w:eastAsia="黑体" w:hAnsi="黑体" w:hint="eastAsia"/>
          <w:b/>
          <w:bCs/>
          <w:color w:val="000000" w:themeColor="text1"/>
          <w:sz w:val="24"/>
          <w:szCs w:val="24"/>
        </w:rPr>
        <w:t>三、技术性能指标</w:t>
      </w:r>
    </w:p>
    <w:p w:rsidR="00404A0D" w:rsidRPr="000802B4" w:rsidP="00404A0D">
      <w:pPr>
        <w:keepNext/>
        <w:keepLines/>
        <w:spacing w:line="360" w:lineRule="auto"/>
        <w:contextualSpacing/>
        <w:outlineLvl w:val="3"/>
        <w:rPr>
          <w:rFonts w:asciiTheme="minorEastAsia" w:hAnsiTheme="minorEastAsia"/>
          <w:b/>
          <w:bCs/>
          <w:color w:val="000000" w:themeColor="text1"/>
          <w:szCs w:val="21"/>
        </w:rPr>
      </w:pPr>
      <w:r w:rsidRPr="000802B4">
        <w:rPr>
          <w:rFonts w:asciiTheme="minorEastAsia" w:hAnsiTheme="minorEastAsia" w:hint="eastAsia"/>
          <w:b/>
          <w:bCs/>
          <w:color w:val="000000" w:themeColor="text1"/>
          <w:szCs w:val="21"/>
        </w:rPr>
        <w:t>1</w:t>
      </w:r>
      <w:r w:rsidRPr="000802B4">
        <w:rPr>
          <w:rFonts w:asciiTheme="minorEastAsia" w:hAnsiTheme="minorEastAsia"/>
          <w:b/>
          <w:bCs/>
          <w:color w:val="000000" w:themeColor="text1"/>
          <w:szCs w:val="21"/>
        </w:rPr>
        <w:t>、测试和标校</w:t>
      </w:r>
    </w:p>
    <w:p w:rsidR="00404A0D" w:rsidP="00404A0D">
      <w:pPr>
        <w:keepNext/>
        <w:keepLines/>
        <w:widowControl/>
        <w:numPr>
          <w:ilvl w:val="0"/>
          <w:numId w:val="20"/>
        </w:numPr>
        <w:adjustRightInd w:val="0"/>
        <w:snapToGrid w:val="0"/>
        <w:spacing w:after="160" w:line="360" w:lineRule="auto"/>
        <w:ind w:firstLine="420" w:firstLineChars="200"/>
        <w:contextualSpacing/>
        <w:jc w:val="left"/>
        <w:outlineLvl w:val="4"/>
        <w:rPr>
          <w:rFonts w:asciiTheme="minorEastAsia" w:hAnsiTheme="minorEastAsia"/>
          <w:b/>
          <w:bCs/>
          <w:color w:val="000000" w:themeColor="text1"/>
          <w:szCs w:val="21"/>
        </w:rPr>
      </w:pPr>
      <w:r>
        <w:rPr>
          <w:rFonts w:asciiTheme="minorEastAsia" w:hAnsiTheme="minorEastAsia"/>
          <w:b/>
          <w:bCs/>
          <w:color w:val="000000" w:themeColor="text1"/>
          <w:szCs w:val="21"/>
        </w:rPr>
        <w:t>1.1、机内测试标定系统</w:t>
      </w:r>
    </w:p>
    <w:p w:rsidR="00404A0D" w:rsidP="00404A0D">
      <w:pPr>
        <w:adjustRightInd w:val="0"/>
        <w:spacing w:line="360" w:lineRule="auto"/>
        <w:ind w:firstLine="420" w:firstLineChars="200"/>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S波段双偏振相控阵天气雷达测试和标定是提升装备使用性能的重要途径，是雷达数据质量提升的重要手段，也是对雷达系统进行健康评估和管理的基础。</w:t>
      </w:r>
    </w:p>
    <w:p w:rsidR="00404A0D" w:rsidP="00404A0D">
      <w:pPr>
        <w:keepNext/>
        <w:keepLines/>
        <w:spacing w:line="360" w:lineRule="auto"/>
        <w:ind w:firstLine="420" w:firstLineChars="200"/>
        <w:contextualSpacing/>
        <w:outlineLvl w:val="5"/>
        <w:rPr>
          <w:rFonts w:asciiTheme="minorEastAsia" w:hAnsiTheme="minorEastAsia"/>
          <w:b/>
          <w:bCs/>
          <w:color w:val="000000" w:themeColor="text1"/>
          <w:szCs w:val="21"/>
        </w:rPr>
      </w:pPr>
      <w:r>
        <w:rPr>
          <w:rFonts w:asciiTheme="minorEastAsia" w:hAnsiTheme="minorEastAsia"/>
          <w:b/>
          <w:bCs/>
          <w:color w:val="000000" w:themeColor="text1"/>
          <w:szCs w:val="21"/>
        </w:rPr>
        <w:t>1.1.1、硬件组成</w:t>
      </w:r>
    </w:p>
    <w:p w:rsidR="00404A0D" w:rsidP="00404A0D">
      <w:pPr>
        <w:adjustRightInd w:val="0"/>
        <w:spacing w:line="360" w:lineRule="auto"/>
        <w:ind w:firstLine="420" w:firstLineChars="200"/>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机内标定系统硬件主要包括：监测标定仪（内监测功能）、内监测网络、耦合器和健康管理服务器等硬件设备。</w:t>
      </w:r>
    </w:p>
    <w:p w:rsidR="00404A0D" w:rsidP="00404A0D">
      <w:pPr>
        <w:keepNext/>
        <w:keepLines/>
        <w:spacing w:line="360" w:lineRule="auto"/>
        <w:ind w:firstLine="420" w:firstLineChars="200"/>
        <w:contextualSpacing/>
        <w:outlineLvl w:val="5"/>
        <w:rPr>
          <w:rFonts w:asciiTheme="minorEastAsia" w:hAnsiTheme="minorEastAsia"/>
          <w:b/>
          <w:bCs/>
          <w:color w:val="000000" w:themeColor="text1"/>
          <w:szCs w:val="21"/>
        </w:rPr>
      </w:pPr>
      <w:r>
        <w:rPr>
          <w:rFonts w:asciiTheme="minorEastAsia" w:hAnsiTheme="minorEastAsia"/>
          <w:b/>
          <w:bCs/>
          <w:color w:val="000000" w:themeColor="text1"/>
          <w:szCs w:val="21"/>
        </w:rPr>
        <w:t>1.1.2、指标要求</w:t>
      </w:r>
    </w:p>
    <w:p w:rsidR="00404A0D" w:rsidP="00404A0D">
      <w:pPr>
        <w:adjustRightInd w:val="0"/>
        <w:spacing w:line="360" w:lineRule="auto"/>
        <w:ind w:firstLine="420" w:firstLineChars="200"/>
        <w:contextualSpacing/>
        <w:jc w:val="left"/>
        <w:textAlignment w:val="center"/>
        <w:rPr>
          <w:rFonts w:asciiTheme="minorEastAsia" w:hAnsiTheme="minorEastAsia"/>
          <w:b/>
          <w:snapToGrid w:val="0"/>
          <w:color w:val="000000" w:themeColor="text1"/>
          <w:kern w:val="0"/>
          <w:szCs w:val="21"/>
        </w:rPr>
      </w:pPr>
      <w:r>
        <w:rPr>
          <w:rFonts w:asciiTheme="minorEastAsia" w:hAnsiTheme="minorEastAsia"/>
          <w:b/>
          <w:snapToGrid w:val="0"/>
          <w:color w:val="000000" w:themeColor="text1"/>
          <w:kern w:val="0"/>
          <w:szCs w:val="21"/>
        </w:rPr>
        <w:t>监测标定仪（内监测功能）</w:t>
      </w:r>
    </w:p>
    <w:p w:rsidR="00404A0D" w:rsidP="00404A0D">
      <w:pPr>
        <w:widowControl/>
        <w:adjustRightInd w:val="0"/>
        <w:snapToGrid w:val="0"/>
        <w:spacing w:line="360" w:lineRule="auto"/>
        <w:ind w:left="420" w:leftChars="200"/>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hint="eastAsia"/>
          <w:b/>
          <w:snapToGrid w:val="0"/>
          <w:color w:val="000000" w:themeColor="text1"/>
          <w:kern w:val="0"/>
          <w:szCs w:val="21"/>
        </w:rPr>
        <w:t>(1)</w:t>
      </w:r>
      <w:r>
        <w:rPr>
          <w:rFonts w:asciiTheme="minorEastAsia" w:hAnsiTheme="minorEastAsia"/>
          <w:bCs/>
          <w:snapToGrid w:val="0"/>
          <w:color w:val="000000" w:themeColor="text1"/>
          <w:kern w:val="0"/>
          <w:szCs w:val="21"/>
        </w:rPr>
        <w:t>具备内监测模拟目标产生功能，监测输出口：≥25dBm；</w:t>
      </w:r>
    </w:p>
    <w:p w:rsidR="00404A0D" w:rsidP="00404A0D">
      <w:pPr>
        <w:widowControl/>
        <w:adjustRightInd w:val="0"/>
        <w:snapToGrid w:val="0"/>
        <w:spacing w:line="360" w:lineRule="auto"/>
        <w:ind w:left="420" w:leftChars="200"/>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hint="eastAsia"/>
          <w:b/>
          <w:snapToGrid w:val="0"/>
          <w:color w:val="000000" w:themeColor="text1"/>
          <w:kern w:val="0"/>
          <w:szCs w:val="21"/>
        </w:rPr>
        <w:t>(2)</w:t>
      </w:r>
      <w:r>
        <w:rPr>
          <w:rFonts w:asciiTheme="minorEastAsia" w:hAnsiTheme="minorEastAsia"/>
          <w:bCs/>
          <w:snapToGrid w:val="0"/>
          <w:color w:val="000000" w:themeColor="text1"/>
          <w:kern w:val="0"/>
          <w:szCs w:val="21"/>
        </w:rPr>
        <w:t>输出功率调节范围：103dB；</w:t>
      </w:r>
    </w:p>
    <w:p w:rsidR="00404A0D" w:rsidP="00404A0D">
      <w:pPr>
        <w:widowControl/>
        <w:adjustRightInd w:val="0"/>
        <w:snapToGrid w:val="0"/>
        <w:spacing w:line="360" w:lineRule="auto"/>
        <w:ind w:left="420" w:leftChars="200"/>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hint="eastAsia"/>
          <w:b/>
          <w:snapToGrid w:val="0"/>
          <w:color w:val="000000" w:themeColor="text1"/>
          <w:kern w:val="0"/>
          <w:szCs w:val="21"/>
        </w:rPr>
        <w:t>(3)</w:t>
      </w:r>
      <w:r>
        <w:rPr>
          <w:rFonts w:asciiTheme="minorEastAsia" w:hAnsiTheme="minorEastAsia"/>
          <w:bCs/>
          <w:snapToGrid w:val="0"/>
          <w:color w:val="000000" w:themeColor="text1"/>
          <w:kern w:val="0"/>
          <w:szCs w:val="21"/>
        </w:rPr>
        <w:t>精度如下：1～10 ：±0.3 、10～30 ：±0.4、 30～40：±0.5、40～70 ：±0.6 、70～80 ：±0.7 、 80～90：±0.8、90～103：±1</w:t>
      </w:r>
    </w:p>
    <w:p w:rsidR="00404A0D" w:rsidP="00404A0D">
      <w:pPr>
        <w:widowControl/>
        <w:adjustRightInd w:val="0"/>
        <w:snapToGrid w:val="0"/>
        <w:spacing w:line="360" w:lineRule="auto"/>
        <w:ind w:left="420" w:leftChars="200"/>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hint="eastAsia"/>
          <w:b/>
          <w:snapToGrid w:val="0"/>
          <w:color w:val="000000" w:themeColor="text1"/>
          <w:kern w:val="0"/>
          <w:szCs w:val="21"/>
        </w:rPr>
        <w:t>(4)</w:t>
      </w:r>
      <w:r>
        <w:rPr>
          <w:rFonts w:asciiTheme="minorEastAsia" w:hAnsiTheme="minorEastAsia"/>
          <w:bCs/>
          <w:snapToGrid w:val="0"/>
          <w:color w:val="000000" w:themeColor="text1"/>
          <w:kern w:val="0"/>
          <w:szCs w:val="21"/>
        </w:rPr>
        <w:t>集成噪声源，超噪比≥75dB；</w:t>
      </w:r>
    </w:p>
    <w:p w:rsidR="00404A0D" w:rsidP="00404A0D">
      <w:pPr>
        <w:widowControl/>
        <w:adjustRightInd w:val="0"/>
        <w:snapToGrid w:val="0"/>
        <w:spacing w:line="360" w:lineRule="auto"/>
        <w:ind w:left="420" w:leftChars="200"/>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hint="eastAsia"/>
          <w:b/>
          <w:snapToGrid w:val="0"/>
          <w:color w:val="000000" w:themeColor="text1"/>
          <w:kern w:val="0"/>
          <w:szCs w:val="21"/>
        </w:rPr>
        <w:t>(5)</w:t>
      </w:r>
      <w:r>
        <w:rPr>
          <w:rFonts w:asciiTheme="minorEastAsia" w:hAnsiTheme="minorEastAsia"/>
          <w:bCs/>
          <w:snapToGrid w:val="0"/>
          <w:color w:val="000000" w:themeColor="text1"/>
          <w:kern w:val="0"/>
          <w:szCs w:val="21"/>
        </w:rPr>
        <w:t>应设计独立的内监测接收通道，可对阵面发射通道的幅相进行采集。</w:t>
      </w:r>
    </w:p>
    <w:p w:rsidR="00404A0D" w:rsidP="00404A0D">
      <w:pPr>
        <w:adjustRightInd w:val="0"/>
        <w:spacing w:line="360" w:lineRule="auto"/>
        <w:ind w:firstLine="420" w:firstLineChars="200"/>
        <w:contextualSpacing/>
        <w:jc w:val="left"/>
        <w:textAlignment w:val="center"/>
        <w:rPr>
          <w:rFonts w:asciiTheme="minorEastAsia" w:hAnsiTheme="minorEastAsia"/>
          <w:b/>
          <w:snapToGrid w:val="0"/>
          <w:color w:val="000000" w:themeColor="text1"/>
          <w:kern w:val="0"/>
          <w:szCs w:val="21"/>
        </w:rPr>
      </w:pPr>
      <w:r>
        <w:rPr>
          <w:rFonts w:asciiTheme="minorEastAsia" w:hAnsiTheme="minorEastAsia"/>
          <w:b/>
          <w:snapToGrid w:val="0"/>
          <w:color w:val="000000" w:themeColor="text1"/>
          <w:kern w:val="0"/>
          <w:szCs w:val="21"/>
        </w:rPr>
        <w:t>内监测网络标要求</w:t>
      </w:r>
    </w:p>
    <w:p w:rsidR="00404A0D" w:rsidP="00404A0D">
      <w:pPr>
        <w:widowControl/>
        <w:adjustRightInd w:val="0"/>
        <w:snapToGrid w:val="0"/>
        <w:spacing w:line="360" w:lineRule="auto"/>
        <w:ind w:left="420" w:leftChars="200"/>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hint="eastAsia"/>
          <w:b/>
          <w:snapToGrid w:val="0"/>
          <w:color w:val="000000" w:themeColor="text1"/>
          <w:kern w:val="0"/>
          <w:szCs w:val="21"/>
        </w:rPr>
        <w:t>(6)</w:t>
      </w:r>
      <w:r>
        <w:rPr>
          <w:rFonts w:asciiTheme="minorEastAsia" w:hAnsiTheme="minorEastAsia"/>
          <w:bCs/>
          <w:snapToGrid w:val="0"/>
          <w:color w:val="000000" w:themeColor="text1"/>
          <w:kern w:val="0"/>
          <w:szCs w:val="21"/>
        </w:rPr>
        <w:t>功分比：≥1:304。</w:t>
      </w:r>
    </w:p>
    <w:p w:rsidR="00404A0D" w:rsidP="00404A0D">
      <w:pPr>
        <w:adjustRightInd w:val="0"/>
        <w:spacing w:line="360" w:lineRule="auto"/>
        <w:ind w:firstLine="480"/>
        <w:contextualSpacing/>
        <w:jc w:val="left"/>
        <w:textAlignment w:val="center"/>
        <w:rPr>
          <w:rFonts w:asciiTheme="minorEastAsia" w:hAnsiTheme="minorEastAsia"/>
          <w:b/>
          <w:snapToGrid w:val="0"/>
          <w:color w:val="000000" w:themeColor="text1"/>
          <w:kern w:val="0"/>
          <w:szCs w:val="21"/>
        </w:rPr>
      </w:pPr>
      <w:r>
        <w:rPr>
          <w:rFonts w:asciiTheme="minorEastAsia" w:hAnsiTheme="minorEastAsia"/>
          <w:b/>
          <w:snapToGrid w:val="0"/>
          <w:color w:val="000000" w:themeColor="text1"/>
          <w:kern w:val="0"/>
          <w:szCs w:val="21"/>
        </w:rPr>
        <w:t>耦合器标要求</w:t>
      </w:r>
    </w:p>
    <w:p w:rsidR="00404A0D" w:rsidP="00404A0D">
      <w:pPr>
        <w:widowControl/>
        <w:adjustRightInd w:val="0"/>
        <w:snapToGrid w:val="0"/>
        <w:spacing w:line="360" w:lineRule="auto"/>
        <w:ind w:left="420" w:leftChars="200"/>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hint="eastAsia"/>
          <w:b/>
          <w:snapToGrid w:val="0"/>
          <w:color w:val="000000" w:themeColor="text1"/>
          <w:kern w:val="0"/>
          <w:szCs w:val="21"/>
        </w:rPr>
        <w:t>(7)</w:t>
      </w:r>
      <w:r>
        <w:rPr>
          <w:rFonts w:asciiTheme="minorEastAsia" w:hAnsiTheme="minorEastAsia"/>
          <w:bCs/>
          <w:snapToGrid w:val="0"/>
          <w:color w:val="000000" w:themeColor="text1"/>
          <w:kern w:val="0"/>
          <w:szCs w:val="21"/>
        </w:rPr>
        <w:t>耦合度：30±3dB。</w:t>
      </w:r>
    </w:p>
    <w:p w:rsidR="00404A0D" w:rsidP="00404A0D">
      <w:pPr>
        <w:keepNext/>
        <w:keepLines/>
        <w:widowControl/>
        <w:numPr>
          <w:ilvl w:val="0"/>
          <w:numId w:val="20"/>
        </w:numPr>
        <w:adjustRightInd w:val="0"/>
        <w:snapToGrid w:val="0"/>
        <w:spacing w:after="160" w:line="360" w:lineRule="auto"/>
        <w:ind w:firstLine="420" w:firstLineChars="200"/>
        <w:contextualSpacing/>
        <w:jc w:val="left"/>
        <w:outlineLvl w:val="4"/>
        <w:rPr>
          <w:rFonts w:asciiTheme="minorEastAsia" w:hAnsiTheme="minorEastAsia"/>
          <w:b/>
          <w:bCs/>
          <w:color w:val="000000" w:themeColor="text1"/>
          <w:szCs w:val="21"/>
        </w:rPr>
      </w:pPr>
      <w:r>
        <w:rPr>
          <w:rFonts w:asciiTheme="minorEastAsia" w:hAnsiTheme="minorEastAsia"/>
          <w:b/>
          <w:bCs/>
          <w:color w:val="000000" w:themeColor="text1"/>
          <w:szCs w:val="21"/>
        </w:rPr>
        <w:t>1.2、雷达健康管理</w:t>
      </w:r>
    </w:p>
    <w:p w:rsidR="00404A0D" w:rsidP="00404A0D">
      <w:pPr>
        <w:widowControl/>
        <w:adjustRightInd w:val="0"/>
        <w:spacing w:line="360" w:lineRule="auto"/>
        <w:ind w:firstLine="420" w:firstLineChars="200"/>
        <w:contextualSpacing/>
        <w:rPr>
          <w:rFonts w:asciiTheme="minorEastAsia" w:hAnsiTheme="minorEastAsia"/>
          <w:bCs/>
          <w:snapToGrid w:val="0"/>
          <w:color w:val="000000" w:themeColor="text1"/>
          <w:kern w:val="0"/>
          <w:szCs w:val="21"/>
        </w:rPr>
      </w:pPr>
      <w:r>
        <w:rPr>
          <w:rFonts w:asciiTheme="minorEastAsia" w:hAnsiTheme="minorEastAsia" w:hint="eastAsia"/>
          <w:b/>
          <w:snapToGrid w:val="0"/>
          <w:color w:val="000000" w:themeColor="text1"/>
          <w:kern w:val="0"/>
          <w:szCs w:val="21"/>
        </w:rPr>
        <w:t>(8)</w:t>
      </w:r>
      <w:r>
        <w:rPr>
          <w:rFonts w:asciiTheme="minorEastAsia" w:hAnsiTheme="minorEastAsia"/>
          <w:bCs/>
          <w:snapToGrid w:val="0"/>
          <w:color w:val="000000" w:themeColor="text1"/>
          <w:kern w:val="0"/>
          <w:szCs w:val="21"/>
        </w:rPr>
        <w:t>健康管理采用商用工作站，工作站硬件要求如下：</w:t>
      </w:r>
    </w:p>
    <w:p w:rsidR="00404A0D" w:rsidP="00404A0D">
      <w:pPr>
        <w:widowControl/>
        <w:adjustRightInd w:val="0"/>
        <w:snapToGrid w:val="0"/>
        <w:spacing w:line="360" w:lineRule="auto"/>
        <w:ind w:left="420" w:leftChars="200"/>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CPU：1颗及以上/10核/3.7GHz及以上；内存：16GB及以上/ECC DDR4 2666及以上；</w:t>
      </w:r>
    </w:p>
    <w:p w:rsidR="00404A0D" w:rsidP="00404A0D">
      <w:pPr>
        <w:widowControl/>
        <w:adjustRightInd w:val="0"/>
        <w:snapToGrid w:val="0"/>
        <w:spacing w:line="360" w:lineRule="auto"/>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硬盘：2块及以上，其中SSD全固态硬盘1块及以上，存储空间1TB及以上，机械式硬盘1块及以上，单盘存储空间1TB及以上，全固态单盘支持RAID1，支持便捷式热插拔；显卡：独立显卡，1块 2GB及以上；网络接口：2个千兆以太网络接口；显示器，24"LED及以上，含鼠标和键盘。</w:t>
      </w:r>
    </w:p>
    <w:p w:rsidR="00404A0D" w:rsidP="00404A0D">
      <w:pPr>
        <w:keepNext/>
        <w:keepLines/>
        <w:widowControl/>
        <w:numPr>
          <w:ilvl w:val="0"/>
          <w:numId w:val="20"/>
        </w:numPr>
        <w:adjustRightInd w:val="0"/>
        <w:snapToGrid w:val="0"/>
        <w:spacing w:after="160" w:line="360" w:lineRule="auto"/>
        <w:ind w:firstLine="420" w:firstLineChars="200"/>
        <w:contextualSpacing/>
        <w:jc w:val="left"/>
        <w:outlineLvl w:val="4"/>
        <w:rPr>
          <w:rFonts w:asciiTheme="minorEastAsia" w:hAnsiTheme="minorEastAsia"/>
          <w:b/>
          <w:bCs/>
          <w:color w:val="000000" w:themeColor="text1"/>
          <w:szCs w:val="21"/>
        </w:rPr>
      </w:pPr>
      <w:r>
        <w:rPr>
          <w:rFonts w:asciiTheme="minorEastAsia" w:hAnsiTheme="minorEastAsia"/>
          <w:b/>
          <w:bCs/>
          <w:color w:val="000000" w:themeColor="text1"/>
          <w:szCs w:val="21"/>
        </w:rPr>
        <w:t>1.3、中场标定</w:t>
      </w:r>
    </w:p>
    <w:p w:rsidR="00404A0D" w:rsidP="00404A0D">
      <w:pPr>
        <w:keepNext/>
        <w:keepLines/>
        <w:spacing w:line="360" w:lineRule="auto"/>
        <w:ind w:firstLine="420" w:firstLineChars="200"/>
        <w:contextualSpacing/>
        <w:outlineLvl w:val="5"/>
        <w:rPr>
          <w:rFonts w:asciiTheme="minorEastAsia" w:hAnsiTheme="minorEastAsia"/>
          <w:b/>
          <w:bCs/>
          <w:color w:val="000000" w:themeColor="text1"/>
          <w:szCs w:val="21"/>
        </w:rPr>
      </w:pPr>
      <w:r>
        <w:rPr>
          <w:rFonts w:asciiTheme="minorEastAsia" w:hAnsiTheme="minorEastAsia" w:hint="eastAsia"/>
          <w:b/>
          <w:bCs/>
          <w:color w:val="000000" w:themeColor="text1"/>
          <w:szCs w:val="21"/>
        </w:rPr>
        <w:t>1.3.1、</w:t>
      </w:r>
      <w:r>
        <w:rPr>
          <w:rFonts w:asciiTheme="minorEastAsia" w:hAnsiTheme="minorEastAsia"/>
          <w:b/>
          <w:bCs/>
          <w:color w:val="000000" w:themeColor="text1"/>
          <w:szCs w:val="21"/>
        </w:rPr>
        <w:t>硬件组成</w:t>
      </w:r>
    </w:p>
    <w:p w:rsidR="00404A0D" w:rsidP="00404A0D">
      <w:pPr>
        <w:adjustRightInd w:val="0"/>
        <w:spacing w:line="360" w:lineRule="auto"/>
        <w:ind w:firstLine="420" w:firstLineChars="200"/>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中场标定系统硬件主要包括：监测标定仪（外监测功能）、双极化天线和测试线缆等。</w:t>
      </w:r>
    </w:p>
    <w:p w:rsidR="00404A0D" w:rsidP="00404A0D">
      <w:pPr>
        <w:keepNext/>
        <w:keepLines/>
        <w:spacing w:line="360" w:lineRule="auto"/>
        <w:ind w:firstLine="420" w:firstLineChars="200"/>
        <w:contextualSpacing/>
        <w:outlineLvl w:val="5"/>
        <w:rPr>
          <w:rFonts w:asciiTheme="minorEastAsia" w:hAnsiTheme="minorEastAsia"/>
          <w:b/>
          <w:bCs/>
          <w:color w:val="000000" w:themeColor="text1"/>
          <w:szCs w:val="21"/>
        </w:rPr>
      </w:pPr>
      <w:r>
        <w:rPr>
          <w:rFonts w:asciiTheme="minorEastAsia" w:hAnsiTheme="minorEastAsia" w:hint="eastAsia"/>
          <w:b/>
          <w:bCs/>
          <w:color w:val="000000" w:themeColor="text1"/>
          <w:szCs w:val="21"/>
        </w:rPr>
        <w:t>1.3.2、</w:t>
      </w:r>
      <w:r>
        <w:rPr>
          <w:rFonts w:asciiTheme="minorEastAsia" w:hAnsiTheme="minorEastAsia"/>
          <w:b/>
          <w:bCs/>
          <w:color w:val="000000" w:themeColor="text1"/>
          <w:szCs w:val="21"/>
        </w:rPr>
        <w:t>指标要求</w:t>
      </w:r>
    </w:p>
    <w:p w:rsidR="00404A0D" w:rsidP="00404A0D">
      <w:pPr>
        <w:adjustRightInd w:val="0"/>
        <w:spacing w:line="360" w:lineRule="auto"/>
        <w:ind w:firstLine="480"/>
        <w:contextualSpacing/>
        <w:jc w:val="left"/>
        <w:textAlignment w:val="center"/>
        <w:rPr>
          <w:rFonts w:asciiTheme="minorEastAsia" w:hAnsiTheme="minorEastAsia"/>
          <w:b/>
          <w:snapToGrid w:val="0"/>
          <w:color w:val="000000" w:themeColor="text1"/>
          <w:kern w:val="0"/>
          <w:szCs w:val="21"/>
        </w:rPr>
      </w:pPr>
      <w:r>
        <w:rPr>
          <w:rFonts w:asciiTheme="minorEastAsia" w:hAnsiTheme="minorEastAsia" w:hint="eastAsia"/>
          <w:b/>
          <w:snapToGrid w:val="0"/>
          <w:color w:val="000000" w:themeColor="text1"/>
          <w:kern w:val="0"/>
          <w:szCs w:val="21"/>
        </w:rPr>
        <w:t>#（9）</w:t>
      </w:r>
      <w:r>
        <w:rPr>
          <w:rFonts w:asciiTheme="minorEastAsia" w:hAnsiTheme="minorEastAsia"/>
          <w:b/>
          <w:snapToGrid w:val="0"/>
          <w:color w:val="000000" w:themeColor="text1"/>
          <w:kern w:val="0"/>
          <w:szCs w:val="21"/>
        </w:rPr>
        <w:t>监测标定仪（外监测功能）</w:t>
      </w:r>
    </w:p>
    <w:p w:rsidR="00404A0D" w:rsidP="00404A0D">
      <w:pPr>
        <w:widowControl/>
        <w:numPr>
          <w:ilvl w:val="0"/>
          <w:numId w:val="5"/>
        </w:numPr>
        <w:adjustRightInd w:val="0"/>
        <w:snapToGrid w:val="0"/>
        <w:spacing w:after="160" w:line="360" w:lineRule="auto"/>
        <w:ind w:firstLine="420" w:firstLineChars="200"/>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具备外监测模拟目标产生功能，监测输出口：≥25dBm；</w:t>
      </w:r>
    </w:p>
    <w:p w:rsidR="00404A0D" w:rsidP="00404A0D">
      <w:pPr>
        <w:widowControl/>
        <w:numPr>
          <w:ilvl w:val="0"/>
          <w:numId w:val="5"/>
        </w:numPr>
        <w:adjustRightInd w:val="0"/>
        <w:snapToGrid w:val="0"/>
        <w:spacing w:after="160" w:line="360" w:lineRule="auto"/>
        <w:ind w:firstLine="420" w:firstLineChars="200"/>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应设计独立的外监测接收通道，可对阵面发射通道的幅相进行采集。</w:t>
      </w:r>
    </w:p>
    <w:p w:rsidR="00404A0D" w:rsidP="00404A0D">
      <w:pPr>
        <w:adjustRightInd w:val="0"/>
        <w:spacing w:line="360" w:lineRule="auto"/>
        <w:ind w:firstLine="480"/>
        <w:contextualSpacing/>
        <w:jc w:val="left"/>
        <w:textAlignment w:val="center"/>
        <w:rPr>
          <w:rFonts w:asciiTheme="minorEastAsia" w:hAnsiTheme="minorEastAsia"/>
          <w:b/>
          <w:snapToGrid w:val="0"/>
          <w:color w:val="000000" w:themeColor="text1"/>
          <w:kern w:val="0"/>
          <w:szCs w:val="21"/>
        </w:rPr>
      </w:pPr>
      <w:r>
        <w:rPr>
          <w:rFonts w:asciiTheme="minorEastAsia" w:hAnsiTheme="minorEastAsia" w:hint="eastAsia"/>
          <w:b/>
          <w:snapToGrid w:val="0"/>
          <w:color w:val="000000" w:themeColor="text1"/>
          <w:kern w:val="0"/>
          <w:szCs w:val="21"/>
        </w:rPr>
        <w:t>（10）</w:t>
      </w:r>
      <w:r>
        <w:rPr>
          <w:rFonts w:asciiTheme="minorEastAsia" w:hAnsiTheme="minorEastAsia"/>
          <w:b/>
          <w:snapToGrid w:val="0"/>
          <w:color w:val="000000" w:themeColor="text1"/>
          <w:kern w:val="0"/>
          <w:szCs w:val="21"/>
        </w:rPr>
        <w:t>双极化天线</w:t>
      </w:r>
    </w:p>
    <w:p w:rsidR="00404A0D" w:rsidP="00404A0D">
      <w:pPr>
        <w:widowControl/>
        <w:numPr>
          <w:ilvl w:val="0"/>
          <w:numId w:val="6"/>
        </w:numPr>
        <w:adjustRightInd w:val="0"/>
        <w:snapToGrid w:val="0"/>
        <w:spacing w:after="160" w:line="360" w:lineRule="auto"/>
        <w:ind w:firstLine="420" w:firstLineChars="200"/>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频率范围：2.7GHz～2.9GHz；</w:t>
      </w:r>
    </w:p>
    <w:p w:rsidR="00404A0D" w:rsidP="00404A0D">
      <w:pPr>
        <w:widowControl/>
        <w:numPr>
          <w:ilvl w:val="0"/>
          <w:numId w:val="6"/>
        </w:numPr>
        <w:adjustRightInd w:val="0"/>
        <w:snapToGrid w:val="0"/>
        <w:spacing w:after="160" w:line="360" w:lineRule="auto"/>
        <w:ind w:firstLine="420" w:firstLineChars="200"/>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极化方式：水平垂直双线极化。</w:t>
      </w:r>
    </w:p>
    <w:p w:rsidR="00404A0D" w:rsidP="00404A0D">
      <w:pPr>
        <w:keepNext/>
        <w:keepLines/>
        <w:widowControl/>
        <w:numPr>
          <w:ilvl w:val="0"/>
          <w:numId w:val="20"/>
        </w:numPr>
        <w:adjustRightInd w:val="0"/>
        <w:snapToGrid w:val="0"/>
        <w:spacing w:after="160" w:line="360" w:lineRule="auto"/>
        <w:ind w:firstLine="420" w:firstLineChars="200"/>
        <w:contextualSpacing/>
        <w:jc w:val="left"/>
        <w:outlineLvl w:val="4"/>
        <w:rPr>
          <w:rFonts w:asciiTheme="minorEastAsia" w:hAnsiTheme="minorEastAsia"/>
          <w:b/>
          <w:bCs/>
          <w:color w:val="000000" w:themeColor="text1"/>
          <w:szCs w:val="21"/>
        </w:rPr>
      </w:pPr>
      <w:r>
        <w:rPr>
          <w:rFonts w:asciiTheme="minorEastAsia" w:hAnsiTheme="minorEastAsia"/>
          <w:b/>
          <w:bCs/>
          <w:color w:val="000000" w:themeColor="text1"/>
          <w:szCs w:val="21"/>
        </w:rPr>
        <w:t>1.4、</w:t>
      </w:r>
      <w:r>
        <w:rPr>
          <w:rFonts w:asciiTheme="minorEastAsia" w:hAnsiTheme="minorEastAsia" w:hint="eastAsia"/>
          <w:b/>
          <w:bCs/>
          <w:color w:val="000000" w:themeColor="text1"/>
          <w:szCs w:val="21"/>
        </w:rPr>
        <w:t>远场地基测试验证系统</w:t>
      </w:r>
    </w:p>
    <w:p w:rsidR="00404A0D" w:rsidP="00404A0D">
      <w:pPr>
        <w:keepNext/>
        <w:keepLines/>
        <w:spacing w:line="360" w:lineRule="auto"/>
        <w:ind w:firstLine="420" w:firstLineChars="200"/>
        <w:contextualSpacing/>
        <w:outlineLvl w:val="5"/>
        <w:rPr>
          <w:rFonts w:asciiTheme="minorEastAsia" w:hAnsiTheme="minorEastAsia"/>
          <w:b/>
          <w:bCs/>
          <w:color w:val="000000" w:themeColor="text1"/>
          <w:szCs w:val="21"/>
        </w:rPr>
      </w:pPr>
      <w:r>
        <w:rPr>
          <w:rFonts w:asciiTheme="minorEastAsia" w:hAnsiTheme="minorEastAsia"/>
          <w:b/>
          <w:bCs/>
          <w:color w:val="000000" w:themeColor="text1"/>
          <w:szCs w:val="21"/>
        </w:rPr>
        <w:t>1.4.1、远场</w:t>
      </w:r>
      <w:r>
        <w:rPr>
          <w:rFonts w:asciiTheme="minorEastAsia" w:hAnsiTheme="minorEastAsia" w:hint="eastAsia"/>
          <w:b/>
          <w:bCs/>
          <w:color w:val="000000" w:themeColor="text1"/>
          <w:szCs w:val="21"/>
        </w:rPr>
        <w:t>测试验证设备</w:t>
      </w:r>
    </w:p>
    <w:p w:rsidR="00404A0D" w:rsidP="00404A0D">
      <w:pPr>
        <w:widowControl/>
        <w:adjustRightInd w:val="0"/>
        <w:spacing w:line="360" w:lineRule="auto"/>
        <w:ind w:firstLine="420" w:firstLineChars="200"/>
        <w:contextualSpacing/>
        <w:rPr>
          <w:rFonts w:asciiTheme="minorEastAsia" w:hAnsiTheme="minorEastAsia"/>
          <w:b/>
          <w:snapToGrid w:val="0"/>
          <w:color w:val="000000" w:themeColor="text1"/>
          <w:kern w:val="0"/>
          <w:szCs w:val="21"/>
        </w:rPr>
      </w:pPr>
      <w:r>
        <w:rPr>
          <w:rFonts w:asciiTheme="minorEastAsia" w:hAnsiTheme="minorEastAsia"/>
          <w:b/>
          <w:snapToGrid w:val="0"/>
          <w:color w:val="000000" w:themeColor="text1"/>
          <w:kern w:val="0"/>
          <w:szCs w:val="21"/>
        </w:rPr>
        <w:t>硬件组成</w:t>
      </w:r>
    </w:p>
    <w:p w:rsidR="00404A0D" w:rsidP="00404A0D">
      <w:pPr>
        <w:adjustRightInd w:val="0"/>
        <w:spacing w:line="360" w:lineRule="auto"/>
        <w:ind w:firstLine="420" w:firstLineChars="200"/>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远场测试和标校系统硬件主要包括：功率计、功分器、环形器、测试喇叭、喇叭控制设备和通信设备等设备。</w:t>
      </w:r>
    </w:p>
    <w:p w:rsidR="00404A0D" w:rsidP="00404A0D">
      <w:pPr>
        <w:widowControl/>
        <w:adjustRightInd w:val="0"/>
        <w:spacing w:line="360" w:lineRule="auto"/>
        <w:ind w:firstLine="420" w:firstLineChars="200"/>
        <w:contextualSpacing/>
        <w:rPr>
          <w:rFonts w:asciiTheme="minorEastAsia" w:hAnsiTheme="minorEastAsia"/>
          <w:b/>
          <w:snapToGrid w:val="0"/>
          <w:color w:val="000000" w:themeColor="text1"/>
          <w:kern w:val="0"/>
          <w:szCs w:val="21"/>
        </w:rPr>
      </w:pPr>
      <w:r>
        <w:rPr>
          <w:rFonts w:asciiTheme="minorEastAsia" w:hAnsiTheme="minorEastAsia"/>
          <w:b/>
          <w:snapToGrid w:val="0"/>
          <w:color w:val="000000" w:themeColor="text1"/>
          <w:kern w:val="0"/>
          <w:szCs w:val="21"/>
        </w:rPr>
        <w:t>指标要求</w:t>
      </w:r>
    </w:p>
    <w:p w:rsidR="00404A0D" w:rsidP="00404A0D">
      <w:pPr>
        <w:adjustRightInd w:val="0"/>
        <w:spacing w:line="360" w:lineRule="auto"/>
        <w:ind w:firstLine="420" w:firstLineChars="200"/>
        <w:contextualSpacing/>
        <w:jc w:val="left"/>
        <w:textAlignment w:val="center"/>
        <w:rPr>
          <w:rFonts w:asciiTheme="minorEastAsia" w:hAnsiTheme="minorEastAsia"/>
          <w:b/>
          <w:snapToGrid w:val="0"/>
          <w:color w:val="000000" w:themeColor="text1"/>
          <w:kern w:val="0"/>
          <w:szCs w:val="21"/>
        </w:rPr>
      </w:pPr>
      <w:r>
        <w:rPr>
          <w:rFonts w:asciiTheme="minorEastAsia" w:hAnsiTheme="minorEastAsia" w:hint="eastAsia"/>
          <w:b/>
          <w:snapToGrid w:val="0"/>
          <w:color w:val="000000" w:themeColor="text1"/>
          <w:kern w:val="0"/>
          <w:szCs w:val="21"/>
        </w:rPr>
        <w:t>#（11）</w:t>
      </w:r>
      <w:r>
        <w:rPr>
          <w:rFonts w:asciiTheme="minorEastAsia" w:hAnsiTheme="minorEastAsia"/>
          <w:b/>
          <w:snapToGrid w:val="0"/>
          <w:color w:val="000000" w:themeColor="text1"/>
          <w:kern w:val="0"/>
          <w:szCs w:val="21"/>
        </w:rPr>
        <w:t>环形器</w:t>
      </w:r>
      <w:r>
        <w:rPr>
          <w:rFonts w:asciiTheme="minorEastAsia" w:hAnsiTheme="minorEastAsia" w:hint="eastAsia"/>
          <w:b/>
          <w:snapToGrid w:val="0"/>
          <w:color w:val="000000" w:themeColor="text1"/>
          <w:kern w:val="0"/>
          <w:szCs w:val="21"/>
        </w:rPr>
        <w:t>和功分器</w:t>
      </w:r>
    </w:p>
    <w:p w:rsidR="00404A0D" w:rsidP="00404A0D">
      <w:pPr>
        <w:widowControl/>
        <w:numPr>
          <w:ilvl w:val="0"/>
          <w:numId w:val="7"/>
        </w:numPr>
        <w:adjustRightInd w:val="0"/>
        <w:snapToGrid w:val="0"/>
        <w:spacing w:after="160" w:line="360" w:lineRule="auto"/>
        <w:ind w:left="284" w:firstLine="281" w:firstLineChars="134"/>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频率范围 2.7GHz～2.9GHz</w:t>
      </w:r>
    </w:p>
    <w:p w:rsidR="00404A0D" w:rsidP="00404A0D">
      <w:pPr>
        <w:widowControl/>
        <w:numPr>
          <w:ilvl w:val="0"/>
          <w:numId w:val="7"/>
        </w:numPr>
        <w:adjustRightInd w:val="0"/>
        <w:snapToGrid w:val="0"/>
        <w:spacing w:after="160" w:line="360" w:lineRule="auto"/>
        <w:ind w:left="284" w:firstLine="281" w:firstLineChars="134"/>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驻波比 ≤1.25</w:t>
      </w:r>
    </w:p>
    <w:p w:rsidR="00404A0D" w:rsidP="00404A0D">
      <w:pPr>
        <w:widowControl/>
        <w:numPr>
          <w:ilvl w:val="0"/>
          <w:numId w:val="7"/>
        </w:numPr>
        <w:adjustRightInd w:val="0"/>
        <w:snapToGrid w:val="0"/>
        <w:spacing w:after="160" w:line="360" w:lineRule="auto"/>
        <w:ind w:left="284" w:firstLine="281" w:firstLineChars="134"/>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 xml:space="preserve">插损 ≤0.5dB </w:t>
      </w:r>
    </w:p>
    <w:p w:rsidR="00404A0D" w:rsidP="00404A0D">
      <w:pPr>
        <w:widowControl/>
        <w:numPr>
          <w:ilvl w:val="0"/>
          <w:numId w:val="7"/>
        </w:numPr>
        <w:adjustRightInd w:val="0"/>
        <w:snapToGrid w:val="0"/>
        <w:spacing w:after="160" w:line="360" w:lineRule="auto"/>
        <w:ind w:left="284" w:firstLine="281" w:firstLineChars="134"/>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 xml:space="preserve">端口隔离度 ≥20dB </w:t>
      </w:r>
    </w:p>
    <w:p w:rsidR="00404A0D" w:rsidP="00404A0D">
      <w:pPr>
        <w:widowControl/>
        <w:numPr>
          <w:ilvl w:val="0"/>
          <w:numId w:val="8"/>
        </w:numPr>
        <w:adjustRightInd w:val="0"/>
        <w:snapToGrid w:val="0"/>
        <w:spacing w:after="160" w:line="360" w:lineRule="auto"/>
        <w:ind w:left="284" w:firstLine="281" w:firstLineChars="134"/>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频率范围 2.7GHz～2.9GHz</w:t>
      </w:r>
    </w:p>
    <w:p w:rsidR="00404A0D" w:rsidP="00404A0D">
      <w:pPr>
        <w:widowControl/>
        <w:numPr>
          <w:ilvl w:val="0"/>
          <w:numId w:val="8"/>
        </w:numPr>
        <w:adjustRightInd w:val="0"/>
        <w:snapToGrid w:val="0"/>
        <w:spacing w:after="160" w:line="360" w:lineRule="auto"/>
        <w:ind w:left="284" w:firstLine="281" w:firstLineChars="134"/>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驻波比  ≤1.3</w:t>
      </w:r>
    </w:p>
    <w:p w:rsidR="00404A0D" w:rsidP="00404A0D">
      <w:pPr>
        <w:widowControl/>
        <w:numPr>
          <w:ilvl w:val="0"/>
          <w:numId w:val="8"/>
        </w:numPr>
        <w:adjustRightInd w:val="0"/>
        <w:snapToGrid w:val="0"/>
        <w:spacing w:after="160" w:line="360" w:lineRule="auto"/>
        <w:ind w:left="284" w:firstLine="281" w:firstLineChars="134"/>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 xml:space="preserve">插损 ≤0.5dB </w:t>
      </w:r>
    </w:p>
    <w:p w:rsidR="00404A0D" w:rsidP="00404A0D">
      <w:pPr>
        <w:widowControl/>
        <w:numPr>
          <w:ilvl w:val="0"/>
          <w:numId w:val="8"/>
        </w:numPr>
        <w:adjustRightInd w:val="0"/>
        <w:snapToGrid w:val="0"/>
        <w:spacing w:after="160" w:line="360" w:lineRule="auto"/>
        <w:ind w:left="284" w:firstLine="281" w:firstLineChars="134"/>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幅度一致性 ≤±0.1dB</w:t>
      </w:r>
    </w:p>
    <w:p w:rsidR="00404A0D" w:rsidP="00404A0D">
      <w:pPr>
        <w:widowControl/>
        <w:numPr>
          <w:ilvl w:val="0"/>
          <w:numId w:val="8"/>
        </w:numPr>
        <w:adjustRightInd w:val="0"/>
        <w:snapToGrid w:val="0"/>
        <w:spacing w:after="160" w:line="360" w:lineRule="auto"/>
        <w:ind w:left="284" w:firstLine="281" w:firstLineChars="134"/>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 xml:space="preserve">相位一致性 ≤±3° </w:t>
      </w:r>
    </w:p>
    <w:p w:rsidR="00404A0D" w:rsidP="00404A0D">
      <w:pPr>
        <w:widowControl/>
        <w:numPr>
          <w:ilvl w:val="0"/>
          <w:numId w:val="8"/>
        </w:numPr>
        <w:adjustRightInd w:val="0"/>
        <w:snapToGrid w:val="0"/>
        <w:spacing w:after="160" w:line="360" w:lineRule="auto"/>
        <w:ind w:left="284" w:firstLine="281" w:firstLineChars="134"/>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 xml:space="preserve">端口隔离度 ≥16dB </w:t>
      </w:r>
    </w:p>
    <w:p w:rsidR="00404A0D" w:rsidP="00404A0D">
      <w:pPr>
        <w:widowControl/>
        <w:numPr>
          <w:ilvl w:val="0"/>
          <w:numId w:val="8"/>
        </w:numPr>
        <w:adjustRightInd w:val="0"/>
        <w:snapToGrid w:val="0"/>
        <w:spacing w:after="160" w:line="360" w:lineRule="auto"/>
        <w:ind w:left="284" w:firstLine="281" w:firstLineChars="134"/>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承受功率 1W</w:t>
      </w:r>
    </w:p>
    <w:p w:rsidR="00404A0D" w:rsidP="00404A0D">
      <w:pPr>
        <w:adjustRightInd w:val="0"/>
        <w:spacing w:line="360" w:lineRule="auto"/>
        <w:ind w:firstLine="480"/>
        <w:contextualSpacing/>
        <w:jc w:val="left"/>
        <w:textAlignment w:val="center"/>
        <w:rPr>
          <w:rFonts w:asciiTheme="minorEastAsia" w:hAnsiTheme="minorEastAsia"/>
          <w:b/>
          <w:snapToGrid w:val="0"/>
          <w:color w:val="000000" w:themeColor="text1"/>
          <w:kern w:val="0"/>
          <w:szCs w:val="21"/>
        </w:rPr>
      </w:pPr>
      <w:r>
        <w:rPr>
          <w:rFonts w:asciiTheme="minorEastAsia" w:hAnsiTheme="minorEastAsia" w:hint="eastAsia"/>
          <w:b/>
          <w:snapToGrid w:val="0"/>
          <w:color w:val="000000" w:themeColor="text1"/>
          <w:kern w:val="0"/>
          <w:szCs w:val="21"/>
        </w:rPr>
        <w:t>（12）</w:t>
      </w:r>
      <w:r>
        <w:rPr>
          <w:rFonts w:asciiTheme="minorEastAsia" w:hAnsiTheme="minorEastAsia"/>
          <w:b/>
          <w:snapToGrid w:val="0"/>
          <w:color w:val="000000" w:themeColor="text1"/>
          <w:kern w:val="0"/>
          <w:szCs w:val="21"/>
        </w:rPr>
        <w:t>测试喇叭</w:t>
      </w:r>
      <w:r>
        <w:rPr>
          <w:rFonts w:asciiTheme="minorEastAsia" w:hAnsiTheme="minorEastAsia" w:hint="eastAsia"/>
          <w:b/>
          <w:snapToGrid w:val="0"/>
          <w:color w:val="000000" w:themeColor="text1"/>
          <w:kern w:val="0"/>
          <w:szCs w:val="21"/>
        </w:rPr>
        <w:t>和功率计</w:t>
      </w:r>
    </w:p>
    <w:p w:rsidR="00404A0D" w:rsidP="00404A0D">
      <w:pPr>
        <w:widowControl/>
        <w:numPr>
          <w:ilvl w:val="0"/>
          <w:numId w:val="7"/>
        </w:numPr>
        <w:adjustRightInd w:val="0"/>
        <w:snapToGrid w:val="0"/>
        <w:spacing w:after="160" w:line="360" w:lineRule="auto"/>
        <w:ind w:left="284" w:firstLine="281" w:firstLineChars="134"/>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频率范围  2.7GHz～2.9GHz</w:t>
      </w:r>
    </w:p>
    <w:p w:rsidR="00404A0D" w:rsidP="00404A0D">
      <w:pPr>
        <w:widowControl/>
        <w:numPr>
          <w:ilvl w:val="0"/>
          <w:numId w:val="7"/>
        </w:numPr>
        <w:adjustRightInd w:val="0"/>
        <w:snapToGrid w:val="0"/>
        <w:spacing w:after="160" w:line="360" w:lineRule="auto"/>
        <w:ind w:left="284" w:firstLine="281" w:firstLineChars="134"/>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驻波比≤1.5</w:t>
      </w:r>
    </w:p>
    <w:p w:rsidR="00404A0D" w:rsidP="00404A0D">
      <w:pPr>
        <w:widowControl/>
        <w:numPr>
          <w:ilvl w:val="0"/>
          <w:numId w:val="7"/>
        </w:numPr>
        <w:adjustRightInd w:val="0"/>
        <w:snapToGrid w:val="0"/>
        <w:spacing w:after="160" w:line="360" w:lineRule="auto"/>
        <w:ind w:left="284" w:firstLine="281" w:firstLineChars="134"/>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 xml:space="preserve">极化方式 双线极化 </w:t>
      </w:r>
    </w:p>
    <w:p w:rsidR="00404A0D" w:rsidP="00404A0D">
      <w:pPr>
        <w:widowControl/>
        <w:numPr>
          <w:ilvl w:val="0"/>
          <w:numId w:val="7"/>
        </w:numPr>
        <w:adjustRightInd w:val="0"/>
        <w:snapToGrid w:val="0"/>
        <w:spacing w:after="160" w:line="360" w:lineRule="auto"/>
        <w:ind w:left="284" w:firstLine="281" w:firstLineChars="134"/>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 xml:space="preserve">增益 ≥15dB  </w:t>
      </w:r>
    </w:p>
    <w:p w:rsidR="00404A0D" w:rsidP="00404A0D">
      <w:pPr>
        <w:widowControl/>
        <w:numPr>
          <w:ilvl w:val="0"/>
          <w:numId w:val="7"/>
        </w:numPr>
        <w:adjustRightInd w:val="0"/>
        <w:snapToGrid w:val="0"/>
        <w:spacing w:after="160" w:line="360" w:lineRule="auto"/>
        <w:ind w:left="284" w:firstLine="281" w:firstLineChars="134"/>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 xml:space="preserve">交叉极化隔离度 ≥40dB </w:t>
      </w:r>
    </w:p>
    <w:p w:rsidR="00404A0D" w:rsidP="00404A0D">
      <w:pPr>
        <w:widowControl/>
        <w:numPr>
          <w:ilvl w:val="0"/>
          <w:numId w:val="7"/>
        </w:numPr>
        <w:adjustRightInd w:val="0"/>
        <w:snapToGrid w:val="0"/>
        <w:spacing w:after="160" w:line="360" w:lineRule="auto"/>
        <w:ind w:left="284" w:firstLine="281" w:firstLineChars="134"/>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功率容限 100W</w:t>
      </w:r>
    </w:p>
    <w:p w:rsidR="00404A0D" w:rsidP="00404A0D">
      <w:pPr>
        <w:widowControl/>
        <w:numPr>
          <w:ilvl w:val="0"/>
          <w:numId w:val="7"/>
        </w:numPr>
        <w:adjustRightInd w:val="0"/>
        <w:snapToGrid w:val="0"/>
        <w:spacing w:after="160" w:line="360" w:lineRule="auto"/>
        <w:ind w:left="284" w:firstLine="281" w:firstLineChars="134"/>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频率范围 2.7GHz～2.9GHz</w:t>
      </w:r>
    </w:p>
    <w:p w:rsidR="00404A0D" w:rsidP="00404A0D">
      <w:pPr>
        <w:widowControl/>
        <w:numPr>
          <w:ilvl w:val="0"/>
          <w:numId w:val="7"/>
        </w:numPr>
        <w:adjustRightInd w:val="0"/>
        <w:snapToGrid w:val="0"/>
        <w:spacing w:after="160" w:line="360" w:lineRule="auto"/>
        <w:ind w:left="284" w:firstLine="281" w:firstLineChars="134"/>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功率测量最大值：≥100mW。</w:t>
      </w:r>
    </w:p>
    <w:p w:rsidR="00404A0D" w:rsidP="00404A0D">
      <w:pPr>
        <w:adjustRightInd w:val="0"/>
        <w:spacing w:line="360" w:lineRule="auto"/>
        <w:ind w:firstLine="480"/>
        <w:contextualSpacing/>
        <w:jc w:val="left"/>
        <w:textAlignment w:val="center"/>
        <w:rPr>
          <w:rFonts w:asciiTheme="minorEastAsia" w:hAnsiTheme="minorEastAsia"/>
          <w:b/>
          <w:snapToGrid w:val="0"/>
          <w:color w:val="000000" w:themeColor="text1"/>
          <w:kern w:val="0"/>
          <w:szCs w:val="21"/>
        </w:rPr>
      </w:pPr>
      <w:r>
        <w:rPr>
          <w:rFonts w:asciiTheme="minorEastAsia" w:hAnsiTheme="minorEastAsia"/>
          <w:b/>
          <w:snapToGrid w:val="0"/>
          <w:color w:val="000000" w:themeColor="text1"/>
          <w:kern w:val="0"/>
          <w:szCs w:val="21"/>
        </w:rPr>
        <w:t>通信设备</w:t>
      </w:r>
    </w:p>
    <w:p w:rsidR="00404A0D" w:rsidP="00404A0D">
      <w:pPr>
        <w:widowControl/>
        <w:numPr>
          <w:ilvl w:val="0"/>
          <w:numId w:val="7"/>
        </w:numPr>
        <w:adjustRightInd w:val="0"/>
        <w:snapToGrid w:val="0"/>
        <w:spacing w:after="160" w:line="360" w:lineRule="auto"/>
        <w:ind w:left="284" w:firstLine="281" w:firstLineChars="134"/>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通信带宽≥</w:t>
      </w:r>
      <w:r>
        <w:rPr>
          <w:rFonts w:asciiTheme="minorEastAsia" w:hAnsiTheme="minorEastAsia" w:hint="eastAsia"/>
          <w:bCs/>
          <w:snapToGrid w:val="0"/>
          <w:color w:val="000000" w:themeColor="text1"/>
          <w:kern w:val="0"/>
          <w:szCs w:val="21"/>
        </w:rPr>
        <w:t>10</w:t>
      </w:r>
      <w:r>
        <w:rPr>
          <w:rFonts w:asciiTheme="minorEastAsia" w:hAnsiTheme="minorEastAsia"/>
          <w:bCs/>
          <w:snapToGrid w:val="0"/>
          <w:color w:val="000000" w:themeColor="text1"/>
          <w:kern w:val="0"/>
          <w:szCs w:val="21"/>
        </w:rPr>
        <w:t>0Mb</w:t>
      </w:r>
    </w:p>
    <w:p w:rsidR="00404A0D" w:rsidP="00404A0D">
      <w:pPr>
        <w:keepNext/>
        <w:keepLines/>
        <w:spacing w:line="360" w:lineRule="auto"/>
        <w:ind w:firstLine="420" w:firstLineChars="200"/>
        <w:contextualSpacing/>
        <w:outlineLvl w:val="5"/>
        <w:rPr>
          <w:rFonts w:asciiTheme="minorEastAsia" w:hAnsiTheme="minorEastAsia"/>
          <w:b/>
          <w:bCs/>
          <w:color w:val="000000" w:themeColor="text1"/>
          <w:szCs w:val="21"/>
        </w:rPr>
      </w:pPr>
      <w:r>
        <w:rPr>
          <w:rFonts w:asciiTheme="minorEastAsia" w:hAnsiTheme="minorEastAsia" w:hint="eastAsia"/>
          <w:b/>
          <w:bCs/>
          <w:color w:val="000000" w:themeColor="text1"/>
          <w:szCs w:val="21"/>
        </w:rPr>
        <w:t>（13）铁塔及配套工程</w:t>
      </w:r>
    </w:p>
    <w:p w:rsidR="00404A0D" w:rsidP="00404A0D">
      <w:pPr>
        <w:widowControl/>
        <w:numPr>
          <w:ilvl w:val="0"/>
          <w:numId w:val="7"/>
        </w:numPr>
        <w:adjustRightInd w:val="0"/>
        <w:snapToGrid w:val="0"/>
        <w:spacing w:after="160" w:line="360" w:lineRule="auto"/>
        <w:ind w:left="284" w:firstLine="281" w:firstLineChars="134"/>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hint="eastAsia"/>
          <w:bCs/>
          <w:snapToGrid w:val="0"/>
          <w:color w:val="000000" w:themeColor="text1"/>
          <w:kern w:val="0"/>
          <w:szCs w:val="21"/>
        </w:rPr>
        <w:t>铁塔工程</w:t>
      </w:r>
    </w:p>
    <w:p w:rsidR="00404A0D" w:rsidP="00404A0D">
      <w:pPr>
        <w:adjustRightInd w:val="0"/>
        <w:spacing w:line="360" w:lineRule="auto"/>
        <w:ind w:firstLine="420" w:firstLineChars="200"/>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hint="eastAsia"/>
          <w:bCs/>
          <w:snapToGrid w:val="0"/>
          <w:color w:val="000000" w:themeColor="text1"/>
          <w:kern w:val="0"/>
          <w:szCs w:val="21"/>
        </w:rPr>
        <w:t>10米至20米铁塔，符合中华人民共和国气象行业标准《天气雷达钢塔技术要求》（QX/T 588-2020）的相关规定和要求。</w:t>
      </w:r>
    </w:p>
    <w:p w:rsidR="00404A0D" w:rsidP="00404A0D">
      <w:pPr>
        <w:widowControl/>
        <w:numPr>
          <w:ilvl w:val="0"/>
          <w:numId w:val="7"/>
        </w:numPr>
        <w:adjustRightInd w:val="0"/>
        <w:snapToGrid w:val="0"/>
        <w:spacing w:after="160" w:line="360" w:lineRule="auto"/>
        <w:ind w:left="284" w:firstLine="281" w:firstLineChars="134"/>
        <w:contextualSpacing/>
        <w:jc w:val="left"/>
        <w:textAlignment w:val="center"/>
        <w:rPr>
          <w:rFonts w:asciiTheme="minorEastAsia" w:hAnsiTheme="minorEastAsia"/>
          <w:bCs/>
          <w:snapToGrid w:val="0"/>
          <w:color w:val="000000" w:themeColor="text1"/>
          <w:kern w:val="0"/>
          <w:szCs w:val="21"/>
        </w:rPr>
      </w:pPr>
      <w:r>
        <w:rPr>
          <w:rFonts w:asciiTheme="minorEastAsia" w:hAnsiTheme="minorEastAsia" w:hint="eastAsia"/>
          <w:bCs/>
          <w:snapToGrid w:val="0"/>
          <w:color w:val="000000" w:themeColor="text1"/>
          <w:kern w:val="0"/>
          <w:szCs w:val="21"/>
        </w:rPr>
        <w:t>设备及配套工程</w:t>
      </w:r>
    </w:p>
    <w:p w:rsidR="00404A0D" w:rsidP="00404A0D">
      <w:pPr>
        <w:widowControl/>
        <w:adjustRightInd w:val="0"/>
        <w:spacing w:line="360" w:lineRule="auto"/>
        <w:ind w:firstLine="420" w:firstLineChars="200"/>
        <w:contextualSpacing/>
        <w:rPr>
          <w:rFonts w:asciiTheme="minorEastAsia" w:hAnsiTheme="minorEastAsia"/>
          <w:bCs/>
          <w:snapToGrid w:val="0"/>
          <w:color w:val="000000" w:themeColor="text1"/>
          <w:kern w:val="0"/>
          <w:szCs w:val="21"/>
        </w:rPr>
      </w:pPr>
      <w:r>
        <w:rPr>
          <w:rFonts w:asciiTheme="minorEastAsia" w:hAnsiTheme="minorEastAsia" w:hint="eastAsia"/>
          <w:bCs/>
          <w:snapToGrid w:val="0"/>
          <w:color w:val="000000" w:themeColor="text1"/>
          <w:kern w:val="0"/>
          <w:szCs w:val="21"/>
        </w:rPr>
        <w:t>2*3*2.3米天线罩，含照明、插座、静电地板、3P空调2台（塔顶1台）、除湿机1台、UPS电源（备电时长1小时）、壁挂配电箱、消防器材、机房内走线架、动环监控、防雷符合设备要求且出具有资质的第三方检测报告。</w:t>
      </w:r>
    </w:p>
    <w:p w:rsidR="00404A0D" w:rsidRPr="000802B4" w:rsidP="00404A0D">
      <w:pPr>
        <w:keepNext/>
        <w:keepLines/>
        <w:spacing w:line="360" w:lineRule="auto"/>
        <w:contextualSpacing/>
        <w:outlineLvl w:val="3"/>
        <w:rPr>
          <w:rFonts w:asciiTheme="minorEastAsia" w:hAnsiTheme="minorEastAsia"/>
          <w:b/>
          <w:bCs/>
          <w:color w:val="000000" w:themeColor="text1"/>
          <w:szCs w:val="21"/>
        </w:rPr>
      </w:pPr>
      <w:r w:rsidRPr="000802B4">
        <w:rPr>
          <w:rFonts w:asciiTheme="minorEastAsia" w:hAnsiTheme="minorEastAsia" w:hint="eastAsia"/>
          <w:b/>
          <w:bCs/>
          <w:color w:val="000000" w:themeColor="text1"/>
          <w:szCs w:val="21"/>
        </w:rPr>
        <w:t>2</w:t>
      </w:r>
      <w:r w:rsidRPr="000802B4">
        <w:rPr>
          <w:rFonts w:asciiTheme="minorEastAsia" w:hAnsiTheme="minorEastAsia"/>
          <w:b/>
          <w:bCs/>
          <w:color w:val="000000" w:themeColor="text1"/>
          <w:szCs w:val="21"/>
        </w:rPr>
        <w:t>、新技术应用</w:t>
      </w:r>
    </w:p>
    <w:p w:rsidR="00404A0D" w:rsidP="00404A0D">
      <w:pPr>
        <w:keepNext/>
        <w:keepLines/>
        <w:widowControl/>
        <w:numPr>
          <w:ilvl w:val="0"/>
          <w:numId w:val="20"/>
        </w:numPr>
        <w:adjustRightInd w:val="0"/>
        <w:snapToGrid w:val="0"/>
        <w:spacing w:after="160" w:line="360" w:lineRule="auto"/>
        <w:ind w:firstLine="420" w:firstLineChars="200"/>
        <w:contextualSpacing/>
        <w:jc w:val="left"/>
        <w:outlineLvl w:val="4"/>
        <w:rPr>
          <w:rFonts w:asciiTheme="minorEastAsia" w:hAnsiTheme="minorEastAsia"/>
          <w:b/>
          <w:bCs/>
          <w:color w:val="000000" w:themeColor="text1"/>
          <w:szCs w:val="21"/>
        </w:rPr>
      </w:pPr>
      <w:r>
        <w:rPr>
          <w:rFonts w:asciiTheme="minorEastAsia" w:hAnsiTheme="minorEastAsia" w:hint="eastAsia"/>
          <w:b/>
          <w:bCs/>
          <w:color w:val="000000" w:themeColor="text1"/>
          <w:szCs w:val="21"/>
        </w:rPr>
        <w:t>（14）</w:t>
      </w:r>
      <w:r>
        <w:rPr>
          <w:rFonts w:asciiTheme="minorEastAsia" w:hAnsiTheme="minorEastAsia"/>
          <w:b/>
          <w:bCs/>
          <w:color w:val="000000" w:themeColor="text1"/>
          <w:szCs w:val="21"/>
        </w:rPr>
        <w:t>雷达新技术应用</w:t>
      </w:r>
    </w:p>
    <w:p w:rsidR="00404A0D" w:rsidP="00404A0D">
      <w:pPr>
        <w:tabs>
          <w:tab w:val="left" w:pos="360"/>
        </w:tabs>
        <w:spacing w:line="360" w:lineRule="auto"/>
        <w:ind w:firstLine="420" w:firstLineChars="200"/>
        <w:contextualSpacing/>
        <w:rPr>
          <w:rFonts w:asciiTheme="minorEastAsia" w:hAnsiTheme="minorEastAsia"/>
          <w:color w:val="000000" w:themeColor="text1"/>
          <w:kern w:val="0"/>
          <w:szCs w:val="21"/>
        </w:rPr>
      </w:pPr>
      <w:r>
        <w:rPr>
          <w:rFonts w:asciiTheme="minorEastAsia" w:hAnsiTheme="minorEastAsia" w:hint="eastAsia"/>
          <w:color w:val="000000" w:themeColor="text1"/>
          <w:kern w:val="0"/>
          <w:szCs w:val="21"/>
        </w:rPr>
        <w:t>研制</w:t>
      </w:r>
      <w:r>
        <w:rPr>
          <w:rFonts w:asciiTheme="minorEastAsia" w:hAnsiTheme="minorEastAsia"/>
          <w:color w:val="000000" w:themeColor="text1"/>
          <w:kern w:val="0"/>
          <w:szCs w:val="21"/>
        </w:rPr>
        <w:t>基于芯片化射频前端的有源行馈天线，</w:t>
      </w:r>
      <w:r>
        <w:rPr>
          <w:rFonts w:asciiTheme="minorEastAsia" w:hAnsiTheme="minorEastAsia" w:hint="eastAsia"/>
          <w:color w:val="000000" w:themeColor="text1"/>
          <w:kern w:val="0"/>
          <w:szCs w:val="21"/>
        </w:rPr>
        <w:t>并</w:t>
      </w:r>
      <w:r>
        <w:rPr>
          <w:rFonts w:asciiTheme="minorEastAsia" w:hAnsiTheme="minorEastAsia"/>
          <w:color w:val="000000" w:themeColor="text1"/>
          <w:kern w:val="0"/>
          <w:szCs w:val="21"/>
        </w:rPr>
        <w:t>通过测试验证该天线的主要性能。其组成和功能如下：</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9"/>
        <w:gridCol w:w="1460"/>
        <w:gridCol w:w="3926"/>
        <w:gridCol w:w="709"/>
        <w:gridCol w:w="1708"/>
      </w:tblGrid>
      <w:tr w:rsidTr="00960A31">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94"/>
          <w:jc w:val="center"/>
        </w:trPr>
        <w:tc>
          <w:tcPr>
            <w:tcW w:w="719" w:type="dxa"/>
            <w:vAlign w:val="center"/>
          </w:tcPr>
          <w:p w:rsidR="00404A0D" w:rsidP="00960A31">
            <w:pPr>
              <w:tabs>
                <w:tab w:val="left" w:pos="360"/>
              </w:tabs>
              <w:spacing w:line="276" w:lineRule="auto"/>
              <w:contextualSpacing/>
              <w:jc w:val="center"/>
              <w:rPr>
                <w:rFonts w:asciiTheme="minorEastAsia" w:hAnsiTheme="minorEastAsia"/>
                <w:b/>
                <w:bCs/>
                <w:color w:val="000000" w:themeColor="text1"/>
                <w:kern w:val="0"/>
                <w:szCs w:val="21"/>
              </w:rPr>
            </w:pPr>
            <w:r>
              <w:rPr>
                <w:rFonts w:asciiTheme="minorEastAsia" w:hAnsiTheme="minorEastAsia"/>
                <w:b/>
                <w:bCs/>
                <w:color w:val="000000" w:themeColor="text1"/>
                <w:kern w:val="0"/>
                <w:szCs w:val="21"/>
              </w:rPr>
              <w:t>序号</w:t>
            </w:r>
          </w:p>
        </w:tc>
        <w:tc>
          <w:tcPr>
            <w:tcW w:w="1460" w:type="dxa"/>
            <w:vAlign w:val="center"/>
          </w:tcPr>
          <w:p w:rsidR="00404A0D" w:rsidP="00960A31">
            <w:pPr>
              <w:tabs>
                <w:tab w:val="left" w:pos="360"/>
              </w:tabs>
              <w:spacing w:line="276" w:lineRule="auto"/>
              <w:contextualSpacing/>
              <w:jc w:val="center"/>
              <w:rPr>
                <w:rFonts w:asciiTheme="minorEastAsia" w:hAnsiTheme="minorEastAsia"/>
                <w:b/>
                <w:bCs/>
                <w:color w:val="000000" w:themeColor="text1"/>
                <w:kern w:val="0"/>
                <w:szCs w:val="21"/>
              </w:rPr>
            </w:pPr>
            <w:r>
              <w:rPr>
                <w:rFonts w:asciiTheme="minorEastAsia" w:hAnsiTheme="minorEastAsia"/>
                <w:b/>
                <w:bCs/>
                <w:color w:val="000000" w:themeColor="text1"/>
                <w:kern w:val="0"/>
                <w:szCs w:val="21"/>
              </w:rPr>
              <w:t>名称</w:t>
            </w:r>
          </w:p>
        </w:tc>
        <w:tc>
          <w:tcPr>
            <w:tcW w:w="3926" w:type="dxa"/>
            <w:vAlign w:val="center"/>
          </w:tcPr>
          <w:p w:rsidR="00404A0D" w:rsidP="00960A31">
            <w:pPr>
              <w:tabs>
                <w:tab w:val="left" w:pos="360"/>
              </w:tabs>
              <w:spacing w:line="276" w:lineRule="auto"/>
              <w:contextualSpacing/>
              <w:jc w:val="center"/>
              <w:rPr>
                <w:rFonts w:asciiTheme="minorEastAsia" w:hAnsiTheme="minorEastAsia"/>
                <w:b/>
                <w:bCs/>
                <w:color w:val="000000" w:themeColor="text1"/>
                <w:kern w:val="0"/>
                <w:szCs w:val="21"/>
              </w:rPr>
            </w:pPr>
            <w:r>
              <w:rPr>
                <w:rFonts w:asciiTheme="minorEastAsia" w:hAnsiTheme="minorEastAsia"/>
                <w:b/>
                <w:bCs/>
                <w:color w:val="000000" w:themeColor="text1"/>
                <w:kern w:val="0"/>
                <w:szCs w:val="21"/>
              </w:rPr>
              <w:t>功能规格</w:t>
            </w:r>
          </w:p>
        </w:tc>
        <w:tc>
          <w:tcPr>
            <w:tcW w:w="709" w:type="dxa"/>
            <w:vAlign w:val="center"/>
          </w:tcPr>
          <w:p w:rsidR="00404A0D" w:rsidP="00960A31">
            <w:pPr>
              <w:tabs>
                <w:tab w:val="left" w:pos="360"/>
              </w:tabs>
              <w:spacing w:line="276" w:lineRule="auto"/>
              <w:contextualSpacing/>
              <w:jc w:val="center"/>
              <w:rPr>
                <w:rFonts w:asciiTheme="minorEastAsia" w:hAnsiTheme="minorEastAsia"/>
                <w:b/>
                <w:bCs/>
                <w:color w:val="000000" w:themeColor="text1"/>
                <w:kern w:val="0"/>
                <w:szCs w:val="21"/>
              </w:rPr>
            </w:pPr>
            <w:r>
              <w:rPr>
                <w:rFonts w:asciiTheme="minorEastAsia" w:hAnsiTheme="minorEastAsia"/>
                <w:b/>
                <w:bCs/>
                <w:color w:val="000000" w:themeColor="text1"/>
                <w:kern w:val="0"/>
                <w:szCs w:val="21"/>
              </w:rPr>
              <w:t>数量</w:t>
            </w:r>
          </w:p>
        </w:tc>
        <w:tc>
          <w:tcPr>
            <w:tcW w:w="1708" w:type="dxa"/>
            <w:vAlign w:val="center"/>
          </w:tcPr>
          <w:p w:rsidR="00404A0D" w:rsidP="00960A31">
            <w:pPr>
              <w:tabs>
                <w:tab w:val="left" w:pos="360"/>
              </w:tabs>
              <w:spacing w:line="276" w:lineRule="auto"/>
              <w:contextualSpacing/>
              <w:jc w:val="center"/>
              <w:rPr>
                <w:rFonts w:asciiTheme="minorEastAsia" w:hAnsiTheme="minorEastAsia"/>
                <w:b/>
                <w:bCs/>
                <w:color w:val="000000" w:themeColor="text1"/>
                <w:kern w:val="0"/>
                <w:szCs w:val="21"/>
              </w:rPr>
            </w:pPr>
            <w:r>
              <w:rPr>
                <w:rFonts w:asciiTheme="minorEastAsia" w:hAnsiTheme="minorEastAsia"/>
                <w:b/>
                <w:bCs/>
                <w:color w:val="000000" w:themeColor="text1"/>
                <w:kern w:val="0"/>
                <w:szCs w:val="21"/>
              </w:rPr>
              <w:t>备注</w:t>
            </w:r>
          </w:p>
        </w:tc>
      </w:tr>
      <w:tr w:rsidTr="00960A31">
        <w:tblPrEx>
          <w:tblW w:w="8522" w:type="dxa"/>
          <w:jc w:val="center"/>
          <w:tblLayout w:type="fixed"/>
          <w:tblLook w:val="04A0"/>
        </w:tblPrEx>
        <w:trPr>
          <w:jc w:val="center"/>
        </w:trPr>
        <w:tc>
          <w:tcPr>
            <w:tcW w:w="719" w:type="dxa"/>
            <w:vAlign w:val="center"/>
          </w:tcPr>
          <w:p w:rsidR="00404A0D" w:rsidP="00960A31">
            <w:pPr>
              <w:tabs>
                <w:tab w:val="left" w:pos="360"/>
              </w:tabs>
              <w:spacing w:line="276" w:lineRule="auto"/>
              <w:contextualSpacing/>
              <w:jc w:val="center"/>
              <w:rPr>
                <w:rFonts w:asciiTheme="minorEastAsia" w:hAnsiTheme="minorEastAsia"/>
                <w:color w:val="000000" w:themeColor="text1"/>
                <w:kern w:val="0"/>
                <w:szCs w:val="21"/>
              </w:rPr>
            </w:pPr>
            <w:r>
              <w:rPr>
                <w:rFonts w:asciiTheme="minorEastAsia" w:hAnsiTheme="minorEastAsia"/>
                <w:color w:val="000000" w:themeColor="text1"/>
                <w:kern w:val="0"/>
                <w:szCs w:val="21"/>
              </w:rPr>
              <w:t>1</w:t>
            </w:r>
          </w:p>
        </w:tc>
        <w:tc>
          <w:tcPr>
            <w:tcW w:w="1460" w:type="dxa"/>
            <w:vAlign w:val="center"/>
          </w:tcPr>
          <w:p w:rsidR="00404A0D" w:rsidP="00960A31">
            <w:pPr>
              <w:tabs>
                <w:tab w:val="left" w:pos="360"/>
              </w:tabs>
              <w:spacing w:line="276" w:lineRule="auto"/>
              <w:contextualSpacing/>
              <w:jc w:val="center"/>
              <w:rPr>
                <w:rFonts w:asciiTheme="minorEastAsia" w:hAnsiTheme="minorEastAsia"/>
                <w:color w:val="000000" w:themeColor="text1"/>
                <w:kern w:val="0"/>
                <w:szCs w:val="21"/>
              </w:rPr>
            </w:pPr>
            <w:r>
              <w:rPr>
                <w:rFonts w:asciiTheme="minorEastAsia" w:hAnsiTheme="minorEastAsia"/>
                <w:color w:val="000000" w:themeColor="text1"/>
                <w:kern w:val="0"/>
                <w:szCs w:val="21"/>
              </w:rPr>
              <w:t>有源行馈</w:t>
            </w:r>
          </w:p>
        </w:tc>
        <w:tc>
          <w:tcPr>
            <w:tcW w:w="3926" w:type="dxa"/>
            <w:vAlign w:val="center"/>
          </w:tcPr>
          <w:p w:rsidR="00404A0D" w:rsidP="00960A31">
            <w:pPr>
              <w:tabs>
                <w:tab w:val="left" w:pos="360"/>
              </w:tabs>
              <w:spacing w:line="276" w:lineRule="auto"/>
              <w:contextualSpacing/>
              <w:jc w:val="left"/>
              <w:rPr>
                <w:rFonts w:asciiTheme="minorEastAsia" w:hAnsiTheme="minorEastAsia"/>
                <w:color w:val="000000" w:themeColor="text1"/>
                <w:kern w:val="0"/>
                <w:szCs w:val="21"/>
              </w:rPr>
            </w:pPr>
            <w:r>
              <w:rPr>
                <w:rFonts w:asciiTheme="minorEastAsia" w:hAnsiTheme="minorEastAsia"/>
                <w:color w:val="000000" w:themeColor="text1"/>
                <w:kern w:val="0"/>
                <w:szCs w:val="21"/>
              </w:rPr>
              <w:t>双偏振一体化，单极化8个有源通道，采用不等子阵台阶加权实现低副瓣优化</w:t>
            </w:r>
          </w:p>
        </w:tc>
        <w:tc>
          <w:tcPr>
            <w:tcW w:w="709" w:type="dxa"/>
            <w:vAlign w:val="center"/>
          </w:tcPr>
          <w:p w:rsidR="00404A0D" w:rsidP="00960A31">
            <w:pPr>
              <w:tabs>
                <w:tab w:val="left" w:pos="360"/>
              </w:tabs>
              <w:spacing w:line="276" w:lineRule="auto"/>
              <w:contextualSpacing/>
              <w:jc w:val="center"/>
              <w:rPr>
                <w:rFonts w:asciiTheme="minorEastAsia" w:hAnsiTheme="minorEastAsia"/>
                <w:color w:val="000000" w:themeColor="text1"/>
                <w:kern w:val="0"/>
                <w:szCs w:val="21"/>
              </w:rPr>
            </w:pPr>
            <w:r>
              <w:rPr>
                <w:rFonts w:asciiTheme="minorEastAsia" w:hAnsiTheme="minorEastAsia"/>
                <w:color w:val="000000" w:themeColor="text1"/>
                <w:kern w:val="0"/>
                <w:szCs w:val="21"/>
              </w:rPr>
              <w:t>8</w:t>
            </w:r>
          </w:p>
        </w:tc>
        <w:tc>
          <w:tcPr>
            <w:tcW w:w="1708" w:type="dxa"/>
            <w:vMerge w:val="restart"/>
            <w:vAlign w:val="center"/>
          </w:tcPr>
          <w:p w:rsidR="00404A0D" w:rsidP="00960A31">
            <w:pPr>
              <w:widowControl/>
              <w:adjustRightInd w:val="0"/>
              <w:spacing w:line="276" w:lineRule="auto"/>
              <w:contextualSpacing/>
              <w:jc w:val="left"/>
              <w:rPr>
                <w:rFonts w:asciiTheme="minorEastAsia" w:hAnsiTheme="minorEastAsia"/>
                <w:bCs/>
                <w:snapToGrid w:val="0"/>
                <w:color w:val="000000" w:themeColor="text1"/>
                <w:kern w:val="0"/>
                <w:szCs w:val="21"/>
              </w:rPr>
            </w:pPr>
            <w:r>
              <w:rPr>
                <w:rFonts w:asciiTheme="minorEastAsia" w:hAnsiTheme="minorEastAsia"/>
                <w:bCs/>
                <w:snapToGrid w:val="0"/>
                <w:color w:val="000000" w:themeColor="text1"/>
                <w:kern w:val="0"/>
                <w:szCs w:val="21"/>
              </w:rPr>
              <w:t>俯仰一维数字相控阵，采用芯片</w:t>
            </w:r>
            <w:r>
              <w:rPr>
                <w:rFonts w:asciiTheme="minorEastAsia" w:hAnsiTheme="minorEastAsia"/>
                <w:bCs/>
                <w:snapToGrid w:val="0"/>
                <w:color w:val="000000" w:themeColor="text1"/>
                <w:kern w:val="0"/>
                <w:szCs w:val="21"/>
              </w:rPr>
              <w:t>化射频前段实现方位分布式有源；</w:t>
            </w:r>
            <w:r>
              <w:rPr>
                <w:rFonts w:asciiTheme="minorEastAsia" w:hAnsiTheme="minorEastAsia"/>
                <w:bCs/>
                <w:snapToGrid w:val="0"/>
                <w:color w:val="000000" w:themeColor="text1"/>
                <w:kern w:val="0"/>
                <w:szCs w:val="21"/>
              </w:rPr>
              <w:br/>
              <w:t>方位口径约为4米，波束宽度约为2度，副瓣电平优于-30dB。</w:t>
            </w:r>
          </w:p>
        </w:tc>
      </w:tr>
      <w:tr w:rsidTr="00960A31">
        <w:tblPrEx>
          <w:tblW w:w="8522" w:type="dxa"/>
          <w:jc w:val="center"/>
          <w:tblLayout w:type="fixed"/>
          <w:tblLook w:val="04A0"/>
        </w:tblPrEx>
        <w:trPr>
          <w:trHeight w:val="833"/>
          <w:jc w:val="center"/>
        </w:trPr>
        <w:tc>
          <w:tcPr>
            <w:tcW w:w="719" w:type="dxa"/>
            <w:vAlign w:val="center"/>
          </w:tcPr>
          <w:p w:rsidR="00404A0D" w:rsidP="00960A31">
            <w:pPr>
              <w:tabs>
                <w:tab w:val="left" w:pos="360"/>
              </w:tabs>
              <w:spacing w:line="276" w:lineRule="auto"/>
              <w:contextualSpacing/>
              <w:jc w:val="center"/>
              <w:rPr>
                <w:rFonts w:asciiTheme="minorEastAsia" w:hAnsiTheme="minorEastAsia"/>
                <w:color w:val="000000" w:themeColor="text1"/>
                <w:kern w:val="0"/>
                <w:szCs w:val="21"/>
              </w:rPr>
            </w:pPr>
            <w:r>
              <w:rPr>
                <w:rFonts w:asciiTheme="minorEastAsia" w:hAnsiTheme="minorEastAsia"/>
                <w:color w:val="000000" w:themeColor="text1"/>
                <w:kern w:val="0"/>
                <w:szCs w:val="21"/>
              </w:rPr>
              <w:t>2</w:t>
            </w:r>
          </w:p>
        </w:tc>
        <w:tc>
          <w:tcPr>
            <w:tcW w:w="1460" w:type="dxa"/>
            <w:vAlign w:val="center"/>
          </w:tcPr>
          <w:p w:rsidR="00404A0D" w:rsidP="00960A31">
            <w:pPr>
              <w:tabs>
                <w:tab w:val="left" w:pos="360"/>
              </w:tabs>
              <w:spacing w:line="276" w:lineRule="auto"/>
              <w:contextualSpacing/>
              <w:jc w:val="center"/>
              <w:rPr>
                <w:rFonts w:asciiTheme="minorEastAsia" w:hAnsiTheme="minorEastAsia"/>
                <w:color w:val="000000" w:themeColor="text1"/>
                <w:kern w:val="0"/>
                <w:szCs w:val="21"/>
              </w:rPr>
            </w:pPr>
            <w:r>
              <w:rPr>
                <w:rFonts w:asciiTheme="minorEastAsia" w:hAnsiTheme="minorEastAsia"/>
                <w:color w:val="000000" w:themeColor="text1"/>
                <w:kern w:val="0"/>
                <w:szCs w:val="21"/>
              </w:rPr>
              <w:t>数字组件</w:t>
            </w:r>
          </w:p>
        </w:tc>
        <w:tc>
          <w:tcPr>
            <w:tcW w:w="3926" w:type="dxa"/>
            <w:vAlign w:val="center"/>
          </w:tcPr>
          <w:p w:rsidR="00404A0D" w:rsidP="00960A31">
            <w:pPr>
              <w:tabs>
                <w:tab w:val="left" w:pos="360"/>
              </w:tabs>
              <w:spacing w:line="276" w:lineRule="auto"/>
              <w:contextualSpacing/>
              <w:jc w:val="left"/>
              <w:rPr>
                <w:rFonts w:asciiTheme="minorEastAsia" w:hAnsiTheme="minorEastAsia"/>
                <w:color w:val="000000" w:themeColor="text1"/>
                <w:kern w:val="0"/>
                <w:szCs w:val="21"/>
              </w:rPr>
            </w:pPr>
            <w:r>
              <w:rPr>
                <w:rFonts w:asciiTheme="minorEastAsia" w:hAnsiTheme="minorEastAsia"/>
                <w:color w:val="000000" w:themeColor="text1"/>
                <w:kern w:val="0"/>
                <w:szCs w:val="21"/>
              </w:rPr>
              <w:t>具备8通道数字收发能力，集成变频、DDS、DA等功能</w:t>
            </w:r>
          </w:p>
        </w:tc>
        <w:tc>
          <w:tcPr>
            <w:tcW w:w="709" w:type="dxa"/>
            <w:vAlign w:val="center"/>
          </w:tcPr>
          <w:p w:rsidR="00404A0D" w:rsidP="00960A31">
            <w:pPr>
              <w:tabs>
                <w:tab w:val="left" w:pos="360"/>
              </w:tabs>
              <w:spacing w:line="276" w:lineRule="auto"/>
              <w:contextualSpacing/>
              <w:jc w:val="center"/>
              <w:rPr>
                <w:rFonts w:asciiTheme="minorEastAsia" w:hAnsiTheme="minorEastAsia"/>
                <w:color w:val="000000" w:themeColor="text1"/>
                <w:kern w:val="0"/>
                <w:szCs w:val="21"/>
              </w:rPr>
            </w:pPr>
            <w:r>
              <w:rPr>
                <w:rFonts w:asciiTheme="minorEastAsia" w:hAnsiTheme="minorEastAsia"/>
                <w:color w:val="000000" w:themeColor="text1"/>
                <w:kern w:val="0"/>
                <w:szCs w:val="21"/>
              </w:rPr>
              <w:t>2</w:t>
            </w:r>
          </w:p>
        </w:tc>
        <w:tc>
          <w:tcPr>
            <w:tcW w:w="1708" w:type="dxa"/>
            <w:vMerge/>
            <w:vAlign w:val="center"/>
          </w:tcPr>
          <w:p w:rsidR="00404A0D" w:rsidP="00960A31">
            <w:pPr>
              <w:tabs>
                <w:tab w:val="left" w:pos="360"/>
              </w:tabs>
              <w:spacing w:line="276" w:lineRule="auto"/>
              <w:contextualSpacing/>
              <w:rPr>
                <w:rFonts w:asciiTheme="minorEastAsia" w:hAnsiTheme="minorEastAsia"/>
                <w:color w:val="000000" w:themeColor="text1"/>
                <w:kern w:val="0"/>
                <w:szCs w:val="21"/>
              </w:rPr>
            </w:pPr>
          </w:p>
        </w:tc>
      </w:tr>
      <w:tr w:rsidTr="00960A31">
        <w:tblPrEx>
          <w:tblW w:w="8522" w:type="dxa"/>
          <w:jc w:val="center"/>
          <w:tblLayout w:type="fixed"/>
          <w:tblLook w:val="04A0"/>
        </w:tblPrEx>
        <w:trPr>
          <w:jc w:val="center"/>
        </w:trPr>
        <w:tc>
          <w:tcPr>
            <w:tcW w:w="719" w:type="dxa"/>
            <w:vAlign w:val="center"/>
          </w:tcPr>
          <w:p w:rsidR="00404A0D" w:rsidP="00960A31">
            <w:pPr>
              <w:tabs>
                <w:tab w:val="left" w:pos="360"/>
              </w:tabs>
              <w:spacing w:line="276" w:lineRule="auto"/>
              <w:contextualSpacing/>
              <w:jc w:val="center"/>
              <w:rPr>
                <w:rFonts w:asciiTheme="minorEastAsia" w:hAnsiTheme="minorEastAsia"/>
                <w:color w:val="000000" w:themeColor="text1"/>
                <w:kern w:val="0"/>
                <w:szCs w:val="21"/>
              </w:rPr>
            </w:pPr>
            <w:r>
              <w:rPr>
                <w:rFonts w:asciiTheme="minorEastAsia" w:hAnsiTheme="minorEastAsia"/>
                <w:color w:val="000000" w:themeColor="text1"/>
                <w:kern w:val="0"/>
                <w:szCs w:val="21"/>
              </w:rPr>
              <w:t>3</w:t>
            </w:r>
          </w:p>
        </w:tc>
        <w:tc>
          <w:tcPr>
            <w:tcW w:w="1460" w:type="dxa"/>
            <w:vAlign w:val="center"/>
          </w:tcPr>
          <w:p w:rsidR="00404A0D" w:rsidP="00960A31">
            <w:pPr>
              <w:tabs>
                <w:tab w:val="left" w:pos="360"/>
              </w:tabs>
              <w:spacing w:line="276" w:lineRule="auto"/>
              <w:contextualSpacing/>
              <w:jc w:val="center"/>
              <w:rPr>
                <w:rFonts w:asciiTheme="minorEastAsia" w:hAnsiTheme="minorEastAsia"/>
                <w:color w:val="000000" w:themeColor="text1"/>
                <w:kern w:val="0"/>
                <w:szCs w:val="21"/>
              </w:rPr>
            </w:pPr>
            <w:r>
              <w:rPr>
                <w:rFonts w:asciiTheme="minorEastAsia" w:hAnsiTheme="minorEastAsia"/>
                <w:color w:val="000000" w:themeColor="text1"/>
                <w:kern w:val="0"/>
                <w:szCs w:val="21"/>
              </w:rPr>
              <w:t>频率综合</w:t>
            </w:r>
          </w:p>
        </w:tc>
        <w:tc>
          <w:tcPr>
            <w:tcW w:w="3926" w:type="dxa"/>
            <w:vAlign w:val="center"/>
          </w:tcPr>
          <w:p w:rsidR="00404A0D" w:rsidP="00960A31">
            <w:pPr>
              <w:tabs>
                <w:tab w:val="left" w:pos="360"/>
              </w:tabs>
              <w:spacing w:line="276" w:lineRule="auto"/>
              <w:contextualSpacing/>
              <w:jc w:val="left"/>
              <w:rPr>
                <w:rFonts w:asciiTheme="minorEastAsia" w:hAnsiTheme="minorEastAsia"/>
                <w:color w:val="000000" w:themeColor="text1"/>
                <w:kern w:val="0"/>
                <w:szCs w:val="21"/>
              </w:rPr>
            </w:pPr>
            <w:r>
              <w:rPr>
                <w:rFonts w:asciiTheme="minorEastAsia" w:hAnsiTheme="minorEastAsia"/>
                <w:color w:val="000000" w:themeColor="text1"/>
                <w:kern w:val="0"/>
                <w:szCs w:val="21"/>
              </w:rPr>
              <w:t>具备基准信号、本振信号产生及功放能力</w:t>
            </w:r>
          </w:p>
        </w:tc>
        <w:tc>
          <w:tcPr>
            <w:tcW w:w="709" w:type="dxa"/>
            <w:vAlign w:val="center"/>
          </w:tcPr>
          <w:p w:rsidR="00404A0D" w:rsidP="00960A31">
            <w:pPr>
              <w:tabs>
                <w:tab w:val="left" w:pos="360"/>
              </w:tabs>
              <w:spacing w:line="276" w:lineRule="auto"/>
              <w:contextualSpacing/>
              <w:jc w:val="center"/>
              <w:rPr>
                <w:rFonts w:asciiTheme="minorEastAsia" w:hAnsiTheme="minorEastAsia"/>
                <w:color w:val="000000" w:themeColor="text1"/>
                <w:kern w:val="0"/>
                <w:szCs w:val="21"/>
              </w:rPr>
            </w:pPr>
            <w:r>
              <w:rPr>
                <w:rFonts w:asciiTheme="minorEastAsia" w:hAnsiTheme="minorEastAsia"/>
                <w:color w:val="000000" w:themeColor="text1"/>
                <w:kern w:val="0"/>
                <w:szCs w:val="21"/>
              </w:rPr>
              <w:t>1</w:t>
            </w:r>
          </w:p>
        </w:tc>
        <w:tc>
          <w:tcPr>
            <w:tcW w:w="1708" w:type="dxa"/>
            <w:vMerge/>
            <w:vAlign w:val="center"/>
          </w:tcPr>
          <w:p w:rsidR="00404A0D" w:rsidP="00960A31">
            <w:pPr>
              <w:tabs>
                <w:tab w:val="left" w:pos="360"/>
              </w:tabs>
              <w:spacing w:line="276" w:lineRule="auto"/>
              <w:contextualSpacing/>
              <w:rPr>
                <w:rFonts w:asciiTheme="minorEastAsia" w:hAnsiTheme="minorEastAsia"/>
                <w:color w:val="000000" w:themeColor="text1"/>
                <w:kern w:val="0"/>
                <w:szCs w:val="21"/>
              </w:rPr>
            </w:pPr>
          </w:p>
        </w:tc>
      </w:tr>
      <w:tr w:rsidTr="00960A31">
        <w:tblPrEx>
          <w:tblW w:w="8522" w:type="dxa"/>
          <w:jc w:val="center"/>
          <w:tblLayout w:type="fixed"/>
          <w:tblLook w:val="04A0"/>
        </w:tblPrEx>
        <w:trPr>
          <w:jc w:val="center"/>
        </w:trPr>
        <w:tc>
          <w:tcPr>
            <w:tcW w:w="719" w:type="dxa"/>
            <w:vAlign w:val="center"/>
          </w:tcPr>
          <w:p w:rsidR="00404A0D" w:rsidP="00960A31">
            <w:pPr>
              <w:tabs>
                <w:tab w:val="left" w:pos="360"/>
              </w:tabs>
              <w:spacing w:line="276" w:lineRule="auto"/>
              <w:contextualSpacing/>
              <w:jc w:val="center"/>
              <w:rPr>
                <w:rFonts w:asciiTheme="minorEastAsia" w:hAnsiTheme="minorEastAsia"/>
                <w:color w:val="000000" w:themeColor="text1"/>
                <w:kern w:val="0"/>
                <w:szCs w:val="21"/>
              </w:rPr>
            </w:pPr>
            <w:r>
              <w:rPr>
                <w:rFonts w:asciiTheme="minorEastAsia" w:hAnsiTheme="minorEastAsia"/>
                <w:color w:val="000000" w:themeColor="text1"/>
                <w:kern w:val="0"/>
                <w:szCs w:val="21"/>
              </w:rPr>
              <w:t>4</w:t>
            </w:r>
          </w:p>
        </w:tc>
        <w:tc>
          <w:tcPr>
            <w:tcW w:w="1460" w:type="dxa"/>
            <w:vAlign w:val="center"/>
          </w:tcPr>
          <w:p w:rsidR="00404A0D" w:rsidP="00960A31">
            <w:pPr>
              <w:tabs>
                <w:tab w:val="left" w:pos="360"/>
              </w:tabs>
              <w:spacing w:line="276" w:lineRule="auto"/>
              <w:contextualSpacing/>
              <w:jc w:val="center"/>
              <w:rPr>
                <w:rFonts w:asciiTheme="minorEastAsia" w:hAnsiTheme="minorEastAsia"/>
                <w:color w:val="000000" w:themeColor="text1"/>
                <w:kern w:val="0"/>
                <w:szCs w:val="21"/>
              </w:rPr>
            </w:pPr>
            <w:r>
              <w:rPr>
                <w:rFonts w:asciiTheme="minorEastAsia" w:hAnsiTheme="minorEastAsia"/>
                <w:color w:val="000000" w:themeColor="text1"/>
                <w:kern w:val="0"/>
                <w:szCs w:val="21"/>
              </w:rPr>
              <w:t>综合网络</w:t>
            </w:r>
          </w:p>
        </w:tc>
        <w:tc>
          <w:tcPr>
            <w:tcW w:w="3926" w:type="dxa"/>
            <w:vAlign w:val="center"/>
          </w:tcPr>
          <w:p w:rsidR="00404A0D" w:rsidP="00960A31">
            <w:pPr>
              <w:tabs>
                <w:tab w:val="left" w:pos="360"/>
              </w:tabs>
              <w:spacing w:line="276" w:lineRule="auto"/>
              <w:contextualSpacing/>
              <w:jc w:val="left"/>
              <w:rPr>
                <w:rFonts w:asciiTheme="minorEastAsia" w:hAnsiTheme="minorEastAsia"/>
                <w:color w:val="000000" w:themeColor="text1"/>
                <w:kern w:val="0"/>
                <w:szCs w:val="21"/>
              </w:rPr>
            </w:pPr>
            <w:r>
              <w:rPr>
                <w:rFonts w:asciiTheme="minorEastAsia" w:hAnsiTheme="minorEastAsia"/>
                <w:color w:val="000000" w:themeColor="text1"/>
                <w:kern w:val="0"/>
                <w:szCs w:val="21"/>
              </w:rPr>
              <w:t>提供激励信号传输、基准信号传输、本振信号传输、供电传输、控制传输、BIT传输等功能</w:t>
            </w:r>
          </w:p>
        </w:tc>
        <w:tc>
          <w:tcPr>
            <w:tcW w:w="709" w:type="dxa"/>
            <w:vAlign w:val="center"/>
          </w:tcPr>
          <w:p w:rsidR="00404A0D" w:rsidP="00960A31">
            <w:pPr>
              <w:tabs>
                <w:tab w:val="left" w:pos="360"/>
              </w:tabs>
              <w:spacing w:line="276" w:lineRule="auto"/>
              <w:contextualSpacing/>
              <w:jc w:val="center"/>
              <w:rPr>
                <w:rFonts w:asciiTheme="minorEastAsia" w:hAnsiTheme="minorEastAsia"/>
                <w:color w:val="000000" w:themeColor="text1"/>
                <w:kern w:val="0"/>
                <w:szCs w:val="21"/>
              </w:rPr>
            </w:pPr>
            <w:r>
              <w:rPr>
                <w:rFonts w:asciiTheme="minorEastAsia" w:hAnsiTheme="minorEastAsia"/>
                <w:color w:val="000000" w:themeColor="text1"/>
                <w:kern w:val="0"/>
                <w:szCs w:val="21"/>
              </w:rPr>
              <w:t>1</w:t>
            </w:r>
          </w:p>
        </w:tc>
        <w:tc>
          <w:tcPr>
            <w:tcW w:w="1708" w:type="dxa"/>
            <w:vMerge/>
            <w:vAlign w:val="center"/>
          </w:tcPr>
          <w:p w:rsidR="00404A0D" w:rsidP="00960A31">
            <w:pPr>
              <w:tabs>
                <w:tab w:val="left" w:pos="360"/>
              </w:tabs>
              <w:spacing w:line="276" w:lineRule="auto"/>
              <w:contextualSpacing/>
              <w:rPr>
                <w:rFonts w:asciiTheme="minorEastAsia" w:hAnsiTheme="minorEastAsia"/>
                <w:color w:val="000000" w:themeColor="text1"/>
                <w:kern w:val="0"/>
                <w:szCs w:val="21"/>
              </w:rPr>
            </w:pPr>
          </w:p>
        </w:tc>
      </w:tr>
      <w:tr w:rsidTr="00960A31">
        <w:tblPrEx>
          <w:tblW w:w="8522" w:type="dxa"/>
          <w:jc w:val="center"/>
          <w:tblLayout w:type="fixed"/>
          <w:tblLook w:val="04A0"/>
        </w:tblPrEx>
        <w:trPr>
          <w:jc w:val="center"/>
        </w:trPr>
        <w:tc>
          <w:tcPr>
            <w:tcW w:w="719" w:type="dxa"/>
            <w:vAlign w:val="center"/>
          </w:tcPr>
          <w:p w:rsidR="00404A0D" w:rsidP="00960A31">
            <w:pPr>
              <w:tabs>
                <w:tab w:val="left" w:pos="360"/>
              </w:tabs>
              <w:spacing w:line="276" w:lineRule="auto"/>
              <w:contextualSpacing/>
              <w:jc w:val="center"/>
              <w:rPr>
                <w:rFonts w:asciiTheme="minorEastAsia" w:hAnsiTheme="minorEastAsia"/>
                <w:color w:val="000000" w:themeColor="text1"/>
                <w:kern w:val="0"/>
                <w:szCs w:val="21"/>
              </w:rPr>
            </w:pPr>
            <w:r>
              <w:rPr>
                <w:rFonts w:asciiTheme="minorEastAsia" w:hAnsiTheme="minorEastAsia"/>
                <w:color w:val="000000" w:themeColor="text1"/>
                <w:kern w:val="0"/>
                <w:szCs w:val="21"/>
              </w:rPr>
              <w:t>5</w:t>
            </w:r>
          </w:p>
        </w:tc>
        <w:tc>
          <w:tcPr>
            <w:tcW w:w="1460" w:type="dxa"/>
            <w:vAlign w:val="center"/>
          </w:tcPr>
          <w:p w:rsidR="00404A0D" w:rsidP="00960A31">
            <w:pPr>
              <w:tabs>
                <w:tab w:val="left" w:pos="360"/>
              </w:tabs>
              <w:spacing w:line="276" w:lineRule="auto"/>
              <w:contextualSpacing/>
              <w:jc w:val="center"/>
              <w:rPr>
                <w:rFonts w:asciiTheme="minorEastAsia" w:hAnsiTheme="minorEastAsia"/>
                <w:color w:val="000000" w:themeColor="text1"/>
                <w:kern w:val="0"/>
                <w:szCs w:val="21"/>
              </w:rPr>
            </w:pPr>
            <w:r>
              <w:rPr>
                <w:rFonts w:asciiTheme="minorEastAsia" w:hAnsiTheme="minorEastAsia"/>
                <w:color w:val="000000" w:themeColor="text1"/>
                <w:kern w:val="0"/>
                <w:szCs w:val="21"/>
              </w:rPr>
              <w:t>天线骨架等结构件</w:t>
            </w:r>
          </w:p>
        </w:tc>
        <w:tc>
          <w:tcPr>
            <w:tcW w:w="3926" w:type="dxa"/>
            <w:vAlign w:val="center"/>
          </w:tcPr>
          <w:p w:rsidR="00404A0D" w:rsidP="00960A31">
            <w:pPr>
              <w:tabs>
                <w:tab w:val="left" w:pos="360"/>
              </w:tabs>
              <w:spacing w:line="276" w:lineRule="auto"/>
              <w:contextualSpacing/>
              <w:jc w:val="left"/>
              <w:rPr>
                <w:rFonts w:asciiTheme="minorEastAsia" w:hAnsiTheme="minorEastAsia"/>
                <w:color w:val="000000" w:themeColor="text1"/>
                <w:kern w:val="0"/>
                <w:szCs w:val="21"/>
              </w:rPr>
            </w:pPr>
            <w:r>
              <w:rPr>
                <w:rFonts w:asciiTheme="minorEastAsia" w:hAnsiTheme="minorEastAsia"/>
                <w:color w:val="000000" w:themeColor="text1"/>
                <w:kern w:val="0"/>
                <w:szCs w:val="21"/>
              </w:rPr>
              <w:t>作为天线装配及支撑结构，保证阵面装配精度及工作形态稳定。</w:t>
            </w:r>
          </w:p>
        </w:tc>
        <w:tc>
          <w:tcPr>
            <w:tcW w:w="709" w:type="dxa"/>
            <w:vAlign w:val="center"/>
          </w:tcPr>
          <w:p w:rsidR="00404A0D" w:rsidP="00960A31">
            <w:pPr>
              <w:tabs>
                <w:tab w:val="left" w:pos="360"/>
              </w:tabs>
              <w:spacing w:line="276" w:lineRule="auto"/>
              <w:contextualSpacing/>
              <w:jc w:val="center"/>
              <w:rPr>
                <w:rFonts w:asciiTheme="minorEastAsia" w:hAnsiTheme="minorEastAsia"/>
                <w:color w:val="000000" w:themeColor="text1"/>
                <w:kern w:val="0"/>
                <w:szCs w:val="21"/>
              </w:rPr>
            </w:pPr>
            <w:r>
              <w:rPr>
                <w:rFonts w:asciiTheme="minorEastAsia" w:hAnsiTheme="minorEastAsia"/>
                <w:color w:val="000000" w:themeColor="text1"/>
                <w:kern w:val="0"/>
                <w:szCs w:val="21"/>
              </w:rPr>
              <w:t>1</w:t>
            </w:r>
          </w:p>
        </w:tc>
        <w:tc>
          <w:tcPr>
            <w:tcW w:w="1708" w:type="dxa"/>
            <w:vMerge/>
            <w:vAlign w:val="center"/>
          </w:tcPr>
          <w:p w:rsidR="00404A0D" w:rsidP="00960A31">
            <w:pPr>
              <w:tabs>
                <w:tab w:val="left" w:pos="360"/>
              </w:tabs>
              <w:spacing w:line="276" w:lineRule="auto"/>
              <w:contextualSpacing/>
              <w:rPr>
                <w:rFonts w:asciiTheme="minorEastAsia" w:hAnsiTheme="minorEastAsia"/>
                <w:color w:val="000000" w:themeColor="text1"/>
                <w:kern w:val="0"/>
                <w:szCs w:val="21"/>
              </w:rPr>
            </w:pPr>
          </w:p>
        </w:tc>
      </w:tr>
    </w:tbl>
    <w:p w:rsidR="00404A0D" w:rsidP="00404A0D">
      <w:pPr>
        <w:adjustRightInd w:val="0"/>
        <w:spacing w:line="276" w:lineRule="auto"/>
        <w:contextualSpacing/>
        <w:jc w:val="left"/>
        <w:textAlignment w:val="center"/>
        <w:rPr>
          <w:bCs/>
          <w:snapToGrid w:val="0"/>
          <w:color w:val="000000" w:themeColor="text1"/>
          <w:kern w:val="0"/>
          <w:szCs w:val="21"/>
        </w:rPr>
      </w:pPr>
    </w:p>
    <w:p w:rsidR="00404A0D" w:rsidRPr="000802B4" w:rsidP="00404A0D">
      <w:pPr>
        <w:keepNext/>
        <w:keepLines/>
        <w:spacing w:line="480" w:lineRule="auto"/>
        <w:contextualSpacing/>
        <w:outlineLvl w:val="2"/>
        <w:rPr>
          <w:rFonts w:ascii="黑体" w:eastAsia="黑体" w:hAnsi="黑体"/>
          <w:b/>
          <w:bCs/>
          <w:color w:val="000000" w:themeColor="text1"/>
        </w:rPr>
      </w:pPr>
      <w:r w:rsidRPr="000802B4">
        <w:rPr>
          <w:rFonts w:ascii="黑体" w:eastAsia="黑体" w:hAnsi="黑体" w:hint="eastAsia"/>
          <w:b/>
          <w:bCs/>
          <w:color w:val="000000" w:themeColor="text1"/>
          <w:sz w:val="24"/>
          <w:szCs w:val="24"/>
        </w:rPr>
        <w:t>四、检验考核要求</w:t>
      </w:r>
    </w:p>
    <w:p w:rsidR="00404A0D" w:rsidP="00404A0D">
      <w:pPr>
        <w:spacing w:line="360" w:lineRule="auto"/>
        <w:ind w:firstLine="420" w:firstLineChars="200"/>
        <w:rPr>
          <w:rFonts w:ascii="宋体" w:hAnsi="宋体"/>
          <w:szCs w:val="21"/>
        </w:rPr>
      </w:pPr>
      <w:r>
        <w:rPr>
          <w:rFonts w:ascii="宋体" w:hAnsi="宋体" w:hint="eastAsia"/>
          <w:szCs w:val="21"/>
        </w:rPr>
        <w:t>1、</w:t>
      </w:r>
      <w:r w:rsidRPr="00BC46AA">
        <w:rPr>
          <w:rFonts w:ascii="宋体" w:hAnsi="宋体" w:hint="eastAsia"/>
          <w:szCs w:val="21"/>
        </w:rPr>
        <w:t>产品质量</w:t>
      </w:r>
      <w:r>
        <w:rPr>
          <w:rFonts w:ascii="宋体" w:hAnsi="宋体" w:hint="eastAsia"/>
          <w:szCs w:val="21"/>
        </w:rPr>
        <w:t>保证</w:t>
      </w:r>
    </w:p>
    <w:p w:rsidR="00404A0D" w:rsidP="00404A0D">
      <w:pPr>
        <w:spacing w:line="360" w:lineRule="auto"/>
        <w:ind w:firstLine="420" w:firstLineChars="200"/>
        <w:rPr>
          <w:rFonts w:ascii="宋体" w:hAnsi="宋体"/>
          <w:szCs w:val="21"/>
        </w:rPr>
      </w:pPr>
      <w:r>
        <w:rPr>
          <w:rFonts w:ascii="宋体" w:hAnsi="宋体" w:hint="eastAsia"/>
          <w:szCs w:val="21"/>
        </w:rPr>
        <w:t>设备供应商需提供</w:t>
      </w:r>
      <w:r w:rsidRPr="00BC46AA">
        <w:rPr>
          <w:rFonts w:ascii="宋体" w:hAnsi="宋体" w:hint="eastAsia"/>
          <w:szCs w:val="21"/>
        </w:rPr>
        <w:t>产品质量管理方案</w:t>
      </w:r>
      <w:r>
        <w:rPr>
          <w:rFonts w:ascii="宋体" w:hAnsi="宋体" w:hint="eastAsia"/>
          <w:szCs w:val="21"/>
        </w:rPr>
        <w:t>，</w:t>
      </w:r>
      <w:r w:rsidRPr="00BC46AA">
        <w:rPr>
          <w:rFonts w:ascii="宋体" w:hAnsi="宋体" w:hint="eastAsia"/>
          <w:szCs w:val="21"/>
        </w:rPr>
        <w:t>方案全面系统，涵盖设计、生产、检验全流程；质量控制点明确，管理体系健全，控制措施完善；</w:t>
      </w:r>
      <w:r>
        <w:rPr>
          <w:rFonts w:ascii="宋体" w:hAnsi="宋体" w:hint="eastAsia"/>
          <w:szCs w:val="21"/>
        </w:rPr>
        <w:t>并</w:t>
      </w:r>
      <w:r w:rsidRPr="00BC46AA">
        <w:rPr>
          <w:rFonts w:ascii="宋体" w:hAnsi="宋体" w:hint="eastAsia"/>
          <w:szCs w:val="21"/>
        </w:rPr>
        <w:t>提供投标产品质量保证承诺</w:t>
      </w:r>
      <w:r>
        <w:rPr>
          <w:rFonts w:ascii="宋体" w:hAnsi="宋体" w:hint="eastAsia"/>
          <w:szCs w:val="21"/>
        </w:rPr>
        <w:t>；</w:t>
      </w:r>
    </w:p>
    <w:p w:rsidR="00404A0D" w:rsidP="00404A0D">
      <w:pPr>
        <w:spacing w:line="360" w:lineRule="auto"/>
        <w:ind w:firstLine="420" w:firstLineChars="200"/>
        <w:rPr>
          <w:rFonts w:ascii="宋体" w:hAnsi="宋体"/>
          <w:szCs w:val="21"/>
        </w:rPr>
      </w:pPr>
      <w:r>
        <w:rPr>
          <w:rFonts w:ascii="宋体" w:hAnsi="宋体" w:hint="eastAsia"/>
          <w:szCs w:val="21"/>
        </w:rPr>
        <w:t>2、检验考核</w:t>
      </w:r>
    </w:p>
    <w:p w:rsidR="00404A0D" w:rsidP="00404A0D">
      <w:pPr>
        <w:spacing w:line="360" w:lineRule="auto"/>
        <w:ind w:firstLine="420" w:firstLineChars="200"/>
        <w:rPr>
          <w:rFonts w:ascii="宋体" w:hAnsi="宋体"/>
          <w:szCs w:val="21"/>
        </w:rPr>
      </w:pPr>
      <w:r>
        <w:rPr>
          <w:rFonts w:ascii="宋体" w:hAnsi="宋体" w:hint="eastAsia"/>
          <w:szCs w:val="21"/>
        </w:rPr>
        <w:t>交付的</w:t>
      </w:r>
      <w:r w:rsidRPr="006C2431">
        <w:rPr>
          <w:rFonts w:ascii="宋体" w:hAnsi="宋体" w:hint="eastAsia"/>
          <w:szCs w:val="21"/>
        </w:rPr>
        <w:t>S波段双偏振相控阵天气雷达测试标定与应用试验设备</w:t>
      </w:r>
      <w:r>
        <w:rPr>
          <w:rFonts w:ascii="宋体" w:hAnsi="宋体" w:hint="eastAsia"/>
          <w:szCs w:val="21"/>
        </w:rPr>
        <w:t>按照本需求书中第三项中所有技术标准条款内容的要求进行测试或检查。</w:t>
      </w:r>
    </w:p>
    <w:p w:rsidR="00404A0D" w:rsidRPr="000802B4" w:rsidP="00404A0D">
      <w:pPr>
        <w:keepNext/>
        <w:keepLines/>
        <w:spacing w:line="480" w:lineRule="auto"/>
        <w:contextualSpacing/>
        <w:outlineLvl w:val="2"/>
        <w:rPr>
          <w:rFonts w:ascii="黑体" w:eastAsia="黑体" w:hAnsi="黑体"/>
          <w:b/>
          <w:bCs/>
          <w:color w:val="000000" w:themeColor="text1"/>
        </w:rPr>
      </w:pPr>
      <w:r w:rsidRPr="000802B4">
        <w:rPr>
          <w:rFonts w:ascii="黑体" w:eastAsia="黑体" w:hAnsi="黑体" w:hint="eastAsia"/>
          <w:b/>
          <w:bCs/>
          <w:color w:val="000000" w:themeColor="text1"/>
          <w:sz w:val="24"/>
          <w:szCs w:val="24"/>
        </w:rPr>
        <w:t>五、</w:t>
      </w:r>
      <w:r>
        <w:rPr>
          <w:rFonts w:ascii="黑体" w:eastAsia="黑体" w:hAnsi="黑体" w:hint="eastAsia"/>
          <w:b/>
          <w:bCs/>
          <w:color w:val="000000" w:themeColor="text1"/>
          <w:sz w:val="24"/>
          <w:szCs w:val="24"/>
        </w:rPr>
        <w:t>售后</w:t>
      </w:r>
      <w:r w:rsidRPr="000802B4">
        <w:rPr>
          <w:rFonts w:ascii="黑体" w:eastAsia="黑体" w:hAnsi="黑体" w:hint="eastAsia"/>
          <w:b/>
          <w:bCs/>
          <w:color w:val="000000" w:themeColor="text1"/>
          <w:sz w:val="24"/>
          <w:szCs w:val="24"/>
        </w:rPr>
        <w:t>服务要求</w:t>
      </w:r>
    </w:p>
    <w:p w:rsidR="00404A0D" w:rsidP="00404A0D">
      <w:pPr>
        <w:spacing w:line="360" w:lineRule="auto"/>
        <w:ind w:firstLine="420" w:firstLineChars="200"/>
        <w:rPr>
          <w:rFonts w:ascii="宋体" w:hAnsi="宋体"/>
          <w:szCs w:val="21"/>
        </w:rPr>
      </w:pPr>
      <w:r w:rsidRPr="009E4A95">
        <w:rPr>
          <w:rFonts w:ascii="宋体" w:hAnsi="宋体" w:hint="eastAsia"/>
          <w:szCs w:val="21"/>
        </w:rPr>
        <w:t>设备供应商需提供详细售后服务方案，包括设备售后服务组织机构、人员组成、技术支持文档等。其中，售后服务组织机构设置合理，人员技术能力强，技术文档内容全面。</w:t>
      </w:r>
    </w:p>
    <w:p w:rsidR="00404A0D" w:rsidRPr="000802B4" w:rsidP="00404A0D">
      <w:pPr>
        <w:keepNext/>
        <w:keepLines/>
        <w:spacing w:line="480" w:lineRule="auto"/>
        <w:contextualSpacing/>
        <w:outlineLvl w:val="2"/>
        <w:rPr>
          <w:rFonts w:ascii="黑体" w:eastAsia="黑体" w:hAnsi="黑体"/>
          <w:b/>
          <w:bCs/>
          <w:color w:val="000000" w:themeColor="text1"/>
        </w:rPr>
      </w:pPr>
      <w:r>
        <w:rPr>
          <w:rFonts w:ascii="黑体" w:eastAsia="黑体" w:hAnsi="黑体" w:hint="eastAsia"/>
          <w:b/>
          <w:bCs/>
          <w:color w:val="000000" w:themeColor="text1"/>
          <w:sz w:val="24"/>
          <w:szCs w:val="24"/>
        </w:rPr>
        <w:t>六</w:t>
      </w:r>
      <w:r w:rsidRPr="000802B4">
        <w:rPr>
          <w:rFonts w:ascii="黑体" w:eastAsia="黑体" w:hAnsi="黑体" w:hint="eastAsia"/>
          <w:b/>
          <w:bCs/>
          <w:color w:val="000000" w:themeColor="text1"/>
          <w:sz w:val="24"/>
          <w:szCs w:val="24"/>
        </w:rPr>
        <w:t>、质保期服务要求</w:t>
      </w:r>
    </w:p>
    <w:p w:rsidR="00404A0D" w:rsidP="00404A0D">
      <w:pPr>
        <w:spacing w:line="276" w:lineRule="auto"/>
        <w:ind w:firstLine="420" w:firstLineChars="200"/>
        <w:contextualSpacing/>
        <w:rPr>
          <w:rFonts w:ascii="宋体" w:hAnsi="宋体"/>
          <w:szCs w:val="21"/>
        </w:rPr>
      </w:pPr>
      <w:r>
        <w:rPr>
          <w:rFonts w:ascii="宋体" w:hAnsi="宋体" w:hint="eastAsia"/>
          <w:szCs w:val="21"/>
        </w:rPr>
        <w:t>1、中标方对合同货物的质量保修期为设备通过现场验收之日起</w:t>
      </w:r>
      <w:r>
        <w:rPr>
          <w:rFonts w:ascii="宋体" w:hAnsi="宋体" w:hint="eastAsia"/>
          <w:szCs w:val="21"/>
          <w:u w:val="single"/>
        </w:rPr>
        <w:t xml:space="preserve"> 96 </w:t>
      </w:r>
      <w:r>
        <w:rPr>
          <w:rFonts w:ascii="宋体" w:hAnsi="宋体" w:hint="eastAsia"/>
          <w:szCs w:val="21"/>
        </w:rPr>
        <w:t>个月，由此产生的一切费用由中标方承担</w:t>
      </w:r>
    </w:p>
    <w:p w:rsidR="00404A0D" w:rsidP="00404A0D">
      <w:pPr>
        <w:spacing w:line="276" w:lineRule="auto"/>
        <w:ind w:firstLine="420" w:firstLineChars="200"/>
        <w:contextualSpacing/>
        <w:rPr>
          <w:rFonts w:ascii="宋体" w:hAnsi="宋体"/>
          <w:szCs w:val="21"/>
        </w:rPr>
      </w:pPr>
      <w:r>
        <w:rPr>
          <w:rFonts w:ascii="宋体" w:hAnsi="宋体" w:hint="eastAsia"/>
          <w:szCs w:val="21"/>
        </w:rPr>
        <w:t>2、中标方在合同货物的质量保修期内，免费为甲方提供合同货物的技术指导和维修服务服务的时间是：每周 7 天* 24 小时（工作时间）。</w:t>
      </w:r>
    </w:p>
    <w:p w:rsidR="00404A0D" w:rsidP="00404A0D">
      <w:pPr>
        <w:spacing w:line="276" w:lineRule="auto"/>
        <w:ind w:firstLine="420" w:firstLineChars="200"/>
        <w:contextualSpacing/>
        <w:rPr>
          <w:rFonts w:ascii="宋体" w:hAnsi="宋体"/>
          <w:szCs w:val="21"/>
        </w:rPr>
      </w:pPr>
      <w:r>
        <w:rPr>
          <w:rFonts w:ascii="宋体" w:hAnsi="宋体" w:hint="eastAsia"/>
          <w:szCs w:val="21"/>
        </w:rPr>
        <w:t>3、中标方保证在合同货物出现故障和缺陷时，或接到甲方提出的技术服务要求后 2 小时内予以答复，如甲方有要求或必要时，中标方应在接到甲方通知后 12 小时内派员至甲方免费维修和提供现场指导。</w:t>
      </w:r>
    </w:p>
    <w:p w:rsidR="00404A0D" w:rsidP="00404A0D">
      <w:pPr>
        <w:spacing w:line="276" w:lineRule="auto"/>
        <w:ind w:firstLine="420" w:firstLineChars="200"/>
        <w:contextualSpacing/>
        <w:rPr>
          <w:rFonts w:ascii="宋体" w:hAnsi="宋体"/>
          <w:szCs w:val="21"/>
        </w:rPr>
      </w:pPr>
      <w:r>
        <w:rPr>
          <w:rFonts w:ascii="宋体" w:hAnsi="宋体" w:hint="eastAsia"/>
          <w:szCs w:val="21"/>
        </w:rPr>
        <w:t>4、如中标方在接到甲方维修通知后 48 小时仍不能修复有关货物，中标方应在7个工作日内提供与该货物同一型号的备用货物。</w:t>
      </w:r>
    </w:p>
    <w:p w:rsidR="00404A0D" w:rsidP="00404A0D">
      <w:pPr>
        <w:spacing w:line="276" w:lineRule="auto"/>
        <w:ind w:firstLine="420" w:firstLineChars="200"/>
        <w:contextualSpacing/>
        <w:rPr>
          <w:rFonts w:ascii="宋体" w:hAnsi="宋体"/>
          <w:szCs w:val="21"/>
        </w:rPr>
      </w:pPr>
      <w:r>
        <w:rPr>
          <w:rFonts w:ascii="宋体" w:hAnsi="宋体" w:hint="eastAsia"/>
          <w:szCs w:val="21"/>
        </w:rPr>
        <w:t>5、如中标方在接到甲方提出的技术服务要求或维修通知后 12 小时内没有响应、拒绝或没有派员到达甲方提供技术服务、修理或退换货物，甲方有权委托第三人对合同货物进行维修或提供技术服务。</w:t>
      </w:r>
    </w:p>
    <w:p w:rsidR="00404A0D" w:rsidRPr="000802B4" w:rsidP="00404A0D">
      <w:pPr>
        <w:keepNext/>
        <w:keepLines/>
        <w:spacing w:line="480" w:lineRule="auto"/>
        <w:contextualSpacing/>
        <w:outlineLvl w:val="2"/>
        <w:rPr>
          <w:rFonts w:ascii="黑体" w:eastAsia="黑体" w:hAnsi="黑体"/>
          <w:b/>
          <w:bCs/>
          <w:color w:val="000000" w:themeColor="text1"/>
        </w:rPr>
      </w:pPr>
      <w:r>
        <w:rPr>
          <w:rFonts w:ascii="黑体" w:eastAsia="黑体" w:hAnsi="黑体" w:hint="eastAsia"/>
          <w:b/>
          <w:bCs/>
          <w:color w:val="000000" w:themeColor="text1"/>
          <w:sz w:val="24"/>
          <w:szCs w:val="24"/>
        </w:rPr>
        <w:t>七</w:t>
      </w:r>
      <w:r w:rsidRPr="000802B4">
        <w:rPr>
          <w:rFonts w:ascii="黑体" w:eastAsia="黑体" w:hAnsi="黑体" w:hint="eastAsia"/>
          <w:b/>
          <w:bCs/>
          <w:color w:val="000000" w:themeColor="text1"/>
          <w:sz w:val="24"/>
          <w:szCs w:val="24"/>
        </w:rPr>
        <w:t>、技术服务要求</w:t>
      </w:r>
    </w:p>
    <w:p w:rsidR="00404A0D" w:rsidP="00404A0D">
      <w:pPr>
        <w:spacing w:line="276" w:lineRule="auto"/>
        <w:ind w:firstLine="420" w:firstLineChars="200"/>
        <w:contextualSpacing/>
        <w:rPr>
          <w:rFonts w:ascii="宋体" w:hAnsi="宋体"/>
          <w:szCs w:val="21"/>
        </w:rPr>
      </w:pPr>
      <w:r>
        <w:rPr>
          <w:rFonts w:ascii="宋体" w:hAnsi="宋体" w:hint="eastAsia"/>
          <w:szCs w:val="21"/>
        </w:rPr>
        <w:t>1、中标方应具备</w:t>
      </w:r>
      <w:r w:rsidRPr="006C2431">
        <w:rPr>
          <w:rFonts w:ascii="宋体" w:hAnsi="宋体" w:hint="eastAsia"/>
          <w:szCs w:val="21"/>
        </w:rPr>
        <w:t>大型相控阵天气雷达测试标定关键核心技术</w:t>
      </w:r>
      <w:r>
        <w:rPr>
          <w:rFonts w:ascii="宋体" w:hAnsi="宋体" w:hint="eastAsia"/>
          <w:szCs w:val="21"/>
        </w:rPr>
        <w:t>能力，</w:t>
      </w:r>
      <w:r w:rsidRPr="006C2431">
        <w:rPr>
          <w:rFonts w:ascii="宋体" w:hAnsi="宋体" w:hint="eastAsia"/>
          <w:szCs w:val="21"/>
        </w:rPr>
        <w:t>技术全面</w:t>
      </w:r>
      <w:r>
        <w:rPr>
          <w:rFonts w:ascii="宋体" w:hAnsi="宋体" w:hint="eastAsia"/>
          <w:szCs w:val="21"/>
        </w:rPr>
        <w:t>、</w:t>
      </w:r>
      <w:r w:rsidRPr="006C2431">
        <w:rPr>
          <w:rFonts w:ascii="宋体" w:hAnsi="宋体" w:hint="eastAsia"/>
          <w:szCs w:val="21"/>
        </w:rPr>
        <w:t>理论深入，</w:t>
      </w:r>
      <w:r>
        <w:rPr>
          <w:rFonts w:ascii="宋体" w:hAnsi="宋体" w:hint="eastAsia"/>
          <w:szCs w:val="21"/>
        </w:rPr>
        <w:t>且</w:t>
      </w:r>
      <w:r w:rsidRPr="006C2431">
        <w:rPr>
          <w:rFonts w:ascii="宋体" w:hAnsi="宋体" w:hint="eastAsia"/>
          <w:szCs w:val="21"/>
        </w:rPr>
        <w:t>具备相关工程实践经验</w:t>
      </w:r>
      <w:r>
        <w:rPr>
          <w:rFonts w:ascii="宋体" w:hAnsi="宋体" w:hint="eastAsia"/>
          <w:szCs w:val="21"/>
        </w:rPr>
        <w:t>；</w:t>
      </w:r>
    </w:p>
    <w:p w:rsidR="00404A0D" w:rsidP="00404A0D">
      <w:pPr>
        <w:spacing w:line="276" w:lineRule="auto"/>
        <w:ind w:firstLine="420" w:firstLineChars="200"/>
        <w:contextualSpacing/>
        <w:rPr>
          <w:rFonts w:ascii="宋体" w:hAnsi="宋体"/>
          <w:szCs w:val="21"/>
        </w:rPr>
      </w:pPr>
      <w:r>
        <w:rPr>
          <w:rFonts w:ascii="宋体" w:hAnsi="宋体" w:hint="eastAsia"/>
          <w:szCs w:val="21"/>
        </w:rPr>
        <w:t>2、中标方应充分理解大型相控阵天气雷达</w:t>
      </w:r>
      <w:r w:rsidRPr="006C2431">
        <w:rPr>
          <w:rFonts w:ascii="宋体" w:hAnsi="宋体" w:hint="eastAsia"/>
          <w:szCs w:val="21"/>
        </w:rPr>
        <w:t>测试标定需求，并结合当地天气特征进行需求分析，</w:t>
      </w:r>
      <w:r>
        <w:rPr>
          <w:rFonts w:ascii="宋体" w:hAnsi="宋体" w:hint="eastAsia"/>
          <w:szCs w:val="21"/>
        </w:rPr>
        <w:t>且</w:t>
      </w:r>
      <w:r w:rsidRPr="006C2431">
        <w:rPr>
          <w:rFonts w:ascii="宋体" w:hAnsi="宋体" w:hint="eastAsia"/>
          <w:szCs w:val="21"/>
        </w:rPr>
        <w:t>结合需求分析给出针对性扫描模式设计</w:t>
      </w:r>
      <w:r>
        <w:rPr>
          <w:rFonts w:ascii="宋体" w:hAnsi="宋体" w:hint="eastAsia"/>
          <w:szCs w:val="21"/>
        </w:rPr>
        <w:t>；</w:t>
      </w:r>
    </w:p>
    <w:p w:rsidR="00404A0D" w:rsidP="00404A0D">
      <w:pPr>
        <w:spacing w:line="276" w:lineRule="auto"/>
        <w:ind w:firstLine="420" w:firstLineChars="200"/>
        <w:contextualSpacing/>
        <w:rPr>
          <w:rFonts w:ascii="宋体" w:hAnsi="宋体"/>
          <w:szCs w:val="21"/>
        </w:rPr>
      </w:pPr>
      <w:r>
        <w:rPr>
          <w:rFonts w:ascii="宋体" w:hAnsi="宋体" w:hint="eastAsia"/>
          <w:szCs w:val="21"/>
        </w:rPr>
        <w:t>3、中标方应掌握大型相控阵天气雷达</w:t>
      </w:r>
      <w:r w:rsidRPr="002224B0">
        <w:rPr>
          <w:rFonts w:ascii="宋体" w:hAnsi="宋体" w:hint="eastAsia"/>
          <w:szCs w:val="21"/>
        </w:rPr>
        <w:t>标校体系和技术方法</w:t>
      </w:r>
      <w:r>
        <w:rPr>
          <w:rFonts w:ascii="宋体" w:hAnsi="宋体" w:hint="eastAsia"/>
          <w:szCs w:val="21"/>
        </w:rPr>
        <w:t>，</w:t>
      </w:r>
      <w:r w:rsidRPr="002224B0">
        <w:rPr>
          <w:rFonts w:ascii="宋体" w:hAnsi="宋体" w:hint="eastAsia"/>
          <w:szCs w:val="21"/>
        </w:rPr>
        <w:t>能提供针对性实测标定结果</w:t>
      </w:r>
      <w:r>
        <w:rPr>
          <w:rFonts w:ascii="宋体" w:hAnsi="宋体" w:hint="eastAsia"/>
          <w:szCs w:val="21"/>
        </w:rPr>
        <w:t>；</w:t>
      </w:r>
    </w:p>
    <w:p w:rsidR="00404A0D" w:rsidP="00404A0D">
      <w:pPr>
        <w:spacing w:line="276" w:lineRule="auto"/>
        <w:ind w:firstLine="420" w:firstLineChars="200"/>
        <w:contextualSpacing/>
        <w:rPr>
          <w:rFonts w:ascii="宋体" w:hAnsi="宋体"/>
          <w:szCs w:val="21"/>
        </w:rPr>
      </w:pPr>
      <w:r>
        <w:rPr>
          <w:rFonts w:ascii="宋体" w:hAnsi="宋体" w:hint="eastAsia"/>
          <w:szCs w:val="21"/>
        </w:rPr>
        <w:t>4、在合同货物保修期届满后，如果因合同货物硬件或软件的固有缺陷和瑕疵出现紧急故障和事故，中标方应在接到甲方通知之后24小时内到达现场。</w:t>
      </w:r>
    </w:p>
    <w:p w:rsidR="00404A0D" w:rsidP="00404A0D">
      <w:pPr>
        <w:spacing w:line="276" w:lineRule="auto"/>
        <w:ind w:firstLine="420" w:firstLineChars="200"/>
        <w:contextualSpacing/>
        <w:rPr>
          <w:rFonts w:ascii="宋体" w:hAnsi="宋体"/>
          <w:szCs w:val="21"/>
        </w:rPr>
      </w:pPr>
      <w:r>
        <w:rPr>
          <w:rFonts w:ascii="宋体" w:hAnsi="宋体" w:hint="eastAsia"/>
          <w:szCs w:val="21"/>
        </w:rPr>
        <w:t>5、设备安装调试完毕后，中标方应对采购人的操作和技术人员在福州市进行至少1次的培训。</w:t>
      </w:r>
    </w:p>
    <w:p w:rsidR="00404A0D" w:rsidRPr="002224B0" w:rsidP="00404A0D">
      <w:pPr>
        <w:spacing w:line="276" w:lineRule="auto"/>
        <w:ind w:firstLine="420" w:firstLineChars="200"/>
        <w:contextualSpacing/>
        <w:rPr>
          <w:rFonts w:ascii="宋体" w:hAnsi="宋体"/>
          <w:szCs w:val="21"/>
        </w:rPr>
      </w:pPr>
      <w:r>
        <w:rPr>
          <w:rFonts w:ascii="宋体" w:hAnsi="宋体" w:hint="eastAsia"/>
          <w:szCs w:val="21"/>
        </w:rPr>
        <w:t>6、中标方需提供详细技术服务文档，包括但不限于：设备工作原理、设备操作手册、设备运行维护手册、设备软件使用手册、相关产品算法说明（如有）等。</w:t>
      </w:r>
    </w:p>
    <w:p w:rsidR="00404A0D" w:rsidRPr="00BC46AA" w:rsidP="00404A0D">
      <w:pPr>
        <w:keepNext/>
        <w:keepLines/>
        <w:spacing w:line="480" w:lineRule="auto"/>
        <w:contextualSpacing/>
        <w:outlineLvl w:val="2"/>
        <w:rPr>
          <w:rFonts w:ascii="黑体" w:eastAsia="黑体" w:hAnsi="黑体"/>
          <w:b/>
          <w:bCs/>
          <w:color w:val="000000" w:themeColor="text1"/>
        </w:rPr>
      </w:pPr>
      <w:r>
        <w:rPr>
          <w:rFonts w:ascii="黑体" w:eastAsia="黑体" w:hAnsi="黑体" w:hint="eastAsia"/>
          <w:b/>
          <w:bCs/>
          <w:color w:val="000000" w:themeColor="text1"/>
          <w:sz w:val="24"/>
          <w:szCs w:val="24"/>
        </w:rPr>
        <w:t>八</w:t>
      </w:r>
      <w:r w:rsidRPr="00BC46AA">
        <w:rPr>
          <w:rFonts w:ascii="黑体" w:eastAsia="黑体" w:hAnsi="黑体" w:hint="eastAsia"/>
          <w:b/>
          <w:bCs/>
          <w:color w:val="000000" w:themeColor="text1"/>
          <w:sz w:val="24"/>
          <w:szCs w:val="24"/>
        </w:rPr>
        <w:t>、交货要求及履约地点</w:t>
      </w:r>
    </w:p>
    <w:p w:rsidR="00404A0D" w:rsidRPr="00BC46AA" w:rsidP="00404A0D">
      <w:pPr>
        <w:widowControl/>
        <w:ind w:firstLine="420" w:firstLineChars="200"/>
        <w:jc w:val="left"/>
        <w:rPr>
          <w:rFonts w:ascii="宋体" w:hAnsi="宋体"/>
          <w:szCs w:val="21"/>
        </w:rPr>
      </w:pPr>
      <w:r w:rsidRPr="00BC46AA">
        <w:rPr>
          <w:rFonts w:ascii="宋体" w:hAnsi="宋体" w:hint="eastAsia"/>
          <w:szCs w:val="21"/>
        </w:rPr>
        <w:t>中标供应商将所有设备运送至</w:t>
      </w:r>
      <w:r>
        <w:rPr>
          <w:rFonts w:ascii="宋体" w:hAnsi="宋体" w:hint="eastAsia"/>
          <w:szCs w:val="21"/>
        </w:rPr>
        <w:t>甲方指定</w:t>
      </w:r>
      <w:r w:rsidRPr="00BC46AA">
        <w:rPr>
          <w:rFonts w:ascii="宋体" w:hAnsi="宋体" w:hint="eastAsia"/>
          <w:szCs w:val="21"/>
        </w:rPr>
        <w:t>地点（运输相关费用由供应商负责），并负责安装调试。</w:t>
      </w:r>
    </w:p>
    <w:p w:rsidR="008918E3" w:rsidRPr="00BC46AA" w:rsidP="008918E3">
      <w:pPr>
        <w:spacing w:line="360" w:lineRule="auto"/>
        <w:ind w:firstLine="420" w:firstLineChars="200"/>
        <w:rPr>
          <w:rFonts w:ascii="宋体" w:hAnsi="宋体"/>
          <w:szCs w:val="21"/>
        </w:rPr>
      </w:pPr>
      <w:r w:rsidRPr="007138E0">
        <w:rPr>
          <w:rFonts w:ascii="宋体" w:hAnsi="宋体" w:hint="eastAsia"/>
          <w:szCs w:val="21"/>
        </w:rPr>
        <w:t>合同签订后180天内交货，270天内完成安装调试并具备验收条件</w:t>
      </w:r>
      <w:r w:rsidRPr="00BC46AA">
        <w:rPr>
          <w:rFonts w:ascii="宋体" w:hAnsi="宋体" w:hint="eastAsia"/>
          <w:szCs w:val="21"/>
        </w:rPr>
        <w:t>。</w:t>
      </w:r>
    </w:p>
    <w:p w:rsidR="00B677AD" w:rsidRPr="008918E3">
      <w:pPr>
        <w:spacing w:line="360" w:lineRule="auto"/>
        <w:ind w:firstLine="420" w:firstLineChars="200"/>
        <w:rPr>
          <w:rFonts w:ascii="宋体" w:hAnsi="宋体"/>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44"/>
        <w:gridCol w:w="4066"/>
        <w:gridCol w:w="728"/>
        <w:gridCol w:w="1012"/>
        <w:gridCol w:w="1154"/>
        <w:gridCol w:w="728"/>
        <w:gridCol w:w="429"/>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福建闽侯S波段双偏振相控阵天气雷达测试标定与应用试验设备</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6,400,000.00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6,400,000.00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78"/>
        <w:gridCol w:w="634"/>
        <w:gridCol w:w="2546"/>
        <w:gridCol w:w="278"/>
        <w:gridCol w:w="634"/>
        <w:gridCol w:w="528"/>
        <w:gridCol w:w="634"/>
        <w:gridCol w:w="299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遥感科</w:t>
            </w:r>
          </w:p>
        </w:tc>
        <w:tc>
          <w:tcPr/>
          <w:p>
            <w:r>
              <w:t>福建闽侯S波段双偏振相控阵天气雷达测试标定与应用试验设备</w:t>
            </w:r>
          </w:p>
        </w:tc>
        <w:tc>
          <w:tcPr/>
          <w:p>
            <w:r>
              <w:t>1</w:t>
            </w:r>
          </w:p>
        </w:tc>
        <w:tc>
          <w:tcPr/>
          <w:p>
            <w:r>
              <w:t>6400000.00</w:t>
            </w:r>
          </w:p>
        </w:tc>
        <w:tc>
          <w:tcPr/>
          <w:p>
            <w:r>
              <w:t xml:space="preserve">6400000.00  </w:t>
            </w:r>
          </w:p>
        </w:tc>
        <w:tc>
          <w:tcPr/>
          <w:p>
            <w:r>
              <w:t>甲方指定地点</w:t>
            </w:r>
          </w:p>
        </w:tc>
        <w:tc>
          <w:tcPr/>
          <w:p>
            <w:r>
              <w:t>采购人全称：福建省大气探测技术保障中心，联系人：任雍，13720828636</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B677AD">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rsidR="00DC61A1">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DC61A1">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DC61A1">
            <w:pPr>
              <w:rPr>
                <w:sz w:val="18"/>
                <w:szCs w:val="18"/>
              </w:rPr>
            </w:pPr>
            <w:r>
              <w:rPr>
                <w:rFonts w:hint="eastAsia"/>
                <w:sz w:val="18"/>
                <w:szCs w:val="18"/>
              </w:rPr>
              <w:t>序号</w:t>
            </w:r>
          </w:p>
        </w:tc>
        <w:tc>
          <w:tcPr>
            <w:tcW w:w="898" w:type="dxa"/>
            <w:vAlign w:val="center"/>
          </w:tcPr>
          <w:p w:rsidR="00DC61A1">
            <w:pPr>
              <w:jc w:val="center"/>
              <w:rPr>
                <w:sz w:val="18"/>
                <w:szCs w:val="18"/>
              </w:rPr>
            </w:pPr>
            <w:r>
              <w:rPr>
                <w:rFonts w:hint="eastAsia"/>
                <w:sz w:val="18"/>
                <w:szCs w:val="18"/>
              </w:rPr>
              <w:t>对应</w:t>
            </w:r>
          </w:p>
          <w:p w:rsidR="00DC61A1">
            <w:pPr>
              <w:jc w:val="center"/>
              <w:rPr>
                <w:sz w:val="18"/>
                <w:szCs w:val="18"/>
              </w:rPr>
            </w:pPr>
            <w:r>
              <w:rPr>
                <w:rFonts w:hint="eastAsia"/>
                <w:sz w:val="18"/>
                <w:szCs w:val="18"/>
              </w:rPr>
              <w:t>条款号</w:t>
            </w:r>
          </w:p>
        </w:tc>
        <w:tc>
          <w:tcPr>
            <w:tcW w:w="7347" w:type="dxa"/>
            <w:vAlign w:val="center"/>
          </w:tcPr>
          <w:p w:rsidR="00DC61A1">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8789" w:type="dxa"/>
          <w:tblLayout w:type="fixed"/>
          <w:tblLook w:val="04A0"/>
        </w:tblPrEx>
        <w:trPr>
          <w:cantSplit/>
        </w:trPr>
        <w:tc>
          <w:tcPr>
            <w:tcW w:w="8789" w:type="dxa"/>
            <w:gridSpan w:val="3"/>
            <w:vAlign w:val="center"/>
          </w:tcPr>
          <w:p w:rsidR="00DC61A1">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8789" w:type="dxa"/>
          <w:tblLayout w:type="fixed"/>
          <w:tblLook w:val="04A0"/>
        </w:tblPrEx>
        <w:trPr>
          <w:cantSplit/>
        </w:trPr>
        <w:tc>
          <w:tcPr>
            <w:tcW w:w="544" w:type="dxa"/>
            <w:vAlign w:val="center"/>
          </w:tcPr>
          <w:p w:rsidR="00DC61A1">
            <w:pPr>
              <w:numPr>
                <w:ilvl w:val="0"/>
                <w:numId w:val="18"/>
              </w:numPr>
              <w:rPr>
                <w:rFonts w:ascii="宋体" w:hAnsi="宋体"/>
                <w:sz w:val="18"/>
                <w:szCs w:val="18"/>
              </w:rPr>
            </w:pPr>
          </w:p>
        </w:tc>
        <w:tc>
          <w:tcPr>
            <w:tcW w:w="898" w:type="dxa"/>
            <w:vAlign w:val="center"/>
          </w:tcPr>
          <w:p w:rsidR="00DC61A1">
            <w:pPr>
              <w:jc w:val="center"/>
              <w:rPr>
                <w:rFonts w:ascii="宋体" w:hAnsi="宋体"/>
                <w:sz w:val="18"/>
                <w:szCs w:val="18"/>
              </w:rPr>
            </w:pPr>
            <w:r>
              <w:rPr>
                <w:rFonts w:ascii="宋体" w:hAnsi="宋体" w:hint="eastAsia"/>
                <w:sz w:val="18"/>
                <w:szCs w:val="18"/>
              </w:rPr>
              <w:t>/</w:t>
            </w:r>
          </w:p>
        </w:tc>
        <w:tc>
          <w:tcPr>
            <w:tcW w:w="7347" w:type="dxa"/>
          </w:tcPr>
          <w:p w:rsidR="00DC61A1">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无</w:t>
            </w:r>
          </w:p>
        </w:tc>
      </w:tr>
      <w:tr>
        <w:tblPrEx>
          <w:tblW w:w="8789" w:type="dxa"/>
          <w:tblLayout w:type="fixed"/>
          <w:tblLook w:val="04A0"/>
        </w:tblPrEx>
        <w:trPr>
          <w:cantSplit/>
        </w:trPr>
        <w:tc>
          <w:tcPr>
            <w:tcW w:w="8789" w:type="dxa"/>
            <w:gridSpan w:val="3"/>
            <w:vAlign w:val="center"/>
          </w:tcPr>
          <w:p w:rsidR="00DC61A1">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8789" w:type="dxa"/>
          <w:tblLayout w:type="fixed"/>
          <w:tblLook w:val="04A0"/>
        </w:tblPrEx>
        <w:trPr>
          <w:cantSplit/>
        </w:trPr>
        <w:tc>
          <w:tcPr>
            <w:tcW w:w="544" w:type="dxa"/>
            <w:vAlign w:val="center"/>
          </w:tcPr>
          <w:p w:rsidR="00DC61A1">
            <w:pPr>
              <w:numPr>
                <w:ilvl w:val="0"/>
                <w:numId w:val="18"/>
              </w:numPr>
              <w:rPr>
                <w:rFonts w:ascii="宋体" w:hAnsi="宋体"/>
                <w:sz w:val="18"/>
                <w:szCs w:val="18"/>
              </w:rPr>
            </w:pPr>
          </w:p>
        </w:tc>
        <w:tc>
          <w:tcPr>
            <w:tcW w:w="898" w:type="dxa"/>
            <w:vAlign w:val="center"/>
          </w:tcPr>
          <w:p w:rsidR="00DC61A1">
            <w:pPr>
              <w:jc w:val="center"/>
              <w:rPr>
                <w:rFonts w:ascii="宋体" w:hAnsi="宋体"/>
                <w:sz w:val="18"/>
                <w:szCs w:val="18"/>
              </w:rPr>
            </w:pPr>
            <w:r>
              <w:rPr>
                <w:rFonts w:ascii="宋体" w:hAnsi="宋体" w:hint="eastAsia"/>
                <w:sz w:val="18"/>
                <w:szCs w:val="18"/>
              </w:rPr>
              <w:t>/</w:t>
            </w:r>
          </w:p>
        </w:tc>
        <w:tc>
          <w:tcPr>
            <w:tcW w:w="7347" w:type="dxa"/>
            <w:vAlign w:val="center"/>
          </w:tcPr>
          <w:p w:rsidR="00DC61A1">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rsidR="00DC61A1">
      <w:pPr>
        <w:spacing w:before="156" w:beforeLines="50" w:line="360" w:lineRule="auto"/>
        <w:ind w:firstLine="420"/>
      </w:pPr>
      <w:r>
        <w:rPr>
          <w:rFonts w:ascii="宋体" w:hAnsi="宋体" w:hint="eastAsia"/>
          <w:szCs w:val="21"/>
        </w:rPr>
        <w:t>注：根据项目具体情况，</w:t>
      </w:r>
      <w:r>
        <w:rPr>
          <w:rFonts w:ascii="宋体" w:hAnsi="宋体" w:hint="eastAsia"/>
          <w:szCs w:val="21"/>
        </w:rPr>
        <w:t>对投标人有具体要求，且投标人必须遵守的，逐条列出。</w:t>
      </w:r>
    </w:p>
    <w:p w:rsidR="00A77B3E"/>
    <w:p w:rsidR="00DC61A1">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CF75C8">
      <w:pPr>
        <w:numPr>
          <w:ilvl w:val="0"/>
          <w:numId w:val="9"/>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CF75C8">
      <w:pPr>
        <w:spacing w:line="360" w:lineRule="auto"/>
        <w:ind w:left="1680" w:firstLine="420"/>
        <w:jc w:val="left"/>
        <w:rPr>
          <w:b/>
          <w:bCs/>
          <w:szCs w:val="21"/>
        </w:rPr>
      </w:pPr>
      <w:r>
        <w:rPr>
          <w:rFonts w:hint="eastAsia"/>
          <w:b/>
          <w:bCs/>
          <w:szCs w:val="21"/>
        </w:rPr>
        <w:t>必须明确合同金额支付条件及支付比例</w:t>
      </w:r>
    </w:p>
    <w:p w:rsidR="00CF75C8">
      <w:pPr>
        <w:pStyle w:val="BodyText"/>
        <w:spacing w:after="0"/>
        <w:jc w:val="center"/>
        <w:rPr>
          <w:rFonts w:ascii="宋体" w:hAnsi="宋体" w:cs="宋体"/>
          <w:b/>
          <w:bCs/>
          <w:spacing w:val="-20"/>
          <w:kern w:val="44"/>
          <w:sz w:val="48"/>
          <w:szCs w:val="48"/>
        </w:rPr>
      </w:pPr>
      <w:r>
        <w:rPr>
          <w:b/>
          <w:bCs/>
          <w:szCs w:val="21"/>
        </w:rPr>
        <w:br w:type="page"/>
      </w:r>
      <w:bookmarkStart w:id="70" w:name="_Toc3995"/>
    </w:p>
    <w:p w:rsidR="00CF75C8">
      <w:pPr>
        <w:pStyle w:val="BodyText"/>
        <w:spacing w:after="0"/>
        <w:jc w:val="center"/>
        <w:rPr>
          <w:rFonts w:ascii="宋体" w:hAnsi="宋体" w:cs="宋体"/>
          <w:b/>
          <w:bCs/>
          <w:spacing w:val="-20"/>
          <w:kern w:val="44"/>
          <w:sz w:val="48"/>
          <w:szCs w:val="48"/>
        </w:rPr>
      </w:pPr>
    </w:p>
    <w:p w:rsidR="00CF75C8">
      <w:pPr>
        <w:pStyle w:val="BodyText"/>
        <w:spacing w:after="0"/>
        <w:jc w:val="center"/>
        <w:rPr>
          <w:rFonts w:ascii="宋体" w:hAnsi="宋体" w:cs="宋体"/>
          <w:b/>
          <w:bCs/>
          <w:spacing w:val="-20"/>
          <w:kern w:val="44"/>
          <w:sz w:val="48"/>
          <w:szCs w:val="48"/>
        </w:rPr>
      </w:pPr>
    </w:p>
    <w:p w:rsidR="00CF75C8">
      <w:pPr>
        <w:pStyle w:val="BodyText"/>
        <w:spacing w:after="0"/>
        <w:jc w:val="center"/>
        <w:rPr>
          <w:rFonts w:ascii="宋体" w:hAnsi="宋体" w:cs="宋体"/>
          <w:b/>
          <w:bCs/>
          <w:spacing w:val="-20"/>
          <w:kern w:val="44"/>
          <w:sz w:val="48"/>
          <w:szCs w:val="48"/>
        </w:rPr>
      </w:pPr>
    </w:p>
    <w:p w:rsidR="00CF75C8">
      <w:pPr>
        <w:pStyle w:val="BodyText"/>
        <w:spacing w:after="0"/>
        <w:jc w:val="center"/>
        <w:rPr>
          <w:rFonts w:ascii="宋体" w:hAnsi="宋体" w:cs="宋体"/>
          <w:b/>
          <w:bCs/>
          <w:spacing w:val="-20"/>
          <w:kern w:val="44"/>
          <w:sz w:val="48"/>
          <w:szCs w:val="48"/>
        </w:rPr>
      </w:pPr>
    </w:p>
    <w:p w:rsidR="00CF75C8">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CF75C8">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CF75C8">
      <w:pPr>
        <w:rPr>
          <w:rFonts w:ascii="宋体" w:hAnsi="宋体" w:cs="宋体"/>
          <w:b/>
          <w:bCs/>
          <w:spacing w:val="-20"/>
          <w:kern w:val="44"/>
          <w:sz w:val="40"/>
          <w:szCs w:val="40"/>
        </w:rPr>
      </w:pPr>
    </w:p>
    <w:p w:rsidR="00CF75C8">
      <w:pPr>
        <w:rPr>
          <w:rFonts w:ascii="宋体" w:hAnsi="宋体" w:cs="宋体"/>
          <w:b/>
          <w:bCs/>
          <w:spacing w:val="-20"/>
          <w:kern w:val="44"/>
          <w:sz w:val="40"/>
          <w:szCs w:val="40"/>
        </w:rPr>
      </w:pPr>
    </w:p>
    <w:p w:rsidR="00CF75C8">
      <w:pPr>
        <w:rPr>
          <w:rFonts w:ascii="宋体" w:hAnsi="宋体" w:cs="宋体"/>
          <w:b/>
          <w:bCs/>
          <w:spacing w:val="-20"/>
          <w:kern w:val="44"/>
          <w:sz w:val="40"/>
          <w:szCs w:val="40"/>
        </w:rPr>
      </w:pPr>
    </w:p>
    <w:p w:rsidR="00CF75C8">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CF75C8">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CF75C8">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CF75C8">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CF75C8">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CF75C8"/>
    <w:p w:rsidR="00CF75C8">
      <w:pPr>
        <w:rPr>
          <w:rFonts w:eastAsia="黑体"/>
          <w:sz w:val="44"/>
          <w:szCs w:val="44"/>
        </w:rPr>
      </w:pPr>
      <w:r>
        <w:rPr>
          <w:rFonts w:eastAsia="黑体"/>
          <w:sz w:val="44"/>
          <w:szCs w:val="44"/>
        </w:rPr>
        <w:br w:type="page"/>
      </w:r>
    </w:p>
    <w:p w:rsidR="00CF75C8">
      <w:pPr>
        <w:rPr>
          <w:rFonts w:eastAsia="黑体"/>
          <w:sz w:val="44"/>
          <w:szCs w:val="44"/>
        </w:rPr>
      </w:pPr>
    </w:p>
    <w:p w:rsidR="00CF75C8">
      <w:pPr>
        <w:rPr>
          <w:rFonts w:eastAsia="黑体"/>
          <w:sz w:val="44"/>
          <w:szCs w:val="44"/>
        </w:rPr>
      </w:pPr>
    </w:p>
    <w:p w:rsidR="00CF75C8">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CF75C8">
      <w:pPr>
        <w:ind w:firstLine="640" w:firstLineChars="200"/>
        <w:rPr>
          <w:rFonts w:ascii="仿宋_GB2312" w:eastAsia="仿宋_GB2312" w:hAnsi="仿宋_GB2312" w:cs="仿宋_GB2312"/>
          <w:sz w:val="32"/>
          <w:szCs w:val="32"/>
        </w:rPr>
      </w:pPr>
    </w:p>
    <w:p w:rsidR="00CF75C8">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CF75C8">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CF75C8">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CF75C8">
      <w:pPr>
        <w:rPr>
          <w:rFonts w:eastAsia="黑体"/>
          <w:sz w:val="44"/>
          <w:szCs w:val="44"/>
        </w:rPr>
        <w:sectPr>
          <w:pgSz w:w="11906" w:h="16838"/>
          <w:pgMar w:top="1440" w:right="1800" w:bottom="1440" w:left="1800" w:header="851" w:footer="992" w:gutter="0"/>
          <w:cols w:space="425"/>
          <w:docGrid w:type="lines" w:linePitch="312"/>
        </w:sectPr>
      </w:pPr>
    </w:p>
    <w:p w:rsidR="00CF75C8">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bookmarkEnd w:id="70"/>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1"/>
    </w:p>
    <w:p w:rsidR="00CF75C8">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CF75C8">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CF75C8">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CF75C8">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CF75C8">
      <w:pPr>
        <w:spacing w:line="400" w:lineRule="exact"/>
      </w:pPr>
    </w:p>
    <w:p w:rsidR="00CF75C8">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CF75C8">
      <w:pPr>
        <w:numPr>
          <w:ilvl w:val="0"/>
          <w:numId w:val="10"/>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CF75C8">
      <w:pPr>
        <w:pStyle w:val="BodyTextIndent"/>
        <w:numPr>
          <w:ilvl w:val="0"/>
          <w:numId w:val="11"/>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CF75C8">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CF75C8">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CF75C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CF75C8">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CF75C8">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CF75C8">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CF75C8">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CF75C8">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CF75C8">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CF75C8">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CF75C8">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CF75C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CF75C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CF75C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CF75C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CF75C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CF75C8">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CF75C8">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CF75C8">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CF75C8">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CF75C8">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CF75C8">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CF75C8">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CF75C8">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CF75C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CF75C8">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CF75C8">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CF75C8">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CF75C8">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CF75C8">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CF75C8">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CF75C8">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CF75C8">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CF75C8">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CF75C8">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CF75C8">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CF75C8">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CF75C8">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CF75C8">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CF75C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CF75C8">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CF75C8">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CF75C8">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CF75C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CF75C8">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CF75C8">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CF75C8">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CF75C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CF75C8">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CF75C8">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CF75C8">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CF75C8">
      <w:pPr>
        <w:numPr>
          <w:ilvl w:val="0"/>
          <w:numId w:val="10"/>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CF75C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CF75C8">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CF75C8">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CF75C8">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CF75C8">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CF75C8">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CF75C8">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CF75C8">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CF75C8">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CF75C8">
      <w:pPr>
        <w:snapToGrid w:val="0"/>
        <w:spacing w:line="400" w:lineRule="exact"/>
        <w:ind w:firstLine="630" w:firstLineChars="300"/>
      </w:pPr>
      <w:r>
        <w:rPr>
          <w:rFonts w:ascii="Wingdings" w:hAnsi="Wingdings" w:hint="eastAsia"/>
          <w:szCs w:val="21"/>
        </w:rPr>
        <w:t>√</w:t>
      </w:r>
      <w:r w:rsidR="00CC4F34">
        <w:rPr>
          <w:rFonts w:ascii="宋体" w:hAnsi="宋体" w:hint="eastAsia"/>
          <w:szCs w:val="21"/>
        </w:rPr>
        <w:t>分期付款：</w:t>
      </w:r>
      <w:r w:rsidR="00CC4F34">
        <w:rPr>
          <w:rFonts w:ascii="宋体" w:hAnsi="宋体" w:hint="eastAsia"/>
          <w:szCs w:val="21"/>
          <w:u w:val="single"/>
        </w:rPr>
        <w:t xml:space="preserve"> </w:t>
      </w:r>
      <w:r>
        <w:rPr>
          <w:rFonts w:ascii="宋体" w:hAnsi="宋体" w:hint="eastAsia"/>
          <w:szCs w:val="21"/>
          <w:u w:val="single"/>
        </w:rPr>
        <w:t>合同签订后，甲方向乙方支付合同款的90%；到货及甲方收到乙方合同款10%的保函后，甲方向乙方支付合同款的10%</w:t>
      </w:r>
      <w:r w:rsidR="00CC4F34">
        <w:rPr>
          <w:rFonts w:ascii="宋体" w:hAnsi="宋体" w:hint="eastAsia"/>
          <w:szCs w:val="21"/>
          <w:u w:val="single"/>
        </w:rPr>
        <w:t xml:space="preserve"> </w:t>
      </w:r>
      <w:r w:rsidR="00CC4F34">
        <w:rPr>
          <w:rFonts w:ascii="宋体" w:hAnsi="宋体" w:hint="eastAsia"/>
          <w:szCs w:val="21"/>
        </w:rPr>
        <w:t>，其中涉及预付款的：</w:t>
      </w:r>
      <w:r>
        <w:rPr>
          <w:rFonts w:ascii="宋体" w:hAnsi="宋体" w:hint="eastAsia"/>
          <w:szCs w:val="21"/>
          <w:u w:val="single"/>
        </w:rPr>
        <w:t>合同签订后，甲方向乙方支付合同款的90%</w:t>
      </w:r>
      <w:r w:rsidR="00CC4F34">
        <w:rPr>
          <w:rFonts w:ascii="宋体" w:hAnsi="宋体" w:hint="eastAsia"/>
          <w:szCs w:val="21"/>
          <w:u w:val="single"/>
        </w:rPr>
        <w:t xml:space="preserve"> </w:t>
      </w:r>
    </w:p>
    <w:p w:rsidR="00CF75C8">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CF75C8">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CF75C8">
      <w:pPr>
        <w:numPr>
          <w:ilvl w:val="0"/>
          <w:numId w:val="10"/>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CF75C8">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CF75C8">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CF75C8">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sidR="008370B7">
        <w:rPr>
          <w:rFonts w:ascii="Wingdings" w:hAnsi="Wingdings" w:hint="eastAsia"/>
          <w:szCs w:val="21"/>
        </w:rPr>
        <w:t>√</w:t>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CF75C8">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r w:rsidR="008370B7">
        <w:rPr>
          <w:rFonts w:ascii="宋体" w:eastAsia="宋体" w:hAnsi="宋体" w:cs="宋体" w:hint="eastAsia"/>
          <w:bCs/>
          <w:sz w:val="21"/>
          <w:u w:val="single"/>
        </w:rPr>
        <w:t>银行履约保函</w:t>
      </w:r>
      <w:r>
        <w:rPr>
          <w:rFonts w:ascii="宋体" w:eastAsia="宋体" w:hAnsi="宋体" w:cs="宋体" w:hint="eastAsia"/>
          <w:bCs/>
          <w:sz w:val="21"/>
          <w:u w:val="single"/>
        </w:rPr>
        <w:t xml:space="preserve">                         </w:t>
      </w:r>
    </w:p>
    <w:p w:rsidR="00CF75C8">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r w:rsidR="008370B7">
        <w:rPr>
          <w:rFonts w:ascii="宋体" w:eastAsia="宋体" w:hAnsi="宋体" w:cs="宋体" w:hint="eastAsia"/>
          <w:bCs/>
          <w:sz w:val="21"/>
          <w:u w:val="single"/>
        </w:rPr>
        <w:t>合同款的10%</w:t>
      </w:r>
      <w:r>
        <w:rPr>
          <w:rFonts w:ascii="宋体" w:eastAsia="宋体" w:hAnsi="宋体" w:cs="宋体" w:hint="eastAsia"/>
          <w:bCs/>
          <w:sz w:val="21"/>
          <w:u w:val="single"/>
        </w:rPr>
        <w:t xml:space="preserve">                        </w:t>
      </w:r>
    </w:p>
    <w:p w:rsidR="00CF75C8">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r w:rsidR="008370B7">
        <w:rPr>
          <w:rFonts w:ascii="宋体" w:hAnsi="宋体" w:cs="宋体" w:hint="eastAsia"/>
          <w:bCs/>
          <w:szCs w:val="21"/>
          <w:u w:val="single"/>
        </w:rPr>
        <w:t>乙方向甲方提供合同款10%的履约保函，保函有效期为2年，乙方履约保函到期后以2年为单位进行替换，保函金额每2年递减25%直至质保期结束，每次保函到期前乙方质保服务需甲方审核合格。</w:t>
      </w:r>
      <w:r>
        <w:rPr>
          <w:rFonts w:ascii="宋体" w:hAnsi="宋体" w:cs="宋体" w:hint="eastAsia"/>
          <w:bCs/>
          <w:szCs w:val="21"/>
          <w:u w:val="single"/>
        </w:rPr>
        <w:t xml:space="preserve">                               </w:t>
      </w:r>
    </w:p>
    <w:p w:rsidR="00CF75C8">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CF75C8">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CF75C8">
      <w:pPr>
        <w:numPr>
          <w:ilvl w:val="0"/>
          <w:numId w:val="10"/>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CF75C8">
      <w:pPr>
        <w:numPr>
          <w:ilvl w:val="0"/>
          <w:numId w:val="12"/>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CF75C8">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CF75C8">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CF75C8">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CF75C8">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CF75C8">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CF75C8">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CF75C8">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CF75C8">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CF75C8">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CF75C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CF75C8">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CF75C8">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CF75C8">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CF75C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CF75C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CF75C8">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CF75C8">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CF75C8">
      <w:pPr>
        <w:numPr>
          <w:ilvl w:val="0"/>
          <w:numId w:val="10"/>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CF75C8">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CF75C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CF75C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CF75C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CF75C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CF75C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CF75C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CF75C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CF75C8">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CF75C8">
      <w:pPr>
        <w:numPr>
          <w:ilvl w:val="0"/>
          <w:numId w:val="10"/>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CF75C8">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CF75C8">
      <w:pPr>
        <w:numPr>
          <w:ilvl w:val="0"/>
          <w:numId w:val="10"/>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CF75C8">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CF75C8">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CF75C8">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CF75C8">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CF75C8">
      <w:r>
        <w:rPr>
          <w:rFonts w:hint="eastAsia"/>
        </w:rPr>
        <w:br w:type="page"/>
      </w:r>
    </w:p>
    <w:p w:rsidR="00CF75C8">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CF75C8">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CF75C8">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CF75C8">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CF75C8">
            <w:pPr>
              <w:adjustRightInd w:val="0"/>
              <w:snapToGrid w:val="0"/>
              <w:spacing w:line="300" w:lineRule="exact"/>
              <w:jc w:val="center"/>
              <w:rPr>
                <w:szCs w:val="21"/>
              </w:rPr>
            </w:pPr>
            <w:r>
              <w:rPr>
                <w:szCs w:val="21"/>
              </w:rPr>
              <w:t>法定代表人</w:t>
            </w:r>
          </w:p>
          <w:p w:rsidR="00CF75C8">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CF75C8">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CF75C8">
            <w:pPr>
              <w:adjustRightInd w:val="0"/>
              <w:snapToGrid w:val="0"/>
              <w:spacing w:line="300" w:lineRule="exact"/>
              <w:jc w:val="center"/>
              <w:rPr>
                <w:szCs w:val="21"/>
              </w:rPr>
            </w:pPr>
            <w:r>
              <w:rPr>
                <w:szCs w:val="21"/>
              </w:rPr>
              <w:t>法定代表人</w:t>
            </w:r>
          </w:p>
          <w:p w:rsidR="00CF75C8">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CF75C8">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CF75C8">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CF75C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CF75C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CF75C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CF75C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CF75C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CF75C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CF75C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CF75C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CF75C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CF75C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F75C8">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CF75C8">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CF75C8">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CF75C8">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2"/>
    </w:p>
    <w:p w:rsidR="00CF75C8">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CF75C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CF75C8">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CF75C8">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CF75C8">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CF75C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CF75C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CF75C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CF75C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CF75C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CF75C8">
      <w:pPr>
        <w:numPr>
          <w:ilvl w:val="0"/>
          <w:numId w:val="13"/>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CF75C8">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CF75C8">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CF75C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CF75C8">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CF75C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CF75C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CF75C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CF75C8">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CF75C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CF75C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CF75C8">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CF75C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CF75C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CF75C8">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CF75C8">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CF75C8">
      <w:pPr>
        <w:numPr>
          <w:ilvl w:val="0"/>
          <w:numId w:val="14"/>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CF75C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CF75C8">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CF75C8">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CF75C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CF75C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CF75C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CF75C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CF75C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CF75C8">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CF75C8">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CF75C8">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CF75C8">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CF75C8">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CF75C8">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CF75C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CF75C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CF75C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CF75C8">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3"/>
      <w:r>
        <w:rPr>
          <w:rFonts w:ascii="宋体" w:hAnsi="宋体" w:hint="eastAsia"/>
          <w:szCs w:val="21"/>
        </w:rPr>
        <w:t>。</w:t>
      </w:r>
    </w:p>
    <w:p w:rsidR="00CF75C8">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CF75C8">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CF75C8">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CF75C8">
      <w:pPr>
        <w:numPr>
          <w:ilvl w:val="1"/>
          <w:numId w:val="15"/>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CF75C8">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CF75C8">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CF75C8">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CF75C8">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CF75C8">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CF75C8">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CF75C8">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CF75C8">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CF75C8">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CF75C8">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CF75C8">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CF75C8">
      <w:pPr>
        <w:numPr>
          <w:ilvl w:val="0"/>
          <w:numId w:val="16"/>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CF75C8">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CF75C8">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CF75C8">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CF75C8">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CF75C8">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CF75C8">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CF75C8">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CF75C8">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CF75C8">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CF75C8">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CF75C8">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CF75C8">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CF75C8">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CF75C8">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CF75C8">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CF75C8">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CF75C8">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CF75C8">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CF75C8">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CF75C8">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CF75C8">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CF75C8">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CF75C8">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CF75C8">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CF75C8">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CF75C8">
      <w:pPr>
        <w:numPr>
          <w:ilvl w:val="0"/>
          <w:numId w:val="17"/>
        </w:numPr>
        <w:adjustRightInd w:val="0"/>
        <w:snapToGrid w:val="0"/>
        <w:spacing w:line="400" w:lineRule="exact"/>
        <w:jc w:val="left"/>
        <w:rPr>
          <w:rFonts w:ascii="宋体" w:hAnsi="宋体"/>
          <w:b/>
          <w:bCs/>
        </w:rPr>
      </w:pPr>
      <w:r>
        <w:rPr>
          <w:rFonts w:ascii="宋体" w:hAnsi="宋体" w:hint="eastAsia"/>
          <w:b/>
          <w:bCs/>
          <w:sz w:val="24"/>
        </w:rPr>
        <w:t>合同未尽事项</w:t>
      </w:r>
    </w:p>
    <w:p w:rsidR="00CF75C8">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CF75C8">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4" w:name="_Toc20313"/>
    </w:p>
    <w:p w:rsidR="00CF75C8">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CF75C8">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CF75C8">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CF75C8">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CF75C8">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CF75C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CF75C8">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CF75C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CF75C8">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CF75C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CF75C8">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CF75C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CF75C8">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CF75C8">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CF75C8">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CF75C8"/>
        </w:tc>
      </w:tr>
      <w:tr>
        <w:tblPrEx>
          <w:tblW w:w="8519" w:type="dxa"/>
          <w:tblInd w:w="108" w:type="dxa"/>
          <w:tblLayout w:type="fixed"/>
          <w:tblLook w:val="04A0"/>
        </w:tblPrEx>
        <w:trPr>
          <w:trHeight w:val="667"/>
        </w:trPr>
        <w:tc>
          <w:tcPr>
            <w:tcW w:w="1607" w:type="dxa"/>
            <w:vMerge/>
            <w:vAlign w:val="center"/>
          </w:tcPr>
          <w:p w:rsidR="00CF75C8">
            <w:pPr>
              <w:adjustRightInd w:val="0"/>
              <w:snapToGrid w:val="0"/>
              <w:jc w:val="center"/>
              <w:rPr>
                <w:rFonts w:ascii="宋体" w:hAnsi="宋体"/>
                <w:szCs w:val="21"/>
              </w:rPr>
            </w:pPr>
          </w:p>
        </w:tc>
        <w:tc>
          <w:tcPr>
            <w:tcW w:w="1742" w:type="dxa"/>
            <w:vAlign w:val="center"/>
          </w:tcPr>
          <w:p w:rsidR="00CF75C8">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CF75C8"/>
        </w:tc>
      </w:tr>
      <w:tr>
        <w:tblPrEx>
          <w:tblW w:w="8519" w:type="dxa"/>
          <w:tblInd w:w="108" w:type="dxa"/>
          <w:tblLayout w:type="fixed"/>
          <w:tblLook w:val="04A0"/>
        </w:tblPrEx>
        <w:trPr>
          <w:trHeight w:val="772"/>
        </w:trPr>
        <w:tc>
          <w:tcPr>
            <w:tcW w:w="1607" w:type="dxa"/>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CF75C8">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CF75C8"/>
        </w:tc>
      </w:tr>
      <w:tr>
        <w:tblPrEx>
          <w:tblW w:w="8519" w:type="dxa"/>
          <w:tblInd w:w="108" w:type="dxa"/>
          <w:tblLayout w:type="fixed"/>
          <w:tblLook w:val="04A0"/>
        </w:tblPrEx>
        <w:trPr>
          <w:trHeight w:val="667"/>
        </w:trPr>
        <w:tc>
          <w:tcPr>
            <w:tcW w:w="1607" w:type="dxa"/>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CF75C8">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CF75C8"/>
        </w:tc>
      </w:tr>
      <w:tr>
        <w:tblPrEx>
          <w:tblW w:w="8519" w:type="dxa"/>
          <w:tblInd w:w="108" w:type="dxa"/>
          <w:tblLayout w:type="fixed"/>
          <w:tblLook w:val="04A0"/>
        </w:tblPrEx>
        <w:trPr>
          <w:trHeight w:val="736"/>
        </w:trPr>
        <w:tc>
          <w:tcPr>
            <w:tcW w:w="1607" w:type="dxa"/>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CF75C8">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CF75C8">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CF75C8">
            <w:pPr>
              <w:adjustRightInd w:val="0"/>
              <w:snapToGrid w:val="0"/>
              <w:jc w:val="left"/>
              <w:rPr>
                <w:rFonts w:ascii="宋体" w:hAnsi="宋体"/>
                <w:szCs w:val="21"/>
              </w:rPr>
            </w:pPr>
            <w:r>
              <w:rPr>
                <w:rFonts w:ascii="宋体" w:hAnsi="宋体" w:hint="eastAsia"/>
                <w:szCs w:val="21"/>
              </w:rPr>
              <w:t>货物质量缺陷</w:t>
            </w:r>
          </w:p>
          <w:p w:rsidR="00CF75C8">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CF75C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CF75C8">
            <w:pPr>
              <w:snapToGrid w:val="0"/>
              <w:jc w:val="center"/>
              <w:rPr>
                <w:rFonts w:ascii="宋体" w:hAnsi="宋体" w:cs="宋体"/>
                <w:szCs w:val="21"/>
              </w:rPr>
            </w:pPr>
            <w:r>
              <w:rPr>
                <w:rFonts w:ascii="宋体" w:hAnsi="宋体" w:cs="宋体" w:hint="eastAsia"/>
                <w:szCs w:val="21"/>
              </w:rPr>
              <w:t>第二节</w:t>
            </w:r>
          </w:p>
          <w:p w:rsidR="00CF75C8">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CF75C8">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CF75C8">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CF75C8">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CF75C8">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CF75C8">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CF75C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CF75C8">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CF75C8">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CF75C8">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CF75C8">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CF75C8">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CF75C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CF75C8">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CF75C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CF75C8">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CF75C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CF75C8">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CF75C8">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CF75C8">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CF75C8">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CF75C8">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CF75C8">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CF75C8">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CF75C8">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CF75C8">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CF75C8">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CF75C8">
            <w:pPr>
              <w:adjustRightInd w:val="0"/>
              <w:snapToGrid w:val="0"/>
              <w:jc w:val="center"/>
              <w:rPr>
                <w:rFonts w:ascii="宋体" w:hAnsi="宋体"/>
                <w:szCs w:val="21"/>
              </w:rPr>
            </w:pPr>
            <w:r>
              <w:rPr>
                <w:rFonts w:ascii="宋体" w:hAnsi="宋体" w:hint="eastAsia"/>
                <w:szCs w:val="21"/>
              </w:rPr>
              <w:t>第二节</w:t>
            </w:r>
          </w:p>
          <w:p w:rsidR="00CF75C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CF75C8">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CF75C8">
            <w:pPr>
              <w:adjustRightInd w:val="0"/>
              <w:snapToGrid w:val="0"/>
              <w:jc w:val="left"/>
              <w:rPr>
                <w:rFonts w:ascii="宋体" w:hAnsi="宋体"/>
                <w:szCs w:val="21"/>
              </w:rPr>
            </w:pPr>
          </w:p>
        </w:tc>
      </w:tr>
    </w:tbl>
    <w:p w:rsidR="00CF75C8"/>
    <w:p w:rsidR="00CF75C8">
      <w:pPr>
        <w:rPr>
          <w:b/>
          <w:bCs/>
          <w:sz w:val="44"/>
          <w:szCs w:val="44"/>
        </w:rPr>
      </w:pPr>
    </w:p>
    <w:p w:rsidR="00CF75C8"/>
    <w:p w:rsidR="00A77B3E"/>
    <w:p w:rsidR="00CF75C8">
      <w:pPr>
        <w:numPr>
          <w:ilvl w:val="0"/>
          <w:numId w:val="9"/>
        </w:numPr>
        <w:spacing w:line="360" w:lineRule="auto"/>
        <w:ind w:firstLine="3066" w:firstLineChars="1460"/>
        <w:jc w:val="left"/>
        <w:rPr>
          <w:b/>
          <w:bCs/>
          <w:szCs w:val="21"/>
        </w:rPr>
      </w:pPr>
      <w:bookmarkEnd w:id="69"/>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D976B20"/>
    <w:multiLevelType w:val="multilevel"/>
    <w:tmpl w:val="1D976B20"/>
    <w:lvl w:ilvl="0">
      <w:start w:val="1"/>
      <w:numFmt w:val="bullet"/>
      <w:lvlText w:val=""/>
      <w:lvlJc w:val="left"/>
      <w:pPr>
        <w:ind w:left="920" w:hanging="440"/>
      </w:pPr>
      <w:rPr>
        <w:rFonts w:ascii="Wingdings" w:hAnsi="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abstractNum w:abstractNumId="10">
    <w:nsid w:val="234260A3"/>
    <w:multiLevelType w:val="multilevel"/>
    <w:tmpl w:val="234260A3"/>
    <w:lvl w:ilvl="0">
      <w:start w:val="1"/>
      <w:numFmt w:val="bullet"/>
      <w:lvlText w:val=""/>
      <w:lvlJc w:val="left"/>
      <w:pPr>
        <w:ind w:left="920" w:hanging="440"/>
      </w:pPr>
      <w:rPr>
        <w:rFonts w:ascii="Wingdings" w:hAnsi="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4B54627B"/>
    <w:multiLevelType w:val="multilevel"/>
    <w:tmpl w:val="6CEA2025"/>
    <w:lvl w:ilvl="0">
      <w:start w:val="1"/>
      <w:numFmt w:val="none"/>
      <w:suff w:val="nothing"/>
      <w:lvlText w:val="%1"/>
      <w:lvlJc w:val="left"/>
      <w:pPr>
        <w:ind w:left="0" w:firstLine="0"/>
      </w:pPr>
      <w:rPr>
        <w:rFonts w:ascii="Times New Roman" w:hAnsi="Times New Roman" w:hint="default"/>
        <w:b/>
        <w:i w:val="0"/>
        <w:sz w:val="21"/>
      </w:rPr>
    </w:lvl>
    <w:lvl w:ilvl="1">
      <w:start w:val="1"/>
      <w:numFmt w:val="decimal"/>
      <w:suff w:val="nothing"/>
      <w:lvlText w:val="%1%2　"/>
      <w:lvlJc w:val="left"/>
      <w:pPr>
        <w:ind w:left="0" w:firstLine="0"/>
      </w:pPr>
      <w:rPr>
        <w:rFonts w:ascii="黑体" w:eastAsia="黑体" w:hAnsi="Times New Roman" w:hint="eastAsia"/>
        <w:b w:val="0"/>
        <w:i w:val="0"/>
        <w:sz w:val="28"/>
      </w:rPr>
    </w:lvl>
    <w:lvl w:ilvl="2">
      <w:start w:val="1"/>
      <w:numFmt w:val="decimal"/>
      <w:suff w:val="nothing"/>
      <w:lvlText w:val="%1%2.%3　"/>
      <w:lvlJc w:val="left"/>
      <w:pPr>
        <w:ind w:left="0" w:firstLine="0"/>
      </w:pPr>
      <w:rPr>
        <w:rFonts w:ascii="黑体" w:eastAsia="黑体" w:hAnsi="Times New Roman" w:hint="eastAsia"/>
        <w:b w:val="0"/>
        <w:i w:val="0"/>
        <w:sz w:val="28"/>
      </w:rPr>
    </w:lvl>
    <w:lvl w:ilvl="3">
      <w:start w:val="1"/>
      <w:numFmt w:val="decimal"/>
      <w:suff w:val="nothing"/>
      <w:lvlText w:val="%1%2.%3.%4　"/>
      <w:lvlJc w:val="left"/>
      <w:pPr>
        <w:ind w:left="0" w:firstLine="0"/>
      </w:pPr>
      <w:rPr>
        <w:rFonts w:ascii="黑体" w:eastAsia="黑体" w:hAnsi="Times New Roman" w:hint="eastAsia"/>
        <w:b w:val="0"/>
        <w:i w:val="0"/>
        <w:sz w:val="28"/>
      </w:rPr>
    </w:lvl>
    <w:lvl w:ilvl="4">
      <w:start w:val="1"/>
      <w:numFmt w:val="decimal"/>
      <w:suff w:val="nothing"/>
      <w:lvlText w:val="%1%2.%3.%4.%5　"/>
      <w:lvlJc w:val="left"/>
      <w:pPr>
        <w:ind w:left="0" w:firstLine="0"/>
      </w:pPr>
      <w:rPr>
        <w:rFonts w:ascii="黑体" w:eastAsia="黑体" w:hAnsi="Times New Roman" w:hint="eastAsia"/>
        <w:b w:val="0"/>
        <w:i w:val="0"/>
        <w:sz w:val="28"/>
      </w:rPr>
    </w:lvl>
    <w:lvl w:ilvl="5">
      <w:start w:val="1"/>
      <w:numFmt w:val="decimal"/>
      <w:suff w:val="nothing"/>
      <w:lvlText w:val="%1%2.%3.%4.%5.%6　"/>
      <w:lvlJc w:val="left"/>
      <w:pPr>
        <w:ind w:left="0" w:firstLine="0"/>
      </w:pPr>
      <w:rPr>
        <w:rFonts w:ascii="黑体" w:eastAsia="黑体" w:hAnsi="Times New Roman" w:hint="eastAsia"/>
        <w:b w:val="0"/>
        <w:i w:val="0"/>
        <w:sz w:val="28"/>
      </w:rPr>
    </w:lvl>
    <w:lvl w:ilvl="6">
      <w:start w:val="1"/>
      <w:numFmt w:val="decimal"/>
      <w:suff w:val="nothing"/>
      <w:lvlText w:val="%1%2.%3.%4.%5.%6.%7　"/>
      <w:lvlJc w:val="left"/>
      <w:pPr>
        <w:ind w:left="0" w:firstLine="0"/>
      </w:pPr>
      <w:rPr>
        <w:rFonts w:ascii="黑体" w:eastAsia="黑体" w:hAnsi="Times New Roman" w:hint="eastAsia"/>
        <w:b w:val="0"/>
        <w:i w:val="0"/>
        <w:sz w:val="28"/>
      </w:rPr>
    </w:lvl>
    <w:lvl w:ilvl="7">
      <w:start w:val="1"/>
      <w:numFmt w:val="decimal"/>
      <w:suff w:val="nothing"/>
      <w:lvlText w:val="%1%2.%3.%4.%5.%6.%7.%8  "/>
      <w:lvlJc w:val="left"/>
      <w:pPr>
        <w:ind w:left="0" w:firstLine="0"/>
      </w:pPr>
      <w:rPr>
        <w:rFonts w:ascii="黑体" w:eastAsia="黑体" w:hint="eastAsia"/>
        <w:b w:val="0"/>
        <w:i w:val="0"/>
        <w:caps w:val="0"/>
        <w:strike w:val="0"/>
        <w:dstrike w:val="0"/>
        <w:snapToGrid w:val="0"/>
        <w:vanish w:val="0"/>
        <w:spacing w:val="0"/>
        <w:w w:val="100"/>
        <w:kern w:val="0"/>
        <w:position w:val="0"/>
        <w:sz w:val="28"/>
        <w:vertAlign w:val="baseline"/>
      </w:rPr>
    </w:lvl>
    <w:lvl w:ilvl="8">
      <w:start w:val="1"/>
      <w:numFmt w:val="decimal"/>
      <w:suff w:val="nothing"/>
      <w:lvlText w:val="%1%2.%3.%4.%5.%6.%7.%8.%9  "/>
      <w:lvlJc w:val="left"/>
      <w:pPr>
        <w:ind w:left="0" w:firstLine="0"/>
      </w:pPr>
      <w:rPr>
        <w:rFonts w:ascii="黑体" w:eastAsia="黑体" w:hint="eastAsia"/>
        <w:b w:val="0"/>
        <w:i w:val="0"/>
        <w:caps w:val="0"/>
        <w:strike w:val="0"/>
        <w:dstrike w:val="0"/>
        <w:snapToGrid w:val="0"/>
        <w:vanish w:val="0"/>
        <w:spacing w:val="0"/>
        <w:w w:val="100"/>
        <w:kern w:val="0"/>
        <w:position w:val="0"/>
        <w:sz w:val="28"/>
        <w:vertAlign w:val="baseline"/>
      </w:rPr>
    </w:lvl>
  </w:abstractNum>
  <w:abstractNum w:abstractNumId="14">
    <w:nsid w:val="53A08313"/>
    <w:multiLevelType w:val="singleLevel"/>
    <w:tmpl w:val="53A08313"/>
    <w:lvl w:ilvl="0">
      <w:start w:val="9"/>
      <w:numFmt w:val="chineseCounting"/>
      <w:suff w:val="space"/>
      <w:lvlText w:val="第%1章"/>
      <w:lvlJc w:val="left"/>
      <w:rPr>
        <w:rFonts w:hint="eastAsia"/>
      </w:rPr>
    </w:lvl>
  </w:abstractNum>
  <w:abstractNum w:abstractNumId="15">
    <w:nsid w:val="6CEA2025"/>
    <w:multiLevelType w:val="multilevel"/>
    <w:tmpl w:val="6CEA2025"/>
    <w:lvl w:ilvl="0">
      <w:start w:val="1"/>
      <w:numFmt w:val="none"/>
      <w:suff w:val="nothing"/>
      <w:lvlText w:val="%1"/>
      <w:lvlJc w:val="left"/>
      <w:pPr>
        <w:ind w:left="0" w:firstLine="0"/>
      </w:pPr>
      <w:rPr>
        <w:rFonts w:ascii="Times New Roman" w:hAnsi="Times New Roman" w:hint="default"/>
        <w:b/>
        <w:i w:val="0"/>
        <w:sz w:val="21"/>
      </w:rPr>
    </w:lvl>
    <w:lvl w:ilvl="1">
      <w:start w:val="1"/>
      <w:numFmt w:val="decimal"/>
      <w:suff w:val="nothing"/>
      <w:lvlText w:val="%1%2　"/>
      <w:lvlJc w:val="left"/>
      <w:pPr>
        <w:ind w:left="0" w:firstLine="0"/>
      </w:pPr>
      <w:rPr>
        <w:rFonts w:ascii="黑体" w:eastAsia="黑体" w:hAnsi="Times New Roman" w:hint="eastAsia"/>
        <w:b w:val="0"/>
        <w:i w:val="0"/>
        <w:sz w:val="28"/>
      </w:rPr>
    </w:lvl>
    <w:lvl w:ilvl="2">
      <w:start w:val="1"/>
      <w:numFmt w:val="decimal"/>
      <w:suff w:val="nothing"/>
      <w:lvlText w:val="%1%2.%3　"/>
      <w:lvlJc w:val="left"/>
      <w:pPr>
        <w:ind w:left="0" w:firstLine="0"/>
      </w:pPr>
      <w:rPr>
        <w:rFonts w:ascii="黑体" w:eastAsia="黑体" w:hAnsi="Times New Roman" w:hint="eastAsia"/>
        <w:b w:val="0"/>
        <w:i w:val="0"/>
        <w:sz w:val="28"/>
      </w:rPr>
    </w:lvl>
    <w:lvl w:ilvl="3">
      <w:start w:val="1"/>
      <w:numFmt w:val="decimal"/>
      <w:suff w:val="nothing"/>
      <w:lvlText w:val="%1%2.%3.%4　"/>
      <w:lvlJc w:val="left"/>
      <w:pPr>
        <w:ind w:left="0" w:firstLine="0"/>
      </w:pPr>
      <w:rPr>
        <w:rFonts w:ascii="黑体" w:eastAsia="黑体" w:hAnsi="Times New Roman" w:hint="eastAsia"/>
        <w:b w:val="0"/>
        <w:i w:val="0"/>
        <w:sz w:val="28"/>
      </w:rPr>
    </w:lvl>
    <w:lvl w:ilvl="4">
      <w:start w:val="1"/>
      <w:numFmt w:val="decimal"/>
      <w:suff w:val="nothing"/>
      <w:lvlText w:val="%1%2.%3.%4.%5　"/>
      <w:lvlJc w:val="left"/>
      <w:pPr>
        <w:ind w:left="0" w:firstLine="0"/>
      </w:pPr>
      <w:rPr>
        <w:rFonts w:ascii="黑体" w:eastAsia="黑体" w:hAnsi="Times New Roman" w:hint="eastAsia"/>
        <w:b w:val="0"/>
        <w:i w:val="0"/>
        <w:sz w:val="28"/>
      </w:rPr>
    </w:lvl>
    <w:lvl w:ilvl="5">
      <w:start w:val="1"/>
      <w:numFmt w:val="decimal"/>
      <w:suff w:val="nothing"/>
      <w:lvlText w:val="%1%2.%3.%4.%5.%6　"/>
      <w:lvlJc w:val="left"/>
      <w:pPr>
        <w:ind w:left="0" w:firstLine="0"/>
      </w:pPr>
      <w:rPr>
        <w:rFonts w:ascii="黑体" w:eastAsia="黑体" w:hAnsi="Times New Roman" w:hint="eastAsia"/>
        <w:b w:val="0"/>
        <w:i w:val="0"/>
        <w:sz w:val="28"/>
      </w:rPr>
    </w:lvl>
    <w:lvl w:ilvl="6">
      <w:start w:val="1"/>
      <w:numFmt w:val="decimal"/>
      <w:suff w:val="nothing"/>
      <w:lvlText w:val="%1%2.%3.%4.%5.%6.%7　"/>
      <w:lvlJc w:val="left"/>
      <w:pPr>
        <w:ind w:left="0" w:firstLine="0"/>
      </w:pPr>
      <w:rPr>
        <w:rFonts w:ascii="黑体" w:eastAsia="黑体" w:hAnsi="Times New Roman" w:hint="eastAsia"/>
        <w:b w:val="0"/>
        <w:i w:val="0"/>
        <w:sz w:val="28"/>
      </w:rPr>
    </w:lvl>
    <w:lvl w:ilvl="7">
      <w:start w:val="1"/>
      <w:numFmt w:val="decimal"/>
      <w:suff w:val="nothing"/>
      <w:lvlText w:val="%1%2.%3.%4.%5.%6.%7.%8  "/>
      <w:lvlJc w:val="left"/>
      <w:pPr>
        <w:ind w:left="0" w:firstLine="0"/>
      </w:pPr>
      <w:rPr>
        <w:rFonts w:ascii="黑体" w:eastAsia="黑体" w:hint="eastAsia"/>
        <w:b w:val="0"/>
        <w:i w:val="0"/>
        <w:caps w:val="0"/>
        <w:strike w:val="0"/>
        <w:dstrike w:val="0"/>
        <w:snapToGrid w:val="0"/>
        <w:vanish w:val="0"/>
        <w:spacing w:val="0"/>
        <w:w w:val="100"/>
        <w:kern w:val="0"/>
        <w:position w:val="0"/>
        <w:sz w:val="28"/>
        <w:vertAlign w:val="baseline"/>
      </w:rPr>
    </w:lvl>
    <w:lvl w:ilvl="8">
      <w:start w:val="1"/>
      <w:numFmt w:val="decimal"/>
      <w:suff w:val="nothing"/>
      <w:lvlText w:val="%1%2.%3.%4.%5.%6.%7.%8.%9  "/>
      <w:lvlJc w:val="left"/>
      <w:pPr>
        <w:ind w:left="0" w:firstLine="0"/>
      </w:pPr>
      <w:rPr>
        <w:rFonts w:ascii="黑体" w:eastAsia="黑体" w:hint="eastAsia"/>
        <w:b w:val="0"/>
        <w:i w:val="0"/>
        <w:caps w:val="0"/>
        <w:strike w:val="0"/>
        <w:dstrike w:val="0"/>
        <w:snapToGrid w:val="0"/>
        <w:vanish w:val="0"/>
        <w:spacing w:val="0"/>
        <w:w w:val="100"/>
        <w:kern w:val="0"/>
        <w:position w:val="0"/>
        <w:sz w:val="28"/>
        <w:vertAlign w:val="baseline"/>
      </w:rPr>
    </w:lvl>
  </w:abstractNum>
  <w:abstractNum w:abstractNumId="16">
    <w:nsid w:val="705C9257"/>
    <w:multiLevelType w:val="multilevel"/>
    <w:tmpl w:val="6CEA2025"/>
    <w:lvl w:ilvl="0">
      <w:start w:val="1"/>
      <w:numFmt w:val="none"/>
      <w:suff w:val="nothing"/>
      <w:lvlText w:val="%1"/>
      <w:lvlJc w:val="left"/>
      <w:pPr>
        <w:ind w:left="0" w:firstLine="0"/>
      </w:pPr>
      <w:rPr>
        <w:rFonts w:ascii="Times New Roman" w:hAnsi="Times New Roman" w:hint="default"/>
        <w:b/>
        <w:i w:val="0"/>
        <w:sz w:val="21"/>
      </w:rPr>
    </w:lvl>
    <w:lvl w:ilvl="1">
      <w:start w:val="1"/>
      <w:numFmt w:val="decimal"/>
      <w:suff w:val="nothing"/>
      <w:lvlText w:val="%1%2　"/>
      <w:lvlJc w:val="left"/>
      <w:pPr>
        <w:ind w:left="0" w:firstLine="0"/>
      </w:pPr>
      <w:rPr>
        <w:rFonts w:ascii="黑体" w:eastAsia="黑体" w:hAnsi="Times New Roman" w:hint="eastAsia"/>
        <w:b w:val="0"/>
        <w:i w:val="0"/>
        <w:sz w:val="28"/>
      </w:rPr>
    </w:lvl>
    <w:lvl w:ilvl="2">
      <w:start w:val="1"/>
      <w:numFmt w:val="decimal"/>
      <w:suff w:val="nothing"/>
      <w:lvlText w:val="%1%2.%3　"/>
      <w:lvlJc w:val="left"/>
      <w:pPr>
        <w:ind w:left="0" w:firstLine="0"/>
      </w:pPr>
      <w:rPr>
        <w:rFonts w:ascii="黑体" w:eastAsia="黑体" w:hAnsi="Times New Roman" w:hint="eastAsia"/>
        <w:b w:val="0"/>
        <w:i w:val="0"/>
        <w:sz w:val="28"/>
      </w:rPr>
    </w:lvl>
    <w:lvl w:ilvl="3">
      <w:start w:val="1"/>
      <w:numFmt w:val="decimal"/>
      <w:suff w:val="nothing"/>
      <w:lvlText w:val="%1%2.%3.%4　"/>
      <w:lvlJc w:val="left"/>
      <w:pPr>
        <w:ind w:left="0" w:firstLine="0"/>
      </w:pPr>
      <w:rPr>
        <w:rFonts w:ascii="黑体" w:eastAsia="黑体" w:hAnsi="Times New Roman" w:hint="eastAsia"/>
        <w:b w:val="0"/>
        <w:i w:val="0"/>
        <w:sz w:val="28"/>
      </w:rPr>
    </w:lvl>
    <w:lvl w:ilvl="4">
      <w:start w:val="1"/>
      <w:numFmt w:val="decimal"/>
      <w:suff w:val="nothing"/>
      <w:lvlText w:val="%1%2.%3.%4.%5　"/>
      <w:lvlJc w:val="left"/>
      <w:pPr>
        <w:ind w:left="0" w:firstLine="0"/>
      </w:pPr>
      <w:rPr>
        <w:rFonts w:ascii="黑体" w:eastAsia="黑体" w:hAnsi="Times New Roman" w:hint="eastAsia"/>
        <w:b w:val="0"/>
        <w:i w:val="0"/>
        <w:sz w:val="28"/>
      </w:rPr>
    </w:lvl>
    <w:lvl w:ilvl="5">
      <w:start w:val="1"/>
      <w:numFmt w:val="decimal"/>
      <w:suff w:val="nothing"/>
      <w:lvlText w:val="%1%2.%3.%4.%5.%6　"/>
      <w:lvlJc w:val="left"/>
      <w:pPr>
        <w:ind w:left="0" w:firstLine="0"/>
      </w:pPr>
      <w:rPr>
        <w:rFonts w:ascii="黑体" w:eastAsia="黑体" w:hAnsi="Times New Roman" w:hint="eastAsia"/>
        <w:b w:val="0"/>
        <w:i w:val="0"/>
        <w:sz w:val="28"/>
      </w:rPr>
    </w:lvl>
    <w:lvl w:ilvl="6">
      <w:start w:val="1"/>
      <w:numFmt w:val="decimal"/>
      <w:suff w:val="nothing"/>
      <w:lvlText w:val="%1%2.%3.%4.%5.%6.%7　"/>
      <w:lvlJc w:val="left"/>
      <w:pPr>
        <w:ind w:left="0" w:firstLine="0"/>
      </w:pPr>
      <w:rPr>
        <w:rFonts w:ascii="黑体" w:eastAsia="黑体" w:hAnsi="Times New Roman" w:hint="eastAsia"/>
        <w:b w:val="0"/>
        <w:i w:val="0"/>
        <w:sz w:val="28"/>
      </w:rPr>
    </w:lvl>
    <w:lvl w:ilvl="7">
      <w:start w:val="1"/>
      <w:numFmt w:val="decimal"/>
      <w:suff w:val="nothing"/>
      <w:lvlText w:val="%1%2.%3.%4.%5.%6.%7.%8  "/>
      <w:lvlJc w:val="left"/>
      <w:pPr>
        <w:ind w:left="0" w:firstLine="0"/>
      </w:pPr>
      <w:rPr>
        <w:rFonts w:ascii="黑体" w:eastAsia="黑体" w:hint="eastAsia"/>
        <w:b w:val="0"/>
        <w:i w:val="0"/>
        <w:caps w:val="0"/>
        <w:strike w:val="0"/>
        <w:dstrike w:val="0"/>
        <w:snapToGrid w:val="0"/>
        <w:vanish w:val="0"/>
        <w:spacing w:val="0"/>
        <w:w w:val="100"/>
        <w:kern w:val="0"/>
        <w:position w:val="0"/>
        <w:sz w:val="28"/>
        <w:vertAlign w:val="baseline"/>
      </w:rPr>
    </w:lvl>
    <w:lvl w:ilvl="8">
      <w:start w:val="1"/>
      <w:numFmt w:val="decimal"/>
      <w:suff w:val="nothing"/>
      <w:lvlText w:val="%1%2.%3.%4.%5.%6.%7.%8.%9  "/>
      <w:lvlJc w:val="left"/>
      <w:pPr>
        <w:ind w:left="0" w:firstLine="0"/>
      </w:pPr>
      <w:rPr>
        <w:rFonts w:ascii="黑体" w:eastAsia="黑体" w:hint="eastAsia"/>
        <w:b w:val="0"/>
        <w:i w:val="0"/>
        <w:caps w:val="0"/>
        <w:strike w:val="0"/>
        <w:dstrike w:val="0"/>
        <w:snapToGrid w:val="0"/>
        <w:vanish w:val="0"/>
        <w:spacing w:val="0"/>
        <w:w w:val="100"/>
        <w:kern w:val="0"/>
        <w:position w:val="0"/>
        <w:sz w:val="28"/>
        <w:vertAlign w:val="baseline"/>
      </w:rPr>
    </w:lvl>
  </w:abstractNum>
  <w:abstractNum w:abstractNumId="17">
    <w:nsid w:val="70C5738A"/>
    <w:multiLevelType w:val="multilevel"/>
    <w:tmpl w:val="70C5738A"/>
    <w:lvl w:ilvl="0">
      <w:start w:val="1"/>
      <w:numFmt w:val="bullet"/>
      <w:lvlText w:val=""/>
      <w:lvlJc w:val="left"/>
      <w:pPr>
        <w:ind w:left="920" w:hanging="440"/>
      </w:pPr>
      <w:rPr>
        <w:rFonts w:ascii="Wingdings" w:hAnsi="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abstractNum w:abstractNumId="18">
    <w:nsid w:val="7A0F6431"/>
    <w:multiLevelType w:val="singleLevel"/>
    <w:tmpl w:val="7A0F6431"/>
    <w:lvl w:ilvl="0">
      <w:start w:val="1"/>
      <w:numFmt w:val="decimal"/>
      <w:suff w:val="space"/>
      <w:lvlText w:val="%1."/>
      <w:lvlJc w:val="left"/>
    </w:lvl>
  </w:abstractNum>
  <w:abstractNum w:abstractNumId="19">
    <w:nsid w:val="7AD76E55"/>
    <w:multiLevelType w:val="multilevel"/>
    <w:tmpl w:val="7AD76E55"/>
    <w:lvl w:ilvl="0">
      <w:start w:val="1"/>
      <w:numFmt w:val="bullet"/>
      <w:lvlText w:val=""/>
      <w:lvlJc w:val="left"/>
      <w:pPr>
        <w:ind w:left="920" w:hanging="440"/>
      </w:pPr>
      <w:rPr>
        <w:rFonts w:ascii="Wingdings" w:hAnsi="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num w:numId="1">
    <w:abstractNumId w:val="7"/>
  </w:num>
  <w:num w:numId="2">
    <w:abstractNumId w:val="6"/>
  </w:num>
  <w:num w:numId="3">
    <w:abstractNumId w:val="8"/>
  </w:num>
  <w:num w:numId="4">
    <w:abstractNumId w:val="15"/>
  </w:num>
  <w:num w:numId="5">
    <w:abstractNumId w:val="9"/>
  </w:num>
  <w:num w:numId="6">
    <w:abstractNumId w:val="17"/>
  </w:num>
  <w:num w:numId="7">
    <w:abstractNumId w:val="10"/>
  </w:num>
  <w:num w:numId="8">
    <w:abstractNumId w:val="19"/>
  </w:num>
  <w:num w:numId="9">
    <w:abstractNumId w:val="14"/>
  </w:num>
  <w:num w:numId="10">
    <w:abstractNumId w:val="18"/>
  </w:num>
  <w:num w:numId="11">
    <w:abstractNumId w:val="1"/>
  </w:num>
  <w:num w:numId="12">
    <w:abstractNumId w:val="5"/>
  </w:num>
  <w:num w:numId="13">
    <w:abstractNumId w:val="3"/>
  </w:num>
  <w:num w:numId="14">
    <w:abstractNumId w:val="2"/>
  </w:num>
  <w:num w:numId="15">
    <w:abstractNumId w:val="12"/>
  </w:num>
  <w:num w:numId="16">
    <w:abstractNumId w:val="0"/>
  </w:num>
  <w:num w:numId="17">
    <w:abstractNumId w:val="4"/>
  </w:num>
  <w:num w:numId="18">
    <w:abstractNumId w:val="11"/>
  </w:num>
  <w:num w:numId="19">
    <w:abstractNumId w:val="16"/>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2B4"/>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24B0"/>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A0D"/>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2431"/>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8E0"/>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370B7"/>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18E3"/>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0A31"/>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4A95"/>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7AD"/>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6AA"/>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4F34"/>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C8"/>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C61A1"/>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25716</Words>
  <Characters>27253</Characters>
  <Application>Microsoft Office Word</Application>
  <DocSecurity>0</DocSecurity>
  <Lines>209</Lines>
  <Paragraphs>59</Paragraphs>
  <ScaleCrop>false</ScaleCrop>
  <Company>中国气象局</Company>
  <LinksUpToDate>false</LinksUpToDate>
  <CharactersWithSpaces>27436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2025-07-01T07:52:43Z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