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（范本，非软件开发服务类适用）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国家卫星气象中心2026年度高端小机设备维保</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ZQCD-26010</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2026年01月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中所述服务及相关货物的招标投标。本项目属性确定为服务类（不含软件开发）采购。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所述所有服务内容、货物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kern w:val="0"/>
        </w:rPr>
        <w:t>1.3.9</w:t>
      </w:r>
      <w:r>
        <w:rPr>
          <w:rFonts w:hint="eastAsia"/>
        </w:rPr>
        <w:t>如投标人授权代表不是法定代表人，须在投标函中具有法定代表人的授权，否则投标将被拒绝。</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1.4.2投标人获得本项目采购合同后，在本项目实施过程中应保持服务团队人员特别是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5.6条有关进口产品投标要求的，投标将被拒绝。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第五章投标人须知专用部分5.6条</w:t>
      </w:r>
      <w:r>
        <w:rPr>
          <w:rFonts w:hint="eastAsia"/>
        </w:rPr>
        <w:t>有关代理商投标要求，以及进口产品代理商未按</w:t>
      </w:r>
      <w:r>
        <w:rPr>
          <w:rFonts w:hint="eastAsia"/>
          <w:b/>
        </w:rPr>
        <w:t>第五章投标人须知专用部分5.7条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宋体" w:hAnsi="宋体" w:hint="eastAsia"/>
          <w:szCs w:val="21"/>
        </w:rPr>
        <w:t>⑨</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微软雅黑" w:eastAsia="微软雅黑" w:hAnsi="微软雅黑" w:hint="eastAsia"/>
          <w:szCs w:val="21"/>
        </w:rPr>
        <w:t>⑩</w:t>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第五章投标人须知专用部分5.12条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第五章投标人须知专用部分5.12条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hint="eastAsia"/>
          <w:b/>
          <w:bCs/>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1.17.3投标人要按分项报价表的内容填写单价（包括服务清单、方式、费用，</w:t>
      </w:r>
      <w:r>
        <w:rPr>
          <w:rFonts w:ascii="宋体" w:eastAsia="宋体" w:hAnsi="宋体" w:cs="Times New Roman" w:hint="eastAsia"/>
          <w:szCs w:val="21"/>
        </w:rPr>
        <w:t>货物报价及品牌、型号、产地、装</w:t>
      </w:r>
      <w:r>
        <w:rPr>
          <w:rFonts w:ascii="宋体" w:hAnsi="宋体" w:hint="eastAsia"/>
          <w:szCs w:val="21"/>
        </w:rPr>
        <w:t>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中国气象局政府采购网（网址：http：//cmagp.cmaidp.cma.cn/portalweb），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以投标截止日为基准日，近一年内任何</w:t>
      </w:r>
      <w:r>
        <w:t>完税凭证或税务部门出具的税收减免证明</w:t>
      </w:r>
      <w:r>
        <w:rPr>
          <w:rFonts w:hint="eastAsia"/>
        </w:rPr>
        <w:t>，</w:t>
      </w:r>
      <w:r>
        <w:t>③</w:t>
      </w:r>
      <w:r>
        <w:rPr>
          <w:rFonts w:hint="eastAsia"/>
        </w:rPr>
        <w:t>以投标截止日为基准日，</w:t>
      </w:r>
      <w:r>
        <w:t>近</w:t>
      </w:r>
      <w:r>
        <w:rPr>
          <w:rFonts w:hint="eastAsia"/>
        </w:rPr>
        <w:t>一年内任何一期的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5.12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（4）根据1.26.8条修正后的分项报价表总价金额小于单独密封的开标一览表总价金额；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单独密封的开标一览表总价金额，评标委员会按1.27条规定的程序要求其对单价进行调整，并使其分项报价表总价金额等于单独密封的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服务标准及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）服务标准及质量、投标产品的技术性能及质量。包括对招标文件应答情况，服务标准、质量、产品技术规格有无偏离，产品的性能、标准，产品的先进性、可靠性、稳定性及质量保证等；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spacing w:line="360" w:lineRule="auto"/>
        <w:ind w:firstLine="420" w:firstLineChars="200"/>
        <w:rPr>
          <w:rFonts w:ascii="宋体" w:hAnsi="宋体"/>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spacing w:line="360" w:lineRule="auto"/>
        <w:ind w:firstLine="420" w:firstLineChars="200"/>
        <w:jc w:val="center"/>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6.开标一览表或投标文件中未注明出处的优惠金额可由采购人按用户利益最大化原则分摊到主要服务费用中，折算后的价格作为可能的追加采购服务的计费依据。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0" w:name="_Hlt509739007"/>
      <w:bookmarkEnd w:id="10"/>
      <w:r>
        <w:rPr>
          <w:rFonts w:ascii="宋体" w:eastAsia="宋体" w:hAnsi="宋体" w:cs="Times New Roman" w:hint="eastAsia"/>
          <w:b/>
          <w:kern w:val="2"/>
          <w:sz w:val="21"/>
          <w:szCs w:val="21"/>
          <w:highlight w:val="none"/>
          <w:lang w:val="en-US" w:eastAsia="zh-CN" w:bidi="ar-SA"/>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2.10.8</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1" w:name="_Toc86202647"/>
      <w:r>
        <w:rPr>
          <w:rFonts w:ascii="宋体" w:eastAsia="宋体" w:hAnsi="宋体" w:cs="Times New Roman" w:hint="eastAsia"/>
          <w:b/>
          <w:kern w:val="2"/>
          <w:sz w:val="21"/>
          <w:szCs w:val="21"/>
          <w:highlight w:val="none"/>
          <w:lang w:val="en-US" w:eastAsia="zh-CN" w:bidi="ar-SA"/>
        </w:rPr>
        <w:t>2.10.9中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w:t>
      </w:r>
      <w:r>
        <w:rPr>
          <w:rFonts w:ascii="华文楷体" w:eastAsia="华文楷体" w:hAnsi="华文楷体" w:cs="仿宋_GB2312"/>
          <w:szCs w:val="21"/>
          <w:highlight w:val="none"/>
        </w:rPr>
        <w:t>名称（</w:t>
      </w:r>
      <w:r>
        <w:rPr>
          <w:rFonts w:ascii="华文楷体" w:eastAsia="华文楷体" w:hAnsi="华文楷体" w:cs="仿宋_GB2312" w:hint="eastAsia"/>
          <w:szCs w:val="21"/>
          <w:highlight w:val="none"/>
        </w:rPr>
        <w:t>电子签章</w:t>
      </w:r>
      <w:r>
        <w:rPr>
          <w:rFonts w:ascii="华文楷体" w:eastAsia="华文楷体" w:hAnsi="华文楷体" w:cs="仿宋_GB2312"/>
          <w:szCs w:val="21"/>
          <w:highlight w:val="none"/>
        </w:rPr>
        <w:t>）：</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b/>
          <w:szCs w:val="21"/>
          <w:highlight w:val="none"/>
        </w:rPr>
      </w:pP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2.10.10</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2.10.12其他资格证明文件</w:t>
      </w:r>
    </w:p>
    <w:p>
      <w:pPr>
        <w:adjustRightInd w:val="0"/>
        <w:snapToGrid w:val="0"/>
        <w:spacing w:line="360" w:lineRule="auto"/>
        <w:ind w:firstLine="412" w:firstLineChars="196"/>
        <w:rPr>
          <w:rFonts w:ascii="Times New Roman" w:eastAsia="宋体" w:hAnsi="Times New Roman" w:cs="Times New Roman"/>
          <w:szCs w:val="20"/>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2.12述标委托书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照第五章投标人须知专用部分5.12条规定应提交的各种商务文件。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eastAsia="宋体" w:hAnsi="宋体" w:cs="Times New Roman" w:hint="eastAsia"/>
          <w:b/>
          <w:szCs w:val="20"/>
        </w:rPr>
        <w:t>响应人自行编写的商务文件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End w:id="7"/>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2.16分项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说明：1、采购内容不含货物购置的不提供表二。表一、二总价之和应等于开标一览表投标总价。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ind w:firstLine="420"/>
        <w:outlineLvl w:val="3"/>
        <w:rPr>
          <w:rFonts w:ascii="宋体" w:hAnsi="宋体"/>
          <w:b/>
          <w:szCs w:val="21"/>
        </w:rPr>
      </w:pP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2.17服务团队人员基本情况表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pStyle w:val="PlainText"/>
        <w:spacing w:line="360" w:lineRule="auto"/>
        <w:rPr>
          <w:rFonts w:ascii="华文楷体" w:eastAsia="华文楷体" w:hAnsi="华文楷体"/>
        </w:rPr>
      </w:pPr>
      <w:r>
        <w:rPr>
          <w:rFonts w:ascii="华文楷体" w:eastAsia="华文楷体" w:hAnsi="华文楷体" w:cs="Times New Roman" w:hint="eastAsia"/>
        </w:rPr>
        <w:t>项目名称：</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项目编号：</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包号：</w:t>
      </w:r>
      <w:r>
        <w:rPr>
          <w:rFonts w:ascii="华文楷体" w:eastAsia="华文楷体" w:hAnsi="华文楷体" w:cs="Times New Roman" w:hint="eastAsia"/>
          <w:u w:val="single"/>
        </w:rPr>
        <w:t xml:space="preserve">    </w:t>
      </w:r>
      <w:r>
        <w:rPr>
          <w:rFonts w:ascii="华文楷体" w:eastAsia="华文楷体" w:hAnsi="华文楷体" w:cs="Times New Roman" w:hint="eastAsi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2.18技术要求偏离表</w:t>
      </w:r>
    </w:p>
    <w:p>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bl>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示例：如某应答内容在投标人自行编制的技术文件10-13页，则填列“投标人自行编制的技术文件10-13页”。</w:t>
      </w:r>
    </w:p>
    <w:p>
      <w:pPr>
        <w:tabs>
          <w:tab w:val="left" w:pos="1260"/>
        </w:tabs>
        <w:adjustRightInd w:val="0"/>
        <w:snapToGrid w:val="0"/>
        <w:spacing w:line="360" w:lineRule="auto"/>
        <w:ind w:firstLine="420" w:firstLineChars="200"/>
        <w:rPr>
          <w:rFonts w:ascii="华文楷体" w:eastAsia="华文楷体" w:hAnsi="华文楷体" w:cs="Times New Roman"/>
          <w:szCs w:val="21"/>
        </w:rPr>
      </w:pP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2.20投标人项目实施和售后服务方案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hAnsi="宋体" w:hint="eastAsia"/>
          <w:b/>
          <w:szCs w:val="21"/>
        </w:rPr>
        <w:t>21其他技术文件</w:t>
      </w:r>
    </w:p>
    <w:p>
      <w:pPr>
        <w:tabs>
          <w:tab w:val="left" w:pos="1573"/>
        </w:tabs>
        <w:adjustRightInd w:val="0"/>
        <w:snapToGrid w:val="0"/>
        <w:spacing w:line="360" w:lineRule="auto"/>
        <w:ind w:firstLine="412" w:firstLineChars="196"/>
        <w:jc w:val="left"/>
        <w:outlineLvl w:val="9"/>
        <w:rPr>
          <w:rFonts w:ascii="宋体" w:hAnsi="宋体" w:hint="eastAsia"/>
        </w:rPr>
      </w:pPr>
      <w:r>
        <w:rPr>
          <w:rFonts w:ascii="宋体" w:eastAsia="宋体" w:hAnsi="宋体" w:cs="Times New Roman" w:hint="eastAsia"/>
          <w:szCs w:val="20"/>
        </w:rPr>
        <w:t>按</w:t>
      </w:r>
      <w:r>
        <w:rPr>
          <w:rFonts w:ascii="宋体" w:hAnsi="宋体" w:hint="eastAsia"/>
        </w:rPr>
        <w:t>照第五章投标人须知专用部分5.12条规定应提交的各种技术文件。如招标文件第七章采购需求等章节中有专门格式要求，按专门格式编写。如无专门格式要求，由投标人自拟格式编写。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22投标人自行编写的技术文件。</w:t>
      </w:r>
    </w:p>
    <w:p>
      <w:pPr>
        <w:adjustRightInd w:val="0"/>
        <w:snapToGrid w:val="0"/>
        <w:spacing w:line="360" w:lineRule="auto"/>
        <w:ind w:firstLine="412" w:firstLineChars="196"/>
        <w:rPr>
          <w:rFonts w:ascii="宋体" w:hAnsi="宋体"/>
        </w:rPr>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588" w:firstLineChars="196"/>
        <w:jc w:val="center"/>
        <w:outlineLvl w:val="2"/>
        <w:rPr>
          <w:b/>
          <w:bCs/>
          <w:sz w:val="30"/>
          <w:szCs w:val="30"/>
          <w:highlight w:val="none"/>
        </w:rPr>
      </w:pPr>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792"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81" w:type="dxa"/>
            <w:gridSpan w:val="2"/>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为本项目提供整体设计、规范编制或者项目管理、监理、检测等服务的供应商，或者未在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rPr>
                <w:rFonts w:ascii="宋体" w:hAnsi="宋体" w:hint="eastAsia"/>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1.3.4</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hint="eastAsia"/>
                <w:sz w:val="18"/>
                <w:szCs w:val="18"/>
                <w:highlight w:val="none"/>
              </w:rPr>
              <w:t>如果不允许联合体投标，则联合体投标将被拒绝。如果允许联合体投标，其投标被拒绝的情形如下：（1）</w:t>
            </w:r>
            <w:r>
              <w:rPr>
                <w:rFonts w:ascii="宋体" w:hAnsi="宋体" w:hint="eastAsia"/>
                <w:sz w:val="18"/>
                <w:szCs w:val="18"/>
                <w:highlight w:val="none"/>
              </w:rPr>
              <w:t>联合体投标文件未附联合体协议的，其投标将被拒绝。</w:t>
            </w:r>
            <w:r>
              <w:rPr>
                <w:rFonts w:hint="eastAsia"/>
                <w:sz w:val="18"/>
                <w:szCs w:val="18"/>
                <w:highlight w:val="none"/>
              </w:rPr>
              <w:t>（2）以联合体形式参加投标的，联合体各方均应当符合《中华人民共和国政府采购法》第二十二条第一款规定的条件。否则，其提交的联合投标将被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w:t>
            </w:r>
            <w:r>
              <w:rPr>
                <w:rFonts w:ascii="宋体" w:hAnsi="宋体"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1.3.7</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bCs/>
                <w:sz w:val="18"/>
                <w:szCs w:val="18"/>
                <w:highlight w:val="none"/>
              </w:rPr>
            </w:pPr>
            <w:r>
              <w:rPr>
                <w:rFonts w:ascii="宋体" w:hAnsi="宋体" w:hint="eastAsia"/>
                <w:bCs/>
                <w:sz w:val="18"/>
                <w:szCs w:val="18"/>
                <w:highlight w:val="none"/>
              </w:rPr>
              <w:t>1.3.8</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如需要组成专门的服务团队，</w:t>
            </w:r>
            <w:r>
              <w:rPr>
                <w:rFonts w:ascii="宋体" w:hAnsi="宋体" w:hint="eastAsia"/>
                <w:sz w:val="18"/>
                <w:szCs w:val="18"/>
                <w:highlight w:val="none"/>
              </w:rPr>
              <w:t>投标人不能组成服务团队的，投标将被</w:t>
            </w:r>
            <w:r>
              <w:rPr>
                <w:rFonts w:ascii="宋体" w:hAnsi="宋体" w:hint="eastAsia"/>
                <w:b/>
                <w:sz w:val="18"/>
                <w:szCs w:val="18"/>
                <w:highlight w:val="none"/>
              </w:rPr>
              <w:t>拒绝</w:t>
            </w:r>
            <w:r>
              <w:rPr>
                <w:rFonts w:ascii="宋体" w:hAnsi="宋体" w:hint="eastAsia"/>
                <w:sz w:val="18"/>
                <w:szCs w:val="18"/>
                <w:highlight w:val="none"/>
              </w:rPr>
              <w:t>；如服务团队人数以及人员的能力、资质等不符合采购文件要求的，将可能导致评审时被扣除相关分数直至投标被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1.4.3</w:t>
            </w:r>
          </w:p>
        </w:tc>
        <w:tc>
          <w:tcPr>
            <w:tcW w:w="7723" w:type="dxa"/>
            <w:vAlign w:val="center"/>
          </w:tcPr>
          <w:p>
            <w:pPr>
              <w:tabs>
                <w:tab w:val="left" w:pos="1573"/>
              </w:tabs>
              <w:adjustRightInd w:val="0"/>
              <w:snapToGrid w:val="0"/>
              <w:spacing w:line="360" w:lineRule="auto"/>
              <w:rPr>
                <w:rFonts w:hint="eastAsia"/>
                <w:sz w:val="18"/>
                <w:szCs w:val="18"/>
                <w:highlight w:val="none"/>
              </w:rPr>
            </w:pPr>
            <w:r>
              <w:rPr>
                <w:rFonts w:ascii="宋体" w:hAnsi="宋体" w:hint="eastAsia"/>
                <w:sz w:val="18"/>
                <w:szCs w:val="18"/>
                <w:highlight w:val="none"/>
              </w:rPr>
              <w:t>如需要驻场服务，但投标人不能提供驻场服务的，投标将被</w:t>
            </w:r>
            <w:r>
              <w:rPr>
                <w:rFonts w:ascii="宋体" w:hAnsi="宋体" w:hint="eastAsia"/>
                <w:b/>
                <w:sz w:val="18"/>
                <w:szCs w:val="18"/>
                <w:highlight w:val="none"/>
              </w:rPr>
              <w:t>拒绝</w:t>
            </w:r>
            <w:r>
              <w:rPr>
                <w:rFonts w:ascii="宋体" w:hAnsi="宋体" w:hint="eastAsia"/>
                <w:sz w:val="18"/>
                <w:szCs w:val="18"/>
                <w:highlight w:val="none"/>
              </w:rPr>
              <w:t>；如驻场服务人数、专业水平等不符合采购文件要求的，将可能导致评审时被扣除相关分数直至投标被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highlight w:val="none"/>
              </w:rPr>
            </w:pPr>
            <w:r>
              <w:rPr>
                <w:rFonts w:ascii="宋体" w:hAnsi="宋体" w:hint="eastAsia"/>
                <w:sz w:val="18"/>
                <w:szCs w:val="18"/>
                <w:highlight w:val="none"/>
              </w:rPr>
              <w:t>如本次采购内容包括货物，且</w:t>
            </w: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如本次采购内容包括货物，且</w:t>
            </w:r>
            <w:r>
              <w:rPr>
                <w:rFonts w:hint="eastAsia"/>
                <w:sz w:val="18"/>
                <w:szCs w:val="18"/>
                <w:highlight w:val="none"/>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5.6条有关进口产品投标要求的，投标将被拒绝。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sz w:val="18"/>
                <w:szCs w:val="18"/>
                <w:highlight w:val="none"/>
              </w:rPr>
              <w:t>如本次采购内容包括货物，</w:t>
            </w:r>
            <w:r>
              <w:rPr>
                <w:rFonts w:hint="eastAsia"/>
                <w:bCs/>
                <w:sz w:val="18"/>
                <w:szCs w:val="18"/>
                <w:highlight w:val="none"/>
              </w:rPr>
              <w:t>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第五章投标人须知专用部分5.6条</w:t>
            </w:r>
            <w:r>
              <w:rPr>
                <w:rFonts w:hint="eastAsia"/>
                <w:sz w:val="18"/>
                <w:szCs w:val="18"/>
                <w:highlight w:val="none"/>
              </w:rPr>
              <w:t>有关代理商投标要求，以及进口产品代理商未按</w:t>
            </w:r>
            <w:r>
              <w:rPr>
                <w:rFonts w:hint="eastAsia"/>
                <w:b/>
                <w:sz w:val="18"/>
                <w:szCs w:val="18"/>
                <w:highlight w:val="none"/>
              </w:rPr>
              <w:t>第五章投标人须知专用部分5.7条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gridSpan w:val="2"/>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bCs/>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（如本次采购内容不包括货物，或者投标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hint="eastAsia"/>
                <w:bCs/>
                <w:sz w:val="18"/>
                <w:szCs w:val="18"/>
                <w:highlight w:val="none"/>
              </w:rPr>
              <w:t>中小</w:t>
            </w:r>
            <w:r>
              <w:rPr>
                <w:bCs/>
                <w:sz w:val="18"/>
                <w:szCs w:val="18"/>
                <w:highlight w:val="none"/>
              </w:rPr>
              <w:t>企业声明函</w:t>
            </w:r>
            <w:r>
              <w:rPr>
                <w:rFonts w:hint="eastAsia"/>
                <w:bCs/>
                <w:sz w:val="18"/>
                <w:szCs w:val="18"/>
                <w:highlight w:val="none"/>
              </w:rPr>
              <w:t>或残疾人福利性单位声明函或监狱企业证明文件（不是预留采购份额面向中小企业采购的项目，可以不提供，但不能享受可能的价格扣除优惠）；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hint="eastAsia"/>
                <w:bCs/>
                <w:sz w:val="18"/>
                <w:szCs w:val="18"/>
                <w:highlight w:val="none"/>
              </w:rPr>
              <w:t>；</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第五章投标人须知专用部分5.12条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rPr>
                <w:sz w:val="18"/>
                <w:szCs w:val="18"/>
                <w:highlight w:val="none"/>
              </w:rPr>
            </w:pPr>
            <w:r>
              <w:rPr>
                <w:rFonts w:hint="eastAsia"/>
                <w:sz w:val="18"/>
                <w:szCs w:val="18"/>
                <w:highlight w:val="none"/>
              </w:rPr>
              <w:t>投标人未提交全以下技术文件（特别说明除外）：1、开标一览表；2、分项报价表；3、服务团队人员基本情况表（如未要求组成专门的服务团队的，不提供）；4、技术要求偏离表；4、按照第五章投标人须知专用部分5.12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rPr>
                <w:rFonts w:ascii="宋体" w:hAnsi="宋体"/>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center"/>
        <w:rPr>
          <w:b/>
          <w:sz w:val="48"/>
          <w:szCs w:val="36"/>
          <w:highlight w:val="none"/>
        </w:rPr>
      </w:pPr>
    </w:p>
    <w:p>
      <w:pPr>
        <w:spacing w:line="360" w:lineRule="auto"/>
        <w:jc w:val="center"/>
        <w:outlineLvl w:val="0"/>
        <w:rPr>
          <w:rFonts w:ascii="宋体" w:hAnsi="宋体"/>
          <w:b/>
          <w:sz w:val="48"/>
          <w:szCs w:val="36"/>
          <w:highlight w:val="none"/>
        </w:rPr>
      </w:pPr>
      <w:r>
        <w:rPr>
          <w:b/>
          <w:sz w:val="48"/>
          <w:szCs w:val="36"/>
          <w:highlight w:val="none"/>
        </w:rPr>
        <w:br w:type="page"/>
      </w: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461" w:firstLineChars="1172"/>
        <w:jc w:val="left"/>
        <w:rPr>
          <w:b/>
          <w:bCs/>
          <w:szCs w:val="21"/>
          <w:highlight w:val="none"/>
        </w:rPr>
      </w:pPr>
      <w:r>
        <w:rPr>
          <w:rFonts w:hint="eastAsia"/>
          <w:b/>
          <w:bCs/>
          <w:szCs w:val="21"/>
          <w:highlight w:val="none"/>
        </w:rPr>
        <w:t>第四章  投标邀请书</w:t>
      </w:r>
    </w:p>
    <w:p>
      <w:pPr>
        <w:adjustRightInd w:val="0"/>
        <w:snapToGrid w:val="0"/>
        <w:spacing w:line="360" w:lineRule="auto"/>
        <w:ind w:firstLine="2461" w:firstLineChars="1172"/>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461" w:firstLineChars="1172"/>
        <w:jc w:val="left"/>
        <w:rPr>
          <w:b/>
          <w:bCs/>
          <w:szCs w:val="21"/>
          <w:highlight w:val="none"/>
        </w:rPr>
      </w:pPr>
      <w:r>
        <w:rPr>
          <w:rFonts w:hint="eastAsia"/>
          <w:b/>
          <w:szCs w:val="21"/>
          <w:highlight w:val="none"/>
        </w:rPr>
        <w:t>第七章  采购需求</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国家卫星气象中心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国家卫星气象中心2026年度高端小机设备维保</w:t>
      </w:r>
      <w:bookmarkEnd w:id="21"/>
      <w:r>
        <w:rPr>
          <w:rFonts w:ascii="宋体" w:hAnsi="宋体" w:cs="宋体" w:hint="eastAsia"/>
          <w:b/>
          <w:bCs/>
          <w:szCs w:val="21"/>
          <w:highlight w:val="none"/>
        </w:rPr>
        <w:t>。</w:t>
      </w:r>
    </w:p>
    <w:p>
      <w:pPr>
        <w:spacing w:line="360" w:lineRule="auto"/>
        <w:ind w:firstLine="420" w:firstLineChars="200"/>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ZQCD-26010</w:t>
      </w:r>
      <w:bookmarkEnd w:id="22"/>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自合同签订日起，为期一年</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国家卫星气象中心</w:t>
      </w:r>
      <w:bookmarkEnd w:id="25"/>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2026年01月26日 00:00:00</w:t>
      </w:r>
      <w:bookmarkEnd w:id="26"/>
      <w:r>
        <w:rPr>
          <w:rFonts w:ascii="宋体" w:hint="eastAsia"/>
          <w:szCs w:val="21"/>
          <w:highlight w:val="none"/>
        </w:rPr>
        <w:t>至</w:t>
      </w:r>
      <w:bookmarkStart w:id="27" w:name="项目公告_signUpLastTime"/>
      <w:r>
        <w:rPr>
          <w:rFonts w:ascii="宋体" w:hint="eastAsia"/>
          <w:szCs w:val="21"/>
          <w:highlight w:val="none"/>
        </w:rPr>
        <w:t>2026年02月02日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2026年02月26日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adjustRightInd/>
        <w:snapToGrid/>
        <w:spacing w:line="360" w:lineRule="auto"/>
        <w:ind w:firstLine="420" w:firstLineChars="200"/>
        <w:jc w:val="both"/>
        <w:rPr>
          <w:rFonts w:ascii="宋体" w:hAnsi="宋体"/>
          <w:bCs/>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本项目相关信息均在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陈龙光</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国家卫星气象中心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刘欣宇</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010-58994301</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海淀区中关村南大街46号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adjustRightInd w:val="0"/>
        <w:snapToGrid w:val="0"/>
        <w:spacing w:line="360" w:lineRule="auto"/>
        <w:jc w:val="center"/>
        <w:outlineLvl w:val="1"/>
        <w:rPr>
          <w:b/>
          <w:bCs/>
          <w:sz w:val="30"/>
          <w:szCs w:val="30"/>
          <w:highlight w:val="none"/>
        </w:rPr>
      </w:pPr>
      <w:r>
        <w:rPr>
          <w:b/>
          <w:bCs/>
          <w:szCs w:val="21"/>
          <w:highlight w:val="none"/>
        </w:rPr>
        <w:br w:type="page"/>
      </w:r>
      <w:bookmarkStart w:id="37"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8" w:name="采购人2_recorderOrgName"/>
            <w:r>
              <w:rPr>
                <w:rFonts w:ascii="宋体" w:eastAsia="宋体" w:hAnsi="宋体" w:cs="微软雅黑" w:hint="eastAsia"/>
                <w:kern w:val="0"/>
                <w:szCs w:val="21"/>
                <w:highlight w:val="none"/>
              </w:rPr>
              <w:t>国家卫星气象中心</w:t>
            </w:r>
            <w:bookmarkEnd w:id="38"/>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0" w:name="联合体投标_jointFlagText"/>
            <w:r>
              <w:rPr>
                <w:rFonts w:ascii="宋体" w:eastAsia="宋体" w:hAnsi="宋体" w:cs="微软雅黑" w:hint="eastAsia"/>
                <w:kern w:val="0"/>
                <w:szCs w:val="21"/>
                <w:highlight w:val="none"/>
              </w:rPr>
              <w:t>不允许</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1" w:name="服务团队_isMakeSpecializedServiceFlagText"/>
            <w:r>
              <w:rPr>
                <w:rFonts w:ascii="宋体" w:eastAsia="宋体" w:hAnsi="宋体" w:cs="微软雅黑" w:hint="eastAsia"/>
                <w:kern w:val="0"/>
                <w:szCs w:val="21"/>
                <w:highlight w:val="none"/>
              </w:rPr>
              <w:t>需要，组成不少于 3 人的服务团队，具体要求详见第七章采购需求。</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2" w:name="驻场服务_residentServiceFlagText"/>
            <w:r>
              <w:rPr>
                <w:rFonts w:ascii="宋体" w:eastAsia="宋体" w:hAnsi="宋体" w:cs="微软雅黑" w:hint="eastAsia"/>
                <w:kern w:val="0"/>
                <w:szCs w:val="21"/>
                <w:highlight w:val="none"/>
              </w:rPr>
              <w:t>是，驻场服务人员不少于 2 人，其相关要求详见第七章采购需求。</w:t>
            </w:r>
            <w:bookmarkEnd w:id="42"/>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3" w:name="选择是否为货物_includingGoodsFlagText"/>
            <w:r>
              <w:rPr>
                <w:rFonts w:ascii="宋体" w:eastAsia="宋体" w:hAnsi="宋体" w:cs="微软雅黑" w:hint="eastAsia"/>
                <w:kern w:val="0"/>
                <w:szCs w:val="21"/>
                <w:highlight w:val="none"/>
              </w:rPr>
              <w:t>否</w:t>
            </w:r>
            <w:bookmarkEnd w:id="43"/>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4" w:name="进口产品_agentMaterials"/>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5.8</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5" w:name="行业_smeIndustryClassification"/>
            <w:r>
              <w:rPr>
                <w:rFonts w:ascii="宋体" w:hAnsi="宋体" w:cs="微软雅黑" w:hint="eastAsia"/>
                <w:kern w:val="0"/>
                <w:szCs w:val="21"/>
                <w:highlight w:val="none"/>
              </w:rPr>
              <w:t>所属行业划分标准为：《关于印发中小企业划型标准规定的通知》（工信部联企业〔2011〕300号） 本项目标的属于  软件和信息技术服务业  行业。</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5.9</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6" w:name="中小企业_minorEnterprisesFlagText"/>
            <w:r>
              <w:rPr>
                <w:rFonts w:ascii="Wingdings 2" w:hAnsi="Wingdings 2" w:cs="微软雅黑" w:hint="eastAsia"/>
                <w:kern w:val="0"/>
                <w:szCs w:val="21"/>
                <w:highlight w:val="none"/>
                <w:lang w:eastAsia="zh-CN"/>
              </w:rPr>
              <w:t>否</w:t>
            </w:r>
            <w:bookmarkEnd w:id="46"/>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7" w:name="代理服务费_agentAmountText"/>
            <w:r>
              <w:rPr>
                <w:rFonts w:ascii="宋体" w:eastAsia="宋体" w:hAnsi="宋体" w:cs="微软雅黑" w:hint="eastAsia"/>
                <w:kern w:val="0"/>
                <w:szCs w:val="21"/>
                <w:highlight w:val="none"/>
              </w:rPr>
              <w:t>是，代理服务费：5.1万元。</w:t>
            </w:r>
            <w:bookmarkEnd w:id="47"/>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11</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48" w:name="答疑会_answeringQuestionFlagText"/>
            <w:r>
              <w:rPr>
                <w:rFonts w:ascii="宋体" w:hAnsi="宋体" w:cs="微软雅黑" w:hint="eastAsia"/>
                <w:kern w:val="0"/>
                <w:szCs w:val="21"/>
                <w:highlight w:val="none"/>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5.13</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49" w:name="标保证金_bailFlagText"/>
            <w:r>
              <w:rPr>
                <w:rFonts w:asciiTheme="minorEastAsia" w:eastAsiaTheme="minorEastAsia" w:hAnsiTheme="minorEastAsia" w:cstheme="minorEastAsia" w:hint="eastAsia"/>
                <w:kern w:val="0"/>
                <w:szCs w:val="21"/>
                <w:highlight w:val="none"/>
              </w:rPr>
              <w:t>否</w:t>
            </w:r>
            <w:bookmarkEnd w:id="49"/>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r>
              <w:rPr>
                <w:rFonts w:ascii="宋体" w:hAnsi="宋体" w:cs="微软雅黑" w:hint="eastAsia"/>
                <w:kern w:val="0"/>
                <w:szCs w:val="21"/>
                <w:highlight w:val="none"/>
              </w:rPr>
              <w:t xml:space="preserve"> </w:t>
            </w:r>
            <w:bookmarkStart w:id="50" w:name="预算金额_budgetAmount"/>
            <w:r>
              <w:rPr>
                <w:rFonts w:ascii="宋体" w:hAnsi="宋体" w:cs="微软雅黑" w:hint="eastAsia"/>
                <w:kern w:val="0"/>
                <w:szCs w:val="21"/>
                <w:highlight w:val="none"/>
              </w:rPr>
              <w:t>595.990000</w:t>
            </w:r>
            <w:bookmarkEnd w:id="50"/>
            <w:r>
              <w:rPr>
                <w:rFonts w:ascii="宋体" w:hAnsi="宋体" w:cs="微软雅黑" w:hint="eastAsia"/>
                <w:kern w:val="0"/>
                <w:szCs w:val="21"/>
                <w:highlight w:val="none"/>
              </w:rPr>
              <w:t>万元</w:t>
            </w:r>
            <w:bookmarkStart w:id="51" w:name="预算明细_packMoneyDetail"/>
            <w:r>
              <w:rPr>
                <w:rFonts w:hint="eastAsia"/>
                <w:szCs w:val="21"/>
                <w:highlight w:val="none"/>
              </w:rPr>
              <w:t>,包 1 采购预算(或最高限价)为人民币 595.990000 万元</w:t>
            </w:r>
            <w:bookmarkEnd w:id="51"/>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3" w:name="投标有效期_bidExpirationDate"/>
            <w:r>
              <w:rPr>
                <w:rFonts w:ascii="宋体" w:hAnsi="宋体" w:cs="微软雅黑" w:hint="eastAsia"/>
                <w:kern w:val="0"/>
                <w:szCs w:val="21"/>
                <w:highlight w:val="none"/>
              </w:rPr>
              <w:t>120日历天</w:t>
            </w:r>
            <w:bookmarkEnd w:id="53"/>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5.17</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4" w:name="进行述标_describeStandardFlagText"/>
            <w:r>
              <w:rPr>
                <w:rFonts w:ascii="宋体" w:eastAsia="宋体" w:hAnsi="宋体" w:cs="微软雅黑" w:hint="eastAsia"/>
                <w:kern w:val="0"/>
                <w:szCs w:val="21"/>
                <w:highlight w:val="none"/>
              </w:rPr>
              <w:t>否</w:t>
            </w:r>
            <w:bookmarkEnd w:id="54"/>
            <w:bookmarkStart w:id="55" w:name="_GoBack"/>
            <w:bookmarkEnd w:id="55"/>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shd w:val="clear" w:color="auto" w:fill="auto"/>
            <w:noWrap w:val="0"/>
            <w:vAlign w:val="center"/>
          </w:tcPr>
          <w:p>
            <w:pPr>
              <w:rPr>
                <w:rFonts w:ascii="宋体" w:hAnsi="宋体" w:hint="eastAsia"/>
                <w:szCs w:val="21"/>
                <w:highlight w:val="none"/>
              </w:rPr>
            </w:pPr>
            <w:bookmarkStart w:id="56" w:name="其他事项_ottherReemarks"/>
            <w:r>
              <w:rPr>
                <w:rFonts w:ascii="宋体" w:hAnsi="宋体" w:eastAsiaTheme="minorEastAsia" w:cstheme="minorBidi" w:hint="eastAsia"/>
                <w:kern w:val="2"/>
                <w:sz w:val="21"/>
                <w:szCs w:val="21"/>
                <w:highlight w:val="none"/>
                <w:lang w:val="en-US" w:eastAsia="zh-CN" w:bidi="ar-SA"/>
              </w:rPr>
              <w:t>无</w:t>
            </w:r>
            <w:bookmarkEnd w:id="56"/>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309" w:firstLineChars="147"/>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309" w:firstLineChars="147"/>
        <w:rPr>
          <w:rFonts w:ascii="宋体" w:hAnsi="宋体"/>
          <w:b/>
          <w:bCs/>
          <w:szCs w:val="21"/>
          <w:highlight w:val="none"/>
        </w:rPr>
      </w:pPr>
      <w:r>
        <w:rPr>
          <w:rFonts w:ascii="宋体" w:hAnsi="宋体" w:hint="eastAsia"/>
          <w:b/>
          <w:bCs/>
          <w:szCs w:val="21"/>
          <w:highlight w:val="none"/>
        </w:rPr>
        <w:t>二、评分标准：</w:t>
      </w:r>
    </w:p>
    <w:p>
      <w:pPr>
        <w:spacing w:line="360" w:lineRule="auto"/>
        <w:ind w:firstLine="315" w:firstLineChars="15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8"/>
        <w:gridCol w:w="259"/>
        <w:gridCol w:w="865"/>
        <w:gridCol w:w="259"/>
        <w:gridCol w:w="698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(10)</w:t>
            </w:r>
          </w:p>
        </w:tc>
        <w:tc>
          <w:tcPr/>
          <w:p>
            <w:r>
              <w:t>评审标准：</w:t>
            </w:r>
          </w:p>
          <w:p>
            <w:r>
              <w:t>采用低价优先法计算，公式：投标人得分=评标基准价/评标价×10</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(6)</w:t>
            </w:r>
          </w:p>
        </w:tc>
        <w:tc>
          <w:tcPr/>
          <w:p>
            <w:r>
              <w:t>评审标准：</w:t>
            </w:r>
          </w:p>
          <w:p>
            <w:r>
              <w:t>1、具有ISO27001信息安全管理体系证书得1分；</w:t>
              <w:cr/>
              <w:t>2、具有有效期内ISO20000信息技术服务管理体系认证证书得1分；</w:t>
              <w:cr/>
              <w:t>3、具有中国电子信息行业联合会认证的信息系统建设和服务能力证书(CS4或以上)得2分；</w:t>
              <w:cr/>
              <w:t>4、具有ITSS信息技术服务运行维护标准符合性证书（二级或以上）得1分；</w:t>
              <w:cr/>
              <w:t>5、具有中国网络安全审查技术与认证中心颁发的信息安全服务资质认证证书-信息系统安全集成服务二级或以上得1分。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每提供1份合同得2分，最多得8分</w:t>
            </w:r>
          </w:p>
          <w:p>
            <w:r>
              <w:t>评审标准说明：</w:t>
            </w:r>
          </w:p>
          <w:p>
            <w:r>
              <w:t>1、需提供投标人的相关服务合同（必须包括合同首页、金额页、标的页、签字盖章页）复印件并加盖投标人公章。</w:t>
              <w:cr/>
              <w:t>2、合同签署日期为投标截止日前三年内。如合同无签署日期无效。</w:t>
              <w:cr/>
              <w:t>3、合同标的必须包括与本项目类似的服务内容。</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原厂技术支持和售后服务（客观分）</w:t>
            </w:r>
          </w:p>
        </w:tc>
        <w:tc>
          <w:tcPr/>
          <w:p>
            <w:r>
              <w:t>勾选打分</w:t>
            </w:r>
            <w:r>
              <w:t>(6)</w:t>
            </w:r>
          </w:p>
        </w:tc>
        <w:tc>
          <w:tcPr/>
          <w:p>
            <w:r>
              <w:t>评审标准：</w:t>
            </w:r>
          </w:p>
          <w:p>
            <w:r>
              <w:t>每提供 1份用户满意度证明得2分，最多得6分。</w:t>
            </w:r>
          </w:p>
          <w:p>
            <w:r>
              <w:t>评审标准说明：</w:t>
            </w:r>
          </w:p>
          <w:p>
            <w:r>
              <w:t>投标人提供投标截止日前三年内用户出具的与本项目类似的服务项目评价良好的证明文件（包括用户单位联系人、联系方式），并加盖投标人公章。</w:t>
            </w:r>
          </w:p>
          <w:p/>
        </w:tc>
      </w:tr>
      <w:tr>
        <w:tblPrEx>
          <w:tblW w:w="5000" w:type="pct"/>
          <w:tblCellMar>
            <w:left w:w="108" w:type="dxa"/>
            <w:right w:w="108" w:type="dxa"/>
          </w:tblCellMar>
        </w:tblPrEx>
        <w:tc>
          <w:tcPr/>
          <w:p>
            <w:r>
              <w:t>5</w:t>
            </w:r>
          </w:p>
        </w:tc>
        <w:tc>
          <w:tcPr>
            <w:vMerge/>
          </w:tcPr>
          <w:p>
            <w:r>
              <w:t>服务部分</w:t>
            </w:r>
          </w:p>
        </w:tc>
        <w:tc>
          <w:tcPr/>
          <w:p>
            <w:r>
              <w:t>服务团队（客观分）</w:t>
            </w:r>
          </w:p>
        </w:tc>
        <w:tc>
          <w:tcPr/>
          <w:p>
            <w:r>
              <w:t>区间打分</w:t>
            </w:r>
            <w:r>
              <w:t>(10)</w:t>
            </w:r>
          </w:p>
        </w:tc>
        <w:tc>
          <w:tcPr/>
          <w:p>
            <w:r>
              <w:t>评审标准：</w:t>
            </w:r>
          </w:p>
          <w:p>
            <w:r>
              <w:t>投标人应组成本项目服务团队，团队组织结构清晰，应设服务团队负责人（项目经理），人员专业背景齐全。具体如下：</w:t>
              <w:cr/>
              <w:t>1、应组成服务团队，服务团队人数在3人基础上，每增加2人得1分，最高2分；</w:t>
              <w:cr/>
              <w:t>2、服务团队负责人（项目经理）拥有高级项目经理资质或PMP项目管理认证且提供相应证明，有同类项目工作经验5年以上，得3分；</w:t>
              <w:cr/>
              <w:t>3、除服务团队负责人（项目经理）之外，服务团队应包含有IBM AIX、ORACLE、Sybase等维护经验的人才，每具备一个专业得1分，最多得 3 分。1人具有以上多个维护经历的，可重复计算。</w:t>
              <w:cr/>
              <w:t>4、除服务团队负责人（项目经理）之外，服务团队应包含中级工程师及以上职称人员，每有1名得 1分，最多得2分。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6</w:t>
            </w:r>
          </w:p>
        </w:tc>
        <w:tc>
          <w:tcPr>
            <w:vMerge/>
          </w:tcPr>
          <w:p>
            <w:r>
              <w:t>服务部分</w:t>
            </w:r>
          </w:p>
        </w:tc>
        <w:tc>
          <w:tcPr/>
          <w:p>
            <w:r>
              <w:t>质量保障与实施方案（主观分）</w:t>
            </w:r>
          </w:p>
        </w:tc>
        <w:tc>
          <w:tcPr/>
          <w:p>
            <w:r>
              <w:t>勾选打分</w:t>
            </w:r>
            <w:r>
              <w:t>(3)</w:t>
            </w:r>
          </w:p>
        </w:tc>
        <w:tc>
          <w:tcPr/>
          <w:p>
            <w:r>
              <w:t>评审标准：</w:t>
            </w:r>
          </w:p>
          <w:p>
            <w:r>
              <w:t>一档0分</w:t>
              <w:cr/>
              <w:t>二档1分</w:t>
              <w:cr/>
              <w:t>三档2分</w:t>
              <w:cr/>
              <w:t>四档3分</w:t>
            </w:r>
          </w:p>
          <w:p>
            <w:r>
              <w:t>评审标准说明：</w:t>
            </w:r>
          </w:p>
          <w:p>
            <w:r>
              <w:t>提供质量保障与实施方案，提出合理的项目全过程质量保证措施，过程检查有明确依据，质量保证工作量化。</w:t>
              <w:cr/>
              <w:t>一档：未提供方案；</w:t>
              <w:cr/>
              <w:t>二档：方案不完整，无针对性，合理性、可行性差；</w:t>
              <w:cr/>
              <w:t>三档：方案内容较完整，但详细程度一般，进度控制保证措施针对性、合理性、可行性一般。</w:t>
              <w:cr/>
              <w:t>四档：方案内容完整详实，项目组织机构清晰，进度控制保证措施针对性强，切实可行。</w:t>
            </w:r>
          </w:p>
          <w:p/>
        </w:tc>
      </w:tr>
      <w:tr>
        <w:tblPrEx>
          <w:tblW w:w="5000" w:type="pct"/>
          <w:tblCellMar>
            <w:left w:w="108" w:type="dxa"/>
            <w:right w:w="108" w:type="dxa"/>
          </w:tblCellMar>
        </w:tblPrEx>
        <w:tc>
          <w:tcPr/>
          <w:p>
            <w:r>
              <w:t>7</w:t>
            </w:r>
          </w:p>
        </w:tc>
        <w:tc>
          <w:tcPr>
            <w:vMerge/>
          </w:tcPr>
          <w:p>
            <w:r>
              <w:t>服务部分</w:t>
            </w:r>
          </w:p>
        </w:tc>
        <w:tc>
          <w:tcPr/>
          <w:p>
            <w:r>
              <w:t>项目需求分析</w:t>
            </w:r>
          </w:p>
        </w:tc>
        <w:tc>
          <w:tcPr/>
          <w:p>
            <w:r>
              <w:t>勾选打分</w:t>
            </w:r>
            <w:r>
              <w:t>(2)</w:t>
            </w:r>
          </w:p>
        </w:tc>
        <w:tc>
          <w:tcPr/>
          <w:p>
            <w:r>
              <w:t>评审标准：</w:t>
            </w:r>
          </w:p>
          <w:p>
            <w:r>
              <w:t>一档0分</w:t>
              <w:cr/>
              <w:t>二档0.5分</w:t>
              <w:cr/>
              <w:t>三档1分</w:t>
              <w:cr/>
              <w:t>四档2分</w:t>
            </w:r>
          </w:p>
          <w:p>
            <w:r>
              <w:t>评审标准说明：</w:t>
            </w:r>
          </w:p>
          <w:p>
            <w:r>
              <w:t>根据投标人提供项目需求分析材料进行评分。具体评分标准如下：</w:t>
              <w:cr/>
              <w:t>一档：未提供分析方案；</w:t>
              <w:cr/>
              <w:t>二档：对项目范围和内容及用户总体需求理解有一定偏差，描述简单；</w:t>
              <w:cr/>
              <w:t>三档：对项目范围和内容及用户总体需求分析无偏差，但描述简单、不清晰；</w:t>
              <w:cr/>
              <w:t>四档：对项目范围和内容及用户总体需求分析无偏差，描述详实、清晰。</w:t>
            </w:r>
          </w:p>
          <w:p/>
        </w:tc>
      </w:tr>
      <w:tr>
        <w:tblPrEx>
          <w:tblW w:w="5000" w:type="pct"/>
          <w:tblCellMar>
            <w:left w:w="108" w:type="dxa"/>
            <w:right w:w="108" w:type="dxa"/>
          </w:tblCellMar>
        </w:tblPrEx>
        <w:tc>
          <w:tcPr/>
          <w:p>
            <w:r>
              <w:t>8</w:t>
            </w:r>
          </w:p>
        </w:tc>
        <w:tc>
          <w:tcPr>
            <w:vMerge/>
          </w:tcPr>
          <w:p>
            <w:r>
              <w:t>服务部分</w:t>
            </w:r>
          </w:p>
        </w:tc>
        <w:tc>
          <w:tcPr/>
          <w:p>
            <w:r>
              <w:t>总体服务方案</w:t>
            </w:r>
          </w:p>
        </w:tc>
        <w:tc>
          <w:tcPr/>
          <w:p>
            <w:r>
              <w:t>勾选打分</w:t>
            </w:r>
            <w:r>
              <w:t>(3)</w:t>
            </w:r>
          </w:p>
        </w:tc>
        <w:tc>
          <w:tcPr/>
          <w:p>
            <w:r>
              <w:t>评审标准：</w:t>
            </w:r>
          </w:p>
          <w:p>
            <w:r>
              <w:t>一档0分</w:t>
              <w:cr/>
              <w:t>二档1分</w:t>
              <w:cr/>
              <w:t>三档2分</w:t>
              <w:cr/>
              <w:t>四档3分</w:t>
            </w:r>
          </w:p>
          <w:p>
            <w:r>
              <w:t>评审标准说明：</w:t>
            </w:r>
          </w:p>
          <w:p>
            <w:r>
              <w:t>根据投标人提供总体服务方案进行评分。具体评分标准如下：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9</w:t>
            </w:r>
          </w:p>
        </w:tc>
        <w:tc>
          <w:tcPr>
            <w:vMerge/>
          </w:tcPr>
          <w:p>
            <w:r>
              <w:t>服务部分</w:t>
            </w:r>
          </w:p>
        </w:tc>
        <w:tc>
          <w:tcPr/>
          <w:p>
            <w:r>
              <w:t>具体服务方案（主观分）</w:t>
            </w:r>
          </w:p>
        </w:tc>
        <w:tc>
          <w:tcPr/>
          <w:p>
            <w:r>
              <w:t>区间打分</w:t>
            </w:r>
            <w:r>
              <w:t>(21)</w:t>
            </w:r>
          </w:p>
        </w:tc>
        <w:tc>
          <w:tcPr/>
          <w:p>
            <w:r>
              <w:t>评审标准：</w:t>
            </w:r>
          </w:p>
          <w:p>
            <w:r>
              <w:t>针对以下每项服务内容提交具体服务方案：</w:t>
              <w:cr/>
              <w:t>1、集成商日常维护要求</w:t>
              <w:cr/>
              <w:t>2、设备原厂维护要求</w:t>
              <w:cr/>
              <w:t>3、特殊时期维护要求</w:t>
              <w:cr/>
              <w:t>4、技术人员驻场及技术团队要求</w:t>
              <w:cr/>
              <w:t>5、升级改造、系统优化及安全加固</w:t>
              <w:cr/>
              <w:t>6、运行维护记录要求</w:t>
              <w:cr/>
              <w:t>7、培训要求</w:t>
              <w:cr/>
              <w:cr/>
              <w:t>以上每项服务内容：</w:t>
              <w:cr/>
              <w:t>一档0分</w:t>
              <w:cr/>
              <w:t>二档1分</w:t>
              <w:cr/>
              <w:t>三档2分</w:t>
              <w:cr/>
              <w:t>四档3分</w:t>
              <w:cr/>
              <w:t>以上共计7项服务内容，满分21分。</w:t>
            </w:r>
          </w:p>
          <w:p>
            <w:r>
              <w:t>评审标准说明：</w:t>
            </w:r>
          </w:p>
          <w:p>
            <w:r>
              <w:t>根据投标人提供具体服务方案进行评分。具体评分标准如下：</w:t>
              <w:cr/>
              <w:t>一档：未提供方案；</w:t>
              <w:cr/>
              <w:t>二档：方案不完整，缺乏设备针对性；</w:t>
              <w:cr/>
              <w:t>二档：方案简单，基本合理，针对性一般，基本满足招标文件具体指标要求；</w:t>
              <w:cr/>
              <w:t>四档：方案详细具体合理，针对性强，完全满足招标文件具体指标要求。</w:t>
            </w:r>
          </w:p>
          <w:p/>
        </w:tc>
      </w:tr>
      <w:tr>
        <w:tblPrEx>
          <w:tblW w:w="5000" w:type="pct"/>
          <w:tblCellMar>
            <w:left w:w="108" w:type="dxa"/>
            <w:right w:w="108" w:type="dxa"/>
          </w:tblCellMar>
        </w:tblPrEx>
        <w:tc>
          <w:tcPr/>
          <w:p>
            <w:r>
              <w:t>10</w:t>
            </w:r>
          </w:p>
        </w:tc>
        <w:tc>
          <w:tcPr>
            <w:vMerge/>
          </w:tcPr>
          <w:p>
            <w:r>
              <w:t>服务部分</w:t>
            </w:r>
          </w:p>
        </w:tc>
        <w:tc>
          <w:tcPr/>
          <w:p>
            <w:r>
              <w:t>具体服务指标（客观分）</w:t>
            </w:r>
          </w:p>
        </w:tc>
        <w:tc>
          <w:tcPr/>
          <w:p>
            <w:r>
              <w:t>区间打分</w:t>
            </w:r>
            <w:r>
              <w:t>(24.5)</w:t>
            </w:r>
          </w:p>
        </w:tc>
        <w:tc>
          <w:tcPr/>
          <w:p>
            <w:r>
              <w:t>评审标准：</w:t>
            </w:r>
          </w:p>
          <w:p>
            <w:r>
              <w:t>1、服务内容一：集成商日常维护内容，相较于第七章5.1要求规定，优于任意一项响应时间或包含更多具体服务，得3.5分；</w:t>
              <w:cr/>
              <w:t>2、服务内容二：设备原厂维护内容，相较于第七章5.2要求规定，优于任意一项响应时间或包含更多具体服务，得3.5分；</w:t>
              <w:cr/>
              <w:t>3、服务内容三：特殊时期维护内容，相较于第七章5.3要求规定，包含更多具体服务，得3.5分；</w:t>
              <w:cr/>
              <w:t>4、服务内容四：技术人员驻场及技术团队内容，相较于第七章5.4要求规定，包含更多具体服务，得3.5分；</w:t>
              <w:cr/>
              <w:t>5、服务内容五：升级改造、系统优化及安全加固内容，相较于第七章5.5要求规定，包含更多具体服务，得3.5分；</w:t>
              <w:cr/>
              <w:t>6、服务内容六：运行维护记录内容，相较于第七章5.6要求规定，包含更多具体服务，得3.5分；</w:t>
              <w:cr/>
              <w:t>7、服务内容七：培训内容，相较于第七章5.7要求规定，包含更多具体服务或培训人次，得3.5分；</w:t>
              <w:cr/>
              <w:cr/>
              <w:t>以上共计21分。</w:t>
            </w:r>
          </w:p>
          <w:p>
            <w:r>
              <w:t>评审标准说明：</w:t>
            </w:r>
          </w:p>
          <w:p>
            <w:r>
              <w:t>需提供证明材料或详细方案，并加盖投标人公章。</w:t>
            </w:r>
          </w:p>
          <w:p/>
        </w:tc>
      </w:tr>
      <w:tr>
        <w:tblPrEx>
          <w:tblW w:w="5000" w:type="pct"/>
          <w:tblCellMar>
            <w:left w:w="108" w:type="dxa"/>
            <w:right w:w="108" w:type="dxa"/>
          </w:tblCellMar>
        </w:tblPrEx>
        <w:tc>
          <w:tcPr/>
          <w:p>
            <w:r>
              <w:t>11</w:t>
            </w:r>
          </w:p>
        </w:tc>
        <w:tc>
          <w:tcPr>
            <w:vMerge/>
          </w:tcPr>
          <w:p>
            <w:r>
              <w:t>服务部分</w:t>
            </w:r>
          </w:p>
        </w:tc>
        <w:tc>
          <w:tcPr/>
          <w:p>
            <w:r>
              <w:t>针对本项目的合理化建议（主观分）</w:t>
            </w:r>
          </w:p>
        </w:tc>
        <w:tc>
          <w:tcPr/>
          <w:p>
            <w:r>
              <w:t>勾选打分</w:t>
            </w:r>
            <w:r>
              <w:t>(4)</w:t>
            </w:r>
          </w:p>
        </w:tc>
        <w:tc>
          <w:tcPr/>
          <w:p>
            <w:r>
              <w:t>评审标准：</w:t>
            </w:r>
          </w:p>
          <w:p>
            <w:r>
              <w:t>每提供一条合理化建议得1分，满分4分。</w:t>
            </w:r>
          </w:p>
          <w:p>
            <w:r>
              <w:t>评审标准说明：</w:t>
            </w:r>
          </w:p>
          <w:p>
            <w:r>
              <w:t>对采购人的采购要求、服务要求、质量要求、管理要求有深刻认识，对项目特点的认识了解非常全面，深入理解项目的难点与关键点，并有针对性地为项目提出相关的建议，且建议合理、可行、完整。由评标委员会进行评判，符合项目实际需要可采纳于后续工作中的（不包含响应方案中已描述的建议和意见）。</w:t>
            </w:r>
          </w:p>
          <w:p/>
        </w:tc>
      </w:tr>
      <w:tr>
        <w:tblPrEx>
          <w:tblW w:w="5000" w:type="pct"/>
          <w:tblCellMar>
            <w:left w:w="108" w:type="dxa"/>
            <w:right w:w="108" w:type="dxa"/>
          </w:tblCellMar>
        </w:tblPrEx>
        <w:tc>
          <w:tcPr/>
          <w:p>
            <w:r>
              <w:t>12</w:t>
            </w:r>
          </w:p>
        </w:tc>
        <w:tc>
          <w:tcPr>
            <w:vMerge/>
          </w:tcPr>
          <w:p>
            <w:r>
              <w:t>服务部分</w:t>
            </w:r>
          </w:p>
        </w:tc>
        <w:tc>
          <w:tcPr/>
          <w:p>
            <w:r>
              <w:t>风险管理方案（主观分）</w:t>
            </w:r>
          </w:p>
        </w:tc>
        <w:tc>
          <w:tcPr/>
          <w:p>
            <w:r>
              <w:t>勾选打分</w:t>
            </w:r>
            <w:r>
              <w:t>(2.5)</w:t>
            </w:r>
          </w:p>
        </w:tc>
        <w:tc>
          <w:tcPr/>
          <w:p>
            <w:r>
              <w:t>评审标准：</w:t>
            </w:r>
          </w:p>
          <w:p>
            <w:r>
              <w:t>一档0分</w:t>
              <w:cr/>
              <w:t>二档0.5分</w:t>
              <w:cr/>
              <w:t>三档1分</w:t>
              <w:cr/>
              <w:t>四档2.5分</w:t>
            </w:r>
          </w:p>
          <w:p>
            <w:r>
              <w:t>评审标准说明：</w:t>
            </w:r>
          </w:p>
          <w:p>
            <w:r>
              <w:t>针对项目实施过程中，因国家政策、实施环境、重大技术等发生变化可能带来的项目实施风险，拟定风险管控方案。</w:t>
              <w:cr/>
              <w:t>一档：未提供方案。</w:t>
              <w:cr/>
              <w:t>二档：方案简单，无针对性。</w:t>
              <w:cr/>
              <w:t>三档：方案内容不全，详细程度一般，措施针对性可行性一般。</w:t>
              <w:cr/>
              <w:t>四档：方案内容全面、详细合理、措施针对性强，切实可行。</w:t>
            </w:r>
          </w:p>
          <w:p/>
        </w:tc>
      </w:tr>
    </w:tbl>
    <w:p w:rsidR="00A77B3E">
      <w:r>
        <w:t xml:space="preserve">      </w:t>
      </w:r>
    </w:p>
    <w:p w:rsidR="00A77B3E"/>
    <w:p w:rsidR="00A77B3E">
      <w:bookmarkEnd w:id="57"/>
    </w:p>
    <w:p>
      <w:pPr>
        <w:spacing w:before="156" w:beforeLines="50" w:line="360" w:lineRule="auto"/>
        <w:jc w:val="center"/>
        <w:outlineLvl w:val="1"/>
        <w:rPr>
          <w:rFonts w:ascii="宋体" w:hAnsi="宋体"/>
          <w:b/>
          <w:sz w:val="30"/>
          <w:szCs w:val="30"/>
        </w:rPr>
      </w:pPr>
      <w:r>
        <w:rPr>
          <w:bCs/>
          <w:szCs w:val="21"/>
          <w:highlight w:val="none"/>
        </w:rPr>
        <w:br w:type="page"/>
      </w:r>
      <w:bookmarkStart w:id="58" w:name="插入_采购需求书"/>
      <w:r>
        <w:rPr>
          <w:rFonts w:ascii="宋体" w:eastAsia="宋体" w:hAnsi="宋体" w:cs="Times New Roman" w:hint="eastAsia"/>
          <w:b/>
          <w:sz w:val="30"/>
          <w:szCs w:val="30"/>
        </w:rPr>
        <w:t>第七章  采购需求</w:t>
      </w:r>
    </w:p>
    <w:p>
      <w:pPr>
        <w:jc w:val="left"/>
        <w:rPr>
          <w:rFonts w:ascii="Times New Roman" w:eastAsia="宋体" w:hAnsi="Times New Roman" w:cs="Times New Roman"/>
          <w:b/>
          <w:szCs w:val="21"/>
        </w:rPr>
      </w:pPr>
    </w:p>
    <w:p>
      <w:pPr>
        <w:snapToGrid w:val="0"/>
        <w:spacing w:line="360" w:lineRule="auto"/>
        <w:ind w:firstLine="315" w:firstLineChars="150"/>
        <w:jc w:val="left"/>
        <w:rPr>
          <w:rFonts w:ascii="宋体" w:eastAsia="宋体" w:hAnsi="宋体" w:cs="Times New Roman"/>
          <w:szCs w:val="21"/>
        </w:rPr>
      </w:pPr>
      <w:r>
        <w:rPr>
          <w:rFonts w:ascii="宋体" w:eastAsia="宋体" w:hAnsi="宋体" w:cs="Times New Roman" w:hint="eastAsia"/>
          <w:szCs w:val="21"/>
        </w:rPr>
        <w:t>采购需求应当完整、明确，包括以下内容：</w:t>
      </w:r>
    </w:p>
    <w:p>
      <w:pPr>
        <w:snapToGrid w:val="0"/>
        <w:spacing w:line="360" w:lineRule="auto"/>
        <w:jc w:val="left"/>
        <w:rPr>
          <w:rFonts w:ascii="宋体" w:eastAsia="宋体" w:hAnsi="宋体" w:cs="Times New Roman"/>
          <w:szCs w:val="21"/>
        </w:rPr>
      </w:pPr>
      <w:r>
        <w:rPr>
          <w:rFonts w:ascii="宋体" w:eastAsia="宋体" w:hAnsi="宋体" w:cs="Times New Roman" w:hint="eastAsia"/>
          <w:szCs w:val="21"/>
        </w:rPr>
        <w:t>　　（一）采购标的需实现的功能或者目标，以及为落实政府采购政策需满足的要求；</w:t>
      </w:r>
    </w:p>
    <w:p>
      <w:pPr>
        <w:snapToGrid w:val="0"/>
        <w:spacing w:line="360" w:lineRule="auto"/>
        <w:ind w:firstLine="508" w:firstLineChars="242"/>
        <w:jc w:val="left"/>
        <w:rPr>
          <w:rFonts w:ascii="宋体" w:eastAsia="宋体" w:hAnsi="宋体"/>
          <w:bCs/>
          <w:szCs w:val="21"/>
        </w:rPr>
      </w:pPr>
      <w:r>
        <w:rPr>
          <w:rFonts w:ascii="宋体" w:eastAsia="宋体" w:hAnsi="宋体" w:hint="eastAsia"/>
          <w:bCs/>
          <w:szCs w:val="21"/>
        </w:rPr>
        <w:t>风云卫星地面系统支撑静止和极轨两个系列卫星的数据接收、处理和存档服务。为FY2、FY3、FY4等系列多颗卫星提供服务的部分计算设备将陆续过保。为了保证气象卫星地面应用系统的正常运转，需要购买新的系统设备维保服务。</w:t>
      </w:r>
    </w:p>
    <w:p>
      <w:pPr>
        <w:snapToGrid w:val="0"/>
        <w:spacing w:line="360" w:lineRule="auto"/>
        <w:jc w:val="left"/>
        <w:rPr>
          <w:rFonts w:ascii="宋体" w:eastAsia="宋体" w:hAnsi="宋体" w:cs="Times New Roman"/>
          <w:szCs w:val="21"/>
        </w:rPr>
      </w:pPr>
    </w:p>
    <w:p>
      <w:pPr>
        <w:snapToGrid w:val="0"/>
        <w:spacing w:line="360" w:lineRule="auto"/>
        <w:ind w:firstLine="420"/>
        <w:jc w:val="left"/>
        <w:rPr>
          <w:rFonts w:ascii="宋体" w:eastAsia="宋体" w:hAnsi="宋体" w:cs="Times New Roman"/>
          <w:szCs w:val="21"/>
        </w:rPr>
      </w:pPr>
      <w:r>
        <w:rPr>
          <w:rFonts w:ascii="宋体" w:eastAsia="宋体" w:hAnsi="宋体" w:cs="Times New Roman" w:hint="eastAsia"/>
          <w:szCs w:val="21"/>
        </w:rPr>
        <w:t>（二）采购标的需执行的国家相关标准、行业标准、地方标准或者其他标准、规范；</w:t>
      </w:r>
    </w:p>
    <w:p>
      <w:pPr>
        <w:snapToGrid w:val="0"/>
        <w:spacing w:line="360" w:lineRule="auto"/>
        <w:ind w:firstLine="420"/>
        <w:jc w:val="left"/>
        <w:rPr>
          <w:rFonts w:ascii="宋体" w:eastAsia="宋体" w:hAnsi="宋体" w:cs="Times New Roman"/>
          <w:szCs w:val="21"/>
        </w:rPr>
      </w:pPr>
      <w:r>
        <w:rPr>
          <w:rFonts w:ascii="宋体" w:eastAsia="宋体" w:hAnsi="宋体" w:cs="Times New Roman" w:hint="eastAsia"/>
          <w:szCs w:val="21"/>
        </w:rPr>
        <w:t>气象卫星地面应用系统硬件维护维修规范</w:t>
      </w:r>
    </w:p>
    <w:p>
      <w:pPr>
        <w:snapToGrid w:val="0"/>
        <w:spacing w:line="360" w:lineRule="auto"/>
        <w:ind w:firstLine="420"/>
        <w:jc w:val="left"/>
        <w:rPr>
          <w:rFonts w:ascii="宋体" w:eastAsia="宋体" w:hAnsi="宋体" w:cs="Times New Roman"/>
          <w:szCs w:val="21"/>
        </w:rPr>
      </w:pPr>
    </w:p>
    <w:p>
      <w:pPr>
        <w:snapToGrid w:val="0"/>
        <w:spacing w:line="360" w:lineRule="auto"/>
        <w:ind w:firstLine="420"/>
        <w:jc w:val="left"/>
        <w:rPr>
          <w:rFonts w:ascii="宋体" w:eastAsia="宋体" w:hAnsi="宋体" w:cs="Times New Roman"/>
          <w:szCs w:val="21"/>
        </w:rPr>
      </w:pPr>
      <w:r>
        <w:rPr>
          <w:rFonts w:ascii="宋体" w:eastAsia="宋体" w:hAnsi="宋体" w:cs="Times New Roman" w:hint="eastAsia"/>
          <w:szCs w:val="21"/>
        </w:rPr>
        <w:t>（三）采购标的需满足的质量、安全、技术规格、物理特性等要求；</w:t>
      </w:r>
    </w:p>
    <w:p>
      <w:pPr>
        <w:numPr>
          <w:ilvl w:val="0"/>
          <w:numId w:val="4"/>
        </w:numPr>
        <w:spacing w:before="100" w:beforeAutospacing="1" w:after="100" w:afterAutospacing="1"/>
        <w:rPr>
          <w:rFonts w:ascii="宋体" w:hAnsi="宋体"/>
        </w:rPr>
      </w:pPr>
      <w:r>
        <w:rPr>
          <w:rFonts w:ascii="宋体" w:hAnsi="宋体" w:hint="eastAsia"/>
        </w:rPr>
        <w:t>重要性分为 “#”和“△”。#代表重要指标，△则表示一般指标项。</w:t>
      </w:r>
    </w:p>
    <w:p>
      <w:pPr>
        <w:numPr>
          <w:ilvl w:val="0"/>
          <w:numId w:val="4"/>
        </w:numPr>
        <w:spacing w:before="100" w:beforeAutospacing="1" w:after="100" w:afterAutospacing="1"/>
        <w:rPr>
          <w:rFonts w:ascii="宋体" w:hAnsi="宋体"/>
        </w:rPr>
      </w:pPr>
      <w:r>
        <w:rPr>
          <w:rFonts w:ascii="宋体" w:hAnsi="宋体" w:hint="eastAsia"/>
        </w:rPr>
        <w:t>“证明材料要求”项可填“是”和“否”。填“是”的，投标人须按“服务要求标准”提供相关证明材料。</w:t>
      </w:r>
    </w:p>
    <w:tbl>
      <w:tblPr>
        <w:tblStyle w:val="TableNormal"/>
        <w:tblW w:w="87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4"/>
        <w:gridCol w:w="1276"/>
        <w:gridCol w:w="709"/>
        <w:gridCol w:w="5244"/>
        <w:gridCol w:w="850"/>
      </w:tblGrid>
      <w:tr>
        <w:tblPrEx>
          <w:tblW w:w="87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704" w:type="dxa"/>
            <w:vAlign w:val="center"/>
          </w:tcPr>
          <w:p>
            <w:pPr>
              <w:jc w:val="center"/>
              <w:rPr>
                <w:b/>
              </w:rPr>
            </w:pPr>
            <w:r>
              <w:rPr>
                <w:rFonts w:hint="eastAsia"/>
                <w:b/>
              </w:rPr>
              <w:t>序号</w:t>
            </w:r>
          </w:p>
        </w:tc>
        <w:tc>
          <w:tcPr>
            <w:tcW w:w="1276" w:type="dxa"/>
            <w:vAlign w:val="center"/>
          </w:tcPr>
          <w:p>
            <w:pPr>
              <w:jc w:val="center"/>
              <w:rPr>
                <w:b/>
              </w:rPr>
            </w:pPr>
            <w:r>
              <w:rPr>
                <w:rFonts w:hint="eastAsia"/>
                <w:b/>
              </w:rPr>
              <w:t>内容</w:t>
            </w:r>
          </w:p>
        </w:tc>
        <w:tc>
          <w:tcPr>
            <w:tcW w:w="709" w:type="dxa"/>
            <w:vAlign w:val="center"/>
          </w:tcPr>
          <w:p>
            <w:pPr>
              <w:jc w:val="center"/>
              <w:rPr>
                <w:b/>
              </w:rPr>
            </w:pPr>
            <w:r>
              <w:rPr>
                <w:rFonts w:hint="eastAsia"/>
                <w:b/>
              </w:rPr>
              <w:t>重要性</w:t>
            </w:r>
          </w:p>
        </w:tc>
        <w:tc>
          <w:tcPr>
            <w:tcW w:w="5244" w:type="dxa"/>
            <w:vAlign w:val="center"/>
          </w:tcPr>
          <w:p>
            <w:pPr>
              <w:jc w:val="center"/>
              <w:rPr>
                <w:b/>
              </w:rPr>
            </w:pPr>
            <w:r>
              <w:rPr>
                <w:rFonts w:hint="eastAsia"/>
                <w:b/>
              </w:rPr>
              <w:t>服务要求标准</w:t>
            </w:r>
          </w:p>
        </w:tc>
        <w:tc>
          <w:tcPr>
            <w:tcW w:w="850" w:type="dxa"/>
            <w:vAlign w:val="center"/>
          </w:tcPr>
          <w:p>
            <w:pPr>
              <w:jc w:val="center"/>
              <w:rPr>
                <w:b/>
              </w:rPr>
            </w:pPr>
            <w:r>
              <w:rPr>
                <w:rFonts w:hint="eastAsia"/>
                <w:b/>
              </w:rPr>
              <w:t>证明材料要求</w:t>
            </w:r>
          </w:p>
        </w:tc>
      </w:tr>
      <w:tr>
        <w:tblPrEx>
          <w:tblW w:w="8783" w:type="dxa"/>
          <w:jc w:val="center"/>
          <w:tblLayout w:type="fixed"/>
          <w:tblCellMar>
            <w:top w:w="0" w:type="dxa"/>
            <w:left w:w="108" w:type="dxa"/>
            <w:bottom w:w="0" w:type="dxa"/>
            <w:right w:w="108" w:type="dxa"/>
          </w:tblCellMar>
        </w:tblPrEx>
        <w:trPr>
          <w:jc w:val="center"/>
        </w:trPr>
        <w:tc>
          <w:tcPr>
            <w:tcW w:w="704" w:type="dxa"/>
            <w:vAlign w:val="center"/>
          </w:tcPr>
          <w:p>
            <w:pPr>
              <w:pStyle w:val="ListParagraph"/>
              <w:numPr>
                <w:ilvl w:val="0"/>
                <w:numId w:val="5"/>
              </w:numPr>
              <w:ind w:firstLineChars="0"/>
              <w:jc w:val="center"/>
              <w:rPr>
                <w:b/>
              </w:rPr>
            </w:pPr>
          </w:p>
        </w:tc>
        <w:tc>
          <w:tcPr>
            <w:tcW w:w="1276" w:type="dxa"/>
            <w:vAlign w:val="center"/>
          </w:tcPr>
          <w:p>
            <w:pPr>
              <w:rPr>
                <w:b/>
                <w:highlight w:val="green"/>
              </w:rPr>
            </w:pPr>
            <w:r>
              <w:rPr>
                <w:rFonts w:ascii="宋体" w:eastAsia="宋体" w:hAnsi="宋体" w:hint="eastAsia"/>
                <w:bCs/>
                <w:szCs w:val="21"/>
              </w:rPr>
              <w:t>维保范围及维保期限</w:t>
            </w:r>
          </w:p>
        </w:tc>
        <w:tc>
          <w:tcPr>
            <w:tcW w:w="709" w:type="dxa"/>
            <w:vAlign w:val="center"/>
          </w:tcPr>
          <w:p>
            <w:pPr>
              <w:rPr>
                <w:b/>
              </w:rPr>
            </w:pPr>
            <w:r>
              <w:rPr>
                <w:rFonts w:ascii="宋体" w:hAnsi="宋体" w:hint="eastAsia"/>
              </w:rPr>
              <w:t>#</w:t>
            </w:r>
          </w:p>
        </w:tc>
        <w:tc>
          <w:tcPr>
            <w:tcW w:w="5244" w:type="dxa"/>
            <w:shd w:val="clear" w:color="auto" w:fill="auto"/>
            <w:vAlign w:val="center"/>
          </w:tcPr>
          <w:p>
            <w:pPr>
              <w:snapToGrid w:val="0"/>
              <w:rPr>
                <w:rFonts w:ascii="宋体" w:hAnsi="宋体" w:cs="宋体"/>
                <w:szCs w:val="21"/>
              </w:rPr>
            </w:pPr>
            <w:r>
              <w:rPr>
                <w:rFonts w:ascii="宋体" w:eastAsia="宋体" w:hAnsi="宋体" w:hint="eastAsia"/>
                <w:bCs/>
                <w:szCs w:val="21"/>
              </w:rPr>
              <w:t>提供维保范围及维保期限满足章节4.1全部要求</w:t>
            </w:r>
          </w:p>
        </w:tc>
        <w:tc>
          <w:tcPr>
            <w:tcW w:w="850" w:type="dxa"/>
            <w:vAlign w:val="center"/>
          </w:tcPr>
          <w:p>
            <w:pPr>
              <w:rPr>
                <w:b/>
                <w:highlight w:val="green"/>
              </w:rPr>
            </w:pPr>
            <w:r>
              <w:rPr>
                <w:rFonts w:hint="eastAsia"/>
              </w:rPr>
              <w:t>否</w:t>
            </w:r>
          </w:p>
        </w:tc>
      </w:tr>
      <w:tr>
        <w:tblPrEx>
          <w:tblW w:w="8783" w:type="dxa"/>
          <w:jc w:val="center"/>
          <w:tblLayout w:type="fixed"/>
          <w:tblCellMar>
            <w:top w:w="0" w:type="dxa"/>
            <w:left w:w="108" w:type="dxa"/>
            <w:bottom w:w="0" w:type="dxa"/>
            <w:right w:w="108" w:type="dxa"/>
          </w:tblCellMar>
        </w:tblPrEx>
        <w:trPr>
          <w:jc w:val="center"/>
        </w:trPr>
        <w:tc>
          <w:tcPr>
            <w:tcW w:w="704" w:type="dxa"/>
            <w:vAlign w:val="center"/>
          </w:tcPr>
          <w:p>
            <w:pPr>
              <w:pStyle w:val="ListParagraph"/>
              <w:numPr>
                <w:ilvl w:val="0"/>
                <w:numId w:val="5"/>
              </w:numPr>
              <w:ind w:firstLineChars="0"/>
              <w:jc w:val="center"/>
              <w:rPr>
                <w:b/>
              </w:rPr>
            </w:pPr>
          </w:p>
        </w:tc>
        <w:tc>
          <w:tcPr>
            <w:tcW w:w="1276" w:type="dxa"/>
            <w:vAlign w:val="center"/>
          </w:tcPr>
          <w:p>
            <w:pPr>
              <w:rPr>
                <w:rFonts w:ascii="宋体" w:eastAsia="宋体" w:hAnsi="宋体"/>
                <w:bCs/>
                <w:szCs w:val="21"/>
              </w:rPr>
            </w:pPr>
            <w:r>
              <w:rPr>
                <w:rFonts w:ascii="宋体" w:eastAsia="宋体" w:hAnsi="宋体" w:hint="eastAsia"/>
                <w:bCs/>
                <w:szCs w:val="21"/>
              </w:rPr>
              <w:t>集成商日常维护要求</w:t>
            </w:r>
          </w:p>
        </w:tc>
        <w:tc>
          <w:tcPr>
            <w:tcW w:w="709" w:type="dxa"/>
            <w:vAlign w:val="center"/>
          </w:tcPr>
          <w:p>
            <w:pPr>
              <w:rPr>
                <w:rFonts w:ascii="宋体" w:hAnsi="宋体"/>
              </w:rPr>
            </w:pPr>
            <w:r>
              <w:rPr>
                <w:rFonts w:ascii="宋体" w:hAnsi="宋体" w:hint="eastAsia"/>
              </w:rPr>
              <w:t>#</w:t>
            </w:r>
          </w:p>
        </w:tc>
        <w:tc>
          <w:tcPr>
            <w:tcW w:w="5244" w:type="dxa"/>
            <w:shd w:val="clear" w:color="auto" w:fill="auto"/>
            <w:vAlign w:val="center"/>
          </w:tcPr>
          <w:p>
            <w:pPr>
              <w:snapToGrid w:val="0"/>
              <w:rPr>
                <w:rFonts w:ascii="宋体" w:eastAsia="宋体" w:hAnsi="宋体"/>
                <w:bCs/>
                <w:szCs w:val="21"/>
              </w:rPr>
            </w:pPr>
            <w:r>
              <w:rPr>
                <w:rFonts w:ascii="宋体" w:eastAsia="宋体" w:hAnsi="宋体" w:hint="eastAsia"/>
                <w:bCs/>
                <w:szCs w:val="21"/>
              </w:rPr>
              <w:t>提供的集成商日常维护服务满足章节5</w:t>
            </w:r>
            <w:r>
              <w:rPr>
                <w:rFonts w:ascii="宋体" w:eastAsia="宋体" w:hAnsi="宋体"/>
                <w:bCs/>
                <w:szCs w:val="21"/>
              </w:rPr>
              <w:t>.1</w:t>
            </w:r>
            <w:r>
              <w:rPr>
                <w:rFonts w:ascii="宋体" w:eastAsia="宋体" w:hAnsi="宋体" w:hint="eastAsia"/>
                <w:bCs/>
                <w:szCs w:val="21"/>
              </w:rPr>
              <w:t>要求</w:t>
            </w:r>
          </w:p>
        </w:tc>
        <w:tc>
          <w:tcPr>
            <w:tcW w:w="850" w:type="dxa"/>
            <w:vAlign w:val="center"/>
          </w:tcPr>
          <w:p>
            <w:r>
              <w:rPr>
                <w:rFonts w:hint="eastAsia"/>
              </w:rPr>
              <w:t>否</w:t>
            </w:r>
          </w:p>
        </w:tc>
      </w:tr>
      <w:tr>
        <w:tblPrEx>
          <w:tblW w:w="8783" w:type="dxa"/>
          <w:jc w:val="center"/>
          <w:tblLayout w:type="fixed"/>
          <w:tblCellMar>
            <w:top w:w="0" w:type="dxa"/>
            <w:left w:w="108" w:type="dxa"/>
            <w:bottom w:w="0" w:type="dxa"/>
            <w:right w:w="108" w:type="dxa"/>
          </w:tblCellMar>
        </w:tblPrEx>
        <w:trPr>
          <w:jc w:val="center"/>
        </w:trPr>
        <w:tc>
          <w:tcPr>
            <w:tcW w:w="704" w:type="dxa"/>
            <w:vAlign w:val="center"/>
          </w:tcPr>
          <w:p>
            <w:pPr>
              <w:pStyle w:val="ListParagraph"/>
              <w:numPr>
                <w:ilvl w:val="0"/>
                <w:numId w:val="5"/>
              </w:numPr>
              <w:ind w:firstLineChars="0"/>
              <w:jc w:val="center"/>
              <w:rPr>
                <w:b/>
              </w:rPr>
            </w:pPr>
          </w:p>
        </w:tc>
        <w:tc>
          <w:tcPr>
            <w:tcW w:w="1276" w:type="dxa"/>
            <w:vAlign w:val="center"/>
          </w:tcPr>
          <w:p>
            <w:pPr>
              <w:rPr>
                <w:rFonts w:ascii="宋体" w:eastAsia="宋体" w:hAnsi="宋体"/>
                <w:bCs/>
                <w:szCs w:val="21"/>
              </w:rPr>
            </w:pPr>
            <w:r>
              <w:rPr>
                <w:rFonts w:ascii="宋体" w:eastAsia="宋体" w:hAnsi="宋体" w:hint="eastAsia"/>
                <w:bCs/>
                <w:szCs w:val="21"/>
              </w:rPr>
              <w:t>原厂维保服务</w:t>
            </w:r>
          </w:p>
        </w:tc>
        <w:tc>
          <w:tcPr>
            <w:tcW w:w="709" w:type="dxa"/>
            <w:vAlign w:val="center"/>
          </w:tcPr>
          <w:p>
            <w:pPr>
              <w:rPr>
                <w:rFonts w:ascii="宋体" w:hAnsi="宋体"/>
              </w:rPr>
            </w:pPr>
            <w:r>
              <w:rPr>
                <w:rFonts w:ascii="宋体" w:hAnsi="宋体" w:hint="eastAsia"/>
              </w:rPr>
              <w:t>#</w:t>
            </w:r>
          </w:p>
        </w:tc>
        <w:tc>
          <w:tcPr>
            <w:tcW w:w="5244" w:type="dxa"/>
            <w:shd w:val="clear" w:color="auto" w:fill="auto"/>
            <w:vAlign w:val="center"/>
          </w:tcPr>
          <w:p>
            <w:pPr>
              <w:spacing w:line="360" w:lineRule="auto"/>
              <w:rPr>
                <w:rFonts w:ascii="宋体" w:eastAsia="宋体" w:hAnsi="宋体"/>
                <w:bCs/>
                <w:szCs w:val="21"/>
              </w:rPr>
            </w:pPr>
            <w:r>
              <w:rPr>
                <w:rFonts w:ascii="宋体" w:eastAsia="宋体" w:hAnsi="宋体" w:hint="eastAsia"/>
                <w:bCs/>
                <w:szCs w:val="21"/>
              </w:rPr>
              <w:t>针对表1</w:t>
            </w:r>
            <w:r>
              <w:rPr>
                <w:rFonts w:ascii="宋体" w:eastAsia="宋体" w:hAnsi="宋体"/>
                <w:bCs/>
                <w:szCs w:val="21"/>
              </w:rPr>
              <w:t>-</w:t>
            </w:r>
            <w:r>
              <w:rPr>
                <w:rFonts w:ascii="宋体" w:eastAsia="宋体" w:hAnsi="宋体" w:hint="eastAsia"/>
                <w:bCs/>
                <w:szCs w:val="21"/>
              </w:rPr>
              <w:t>表6</w:t>
            </w:r>
            <w:r>
              <w:rPr>
                <w:rFonts w:ascii="宋体" w:eastAsia="宋体" w:hAnsi="宋体"/>
                <w:bCs/>
                <w:szCs w:val="21"/>
              </w:rPr>
              <w:t xml:space="preserve"> </w:t>
            </w:r>
            <w:r>
              <w:rPr>
                <w:rFonts w:ascii="宋体" w:eastAsia="宋体" w:hAnsi="宋体" w:hint="eastAsia"/>
                <w:bCs/>
                <w:szCs w:val="21"/>
              </w:rPr>
              <w:t>所列UNIX小机及配套设备提供满足章节5.2规定的设备原厂服务</w:t>
            </w:r>
          </w:p>
        </w:tc>
        <w:tc>
          <w:tcPr>
            <w:tcW w:w="850" w:type="dxa"/>
          </w:tcPr>
          <w:p>
            <w:r>
              <w:rPr>
                <w:rFonts w:hint="eastAsia"/>
              </w:rPr>
              <w:t>否</w:t>
            </w:r>
          </w:p>
        </w:tc>
      </w:tr>
      <w:tr>
        <w:tblPrEx>
          <w:tblW w:w="8783" w:type="dxa"/>
          <w:jc w:val="center"/>
          <w:tblLayout w:type="fixed"/>
          <w:tblCellMar>
            <w:top w:w="0" w:type="dxa"/>
            <w:left w:w="108" w:type="dxa"/>
            <w:bottom w:w="0" w:type="dxa"/>
            <w:right w:w="108" w:type="dxa"/>
          </w:tblCellMar>
        </w:tblPrEx>
        <w:trPr>
          <w:jc w:val="center"/>
        </w:trPr>
        <w:tc>
          <w:tcPr>
            <w:tcW w:w="704" w:type="dxa"/>
            <w:vAlign w:val="center"/>
          </w:tcPr>
          <w:p>
            <w:pPr>
              <w:pStyle w:val="ListParagraph"/>
              <w:numPr>
                <w:ilvl w:val="0"/>
                <w:numId w:val="5"/>
              </w:numPr>
              <w:ind w:firstLineChars="0"/>
              <w:jc w:val="center"/>
              <w:rPr>
                <w:b/>
              </w:rPr>
            </w:pPr>
          </w:p>
        </w:tc>
        <w:tc>
          <w:tcPr>
            <w:tcW w:w="1276" w:type="dxa"/>
            <w:vAlign w:val="center"/>
          </w:tcPr>
          <w:p>
            <w:pPr>
              <w:rPr>
                <w:rFonts w:ascii="宋体" w:eastAsia="宋体" w:hAnsi="宋体"/>
                <w:bCs/>
                <w:szCs w:val="21"/>
              </w:rPr>
            </w:pPr>
            <w:r>
              <w:rPr>
                <w:rFonts w:ascii="宋体" w:eastAsia="宋体" w:hAnsi="宋体" w:hint="eastAsia"/>
                <w:bCs/>
                <w:szCs w:val="21"/>
              </w:rPr>
              <w:t>特殊时期维护要求</w:t>
            </w:r>
          </w:p>
        </w:tc>
        <w:tc>
          <w:tcPr>
            <w:tcW w:w="709" w:type="dxa"/>
            <w:vAlign w:val="center"/>
          </w:tcPr>
          <w:p>
            <w:pPr>
              <w:rPr>
                <w:rFonts w:ascii="宋体" w:hAnsi="宋体"/>
              </w:rPr>
            </w:pPr>
            <w:r>
              <w:rPr>
                <w:rFonts w:ascii="宋体" w:hAnsi="宋体" w:hint="eastAsia"/>
              </w:rPr>
              <w:t>#</w:t>
            </w:r>
          </w:p>
        </w:tc>
        <w:tc>
          <w:tcPr>
            <w:tcW w:w="5244" w:type="dxa"/>
            <w:shd w:val="clear" w:color="auto" w:fill="auto"/>
            <w:vAlign w:val="center"/>
          </w:tcPr>
          <w:p>
            <w:pPr>
              <w:snapToGrid w:val="0"/>
              <w:rPr>
                <w:rFonts w:ascii="宋体" w:eastAsia="宋体" w:hAnsi="宋体"/>
                <w:bCs/>
                <w:szCs w:val="21"/>
              </w:rPr>
            </w:pPr>
            <w:r>
              <w:rPr>
                <w:rFonts w:ascii="宋体" w:eastAsia="宋体" w:hAnsi="宋体" w:hint="eastAsia"/>
                <w:bCs/>
                <w:szCs w:val="21"/>
              </w:rPr>
              <w:t>提供服务满足章节5</w:t>
            </w:r>
            <w:r>
              <w:rPr>
                <w:rFonts w:ascii="宋体" w:eastAsia="宋体" w:hAnsi="宋体"/>
                <w:bCs/>
                <w:szCs w:val="21"/>
              </w:rPr>
              <w:t>.3</w:t>
            </w:r>
            <w:r>
              <w:rPr>
                <w:rFonts w:ascii="宋体" w:eastAsia="宋体" w:hAnsi="宋体" w:hint="eastAsia"/>
                <w:bCs/>
                <w:szCs w:val="21"/>
              </w:rPr>
              <w:t>要求</w:t>
            </w:r>
          </w:p>
        </w:tc>
        <w:tc>
          <w:tcPr>
            <w:tcW w:w="850" w:type="dxa"/>
          </w:tcPr>
          <w:p>
            <w:r>
              <w:rPr>
                <w:rFonts w:hint="eastAsia"/>
              </w:rPr>
              <w:t>否</w:t>
            </w:r>
          </w:p>
        </w:tc>
      </w:tr>
      <w:tr>
        <w:tblPrEx>
          <w:tblW w:w="8783" w:type="dxa"/>
          <w:jc w:val="center"/>
          <w:tblLayout w:type="fixed"/>
          <w:tblCellMar>
            <w:top w:w="0" w:type="dxa"/>
            <w:left w:w="108" w:type="dxa"/>
            <w:bottom w:w="0" w:type="dxa"/>
            <w:right w:w="108" w:type="dxa"/>
          </w:tblCellMar>
        </w:tblPrEx>
        <w:trPr>
          <w:jc w:val="center"/>
        </w:trPr>
        <w:tc>
          <w:tcPr>
            <w:tcW w:w="704" w:type="dxa"/>
            <w:vAlign w:val="center"/>
          </w:tcPr>
          <w:p>
            <w:pPr>
              <w:pStyle w:val="ListParagraph"/>
              <w:numPr>
                <w:ilvl w:val="0"/>
                <w:numId w:val="5"/>
              </w:numPr>
              <w:ind w:firstLineChars="0"/>
              <w:jc w:val="center"/>
              <w:rPr>
                <w:b/>
              </w:rPr>
            </w:pPr>
          </w:p>
        </w:tc>
        <w:tc>
          <w:tcPr>
            <w:tcW w:w="1276" w:type="dxa"/>
            <w:vAlign w:val="center"/>
          </w:tcPr>
          <w:p>
            <w:pPr>
              <w:rPr>
                <w:rFonts w:ascii="宋体" w:eastAsia="宋体" w:hAnsi="宋体"/>
                <w:bCs/>
                <w:szCs w:val="21"/>
              </w:rPr>
            </w:pPr>
            <w:r>
              <w:rPr>
                <w:rFonts w:ascii="宋体" w:eastAsia="宋体" w:hAnsi="宋体" w:hint="eastAsia"/>
                <w:bCs/>
                <w:szCs w:val="21"/>
              </w:rPr>
              <w:t>技术人员驻场及技术团队要求</w:t>
            </w:r>
          </w:p>
        </w:tc>
        <w:tc>
          <w:tcPr>
            <w:tcW w:w="709" w:type="dxa"/>
            <w:vAlign w:val="center"/>
          </w:tcPr>
          <w:p>
            <w:pPr>
              <w:rPr>
                <w:rFonts w:ascii="宋体" w:hAnsi="宋体"/>
              </w:rPr>
            </w:pPr>
            <w:r>
              <w:rPr>
                <w:rFonts w:ascii="宋体" w:hAnsi="宋体" w:hint="eastAsia"/>
              </w:rPr>
              <w:t>#</w:t>
            </w:r>
          </w:p>
        </w:tc>
        <w:tc>
          <w:tcPr>
            <w:tcW w:w="5244" w:type="dxa"/>
            <w:shd w:val="clear" w:color="auto" w:fill="auto"/>
            <w:vAlign w:val="center"/>
          </w:tcPr>
          <w:p>
            <w:pPr>
              <w:snapToGrid w:val="0"/>
              <w:rPr>
                <w:rFonts w:ascii="宋体" w:eastAsia="宋体" w:hAnsi="宋体"/>
                <w:bCs/>
                <w:szCs w:val="21"/>
              </w:rPr>
            </w:pPr>
            <w:r>
              <w:rPr>
                <w:rFonts w:ascii="宋体" w:eastAsia="宋体" w:hAnsi="宋体" w:hint="eastAsia"/>
                <w:bCs/>
                <w:szCs w:val="21"/>
              </w:rPr>
              <w:t>提供集成商驻场及技术团队服务满足章节5</w:t>
            </w:r>
            <w:r>
              <w:rPr>
                <w:rFonts w:ascii="宋体" w:eastAsia="宋体" w:hAnsi="宋体"/>
                <w:bCs/>
                <w:szCs w:val="21"/>
              </w:rPr>
              <w:t>.4</w:t>
            </w:r>
            <w:r>
              <w:rPr>
                <w:rFonts w:ascii="宋体" w:eastAsia="宋体" w:hAnsi="宋体" w:hint="eastAsia"/>
                <w:bCs/>
                <w:szCs w:val="21"/>
              </w:rPr>
              <w:t>要求</w:t>
            </w:r>
          </w:p>
        </w:tc>
        <w:tc>
          <w:tcPr>
            <w:tcW w:w="850" w:type="dxa"/>
          </w:tcPr>
          <w:p>
            <w:r>
              <w:rPr>
                <w:rFonts w:hint="eastAsia"/>
              </w:rPr>
              <w:t>否</w:t>
            </w:r>
          </w:p>
        </w:tc>
      </w:tr>
      <w:tr>
        <w:tblPrEx>
          <w:tblW w:w="8783" w:type="dxa"/>
          <w:jc w:val="center"/>
          <w:tblLayout w:type="fixed"/>
          <w:tblCellMar>
            <w:top w:w="0" w:type="dxa"/>
            <w:left w:w="108" w:type="dxa"/>
            <w:bottom w:w="0" w:type="dxa"/>
            <w:right w:w="108" w:type="dxa"/>
          </w:tblCellMar>
        </w:tblPrEx>
        <w:trPr>
          <w:jc w:val="center"/>
        </w:trPr>
        <w:tc>
          <w:tcPr>
            <w:tcW w:w="704" w:type="dxa"/>
            <w:vAlign w:val="center"/>
          </w:tcPr>
          <w:p>
            <w:pPr>
              <w:pStyle w:val="ListParagraph"/>
              <w:numPr>
                <w:ilvl w:val="0"/>
                <w:numId w:val="5"/>
              </w:numPr>
              <w:ind w:firstLineChars="0"/>
              <w:jc w:val="center"/>
              <w:rPr>
                <w:b/>
              </w:rPr>
            </w:pPr>
          </w:p>
        </w:tc>
        <w:tc>
          <w:tcPr>
            <w:tcW w:w="1276" w:type="dxa"/>
            <w:vAlign w:val="center"/>
          </w:tcPr>
          <w:p>
            <w:pPr>
              <w:rPr>
                <w:rFonts w:ascii="宋体" w:eastAsia="宋体" w:hAnsi="宋体"/>
                <w:bCs/>
                <w:szCs w:val="21"/>
              </w:rPr>
            </w:pPr>
            <w:r>
              <w:rPr>
                <w:rFonts w:ascii="宋体" w:eastAsia="宋体" w:hAnsi="宋体" w:hint="eastAsia"/>
                <w:bCs/>
                <w:szCs w:val="21"/>
              </w:rPr>
              <w:t>升级改造、系统优化及安全加固</w:t>
            </w:r>
          </w:p>
        </w:tc>
        <w:tc>
          <w:tcPr>
            <w:tcW w:w="709" w:type="dxa"/>
            <w:vAlign w:val="center"/>
          </w:tcPr>
          <w:p>
            <w:pPr>
              <w:rPr>
                <w:rFonts w:ascii="宋体" w:hAnsi="宋体"/>
              </w:rPr>
            </w:pPr>
            <w:r>
              <w:rPr>
                <w:rFonts w:ascii="宋体" w:hAnsi="宋体" w:hint="eastAsia"/>
              </w:rPr>
              <w:t>△</w:t>
            </w:r>
          </w:p>
        </w:tc>
        <w:tc>
          <w:tcPr>
            <w:tcW w:w="5244" w:type="dxa"/>
            <w:shd w:val="clear" w:color="auto" w:fill="auto"/>
            <w:vAlign w:val="center"/>
          </w:tcPr>
          <w:p>
            <w:pPr>
              <w:snapToGrid w:val="0"/>
              <w:rPr>
                <w:rFonts w:ascii="宋体" w:eastAsia="宋体" w:hAnsi="宋体"/>
                <w:bCs/>
                <w:szCs w:val="21"/>
              </w:rPr>
            </w:pPr>
            <w:r>
              <w:rPr>
                <w:rFonts w:ascii="宋体" w:eastAsia="宋体" w:hAnsi="宋体" w:hint="eastAsia"/>
                <w:bCs/>
                <w:szCs w:val="21"/>
              </w:rPr>
              <w:t>提供服务满足章节5</w:t>
            </w:r>
            <w:r>
              <w:rPr>
                <w:rFonts w:ascii="宋体" w:eastAsia="宋体" w:hAnsi="宋体"/>
                <w:bCs/>
                <w:szCs w:val="21"/>
              </w:rPr>
              <w:t>.5</w:t>
            </w:r>
            <w:r>
              <w:rPr>
                <w:rFonts w:ascii="宋体" w:eastAsia="宋体" w:hAnsi="宋体" w:hint="eastAsia"/>
                <w:bCs/>
                <w:szCs w:val="21"/>
              </w:rPr>
              <w:t>要求</w:t>
            </w:r>
          </w:p>
        </w:tc>
        <w:tc>
          <w:tcPr>
            <w:tcW w:w="850" w:type="dxa"/>
          </w:tcPr>
          <w:p>
            <w:r>
              <w:rPr>
                <w:rFonts w:hint="eastAsia"/>
              </w:rPr>
              <w:t>否</w:t>
            </w:r>
          </w:p>
        </w:tc>
      </w:tr>
      <w:tr>
        <w:tblPrEx>
          <w:tblW w:w="8783" w:type="dxa"/>
          <w:jc w:val="center"/>
          <w:tblLayout w:type="fixed"/>
          <w:tblCellMar>
            <w:top w:w="0" w:type="dxa"/>
            <w:left w:w="108" w:type="dxa"/>
            <w:bottom w:w="0" w:type="dxa"/>
            <w:right w:w="108" w:type="dxa"/>
          </w:tblCellMar>
        </w:tblPrEx>
        <w:trPr>
          <w:jc w:val="center"/>
        </w:trPr>
        <w:tc>
          <w:tcPr>
            <w:tcW w:w="704" w:type="dxa"/>
            <w:vAlign w:val="center"/>
          </w:tcPr>
          <w:p>
            <w:pPr>
              <w:pStyle w:val="ListParagraph"/>
              <w:numPr>
                <w:ilvl w:val="0"/>
                <w:numId w:val="5"/>
              </w:numPr>
              <w:ind w:firstLineChars="0"/>
              <w:jc w:val="center"/>
              <w:rPr>
                <w:b/>
              </w:rPr>
            </w:pPr>
          </w:p>
        </w:tc>
        <w:tc>
          <w:tcPr>
            <w:tcW w:w="1276" w:type="dxa"/>
            <w:vAlign w:val="center"/>
          </w:tcPr>
          <w:p>
            <w:pPr>
              <w:rPr>
                <w:rFonts w:ascii="宋体" w:eastAsia="宋体" w:hAnsi="宋体"/>
                <w:bCs/>
                <w:szCs w:val="21"/>
              </w:rPr>
            </w:pPr>
            <w:r>
              <w:rPr>
                <w:rFonts w:ascii="宋体" w:eastAsia="宋体" w:hAnsi="宋体" w:hint="eastAsia"/>
                <w:bCs/>
                <w:szCs w:val="21"/>
              </w:rPr>
              <w:t>运行维护记录要求</w:t>
            </w:r>
          </w:p>
        </w:tc>
        <w:tc>
          <w:tcPr>
            <w:tcW w:w="709" w:type="dxa"/>
            <w:vAlign w:val="center"/>
          </w:tcPr>
          <w:p>
            <w:pPr>
              <w:rPr>
                <w:rFonts w:ascii="宋体" w:hAnsi="宋体"/>
              </w:rPr>
            </w:pPr>
            <w:r>
              <w:rPr>
                <w:rFonts w:ascii="宋体" w:hAnsi="宋体" w:hint="eastAsia"/>
              </w:rPr>
              <w:t>△</w:t>
            </w:r>
          </w:p>
        </w:tc>
        <w:tc>
          <w:tcPr>
            <w:tcW w:w="5244" w:type="dxa"/>
            <w:shd w:val="clear" w:color="auto" w:fill="auto"/>
            <w:vAlign w:val="center"/>
          </w:tcPr>
          <w:p>
            <w:pPr>
              <w:snapToGrid w:val="0"/>
              <w:rPr>
                <w:rFonts w:ascii="宋体" w:eastAsia="宋体" w:hAnsi="宋体"/>
                <w:bCs/>
                <w:szCs w:val="21"/>
              </w:rPr>
            </w:pPr>
            <w:r>
              <w:rPr>
                <w:rFonts w:ascii="宋体" w:eastAsia="宋体" w:hAnsi="宋体" w:hint="eastAsia"/>
                <w:bCs/>
                <w:szCs w:val="21"/>
              </w:rPr>
              <w:t>提供服务满足章节5</w:t>
            </w:r>
            <w:r>
              <w:rPr>
                <w:rFonts w:ascii="宋体" w:eastAsia="宋体" w:hAnsi="宋体"/>
                <w:bCs/>
                <w:szCs w:val="21"/>
              </w:rPr>
              <w:t>.6</w:t>
            </w:r>
            <w:r>
              <w:rPr>
                <w:rFonts w:ascii="宋体" w:eastAsia="宋体" w:hAnsi="宋体" w:hint="eastAsia"/>
                <w:bCs/>
                <w:szCs w:val="21"/>
              </w:rPr>
              <w:t>要求</w:t>
            </w:r>
          </w:p>
        </w:tc>
        <w:tc>
          <w:tcPr>
            <w:tcW w:w="850" w:type="dxa"/>
          </w:tcPr>
          <w:p>
            <w:r>
              <w:rPr>
                <w:rFonts w:hint="eastAsia"/>
              </w:rPr>
              <w:t>否</w:t>
            </w:r>
          </w:p>
        </w:tc>
      </w:tr>
      <w:tr>
        <w:tblPrEx>
          <w:tblW w:w="8783" w:type="dxa"/>
          <w:jc w:val="center"/>
          <w:tblLayout w:type="fixed"/>
          <w:tblCellMar>
            <w:top w:w="0" w:type="dxa"/>
            <w:left w:w="108" w:type="dxa"/>
            <w:bottom w:w="0" w:type="dxa"/>
            <w:right w:w="108" w:type="dxa"/>
          </w:tblCellMar>
        </w:tblPrEx>
        <w:trPr>
          <w:jc w:val="center"/>
        </w:trPr>
        <w:tc>
          <w:tcPr>
            <w:tcW w:w="704" w:type="dxa"/>
            <w:vAlign w:val="center"/>
          </w:tcPr>
          <w:p>
            <w:pPr>
              <w:pStyle w:val="ListParagraph"/>
              <w:numPr>
                <w:ilvl w:val="0"/>
                <w:numId w:val="5"/>
              </w:numPr>
              <w:ind w:firstLineChars="0"/>
              <w:jc w:val="center"/>
              <w:rPr>
                <w:b/>
              </w:rPr>
            </w:pPr>
          </w:p>
        </w:tc>
        <w:tc>
          <w:tcPr>
            <w:tcW w:w="1276" w:type="dxa"/>
            <w:vAlign w:val="center"/>
          </w:tcPr>
          <w:p>
            <w:pPr>
              <w:rPr>
                <w:rFonts w:ascii="宋体" w:eastAsia="宋体" w:hAnsi="宋体"/>
                <w:bCs/>
                <w:szCs w:val="21"/>
              </w:rPr>
            </w:pPr>
            <w:r>
              <w:rPr>
                <w:rFonts w:ascii="宋体" w:eastAsia="宋体" w:hAnsi="宋体" w:hint="eastAsia"/>
                <w:bCs/>
                <w:szCs w:val="21"/>
              </w:rPr>
              <w:t>培训要求</w:t>
            </w:r>
          </w:p>
        </w:tc>
        <w:tc>
          <w:tcPr>
            <w:tcW w:w="709" w:type="dxa"/>
            <w:vAlign w:val="center"/>
          </w:tcPr>
          <w:p>
            <w:pPr>
              <w:rPr>
                <w:rFonts w:ascii="宋体" w:hAnsi="宋体"/>
              </w:rPr>
            </w:pPr>
            <w:r>
              <w:rPr>
                <w:rFonts w:ascii="宋体" w:hAnsi="宋体" w:hint="eastAsia"/>
              </w:rPr>
              <w:t>△</w:t>
            </w:r>
          </w:p>
        </w:tc>
        <w:tc>
          <w:tcPr>
            <w:tcW w:w="5244" w:type="dxa"/>
            <w:shd w:val="clear" w:color="auto" w:fill="auto"/>
            <w:vAlign w:val="center"/>
          </w:tcPr>
          <w:p>
            <w:pPr>
              <w:snapToGrid w:val="0"/>
              <w:rPr>
                <w:rFonts w:ascii="宋体" w:eastAsia="宋体" w:hAnsi="宋体"/>
                <w:bCs/>
                <w:szCs w:val="21"/>
              </w:rPr>
            </w:pPr>
            <w:r>
              <w:rPr>
                <w:rFonts w:ascii="宋体" w:eastAsia="宋体" w:hAnsi="宋体" w:hint="eastAsia"/>
                <w:bCs/>
                <w:szCs w:val="21"/>
              </w:rPr>
              <w:t>提供服务满足章节</w:t>
            </w:r>
            <w:r>
              <w:rPr>
                <w:rFonts w:ascii="宋体" w:eastAsia="宋体" w:hAnsi="宋体" w:hint="eastAsia"/>
                <w:bCs/>
                <w:szCs w:val="21"/>
                <w:lang w:val="en-US" w:eastAsia="zh-CN"/>
              </w:rPr>
              <w:t>5.</w:t>
            </w:r>
            <w:r>
              <w:rPr>
                <w:rFonts w:ascii="宋体" w:eastAsia="宋体" w:hAnsi="宋体" w:hint="eastAsia"/>
                <w:bCs/>
                <w:szCs w:val="21"/>
              </w:rPr>
              <w:t>7要求</w:t>
            </w:r>
          </w:p>
        </w:tc>
        <w:tc>
          <w:tcPr>
            <w:tcW w:w="850" w:type="dxa"/>
          </w:tcPr>
          <w:p>
            <w:r>
              <w:rPr>
                <w:rFonts w:hint="eastAsia"/>
              </w:rPr>
              <w:t>否</w:t>
            </w:r>
          </w:p>
        </w:tc>
      </w:tr>
    </w:tbl>
    <w:p>
      <w:pPr>
        <w:snapToGrid w:val="0"/>
        <w:spacing w:line="360" w:lineRule="auto"/>
        <w:ind w:firstLine="420"/>
        <w:jc w:val="left"/>
        <w:rPr>
          <w:rFonts w:ascii="宋体" w:eastAsia="宋体" w:hAnsi="宋体" w:cs="Times New Roman"/>
          <w:szCs w:val="21"/>
        </w:rPr>
      </w:pPr>
    </w:p>
    <w:p>
      <w:pPr>
        <w:snapToGrid w:val="0"/>
        <w:spacing w:line="360" w:lineRule="auto"/>
        <w:ind w:firstLine="420"/>
        <w:jc w:val="left"/>
        <w:rPr>
          <w:rFonts w:ascii="宋体" w:eastAsia="宋体" w:hAnsi="宋体" w:cs="Times New Roman"/>
          <w:szCs w:val="21"/>
        </w:rPr>
      </w:pPr>
      <w:r>
        <w:rPr>
          <w:rFonts w:ascii="宋体" w:eastAsia="宋体" w:hAnsi="宋体" w:cs="Times New Roman" w:hint="eastAsia"/>
          <w:szCs w:val="21"/>
        </w:rPr>
        <w:t>（四）采购标的的数量、采购项目交付或者实施的时间和地点；</w:t>
      </w:r>
    </w:p>
    <w:p>
      <w:pPr>
        <w:pStyle w:val="Heading1"/>
        <w:numPr>
          <w:ilvl w:val="0"/>
          <w:numId w:val="0"/>
        </w:numPr>
        <w:rPr>
          <w:rFonts w:ascii="黑体" w:eastAsia="黑体" w:hAnsi="黑体"/>
          <w:sz w:val="32"/>
          <w:szCs w:val="32"/>
        </w:rPr>
      </w:pPr>
      <w:bookmarkStart w:id="59" w:name="_Toc169020976"/>
      <w:r>
        <w:rPr>
          <w:rFonts w:ascii="黑体" w:eastAsia="黑体" w:hAnsi="黑体" w:hint="eastAsia"/>
          <w:sz w:val="32"/>
          <w:szCs w:val="32"/>
        </w:rPr>
        <w:t>4.1维保范围及维保期限</w:t>
      </w:r>
      <w:bookmarkEnd w:id="59"/>
    </w:p>
    <w:p>
      <w:pPr>
        <w:ind w:firstLine="420"/>
        <w:rPr>
          <w:rFonts w:ascii="黑体" w:eastAsia="黑体" w:hAnsi="黑体"/>
          <w:sz w:val="32"/>
          <w:szCs w:val="32"/>
        </w:rPr>
      </w:pPr>
      <w:r>
        <w:rPr>
          <w:rFonts w:hint="eastAsia"/>
        </w:rPr>
        <w:t>所有设备维保起始时间为2026年3月20日，维保期一年。</w:t>
      </w:r>
    </w:p>
    <w:p>
      <w:pPr>
        <w:pStyle w:val="Heading2"/>
        <w:numPr>
          <w:ilvl w:val="0"/>
          <w:numId w:val="0"/>
        </w:numPr>
        <w:rPr>
          <w:rFonts w:ascii="黑体" w:eastAsia="黑体" w:hAnsi="黑体"/>
          <w:sz w:val="30"/>
          <w:szCs w:val="30"/>
        </w:rPr>
      </w:pPr>
      <w:bookmarkStart w:id="60" w:name="_Toc169020977"/>
      <w:r>
        <w:rPr>
          <w:rFonts w:ascii="黑体" w:eastAsia="黑体" w:hAnsi="黑体" w:hint="eastAsia"/>
          <w:sz w:val="30"/>
          <w:szCs w:val="30"/>
        </w:rPr>
        <w:t>4.2小机设备</w:t>
      </w:r>
      <w:bookmarkEnd w:id="60"/>
    </w:p>
    <w:p>
      <w:pPr>
        <w:pStyle w:val="Heading3"/>
        <w:numPr>
          <w:ilvl w:val="0"/>
          <w:numId w:val="0"/>
        </w:numPr>
      </w:pPr>
      <w:bookmarkStart w:id="61" w:name="_Toc169020978"/>
      <w:r>
        <w:rPr>
          <w:rFonts w:hint="eastAsia"/>
        </w:rPr>
        <w:t>FY</w:t>
      </w:r>
      <w:r>
        <w:t>3-02</w:t>
      </w:r>
      <w:r>
        <w:rPr>
          <w:rFonts w:hint="eastAsia"/>
        </w:rPr>
        <w:t>P</w:t>
      </w:r>
      <w:r>
        <w:t xml:space="preserve"> </w:t>
      </w:r>
      <w:r>
        <w:rPr>
          <w:rFonts w:hint="eastAsia"/>
        </w:rPr>
        <w:t>D星地面站</w:t>
      </w:r>
      <w:r>
        <w:t>IT平台集成采购UNIX小机</w:t>
      </w:r>
      <w:bookmarkEnd w:id="61"/>
    </w:p>
    <w:p>
      <w:pPr>
        <w:pStyle w:val="Caption"/>
        <w:keepNext/>
        <w:jc w:val="center"/>
      </w:pPr>
      <w:r>
        <w:t xml:space="preserve">表 </w:t>
      </w:r>
      <w:r>
        <w:fldChar w:fldCharType="begin"/>
      </w:r>
      <w:r>
        <w:instrText xml:space="preserve"> SEQ 表 \* ARABIC </w:instrText>
      </w:r>
      <w:r>
        <w:fldChar w:fldCharType="separate"/>
      </w:r>
      <w:r>
        <w:t>1</w:t>
      </w:r>
      <w:r>
        <w:fldChar w:fldCharType="end"/>
      </w:r>
      <w:r>
        <w:rPr>
          <w:rFonts w:hint="eastAsia"/>
        </w:rPr>
        <w:t>：</w:t>
      </w:r>
      <w:r>
        <w:rPr>
          <w:rFonts w:ascii="宋体" w:eastAsia="宋体" w:hAnsi="宋体" w:hint="eastAsia"/>
          <w:bCs/>
          <w:szCs w:val="21"/>
        </w:rPr>
        <w:t>风三02批D星地面站IT平台集成采购维保UNIX小机</w:t>
      </w:r>
    </w:p>
    <w:tbl>
      <w:tblPr>
        <w:tblStyle w:val="13"/>
        <w:tblW w:w="0" w:type="auto"/>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tblGrid>
        <w:gridCol w:w="636"/>
        <w:gridCol w:w="650"/>
        <w:gridCol w:w="3544"/>
        <w:gridCol w:w="987"/>
        <w:gridCol w:w="1415"/>
        <w:gridCol w:w="1216"/>
      </w:tblGrid>
      <w:tr>
        <w:tblPrEx>
          <w:tblW w:w="0" w:type="auto"/>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Ex>
        <w:trPr>
          <w:trHeight w:val="675"/>
          <w:tblHeader/>
        </w:trPr>
        <w:tc>
          <w:tcPr>
            <w:tcW w:w="0" w:type="auto"/>
          </w:tcPr>
          <w:p>
            <w:r>
              <w:rPr>
                <w:rFonts w:hint="eastAsia"/>
              </w:rPr>
              <w:t>序号</w:t>
            </w:r>
          </w:p>
        </w:tc>
        <w:tc>
          <w:tcPr>
            <w:tcW w:w="650" w:type="dxa"/>
          </w:tcPr>
          <w:p>
            <w:pPr>
              <w:widowControl/>
              <w:jc w:val="center"/>
              <w:rPr>
                <w:rFonts w:ascii="宋体" w:hAnsi="宋体" w:cs="宋体"/>
                <w:kern w:val="0"/>
                <w:sz w:val="20"/>
              </w:rPr>
            </w:pPr>
            <w:r>
              <w:rPr>
                <w:rFonts w:ascii="宋体" w:hAnsi="宋体" w:cs="宋体" w:hint="eastAsia"/>
                <w:kern w:val="0"/>
                <w:sz w:val="20"/>
                <w:szCs w:val="24"/>
              </w:rPr>
              <w:t>设备类型</w:t>
            </w:r>
          </w:p>
        </w:tc>
        <w:tc>
          <w:tcPr>
            <w:tcW w:w="3544" w:type="dxa"/>
          </w:tcPr>
          <w:p>
            <w:pPr>
              <w:widowControl/>
              <w:jc w:val="center"/>
              <w:rPr>
                <w:rFonts w:ascii="宋体" w:hAnsi="宋体" w:cs="宋体"/>
                <w:kern w:val="0"/>
                <w:sz w:val="20"/>
              </w:rPr>
            </w:pPr>
            <w:r>
              <w:rPr>
                <w:rFonts w:ascii="宋体" w:hAnsi="宋体" w:cs="宋体" w:hint="eastAsia"/>
                <w:kern w:val="0"/>
                <w:sz w:val="20"/>
                <w:szCs w:val="24"/>
              </w:rPr>
              <w:t>型号配置</w:t>
            </w:r>
          </w:p>
        </w:tc>
        <w:tc>
          <w:tcPr>
            <w:tcW w:w="987" w:type="dxa"/>
          </w:tcPr>
          <w:p>
            <w:pPr>
              <w:widowControl/>
              <w:jc w:val="center"/>
              <w:rPr>
                <w:color w:val="000000"/>
                <w:sz w:val="18"/>
                <w:szCs w:val="18"/>
              </w:rPr>
            </w:pPr>
            <w:r>
              <w:rPr>
                <w:rFonts w:hint="eastAsia"/>
                <w:color w:val="000000"/>
                <w:sz w:val="18"/>
                <w:szCs w:val="18"/>
              </w:rPr>
              <w:t>台套数</w:t>
            </w:r>
          </w:p>
        </w:tc>
        <w:tc>
          <w:tcPr>
            <w:tcW w:w="1415" w:type="dxa"/>
          </w:tcPr>
          <w:p>
            <w:pPr>
              <w:widowControl/>
              <w:jc w:val="center"/>
              <w:rPr>
                <w:color w:val="000000"/>
                <w:sz w:val="18"/>
                <w:szCs w:val="18"/>
              </w:rPr>
            </w:pPr>
            <w:r>
              <w:rPr>
                <w:rFonts w:hint="eastAsia"/>
                <w:color w:val="000000"/>
                <w:sz w:val="18"/>
                <w:szCs w:val="18"/>
              </w:rPr>
              <w:t>序列号备注</w:t>
            </w:r>
          </w:p>
        </w:tc>
        <w:tc>
          <w:tcPr>
            <w:tcW w:w="1216" w:type="dxa"/>
          </w:tcPr>
          <w:p>
            <w:pPr>
              <w:widowControl/>
              <w:jc w:val="center"/>
              <w:rPr>
                <w:rFonts w:ascii="宋体" w:hAnsi="宋体" w:cs="宋体"/>
                <w:bCs/>
                <w:color w:val="000000"/>
                <w:kern w:val="0"/>
                <w:sz w:val="20"/>
              </w:rPr>
            </w:pPr>
            <w:r>
              <w:rPr>
                <w:rFonts w:ascii="宋体" w:hAnsi="宋体" w:cs="宋体" w:hint="eastAsia"/>
                <w:bCs/>
                <w:color w:val="000000"/>
                <w:kern w:val="0"/>
                <w:sz w:val="20"/>
                <w:szCs w:val="24"/>
              </w:rPr>
              <w:t>维保日期</w:t>
            </w:r>
          </w:p>
        </w:tc>
      </w:tr>
      <w:tr>
        <w:tblPrEx>
          <w:tblW w:w="0" w:type="auto"/>
          <w:tblInd w:w="0" w:type="dxa"/>
          <w:tblCellMar>
            <w:top w:w="0" w:type="dxa"/>
            <w:left w:w="108" w:type="dxa"/>
            <w:bottom w:w="0" w:type="dxa"/>
            <w:right w:w="108" w:type="dxa"/>
          </w:tblCellMar>
        </w:tblPrEx>
        <w:trPr>
          <w:trHeight w:val="675"/>
          <w:tblHeader/>
        </w:trPr>
        <w:tc>
          <w:tcPr>
            <w:tcW w:w="0" w:type="auto"/>
            <w:vMerge w:val="restart"/>
          </w:tcPr>
          <w:p>
            <w:r>
              <w:rPr>
                <w:rFonts w:hint="eastAsia"/>
              </w:rPr>
              <w:t>1</w:t>
            </w:r>
          </w:p>
        </w:tc>
        <w:tc>
          <w:tcPr>
            <w:tcW w:w="650" w:type="dxa"/>
            <w:vMerge w:val="restart"/>
          </w:tcPr>
          <w:p>
            <w:pPr>
              <w:widowControl/>
              <w:jc w:val="center"/>
              <w:rPr>
                <w:rFonts w:ascii="宋体" w:hAnsi="宋体" w:cs="宋体"/>
                <w:kern w:val="0"/>
                <w:sz w:val="20"/>
              </w:rPr>
            </w:pPr>
            <w:r>
              <w:rPr>
                <w:rFonts w:ascii="宋体" w:hAnsi="宋体" w:cs="宋体"/>
                <w:kern w:val="0"/>
                <w:sz w:val="20"/>
                <w:szCs w:val="24"/>
              </w:rPr>
              <w:t>UNIX服务器</w:t>
            </w:r>
          </w:p>
        </w:tc>
        <w:tc>
          <w:tcPr>
            <w:tcW w:w="3544" w:type="dxa"/>
          </w:tcPr>
          <w:p>
            <w:pPr>
              <w:widowControl/>
              <w:jc w:val="center"/>
              <w:rPr>
                <w:color w:val="000000"/>
                <w:sz w:val="18"/>
                <w:szCs w:val="18"/>
              </w:rPr>
            </w:pPr>
            <w:r>
              <w:rPr>
                <w:rFonts w:hint="eastAsia"/>
                <w:color w:val="000000"/>
                <w:sz w:val="18"/>
                <w:szCs w:val="18"/>
              </w:rPr>
              <w:t>新云东方NA7824服务器（8C/128G/1HBA），2个AIX分区许可</w:t>
            </w:r>
          </w:p>
        </w:tc>
        <w:tc>
          <w:tcPr>
            <w:tcW w:w="987" w:type="dxa"/>
          </w:tcPr>
          <w:p>
            <w:pPr>
              <w:widowControl/>
              <w:jc w:val="center"/>
              <w:rPr>
                <w:color w:val="000000"/>
                <w:sz w:val="18"/>
                <w:szCs w:val="18"/>
              </w:rPr>
            </w:pPr>
            <w:r>
              <w:rPr>
                <w:rFonts w:hint="eastAsia"/>
                <w:color w:val="000000"/>
                <w:sz w:val="18"/>
                <w:szCs w:val="18"/>
              </w:rPr>
              <w:t>6</w:t>
            </w:r>
          </w:p>
        </w:tc>
        <w:tc>
          <w:tcPr>
            <w:tcW w:w="1415" w:type="dxa"/>
          </w:tcPr>
          <w:p>
            <w:pPr>
              <w:widowControl/>
              <w:jc w:val="center"/>
              <w:rPr>
                <w:color w:val="000000"/>
                <w:sz w:val="18"/>
                <w:szCs w:val="18"/>
              </w:rPr>
            </w:pPr>
            <w:r>
              <w:rPr>
                <w:rFonts w:hint="eastAsia"/>
                <w:color w:val="000000"/>
                <w:sz w:val="18"/>
                <w:szCs w:val="18"/>
              </w:rPr>
              <w:t>847087W</w:t>
            </w:r>
            <w:r>
              <w:rPr>
                <w:rFonts w:hint="eastAsia"/>
                <w:color w:val="000000"/>
                <w:sz w:val="18"/>
                <w:szCs w:val="18"/>
              </w:rPr>
              <w:br/>
            </w:r>
            <w:r>
              <w:rPr>
                <w:rFonts w:hint="eastAsia"/>
                <w:color w:val="000000"/>
                <w:sz w:val="18"/>
                <w:szCs w:val="18"/>
              </w:rPr>
              <w:t>847088W</w:t>
            </w:r>
            <w:r>
              <w:rPr>
                <w:rFonts w:hint="eastAsia"/>
                <w:color w:val="000000"/>
                <w:sz w:val="18"/>
                <w:szCs w:val="18"/>
              </w:rPr>
              <w:br/>
            </w:r>
            <w:r>
              <w:rPr>
                <w:rFonts w:hint="eastAsia"/>
                <w:color w:val="000000"/>
                <w:sz w:val="18"/>
                <w:szCs w:val="18"/>
              </w:rPr>
              <w:t>847089W</w:t>
            </w:r>
            <w:r>
              <w:rPr>
                <w:rFonts w:hint="eastAsia"/>
                <w:color w:val="000000"/>
                <w:sz w:val="18"/>
                <w:szCs w:val="18"/>
              </w:rPr>
              <w:br/>
            </w:r>
            <w:r>
              <w:rPr>
                <w:rFonts w:hint="eastAsia"/>
                <w:color w:val="000000"/>
                <w:sz w:val="18"/>
                <w:szCs w:val="18"/>
              </w:rPr>
              <w:t>84715EW</w:t>
            </w:r>
            <w:r>
              <w:rPr>
                <w:rFonts w:hint="eastAsia"/>
                <w:color w:val="000000"/>
                <w:sz w:val="18"/>
                <w:szCs w:val="18"/>
              </w:rPr>
              <w:br/>
            </w:r>
            <w:r>
              <w:rPr>
                <w:rFonts w:hint="eastAsia"/>
                <w:color w:val="000000"/>
                <w:sz w:val="18"/>
                <w:szCs w:val="18"/>
              </w:rPr>
              <w:t>84708BW</w:t>
            </w:r>
            <w:r>
              <w:rPr>
                <w:rFonts w:hint="eastAsia"/>
                <w:color w:val="000000"/>
                <w:sz w:val="18"/>
                <w:szCs w:val="18"/>
              </w:rPr>
              <w:br/>
            </w:r>
            <w:r>
              <w:rPr>
                <w:rFonts w:hint="eastAsia"/>
                <w:color w:val="000000"/>
                <w:sz w:val="18"/>
                <w:szCs w:val="18"/>
              </w:rPr>
              <w:t>84708AW</w:t>
            </w:r>
          </w:p>
        </w:tc>
        <w:tc>
          <w:tcPr>
            <w:tcW w:w="1216" w:type="dxa"/>
            <w:vMerge w:val="restart"/>
          </w:tcPr>
          <w:p>
            <w:pPr>
              <w:widowControl/>
              <w:jc w:val="center"/>
              <w:rPr>
                <w:rFonts w:ascii="宋体" w:hAnsi="宋体" w:cs="宋体"/>
                <w:bCs/>
                <w:color w:val="000000"/>
                <w:kern w:val="0"/>
                <w:sz w:val="20"/>
              </w:rPr>
            </w:pPr>
            <w:r>
              <w:rPr>
                <w:rFonts w:ascii="宋体" w:hAnsi="宋体" w:cs="宋体" w:hint="eastAsia"/>
                <w:bCs/>
                <w:color w:val="000000"/>
                <w:kern w:val="0"/>
                <w:sz w:val="20"/>
                <w:szCs w:val="24"/>
              </w:rPr>
              <w:t>参见前文要求</w:t>
            </w:r>
          </w:p>
        </w:tc>
      </w:tr>
      <w:tr>
        <w:tblPrEx>
          <w:tblW w:w="0" w:type="auto"/>
          <w:tblInd w:w="0" w:type="dxa"/>
          <w:tblCellMar>
            <w:top w:w="0" w:type="dxa"/>
            <w:left w:w="108" w:type="dxa"/>
            <w:bottom w:w="0" w:type="dxa"/>
            <w:right w:w="108" w:type="dxa"/>
          </w:tblCellMar>
        </w:tblPrEx>
        <w:trPr>
          <w:trHeight w:val="675"/>
          <w:tblHeader/>
        </w:trPr>
        <w:tc>
          <w:tcPr>
            <w:tcW w:w="0" w:type="auto"/>
            <w:vMerge/>
          </w:tcPr>
          <w:p/>
        </w:tc>
        <w:tc>
          <w:tcPr>
            <w:tcW w:w="650" w:type="dxa"/>
            <w:vMerge/>
          </w:tcPr>
          <w:p>
            <w:pPr>
              <w:widowControl/>
              <w:jc w:val="center"/>
              <w:rPr>
                <w:rFonts w:ascii="宋体" w:hAnsi="宋体" w:cs="宋体"/>
                <w:kern w:val="0"/>
                <w:sz w:val="20"/>
              </w:rPr>
            </w:pPr>
          </w:p>
        </w:tc>
        <w:tc>
          <w:tcPr>
            <w:tcW w:w="3544" w:type="dxa"/>
          </w:tcPr>
          <w:p>
            <w:pPr>
              <w:widowControl/>
              <w:jc w:val="center"/>
              <w:rPr>
                <w:rFonts w:ascii="宋体" w:hAnsi="宋体" w:cs="宋体"/>
                <w:kern w:val="0"/>
                <w:sz w:val="20"/>
              </w:rPr>
            </w:pPr>
            <w:r>
              <w:rPr>
                <w:rFonts w:hint="eastAsia"/>
                <w:color w:val="000000"/>
                <w:sz w:val="18"/>
                <w:szCs w:val="18"/>
              </w:rPr>
              <w:t>新云东方NA7824服务器（12C/192G/4HBA），2个AIX分区许可</w:t>
            </w:r>
          </w:p>
        </w:tc>
        <w:tc>
          <w:tcPr>
            <w:tcW w:w="987" w:type="dxa"/>
          </w:tcPr>
          <w:p>
            <w:pPr>
              <w:widowControl/>
              <w:jc w:val="center"/>
              <w:rPr>
                <w:color w:val="000000"/>
                <w:sz w:val="18"/>
                <w:szCs w:val="18"/>
              </w:rPr>
            </w:pPr>
            <w:r>
              <w:rPr>
                <w:rFonts w:hint="eastAsia"/>
                <w:color w:val="000000"/>
                <w:sz w:val="18"/>
                <w:szCs w:val="18"/>
              </w:rPr>
              <w:t>2</w:t>
            </w:r>
          </w:p>
        </w:tc>
        <w:tc>
          <w:tcPr>
            <w:tcW w:w="1415" w:type="dxa"/>
          </w:tcPr>
          <w:p>
            <w:pPr>
              <w:widowControl/>
              <w:jc w:val="center"/>
              <w:rPr>
                <w:color w:val="000000"/>
                <w:sz w:val="18"/>
                <w:szCs w:val="18"/>
              </w:rPr>
            </w:pPr>
            <w:r>
              <w:rPr>
                <w:rFonts w:hint="eastAsia"/>
                <w:color w:val="000000"/>
                <w:sz w:val="18"/>
                <w:szCs w:val="18"/>
              </w:rPr>
              <w:t>84715CW</w:t>
            </w:r>
            <w:r>
              <w:rPr>
                <w:rFonts w:hint="eastAsia"/>
                <w:color w:val="000000"/>
                <w:sz w:val="18"/>
                <w:szCs w:val="18"/>
              </w:rPr>
              <w:br/>
            </w:r>
            <w:r>
              <w:rPr>
                <w:rFonts w:hint="eastAsia"/>
                <w:color w:val="000000"/>
                <w:sz w:val="18"/>
                <w:szCs w:val="18"/>
              </w:rPr>
              <w:t>84708CW</w:t>
            </w:r>
          </w:p>
        </w:tc>
        <w:tc>
          <w:tcPr>
            <w:tcW w:w="1216" w:type="dxa"/>
            <w:vMerge/>
          </w:tcPr>
          <w:p>
            <w:pPr>
              <w:widowControl/>
              <w:jc w:val="center"/>
              <w:rPr>
                <w:rFonts w:ascii="宋体" w:hAnsi="宋体" w:cs="宋体"/>
                <w:bCs/>
                <w:color w:val="000000"/>
                <w:kern w:val="0"/>
                <w:sz w:val="20"/>
              </w:rPr>
            </w:pPr>
          </w:p>
        </w:tc>
      </w:tr>
      <w:tr>
        <w:tblPrEx>
          <w:tblW w:w="0" w:type="auto"/>
          <w:tblInd w:w="0" w:type="dxa"/>
          <w:tblCellMar>
            <w:top w:w="0" w:type="dxa"/>
            <w:left w:w="108" w:type="dxa"/>
            <w:bottom w:w="0" w:type="dxa"/>
            <w:right w:w="108" w:type="dxa"/>
          </w:tblCellMar>
        </w:tblPrEx>
        <w:trPr>
          <w:trHeight w:val="675"/>
          <w:tblHeader/>
        </w:trPr>
        <w:tc>
          <w:tcPr>
            <w:tcW w:w="0" w:type="auto"/>
            <w:vMerge/>
          </w:tcPr>
          <w:p/>
        </w:tc>
        <w:tc>
          <w:tcPr>
            <w:tcW w:w="650" w:type="dxa"/>
            <w:vMerge/>
          </w:tcPr>
          <w:p>
            <w:pPr>
              <w:widowControl/>
              <w:jc w:val="center"/>
              <w:rPr>
                <w:rFonts w:ascii="宋体" w:hAnsi="宋体" w:cs="宋体"/>
                <w:kern w:val="0"/>
                <w:sz w:val="20"/>
              </w:rPr>
            </w:pPr>
          </w:p>
        </w:tc>
        <w:tc>
          <w:tcPr>
            <w:tcW w:w="3544" w:type="dxa"/>
          </w:tcPr>
          <w:p>
            <w:pPr>
              <w:widowControl/>
              <w:jc w:val="center"/>
              <w:rPr>
                <w:rFonts w:ascii="宋体" w:hAnsi="宋体" w:cs="宋体"/>
                <w:kern w:val="0"/>
                <w:sz w:val="20"/>
              </w:rPr>
            </w:pPr>
            <w:r>
              <w:rPr>
                <w:rFonts w:hint="eastAsia"/>
                <w:color w:val="000000"/>
                <w:sz w:val="18"/>
                <w:szCs w:val="18"/>
              </w:rPr>
              <w:t>8台小型机的共享配置内容包括：</w:t>
            </w:r>
            <w:r>
              <w:rPr>
                <w:rFonts w:hint="eastAsia"/>
                <w:color w:val="000000"/>
                <w:sz w:val="18"/>
                <w:szCs w:val="18"/>
              </w:rPr>
              <w:br/>
            </w:r>
            <w:r>
              <w:rPr>
                <w:rFonts w:hint="eastAsia"/>
                <w:color w:val="000000"/>
                <w:sz w:val="18"/>
                <w:szCs w:val="18"/>
              </w:rPr>
              <w:t>6个型号为7188的扩容PDU，；</w:t>
            </w:r>
            <w:r>
              <w:rPr>
                <w:rFonts w:hint="eastAsia"/>
                <w:color w:val="000000"/>
                <w:sz w:val="18"/>
                <w:szCs w:val="18"/>
              </w:rPr>
              <w:br/>
            </w:r>
            <w:r>
              <w:rPr>
                <w:rFonts w:hint="eastAsia"/>
                <w:color w:val="000000"/>
                <w:sz w:val="18"/>
                <w:szCs w:val="18"/>
              </w:rPr>
              <w:t>1个T42机柜，带4个原装PDU；</w:t>
            </w:r>
            <w:r>
              <w:rPr>
                <w:rFonts w:hint="eastAsia"/>
                <w:color w:val="000000"/>
                <w:sz w:val="18"/>
                <w:szCs w:val="18"/>
              </w:rPr>
              <w:br/>
            </w:r>
            <w:r>
              <w:rPr>
                <w:rFonts w:hint="eastAsia"/>
                <w:color w:val="000000"/>
                <w:sz w:val="18"/>
                <w:szCs w:val="18"/>
              </w:rPr>
              <w:t>1套</w:t>
            </w:r>
            <w:r>
              <w:rPr>
                <w:color w:val="000000"/>
                <w:sz w:val="18"/>
                <w:szCs w:val="18"/>
              </w:rPr>
              <w:t>(喀什)</w:t>
            </w:r>
            <w:r>
              <w:rPr>
                <w:rFonts w:hint="eastAsia"/>
                <w:color w:val="000000"/>
                <w:sz w:val="18"/>
                <w:szCs w:val="18"/>
              </w:rPr>
              <w:t>机架式硬件管理控制台（HMC），含TF4液晶显示套件。</w:t>
            </w:r>
          </w:p>
        </w:tc>
        <w:tc>
          <w:tcPr>
            <w:tcW w:w="987" w:type="dxa"/>
          </w:tcPr>
          <w:p>
            <w:pPr>
              <w:widowControl/>
              <w:jc w:val="center"/>
              <w:rPr>
                <w:color w:val="000000"/>
                <w:sz w:val="18"/>
                <w:szCs w:val="18"/>
              </w:rPr>
            </w:pPr>
            <w:r>
              <w:rPr>
                <w:rFonts w:hint="eastAsia"/>
                <w:color w:val="000000"/>
                <w:sz w:val="18"/>
                <w:szCs w:val="18"/>
              </w:rPr>
              <w:t>1</w:t>
            </w:r>
          </w:p>
        </w:tc>
        <w:tc>
          <w:tcPr>
            <w:tcW w:w="1415" w:type="dxa"/>
          </w:tcPr>
          <w:p>
            <w:pPr>
              <w:widowControl/>
              <w:jc w:val="center"/>
              <w:rPr>
                <w:color w:val="000000"/>
                <w:sz w:val="18"/>
                <w:szCs w:val="18"/>
              </w:rPr>
            </w:pPr>
            <w:r>
              <w:rPr>
                <w:rFonts w:hint="eastAsia"/>
                <w:color w:val="000000"/>
                <w:sz w:val="18"/>
                <w:szCs w:val="18"/>
              </w:rPr>
              <w:t>无序列号</w:t>
            </w:r>
          </w:p>
        </w:tc>
        <w:tc>
          <w:tcPr>
            <w:tcW w:w="1216" w:type="dxa"/>
            <w:vMerge/>
          </w:tcPr>
          <w:p>
            <w:pPr>
              <w:widowControl/>
              <w:jc w:val="center"/>
              <w:rPr>
                <w:rFonts w:ascii="宋体" w:hAnsi="宋体" w:cs="宋体"/>
                <w:bCs/>
                <w:color w:val="000000"/>
                <w:kern w:val="0"/>
                <w:sz w:val="20"/>
              </w:rPr>
            </w:pPr>
          </w:p>
        </w:tc>
      </w:tr>
      <w:tr>
        <w:tblPrEx>
          <w:tblW w:w="0" w:type="auto"/>
          <w:tblInd w:w="0" w:type="dxa"/>
          <w:tblCellMar>
            <w:top w:w="0" w:type="dxa"/>
            <w:left w:w="108" w:type="dxa"/>
            <w:bottom w:w="0" w:type="dxa"/>
            <w:right w:w="108" w:type="dxa"/>
          </w:tblCellMar>
        </w:tblPrEx>
        <w:trPr>
          <w:trHeight w:val="675"/>
          <w:tblHeader/>
        </w:trPr>
        <w:tc>
          <w:tcPr>
            <w:tcW w:w="0" w:type="auto"/>
            <w:vMerge w:val="restart"/>
          </w:tcPr>
          <w:p>
            <w:r>
              <w:rPr>
                <w:rFonts w:hint="eastAsia"/>
              </w:rPr>
              <w:t>2</w:t>
            </w:r>
          </w:p>
        </w:tc>
        <w:tc>
          <w:tcPr>
            <w:tcW w:w="650" w:type="dxa"/>
            <w:vMerge w:val="restart"/>
          </w:tcPr>
          <w:p>
            <w:pPr>
              <w:widowControl/>
              <w:jc w:val="center"/>
              <w:rPr>
                <w:rFonts w:ascii="宋体" w:hAnsi="宋体" w:cs="宋体"/>
                <w:kern w:val="0"/>
                <w:sz w:val="20"/>
              </w:rPr>
            </w:pPr>
            <w:r>
              <w:rPr>
                <w:rFonts w:ascii="宋体" w:hAnsi="宋体" w:cs="宋体"/>
                <w:kern w:val="0"/>
                <w:sz w:val="20"/>
                <w:szCs w:val="24"/>
              </w:rPr>
              <w:t>UNIX服务器</w:t>
            </w:r>
          </w:p>
        </w:tc>
        <w:tc>
          <w:tcPr>
            <w:tcW w:w="3544" w:type="dxa"/>
          </w:tcPr>
          <w:p>
            <w:pPr>
              <w:widowControl/>
              <w:jc w:val="center"/>
              <w:rPr>
                <w:rFonts w:ascii="宋体" w:hAnsi="宋体" w:cs="宋体"/>
                <w:kern w:val="0"/>
                <w:sz w:val="20"/>
              </w:rPr>
            </w:pPr>
            <w:r>
              <w:rPr>
                <w:rFonts w:hint="eastAsia"/>
                <w:color w:val="000000"/>
                <w:sz w:val="18"/>
                <w:szCs w:val="18"/>
              </w:rPr>
              <w:t>新云东方NA7824服务器（16C/256G/4HBA），2个AIX分区许可</w:t>
            </w:r>
          </w:p>
        </w:tc>
        <w:tc>
          <w:tcPr>
            <w:tcW w:w="987" w:type="dxa"/>
          </w:tcPr>
          <w:p>
            <w:pPr>
              <w:widowControl/>
              <w:jc w:val="center"/>
              <w:rPr>
                <w:color w:val="000000"/>
                <w:sz w:val="18"/>
                <w:szCs w:val="18"/>
              </w:rPr>
            </w:pPr>
            <w:r>
              <w:rPr>
                <w:rFonts w:hint="eastAsia"/>
                <w:color w:val="000000"/>
                <w:sz w:val="18"/>
                <w:szCs w:val="18"/>
              </w:rPr>
              <w:t>2</w:t>
            </w:r>
          </w:p>
        </w:tc>
        <w:tc>
          <w:tcPr>
            <w:tcW w:w="1415" w:type="dxa"/>
          </w:tcPr>
          <w:p>
            <w:pPr>
              <w:widowControl/>
              <w:jc w:val="center"/>
              <w:rPr>
                <w:color w:val="000000"/>
                <w:sz w:val="18"/>
                <w:szCs w:val="18"/>
              </w:rPr>
            </w:pPr>
            <w:r>
              <w:rPr>
                <w:rFonts w:hint="eastAsia"/>
                <w:color w:val="000000"/>
                <w:sz w:val="18"/>
                <w:szCs w:val="18"/>
              </w:rPr>
              <w:t>84715DW、847086W</w:t>
            </w:r>
          </w:p>
        </w:tc>
        <w:tc>
          <w:tcPr>
            <w:tcW w:w="1216" w:type="dxa"/>
            <w:vMerge w:val="restart"/>
          </w:tcPr>
          <w:p>
            <w:pPr>
              <w:widowControl/>
              <w:jc w:val="center"/>
              <w:rPr>
                <w:rFonts w:ascii="宋体" w:hAnsi="宋体" w:cs="宋体"/>
                <w:bCs/>
                <w:color w:val="000000"/>
                <w:kern w:val="0"/>
                <w:sz w:val="20"/>
              </w:rPr>
            </w:pPr>
            <w:r>
              <w:rPr>
                <w:rFonts w:ascii="宋体" w:hAnsi="宋体" w:cs="宋体" w:hint="eastAsia"/>
                <w:bCs/>
                <w:color w:val="000000"/>
                <w:kern w:val="0"/>
                <w:sz w:val="20"/>
                <w:szCs w:val="24"/>
              </w:rPr>
              <w:t>参见前文要求</w:t>
            </w:r>
          </w:p>
        </w:tc>
      </w:tr>
      <w:tr>
        <w:tblPrEx>
          <w:tblW w:w="0" w:type="auto"/>
          <w:tblInd w:w="0" w:type="dxa"/>
          <w:tblCellMar>
            <w:top w:w="0" w:type="dxa"/>
            <w:left w:w="108" w:type="dxa"/>
            <w:bottom w:w="0" w:type="dxa"/>
            <w:right w:w="108" w:type="dxa"/>
          </w:tblCellMar>
        </w:tblPrEx>
        <w:trPr>
          <w:trHeight w:val="675"/>
          <w:tblHeader/>
        </w:trPr>
        <w:tc>
          <w:tcPr>
            <w:tcW w:w="0" w:type="auto"/>
            <w:vMerge/>
          </w:tcPr>
          <w:p/>
        </w:tc>
        <w:tc>
          <w:tcPr>
            <w:tcW w:w="650" w:type="dxa"/>
            <w:vMerge/>
          </w:tcPr>
          <w:p>
            <w:pPr>
              <w:widowControl/>
              <w:jc w:val="center"/>
              <w:rPr>
                <w:rFonts w:ascii="宋体" w:hAnsi="宋体" w:cs="宋体"/>
                <w:kern w:val="0"/>
                <w:sz w:val="20"/>
              </w:rPr>
            </w:pPr>
          </w:p>
        </w:tc>
        <w:tc>
          <w:tcPr>
            <w:tcW w:w="3544" w:type="dxa"/>
          </w:tcPr>
          <w:p>
            <w:pPr>
              <w:widowControl/>
              <w:jc w:val="center"/>
              <w:rPr>
                <w:rFonts w:ascii="宋体" w:hAnsi="宋体" w:cs="宋体"/>
                <w:kern w:val="0"/>
                <w:sz w:val="20"/>
              </w:rPr>
            </w:pPr>
            <w:r>
              <w:rPr>
                <w:rFonts w:hint="eastAsia"/>
                <w:color w:val="000000"/>
                <w:sz w:val="18"/>
                <w:szCs w:val="18"/>
              </w:rPr>
              <w:t>1个T42机柜，带4个原装PDU；</w:t>
            </w:r>
            <w:r>
              <w:rPr>
                <w:rFonts w:hint="eastAsia"/>
                <w:color w:val="000000"/>
                <w:sz w:val="18"/>
                <w:szCs w:val="18"/>
              </w:rPr>
              <w:br/>
            </w:r>
            <w:r>
              <w:rPr>
                <w:rFonts w:hint="eastAsia"/>
                <w:color w:val="000000"/>
                <w:sz w:val="18"/>
                <w:szCs w:val="18"/>
              </w:rPr>
              <w:t>1套（</w:t>
            </w:r>
            <w:r>
              <w:rPr>
                <w:color w:val="000000"/>
                <w:sz w:val="18"/>
                <w:szCs w:val="18"/>
              </w:rPr>
              <w:t>ARSS3/4）</w:t>
            </w:r>
            <w:r>
              <w:rPr>
                <w:rFonts w:hint="eastAsia"/>
                <w:color w:val="000000"/>
                <w:sz w:val="18"/>
                <w:szCs w:val="18"/>
              </w:rPr>
              <w:t>机架式硬件管理控制台（HMC），含TF4液晶显示套件；</w:t>
            </w:r>
            <w:r>
              <w:rPr>
                <w:rFonts w:hint="eastAsia"/>
                <w:color w:val="000000"/>
                <w:sz w:val="18"/>
                <w:szCs w:val="18"/>
              </w:rPr>
              <w:br/>
            </w:r>
            <w:r>
              <w:rPr>
                <w:rFonts w:hint="eastAsia"/>
                <w:color w:val="000000"/>
                <w:sz w:val="18"/>
                <w:szCs w:val="18"/>
              </w:rPr>
              <w:t>1套Paramon应用运行特征收集器软件V5.0及配套设备。</w:t>
            </w:r>
          </w:p>
        </w:tc>
        <w:tc>
          <w:tcPr>
            <w:tcW w:w="987" w:type="dxa"/>
          </w:tcPr>
          <w:p>
            <w:pPr>
              <w:widowControl/>
              <w:jc w:val="center"/>
              <w:rPr>
                <w:color w:val="000000"/>
                <w:sz w:val="18"/>
                <w:szCs w:val="18"/>
              </w:rPr>
            </w:pPr>
            <w:r>
              <w:rPr>
                <w:rFonts w:hint="eastAsia"/>
                <w:color w:val="000000"/>
                <w:sz w:val="18"/>
                <w:szCs w:val="18"/>
              </w:rPr>
              <w:t>1</w:t>
            </w:r>
          </w:p>
        </w:tc>
        <w:tc>
          <w:tcPr>
            <w:tcW w:w="1415" w:type="dxa"/>
          </w:tcPr>
          <w:p>
            <w:pPr>
              <w:widowControl/>
              <w:jc w:val="center"/>
              <w:rPr>
                <w:color w:val="000000"/>
                <w:sz w:val="18"/>
                <w:szCs w:val="18"/>
              </w:rPr>
            </w:pPr>
            <w:r>
              <w:rPr>
                <w:rFonts w:hint="eastAsia"/>
                <w:color w:val="000000"/>
                <w:sz w:val="18"/>
                <w:szCs w:val="18"/>
              </w:rPr>
              <w:t>无序列号</w:t>
            </w:r>
          </w:p>
        </w:tc>
        <w:tc>
          <w:tcPr>
            <w:tcW w:w="1216" w:type="dxa"/>
            <w:vMerge/>
          </w:tcPr>
          <w:p>
            <w:pPr>
              <w:widowControl/>
              <w:jc w:val="center"/>
              <w:rPr>
                <w:rFonts w:ascii="宋体" w:hAnsi="宋体" w:cs="宋体"/>
                <w:bCs/>
                <w:color w:val="000000"/>
                <w:kern w:val="0"/>
                <w:sz w:val="20"/>
              </w:rPr>
            </w:pPr>
          </w:p>
        </w:tc>
      </w:tr>
    </w:tbl>
    <w:p>
      <w:pPr>
        <w:pStyle w:val="Heading3"/>
        <w:numPr>
          <w:ilvl w:val="0"/>
          <w:numId w:val="0"/>
        </w:numPr>
        <w:rPr>
          <w:rFonts w:ascii="宋体" w:eastAsia="宋体" w:hAnsi="宋体"/>
          <w:szCs w:val="21"/>
        </w:rPr>
      </w:pPr>
      <w:bookmarkStart w:id="62" w:name="_Toc169020979"/>
      <w:r>
        <w:rPr>
          <w:rFonts w:ascii="宋体" w:eastAsia="宋体" w:hAnsi="宋体" w:hint="eastAsia"/>
          <w:szCs w:val="21"/>
        </w:rPr>
        <w:t>4.3FY</w:t>
      </w:r>
      <w:r>
        <w:rPr>
          <w:rFonts w:ascii="宋体" w:eastAsia="宋体" w:hAnsi="宋体"/>
          <w:szCs w:val="21"/>
        </w:rPr>
        <w:t>-4</w:t>
      </w:r>
      <w:r>
        <w:rPr>
          <w:rFonts w:ascii="宋体" w:eastAsia="宋体" w:hAnsi="宋体" w:hint="eastAsia"/>
          <w:szCs w:val="21"/>
        </w:rPr>
        <w:t>A</w:t>
      </w:r>
      <w:r>
        <w:rPr>
          <w:rFonts w:ascii="宋体" w:eastAsia="宋体" w:hAnsi="宋体"/>
          <w:szCs w:val="21"/>
        </w:rPr>
        <w:t xml:space="preserve"> </w:t>
      </w:r>
      <w:r>
        <w:rPr>
          <w:rFonts w:ascii="宋体" w:eastAsia="宋体" w:hAnsi="宋体" w:hint="eastAsia"/>
          <w:szCs w:val="21"/>
        </w:rPr>
        <w:t>UNIX小机</w:t>
      </w:r>
      <w:r>
        <w:rPr>
          <w:rFonts w:hint="eastAsia"/>
        </w:rPr>
        <w:t>及配套设备</w:t>
      </w:r>
      <w:bookmarkEnd w:id="62"/>
    </w:p>
    <w:p>
      <w:pPr>
        <w:pStyle w:val="Caption"/>
        <w:keepNext/>
        <w:jc w:val="center"/>
      </w:pPr>
      <w:r>
        <w:t xml:space="preserve">表 </w:t>
      </w:r>
      <w:r>
        <w:fldChar w:fldCharType="begin"/>
      </w:r>
      <w:r>
        <w:instrText xml:space="preserve"> SEQ 表 \* ARABIC </w:instrText>
      </w:r>
      <w:r>
        <w:fldChar w:fldCharType="separate"/>
      </w:r>
      <w:r>
        <w:t>2</w:t>
      </w:r>
      <w:r>
        <w:fldChar w:fldCharType="end"/>
      </w:r>
      <w:r>
        <w:rPr>
          <w:rFonts w:hint="eastAsia"/>
        </w:rPr>
        <w:t>：FY</w:t>
      </w:r>
      <w:r>
        <w:t>4</w:t>
      </w:r>
      <w:r>
        <w:rPr>
          <w:rFonts w:hint="eastAsia"/>
        </w:rPr>
        <w:t>A小机</w:t>
      </w:r>
    </w:p>
    <w:tbl>
      <w:tblPr>
        <w:tblStyle w:val="TableNormal"/>
        <w:tblW w:w="8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4"/>
        <w:gridCol w:w="1134"/>
        <w:gridCol w:w="2126"/>
        <w:gridCol w:w="851"/>
        <w:gridCol w:w="1984"/>
        <w:gridCol w:w="1511"/>
      </w:tblGrid>
      <w:tr>
        <w:tblPrEx>
          <w:tblW w:w="8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30"/>
          <w:tblHeader/>
          <w:jc w:val="center"/>
        </w:trPr>
        <w:tc>
          <w:tcPr>
            <w:tcW w:w="704" w:type="dxa"/>
            <w:shd w:val="clear" w:color="auto" w:fill="auto"/>
            <w:vAlign w:val="center"/>
          </w:tcPr>
          <w:p>
            <w:r>
              <w:rPr>
                <w:rFonts w:hint="eastAsia"/>
              </w:rPr>
              <w:t>序号</w:t>
            </w:r>
          </w:p>
        </w:tc>
        <w:tc>
          <w:tcPr>
            <w:tcW w:w="1134" w:type="dxa"/>
            <w:shd w:val="clear" w:color="auto" w:fill="auto"/>
            <w:vAlign w:val="center"/>
          </w:tcPr>
          <w:p>
            <w:pPr>
              <w:widowControl/>
              <w:jc w:val="center"/>
              <w:rPr>
                <w:rFonts w:ascii="宋体" w:hAnsi="宋体" w:cs="宋体"/>
                <w:kern w:val="0"/>
                <w:sz w:val="20"/>
              </w:rPr>
            </w:pPr>
            <w:r>
              <w:rPr>
                <w:rFonts w:ascii="宋体" w:hAnsi="宋体" w:cs="宋体" w:hint="eastAsia"/>
                <w:kern w:val="0"/>
                <w:sz w:val="20"/>
                <w:szCs w:val="24"/>
              </w:rPr>
              <w:t>设备类型</w:t>
            </w:r>
          </w:p>
        </w:tc>
        <w:tc>
          <w:tcPr>
            <w:tcW w:w="2126" w:type="dxa"/>
            <w:shd w:val="clear" w:color="auto" w:fill="auto"/>
            <w:vAlign w:val="center"/>
          </w:tcPr>
          <w:p>
            <w:pPr>
              <w:widowControl/>
              <w:jc w:val="center"/>
              <w:rPr>
                <w:rFonts w:ascii="宋体" w:hAnsi="宋体" w:cs="宋体"/>
                <w:kern w:val="0"/>
                <w:sz w:val="20"/>
              </w:rPr>
            </w:pPr>
            <w:r>
              <w:rPr>
                <w:rFonts w:ascii="宋体" w:hAnsi="宋体" w:cs="宋体" w:hint="eastAsia"/>
                <w:kern w:val="0"/>
                <w:sz w:val="20"/>
                <w:szCs w:val="24"/>
              </w:rPr>
              <w:t>型号</w:t>
            </w:r>
          </w:p>
        </w:tc>
        <w:tc>
          <w:tcPr>
            <w:tcW w:w="851" w:type="dxa"/>
            <w:shd w:val="clear" w:color="auto" w:fill="auto"/>
            <w:vAlign w:val="center"/>
          </w:tcPr>
          <w:p>
            <w:pPr>
              <w:widowControl/>
              <w:jc w:val="center"/>
              <w:rPr>
                <w:color w:val="000000"/>
                <w:sz w:val="18"/>
                <w:szCs w:val="18"/>
              </w:rPr>
            </w:pPr>
            <w:r>
              <w:rPr>
                <w:rFonts w:hint="eastAsia"/>
                <w:color w:val="000000"/>
                <w:sz w:val="18"/>
                <w:szCs w:val="18"/>
              </w:rPr>
              <w:t>台套数</w:t>
            </w:r>
          </w:p>
        </w:tc>
        <w:tc>
          <w:tcPr>
            <w:tcW w:w="1984" w:type="dxa"/>
          </w:tcPr>
          <w:p>
            <w:pPr>
              <w:widowControl/>
              <w:jc w:val="center"/>
              <w:rPr>
                <w:color w:val="000000"/>
                <w:sz w:val="18"/>
                <w:szCs w:val="18"/>
              </w:rPr>
            </w:pPr>
            <w:r>
              <w:rPr>
                <w:rFonts w:hint="eastAsia"/>
                <w:color w:val="000000"/>
                <w:sz w:val="18"/>
                <w:szCs w:val="18"/>
              </w:rPr>
              <w:t>序列号备注</w:t>
            </w:r>
          </w:p>
        </w:tc>
        <w:tc>
          <w:tcPr>
            <w:tcW w:w="1511" w:type="dxa"/>
            <w:vAlign w:val="center"/>
          </w:tcPr>
          <w:p>
            <w:pPr>
              <w:widowControl/>
              <w:jc w:val="center"/>
              <w:rPr>
                <w:rFonts w:ascii="宋体" w:hAnsi="宋体" w:cs="宋体"/>
                <w:bCs/>
                <w:color w:val="000000"/>
                <w:kern w:val="0"/>
                <w:sz w:val="20"/>
              </w:rPr>
            </w:pPr>
            <w:r>
              <w:rPr>
                <w:rFonts w:ascii="宋体" w:hAnsi="宋体" w:cs="宋体" w:hint="eastAsia"/>
                <w:bCs/>
                <w:color w:val="000000"/>
                <w:kern w:val="0"/>
                <w:sz w:val="20"/>
                <w:szCs w:val="24"/>
              </w:rPr>
              <w:t>维保日期</w:t>
            </w:r>
          </w:p>
        </w:tc>
      </w:tr>
      <w:tr>
        <w:tblPrEx>
          <w:tblW w:w="8310" w:type="dxa"/>
          <w:jc w:val="center"/>
          <w:tblLayout w:type="fixed"/>
          <w:tblCellMar>
            <w:top w:w="0" w:type="dxa"/>
            <w:left w:w="108" w:type="dxa"/>
            <w:bottom w:w="0" w:type="dxa"/>
            <w:right w:w="108" w:type="dxa"/>
          </w:tblCellMar>
        </w:tblPrEx>
        <w:trPr>
          <w:trHeight w:val="675"/>
          <w:tblHeader/>
          <w:jc w:val="center"/>
        </w:trPr>
        <w:tc>
          <w:tcPr>
            <w:tcW w:w="704" w:type="dxa"/>
            <w:shd w:val="clear" w:color="auto" w:fill="auto"/>
            <w:vAlign w:val="center"/>
          </w:tcPr>
          <w:p>
            <w:pPr>
              <w:widowControl/>
              <w:numPr>
                <w:ilvl w:val="0"/>
                <w:numId w:val="6"/>
              </w:numPr>
              <w:jc w:val="center"/>
              <w:rPr>
                <w:rFonts w:ascii="宋体" w:eastAsia="宋体" w:hAnsi="宋体" w:cs="宋体"/>
                <w:kern w:val="0"/>
                <w:sz w:val="20"/>
                <w:szCs w:val="20"/>
              </w:rPr>
            </w:pPr>
          </w:p>
        </w:tc>
        <w:tc>
          <w:tcPr>
            <w:tcW w:w="1134" w:type="dxa"/>
            <w:shd w:val="clear" w:color="auto" w:fill="auto"/>
            <w:vAlign w:val="center"/>
          </w:tcPr>
          <w:p>
            <w:pPr>
              <w:widowControl/>
              <w:jc w:val="center"/>
              <w:rPr>
                <w:rFonts w:ascii="宋体" w:hAnsi="宋体" w:cs="宋体"/>
                <w:kern w:val="0"/>
                <w:sz w:val="20"/>
              </w:rPr>
            </w:pPr>
            <w:r>
              <w:rPr>
                <w:rFonts w:ascii="宋体" w:eastAsia="宋体" w:hAnsi="宋体" w:cs="宋体" w:hint="eastAsia"/>
                <w:bCs/>
                <w:kern w:val="0"/>
                <w:sz w:val="20"/>
                <w:szCs w:val="20"/>
              </w:rPr>
              <w:t>UNIX小机</w:t>
            </w:r>
          </w:p>
        </w:tc>
        <w:tc>
          <w:tcPr>
            <w:tcW w:w="2126" w:type="dxa"/>
            <w:shd w:val="clear" w:color="auto" w:fill="auto"/>
            <w:vAlign w:val="center"/>
          </w:tcPr>
          <w:p>
            <w:pPr>
              <w:widowControl/>
              <w:jc w:val="center"/>
              <w:rPr>
                <w:rFonts w:ascii="宋体" w:hAnsi="宋体" w:cs="宋体"/>
                <w:kern w:val="0"/>
                <w:sz w:val="20"/>
              </w:rPr>
            </w:pPr>
            <w:r>
              <w:rPr>
                <w:rFonts w:ascii="宋体" w:eastAsia="宋体" w:hAnsi="宋体"/>
                <w:sz w:val="20"/>
                <w:szCs w:val="20"/>
              </w:rPr>
              <w:t>NA7824</w:t>
            </w:r>
          </w:p>
        </w:tc>
        <w:tc>
          <w:tcPr>
            <w:tcW w:w="851" w:type="dxa"/>
            <w:shd w:val="clear" w:color="auto" w:fill="auto"/>
            <w:vAlign w:val="center"/>
          </w:tcPr>
          <w:p>
            <w:pPr>
              <w:widowControl/>
              <w:jc w:val="center"/>
              <w:rPr>
                <w:color w:val="000000"/>
                <w:sz w:val="18"/>
                <w:szCs w:val="18"/>
              </w:rPr>
            </w:pPr>
            <w:r>
              <w:rPr>
                <w:rFonts w:ascii="宋体" w:eastAsia="宋体" w:hAnsi="宋体"/>
                <w:sz w:val="20"/>
                <w:szCs w:val="20"/>
              </w:rPr>
              <w:t>17</w:t>
            </w:r>
          </w:p>
        </w:tc>
        <w:tc>
          <w:tcPr>
            <w:tcW w:w="1984" w:type="dxa"/>
          </w:tcPr>
          <w:p>
            <w:pPr>
              <w:widowControl/>
              <w:jc w:val="center"/>
              <w:rPr>
                <w:color w:val="000000"/>
                <w:sz w:val="18"/>
                <w:szCs w:val="18"/>
              </w:rPr>
            </w:pPr>
            <w:r>
              <w:rPr>
                <w:color w:val="000000"/>
                <w:sz w:val="18"/>
                <w:szCs w:val="18"/>
              </w:rPr>
              <w:t>844C1DW</w:t>
            </w:r>
          </w:p>
          <w:p>
            <w:pPr>
              <w:widowControl/>
              <w:jc w:val="center"/>
              <w:rPr>
                <w:color w:val="000000"/>
                <w:sz w:val="18"/>
                <w:szCs w:val="18"/>
              </w:rPr>
            </w:pPr>
            <w:r>
              <w:rPr>
                <w:color w:val="000000"/>
                <w:sz w:val="18"/>
                <w:szCs w:val="18"/>
              </w:rPr>
              <w:t>844C1EW</w:t>
            </w:r>
          </w:p>
          <w:p>
            <w:pPr>
              <w:widowControl/>
              <w:jc w:val="center"/>
              <w:rPr>
                <w:color w:val="000000"/>
                <w:sz w:val="18"/>
                <w:szCs w:val="18"/>
              </w:rPr>
            </w:pPr>
            <w:r>
              <w:rPr>
                <w:color w:val="000000"/>
                <w:sz w:val="18"/>
                <w:szCs w:val="18"/>
              </w:rPr>
              <w:t>844AEFW</w:t>
            </w:r>
          </w:p>
          <w:p>
            <w:pPr>
              <w:widowControl/>
              <w:jc w:val="center"/>
              <w:rPr>
                <w:color w:val="000000"/>
                <w:sz w:val="18"/>
                <w:szCs w:val="18"/>
              </w:rPr>
            </w:pPr>
            <w:r>
              <w:rPr>
                <w:color w:val="000000"/>
                <w:sz w:val="18"/>
                <w:szCs w:val="18"/>
              </w:rPr>
              <w:t>84491AW</w:t>
            </w:r>
          </w:p>
          <w:p>
            <w:pPr>
              <w:widowControl/>
              <w:jc w:val="center"/>
              <w:rPr>
                <w:color w:val="000000"/>
                <w:sz w:val="18"/>
                <w:szCs w:val="18"/>
              </w:rPr>
            </w:pPr>
            <w:r>
              <w:rPr>
                <w:color w:val="000000"/>
                <w:sz w:val="18"/>
                <w:szCs w:val="18"/>
              </w:rPr>
              <w:t>84490EW</w:t>
            </w:r>
          </w:p>
          <w:p>
            <w:pPr>
              <w:widowControl/>
              <w:jc w:val="center"/>
              <w:rPr>
                <w:color w:val="000000"/>
                <w:sz w:val="18"/>
                <w:szCs w:val="18"/>
              </w:rPr>
            </w:pPr>
            <w:r>
              <w:rPr>
                <w:color w:val="000000"/>
                <w:sz w:val="18"/>
                <w:szCs w:val="18"/>
              </w:rPr>
              <w:t>844C23W</w:t>
            </w:r>
          </w:p>
          <w:p>
            <w:pPr>
              <w:widowControl/>
              <w:jc w:val="center"/>
              <w:rPr>
                <w:color w:val="000000"/>
                <w:sz w:val="18"/>
                <w:szCs w:val="18"/>
              </w:rPr>
            </w:pPr>
            <w:r>
              <w:rPr>
                <w:color w:val="000000"/>
                <w:sz w:val="18"/>
                <w:szCs w:val="18"/>
              </w:rPr>
              <w:t>844AECW</w:t>
            </w:r>
          </w:p>
          <w:p>
            <w:pPr>
              <w:widowControl/>
              <w:jc w:val="center"/>
              <w:rPr>
                <w:color w:val="000000"/>
                <w:sz w:val="18"/>
                <w:szCs w:val="18"/>
              </w:rPr>
            </w:pPr>
            <w:r>
              <w:rPr>
                <w:color w:val="000000"/>
                <w:sz w:val="18"/>
                <w:szCs w:val="18"/>
              </w:rPr>
              <w:t>844C1CW</w:t>
            </w:r>
          </w:p>
          <w:p>
            <w:pPr>
              <w:widowControl/>
              <w:jc w:val="center"/>
              <w:rPr>
                <w:color w:val="000000"/>
                <w:sz w:val="18"/>
                <w:szCs w:val="18"/>
              </w:rPr>
            </w:pPr>
            <w:r>
              <w:rPr>
                <w:color w:val="000000"/>
                <w:sz w:val="18"/>
                <w:szCs w:val="18"/>
              </w:rPr>
              <w:t>844C1BW</w:t>
            </w:r>
          </w:p>
          <w:p>
            <w:pPr>
              <w:widowControl/>
              <w:jc w:val="center"/>
              <w:rPr>
                <w:color w:val="000000"/>
                <w:sz w:val="18"/>
                <w:szCs w:val="18"/>
              </w:rPr>
            </w:pPr>
            <w:r>
              <w:rPr>
                <w:color w:val="000000"/>
                <w:sz w:val="18"/>
                <w:szCs w:val="18"/>
              </w:rPr>
              <w:t>844911W</w:t>
            </w:r>
          </w:p>
          <w:p>
            <w:pPr>
              <w:widowControl/>
              <w:jc w:val="center"/>
              <w:rPr>
                <w:color w:val="000000"/>
                <w:sz w:val="18"/>
                <w:szCs w:val="18"/>
              </w:rPr>
            </w:pPr>
            <w:r>
              <w:rPr>
                <w:color w:val="000000"/>
                <w:sz w:val="18"/>
                <w:szCs w:val="18"/>
              </w:rPr>
              <w:t>844919W</w:t>
            </w:r>
          </w:p>
          <w:p>
            <w:pPr>
              <w:widowControl/>
              <w:jc w:val="center"/>
              <w:rPr>
                <w:color w:val="000000"/>
                <w:sz w:val="18"/>
                <w:szCs w:val="18"/>
              </w:rPr>
            </w:pPr>
            <w:r>
              <w:rPr>
                <w:color w:val="000000"/>
                <w:sz w:val="18"/>
                <w:szCs w:val="18"/>
              </w:rPr>
              <w:t>844DD7W</w:t>
            </w:r>
          </w:p>
          <w:p>
            <w:pPr>
              <w:widowControl/>
              <w:jc w:val="center"/>
              <w:rPr>
                <w:color w:val="000000"/>
                <w:sz w:val="18"/>
                <w:szCs w:val="18"/>
              </w:rPr>
            </w:pPr>
            <w:r>
              <w:rPr>
                <w:color w:val="000000"/>
                <w:sz w:val="18"/>
                <w:szCs w:val="18"/>
              </w:rPr>
              <w:t>844910W</w:t>
            </w:r>
          </w:p>
          <w:p>
            <w:pPr>
              <w:widowControl/>
              <w:jc w:val="center"/>
              <w:rPr>
                <w:color w:val="000000"/>
                <w:sz w:val="18"/>
                <w:szCs w:val="18"/>
              </w:rPr>
            </w:pPr>
            <w:r>
              <w:rPr>
                <w:color w:val="000000"/>
                <w:sz w:val="18"/>
                <w:szCs w:val="18"/>
              </w:rPr>
              <w:t>844917W</w:t>
            </w:r>
          </w:p>
          <w:p>
            <w:pPr>
              <w:widowControl/>
              <w:jc w:val="center"/>
              <w:rPr>
                <w:color w:val="000000"/>
                <w:sz w:val="18"/>
                <w:szCs w:val="18"/>
              </w:rPr>
            </w:pPr>
            <w:r>
              <w:rPr>
                <w:color w:val="000000"/>
                <w:sz w:val="18"/>
                <w:szCs w:val="18"/>
              </w:rPr>
              <w:t>844913W</w:t>
            </w:r>
          </w:p>
          <w:p>
            <w:pPr>
              <w:widowControl/>
              <w:jc w:val="center"/>
              <w:rPr>
                <w:color w:val="000000"/>
                <w:sz w:val="18"/>
                <w:szCs w:val="18"/>
              </w:rPr>
            </w:pPr>
            <w:r>
              <w:rPr>
                <w:color w:val="000000"/>
                <w:sz w:val="18"/>
                <w:szCs w:val="18"/>
              </w:rPr>
              <w:t>844C1FW</w:t>
            </w:r>
          </w:p>
          <w:p>
            <w:pPr>
              <w:widowControl/>
              <w:jc w:val="center"/>
              <w:rPr>
                <w:color w:val="000000"/>
                <w:sz w:val="18"/>
                <w:szCs w:val="18"/>
              </w:rPr>
            </w:pPr>
            <w:r>
              <w:rPr>
                <w:color w:val="000000"/>
                <w:sz w:val="18"/>
                <w:szCs w:val="18"/>
              </w:rPr>
              <w:t>84490AW</w:t>
            </w:r>
          </w:p>
          <w:p>
            <w:pPr>
              <w:widowControl/>
              <w:jc w:val="center"/>
              <w:rPr>
                <w:color w:val="000000"/>
                <w:sz w:val="18"/>
                <w:szCs w:val="18"/>
              </w:rPr>
            </w:pPr>
            <w:r>
              <w:rPr>
                <w:color w:val="000000"/>
                <w:sz w:val="18"/>
                <w:szCs w:val="18"/>
              </w:rPr>
              <w:t>844AEEW</w:t>
            </w:r>
          </w:p>
          <w:p>
            <w:pPr>
              <w:widowControl/>
              <w:jc w:val="center"/>
              <w:rPr>
                <w:color w:val="000000"/>
                <w:sz w:val="18"/>
                <w:szCs w:val="18"/>
              </w:rPr>
            </w:pPr>
            <w:r>
              <w:rPr>
                <w:color w:val="000000"/>
                <w:sz w:val="18"/>
                <w:szCs w:val="18"/>
              </w:rPr>
              <w:t>844C1AW</w:t>
            </w:r>
          </w:p>
          <w:p>
            <w:pPr>
              <w:widowControl/>
              <w:jc w:val="center"/>
              <w:rPr>
                <w:color w:val="000000"/>
                <w:sz w:val="18"/>
                <w:szCs w:val="18"/>
              </w:rPr>
            </w:pPr>
            <w:r>
              <w:rPr>
                <w:color w:val="000000"/>
                <w:sz w:val="18"/>
                <w:szCs w:val="18"/>
              </w:rPr>
              <w:t>84491BW</w:t>
            </w:r>
          </w:p>
          <w:p>
            <w:pPr>
              <w:widowControl/>
              <w:jc w:val="center"/>
              <w:rPr>
                <w:color w:val="000000"/>
                <w:sz w:val="18"/>
                <w:szCs w:val="18"/>
              </w:rPr>
            </w:pPr>
            <w:r>
              <w:rPr>
                <w:color w:val="000000"/>
                <w:sz w:val="18"/>
                <w:szCs w:val="18"/>
              </w:rPr>
              <w:t>844AEDW</w:t>
            </w:r>
          </w:p>
          <w:p>
            <w:pPr>
              <w:widowControl/>
              <w:jc w:val="center"/>
              <w:rPr>
                <w:color w:val="000000"/>
                <w:sz w:val="18"/>
                <w:szCs w:val="18"/>
              </w:rPr>
            </w:pPr>
            <w:r>
              <w:rPr>
                <w:color w:val="000000"/>
                <w:sz w:val="18"/>
                <w:szCs w:val="18"/>
              </w:rPr>
              <w:t>84490CW</w:t>
            </w:r>
          </w:p>
          <w:p>
            <w:pPr>
              <w:widowControl/>
              <w:jc w:val="center"/>
              <w:rPr>
                <w:color w:val="000000"/>
                <w:sz w:val="18"/>
                <w:szCs w:val="18"/>
              </w:rPr>
            </w:pPr>
            <w:r>
              <w:rPr>
                <w:color w:val="000000"/>
                <w:sz w:val="18"/>
                <w:szCs w:val="18"/>
              </w:rPr>
              <w:t>844918W</w:t>
            </w:r>
          </w:p>
          <w:p>
            <w:pPr>
              <w:widowControl/>
              <w:jc w:val="center"/>
              <w:rPr>
                <w:color w:val="000000"/>
                <w:sz w:val="18"/>
                <w:szCs w:val="18"/>
              </w:rPr>
            </w:pPr>
            <w:r>
              <w:rPr>
                <w:color w:val="000000"/>
                <w:sz w:val="18"/>
                <w:szCs w:val="18"/>
              </w:rPr>
              <w:t>844C20W</w:t>
            </w:r>
          </w:p>
          <w:p>
            <w:pPr>
              <w:widowControl/>
              <w:jc w:val="center"/>
              <w:rPr>
                <w:color w:val="000000"/>
                <w:sz w:val="18"/>
                <w:szCs w:val="18"/>
              </w:rPr>
            </w:pPr>
            <w:r>
              <w:rPr>
                <w:color w:val="000000"/>
                <w:sz w:val="18"/>
                <w:szCs w:val="18"/>
              </w:rPr>
              <w:t>844C22W</w:t>
            </w:r>
          </w:p>
          <w:p>
            <w:pPr>
              <w:widowControl/>
              <w:jc w:val="center"/>
              <w:rPr>
                <w:color w:val="000000"/>
                <w:sz w:val="18"/>
                <w:szCs w:val="18"/>
              </w:rPr>
            </w:pPr>
            <w:r>
              <w:rPr>
                <w:color w:val="000000"/>
                <w:sz w:val="18"/>
                <w:szCs w:val="18"/>
              </w:rPr>
              <w:t>844DD6W</w:t>
            </w:r>
          </w:p>
          <w:p>
            <w:pPr>
              <w:widowControl/>
              <w:jc w:val="center"/>
              <w:rPr>
                <w:color w:val="000000"/>
                <w:sz w:val="18"/>
                <w:szCs w:val="18"/>
              </w:rPr>
            </w:pPr>
            <w:r>
              <w:rPr>
                <w:color w:val="000000"/>
                <w:sz w:val="18"/>
                <w:szCs w:val="18"/>
              </w:rPr>
              <w:t>844AEBW</w:t>
            </w:r>
          </w:p>
          <w:p>
            <w:pPr>
              <w:widowControl/>
              <w:jc w:val="center"/>
              <w:rPr>
                <w:color w:val="000000"/>
                <w:sz w:val="18"/>
                <w:szCs w:val="18"/>
              </w:rPr>
            </w:pPr>
            <w:r>
              <w:rPr>
                <w:color w:val="000000"/>
                <w:sz w:val="18"/>
                <w:szCs w:val="18"/>
              </w:rPr>
              <w:t>84490BW</w:t>
            </w:r>
          </w:p>
          <w:p>
            <w:pPr>
              <w:widowControl/>
              <w:jc w:val="center"/>
              <w:rPr>
                <w:color w:val="000000"/>
                <w:sz w:val="18"/>
                <w:szCs w:val="18"/>
              </w:rPr>
            </w:pPr>
            <w:r>
              <w:rPr>
                <w:color w:val="000000"/>
                <w:sz w:val="18"/>
                <w:szCs w:val="18"/>
              </w:rPr>
              <w:t>844912W</w:t>
            </w:r>
          </w:p>
          <w:p>
            <w:pPr>
              <w:widowControl/>
              <w:jc w:val="center"/>
              <w:rPr>
                <w:color w:val="000000"/>
                <w:sz w:val="18"/>
                <w:szCs w:val="18"/>
              </w:rPr>
            </w:pPr>
            <w:r>
              <w:rPr>
                <w:color w:val="000000"/>
                <w:sz w:val="18"/>
                <w:szCs w:val="18"/>
              </w:rPr>
              <w:t>844DD4W</w:t>
            </w:r>
          </w:p>
          <w:p>
            <w:pPr>
              <w:widowControl/>
              <w:jc w:val="center"/>
              <w:rPr>
                <w:color w:val="000000"/>
                <w:sz w:val="18"/>
                <w:szCs w:val="18"/>
              </w:rPr>
            </w:pPr>
            <w:r>
              <w:rPr>
                <w:color w:val="000000"/>
                <w:sz w:val="18"/>
                <w:szCs w:val="18"/>
              </w:rPr>
              <w:t>84490DW</w:t>
            </w:r>
          </w:p>
          <w:p>
            <w:pPr>
              <w:widowControl/>
              <w:jc w:val="center"/>
              <w:rPr>
                <w:color w:val="000000"/>
                <w:sz w:val="18"/>
                <w:szCs w:val="18"/>
              </w:rPr>
            </w:pPr>
            <w:r>
              <w:rPr>
                <w:color w:val="000000"/>
                <w:sz w:val="18"/>
                <w:szCs w:val="18"/>
              </w:rPr>
              <w:t>84490FW</w:t>
            </w:r>
          </w:p>
          <w:p>
            <w:pPr>
              <w:widowControl/>
              <w:jc w:val="center"/>
              <w:rPr>
                <w:color w:val="000000"/>
                <w:sz w:val="18"/>
                <w:szCs w:val="18"/>
              </w:rPr>
            </w:pPr>
            <w:r>
              <w:rPr>
                <w:color w:val="000000"/>
                <w:sz w:val="18"/>
                <w:szCs w:val="18"/>
              </w:rPr>
              <w:t>844DD5W</w:t>
            </w:r>
          </w:p>
          <w:p>
            <w:pPr>
              <w:widowControl/>
              <w:jc w:val="center"/>
              <w:rPr>
                <w:color w:val="000000"/>
                <w:sz w:val="18"/>
                <w:szCs w:val="18"/>
              </w:rPr>
            </w:pPr>
            <w:r>
              <w:rPr>
                <w:color w:val="000000"/>
                <w:sz w:val="18"/>
                <w:szCs w:val="18"/>
              </w:rPr>
              <w:t>844C19W</w:t>
            </w:r>
          </w:p>
        </w:tc>
        <w:tc>
          <w:tcPr>
            <w:tcW w:w="1511" w:type="dxa"/>
            <w:vMerge w:val="restart"/>
            <w:vAlign w:val="center"/>
          </w:tcPr>
          <w:p>
            <w:pPr>
              <w:widowControl/>
              <w:jc w:val="center"/>
              <w:rPr>
                <w:rFonts w:ascii="宋体" w:hAnsi="宋体" w:cs="宋体"/>
                <w:bCs/>
                <w:color w:val="000000"/>
                <w:kern w:val="0"/>
                <w:sz w:val="20"/>
              </w:rPr>
            </w:pPr>
            <w:r>
              <w:rPr>
                <w:rFonts w:ascii="宋体" w:hAnsi="宋体" w:cs="宋体" w:hint="eastAsia"/>
                <w:bCs/>
                <w:color w:val="000000"/>
                <w:kern w:val="0"/>
                <w:sz w:val="20"/>
                <w:szCs w:val="24"/>
              </w:rPr>
              <w:t>参见前文要求</w:t>
            </w:r>
          </w:p>
        </w:tc>
      </w:tr>
      <w:tr>
        <w:tblPrEx>
          <w:tblW w:w="8310" w:type="dxa"/>
          <w:jc w:val="center"/>
          <w:tblLayout w:type="fixed"/>
          <w:tblCellMar>
            <w:top w:w="0" w:type="dxa"/>
            <w:left w:w="108" w:type="dxa"/>
            <w:bottom w:w="0" w:type="dxa"/>
            <w:right w:w="108" w:type="dxa"/>
          </w:tblCellMar>
        </w:tblPrEx>
        <w:trPr>
          <w:trHeight w:val="675"/>
          <w:tblHeader/>
          <w:jc w:val="center"/>
        </w:trPr>
        <w:tc>
          <w:tcPr>
            <w:tcW w:w="704" w:type="dxa"/>
            <w:shd w:val="clear" w:color="auto" w:fill="auto"/>
            <w:vAlign w:val="center"/>
          </w:tcPr>
          <w:p>
            <w:pPr>
              <w:widowControl/>
              <w:numPr>
                <w:ilvl w:val="0"/>
                <w:numId w:val="6"/>
              </w:numPr>
              <w:jc w:val="center"/>
              <w:rPr>
                <w:rFonts w:ascii="宋体" w:eastAsia="宋体" w:hAnsi="宋体" w:cs="宋体"/>
                <w:kern w:val="0"/>
                <w:sz w:val="20"/>
                <w:szCs w:val="20"/>
              </w:rPr>
            </w:pPr>
          </w:p>
        </w:tc>
        <w:tc>
          <w:tcPr>
            <w:tcW w:w="1134" w:type="dxa"/>
            <w:shd w:val="clear" w:color="auto" w:fill="auto"/>
            <w:vAlign w:val="center"/>
          </w:tcPr>
          <w:p>
            <w:pPr>
              <w:widowControl/>
              <w:jc w:val="center"/>
              <w:rPr>
                <w:rFonts w:ascii="宋体" w:hAnsi="宋体" w:cs="宋体"/>
                <w:kern w:val="0"/>
                <w:sz w:val="20"/>
              </w:rPr>
            </w:pPr>
            <w:r>
              <w:rPr>
                <w:rFonts w:ascii="宋体" w:eastAsia="宋体" w:hAnsi="宋体" w:cs="宋体" w:hint="eastAsia"/>
                <w:bCs/>
                <w:kern w:val="0"/>
                <w:sz w:val="20"/>
                <w:szCs w:val="20"/>
              </w:rPr>
              <w:t>UNIX小机配套设备</w:t>
            </w:r>
          </w:p>
        </w:tc>
        <w:tc>
          <w:tcPr>
            <w:tcW w:w="2126" w:type="dxa"/>
            <w:shd w:val="clear" w:color="auto" w:fill="auto"/>
            <w:vAlign w:val="center"/>
          </w:tcPr>
          <w:p>
            <w:pPr>
              <w:widowControl/>
              <w:jc w:val="center"/>
              <w:rPr>
                <w:rFonts w:ascii="宋体" w:hAnsi="宋体" w:cs="宋体"/>
                <w:kern w:val="0"/>
                <w:sz w:val="20"/>
              </w:rPr>
            </w:pPr>
            <w:r>
              <w:rPr>
                <w:rFonts w:ascii="宋体" w:eastAsia="宋体" w:hAnsi="宋体" w:hint="eastAsia"/>
                <w:sz w:val="20"/>
                <w:szCs w:val="20"/>
              </w:rPr>
              <w:t>操作系统性能监控和调优工具IStorM Cloud云运维管理平台</w:t>
            </w:r>
          </w:p>
        </w:tc>
        <w:tc>
          <w:tcPr>
            <w:tcW w:w="851" w:type="dxa"/>
            <w:shd w:val="clear" w:color="auto" w:fill="auto"/>
            <w:vAlign w:val="center"/>
          </w:tcPr>
          <w:p>
            <w:pPr>
              <w:widowControl/>
              <w:jc w:val="center"/>
              <w:rPr>
                <w:color w:val="000000"/>
                <w:sz w:val="18"/>
                <w:szCs w:val="18"/>
              </w:rPr>
            </w:pPr>
            <w:r>
              <w:rPr>
                <w:rFonts w:ascii="宋体" w:eastAsia="宋体" w:hAnsi="宋体"/>
                <w:sz w:val="20"/>
                <w:szCs w:val="20"/>
              </w:rPr>
              <w:t>1</w:t>
            </w:r>
          </w:p>
        </w:tc>
        <w:tc>
          <w:tcPr>
            <w:tcW w:w="1984" w:type="dxa"/>
          </w:tcPr>
          <w:p>
            <w:pPr>
              <w:widowControl/>
              <w:jc w:val="center"/>
              <w:rPr>
                <w:color w:val="000000"/>
                <w:sz w:val="18"/>
                <w:szCs w:val="18"/>
              </w:rPr>
            </w:pPr>
            <w:r>
              <w:rPr>
                <w:rFonts w:hint="eastAsia"/>
                <w:color w:val="000000"/>
                <w:sz w:val="18"/>
                <w:szCs w:val="18"/>
              </w:rPr>
              <w:t>无</w:t>
            </w:r>
          </w:p>
        </w:tc>
        <w:tc>
          <w:tcPr>
            <w:tcW w:w="1511" w:type="dxa"/>
            <w:vMerge/>
            <w:vAlign w:val="center"/>
          </w:tcPr>
          <w:p>
            <w:pPr>
              <w:widowControl/>
              <w:jc w:val="center"/>
              <w:rPr>
                <w:rFonts w:ascii="宋体" w:hAnsi="宋体" w:cs="宋体"/>
                <w:bCs/>
                <w:color w:val="000000"/>
                <w:kern w:val="0"/>
                <w:sz w:val="20"/>
              </w:rPr>
            </w:pPr>
          </w:p>
        </w:tc>
      </w:tr>
      <w:tr>
        <w:tblPrEx>
          <w:tblW w:w="8310" w:type="dxa"/>
          <w:jc w:val="center"/>
          <w:tblLayout w:type="fixed"/>
          <w:tblCellMar>
            <w:top w:w="0" w:type="dxa"/>
            <w:left w:w="108" w:type="dxa"/>
            <w:bottom w:w="0" w:type="dxa"/>
            <w:right w:w="108" w:type="dxa"/>
          </w:tblCellMar>
        </w:tblPrEx>
        <w:trPr>
          <w:trHeight w:val="675"/>
          <w:tblHeader/>
          <w:jc w:val="center"/>
        </w:trPr>
        <w:tc>
          <w:tcPr>
            <w:tcW w:w="704" w:type="dxa"/>
            <w:shd w:val="clear" w:color="auto" w:fill="auto"/>
            <w:vAlign w:val="center"/>
          </w:tcPr>
          <w:p>
            <w:pPr>
              <w:widowControl/>
              <w:numPr>
                <w:ilvl w:val="0"/>
                <w:numId w:val="6"/>
              </w:numPr>
              <w:jc w:val="center"/>
              <w:rPr>
                <w:rFonts w:ascii="宋体" w:eastAsia="宋体" w:hAnsi="宋体" w:cs="宋体"/>
                <w:kern w:val="0"/>
                <w:sz w:val="20"/>
                <w:szCs w:val="20"/>
              </w:rPr>
            </w:pPr>
          </w:p>
        </w:tc>
        <w:tc>
          <w:tcPr>
            <w:tcW w:w="1134" w:type="dxa"/>
            <w:shd w:val="clear" w:color="auto" w:fill="auto"/>
            <w:vAlign w:val="center"/>
          </w:tcPr>
          <w:p>
            <w:pPr>
              <w:widowControl/>
              <w:jc w:val="center"/>
              <w:rPr>
                <w:rFonts w:ascii="宋体" w:hAnsi="宋体" w:cs="宋体"/>
                <w:kern w:val="0"/>
                <w:sz w:val="20"/>
              </w:rPr>
            </w:pPr>
            <w:r>
              <w:rPr>
                <w:rFonts w:ascii="宋体" w:eastAsia="宋体" w:hAnsi="宋体" w:cs="宋体" w:hint="eastAsia"/>
                <w:bCs/>
                <w:kern w:val="0"/>
                <w:sz w:val="20"/>
                <w:szCs w:val="20"/>
              </w:rPr>
              <w:t>UNIX小机配套设备</w:t>
            </w:r>
          </w:p>
        </w:tc>
        <w:tc>
          <w:tcPr>
            <w:tcW w:w="2126" w:type="dxa"/>
            <w:shd w:val="clear" w:color="auto" w:fill="auto"/>
            <w:vAlign w:val="center"/>
          </w:tcPr>
          <w:p>
            <w:pPr>
              <w:widowControl/>
              <w:jc w:val="center"/>
              <w:rPr>
                <w:rFonts w:ascii="宋体" w:hAnsi="宋体" w:cs="宋体"/>
                <w:kern w:val="0"/>
                <w:sz w:val="20"/>
              </w:rPr>
            </w:pPr>
            <w:r>
              <w:rPr>
                <w:rFonts w:ascii="宋体" w:eastAsia="宋体" w:hAnsi="宋体" w:hint="eastAsia"/>
                <w:sz w:val="20"/>
                <w:szCs w:val="20"/>
              </w:rPr>
              <w:t>WAS中间件</w:t>
            </w:r>
          </w:p>
        </w:tc>
        <w:tc>
          <w:tcPr>
            <w:tcW w:w="851" w:type="dxa"/>
            <w:shd w:val="clear" w:color="auto" w:fill="auto"/>
            <w:vAlign w:val="center"/>
          </w:tcPr>
          <w:p>
            <w:pPr>
              <w:widowControl/>
              <w:jc w:val="center"/>
              <w:rPr>
                <w:color w:val="000000"/>
                <w:sz w:val="18"/>
                <w:szCs w:val="18"/>
              </w:rPr>
            </w:pPr>
            <w:r>
              <w:rPr>
                <w:rFonts w:ascii="宋体" w:eastAsia="宋体" w:hAnsi="宋体"/>
                <w:sz w:val="20"/>
                <w:szCs w:val="20"/>
              </w:rPr>
              <w:t>1</w:t>
            </w:r>
          </w:p>
        </w:tc>
        <w:tc>
          <w:tcPr>
            <w:tcW w:w="1984" w:type="dxa"/>
          </w:tcPr>
          <w:p>
            <w:pPr>
              <w:widowControl/>
              <w:jc w:val="center"/>
              <w:rPr>
                <w:color w:val="000000"/>
                <w:sz w:val="18"/>
                <w:szCs w:val="18"/>
              </w:rPr>
            </w:pPr>
            <w:r>
              <w:rPr>
                <w:rFonts w:hint="eastAsia"/>
                <w:color w:val="000000"/>
                <w:sz w:val="18"/>
                <w:szCs w:val="18"/>
              </w:rPr>
              <w:t>无</w:t>
            </w:r>
          </w:p>
        </w:tc>
        <w:tc>
          <w:tcPr>
            <w:tcW w:w="1511" w:type="dxa"/>
            <w:vMerge/>
            <w:vAlign w:val="center"/>
          </w:tcPr>
          <w:p>
            <w:pPr>
              <w:widowControl/>
              <w:jc w:val="center"/>
              <w:rPr>
                <w:rFonts w:ascii="宋体" w:hAnsi="宋体" w:cs="宋体"/>
                <w:bCs/>
                <w:color w:val="000000"/>
                <w:kern w:val="0"/>
                <w:sz w:val="20"/>
              </w:rPr>
            </w:pPr>
          </w:p>
        </w:tc>
      </w:tr>
      <w:tr>
        <w:tblPrEx>
          <w:tblW w:w="8310" w:type="dxa"/>
          <w:jc w:val="center"/>
          <w:tblLayout w:type="fixed"/>
          <w:tblCellMar>
            <w:top w:w="0" w:type="dxa"/>
            <w:left w:w="108" w:type="dxa"/>
            <w:bottom w:w="0" w:type="dxa"/>
            <w:right w:w="108" w:type="dxa"/>
          </w:tblCellMar>
        </w:tblPrEx>
        <w:trPr>
          <w:trHeight w:val="675"/>
          <w:tblHeader/>
          <w:jc w:val="center"/>
        </w:trPr>
        <w:tc>
          <w:tcPr>
            <w:tcW w:w="704" w:type="dxa"/>
            <w:shd w:val="clear" w:color="auto" w:fill="auto"/>
            <w:vAlign w:val="center"/>
          </w:tcPr>
          <w:p>
            <w:pPr>
              <w:widowControl/>
              <w:numPr>
                <w:ilvl w:val="0"/>
                <w:numId w:val="6"/>
              </w:numPr>
              <w:jc w:val="center"/>
              <w:rPr>
                <w:rFonts w:ascii="宋体" w:eastAsia="宋体" w:hAnsi="宋体" w:cs="宋体"/>
                <w:kern w:val="0"/>
                <w:sz w:val="20"/>
                <w:szCs w:val="20"/>
              </w:rPr>
            </w:pPr>
          </w:p>
        </w:tc>
        <w:tc>
          <w:tcPr>
            <w:tcW w:w="1134" w:type="dxa"/>
            <w:shd w:val="clear" w:color="auto" w:fill="auto"/>
            <w:vAlign w:val="center"/>
          </w:tcPr>
          <w:p>
            <w:pPr>
              <w:widowControl/>
              <w:jc w:val="center"/>
              <w:rPr>
                <w:rFonts w:ascii="宋体" w:hAnsi="宋体" w:cs="宋体"/>
                <w:kern w:val="0"/>
                <w:sz w:val="20"/>
              </w:rPr>
            </w:pPr>
            <w:r>
              <w:rPr>
                <w:rFonts w:ascii="宋体" w:eastAsia="宋体" w:hAnsi="宋体" w:cs="宋体" w:hint="eastAsia"/>
                <w:bCs/>
                <w:kern w:val="0"/>
                <w:sz w:val="20"/>
                <w:szCs w:val="20"/>
              </w:rPr>
              <w:t>UNIX小机配套设备</w:t>
            </w:r>
          </w:p>
        </w:tc>
        <w:tc>
          <w:tcPr>
            <w:tcW w:w="2126" w:type="dxa"/>
            <w:shd w:val="clear" w:color="auto" w:fill="auto"/>
            <w:vAlign w:val="center"/>
          </w:tcPr>
          <w:p>
            <w:pPr>
              <w:widowControl/>
              <w:jc w:val="center"/>
              <w:rPr>
                <w:rFonts w:ascii="宋体" w:hAnsi="宋体" w:cs="宋体"/>
                <w:kern w:val="0"/>
                <w:sz w:val="20"/>
              </w:rPr>
            </w:pPr>
            <w:r>
              <w:rPr>
                <w:rFonts w:ascii="宋体" w:eastAsia="宋体" w:hAnsi="宋体" w:hint="eastAsia"/>
                <w:sz w:val="20"/>
                <w:szCs w:val="20"/>
              </w:rPr>
              <w:t>硬件管理控制台HMC</w:t>
            </w:r>
          </w:p>
        </w:tc>
        <w:tc>
          <w:tcPr>
            <w:tcW w:w="851" w:type="dxa"/>
            <w:shd w:val="clear" w:color="auto" w:fill="auto"/>
            <w:vAlign w:val="center"/>
          </w:tcPr>
          <w:p>
            <w:pPr>
              <w:widowControl/>
              <w:jc w:val="center"/>
              <w:rPr>
                <w:color w:val="000000"/>
                <w:sz w:val="18"/>
                <w:szCs w:val="18"/>
              </w:rPr>
            </w:pPr>
            <w:r>
              <w:rPr>
                <w:rFonts w:ascii="宋体" w:eastAsia="宋体" w:hAnsi="宋体"/>
                <w:sz w:val="20"/>
                <w:szCs w:val="20"/>
              </w:rPr>
              <w:t>2</w:t>
            </w:r>
          </w:p>
        </w:tc>
        <w:tc>
          <w:tcPr>
            <w:tcW w:w="1984" w:type="dxa"/>
          </w:tcPr>
          <w:p>
            <w:pPr>
              <w:widowControl/>
              <w:jc w:val="center"/>
              <w:rPr>
                <w:color w:val="000000"/>
                <w:sz w:val="18"/>
                <w:szCs w:val="18"/>
              </w:rPr>
            </w:pPr>
            <w:r>
              <w:rPr>
                <w:rFonts w:hint="eastAsia"/>
                <w:color w:val="000000"/>
                <w:sz w:val="18"/>
                <w:szCs w:val="18"/>
              </w:rPr>
              <w:t>无</w:t>
            </w:r>
          </w:p>
        </w:tc>
        <w:tc>
          <w:tcPr>
            <w:tcW w:w="1511" w:type="dxa"/>
            <w:vMerge/>
            <w:vAlign w:val="center"/>
          </w:tcPr>
          <w:p>
            <w:pPr>
              <w:widowControl/>
              <w:jc w:val="center"/>
              <w:rPr>
                <w:rFonts w:ascii="宋体" w:hAnsi="宋体" w:cs="宋体"/>
                <w:bCs/>
                <w:color w:val="000000"/>
                <w:kern w:val="0"/>
                <w:sz w:val="20"/>
              </w:rPr>
            </w:pPr>
          </w:p>
        </w:tc>
      </w:tr>
      <w:tr>
        <w:tblPrEx>
          <w:tblW w:w="8310" w:type="dxa"/>
          <w:jc w:val="center"/>
          <w:tblLayout w:type="fixed"/>
          <w:tblCellMar>
            <w:top w:w="0" w:type="dxa"/>
            <w:left w:w="108" w:type="dxa"/>
            <w:bottom w:w="0" w:type="dxa"/>
            <w:right w:w="108" w:type="dxa"/>
          </w:tblCellMar>
        </w:tblPrEx>
        <w:trPr>
          <w:trHeight w:val="675"/>
          <w:tblHeader/>
          <w:jc w:val="center"/>
        </w:trPr>
        <w:tc>
          <w:tcPr>
            <w:tcW w:w="704" w:type="dxa"/>
            <w:shd w:val="clear" w:color="auto" w:fill="auto"/>
            <w:vAlign w:val="center"/>
          </w:tcPr>
          <w:p>
            <w:pPr>
              <w:widowControl/>
              <w:numPr>
                <w:ilvl w:val="0"/>
                <w:numId w:val="6"/>
              </w:numPr>
              <w:jc w:val="center"/>
              <w:rPr>
                <w:rFonts w:ascii="宋体" w:eastAsia="宋体" w:hAnsi="宋体" w:cs="宋体"/>
                <w:kern w:val="0"/>
                <w:sz w:val="20"/>
                <w:szCs w:val="20"/>
              </w:rPr>
            </w:pPr>
          </w:p>
        </w:tc>
        <w:tc>
          <w:tcPr>
            <w:tcW w:w="1134" w:type="dxa"/>
            <w:shd w:val="clear" w:color="auto" w:fill="auto"/>
            <w:vAlign w:val="center"/>
          </w:tcPr>
          <w:p>
            <w:pPr>
              <w:widowControl/>
              <w:jc w:val="center"/>
              <w:rPr>
                <w:rFonts w:ascii="宋体" w:hAnsi="宋体" w:cs="宋体"/>
                <w:kern w:val="0"/>
                <w:sz w:val="20"/>
              </w:rPr>
            </w:pPr>
            <w:r>
              <w:rPr>
                <w:rFonts w:ascii="宋体" w:eastAsia="宋体" w:hAnsi="宋体" w:cs="宋体" w:hint="eastAsia"/>
                <w:bCs/>
                <w:kern w:val="0"/>
                <w:sz w:val="20"/>
                <w:szCs w:val="20"/>
              </w:rPr>
              <w:t>UNIX小机配套设备</w:t>
            </w:r>
          </w:p>
        </w:tc>
        <w:tc>
          <w:tcPr>
            <w:tcW w:w="2126" w:type="dxa"/>
            <w:shd w:val="clear" w:color="auto" w:fill="auto"/>
            <w:vAlign w:val="center"/>
          </w:tcPr>
          <w:p>
            <w:pPr>
              <w:widowControl/>
              <w:jc w:val="center"/>
              <w:rPr>
                <w:rFonts w:ascii="宋体" w:hAnsi="宋体" w:cs="宋体"/>
                <w:kern w:val="0"/>
                <w:sz w:val="20"/>
              </w:rPr>
            </w:pPr>
            <w:r>
              <w:rPr>
                <w:rFonts w:ascii="宋体" w:eastAsia="宋体" w:hAnsi="宋体" w:hint="eastAsia"/>
                <w:sz w:val="20"/>
                <w:szCs w:val="20"/>
              </w:rPr>
              <w:t>Spectrum Scale共享文件系统</w:t>
            </w:r>
          </w:p>
        </w:tc>
        <w:tc>
          <w:tcPr>
            <w:tcW w:w="851" w:type="dxa"/>
            <w:shd w:val="clear" w:color="auto" w:fill="auto"/>
            <w:vAlign w:val="center"/>
          </w:tcPr>
          <w:p>
            <w:pPr>
              <w:widowControl/>
              <w:jc w:val="center"/>
              <w:rPr>
                <w:color w:val="000000"/>
                <w:sz w:val="18"/>
                <w:szCs w:val="18"/>
              </w:rPr>
            </w:pPr>
            <w:r>
              <w:rPr>
                <w:rFonts w:ascii="宋体" w:eastAsia="宋体" w:hAnsi="宋体"/>
                <w:sz w:val="20"/>
                <w:szCs w:val="20"/>
              </w:rPr>
              <w:t>1</w:t>
            </w:r>
          </w:p>
        </w:tc>
        <w:tc>
          <w:tcPr>
            <w:tcW w:w="1984" w:type="dxa"/>
          </w:tcPr>
          <w:p>
            <w:pPr>
              <w:widowControl/>
              <w:jc w:val="center"/>
              <w:rPr>
                <w:color w:val="000000"/>
                <w:sz w:val="18"/>
                <w:szCs w:val="18"/>
              </w:rPr>
            </w:pPr>
            <w:r>
              <w:rPr>
                <w:rFonts w:hint="eastAsia"/>
                <w:color w:val="000000"/>
                <w:sz w:val="18"/>
                <w:szCs w:val="18"/>
              </w:rPr>
              <w:t>无</w:t>
            </w:r>
          </w:p>
        </w:tc>
        <w:tc>
          <w:tcPr>
            <w:tcW w:w="1511" w:type="dxa"/>
            <w:vMerge/>
            <w:vAlign w:val="center"/>
          </w:tcPr>
          <w:p>
            <w:pPr>
              <w:widowControl/>
              <w:jc w:val="center"/>
              <w:rPr>
                <w:rFonts w:ascii="宋体" w:hAnsi="宋体" w:cs="宋体"/>
                <w:bCs/>
                <w:color w:val="000000"/>
                <w:kern w:val="0"/>
                <w:sz w:val="20"/>
              </w:rPr>
            </w:pPr>
          </w:p>
        </w:tc>
      </w:tr>
    </w:tbl>
    <w:p>
      <w:pPr>
        <w:sectPr>
          <w:footerReference w:type="default" r:id="rId6"/>
          <w:pgSz w:w="11906" w:h="16838"/>
          <w:pgMar w:top="1440" w:right="1800" w:bottom="1440" w:left="1800" w:header="851" w:footer="992" w:gutter="0"/>
          <w:pgNumType w:start="1"/>
          <w:cols w:num="1" w:space="425"/>
          <w:docGrid w:type="lines" w:linePitch="312" w:charSpace="0"/>
        </w:sectPr>
      </w:pPr>
    </w:p>
    <w:p>
      <w:pPr>
        <w:pStyle w:val="Heading3"/>
        <w:numPr>
          <w:ilvl w:val="0"/>
          <w:numId w:val="0"/>
        </w:numPr>
      </w:pPr>
      <w:bookmarkStart w:id="63" w:name="_Toc169020980"/>
      <w:r>
        <w:rPr>
          <w:rFonts w:ascii="宋体" w:eastAsia="宋体" w:hAnsi="宋体" w:hint="eastAsia"/>
          <w:szCs w:val="21"/>
        </w:rPr>
        <w:t>4.4FY</w:t>
      </w:r>
      <w:r>
        <w:rPr>
          <w:rFonts w:ascii="宋体" w:eastAsia="宋体" w:hAnsi="宋体"/>
          <w:szCs w:val="21"/>
        </w:rPr>
        <w:t>-3</w:t>
      </w:r>
      <w:r>
        <w:rPr>
          <w:rFonts w:ascii="宋体" w:eastAsia="宋体" w:hAnsi="宋体" w:hint="eastAsia"/>
          <w:szCs w:val="21"/>
        </w:rPr>
        <w:t>D、FY</w:t>
      </w:r>
      <w:r>
        <w:rPr>
          <w:rFonts w:ascii="宋体" w:eastAsia="宋体" w:hAnsi="宋体"/>
          <w:szCs w:val="21"/>
        </w:rPr>
        <w:t>-2</w:t>
      </w:r>
      <w:r>
        <w:rPr>
          <w:rFonts w:ascii="宋体" w:eastAsia="宋体" w:hAnsi="宋体" w:hint="eastAsia"/>
          <w:szCs w:val="21"/>
        </w:rPr>
        <w:t>G</w:t>
      </w:r>
      <w:r>
        <w:rPr>
          <w:rFonts w:ascii="宋体" w:eastAsia="宋体" w:hAnsi="宋体"/>
          <w:szCs w:val="21"/>
        </w:rPr>
        <w:t xml:space="preserve"> </w:t>
      </w:r>
      <w:r>
        <w:rPr>
          <w:rFonts w:ascii="宋体" w:eastAsia="宋体" w:hAnsi="宋体" w:hint="eastAsia"/>
          <w:szCs w:val="21"/>
        </w:rPr>
        <w:t>UNIX小机及配套设备</w:t>
      </w:r>
      <w:bookmarkEnd w:id="63"/>
    </w:p>
    <w:p>
      <w:pPr>
        <w:pStyle w:val="Caption"/>
        <w:keepNext/>
        <w:jc w:val="center"/>
      </w:pPr>
      <w:r>
        <w:t xml:space="preserve">表 </w:t>
      </w:r>
      <w:r>
        <w:fldChar w:fldCharType="begin"/>
      </w:r>
      <w:r>
        <w:instrText xml:space="preserve"> SEQ 表 \* ARABIC </w:instrText>
      </w:r>
      <w:r>
        <w:fldChar w:fldCharType="separate"/>
      </w:r>
      <w:r>
        <w:t>3</w:t>
      </w:r>
      <w:r>
        <w:fldChar w:fldCharType="end"/>
      </w:r>
      <w:r>
        <w:rPr>
          <w:rFonts w:hint="eastAsia"/>
        </w:rPr>
        <w:t>：承载</w:t>
      </w:r>
      <w:r>
        <w:t>FY3</w:t>
      </w:r>
      <w:r>
        <w:rPr>
          <w:rFonts w:hint="eastAsia"/>
        </w:rPr>
        <w:t>D业务设备列表</w:t>
      </w:r>
    </w:p>
    <w:tbl>
      <w:tblPr>
        <w:tblStyle w:val="TableNormal"/>
        <w:tblW w:w="8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4"/>
        <w:gridCol w:w="1276"/>
        <w:gridCol w:w="1984"/>
        <w:gridCol w:w="1134"/>
        <w:gridCol w:w="1985"/>
        <w:gridCol w:w="1227"/>
      </w:tblGrid>
      <w:tr>
        <w:tblPrEx>
          <w:tblW w:w="8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57"/>
          <w:jc w:val="center"/>
        </w:trPr>
        <w:tc>
          <w:tcPr>
            <w:tcW w:w="704" w:type="dxa"/>
            <w:shd w:val="clear" w:color="auto" w:fill="auto"/>
            <w:vAlign w:val="center"/>
          </w:tcPr>
          <w:p>
            <w:r>
              <w:rPr>
                <w:rFonts w:hint="eastAsia"/>
              </w:rPr>
              <w:t>序号</w:t>
            </w:r>
          </w:p>
        </w:tc>
        <w:tc>
          <w:tcPr>
            <w:tcW w:w="1276" w:type="dxa"/>
            <w:shd w:val="clear" w:color="auto" w:fill="auto"/>
            <w:vAlign w:val="center"/>
          </w:tcPr>
          <w:p>
            <w:pPr>
              <w:widowControl/>
              <w:jc w:val="center"/>
              <w:rPr>
                <w:rFonts w:ascii="宋体" w:hAnsi="宋体" w:cs="宋体"/>
                <w:kern w:val="0"/>
                <w:sz w:val="20"/>
              </w:rPr>
            </w:pPr>
            <w:r>
              <w:rPr>
                <w:rFonts w:ascii="宋体" w:hAnsi="宋体" w:cs="宋体" w:hint="eastAsia"/>
                <w:kern w:val="0"/>
                <w:sz w:val="20"/>
                <w:szCs w:val="24"/>
              </w:rPr>
              <w:t>设备类型</w:t>
            </w:r>
          </w:p>
        </w:tc>
        <w:tc>
          <w:tcPr>
            <w:tcW w:w="1984" w:type="dxa"/>
            <w:shd w:val="clear" w:color="auto" w:fill="auto"/>
            <w:vAlign w:val="center"/>
          </w:tcPr>
          <w:p>
            <w:pPr>
              <w:widowControl/>
              <w:jc w:val="center"/>
              <w:rPr>
                <w:rFonts w:ascii="宋体" w:hAnsi="宋体" w:cs="宋体"/>
                <w:kern w:val="0"/>
                <w:sz w:val="20"/>
              </w:rPr>
            </w:pPr>
            <w:r>
              <w:rPr>
                <w:rFonts w:ascii="宋体" w:hAnsi="宋体" w:cs="宋体" w:hint="eastAsia"/>
                <w:kern w:val="0"/>
                <w:sz w:val="20"/>
                <w:szCs w:val="24"/>
              </w:rPr>
              <w:t>型号</w:t>
            </w:r>
          </w:p>
        </w:tc>
        <w:tc>
          <w:tcPr>
            <w:tcW w:w="1134" w:type="dxa"/>
            <w:shd w:val="clear" w:color="auto" w:fill="auto"/>
            <w:vAlign w:val="center"/>
          </w:tcPr>
          <w:p>
            <w:pPr>
              <w:widowControl/>
              <w:jc w:val="center"/>
              <w:rPr>
                <w:color w:val="000000"/>
                <w:sz w:val="18"/>
                <w:szCs w:val="18"/>
              </w:rPr>
            </w:pPr>
            <w:r>
              <w:rPr>
                <w:rFonts w:hint="eastAsia"/>
                <w:color w:val="000000"/>
                <w:sz w:val="18"/>
                <w:szCs w:val="18"/>
              </w:rPr>
              <w:t>台套数</w:t>
            </w:r>
          </w:p>
        </w:tc>
        <w:tc>
          <w:tcPr>
            <w:tcW w:w="1985" w:type="dxa"/>
          </w:tcPr>
          <w:p>
            <w:pPr>
              <w:widowControl/>
              <w:jc w:val="center"/>
              <w:rPr>
                <w:color w:val="000000"/>
                <w:sz w:val="18"/>
                <w:szCs w:val="18"/>
              </w:rPr>
            </w:pPr>
            <w:r>
              <w:rPr>
                <w:rFonts w:hint="eastAsia"/>
                <w:color w:val="000000"/>
                <w:sz w:val="18"/>
                <w:szCs w:val="18"/>
              </w:rPr>
              <w:t>序列号备注</w:t>
            </w:r>
          </w:p>
        </w:tc>
        <w:tc>
          <w:tcPr>
            <w:tcW w:w="1227" w:type="dxa"/>
            <w:vAlign w:val="center"/>
          </w:tcPr>
          <w:p>
            <w:pPr>
              <w:widowControl/>
              <w:jc w:val="center"/>
              <w:rPr>
                <w:rFonts w:ascii="宋体" w:hAnsi="宋体" w:cs="宋体"/>
                <w:bCs/>
                <w:color w:val="000000"/>
                <w:kern w:val="0"/>
                <w:sz w:val="20"/>
              </w:rPr>
            </w:pPr>
            <w:r>
              <w:rPr>
                <w:rFonts w:ascii="宋体" w:hAnsi="宋体" w:cs="宋体" w:hint="eastAsia"/>
                <w:bCs/>
                <w:color w:val="000000"/>
                <w:kern w:val="0"/>
                <w:sz w:val="20"/>
                <w:szCs w:val="24"/>
              </w:rPr>
              <w:t>维保日期</w:t>
            </w:r>
          </w:p>
        </w:tc>
      </w:tr>
      <w:tr>
        <w:tblPrEx>
          <w:tblW w:w="8310" w:type="dxa"/>
          <w:jc w:val="center"/>
          <w:tblLayout w:type="fixed"/>
          <w:tblCellMar>
            <w:top w:w="0" w:type="dxa"/>
            <w:left w:w="108" w:type="dxa"/>
            <w:bottom w:w="0" w:type="dxa"/>
            <w:right w:w="108" w:type="dxa"/>
          </w:tblCellMar>
        </w:tblPrEx>
        <w:trPr>
          <w:trHeight w:val="675"/>
          <w:jc w:val="center"/>
        </w:trPr>
        <w:tc>
          <w:tcPr>
            <w:tcW w:w="704" w:type="dxa"/>
            <w:shd w:val="clear" w:color="auto" w:fill="auto"/>
            <w:vAlign w:val="center"/>
          </w:tcPr>
          <w:p>
            <w:pPr>
              <w:pStyle w:val="ListParagraph"/>
              <w:widowControl/>
              <w:numPr>
                <w:ilvl w:val="0"/>
                <w:numId w:val="7"/>
              </w:numPr>
              <w:ind w:firstLineChars="0"/>
              <w:jc w:val="center"/>
              <w:rPr>
                <w:rFonts w:ascii="宋体" w:eastAsia="宋体" w:hAnsi="宋体" w:cs="宋体"/>
                <w:kern w:val="0"/>
                <w:sz w:val="20"/>
                <w:szCs w:val="24"/>
              </w:rPr>
            </w:pPr>
          </w:p>
        </w:tc>
        <w:tc>
          <w:tcPr>
            <w:tcW w:w="1276" w:type="dxa"/>
            <w:shd w:val="clear" w:color="auto" w:fill="auto"/>
            <w:vAlign w:val="center"/>
          </w:tcPr>
          <w:p>
            <w:pPr>
              <w:widowControl/>
              <w:jc w:val="center"/>
              <w:rPr>
                <w:rFonts w:ascii="宋体" w:hAnsi="宋体" w:cs="宋体"/>
                <w:kern w:val="0"/>
                <w:sz w:val="20"/>
              </w:rPr>
            </w:pPr>
            <w:r>
              <w:rPr>
                <w:rFonts w:ascii="宋体" w:eastAsia="宋体" w:hAnsi="宋体" w:cs="宋体" w:hint="eastAsia"/>
                <w:bCs/>
                <w:color w:val="000000"/>
                <w:kern w:val="0"/>
                <w:sz w:val="20"/>
                <w:szCs w:val="24"/>
              </w:rPr>
              <w:t>UNIX小机</w:t>
            </w:r>
          </w:p>
        </w:tc>
        <w:tc>
          <w:tcPr>
            <w:tcW w:w="1984" w:type="dxa"/>
            <w:shd w:val="clear" w:color="auto" w:fill="auto"/>
            <w:vAlign w:val="center"/>
          </w:tcPr>
          <w:p>
            <w:pPr>
              <w:widowControl/>
              <w:jc w:val="center"/>
              <w:rPr>
                <w:rFonts w:ascii="宋体" w:hAnsi="宋体" w:cs="宋体"/>
                <w:kern w:val="0"/>
                <w:sz w:val="20"/>
              </w:rPr>
            </w:pPr>
            <w:r>
              <w:rPr>
                <w:rFonts w:ascii="宋体" w:eastAsia="宋体" w:hAnsi="宋体" w:cs="宋体" w:hint="eastAsia"/>
                <w:kern w:val="0"/>
                <w:sz w:val="20"/>
                <w:szCs w:val="24"/>
              </w:rPr>
              <w:t>Power</w:t>
            </w:r>
            <w:r>
              <w:rPr>
                <w:rFonts w:ascii="宋体" w:eastAsia="宋体" w:hAnsi="宋体" w:cs="宋体"/>
                <w:kern w:val="0"/>
                <w:sz w:val="20"/>
                <w:szCs w:val="24"/>
              </w:rPr>
              <w:t xml:space="preserve"> 740</w:t>
            </w:r>
          </w:p>
        </w:tc>
        <w:tc>
          <w:tcPr>
            <w:tcW w:w="1134" w:type="dxa"/>
            <w:shd w:val="clear" w:color="auto" w:fill="auto"/>
            <w:vAlign w:val="center"/>
          </w:tcPr>
          <w:p>
            <w:pPr>
              <w:widowControl/>
              <w:jc w:val="center"/>
              <w:rPr>
                <w:color w:val="000000"/>
                <w:sz w:val="18"/>
                <w:szCs w:val="18"/>
              </w:rPr>
            </w:pPr>
            <w:r>
              <w:rPr>
                <w:rFonts w:hint="eastAsia"/>
                <w:color w:val="000000"/>
                <w:sz w:val="18"/>
                <w:szCs w:val="18"/>
              </w:rPr>
              <w:t>2</w:t>
            </w:r>
          </w:p>
        </w:tc>
        <w:tc>
          <w:tcPr>
            <w:tcW w:w="1985" w:type="dxa"/>
            <w:vAlign w:val="center"/>
          </w:tcPr>
          <w:p>
            <w:pPr>
              <w:widowControl/>
              <w:jc w:val="center"/>
              <w:rPr>
                <w:color w:val="000000"/>
                <w:sz w:val="18"/>
                <w:szCs w:val="18"/>
              </w:rPr>
            </w:pPr>
            <w:r>
              <w:rPr>
                <w:color w:val="000000"/>
                <w:sz w:val="18"/>
                <w:szCs w:val="18"/>
              </w:rPr>
              <w:t>84BDD7V</w:t>
            </w:r>
          </w:p>
          <w:p>
            <w:pPr>
              <w:widowControl/>
              <w:jc w:val="center"/>
              <w:rPr>
                <w:color w:val="000000"/>
                <w:sz w:val="18"/>
                <w:szCs w:val="18"/>
              </w:rPr>
            </w:pPr>
            <w:r>
              <w:rPr>
                <w:color w:val="000000"/>
                <w:sz w:val="18"/>
                <w:szCs w:val="18"/>
              </w:rPr>
              <w:t>2111B7V</w:t>
            </w:r>
          </w:p>
        </w:tc>
        <w:tc>
          <w:tcPr>
            <w:tcW w:w="1227" w:type="dxa"/>
            <w:vAlign w:val="center"/>
          </w:tcPr>
          <w:p>
            <w:pPr>
              <w:widowControl/>
              <w:jc w:val="center"/>
              <w:rPr>
                <w:rFonts w:ascii="宋体" w:hAnsi="宋体" w:cs="宋体"/>
                <w:bCs/>
                <w:color w:val="000000"/>
                <w:kern w:val="0"/>
                <w:sz w:val="20"/>
              </w:rPr>
            </w:pPr>
            <w:r>
              <w:rPr>
                <w:rFonts w:ascii="宋体" w:hAnsi="宋体" w:cs="宋体" w:hint="eastAsia"/>
                <w:bCs/>
                <w:color w:val="000000"/>
                <w:kern w:val="0"/>
                <w:sz w:val="20"/>
                <w:szCs w:val="24"/>
              </w:rPr>
              <w:t>参见前文要求</w:t>
            </w:r>
          </w:p>
        </w:tc>
      </w:tr>
    </w:tbl>
    <w:p/>
    <w:p>
      <w:pPr>
        <w:pStyle w:val="Caption"/>
        <w:keepNext/>
        <w:jc w:val="center"/>
      </w:pPr>
      <w:r>
        <w:t xml:space="preserve">表 </w:t>
      </w:r>
      <w:r>
        <w:fldChar w:fldCharType="begin"/>
      </w:r>
      <w:r>
        <w:instrText xml:space="preserve"> SEQ 表 \* ARABIC </w:instrText>
      </w:r>
      <w:r>
        <w:fldChar w:fldCharType="separate"/>
      </w:r>
      <w:r>
        <w:t>4</w:t>
      </w:r>
      <w:r>
        <w:fldChar w:fldCharType="end"/>
      </w:r>
      <w:r>
        <w:t xml:space="preserve">-1 </w:t>
      </w:r>
      <w:r>
        <w:rPr>
          <w:rFonts w:hint="eastAsia"/>
        </w:rPr>
        <w:t>： 极轨-广州站相关设备列表</w:t>
      </w:r>
    </w:p>
    <w:tbl>
      <w:tblPr>
        <w:tblStyle w:val="TableNormal"/>
        <w:tblW w:w="8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4"/>
        <w:gridCol w:w="1134"/>
        <w:gridCol w:w="1843"/>
        <w:gridCol w:w="850"/>
        <w:gridCol w:w="2268"/>
        <w:gridCol w:w="1511"/>
      </w:tblGrid>
      <w:tr>
        <w:tblPrEx>
          <w:tblW w:w="8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81"/>
          <w:tblHeader/>
          <w:jc w:val="center"/>
        </w:trPr>
        <w:tc>
          <w:tcPr>
            <w:tcW w:w="704" w:type="dxa"/>
            <w:shd w:val="clear" w:color="auto" w:fill="auto"/>
            <w:vAlign w:val="center"/>
          </w:tcPr>
          <w:p>
            <w:r>
              <w:rPr>
                <w:rFonts w:hint="eastAsia"/>
              </w:rPr>
              <w:t>序号</w:t>
            </w:r>
          </w:p>
        </w:tc>
        <w:tc>
          <w:tcPr>
            <w:tcW w:w="1134" w:type="dxa"/>
            <w:shd w:val="clear" w:color="auto" w:fill="auto"/>
            <w:vAlign w:val="center"/>
          </w:tcPr>
          <w:p>
            <w:pPr>
              <w:widowControl/>
              <w:jc w:val="center"/>
              <w:rPr>
                <w:rFonts w:ascii="宋体" w:hAnsi="宋体" w:cs="宋体"/>
                <w:kern w:val="0"/>
                <w:sz w:val="20"/>
              </w:rPr>
            </w:pPr>
            <w:r>
              <w:rPr>
                <w:rFonts w:ascii="宋体" w:hAnsi="宋体" w:cs="宋体" w:hint="eastAsia"/>
                <w:kern w:val="0"/>
                <w:sz w:val="20"/>
                <w:szCs w:val="24"/>
              </w:rPr>
              <w:t>设备类型</w:t>
            </w:r>
          </w:p>
        </w:tc>
        <w:tc>
          <w:tcPr>
            <w:tcW w:w="1843" w:type="dxa"/>
            <w:shd w:val="clear" w:color="auto" w:fill="auto"/>
            <w:vAlign w:val="center"/>
          </w:tcPr>
          <w:p>
            <w:pPr>
              <w:widowControl/>
              <w:jc w:val="center"/>
              <w:rPr>
                <w:rFonts w:ascii="宋体" w:hAnsi="宋体" w:cs="宋体"/>
                <w:kern w:val="0"/>
                <w:sz w:val="20"/>
              </w:rPr>
            </w:pPr>
            <w:r>
              <w:rPr>
                <w:rFonts w:ascii="宋体" w:hAnsi="宋体" w:cs="宋体" w:hint="eastAsia"/>
                <w:kern w:val="0"/>
                <w:sz w:val="20"/>
                <w:szCs w:val="24"/>
              </w:rPr>
              <w:t>型号</w:t>
            </w:r>
          </w:p>
        </w:tc>
        <w:tc>
          <w:tcPr>
            <w:tcW w:w="850" w:type="dxa"/>
            <w:shd w:val="clear" w:color="auto" w:fill="auto"/>
            <w:vAlign w:val="center"/>
          </w:tcPr>
          <w:p>
            <w:pPr>
              <w:widowControl/>
              <w:jc w:val="center"/>
              <w:rPr>
                <w:color w:val="000000"/>
                <w:sz w:val="18"/>
                <w:szCs w:val="18"/>
              </w:rPr>
            </w:pPr>
            <w:r>
              <w:rPr>
                <w:rFonts w:hint="eastAsia"/>
                <w:color w:val="000000"/>
                <w:sz w:val="18"/>
                <w:szCs w:val="18"/>
              </w:rPr>
              <w:t>台套数</w:t>
            </w:r>
          </w:p>
        </w:tc>
        <w:tc>
          <w:tcPr>
            <w:tcW w:w="2268" w:type="dxa"/>
            <w:shd w:val="clear" w:color="auto" w:fill="auto"/>
          </w:tcPr>
          <w:p>
            <w:pPr>
              <w:widowControl/>
              <w:jc w:val="center"/>
              <w:rPr>
                <w:color w:val="000000"/>
                <w:sz w:val="18"/>
                <w:szCs w:val="18"/>
              </w:rPr>
            </w:pPr>
            <w:r>
              <w:rPr>
                <w:rFonts w:hint="eastAsia"/>
                <w:color w:val="000000"/>
                <w:sz w:val="18"/>
                <w:szCs w:val="18"/>
              </w:rPr>
              <w:t>序列号备注</w:t>
            </w:r>
          </w:p>
        </w:tc>
        <w:tc>
          <w:tcPr>
            <w:tcW w:w="1511" w:type="dxa"/>
            <w:vAlign w:val="center"/>
          </w:tcPr>
          <w:p>
            <w:pPr>
              <w:widowControl/>
              <w:jc w:val="center"/>
              <w:rPr>
                <w:rFonts w:ascii="宋体" w:hAnsi="宋体" w:cs="宋体"/>
                <w:bCs/>
                <w:color w:val="000000"/>
                <w:kern w:val="0"/>
                <w:sz w:val="20"/>
              </w:rPr>
            </w:pPr>
            <w:r>
              <w:rPr>
                <w:rFonts w:ascii="宋体" w:hAnsi="宋体" w:cs="宋体" w:hint="eastAsia"/>
                <w:bCs/>
                <w:color w:val="000000"/>
                <w:kern w:val="0"/>
                <w:sz w:val="20"/>
                <w:szCs w:val="24"/>
              </w:rPr>
              <w:t>维保日期</w:t>
            </w:r>
          </w:p>
        </w:tc>
      </w:tr>
      <w:tr>
        <w:tblPrEx>
          <w:tblW w:w="8310" w:type="dxa"/>
          <w:jc w:val="center"/>
          <w:tblLayout w:type="fixed"/>
          <w:tblCellMar>
            <w:top w:w="0" w:type="dxa"/>
            <w:left w:w="108" w:type="dxa"/>
            <w:bottom w:w="0" w:type="dxa"/>
            <w:right w:w="108" w:type="dxa"/>
          </w:tblCellMar>
        </w:tblPrEx>
        <w:trPr>
          <w:trHeight w:val="675"/>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pPr>
              <w:pStyle w:val="ListParagraph"/>
              <w:widowControl/>
              <w:numPr>
                <w:ilvl w:val="0"/>
                <w:numId w:val="8"/>
              </w:numPr>
              <w:ind w:firstLineChars="0"/>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widowControl/>
              <w:jc w:val="center"/>
              <w:rPr>
                <w:rFonts w:ascii="宋体" w:hAnsi="宋体" w:cs="宋体"/>
                <w:kern w:val="0"/>
                <w:sz w:val="20"/>
              </w:rPr>
            </w:pPr>
            <w:r>
              <w:rPr>
                <w:rFonts w:ascii="宋体" w:hAnsi="宋体" w:cs="宋体" w:hint="eastAsia"/>
                <w:kern w:val="0"/>
                <w:sz w:val="20"/>
                <w:szCs w:val="24"/>
              </w:rPr>
              <w:t>UNIX小机</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pPr>
              <w:widowControl/>
              <w:jc w:val="center"/>
              <w:rPr>
                <w:rFonts w:ascii="宋体" w:hAnsi="宋体" w:cs="宋体"/>
                <w:kern w:val="0"/>
                <w:sz w:val="20"/>
              </w:rPr>
            </w:pPr>
            <w:r>
              <w:rPr>
                <w:rFonts w:ascii="宋体" w:hAnsi="宋体" w:cs="宋体" w:hint="eastAsia"/>
                <w:kern w:val="0"/>
                <w:sz w:val="20"/>
                <w:szCs w:val="24"/>
              </w:rPr>
              <w:t>IBM P720（GZ站）</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pPr>
              <w:widowControl/>
              <w:jc w:val="center"/>
              <w:rPr>
                <w:color w:val="000000"/>
                <w:sz w:val="18"/>
                <w:szCs w:val="18"/>
              </w:rPr>
            </w:pPr>
            <w:r>
              <w:rPr>
                <w:rFonts w:hint="eastAsia"/>
                <w:color w:val="000000"/>
                <w:sz w:val="18"/>
                <w:szCs w:val="18"/>
              </w:rPr>
              <w:t>2</w:t>
            </w:r>
          </w:p>
        </w:tc>
        <w:tc>
          <w:tcPr>
            <w:tcW w:w="2268" w:type="dxa"/>
            <w:tcBorders>
              <w:top w:val="single" w:sz="4" w:space="0" w:color="auto"/>
              <w:left w:val="single" w:sz="4" w:space="0" w:color="auto"/>
              <w:bottom w:val="single" w:sz="4" w:space="0" w:color="auto"/>
              <w:right w:val="single" w:sz="4" w:space="0" w:color="auto"/>
            </w:tcBorders>
            <w:shd w:val="clear" w:color="auto" w:fill="auto"/>
          </w:tcPr>
          <w:p>
            <w:pPr>
              <w:widowControl/>
              <w:jc w:val="center"/>
              <w:rPr>
                <w:color w:val="000000"/>
                <w:sz w:val="18"/>
                <w:szCs w:val="18"/>
              </w:rPr>
            </w:pPr>
            <w:r>
              <w:rPr>
                <w:color w:val="000000"/>
                <w:sz w:val="18"/>
                <w:szCs w:val="18"/>
              </w:rPr>
              <w:t>06844FT</w:t>
            </w:r>
          </w:p>
          <w:p>
            <w:pPr>
              <w:widowControl/>
              <w:jc w:val="center"/>
              <w:rPr>
                <w:color w:val="000000"/>
                <w:sz w:val="18"/>
                <w:szCs w:val="18"/>
              </w:rPr>
            </w:pPr>
            <w:r>
              <w:rPr>
                <w:color w:val="000000"/>
                <w:sz w:val="18"/>
                <w:szCs w:val="18"/>
              </w:rPr>
              <w:t>068452T</w:t>
            </w:r>
          </w:p>
        </w:tc>
        <w:tc>
          <w:tcPr>
            <w:tcW w:w="1511" w:type="dxa"/>
            <w:vMerge w:val="restart"/>
            <w:tcBorders>
              <w:left w:val="single" w:sz="4" w:space="0" w:color="auto"/>
              <w:right w:val="single" w:sz="4" w:space="0" w:color="auto"/>
            </w:tcBorders>
            <w:vAlign w:val="center"/>
          </w:tcPr>
          <w:p>
            <w:pPr>
              <w:widowControl/>
              <w:jc w:val="center"/>
              <w:rPr>
                <w:rFonts w:ascii="宋体" w:hAnsi="宋体" w:cs="宋体"/>
                <w:bCs/>
                <w:color w:val="000000"/>
                <w:kern w:val="0"/>
                <w:sz w:val="20"/>
              </w:rPr>
            </w:pPr>
            <w:r>
              <w:rPr>
                <w:rFonts w:ascii="宋体" w:hAnsi="宋体" w:cs="宋体" w:hint="eastAsia"/>
                <w:bCs/>
                <w:color w:val="000000"/>
                <w:kern w:val="0"/>
                <w:sz w:val="20"/>
                <w:szCs w:val="24"/>
              </w:rPr>
              <w:t>参见前文要求</w:t>
            </w:r>
          </w:p>
        </w:tc>
      </w:tr>
      <w:tr>
        <w:tblPrEx>
          <w:tblW w:w="8310" w:type="dxa"/>
          <w:jc w:val="center"/>
          <w:tblLayout w:type="fixed"/>
          <w:tblCellMar>
            <w:top w:w="0" w:type="dxa"/>
            <w:left w:w="108" w:type="dxa"/>
            <w:bottom w:w="0" w:type="dxa"/>
            <w:right w:w="108" w:type="dxa"/>
          </w:tblCellMar>
        </w:tblPrEx>
        <w:trPr>
          <w:trHeight w:val="675"/>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pPr>
              <w:pStyle w:val="ListParagraph"/>
              <w:widowControl/>
              <w:numPr>
                <w:ilvl w:val="0"/>
                <w:numId w:val="8"/>
              </w:numPr>
              <w:ind w:firstLineChars="0"/>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widowControl/>
              <w:jc w:val="center"/>
              <w:rPr>
                <w:rFonts w:ascii="宋体" w:hAnsi="宋体" w:cs="宋体"/>
                <w:kern w:val="0"/>
                <w:sz w:val="20"/>
              </w:rPr>
            </w:pPr>
            <w:r>
              <w:rPr>
                <w:rFonts w:ascii="宋体" w:hAnsi="宋体" w:cs="宋体" w:hint="eastAsia"/>
                <w:kern w:val="0"/>
                <w:sz w:val="20"/>
                <w:szCs w:val="24"/>
              </w:rPr>
              <w:t>存储设备</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pPr>
              <w:widowControl/>
              <w:jc w:val="center"/>
              <w:rPr>
                <w:rFonts w:ascii="宋体" w:hAnsi="宋体" w:cs="宋体"/>
                <w:kern w:val="0"/>
                <w:sz w:val="20"/>
              </w:rPr>
            </w:pPr>
            <w:r>
              <w:rPr>
                <w:rFonts w:ascii="宋体" w:hAnsi="宋体" w:cs="宋体" w:hint="eastAsia"/>
                <w:kern w:val="0"/>
                <w:sz w:val="20"/>
                <w:szCs w:val="24"/>
              </w:rPr>
              <w:t>DCS3700存储</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pPr>
              <w:widowControl/>
              <w:jc w:val="center"/>
              <w:rPr>
                <w:color w:val="000000"/>
                <w:sz w:val="18"/>
                <w:szCs w:val="18"/>
              </w:rPr>
            </w:pPr>
            <w:r>
              <w:rPr>
                <w:color w:val="000000"/>
                <w:sz w:val="18"/>
                <w:szCs w:val="18"/>
              </w:rPr>
              <w:t>1</w:t>
            </w:r>
          </w:p>
        </w:tc>
        <w:tc>
          <w:tcPr>
            <w:tcW w:w="2268" w:type="dxa"/>
            <w:tcBorders>
              <w:top w:val="single" w:sz="4" w:space="0" w:color="auto"/>
              <w:left w:val="single" w:sz="4" w:space="0" w:color="auto"/>
              <w:bottom w:val="single" w:sz="4" w:space="0" w:color="auto"/>
              <w:right w:val="single" w:sz="4" w:space="0" w:color="auto"/>
            </w:tcBorders>
            <w:shd w:val="clear" w:color="auto" w:fill="auto"/>
          </w:tcPr>
          <w:p>
            <w:pPr>
              <w:widowControl/>
              <w:jc w:val="center"/>
              <w:rPr>
                <w:color w:val="000000"/>
                <w:sz w:val="18"/>
                <w:szCs w:val="18"/>
              </w:rPr>
            </w:pPr>
            <w:r>
              <w:rPr>
                <w:rFonts w:hint="eastAsia"/>
                <w:color w:val="000000"/>
                <w:sz w:val="18"/>
                <w:szCs w:val="18"/>
              </w:rPr>
              <w:t>存储(广州)</w:t>
            </w:r>
          </w:p>
        </w:tc>
        <w:tc>
          <w:tcPr>
            <w:tcW w:w="1511" w:type="dxa"/>
            <w:vMerge/>
            <w:tcBorders>
              <w:left w:val="single" w:sz="4" w:space="0" w:color="auto"/>
              <w:right w:val="single" w:sz="4" w:space="0" w:color="auto"/>
            </w:tcBorders>
            <w:vAlign w:val="center"/>
          </w:tcPr>
          <w:p>
            <w:pPr>
              <w:widowControl/>
              <w:jc w:val="center"/>
              <w:rPr>
                <w:rFonts w:ascii="宋体" w:hAnsi="宋体" w:cs="宋体"/>
                <w:bCs/>
                <w:color w:val="000000"/>
                <w:kern w:val="0"/>
                <w:sz w:val="20"/>
              </w:rPr>
            </w:pPr>
          </w:p>
        </w:tc>
      </w:tr>
      <w:tr>
        <w:tblPrEx>
          <w:tblW w:w="8310" w:type="dxa"/>
          <w:jc w:val="center"/>
          <w:tblLayout w:type="fixed"/>
          <w:tblCellMar>
            <w:top w:w="0" w:type="dxa"/>
            <w:left w:w="108" w:type="dxa"/>
            <w:bottom w:w="0" w:type="dxa"/>
            <w:right w:w="108" w:type="dxa"/>
          </w:tblCellMar>
        </w:tblPrEx>
        <w:trPr>
          <w:trHeight w:val="675"/>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pPr>
              <w:pStyle w:val="ListParagraph"/>
              <w:widowControl/>
              <w:numPr>
                <w:ilvl w:val="0"/>
                <w:numId w:val="8"/>
              </w:numPr>
              <w:ind w:firstLineChars="0"/>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widowControl/>
              <w:jc w:val="center"/>
              <w:rPr>
                <w:rFonts w:ascii="宋体" w:hAnsi="宋体" w:cs="宋体"/>
                <w:kern w:val="0"/>
                <w:sz w:val="20"/>
              </w:rPr>
            </w:pPr>
            <w:r>
              <w:rPr>
                <w:rFonts w:ascii="宋体" w:hAnsi="宋体" w:cs="宋体" w:hint="eastAsia"/>
                <w:kern w:val="0"/>
                <w:sz w:val="20"/>
                <w:szCs w:val="24"/>
              </w:rPr>
              <w:t>其他</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pPr>
              <w:widowControl/>
              <w:jc w:val="center"/>
              <w:rPr>
                <w:rFonts w:ascii="宋体" w:hAnsi="宋体" w:cs="宋体"/>
                <w:kern w:val="0"/>
                <w:sz w:val="20"/>
              </w:rPr>
            </w:pPr>
            <w:r>
              <w:rPr>
                <w:rFonts w:ascii="宋体" w:hAnsi="宋体" w:cs="宋体" w:hint="eastAsia"/>
                <w:kern w:val="0"/>
                <w:sz w:val="20"/>
                <w:szCs w:val="24"/>
              </w:rPr>
              <w:t>B24光纤交换机</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pPr>
              <w:widowControl/>
              <w:jc w:val="center"/>
              <w:rPr>
                <w:color w:val="000000"/>
                <w:sz w:val="18"/>
                <w:szCs w:val="18"/>
              </w:rPr>
            </w:pPr>
            <w:r>
              <w:rPr>
                <w:color w:val="000000"/>
                <w:sz w:val="18"/>
                <w:szCs w:val="18"/>
              </w:rPr>
              <w:t>2</w:t>
            </w:r>
          </w:p>
        </w:tc>
        <w:tc>
          <w:tcPr>
            <w:tcW w:w="2268" w:type="dxa"/>
            <w:tcBorders>
              <w:top w:val="single" w:sz="4" w:space="0" w:color="auto"/>
              <w:left w:val="single" w:sz="4" w:space="0" w:color="auto"/>
              <w:bottom w:val="single" w:sz="4" w:space="0" w:color="auto"/>
              <w:right w:val="single" w:sz="4" w:space="0" w:color="auto"/>
            </w:tcBorders>
            <w:shd w:val="clear" w:color="auto" w:fill="auto"/>
          </w:tcPr>
          <w:p>
            <w:pPr>
              <w:widowControl/>
              <w:jc w:val="center"/>
              <w:rPr>
                <w:color w:val="000000"/>
                <w:sz w:val="18"/>
                <w:szCs w:val="18"/>
              </w:rPr>
            </w:pPr>
            <w:r>
              <w:rPr>
                <w:rFonts w:hint="eastAsia"/>
                <w:color w:val="000000"/>
                <w:sz w:val="18"/>
                <w:szCs w:val="18"/>
              </w:rPr>
              <w:t>光纤交换机(广州)</w:t>
            </w:r>
          </w:p>
        </w:tc>
        <w:tc>
          <w:tcPr>
            <w:tcW w:w="1511" w:type="dxa"/>
            <w:vMerge/>
            <w:tcBorders>
              <w:left w:val="single" w:sz="4" w:space="0" w:color="auto"/>
              <w:right w:val="single" w:sz="4" w:space="0" w:color="auto"/>
            </w:tcBorders>
            <w:vAlign w:val="center"/>
          </w:tcPr>
          <w:p>
            <w:pPr>
              <w:widowControl/>
              <w:jc w:val="center"/>
              <w:rPr>
                <w:rFonts w:ascii="宋体" w:hAnsi="宋体" w:cs="宋体"/>
                <w:bCs/>
                <w:color w:val="000000"/>
                <w:kern w:val="0"/>
                <w:sz w:val="20"/>
              </w:rPr>
            </w:pPr>
          </w:p>
        </w:tc>
      </w:tr>
      <w:tr>
        <w:tblPrEx>
          <w:tblW w:w="8310" w:type="dxa"/>
          <w:jc w:val="center"/>
          <w:tblLayout w:type="fixed"/>
          <w:tblCellMar>
            <w:top w:w="0" w:type="dxa"/>
            <w:left w:w="108" w:type="dxa"/>
            <w:bottom w:w="0" w:type="dxa"/>
            <w:right w:w="108" w:type="dxa"/>
          </w:tblCellMar>
        </w:tblPrEx>
        <w:trPr>
          <w:trHeight w:val="675"/>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pPr>
              <w:pStyle w:val="ListParagraph"/>
              <w:widowControl/>
              <w:numPr>
                <w:ilvl w:val="0"/>
                <w:numId w:val="8"/>
              </w:numPr>
              <w:ind w:firstLineChars="0"/>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widowControl/>
              <w:jc w:val="center"/>
              <w:rPr>
                <w:rFonts w:ascii="宋体" w:hAnsi="宋体" w:cs="宋体"/>
                <w:kern w:val="0"/>
                <w:sz w:val="20"/>
              </w:rPr>
            </w:pPr>
            <w:r>
              <w:rPr>
                <w:rFonts w:ascii="宋体" w:hAnsi="宋体" w:cs="宋体" w:hint="eastAsia"/>
                <w:kern w:val="0"/>
                <w:sz w:val="20"/>
                <w:szCs w:val="24"/>
              </w:rPr>
              <w:t>其他</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pPr>
              <w:widowControl/>
              <w:jc w:val="center"/>
              <w:rPr>
                <w:rFonts w:ascii="宋体" w:hAnsi="宋体" w:cs="宋体"/>
                <w:kern w:val="0"/>
                <w:sz w:val="20"/>
              </w:rPr>
            </w:pPr>
            <w:r>
              <w:rPr>
                <w:rFonts w:ascii="宋体" w:hAnsi="宋体" w:cs="宋体" w:hint="eastAsia"/>
                <w:kern w:val="0"/>
                <w:sz w:val="20"/>
                <w:szCs w:val="24"/>
              </w:rPr>
              <w:t>10Gb交换机7309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pPr>
              <w:widowControl/>
              <w:jc w:val="center"/>
              <w:rPr>
                <w:color w:val="000000"/>
                <w:sz w:val="18"/>
                <w:szCs w:val="18"/>
              </w:rPr>
            </w:pPr>
            <w:r>
              <w:rPr>
                <w:color w:val="000000"/>
                <w:sz w:val="18"/>
                <w:szCs w:val="18"/>
              </w:rPr>
              <w:t>2</w:t>
            </w:r>
          </w:p>
        </w:tc>
        <w:tc>
          <w:tcPr>
            <w:tcW w:w="2268" w:type="dxa"/>
            <w:tcBorders>
              <w:top w:val="single" w:sz="4" w:space="0" w:color="auto"/>
              <w:left w:val="single" w:sz="4" w:space="0" w:color="auto"/>
              <w:bottom w:val="single" w:sz="4" w:space="0" w:color="auto"/>
              <w:right w:val="single" w:sz="4" w:space="0" w:color="auto"/>
            </w:tcBorders>
            <w:shd w:val="clear" w:color="auto" w:fill="auto"/>
          </w:tcPr>
          <w:p>
            <w:pPr>
              <w:widowControl/>
              <w:jc w:val="center"/>
              <w:rPr>
                <w:color w:val="000000"/>
                <w:sz w:val="18"/>
                <w:szCs w:val="18"/>
              </w:rPr>
            </w:pPr>
            <w:r>
              <w:rPr>
                <w:rFonts w:hint="eastAsia"/>
                <w:color w:val="000000"/>
                <w:sz w:val="18"/>
                <w:szCs w:val="18"/>
              </w:rPr>
              <w:t>网络交换机(广州)</w:t>
            </w:r>
          </w:p>
        </w:tc>
        <w:tc>
          <w:tcPr>
            <w:tcW w:w="1511" w:type="dxa"/>
            <w:vMerge/>
            <w:tcBorders>
              <w:left w:val="single" w:sz="4" w:space="0" w:color="auto"/>
              <w:right w:val="single" w:sz="4" w:space="0" w:color="auto"/>
            </w:tcBorders>
            <w:vAlign w:val="center"/>
          </w:tcPr>
          <w:p>
            <w:pPr>
              <w:widowControl/>
              <w:jc w:val="center"/>
              <w:rPr>
                <w:rFonts w:ascii="宋体" w:hAnsi="宋体" w:cs="宋体"/>
                <w:bCs/>
                <w:color w:val="000000"/>
                <w:kern w:val="0"/>
                <w:sz w:val="20"/>
              </w:rPr>
            </w:pPr>
          </w:p>
        </w:tc>
      </w:tr>
    </w:tbl>
    <w:p/>
    <w:p/>
    <w:p>
      <w:pPr>
        <w:pStyle w:val="Caption"/>
        <w:keepNext/>
        <w:jc w:val="center"/>
      </w:pPr>
      <w:r>
        <w:t xml:space="preserve">表 </w:t>
      </w:r>
      <w:r>
        <w:fldChar w:fldCharType="begin"/>
      </w:r>
      <w:r>
        <w:instrText xml:space="preserve"> SEQ 表 \* ARABIC </w:instrText>
      </w:r>
      <w:r>
        <w:fldChar w:fldCharType="separate"/>
      </w:r>
      <w:r>
        <w:t>4</w:t>
      </w:r>
      <w:r>
        <w:fldChar w:fldCharType="end"/>
      </w:r>
      <w:r>
        <w:t xml:space="preserve">-2 </w:t>
      </w:r>
      <w:r>
        <w:rPr>
          <w:rFonts w:hint="eastAsia"/>
        </w:rPr>
        <w:t>：FY2G、FY</w:t>
      </w:r>
      <w:r>
        <w:t>3</w:t>
      </w:r>
      <w:r>
        <w:rPr>
          <w:rFonts w:hint="eastAsia"/>
        </w:rPr>
        <w:t>D业务相关设备列表</w:t>
      </w:r>
    </w:p>
    <w:p/>
    <w:tbl>
      <w:tblPr>
        <w:tblStyle w:val="TableNormal"/>
        <w:tblW w:w="8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4"/>
        <w:gridCol w:w="1134"/>
        <w:gridCol w:w="1843"/>
        <w:gridCol w:w="850"/>
        <w:gridCol w:w="2268"/>
        <w:gridCol w:w="1511"/>
      </w:tblGrid>
      <w:tr>
        <w:tblPrEx>
          <w:tblW w:w="8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81"/>
          <w:tblHeader/>
          <w:jc w:val="center"/>
        </w:trPr>
        <w:tc>
          <w:tcPr>
            <w:tcW w:w="704" w:type="dxa"/>
            <w:shd w:val="clear" w:color="auto" w:fill="auto"/>
            <w:vAlign w:val="center"/>
          </w:tcPr>
          <w:p>
            <w:r>
              <w:rPr>
                <w:rFonts w:hint="eastAsia"/>
              </w:rPr>
              <w:t>序号</w:t>
            </w:r>
          </w:p>
        </w:tc>
        <w:tc>
          <w:tcPr>
            <w:tcW w:w="1134" w:type="dxa"/>
            <w:shd w:val="clear" w:color="auto" w:fill="auto"/>
            <w:vAlign w:val="center"/>
          </w:tcPr>
          <w:p>
            <w:pPr>
              <w:widowControl/>
              <w:jc w:val="center"/>
              <w:rPr>
                <w:rFonts w:ascii="宋体" w:hAnsi="宋体" w:cs="宋体"/>
                <w:kern w:val="0"/>
                <w:sz w:val="20"/>
              </w:rPr>
            </w:pPr>
            <w:r>
              <w:rPr>
                <w:rFonts w:ascii="宋体" w:hAnsi="宋体" w:cs="宋体" w:hint="eastAsia"/>
                <w:kern w:val="0"/>
                <w:sz w:val="20"/>
                <w:szCs w:val="24"/>
              </w:rPr>
              <w:t>设备类型</w:t>
            </w:r>
          </w:p>
        </w:tc>
        <w:tc>
          <w:tcPr>
            <w:tcW w:w="1843" w:type="dxa"/>
            <w:shd w:val="clear" w:color="auto" w:fill="auto"/>
            <w:vAlign w:val="center"/>
          </w:tcPr>
          <w:p>
            <w:pPr>
              <w:widowControl/>
              <w:jc w:val="center"/>
              <w:rPr>
                <w:rFonts w:ascii="宋体" w:hAnsi="宋体" w:cs="宋体"/>
                <w:kern w:val="0"/>
                <w:sz w:val="20"/>
              </w:rPr>
            </w:pPr>
            <w:r>
              <w:rPr>
                <w:rFonts w:ascii="宋体" w:hAnsi="宋体" w:cs="宋体" w:hint="eastAsia"/>
                <w:kern w:val="0"/>
                <w:sz w:val="20"/>
                <w:szCs w:val="24"/>
              </w:rPr>
              <w:t>型号</w:t>
            </w:r>
          </w:p>
        </w:tc>
        <w:tc>
          <w:tcPr>
            <w:tcW w:w="850" w:type="dxa"/>
            <w:shd w:val="clear" w:color="auto" w:fill="auto"/>
            <w:vAlign w:val="center"/>
          </w:tcPr>
          <w:p>
            <w:pPr>
              <w:widowControl/>
              <w:jc w:val="center"/>
              <w:rPr>
                <w:color w:val="000000"/>
                <w:sz w:val="18"/>
                <w:szCs w:val="18"/>
              </w:rPr>
            </w:pPr>
            <w:r>
              <w:rPr>
                <w:rFonts w:hint="eastAsia"/>
                <w:color w:val="000000"/>
                <w:sz w:val="18"/>
                <w:szCs w:val="18"/>
              </w:rPr>
              <w:t>台套数</w:t>
            </w:r>
          </w:p>
        </w:tc>
        <w:tc>
          <w:tcPr>
            <w:tcW w:w="2268" w:type="dxa"/>
            <w:shd w:val="clear" w:color="auto" w:fill="auto"/>
          </w:tcPr>
          <w:p>
            <w:pPr>
              <w:widowControl/>
              <w:jc w:val="center"/>
              <w:rPr>
                <w:color w:val="000000"/>
                <w:sz w:val="18"/>
                <w:szCs w:val="18"/>
              </w:rPr>
            </w:pPr>
            <w:r>
              <w:rPr>
                <w:rFonts w:hint="eastAsia"/>
                <w:color w:val="000000"/>
                <w:sz w:val="18"/>
                <w:szCs w:val="18"/>
              </w:rPr>
              <w:t>序列号备注</w:t>
            </w:r>
          </w:p>
        </w:tc>
        <w:tc>
          <w:tcPr>
            <w:tcW w:w="1511" w:type="dxa"/>
            <w:vAlign w:val="center"/>
          </w:tcPr>
          <w:p>
            <w:pPr>
              <w:widowControl/>
              <w:jc w:val="center"/>
              <w:rPr>
                <w:rFonts w:ascii="宋体" w:hAnsi="宋体" w:cs="宋体"/>
                <w:bCs/>
                <w:color w:val="000000"/>
                <w:kern w:val="0"/>
                <w:sz w:val="20"/>
              </w:rPr>
            </w:pPr>
            <w:r>
              <w:rPr>
                <w:rFonts w:ascii="宋体" w:hAnsi="宋体" w:cs="宋体" w:hint="eastAsia"/>
                <w:bCs/>
                <w:color w:val="000000"/>
                <w:kern w:val="0"/>
                <w:sz w:val="20"/>
                <w:szCs w:val="24"/>
              </w:rPr>
              <w:t>维保日期</w:t>
            </w:r>
          </w:p>
        </w:tc>
      </w:tr>
      <w:tr>
        <w:tblPrEx>
          <w:tblW w:w="8310" w:type="dxa"/>
          <w:jc w:val="center"/>
          <w:tblLayout w:type="fixed"/>
          <w:tblCellMar>
            <w:top w:w="0" w:type="dxa"/>
            <w:left w:w="108" w:type="dxa"/>
            <w:bottom w:w="0" w:type="dxa"/>
            <w:right w:w="108" w:type="dxa"/>
          </w:tblCellMar>
        </w:tblPrEx>
        <w:trPr>
          <w:trHeight w:val="675"/>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pPr>
              <w:pStyle w:val="ListParagraph"/>
              <w:widowControl/>
              <w:numPr>
                <w:ilvl w:val="0"/>
                <w:numId w:val="9"/>
              </w:numPr>
              <w:ind w:firstLineChars="0"/>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widowControl/>
              <w:jc w:val="center"/>
              <w:rPr>
                <w:rFonts w:ascii="宋体" w:hAnsi="宋体" w:cs="宋体"/>
                <w:kern w:val="0"/>
                <w:sz w:val="20"/>
              </w:rPr>
            </w:pPr>
            <w:r>
              <w:rPr>
                <w:rFonts w:ascii="宋体" w:hAnsi="宋体" w:cs="宋体" w:hint="eastAsia"/>
                <w:kern w:val="0"/>
                <w:sz w:val="20"/>
                <w:szCs w:val="24"/>
              </w:rPr>
              <w:t>UNIX小机配套设备</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pPr>
              <w:widowControl/>
              <w:jc w:val="center"/>
              <w:rPr>
                <w:rFonts w:ascii="宋体" w:hAnsi="宋体" w:cs="宋体"/>
                <w:kern w:val="0"/>
                <w:sz w:val="20"/>
              </w:rPr>
            </w:pPr>
            <w:r>
              <w:rPr>
                <w:rFonts w:ascii="宋体" w:hAnsi="宋体" w:cs="宋体" w:hint="eastAsia"/>
                <w:kern w:val="0"/>
                <w:sz w:val="20"/>
                <w:szCs w:val="24"/>
              </w:rPr>
              <w:t xml:space="preserve">WEBSPHERE APPLICATION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pPr>
              <w:widowControl/>
              <w:jc w:val="center"/>
              <w:rPr>
                <w:color w:val="000000"/>
                <w:sz w:val="18"/>
                <w:szCs w:val="18"/>
              </w:rPr>
            </w:pPr>
            <w:r>
              <w:rPr>
                <w:rFonts w:hint="eastAsia"/>
                <w:color w:val="000000"/>
                <w:sz w:val="18"/>
                <w:szCs w:val="18"/>
              </w:rPr>
              <w:t>1</w:t>
            </w:r>
          </w:p>
        </w:tc>
        <w:tc>
          <w:tcPr>
            <w:tcW w:w="2268" w:type="dxa"/>
            <w:tcBorders>
              <w:top w:val="single" w:sz="4" w:space="0" w:color="auto"/>
              <w:left w:val="single" w:sz="4" w:space="0" w:color="auto"/>
              <w:bottom w:val="single" w:sz="4" w:space="0" w:color="auto"/>
              <w:right w:val="single" w:sz="4" w:space="0" w:color="auto"/>
            </w:tcBorders>
            <w:shd w:val="clear" w:color="auto" w:fill="auto"/>
          </w:tcPr>
          <w:p>
            <w:pPr>
              <w:widowControl/>
              <w:jc w:val="center"/>
              <w:rPr>
                <w:color w:val="000000"/>
                <w:sz w:val="18"/>
                <w:szCs w:val="18"/>
              </w:rPr>
            </w:pPr>
            <w:r>
              <w:rPr>
                <w:rFonts w:hint="eastAsia"/>
                <w:color w:val="000000"/>
                <w:sz w:val="18"/>
                <w:szCs w:val="18"/>
              </w:rPr>
              <w:t>web发布中间件等软件（FY-2G）</w:t>
            </w:r>
          </w:p>
        </w:tc>
        <w:tc>
          <w:tcPr>
            <w:tcW w:w="1511" w:type="dxa"/>
            <w:tcBorders>
              <w:left w:val="single" w:sz="4" w:space="0" w:color="auto"/>
              <w:right w:val="single" w:sz="4" w:space="0" w:color="auto"/>
            </w:tcBorders>
            <w:vAlign w:val="center"/>
          </w:tcPr>
          <w:p>
            <w:pPr>
              <w:widowControl/>
              <w:jc w:val="center"/>
              <w:rPr>
                <w:rFonts w:ascii="宋体" w:hAnsi="宋体" w:cs="宋体"/>
                <w:bCs/>
                <w:color w:val="000000"/>
                <w:kern w:val="0"/>
                <w:sz w:val="20"/>
              </w:rPr>
            </w:pPr>
            <w:r>
              <w:rPr>
                <w:rFonts w:ascii="宋体" w:hAnsi="宋体" w:cs="宋体" w:hint="eastAsia"/>
                <w:bCs/>
                <w:color w:val="000000"/>
                <w:kern w:val="0"/>
                <w:sz w:val="20"/>
                <w:szCs w:val="24"/>
              </w:rPr>
              <w:t>参见前文要求</w:t>
            </w:r>
          </w:p>
        </w:tc>
      </w:tr>
      <w:tr>
        <w:tblPrEx>
          <w:tblW w:w="8310" w:type="dxa"/>
          <w:jc w:val="center"/>
          <w:tblLayout w:type="fixed"/>
          <w:tblCellMar>
            <w:top w:w="0" w:type="dxa"/>
            <w:left w:w="108" w:type="dxa"/>
            <w:bottom w:w="0" w:type="dxa"/>
            <w:right w:w="108" w:type="dxa"/>
          </w:tblCellMar>
        </w:tblPrEx>
        <w:trPr>
          <w:trHeight w:val="675"/>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pPr>
              <w:widowControl/>
              <w:numPr>
                <w:ilvl w:val="0"/>
                <w:numId w:val="9"/>
              </w:num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widowControl/>
              <w:jc w:val="center"/>
              <w:rPr>
                <w:rFonts w:ascii="宋体" w:hAnsi="宋体" w:cs="宋体"/>
                <w:kern w:val="0"/>
                <w:sz w:val="20"/>
              </w:rPr>
            </w:pPr>
            <w:r>
              <w:rPr>
                <w:rFonts w:ascii="宋体" w:hAnsi="宋体" w:cs="宋体" w:hint="eastAsia"/>
                <w:kern w:val="0"/>
                <w:sz w:val="20"/>
                <w:szCs w:val="24"/>
              </w:rPr>
              <w:t>UNIX小机</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pPr>
              <w:widowControl/>
              <w:jc w:val="center"/>
              <w:rPr>
                <w:rFonts w:ascii="宋体" w:hAnsi="宋体" w:cs="宋体"/>
                <w:kern w:val="0"/>
                <w:sz w:val="20"/>
              </w:rPr>
            </w:pPr>
            <w:r>
              <w:rPr>
                <w:rFonts w:ascii="宋体" w:hAnsi="宋体" w:cs="宋体" w:hint="eastAsia"/>
                <w:kern w:val="0"/>
                <w:sz w:val="20"/>
                <w:szCs w:val="24"/>
              </w:rPr>
              <w:t>P</w:t>
            </w:r>
            <w:r>
              <w:rPr>
                <w:rFonts w:ascii="宋体" w:hAnsi="宋体" w:cs="宋体"/>
                <w:kern w:val="0"/>
                <w:sz w:val="20"/>
                <w:szCs w:val="24"/>
              </w:rPr>
              <w:t>OWER 780</w:t>
            </w:r>
            <w:r>
              <w:rPr>
                <w:rFonts w:ascii="宋体" w:hAnsi="宋体" w:cs="宋体" w:hint="eastAsia"/>
                <w:kern w:val="0"/>
                <w:sz w:val="20"/>
                <w:szCs w:val="24"/>
              </w:rPr>
              <w:t>（3D）</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pPr>
              <w:widowControl/>
              <w:jc w:val="center"/>
              <w:rPr>
                <w:color w:val="000000"/>
                <w:sz w:val="18"/>
                <w:szCs w:val="18"/>
              </w:rPr>
            </w:pPr>
            <w:r>
              <w:rPr>
                <w:rFonts w:hint="eastAsia"/>
                <w:color w:val="000000"/>
                <w:sz w:val="18"/>
                <w:szCs w:val="18"/>
              </w:rPr>
              <w:t>2</w:t>
            </w:r>
          </w:p>
        </w:tc>
        <w:tc>
          <w:tcPr>
            <w:tcW w:w="2268" w:type="dxa"/>
            <w:tcBorders>
              <w:top w:val="single" w:sz="4" w:space="0" w:color="auto"/>
              <w:left w:val="single" w:sz="4" w:space="0" w:color="auto"/>
              <w:bottom w:val="single" w:sz="4" w:space="0" w:color="auto"/>
              <w:right w:val="single" w:sz="4" w:space="0" w:color="auto"/>
            </w:tcBorders>
            <w:shd w:val="clear" w:color="auto" w:fill="auto"/>
          </w:tcPr>
          <w:p>
            <w:pPr>
              <w:widowControl/>
              <w:jc w:val="center"/>
              <w:rPr>
                <w:color w:val="000000"/>
                <w:sz w:val="18"/>
                <w:szCs w:val="18"/>
              </w:rPr>
            </w:pPr>
            <w:r>
              <w:rPr>
                <w:color w:val="000000"/>
                <w:sz w:val="18"/>
                <w:szCs w:val="18"/>
              </w:rPr>
              <w:t>21119BV</w:t>
            </w:r>
          </w:p>
          <w:p>
            <w:pPr>
              <w:widowControl/>
              <w:jc w:val="center"/>
              <w:rPr>
                <w:color w:val="000000"/>
                <w:sz w:val="18"/>
                <w:szCs w:val="18"/>
              </w:rPr>
            </w:pPr>
            <w:r>
              <w:rPr>
                <w:color w:val="000000"/>
                <w:sz w:val="18"/>
                <w:szCs w:val="18"/>
              </w:rPr>
              <w:t>21119CV</w:t>
            </w:r>
          </w:p>
        </w:tc>
        <w:tc>
          <w:tcPr>
            <w:tcW w:w="1511" w:type="dxa"/>
            <w:vMerge w:val="restart"/>
            <w:tcBorders>
              <w:top w:val="single" w:sz="4" w:space="0" w:color="auto"/>
              <w:left w:val="single" w:sz="4" w:space="0" w:color="auto"/>
              <w:right w:val="single" w:sz="4" w:space="0" w:color="auto"/>
            </w:tcBorders>
            <w:vAlign w:val="center"/>
          </w:tcPr>
          <w:p>
            <w:pPr>
              <w:widowControl/>
              <w:jc w:val="center"/>
              <w:rPr>
                <w:rFonts w:ascii="宋体" w:hAnsi="宋体" w:cs="宋体"/>
                <w:bCs/>
                <w:color w:val="000000"/>
                <w:kern w:val="0"/>
                <w:sz w:val="20"/>
              </w:rPr>
            </w:pPr>
            <w:r>
              <w:rPr>
                <w:rFonts w:ascii="宋体" w:hAnsi="宋体" w:cs="宋体" w:hint="eastAsia"/>
                <w:bCs/>
                <w:color w:val="000000"/>
                <w:kern w:val="0"/>
                <w:sz w:val="20"/>
                <w:szCs w:val="24"/>
              </w:rPr>
              <w:t>参见前文要求</w:t>
            </w:r>
          </w:p>
        </w:tc>
      </w:tr>
      <w:tr>
        <w:tblPrEx>
          <w:tblW w:w="8310" w:type="dxa"/>
          <w:jc w:val="center"/>
          <w:tblLayout w:type="fixed"/>
          <w:tblCellMar>
            <w:top w:w="0" w:type="dxa"/>
            <w:left w:w="108" w:type="dxa"/>
            <w:bottom w:w="0" w:type="dxa"/>
            <w:right w:w="108" w:type="dxa"/>
          </w:tblCellMar>
        </w:tblPrEx>
        <w:trPr>
          <w:trHeight w:val="675"/>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pPr>
              <w:widowControl/>
              <w:numPr>
                <w:ilvl w:val="0"/>
                <w:numId w:val="9"/>
              </w:num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widowControl/>
              <w:jc w:val="center"/>
              <w:rPr>
                <w:rFonts w:ascii="宋体" w:hAnsi="宋体" w:cs="宋体"/>
                <w:kern w:val="0"/>
                <w:sz w:val="20"/>
              </w:rPr>
            </w:pPr>
            <w:r>
              <w:rPr>
                <w:rFonts w:ascii="宋体" w:hAnsi="宋体" w:cs="宋体" w:hint="eastAsia"/>
                <w:kern w:val="0"/>
                <w:sz w:val="20"/>
                <w:szCs w:val="24"/>
              </w:rPr>
              <w:t>UNIX小机</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pPr>
              <w:widowControl/>
              <w:jc w:val="center"/>
              <w:rPr>
                <w:rFonts w:ascii="宋体" w:hAnsi="宋体" w:cs="宋体"/>
                <w:kern w:val="0"/>
                <w:sz w:val="20"/>
              </w:rPr>
            </w:pPr>
            <w:r>
              <w:rPr>
                <w:rFonts w:ascii="宋体" w:hAnsi="宋体" w:cs="宋体" w:hint="eastAsia"/>
                <w:kern w:val="0"/>
                <w:sz w:val="20"/>
                <w:szCs w:val="24"/>
              </w:rPr>
              <w:t>P</w:t>
            </w:r>
            <w:r>
              <w:rPr>
                <w:rFonts w:ascii="宋体" w:hAnsi="宋体" w:cs="宋体"/>
                <w:kern w:val="0"/>
                <w:sz w:val="20"/>
                <w:szCs w:val="24"/>
              </w:rPr>
              <w:t xml:space="preserve">OWER 740 </w:t>
            </w:r>
            <w:r>
              <w:rPr>
                <w:rFonts w:ascii="宋体" w:hAnsi="宋体" w:cs="宋体" w:hint="eastAsia"/>
                <w:kern w:val="0"/>
                <w:sz w:val="20"/>
                <w:szCs w:val="24"/>
              </w:rPr>
              <w:t>GZ、XJ、JMS各2台/</w:t>
            </w:r>
            <w:r>
              <w:rPr>
                <w:rFonts w:ascii="宋体" w:hAnsi="宋体" w:cs="宋体"/>
                <w:kern w:val="0"/>
                <w:sz w:val="20"/>
                <w:szCs w:val="24"/>
              </w:rPr>
              <w:t>ETS1/2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pPr>
              <w:widowControl/>
              <w:jc w:val="center"/>
              <w:rPr>
                <w:color w:val="000000"/>
                <w:sz w:val="18"/>
                <w:szCs w:val="18"/>
              </w:rPr>
            </w:pPr>
            <w:r>
              <w:rPr>
                <w:color w:val="000000"/>
                <w:sz w:val="18"/>
                <w:szCs w:val="18"/>
              </w:rPr>
              <w:t>7</w:t>
            </w:r>
          </w:p>
        </w:tc>
        <w:tc>
          <w:tcPr>
            <w:tcW w:w="2268" w:type="dxa"/>
            <w:tcBorders>
              <w:top w:val="single" w:sz="4" w:space="0" w:color="auto"/>
              <w:left w:val="single" w:sz="4" w:space="0" w:color="auto"/>
              <w:bottom w:val="single" w:sz="4" w:space="0" w:color="auto"/>
              <w:right w:val="single" w:sz="4" w:space="0" w:color="auto"/>
            </w:tcBorders>
            <w:shd w:val="clear" w:color="auto" w:fill="auto"/>
          </w:tcPr>
          <w:p>
            <w:pPr>
              <w:widowControl/>
              <w:jc w:val="center"/>
              <w:rPr>
                <w:color w:val="000000"/>
                <w:sz w:val="18"/>
                <w:szCs w:val="18"/>
              </w:rPr>
            </w:pPr>
            <w:r>
              <w:rPr>
                <w:color w:val="000000"/>
                <w:sz w:val="18"/>
                <w:szCs w:val="18"/>
              </w:rPr>
              <w:t>2111B7V</w:t>
            </w:r>
          </w:p>
          <w:p>
            <w:pPr>
              <w:widowControl/>
              <w:jc w:val="center"/>
              <w:rPr>
                <w:color w:val="000000"/>
                <w:sz w:val="18"/>
                <w:szCs w:val="18"/>
              </w:rPr>
            </w:pPr>
            <w:r>
              <w:rPr>
                <w:color w:val="000000"/>
                <w:sz w:val="18"/>
                <w:szCs w:val="18"/>
              </w:rPr>
              <w:t>21117FV</w:t>
            </w:r>
          </w:p>
          <w:p>
            <w:pPr>
              <w:widowControl/>
              <w:jc w:val="center"/>
              <w:rPr>
                <w:color w:val="000000"/>
                <w:sz w:val="18"/>
                <w:szCs w:val="18"/>
              </w:rPr>
            </w:pPr>
            <w:r>
              <w:rPr>
                <w:color w:val="000000"/>
                <w:sz w:val="18"/>
                <w:szCs w:val="18"/>
              </w:rPr>
              <w:t>211184V</w:t>
            </w:r>
          </w:p>
          <w:p>
            <w:pPr>
              <w:widowControl/>
              <w:jc w:val="center"/>
              <w:rPr>
                <w:color w:val="000000"/>
                <w:sz w:val="18"/>
                <w:szCs w:val="18"/>
              </w:rPr>
            </w:pPr>
            <w:r>
              <w:rPr>
                <w:color w:val="000000"/>
                <w:sz w:val="18"/>
                <w:szCs w:val="18"/>
              </w:rPr>
              <w:t>21117EV</w:t>
            </w:r>
          </w:p>
          <w:p>
            <w:pPr>
              <w:widowControl/>
              <w:jc w:val="center"/>
              <w:rPr>
                <w:color w:val="000000"/>
                <w:sz w:val="18"/>
                <w:szCs w:val="18"/>
              </w:rPr>
            </w:pPr>
            <w:r>
              <w:rPr>
                <w:color w:val="000000"/>
                <w:sz w:val="18"/>
                <w:szCs w:val="18"/>
              </w:rPr>
              <w:t>211181V</w:t>
            </w:r>
          </w:p>
          <w:p>
            <w:pPr>
              <w:widowControl/>
              <w:jc w:val="center"/>
              <w:rPr>
                <w:color w:val="000000"/>
                <w:sz w:val="18"/>
                <w:szCs w:val="18"/>
              </w:rPr>
            </w:pPr>
            <w:r>
              <w:rPr>
                <w:color w:val="000000"/>
                <w:sz w:val="18"/>
                <w:szCs w:val="18"/>
              </w:rPr>
              <w:t>211180V</w:t>
            </w:r>
          </w:p>
          <w:p>
            <w:pPr>
              <w:widowControl/>
              <w:jc w:val="center"/>
              <w:rPr>
                <w:color w:val="000000"/>
                <w:sz w:val="18"/>
                <w:szCs w:val="18"/>
              </w:rPr>
            </w:pPr>
            <w:r>
              <w:rPr>
                <w:color w:val="000000"/>
                <w:sz w:val="18"/>
                <w:szCs w:val="18"/>
              </w:rPr>
              <w:t>21117DV</w:t>
            </w:r>
          </w:p>
        </w:tc>
        <w:tc>
          <w:tcPr>
            <w:tcW w:w="1511" w:type="dxa"/>
            <w:vMerge/>
            <w:tcBorders>
              <w:left w:val="single" w:sz="4" w:space="0" w:color="auto"/>
              <w:right w:val="single" w:sz="4" w:space="0" w:color="auto"/>
            </w:tcBorders>
            <w:vAlign w:val="center"/>
          </w:tcPr>
          <w:p>
            <w:pPr>
              <w:widowControl/>
              <w:jc w:val="center"/>
              <w:rPr>
                <w:rFonts w:ascii="宋体" w:hAnsi="宋体" w:cs="宋体"/>
                <w:bCs/>
                <w:color w:val="000000"/>
                <w:kern w:val="0"/>
                <w:sz w:val="20"/>
              </w:rPr>
            </w:pPr>
          </w:p>
        </w:tc>
      </w:tr>
      <w:tr>
        <w:tblPrEx>
          <w:tblW w:w="8310" w:type="dxa"/>
          <w:jc w:val="center"/>
          <w:tblLayout w:type="fixed"/>
          <w:tblCellMar>
            <w:top w:w="0" w:type="dxa"/>
            <w:left w:w="108" w:type="dxa"/>
            <w:bottom w:w="0" w:type="dxa"/>
            <w:right w:w="108" w:type="dxa"/>
          </w:tblCellMar>
        </w:tblPrEx>
        <w:trPr>
          <w:trHeight w:val="381"/>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pPr>
              <w:widowControl/>
              <w:numPr>
                <w:ilvl w:val="0"/>
                <w:numId w:val="9"/>
              </w:num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widowControl/>
              <w:jc w:val="center"/>
              <w:rPr>
                <w:rFonts w:ascii="宋体" w:hAnsi="宋体" w:cs="宋体"/>
                <w:kern w:val="0"/>
                <w:sz w:val="20"/>
              </w:rPr>
            </w:pPr>
            <w:r>
              <w:rPr>
                <w:rFonts w:ascii="宋体" w:hAnsi="宋体" w:cs="宋体" w:hint="eastAsia"/>
                <w:kern w:val="0"/>
                <w:sz w:val="20"/>
                <w:szCs w:val="24"/>
              </w:rPr>
              <w:t>文件系统</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pPr>
              <w:widowControl/>
              <w:jc w:val="center"/>
              <w:rPr>
                <w:rFonts w:ascii="宋体" w:hAnsi="宋体" w:cs="宋体"/>
                <w:kern w:val="0"/>
                <w:sz w:val="20"/>
              </w:rPr>
            </w:pPr>
            <w:r>
              <w:rPr>
                <w:rFonts w:ascii="宋体" w:hAnsi="宋体" w:cs="宋体" w:hint="eastAsia"/>
                <w:kern w:val="0"/>
                <w:sz w:val="20"/>
                <w:szCs w:val="24"/>
              </w:rPr>
              <w:t>G</w:t>
            </w:r>
            <w:r>
              <w:rPr>
                <w:rFonts w:ascii="宋体" w:hAnsi="宋体" w:cs="宋体"/>
                <w:kern w:val="0"/>
                <w:sz w:val="20"/>
                <w:szCs w:val="24"/>
              </w:rPr>
              <w:t>PFS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pPr>
              <w:widowControl/>
              <w:jc w:val="center"/>
              <w:rPr>
                <w:color w:val="000000"/>
                <w:sz w:val="18"/>
                <w:szCs w:val="18"/>
              </w:rPr>
            </w:pPr>
            <w:r>
              <w:rPr>
                <w:rFonts w:hint="eastAsia"/>
                <w:color w:val="000000"/>
                <w:sz w:val="18"/>
                <w:szCs w:val="18"/>
              </w:rPr>
              <w:t>1</w:t>
            </w:r>
          </w:p>
        </w:tc>
        <w:tc>
          <w:tcPr>
            <w:tcW w:w="2268" w:type="dxa"/>
            <w:tcBorders>
              <w:top w:val="single" w:sz="4" w:space="0" w:color="auto"/>
              <w:left w:val="single" w:sz="4" w:space="0" w:color="auto"/>
              <w:bottom w:val="single" w:sz="4" w:space="0" w:color="auto"/>
              <w:right w:val="single" w:sz="4" w:space="0" w:color="auto"/>
            </w:tcBorders>
            <w:shd w:val="clear" w:color="auto" w:fill="auto"/>
          </w:tcPr>
          <w:p>
            <w:pPr>
              <w:widowControl/>
              <w:jc w:val="center"/>
              <w:rPr>
                <w:color w:val="000000"/>
                <w:sz w:val="18"/>
                <w:szCs w:val="18"/>
              </w:rPr>
            </w:pPr>
            <w:r>
              <w:rPr>
                <w:rFonts w:hint="eastAsia"/>
                <w:color w:val="000000"/>
                <w:sz w:val="18"/>
                <w:szCs w:val="18"/>
              </w:rPr>
              <w:t>共享文件系统软件(</w:t>
            </w:r>
            <w:r>
              <w:rPr>
                <w:color w:val="000000"/>
                <w:sz w:val="18"/>
                <w:szCs w:val="18"/>
              </w:rPr>
              <w:t>FY3D)</w:t>
            </w:r>
          </w:p>
        </w:tc>
        <w:tc>
          <w:tcPr>
            <w:tcW w:w="1511" w:type="dxa"/>
            <w:vMerge/>
            <w:tcBorders>
              <w:left w:val="single" w:sz="4" w:space="0" w:color="auto"/>
              <w:right w:val="single" w:sz="4" w:space="0" w:color="auto"/>
            </w:tcBorders>
            <w:vAlign w:val="center"/>
          </w:tcPr>
          <w:p>
            <w:pPr>
              <w:widowControl/>
              <w:jc w:val="center"/>
              <w:rPr>
                <w:rFonts w:ascii="宋体" w:hAnsi="宋体" w:cs="宋体"/>
                <w:bCs/>
                <w:color w:val="000000"/>
                <w:kern w:val="0"/>
                <w:sz w:val="20"/>
              </w:rPr>
            </w:pPr>
          </w:p>
        </w:tc>
      </w:tr>
      <w:tr>
        <w:tblPrEx>
          <w:tblW w:w="8310" w:type="dxa"/>
          <w:jc w:val="center"/>
          <w:tblLayout w:type="fixed"/>
          <w:tblCellMar>
            <w:top w:w="0" w:type="dxa"/>
            <w:left w:w="108" w:type="dxa"/>
            <w:bottom w:w="0" w:type="dxa"/>
            <w:right w:w="108" w:type="dxa"/>
          </w:tblCellMar>
        </w:tblPrEx>
        <w:trPr>
          <w:trHeight w:val="675"/>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pPr>
              <w:widowControl/>
              <w:numPr>
                <w:ilvl w:val="0"/>
                <w:numId w:val="9"/>
              </w:num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widowControl/>
              <w:jc w:val="center"/>
              <w:rPr>
                <w:rFonts w:ascii="宋体" w:hAnsi="宋体" w:cs="宋体"/>
                <w:kern w:val="0"/>
                <w:sz w:val="20"/>
              </w:rPr>
            </w:pPr>
            <w:r>
              <w:rPr>
                <w:rFonts w:ascii="宋体" w:hAnsi="宋体" w:cs="宋体" w:hint="eastAsia"/>
                <w:kern w:val="0"/>
                <w:sz w:val="20"/>
                <w:szCs w:val="24"/>
              </w:rPr>
              <w:t>软件</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pPr>
              <w:widowControl/>
              <w:jc w:val="center"/>
              <w:rPr>
                <w:rFonts w:ascii="宋体" w:hAnsi="宋体" w:cs="宋体"/>
                <w:kern w:val="0"/>
                <w:sz w:val="20"/>
              </w:rPr>
            </w:pPr>
            <w:r>
              <w:rPr>
                <w:rFonts w:ascii="宋体" w:hAnsi="宋体" w:cs="宋体" w:hint="eastAsia"/>
                <w:kern w:val="0"/>
                <w:sz w:val="20"/>
                <w:szCs w:val="24"/>
              </w:rPr>
              <w:t>网络软件</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pPr>
              <w:widowControl/>
              <w:jc w:val="center"/>
              <w:rPr>
                <w:color w:val="000000"/>
                <w:sz w:val="18"/>
                <w:szCs w:val="18"/>
              </w:rPr>
            </w:pPr>
            <w:r>
              <w:rPr>
                <w:color w:val="000000"/>
                <w:sz w:val="18"/>
                <w:szCs w:val="18"/>
              </w:rPr>
              <w:t>2</w:t>
            </w:r>
          </w:p>
        </w:tc>
        <w:tc>
          <w:tcPr>
            <w:tcW w:w="2268" w:type="dxa"/>
            <w:tcBorders>
              <w:top w:val="single" w:sz="4" w:space="0" w:color="auto"/>
              <w:left w:val="single" w:sz="4" w:space="0" w:color="auto"/>
              <w:bottom w:val="single" w:sz="4" w:space="0" w:color="auto"/>
              <w:right w:val="single" w:sz="4" w:space="0" w:color="auto"/>
            </w:tcBorders>
            <w:shd w:val="clear" w:color="auto" w:fill="auto"/>
          </w:tcPr>
          <w:p>
            <w:pPr>
              <w:widowControl/>
              <w:jc w:val="center"/>
              <w:rPr>
                <w:color w:val="000000"/>
                <w:sz w:val="18"/>
                <w:szCs w:val="18"/>
              </w:rPr>
            </w:pPr>
            <w:r>
              <w:rPr>
                <w:rFonts w:hint="eastAsia"/>
                <w:color w:val="000000"/>
                <w:sz w:val="18"/>
                <w:szCs w:val="18"/>
              </w:rPr>
              <w:t>东华网管-业务</w:t>
            </w:r>
          </w:p>
          <w:p>
            <w:pPr>
              <w:widowControl/>
              <w:jc w:val="center"/>
              <w:rPr>
                <w:color w:val="000000"/>
                <w:sz w:val="18"/>
                <w:szCs w:val="18"/>
              </w:rPr>
            </w:pPr>
            <w:r>
              <w:rPr>
                <w:color w:val="000000"/>
                <w:sz w:val="18"/>
                <w:szCs w:val="18"/>
              </w:rPr>
              <w:t>东华网管</w:t>
            </w:r>
            <w:r>
              <w:rPr>
                <w:rFonts w:hint="eastAsia"/>
                <w:color w:val="000000"/>
                <w:sz w:val="18"/>
                <w:szCs w:val="18"/>
              </w:rPr>
              <w:t>-</w:t>
            </w:r>
            <w:r>
              <w:rPr>
                <w:color w:val="000000"/>
                <w:sz w:val="18"/>
                <w:szCs w:val="18"/>
              </w:rPr>
              <w:t>DMZ</w:t>
            </w:r>
          </w:p>
        </w:tc>
        <w:tc>
          <w:tcPr>
            <w:tcW w:w="1511"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cs="宋体"/>
                <w:bCs/>
                <w:color w:val="000000"/>
                <w:kern w:val="0"/>
                <w:sz w:val="20"/>
              </w:rPr>
            </w:pPr>
            <w:r>
              <w:rPr>
                <w:rFonts w:ascii="宋体" w:hAnsi="宋体" w:cs="宋体" w:hint="eastAsia"/>
                <w:bCs/>
                <w:color w:val="000000"/>
                <w:kern w:val="0"/>
                <w:sz w:val="20"/>
                <w:szCs w:val="24"/>
              </w:rPr>
              <w:t>参见前文要求</w:t>
            </w:r>
          </w:p>
        </w:tc>
      </w:tr>
    </w:tbl>
    <w:p/>
    <w:p>
      <w:pPr>
        <w:pStyle w:val="Heading3"/>
        <w:numPr>
          <w:ilvl w:val="0"/>
          <w:numId w:val="0"/>
        </w:numPr>
        <w:rPr>
          <w:rFonts w:ascii="宋体" w:eastAsia="宋体" w:hAnsi="宋体"/>
          <w:szCs w:val="21"/>
        </w:rPr>
      </w:pPr>
      <w:r>
        <w:rPr>
          <w:rFonts w:ascii="宋体" w:eastAsia="宋体" w:hAnsi="宋体" w:hint="eastAsia"/>
          <w:szCs w:val="21"/>
        </w:rPr>
        <w:t>4.5</w:t>
      </w:r>
      <w:r>
        <w:rPr>
          <w:rFonts w:ascii="宋体" w:eastAsia="宋体" w:hAnsi="宋体"/>
          <w:szCs w:val="21"/>
        </w:rPr>
        <w:t xml:space="preserve"> </w:t>
      </w:r>
      <w:bookmarkStart w:id="64" w:name="_Toc169020981"/>
      <w:r>
        <w:rPr>
          <w:rFonts w:ascii="宋体" w:eastAsia="宋体" w:hAnsi="宋体" w:hint="eastAsia"/>
          <w:szCs w:val="21"/>
        </w:rPr>
        <w:t>FY</w:t>
      </w:r>
      <w:r>
        <w:rPr>
          <w:rFonts w:ascii="宋体" w:eastAsia="宋体" w:hAnsi="宋体"/>
          <w:szCs w:val="21"/>
        </w:rPr>
        <w:t>-3</w:t>
      </w:r>
      <w:r>
        <w:rPr>
          <w:rFonts w:ascii="宋体" w:eastAsia="宋体" w:hAnsi="宋体" w:hint="eastAsia"/>
          <w:szCs w:val="21"/>
        </w:rPr>
        <w:t>D</w:t>
      </w:r>
      <w:r>
        <w:rPr>
          <w:rFonts w:ascii="宋体" w:eastAsia="宋体" w:hAnsi="宋体"/>
          <w:szCs w:val="21"/>
        </w:rPr>
        <w:t xml:space="preserve"> </w:t>
      </w:r>
      <w:r>
        <w:rPr>
          <w:rFonts w:ascii="宋体" w:eastAsia="宋体" w:hAnsi="宋体" w:hint="eastAsia"/>
          <w:szCs w:val="21"/>
        </w:rPr>
        <w:t>UNIX小机</w:t>
      </w:r>
      <w:bookmarkEnd w:id="64"/>
    </w:p>
    <w:p>
      <w:pPr>
        <w:pStyle w:val="Caption"/>
        <w:keepNext/>
        <w:jc w:val="center"/>
      </w:pPr>
      <w:r>
        <w:t>表 5</w:t>
      </w:r>
      <w:r>
        <w:rPr>
          <w:rFonts w:hint="eastAsia"/>
        </w:rPr>
        <w:t>：FY</w:t>
      </w:r>
      <w:r>
        <w:t>3</w:t>
      </w:r>
      <w:r>
        <w:rPr>
          <w:rFonts w:hint="eastAsia"/>
        </w:rPr>
        <w:t>D</w:t>
      </w:r>
      <w:r>
        <w:t xml:space="preserve"> </w:t>
      </w:r>
      <w:r>
        <w:rPr>
          <w:rFonts w:hint="eastAsia"/>
        </w:rPr>
        <w:t>UNIX小机</w:t>
      </w:r>
    </w:p>
    <w:tbl>
      <w:tblPr>
        <w:tblStyle w:val="TableNormal"/>
        <w:tblW w:w="8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4"/>
        <w:gridCol w:w="1134"/>
        <w:gridCol w:w="1353"/>
        <w:gridCol w:w="915"/>
        <w:gridCol w:w="2693"/>
        <w:gridCol w:w="1511"/>
      </w:tblGrid>
      <w:tr>
        <w:tblPrEx>
          <w:tblW w:w="8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20"/>
          <w:tblHeader/>
          <w:jc w:val="center"/>
        </w:trPr>
        <w:tc>
          <w:tcPr>
            <w:tcW w:w="704" w:type="dxa"/>
            <w:shd w:val="clear" w:color="auto" w:fill="auto"/>
            <w:vAlign w:val="center"/>
          </w:tcPr>
          <w:p>
            <w:r>
              <w:rPr>
                <w:rFonts w:hint="eastAsia"/>
              </w:rPr>
              <w:t>序号</w:t>
            </w:r>
          </w:p>
        </w:tc>
        <w:tc>
          <w:tcPr>
            <w:tcW w:w="1134" w:type="dxa"/>
            <w:shd w:val="clear" w:color="auto" w:fill="auto"/>
            <w:vAlign w:val="center"/>
          </w:tcPr>
          <w:p>
            <w:pPr>
              <w:widowControl/>
              <w:jc w:val="center"/>
              <w:rPr>
                <w:rFonts w:ascii="宋体" w:hAnsi="宋体" w:cs="宋体"/>
                <w:kern w:val="0"/>
                <w:sz w:val="20"/>
              </w:rPr>
            </w:pPr>
            <w:r>
              <w:rPr>
                <w:rFonts w:ascii="宋体" w:hAnsi="宋体" w:cs="宋体" w:hint="eastAsia"/>
                <w:kern w:val="0"/>
                <w:sz w:val="20"/>
                <w:szCs w:val="24"/>
              </w:rPr>
              <w:t>设备类型</w:t>
            </w:r>
          </w:p>
        </w:tc>
        <w:tc>
          <w:tcPr>
            <w:tcW w:w="1353" w:type="dxa"/>
            <w:shd w:val="clear" w:color="auto" w:fill="auto"/>
            <w:vAlign w:val="center"/>
          </w:tcPr>
          <w:p>
            <w:pPr>
              <w:widowControl/>
              <w:jc w:val="center"/>
              <w:rPr>
                <w:rFonts w:ascii="宋体" w:hAnsi="宋体" w:cs="宋体"/>
                <w:kern w:val="0"/>
                <w:sz w:val="20"/>
              </w:rPr>
            </w:pPr>
            <w:r>
              <w:rPr>
                <w:rFonts w:ascii="宋体" w:hAnsi="宋体" w:cs="宋体" w:hint="eastAsia"/>
                <w:kern w:val="0"/>
                <w:sz w:val="20"/>
                <w:szCs w:val="24"/>
              </w:rPr>
              <w:t>型号</w:t>
            </w:r>
          </w:p>
        </w:tc>
        <w:tc>
          <w:tcPr>
            <w:tcW w:w="915" w:type="dxa"/>
            <w:shd w:val="clear" w:color="auto" w:fill="auto"/>
            <w:vAlign w:val="center"/>
          </w:tcPr>
          <w:p>
            <w:pPr>
              <w:widowControl/>
              <w:jc w:val="center"/>
              <w:rPr>
                <w:color w:val="000000"/>
                <w:sz w:val="18"/>
                <w:szCs w:val="18"/>
              </w:rPr>
            </w:pPr>
            <w:r>
              <w:rPr>
                <w:rFonts w:hint="eastAsia"/>
                <w:color w:val="000000"/>
                <w:sz w:val="18"/>
                <w:szCs w:val="18"/>
              </w:rPr>
              <w:t>台套数</w:t>
            </w:r>
          </w:p>
        </w:tc>
        <w:tc>
          <w:tcPr>
            <w:tcW w:w="2693" w:type="dxa"/>
          </w:tcPr>
          <w:p>
            <w:pPr>
              <w:widowControl/>
              <w:jc w:val="center"/>
              <w:rPr>
                <w:color w:val="000000"/>
                <w:sz w:val="18"/>
                <w:szCs w:val="18"/>
              </w:rPr>
            </w:pPr>
            <w:r>
              <w:rPr>
                <w:rFonts w:hint="eastAsia"/>
                <w:color w:val="000000"/>
                <w:sz w:val="18"/>
                <w:szCs w:val="18"/>
              </w:rPr>
              <w:t>序列号备注</w:t>
            </w:r>
          </w:p>
        </w:tc>
        <w:tc>
          <w:tcPr>
            <w:tcW w:w="1511" w:type="dxa"/>
            <w:vAlign w:val="center"/>
          </w:tcPr>
          <w:p>
            <w:pPr>
              <w:widowControl/>
              <w:jc w:val="center"/>
              <w:rPr>
                <w:rFonts w:ascii="宋体" w:hAnsi="宋体" w:cs="宋体"/>
                <w:bCs/>
                <w:color w:val="000000"/>
                <w:kern w:val="0"/>
                <w:sz w:val="20"/>
              </w:rPr>
            </w:pPr>
            <w:r>
              <w:rPr>
                <w:rFonts w:ascii="宋体" w:hAnsi="宋体" w:cs="宋体" w:hint="eastAsia"/>
                <w:bCs/>
                <w:color w:val="000000"/>
                <w:kern w:val="0"/>
                <w:sz w:val="20"/>
                <w:szCs w:val="24"/>
              </w:rPr>
              <w:t>维保日期</w:t>
            </w:r>
          </w:p>
        </w:tc>
      </w:tr>
      <w:tr>
        <w:tblPrEx>
          <w:tblW w:w="8310" w:type="dxa"/>
          <w:jc w:val="center"/>
          <w:tblLayout w:type="fixed"/>
          <w:tblCellMar>
            <w:top w:w="0" w:type="dxa"/>
            <w:left w:w="108" w:type="dxa"/>
            <w:bottom w:w="0" w:type="dxa"/>
            <w:right w:w="108" w:type="dxa"/>
          </w:tblCellMar>
        </w:tblPrEx>
        <w:trPr>
          <w:trHeight w:val="661"/>
          <w:tblHeader/>
          <w:jc w:val="center"/>
        </w:trPr>
        <w:tc>
          <w:tcPr>
            <w:tcW w:w="704" w:type="dxa"/>
            <w:shd w:val="clear" w:color="auto" w:fill="auto"/>
            <w:vAlign w:val="center"/>
          </w:tcPr>
          <w:p>
            <w:pPr>
              <w:pStyle w:val="ListParagraph"/>
              <w:widowControl/>
              <w:numPr>
                <w:ilvl w:val="0"/>
                <w:numId w:val="10"/>
              </w:numPr>
              <w:ind w:firstLineChars="0"/>
              <w:jc w:val="center"/>
              <w:rPr>
                <w:rFonts w:ascii="宋体" w:hAnsi="宋体" w:cs="宋体"/>
                <w:kern w:val="0"/>
                <w:sz w:val="20"/>
                <w:szCs w:val="24"/>
              </w:rPr>
            </w:pPr>
          </w:p>
        </w:tc>
        <w:tc>
          <w:tcPr>
            <w:tcW w:w="1134" w:type="dxa"/>
            <w:shd w:val="clear" w:color="auto" w:fill="auto"/>
            <w:vAlign w:val="center"/>
          </w:tcPr>
          <w:p>
            <w:pPr>
              <w:widowControl/>
              <w:jc w:val="center"/>
              <w:rPr>
                <w:rFonts w:ascii="宋体" w:hAnsi="宋体" w:cs="宋体"/>
                <w:kern w:val="0"/>
                <w:sz w:val="20"/>
              </w:rPr>
            </w:pPr>
            <w:r>
              <w:rPr>
                <w:rFonts w:ascii="宋体" w:hAnsi="宋体" w:cs="宋体" w:hint="eastAsia"/>
                <w:kern w:val="0"/>
                <w:sz w:val="20"/>
                <w:szCs w:val="24"/>
              </w:rPr>
              <w:t>预处理高端</w:t>
            </w:r>
            <w:r>
              <w:rPr>
                <w:rFonts w:ascii="宋体" w:hAnsi="宋体" w:cs="宋体"/>
                <w:kern w:val="0"/>
                <w:sz w:val="20"/>
                <w:szCs w:val="24"/>
              </w:rPr>
              <w:t>UNIX服务器</w:t>
            </w:r>
          </w:p>
        </w:tc>
        <w:tc>
          <w:tcPr>
            <w:tcW w:w="1353" w:type="dxa"/>
            <w:shd w:val="clear" w:color="auto" w:fill="auto"/>
            <w:vAlign w:val="center"/>
          </w:tcPr>
          <w:p>
            <w:pPr>
              <w:widowControl/>
              <w:jc w:val="center"/>
              <w:rPr>
                <w:rFonts w:ascii="宋体" w:hAnsi="宋体" w:cs="宋体"/>
                <w:kern w:val="0"/>
                <w:sz w:val="20"/>
              </w:rPr>
            </w:pPr>
            <w:r>
              <w:rPr>
                <w:rFonts w:ascii="宋体" w:hAnsi="宋体" w:cs="宋体" w:hint="eastAsia"/>
                <w:kern w:val="0"/>
                <w:sz w:val="20"/>
                <w:szCs w:val="24"/>
              </w:rPr>
              <w:t>新云东方</w:t>
            </w:r>
            <w:r>
              <w:rPr>
                <w:rFonts w:ascii="宋体" w:hAnsi="宋体" w:cs="宋体"/>
                <w:kern w:val="0"/>
                <w:sz w:val="20"/>
                <w:szCs w:val="24"/>
              </w:rPr>
              <w:t>NA8870</w:t>
            </w:r>
            <w:r>
              <w:rPr>
                <w:rFonts w:ascii="宋体" w:hAnsi="宋体" w:cs="宋体" w:hint="eastAsia"/>
                <w:kern w:val="0"/>
                <w:sz w:val="20"/>
                <w:szCs w:val="24"/>
              </w:rPr>
              <w:t>（6分区配置，8</w:t>
            </w:r>
            <w:r>
              <w:rPr>
                <w:rFonts w:ascii="宋体" w:hAnsi="宋体" w:cs="宋体"/>
                <w:kern w:val="0"/>
                <w:sz w:val="20"/>
                <w:szCs w:val="24"/>
              </w:rPr>
              <w:t>0</w:t>
            </w:r>
            <w:r>
              <w:rPr>
                <w:rFonts w:ascii="宋体" w:hAnsi="宋体" w:cs="宋体" w:hint="eastAsia"/>
                <w:kern w:val="0"/>
                <w:sz w:val="20"/>
                <w:szCs w:val="24"/>
              </w:rPr>
              <w:t>颗CPU）</w:t>
            </w:r>
          </w:p>
        </w:tc>
        <w:tc>
          <w:tcPr>
            <w:tcW w:w="915" w:type="dxa"/>
            <w:shd w:val="clear" w:color="auto" w:fill="auto"/>
            <w:vAlign w:val="center"/>
          </w:tcPr>
          <w:p>
            <w:pPr>
              <w:widowControl/>
              <w:jc w:val="center"/>
              <w:rPr>
                <w:color w:val="000000"/>
                <w:sz w:val="18"/>
                <w:szCs w:val="18"/>
              </w:rPr>
            </w:pPr>
            <w:r>
              <w:rPr>
                <w:rFonts w:hint="eastAsia"/>
                <w:color w:val="000000"/>
                <w:sz w:val="18"/>
                <w:szCs w:val="18"/>
              </w:rPr>
              <w:t>2</w:t>
            </w:r>
          </w:p>
        </w:tc>
        <w:tc>
          <w:tcPr>
            <w:tcW w:w="2693" w:type="dxa"/>
          </w:tcPr>
          <w:p>
            <w:pPr>
              <w:widowControl/>
              <w:jc w:val="center"/>
              <w:rPr>
                <w:color w:val="000000"/>
                <w:sz w:val="18"/>
                <w:szCs w:val="18"/>
              </w:rPr>
            </w:pPr>
            <w:r>
              <w:rPr>
                <w:color w:val="000000"/>
                <w:sz w:val="18"/>
                <w:szCs w:val="18"/>
              </w:rPr>
              <w:t>68F0F37</w:t>
            </w:r>
          </w:p>
          <w:p>
            <w:pPr>
              <w:widowControl/>
              <w:jc w:val="center"/>
              <w:rPr>
                <w:color w:val="000000"/>
                <w:sz w:val="18"/>
                <w:szCs w:val="18"/>
              </w:rPr>
            </w:pPr>
            <w:r>
              <w:rPr>
                <w:color w:val="000000"/>
                <w:sz w:val="18"/>
                <w:szCs w:val="18"/>
              </w:rPr>
              <w:t>68F0F57</w:t>
            </w:r>
          </w:p>
          <w:p>
            <w:pPr>
              <w:widowControl/>
              <w:jc w:val="center"/>
              <w:rPr>
                <w:color w:val="000000"/>
                <w:sz w:val="18"/>
                <w:szCs w:val="18"/>
              </w:rPr>
            </w:pPr>
            <w:r>
              <w:rPr>
                <w:color w:val="000000"/>
                <w:sz w:val="18"/>
                <w:szCs w:val="18"/>
              </w:rPr>
              <w:t>68F0F47</w:t>
            </w:r>
          </w:p>
          <w:p>
            <w:pPr>
              <w:widowControl/>
              <w:jc w:val="center"/>
              <w:rPr>
                <w:color w:val="000000"/>
                <w:sz w:val="18"/>
                <w:szCs w:val="18"/>
              </w:rPr>
            </w:pPr>
            <w:r>
              <w:rPr>
                <w:color w:val="000000"/>
                <w:sz w:val="18"/>
                <w:szCs w:val="18"/>
              </w:rPr>
              <w:t>68F0F27</w:t>
            </w:r>
          </w:p>
        </w:tc>
        <w:tc>
          <w:tcPr>
            <w:tcW w:w="1511" w:type="dxa"/>
          </w:tcPr>
          <w:p>
            <w:pPr>
              <w:widowControl/>
              <w:jc w:val="center"/>
              <w:rPr>
                <w:rFonts w:ascii="宋体" w:hAnsi="宋体" w:cs="宋体"/>
                <w:bCs/>
                <w:color w:val="000000"/>
                <w:kern w:val="0"/>
                <w:sz w:val="20"/>
              </w:rPr>
            </w:pPr>
            <w:r>
              <w:rPr>
                <w:rFonts w:ascii="宋体" w:hAnsi="宋体" w:cs="宋体" w:hint="eastAsia"/>
                <w:bCs/>
                <w:color w:val="000000"/>
                <w:kern w:val="0"/>
                <w:sz w:val="20"/>
                <w:szCs w:val="24"/>
              </w:rPr>
              <w:t>参见前文要求</w:t>
            </w:r>
          </w:p>
        </w:tc>
      </w:tr>
      <w:tr>
        <w:tblPrEx>
          <w:tblW w:w="8310" w:type="dxa"/>
          <w:jc w:val="center"/>
          <w:tblLayout w:type="fixed"/>
          <w:tblCellMar>
            <w:top w:w="0" w:type="dxa"/>
            <w:left w:w="108" w:type="dxa"/>
            <w:bottom w:w="0" w:type="dxa"/>
            <w:right w:w="108" w:type="dxa"/>
          </w:tblCellMar>
        </w:tblPrEx>
        <w:trPr>
          <w:trHeight w:val="661"/>
          <w:tblHeader/>
          <w:jc w:val="center"/>
        </w:trPr>
        <w:tc>
          <w:tcPr>
            <w:tcW w:w="704" w:type="dxa"/>
            <w:shd w:val="clear" w:color="auto" w:fill="auto"/>
            <w:vAlign w:val="center"/>
          </w:tcPr>
          <w:p>
            <w:pPr>
              <w:pStyle w:val="ListParagraph"/>
              <w:widowControl/>
              <w:numPr>
                <w:ilvl w:val="0"/>
                <w:numId w:val="10"/>
              </w:numPr>
              <w:ind w:firstLineChars="0"/>
              <w:jc w:val="center"/>
              <w:rPr>
                <w:rFonts w:ascii="宋体" w:hAnsi="宋体" w:cs="宋体"/>
                <w:kern w:val="0"/>
                <w:sz w:val="20"/>
                <w:szCs w:val="24"/>
              </w:rPr>
            </w:pPr>
          </w:p>
        </w:tc>
        <w:tc>
          <w:tcPr>
            <w:tcW w:w="1134" w:type="dxa"/>
            <w:shd w:val="clear" w:color="auto" w:fill="auto"/>
            <w:vAlign w:val="center"/>
          </w:tcPr>
          <w:p>
            <w:pPr>
              <w:widowControl/>
              <w:jc w:val="center"/>
              <w:rPr>
                <w:rFonts w:ascii="宋体" w:hAnsi="宋体" w:cs="宋体"/>
                <w:kern w:val="0"/>
                <w:sz w:val="20"/>
              </w:rPr>
            </w:pPr>
            <w:r>
              <w:rPr>
                <w:rFonts w:ascii="宋体" w:hAnsi="宋体" w:cs="宋体"/>
                <w:kern w:val="0"/>
                <w:sz w:val="20"/>
                <w:szCs w:val="24"/>
              </w:rPr>
              <w:t>MERSI日产品生成处理UNIX服务器</w:t>
            </w:r>
          </w:p>
        </w:tc>
        <w:tc>
          <w:tcPr>
            <w:tcW w:w="1353" w:type="dxa"/>
            <w:shd w:val="clear" w:color="auto" w:fill="auto"/>
            <w:vAlign w:val="center"/>
          </w:tcPr>
          <w:p>
            <w:pPr>
              <w:widowControl/>
              <w:jc w:val="center"/>
              <w:rPr>
                <w:rFonts w:ascii="宋体" w:hAnsi="宋体" w:cs="宋体"/>
                <w:kern w:val="0"/>
                <w:sz w:val="20"/>
              </w:rPr>
            </w:pPr>
            <w:r>
              <w:rPr>
                <w:rFonts w:ascii="宋体" w:hAnsi="宋体" w:cs="宋体" w:hint="eastAsia"/>
                <w:kern w:val="0"/>
                <w:sz w:val="20"/>
                <w:szCs w:val="24"/>
              </w:rPr>
              <w:t>新云东方</w:t>
            </w:r>
            <w:r>
              <w:rPr>
                <w:rFonts w:ascii="宋体" w:hAnsi="宋体" w:cs="宋体"/>
                <w:kern w:val="0"/>
                <w:sz w:val="20"/>
                <w:szCs w:val="24"/>
              </w:rPr>
              <w:t>NA7844</w:t>
            </w:r>
            <w:r>
              <w:rPr>
                <w:rFonts w:ascii="宋体" w:hAnsi="宋体" w:cs="宋体" w:hint="eastAsia"/>
                <w:kern w:val="0"/>
                <w:sz w:val="20"/>
                <w:szCs w:val="24"/>
              </w:rPr>
              <w:t>（</w:t>
            </w:r>
            <w:r>
              <w:rPr>
                <w:rFonts w:ascii="宋体" w:eastAsia="宋体" w:hAnsi="宋体"/>
              </w:rPr>
              <w:t>每套包含四个计算节点</w:t>
            </w:r>
            <w:r>
              <w:rPr>
                <w:rFonts w:ascii="宋体" w:eastAsia="宋体" w:hAnsi="宋体" w:hint="eastAsia"/>
              </w:rPr>
              <w:t>，单节点</w:t>
            </w:r>
            <w:r>
              <w:rPr>
                <w:rFonts w:ascii="宋体" w:hAnsi="宋体" w:cs="宋体" w:hint="eastAsia"/>
                <w:kern w:val="0"/>
                <w:sz w:val="20"/>
                <w:szCs w:val="24"/>
              </w:rPr>
              <w:t>3分区配置，4</w:t>
            </w:r>
            <w:r>
              <w:rPr>
                <w:rFonts w:ascii="宋体" w:hAnsi="宋体" w:cs="宋体"/>
                <w:kern w:val="0"/>
                <w:sz w:val="20"/>
                <w:szCs w:val="24"/>
              </w:rPr>
              <w:t>8</w:t>
            </w:r>
            <w:r>
              <w:rPr>
                <w:rFonts w:ascii="宋体" w:hAnsi="宋体" w:cs="宋体" w:hint="eastAsia"/>
                <w:kern w:val="0"/>
                <w:sz w:val="20"/>
                <w:szCs w:val="24"/>
              </w:rPr>
              <w:t>颗CPU）</w:t>
            </w:r>
          </w:p>
        </w:tc>
        <w:tc>
          <w:tcPr>
            <w:tcW w:w="915" w:type="dxa"/>
            <w:shd w:val="clear" w:color="auto" w:fill="auto"/>
            <w:vAlign w:val="center"/>
          </w:tcPr>
          <w:p>
            <w:pPr>
              <w:widowControl/>
              <w:jc w:val="center"/>
              <w:rPr>
                <w:color w:val="000000"/>
                <w:sz w:val="18"/>
                <w:szCs w:val="18"/>
              </w:rPr>
            </w:pPr>
            <w:r>
              <w:rPr>
                <w:rFonts w:hint="eastAsia"/>
                <w:color w:val="000000"/>
                <w:sz w:val="18"/>
                <w:szCs w:val="18"/>
              </w:rPr>
              <w:t>2</w:t>
            </w:r>
          </w:p>
        </w:tc>
        <w:tc>
          <w:tcPr>
            <w:tcW w:w="2693" w:type="dxa"/>
          </w:tcPr>
          <w:p>
            <w:pPr>
              <w:widowControl/>
              <w:jc w:val="center"/>
              <w:rPr>
                <w:color w:val="000000"/>
                <w:sz w:val="18"/>
                <w:szCs w:val="18"/>
              </w:rPr>
            </w:pPr>
            <w:r>
              <w:rPr>
                <w:color w:val="000000"/>
                <w:sz w:val="18"/>
                <w:szCs w:val="18"/>
              </w:rPr>
              <w:t>68FDE9W</w:t>
            </w:r>
          </w:p>
          <w:p>
            <w:pPr>
              <w:widowControl/>
              <w:jc w:val="center"/>
              <w:rPr>
                <w:color w:val="000000"/>
                <w:sz w:val="18"/>
                <w:szCs w:val="18"/>
              </w:rPr>
            </w:pPr>
            <w:r>
              <w:rPr>
                <w:color w:val="000000"/>
                <w:sz w:val="18"/>
                <w:szCs w:val="18"/>
              </w:rPr>
              <w:t>68FDF1W</w:t>
            </w:r>
          </w:p>
          <w:p>
            <w:pPr>
              <w:widowControl/>
              <w:jc w:val="center"/>
              <w:rPr>
                <w:color w:val="000000"/>
                <w:sz w:val="18"/>
                <w:szCs w:val="18"/>
              </w:rPr>
            </w:pPr>
            <w:r>
              <w:rPr>
                <w:color w:val="000000"/>
                <w:sz w:val="18"/>
                <w:szCs w:val="18"/>
              </w:rPr>
              <w:t>69FDEAW</w:t>
            </w:r>
          </w:p>
          <w:p>
            <w:pPr>
              <w:widowControl/>
              <w:jc w:val="center"/>
              <w:rPr>
                <w:color w:val="000000"/>
                <w:sz w:val="18"/>
                <w:szCs w:val="18"/>
              </w:rPr>
            </w:pPr>
            <w:r>
              <w:rPr>
                <w:color w:val="000000"/>
                <w:sz w:val="18"/>
                <w:szCs w:val="18"/>
              </w:rPr>
              <w:t>68FDEBW</w:t>
            </w:r>
          </w:p>
          <w:p>
            <w:pPr>
              <w:widowControl/>
              <w:jc w:val="center"/>
              <w:rPr>
                <w:color w:val="000000"/>
                <w:sz w:val="18"/>
                <w:szCs w:val="18"/>
              </w:rPr>
            </w:pPr>
            <w:r>
              <w:rPr>
                <w:color w:val="000000"/>
                <w:sz w:val="18"/>
                <w:szCs w:val="18"/>
              </w:rPr>
              <w:t>68FDF0W</w:t>
            </w:r>
          </w:p>
          <w:p>
            <w:pPr>
              <w:widowControl/>
              <w:jc w:val="center"/>
              <w:rPr>
                <w:color w:val="000000"/>
                <w:sz w:val="18"/>
                <w:szCs w:val="18"/>
              </w:rPr>
            </w:pPr>
            <w:r>
              <w:rPr>
                <w:color w:val="000000"/>
                <w:sz w:val="18"/>
                <w:szCs w:val="18"/>
              </w:rPr>
              <w:t>68FDEEW</w:t>
            </w:r>
          </w:p>
          <w:p>
            <w:pPr>
              <w:widowControl/>
              <w:jc w:val="center"/>
              <w:rPr>
                <w:color w:val="000000"/>
                <w:sz w:val="18"/>
                <w:szCs w:val="18"/>
              </w:rPr>
            </w:pPr>
            <w:r>
              <w:rPr>
                <w:color w:val="000000"/>
                <w:sz w:val="18"/>
                <w:szCs w:val="18"/>
              </w:rPr>
              <w:t>68FDE8W</w:t>
            </w:r>
          </w:p>
          <w:p>
            <w:pPr>
              <w:widowControl/>
              <w:jc w:val="center"/>
              <w:rPr>
                <w:color w:val="000000"/>
                <w:sz w:val="18"/>
                <w:szCs w:val="18"/>
              </w:rPr>
            </w:pPr>
            <w:r>
              <w:rPr>
                <w:color w:val="000000"/>
                <w:sz w:val="18"/>
                <w:szCs w:val="18"/>
              </w:rPr>
              <w:t>68FDECW</w:t>
            </w:r>
          </w:p>
        </w:tc>
        <w:tc>
          <w:tcPr>
            <w:tcW w:w="1511" w:type="dxa"/>
          </w:tcPr>
          <w:p>
            <w:pPr>
              <w:widowControl/>
              <w:jc w:val="center"/>
              <w:rPr>
                <w:rFonts w:ascii="宋体" w:hAnsi="宋体" w:cs="宋体"/>
                <w:bCs/>
                <w:color w:val="000000"/>
                <w:kern w:val="0"/>
                <w:sz w:val="20"/>
              </w:rPr>
            </w:pPr>
            <w:r>
              <w:rPr>
                <w:rFonts w:ascii="宋体" w:hAnsi="宋体" w:cs="宋体" w:hint="eastAsia"/>
                <w:bCs/>
                <w:color w:val="000000"/>
                <w:kern w:val="0"/>
                <w:sz w:val="20"/>
                <w:szCs w:val="24"/>
              </w:rPr>
              <w:t>参见前文要求</w:t>
            </w:r>
          </w:p>
        </w:tc>
      </w:tr>
      <w:tr>
        <w:tblPrEx>
          <w:tblW w:w="8310" w:type="dxa"/>
          <w:jc w:val="center"/>
          <w:tblLayout w:type="fixed"/>
          <w:tblCellMar>
            <w:top w:w="0" w:type="dxa"/>
            <w:left w:w="108" w:type="dxa"/>
            <w:bottom w:w="0" w:type="dxa"/>
            <w:right w:w="108" w:type="dxa"/>
          </w:tblCellMar>
        </w:tblPrEx>
        <w:trPr>
          <w:trHeight w:val="661"/>
          <w:tblHeader/>
          <w:jc w:val="center"/>
        </w:trPr>
        <w:tc>
          <w:tcPr>
            <w:tcW w:w="704" w:type="dxa"/>
            <w:shd w:val="clear" w:color="auto" w:fill="auto"/>
            <w:vAlign w:val="center"/>
          </w:tcPr>
          <w:p>
            <w:pPr>
              <w:pStyle w:val="ListParagraph"/>
              <w:widowControl/>
              <w:numPr>
                <w:ilvl w:val="0"/>
                <w:numId w:val="10"/>
              </w:numPr>
              <w:ind w:firstLineChars="0"/>
              <w:jc w:val="center"/>
              <w:rPr>
                <w:rFonts w:ascii="宋体" w:hAnsi="宋体" w:cs="宋体"/>
                <w:kern w:val="0"/>
                <w:sz w:val="20"/>
                <w:szCs w:val="24"/>
              </w:rPr>
            </w:pPr>
          </w:p>
        </w:tc>
        <w:tc>
          <w:tcPr>
            <w:tcW w:w="1134" w:type="dxa"/>
            <w:shd w:val="clear" w:color="auto" w:fill="auto"/>
            <w:vAlign w:val="center"/>
          </w:tcPr>
          <w:p>
            <w:pPr>
              <w:widowControl/>
              <w:jc w:val="center"/>
              <w:rPr>
                <w:rFonts w:ascii="宋体" w:hAnsi="宋体" w:cs="宋体"/>
                <w:kern w:val="0"/>
                <w:sz w:val="20"/>
              </w:rPr>
            </w:pPr>
            <w:r>
              <w:rPr>
                <w:rFonts w:ascii="宋体" w:hAnsi="宋体" w:cs="宋体" w:hint="eastAsia"/>
                <w:kern w:val="0"/>
                <w:sz w:val="20"/>
                <w:szCs w:val="24"/>
              </w:rPr>
              <w:t>补处理、仿真等应用</w:t>
            </w:r>
            <w:r>
              <w:rPr>
                <w:rFonts w:ascii="宋体" w:hAnsi="宋体" w:cs="宋体"/>
                <w:kern w:val="0"/>
                <w:sz w:val="20"/>
                <w:szCs w:val="24"/>
              </w:rPr>
              <w:t>UNIX服务器</w:t>
            </w:r>
          </w:p>
        </w:tc>
        <w:tc>
          <w:tcPr>
            <w:tcW w:w="1353" w:type="dxa"/>
            <w:shd w:val="clear" w:color="auto" w:fill="auto"/>
            <w:vAlign w:val="center"/>
          </w:tcPr>
          <w:p>
            <w:pPr>
              <w:widowControl/>
              <w:jc w:val="center"/>
              <w:rPr>
                <w:rFonts w:ascii="宋体" w:hAnsi="宋体" w:cs="宋体"/>
                <w:kern w:val="0"/>
                <w:sz w:val="20"/>
              </w:rPr>
            </w:pPr>
            <w:r>
              <w:rPr>
                <w:rFonts w:ascii="宋体" w:hAnsi="宋体" w:cs="宋体" w:hint="eastAsia"/>
                <w:kern w:val="0"/>
                <w:sz w:val="20"/>
                <w:szCs w:val="24"/>
              </w:rPr>
              <w:t>新云东方</w:t>
            </w:r>
            <w:r>
              <w:rPr>
                <w:rFonts w:ascii="宋体" w:hAnsi="宋体" w:cs="宋体"/>
                <w:kern w:val="0"/>
                <w:sz w:val="20"/>
                <w:szCs w:val="24"/>
              </w:rPr>
              <w:t>NA7844</w:t>
            </w:r>
            <w:r>
              <w:rPr>
                <w:rFonts w:ascii="宋体" w:hAnsi="宋体" w:cs="宋体" w:hint="eastAsia"/>
                <w:kern w:val="0"/>
                <w:sz w:val="20"/>
                <w:szCs w:val="24"/>
              </w:rPr>
              <w:t>（2分区配置、3分区配置）</w:t>
            </w:r>
          </w:p>
        </w:tc>
        <w:tc>
          <w:tcPr>
            <w:tcW w:w="915" w:type="dxa"/>
            <w:shd w:val="clear" w:color="auto" w:fill="auto"/>
            <w:vAlign w:val="center"/>
          </w:tcPr>
          <w:p>
            <w:pPr>
              <w:widowControl/>
              <w:jc w:val="center"/>
              <w:rPr>
                <w:color w:val="000000"/>
                <w:sz w:val="18"/>
                <w:szCs w:val="18"/>
              </w:rPr>
            </w:pPr>
            <w:r>
              <w:rPr>
                <w:color w:val="000000"/>
                <w:sz w:val="18"/>
                <w:szCs w:val="18"/>
              </w:rPr>
              <w:t>10</w:t>
            </w:r>
            <w:r>
              <w:rPr>
                <w:rFonts w:hint="eastAsia"/>
                <w:color w:val="000000"/>
                <w:sz w:val="18"/>
                <w:szCs w:val="18"/>
              </w:rPr>
              <w:t>（2分区8台，3分区2台）</w:t>
            </w:r>
          </w:p>
        </w:tc>
        <w:tc>
          <w:tcPr>
            <w:tcW w:w="2693" w:type="dxa"/>
          </w:tcPr>
          <w:p>
            <w:pPr>
              <w:widowControl/>
              <w:jc w:val="center"/>
              <w:rPr>
                <w:color w:val="000000"/>
                <w:sz w:val="18"/>
                <w:szCs w:val="18"/>
              </w:rPr>
            </w:pPr>
            <w:r>
              <w:rPr>
                <w:color w:val="000000"/>
                <w:sz w:val="18"/>
                <w:szCs w:val="18"/>
              </w:rPr>
              <w:t>68FE0DW</w:t>
            </w:r>
          </w:p>
          <w:p>
            <w:pPr>
              <w:widowControl/>
              <w:jc w:val="center"/>
              <w:rPr>
                <w:color w:val="000000"/>
                <w:sz w:val="18"/>
                <w:szCs w:val="18"/>
              </w:rPr>
            </w:pPr>
            <w:r>
              <w:rPr>
                <w:color w:val="000000"/>
                <w:sz w:val="18"/>
                <w:szCs w:val="18"/>
              </w:rPr>
              <w:t>68FE0EW</w:t>
            </w:r>
          </w:p>
          <w:p>
            <w:pPr>
              <w:widowControl/>
              <w:jc w:val="center"/>
              <w:rPr>
                <w:color w:val="000000"/>
                <w:sz w:val="18"/>
                <w:szCs w:val="18"/>
              </w:rPr>
            </w:pPr>
            <w:r>
              <w:rPr>
                <w:color w:val="000000"/>
                <w:sz w:val="18"/>
                <w:szCs w:val="18"/>
              </w:rPr>
              <w:t>68FE0FW</w:t>
            </w:r>
          </w:p>
          <w:p>
            <w:pPr>
              <w:widowControl/>
              <w:jc w:val="center"/>
              <w:rPr>
                <w:color w:val="000000"/>
                <w:sz w:val="18"/>
                <w:szCs w:val="18"/>
              </w:rPr>
            </w:pPr>
            <w:r>
              <w:rPr>
                <w:color w:val="000000"/>
                <w:sz w:val="18"/>
                <w:szCs w:val="18"/>
              </w:rPr>
              <w:t>68FE22W</w:t>
            </w:r>
          </w:p>
          <w:p>
            <w:pPr>
              <w:widowControl/>
              <w:jc w:val="center"/>
              <w:rPr>
                <w:color w:val="000000"/>
                <w:sz w:val="18"/>
                <w:szCs w:val="18"/>
              </w:rPr>
            </w:pPr>
            <w:r>
              <w:rPr>
                <w:color w:val="000000"/>
                <w:sz w:val="18"/>
                <w:szCs w:val="18"/>
              </w:rPr>
              <w:t>68FE23W</w:t>
            </w:r>
          </w:p>
          <w:p>
            <w:pPr>
              <w:widowControl/>
              <w:jc w:val="center"/>
              <w:rPr>
                <w:color w:val="000000"/>
                <w:sz w:val="18"/>
                <w:szCs w:val="18"/>
              </w:rPr>
            </w:pPr>
            <w:r>
              <w:rPr>
                <w:color w:val="000000"/>
                <w:sz w:val="18"/>
                <w:szCs w:val="18"/>
              </w:rPr>
              <w:t>68FE24W</w:t>
            </w:r>
          </w:p>
          <w:p>
            <w:pPr>
              <w:widowControl/>
              <w:jc w:val="center"/>
              <w:rPr>
                <w:color w:val="000000"/>
                <w:sz w:val="18"/>
                <w:szCs w:val="18"/>
              </w:rPr>
            </w:pPr>
            <w:r>
              <w:rPr>
                <w:color w:val="000000"/>
                <w:sz w:val="18"/>
                <w:szCs w:val="18"/>
              </w:rPr>
              <w:t>68FE25W</w:t>
            </w:r>
          </w:p>
          <w:p>
            <w:pPr>
              <w:widowControl/>
              <w:jc w:val="center"/>
              <w:rPr>
                <w:color w:val="000000"/>
                <w:sz w:val="18"/>
                <w:szCs w:val="18"/>
              </w:rPr>
            </w:pPr>
            <w:r>
              <w:rPr>
                <w:color w:val="000000"/>
                <w:sz w:val="18"/>
                <w:szCs w:val="18"/>
              </w:rPr>
              <w:t>68FE0CW</w:t>
            </w:r>
          </w:p>
          <w:p>
            <w:pPr>
              <w:widowControl/>
              <w:jc w:val="center"/>
              <w:rPr>
                <w:color w:val="000000"/>
                <w:sz w:val="18"/>
                <w:szCs w:val="18"/>
              </w:rPr>
            </w:pPr>
            <w:r>
              <w:rPr>
                <w:color w:val="000000"/>
                <w:sz w:val="18"/>
                <w:szCs w:val="18"/>
              </w:rPr>
              <w:t>68FDEFW</w:t>
            </w:r>
          </w:p>
          <w:p>
            <w:pPr>
              <w:widowControl/>
              <w:jc w:val="center"/>
              <w:rPr>
                <w:color w:val="000000"/>
                <w:sz w:val="18"/>
                <w:szCs w:val="18"/>
              </w:rPr>
            </w:pPr>
            <w:r>
              <w:rPr>
                <w:color w:val="000000"/>
                <w:sz w:val="18"/>
                <w:szCs w:val="18"/>
              </w:rPr>
              <w:t>68FDEDW</w:t>
            </w:r>
          </w:p>
        </w:tc>
        <w:tc>
          <w:tcPr>
            <w:tcW w:w="1511" w:type="dxa"/>
          </w:tcPr>
          <w:p>
            <w:pPr>
              <w:widowControl/>
              <w:jc w:val="center"/>
              <w:rPr>
                <w:rFonts w:ascii="宋体" w:hAnsi="宋体" w:cs="宋体"/>
                <w:bCs/>
                <w:color w:val="000000"/>
                <w:kern w:val="0"/>
                <w:sz w:val="20"/>
              </w:rPr>
            </w:pPr>
            <w:r>
              <w:rPr>
                <w:rFonts w:ascii="宋体" w:hAnsi="宋体" w:cs="宋体" w:hint="eastAsia"/>
                <w:bCs/>
                <w:color w:val="000000"/>
                <w:kern w:val="0"/>
                <w:sz w:val="20"/>
                <w:szCs w:val="24"/>
              </w:rPr>
              <w:t>参见前文要求</w:t>
            </w:r>
          </w:p>
        </w:tc>
      </w:tr>
      <w:tr>
        <w:tblPrEx>
          <w:tblW w:w="8310" w:type="dxa"/>
          <w:jc w:val="center"/>
          <w:tblLayout w:type="fixed"/>
          <w:tblCellMar>
            <w:top w:w="0" w:type="dxa"/>
            <w:left w:w="108" w:type="dxa"/>
            <w:bottom w:w="0" w:type="dxa"/>
            <w:right w:w="108" w:type="dxa"/>
          </w:tblCellMar>
        </w:tblPrEx>
        <w:trPr>
          <w:trHeight w:val="661"/>
          <w:tblHeader/>
          <w:jc w:val="center"/>
        </w:trPr>
        <w:tc>
          <w:tcPr>
            <w:tcW w:w="704" w:type="dxa"/>
            <w:shd w:val="clear" w:color="auto" w:fill="auto"/>
            <w:vAlign w:val="center"/>
          </w:tcPr>
          <w:p>
            <w:pPr>
              <w:pStyle w:val="ListParagraph"/>
              <w:widowControl/>
              <w:numPr>
                <w:ilvl w:val="0"/>
                <w:numId w:val="10"/>
              </w:numPr>
              <w:ind w:firstLineChars="0"/>
              <w:jc w:val="center"/>
              <w:rPr>
                <w:rFonts w:ascii="宋体" w:hAnsi="宋体" w:cs="宋体"/>
                <w:kern w:val="0"/>
                <w:sz w:val="20"/>
                <w:szCs w:val="24"/>
              </w:rPr>
            </w:pPr>
          </w:p>
        </w:tc>
        <w:tc>
          <w:tcPr>
            <w:tcW w:w="1134" w:type="dxa"/>
            <w:shd w:val="clear" w:color="auto" w:fill="auto"/>
            <w:vAlign w:val="center"/>
          </w:tcPr>
          <w:p>
            <w:pPr>
              <w:widowControl/>
              <w:jc w:val="center"/>
              <w:rPr>
                <w:rFonts w:ascii="宋体" w:hAnsi="宋体" w:cs="宋体"/>
                <w:kern w:val="0"/>
                <w:sz w:val="20"/>
              </w:rPr>
            </w:pPr>
            <w:r>
              <w:rPr>
                <w:rFonts w:ascii="宋体" w:hAnsi="宋体" w:cs="宋体" w:hint="eastAsia"/>
                <w:kern w:val="0"/>
                <w:sz w:val="20"/>
                <w:szCs w:val="24"/>
              </w:rPr>
              <w:t>运控、数据管理等应用</w:t>
            </w:r>
            <w:r>
              <w:rPr>
                <w:rFonts w:ascii="宋体" w:hAnsi="宋体" w:cs="宋体"/>
                <w:kern w:val="0"/>
                <w:sz w:val="20"/>
                <w:szCs w:val="24"/>
              </w:rPr>
              <w:t>UNIX服务器</w:t>
            </w:r>
          </w:p>
        </w:tc>
        <w:tc>
          <w:tcPr>
            <w:tcW w:w="1353" w:type="dxa"/>
            <w:shd w:val="clear" w:color="auto" w:fill="auto"/>
            <w:vAlign w:val="center"/>
          </w:tcPr>
          <w:p>
            <w:pPr>
              <w:widowControl/>
              <w:jc w:val="center"/>
              <w:rPr>
                <w:rFonts w:ascii="宋体" w:hAnsi="宋体" w:cs="宋体"/>
                <w:kern w:val="0"/>
                <w:sz w:val="20"/>
              </w:rPr>
            </w:pPr>
            <w:r>
              <w:rPr>
                <w:rFonts w:ascii="宋体" w:hAnsi="宋体" w:cs="宋体" w:hint="eastAsia"/>
                <w:kern w:val="0"/>
                <w:sz w:val="20"/>
                <w:szCs w:val="24"/>
              </w:rPr>
              <w:t>新云东方</w:t>
            </w:r>
            <w:r>
              <w:rPr>
                <w:rFonts w:ascii="宋体" w:hAnsi="宋体" w:cs="宋体"/>
                <w:kern w:val="0"/>
                <w:sz w:val="20"/>
                <w:szCs w:val="24"/>
              </w:rPr>
              <w:t>NA7824</w:t>
            </w:r>
            <w:r>
              <w:rPr>
                <w:rFonts w:ascii="宋体" w:hAnsi="宋体" w:cs="宋体" w:hint="eastAsia"/>
                <w:kern w:val="0"/>
                <w:sz w:val="20"/>
                <w:szCs w:val="24"/>
              </w:rPr>
              <w:t>（2分区配置）</w:t>
            </w:r>
          </w:p>
        </w:tc>
        <w:tc>
          <w:tcPr>
            <w:tcW w:w="915" w:type="dxa"/>
            <w:shd w:val="clear" w:color="auto" w:fill="auto"/>
            <w:vAlign w:val="center"/>
          </w:tcPr>
          <w:p>
            <w:pPr>
              <w:widowControl/>
              <w:jc w:val="center"/>
              <w:rPr>
                <w:color w:val="000000"/>
                <w:sz w:val="18"/>
                <w:szCs w:val="18"/>
              </w:rPr>
            </w:pPr>
            <w:r>
              <w:rPr>
                <w:color w:val="000000"/>
                <w:sz w:val="18"/>
                <w:szCs w:val="18"/>
              </w:rPr>
              <w:t>6</w:t>
            </w:r>
          </w:p>
        </w:tc>
        <w:tc>
          <w:tcPr>
            <w:tcW w:w="2693" w:type="dxa"/>
          </w:tcPr>
          <w:p>
            <w:pPr>
              <w:widowControl/>
              <w:jc w:val="center"/>
              <w:rPr>
                <w:color w:val="000000"/>
                <w:sz w:val="18"/>
                <w:szCs w:val="18"/>
              </w:rPr>
            </w:pPr>
            <w:r>
              <w:rPr>
                <w:color w:val="000000"/>
                <w:sz w:val="18"/>
                <w:szCs w:val="18"/>
              </w:rPr>
              <w:t>68FC7BW</w:t>
            </w:r>
          </w:p>
          <w:p>
            <w:pPr>
              <w:widowControl/>
              <w:jc w:val="center"/>
              <w:rPr>
                <w:color w:val="000000"/>
                <w:sz w:val="18"/>
                <w:szCs w:val="18"/>
              </w:rPr>
            </w:pPr>
            <w:r>
              <w:rPr>
                <w:color w:val="000000"/>
                <w:sz w:val="18"/>
                <w:szCs w:val="18"/>
              </w:rPr>
              <w:t>68FE8AW</w:t>
            </w:r>
          </w:p>
          <w:p>
            <w:pPr>
              <w:widowControl/>
              <w:jc w:val="center"/>
              <w:rPr>
                <w:color w:val="000000"/>
                <w:sz w:val="18"/>
                <w:szCs w:val="18"/>
              </w:rPr>
            </w:pPr>
            <w:r>
              <w:rPr>
                <w:color w:val="000000"/>
                <w:sz w:val="18"/>
                <w:szCs w:val="18"/>
              </w:rPr>
              <w:t>68FE8BW</w:t>
            </w:r>
          </w:p>
          <w:p>
            <w:pPr>
              <w:widowControl/>
              <w:jc w:val="center"/>
              <w:rPr>
                <w:color w:val="000000"/>
                <w:sz w:val="18"/>
                <w:szCs w:val="18"/>
              </w:rPr>
            </w:pPr>
            <w:r>
              <w:rPr>
                <w:color w:val="000000"/>
                <w:sz w:val="18"/>
                <w:szCs w:val="18"/>
              </w:rPr>
              <w:t>68FC77W</w:t>
            </w:r>
          </w:p>
          <w:p>
            <w:pPr>
              <w:widowControl/>
              <w:jc w:val="center"/>
              <w:rPr>
                <w:color w:val="000000"/>
                <w:sz w:val="18"/>
                <w:szCs w:val="18"/>
              </w:rPr>
            </w:pPr>
            <w:r>
              <w:rPr>
                <w:color w:val="000000"/>
                <w:sz w:val="18"/>
                <w:szCs w:val="18"/>
              </w:rPr>
              <w:t>68FC78W</w:t>
            </w:r>
          </w:p>
          <w:p>
            <w:pPr>
              <w:widowControl/>
              <w:jc w:val="center"/>
              <w:rPr>
                <w:color w:val="000000"/>
                <w:sz w:val="18"/>
                <w:szCs w:val="18"/>
              </w:rPr>
            </w:pPr>
            <w:r>
              <w:rPr>
                <w:color w:val="000000"/>
                <w:sz w:val="18"/>
                <w:szCs w:val="18"/>
              </w:rPr>
              <w:t>68FE89W</w:t>
            </w:r>
          </w:p>
        </w:tc>
        <w:tc>
          <w:tcPr>
            <w:tcW w:w="1511" w:type="dxa"/>
          </w:tcPr>
          <w:p>
            <w:pPr>
              <w:widowControl/>
              <w:jc w:val="center"/>
              <w:rPr>
                <w:rFonts w:ascii="宋体" w:hAnsi="宋体" w:cs="宋体"/>
                <w:bCs/>
                <w:color w:val="000000"/>
                <w:kern w:val="0"/>
                <w:sz w:val="20"/>
              </w:rPr>
            </w:pPr>
            <w:r>
              <w:rPr>
                <w:rFonts w:ascii="宋体" w:hAnsi="宋体" w:cs="宋体" w:hint="eastAsia"/>
                <w:bCs/>
                <w:color w:val="000000"/>
                <w:kern w:val="0"/>
                <w:sz w:val="20"/>
                <w:szCs w:val="24"/>
              </w:rPr>
              <w:t>参见前文要求</w:t>
            </w:r>
          </w:p>
        </w:tc>
      </w:tr>
      <w:tr>
        <w:tblPrEx>
          <w:tblW w:w="8310" w:type="dxa"/>
          <w:jc w:val="center"/>
          <w:tblLayout w:type="fixed"/>
          <w:tblCellMar>
            <w:top w:w="0" w:type="dxa"/>
            <w:left w:w="108" w:type="dxa"/>
            <w:bottom w:w="0" w:type="dxa"/>
            <w:right w:w="108" w:type="dxa"/>
          </w:tblCellMar>
        </w:tblPrEx>
        <w:trPr>
          <w:trHeight w:val="661"/>
          <w:tblHeader/>
          <w:jc w:val="center"/>
        </w:trPr>
        <w:tc>
          <w:tcPr>
            <w:tcW w:w="704" w:type="dxa"/>
            <w:shd w:val="clear" w:color="auto" w:fill="auto"/>
            <w:vAlign w:val="center"/>
          </w:tcPr>
          <w:p>
            <w:pPr>
              <w:pStyle w:val="ListParagraph"/>
              <w:widowControl/>
              <w:numPr>
                <w:ilvl w:val="0"/>
                <w:numId w:val="10"/>
              </w:numPr>
              <w:ind w:firstLineChars="0"/>
              <w:jc w:val="center"/>
              <w:rPr>
                <w:rFonts w:ascii="宋体" w:hAnsi="宋体" w:cs="宋体"/>
                <w:kern w:val="0"/>
                <w:sz w:val="20"/>
                <w:szCs w:val="24"/>
              </w:rPr>
            </w:pPr>
          </w:p>
        </w:tc>
        <w:tc>
          <w:tcPr>
            <w:tcW w:w="1134" w:type="dxa"/>
            <w:shd w:val="clear" w:color="auto" w:fill="auto"/>
            <w:vAlign w:val="center"/>
          </w:tcPr>
          <w:p>
            <w:pPr>
              <w:widowControl/>
              <w:jc w:val="center"/>
              <w:rPr>
                <w:rFonts w:ascii="宋体" w:hAnsi="宋体" w:cs="宋体"/>
                <w:kern w:val="0"/>
                <w:sz w:val="20"/>
              </w:rPr>
            </w:pPr>
            <w:r>
              <w:rPr>
                <w:rFonts w:ascii="宋体" w:hAnsi="宋体" w:cs="宋体"/>
                <w:kern w:val="0"/>
                <w:sz w:val="20"/>
                <w:szCs w:val="24"/>
              </w:rPr>
              <w:t>Unix服务器配套的多机文件共享软件和负载管理等软件</w:t>
            </w:r>
          </w:p>
        </w:tc>
        <w:tc>
          <w:tcPr>
            <w:tcW w:w="1353" w:type="dxa"/>
            <w:shd w:val="clear" w:color="auto" w:fill="auto"/>
            <w:vAlign w:val="center"/>
          </w:tcPr>
          <w:p>
            <w:pPr>
              <w:widowControl/>
              <w:jc w:val="center"/>
              <w:rPr>
                <w:rFonts w:ascii="宋体" w:hAnsi="宋体" w:cs="宋体"/>
                <w:kern w:val="0"/>
                <w:sz w:val="20"/>
              </w:rPr>
            </w:pPr>
            <w:r>
              <w:rPr>
                <w:rFonts w:ascii="宋体" w:hAnsi="宋体" w:cs="宋体" w:hint="eastAsia"/>
                <w:kern w:val="0"/>
                <w:sz w:val="20"/>
                <w:szCs w:val="24"/>
              </w:rPr>
              <w:t>共享文件系统软件</w:t>
            </w:r>
          </w:p>
        </w:tc>
        <w:tc>
          <w:tcPr>
            <w:tcW w:w="915" w:type="dxa"/>
            <w:shd w:val="clear" w:color="auto" w:fill="auto"/>
            <w:vAlign w:val="center"/>
          </w:tcPr>
          <w:p>
            <w:pPr>
              <w:widowControl/>
              <w:jc w:val="center"/>
              <w:rPr>
                <w:color w:val="000000"/>
                <w:sz w:val="18"/>
                <w:szCs w:val="18"/>
              </w:rPr>
            </w:pPr>
            <w:r>
              <w:rPr>
                <w:rFonts w:hint="eastAsia"/>
                <w:color w:val="000000"/>
                <w:sz w:val="18"/>
                <w:szCs w:val="18"/>
              </w:rPr>
              <w:t>1</w:t>
            </w:r>
          </w:p>
        </w:tc>
        <w:tc>
          <w:tcPr>
            <w:tcW w:w="2693" w:type="dxa"/>
          </w:tcPr>
          <w:p>
            <w:pPr>
              <w:widowControl/>
              <w:jc w:val="center"/>
              <w:rPr>
                <w:color w:val="000000"/>
                <w:sz w:val="18"/>
                <w:szCs w:val="18"/>
              </w:rPr>
            </w:pPr>
            <w:r>
              <w:rPr>
                <w:rFonts w:ascii="宋体" w:eastAsia="宋体" w:hAnsi="宋体" w:cs="宋体" w:hint="eastAsia"/>
                <w:kern w:val="0"/>
                <w:sz w:val="20"/>
                <w:szCs w:val="24"/>
              </w:rPr>
              <w:t>无序列号</w:t>
            </w:r>
          </w:p>
        </w:tc>
        <w:tc>
          <w:tcPr>
            <w:tcW w:w="1511" w:type="dxa"/>
          </w:tcPr>
          <w:p>
            <w:pPr>
              <w:widowControl/>
              <w:jc w:val="center"/>
              <w:rPr>
                <w:rFonts w:ascii="宋体" w:hAnsi="宋体" w:cs="宋体"/>
                <w:bCs/>
                <w:color w:val="000000"/>
                <w:kern w:val="0"/>
                <w:sz w:val="20"/>
              </w:rPr>
            </w:pPr>
            <w:r>
              <w:rPr>
                <w:rFonts w:ascii="宋体" w:hAnsi="宋体" w:cs="宋体" w:hint="eastAsia"/>
                <w:bCs/>
                <w:color w:val="000000"/>
                <w:kern w:val="0"/>
                <w:sz w:val="20"/>
                <w:szCs w:val="24"/>
              </w:rPr>
              <w:t>参见前文要求</w:t>
            </w:r>
          </w:p>
        </w:tc>
      </w:tr>
      <w:tr>
        <w:tblPrEx>
          <w:tblW w:w="8310" w:type="dxa"/>
          <w:jc w:val="center"/>
          <w:tblLayout w:type="fixed"/>
          <w:tblCellMar>
            <w:top w:w="0" w:type="dxa"/>
            <w:left w:w="108" w:type="dxa"/>
            <w:bottom w:w="0" w:type="dxa"/>
            <w:right w:w="108" w:type="dxa"/>
          </w:tblCellMar>
        </w:tblPrEx>
        <w:trPr>
          <w:trHeight w:val="661"/>
          <w:tblHeader/>
          <w:jc w:val="center"/>
        </w:trPr>
        <w:tc>
          <w:tcPr>
            <w:tcW w:w="704" w:type="dxa"/>
            <w:shd w:val="clear" w:color="auto" w:fill="auto"/>
            <w:vAlign w:val="center"/>
          </w:tcPr>
          <w:p>
            <w:pPr>
              <w:pStyle w:val="ListParagraph"/>
              <w:widowControl/>
              <w:numPr>
                <w:ilvl w:val="0"/>
                <w:numId w:val="10"/>
              </w:numPr>
              <w:ind w:firstLineChars="0"/>
              <w:jc w:val="center"/>
              <w:rPr>
                <w:rFonts w:ascii="宋体" w:hAnsi="宋体" w:cs="宋体"/>
                <w:kern w:val="0"/>
                <w:sz w:val="20"/>
                <w:szCs w:val="24"/>
              </w:rPr>
            </w:pPr>
          </w:p>
        </w:tc>
        <w:tc>
          <w:tcPr>
            <w:tcW w:w="1134" w:type="dxa"/>
            <w:shd w:val="clear" w:color="auto" w:fill="auto"/>
            <w:vAlign w:val="center"/>
          </w:tcPr>
          <w:p>
            <w:pPr>
              <w:widowControl/>
              <w:jc w:val="center"/>
              <w:rPr>
                <w:rFonts w:ascii="宋体" w:hAnsi="宋体" w:cs="宋体"/>
                <w:kern w:val="0"/>
                <w:sz w:val="20"/>
              </w:rPr>
            </w:pPr>
            <w:r>
              <w:rPr>
                <w:rFonts w:ascii="宋体" w:hAnsi="宋体" w:cs="宋体" w:hint="eastAsia"/>
                <w:kern w:val="0"/>
                <w:sz w:val="20"/>
                <w:szCs w:val="24"/>
              </w:rPr>
              <w:t>IBM存储</w:t>
            </w:r>
          </w:p>
        </w:tc>
        <w:tc>
          <w:tcPr>
            <w:tcW w:w="1353" w:type="dxa"/>
            <w:shd w:val="clear" w:color="auto" w:fill="auto"/>
            <w:vAlign w:val="center"/>
          </w:tcPr>
          <w:p>
            <w:pPr>
              <w:widowControl/>
              <w:jc w:val="center"/>
              <w:rPr>
                <w:rFonts w:ascii="宋体" w:hAnsi="宋体" w:cs="宋体"/>
                <w:kern w:val="0"/>
                <w:sz w:val="20"/>
              </w:rPr>
            </w:pPr>
            <w:r>
              <w:rPr>
                <w:rFonts w:ascii="宋体" w:hAnsi="宋体" w:cs="宋体" w:hint="eastAsia"/>
                <w:kern w:val="0"/>
                <w:sz w:val="20"/>
                <w:szCs w:val="24"/>
              </w:rPr>
              <w:t>小机配套的IBM存储</w:t>
            </w:r>
          </w:p>
        </w:tc>
        <w:tc>
          <w:tcPr>
            <w:tcW w:w="915" w:type="dxa"/>
            <w:shd w:val="clear" w:color="auto" w:fill="auto"/>
            <w:vAlign w:val="center"/>
          </w:tcPr>
          <w:p>
            <w:pPr>
              <w:widowControl/>
              <w:jc w:val="center"/>
              <w:rPr>
                <w:color w:val="000000"/>
                <w:sz w:val="18"/>
                <w:szCs w:val="18"/>
              </w:rPr>
            </w:pPr>
            <w:r>
              <w:rPr>
                <w:rFonts w:hint="eastAsia"/>
                <w:color w:val="000000"/>
                <w:sz w:val="18"/>
                <w:szCs w:val="18"/>
              </w:rPr>
              <w:t>1</w:t>
            </w:r>
          </w:p>
        </w:tc>
        <w:tc>
          <w:tcPr>
            <w:tcW w:w="2693" w:type="dxa"/>
          </w:tcPr>
          <w:p>
            <w:pPr>
              <w:widowControl/>
              <w:jc w:val="center"/>
              <w:rPr>
                <w:color w:val="000000"/>
                <w:sz w:val="18"/>
                <w:szCs w:val="18"/>
              </w:rPr>
            </w:pPr>
            <w:r>
              <w:rPr>
                <w:rFonts w:hint="eastAsia"/>
                <w:color w:val="000000"/>
                <w:sz w:val="18"/>
                <w:szCs w:val="18"/>
              </w:rPr>
              <w:t>无</w:t>
            </w:r>
            <w:r>
              <w:rPr>
                <w:rFonts w:ascii="宋体" w:eastAsia="宋体" w:hAnsi="宋体" w:cs="宋体" w:hint="eastAsia"/>
                <w:kern w:val="0"/>
                <w:sz w:val="20"/>
                <w:szCs w:val="24"/>
              </w:rPr>
              <w:t>序列号</w:t>
            </w:r>
          </w:p>
        </w:tc>
        <w:tc>
          <w:tcPr>
            <w:tcW w:w="1511" w:type="dxa"/>
          </w:tcPr>
          <w:p>
            <w:pPr>
              <w:widowControl/>
              <w:jc w:val="center"/>
              <w:rPr>
                <w:rFonts w:ascii="宋体" w:hAnsi="宋体" w:cs="宋体"/>
                <w:bCs/>
                <w:color w:val="000000"/>
                <w:kern w:val="0"/>
                <w:sz w:val="20"/>
              </w:rPr>
            </w:pPr>
            <w:r>
              <w:rPr>
                <w:rFonts w:ascii="宋体" w:hAnsi="宋体" w:cs="宋体" w:hint="eastAsia"/>
                <w:bCs/>
                <w:color w:val="000000"/>
                <w:kern w:val="0"/>
                <w:sz w:val="20"/>
                <w:szCs w:val="24"/>
              </w:rPr>
              <w:t>参见前文要求</w:t>
            </w:r>
          </w:p>
        </w:tc>
      </w:tr>
    </w:tbl>
    <w:p>
      <w:pPr>
        <w:sectPr>
          <w:pgSz w:w="11906" w:h="16838"/>
          <w:pgMar w:top="1440" w:right="1800" w:bottom="1440" w:left="1800" w:header="851" w:footer="992" w:gutter="0"/>
          <w:pgNumType w:start="1"/>
          <w:cols w:num="1" w:space="425"/>
          <w:docGrid w:type="lines" w:linePitch="312" w:charSpace="0"/>
        </w:sectPr>
      </w:pPr>
    </w:p>
    <w:p>
      <w:pPr>
        <w:pStyle w:val="Heading3"/>
        <w:numPr>
          <w:ilvl w:val="0"/>
          <w:numId w:val="0"/>
        </w:numPr>
        <w:rPr>
          <w:rFonts w:ascii="宋体" w:eastAsia="宋体" w:hAnsi="宋体"/>
          <w:szCs w:val="21"/>
        </w:rPr>
      </w:pPr>
      <w:r>
        <w:rPr>
          <w:rFonts w:ascii="宋体" w:eastAsia="宋体" w:hAnsi="宋体"/>
          <w:szCs w:val="21"/>
        </w:rPr>
        <w:t xml:space="preserve"> </w:t>
      </w:r>
      <w:bookmarkStart w:id="65" w:name="_Toc169020982"/>
      <w:r>
        <w:rPr>
          <w:rFonts w:ascii="宋体" w:eastAsia="宋体" w:hAnsi="宋体" w:hint="eastAsia"/>
          <w:szCs w:val="21"/>
        </w:rPr>
        <w:t>4.6FY</w:t>
      </w:r>
      <w:r>
        <w:rPr>
          <w:rFonts w:ascii="宋体" w:eastAsia="宋体" w:hAnsi="宋体"/>
          <w:szCs w:val="21"/>
        </w:rPr>
        <w:t>-4</w:t>
      </w:r>
      <w:r>
        <w:rPr>
          <w:rFonts w:ascii="宋体" w:eastAsia="宋体" w:hAnsi="宋体" w:hint="eastAsia"/>
          <w:szCs w:val="21"/>
        </w:rPr>
        <w:t>A</w:t>
      </w:r>
      <w:r>
        <w:rPr>
          <w:rFonts w:ascii="宋体" w:eastAsia="宋体" w:hAnsi="宋体"/>
          <w:szCs w:val="21"/>
        </w:rPr>
        <w:t xml:space="preserve"> </w:t>
      </w:r>
      <w:r>
        <w:rPr>
          <w:rFonts w:ascii="宋体" w:eastAsia="宋体" w:hAnsi="宋体" w:hint="eastAsia"/>
          <w:szCs w:val="21"/>
        </w:rPr>
        <w:t>UNIX小机</w:t>
      </w:r>
      <w:bookmarkEnd w:id="65"/>
    </w:p>
    <w:p/>
    <w:p>
      <w:pPr>
        <w:jc w:val="center"/>
      </w:pPr>
      <w:r>
        <w:t>表6</w:t>
      </w:r>
      <w:r>
        <w:rPr>
          <w:rFonts w:hint="eastAsia"/>
        </w:rPr>
        <w:t>：</w:t>
      </w:r>
      <w:r>
        <w:rPr>
          <w:rFonts w:ascii="宋体" w:eastAsia="宋体" w:hAnsi="宋体" w:hint="eastAsia"/>
          <w:szCs w:val="21"/>
        </w:rPr>
        <w:t>FY</w:t>
      </w:r>
      <w:r>
        <w:rPr>
          <w:rFonts w:ascii="宋体" w:eastAsia="宋体" w:hAnsi="宋体"/>
          <w:szCs w:val="21"/>
        </w:rPr>
        <w:t>4</w:t>
      </w:r>
      <w:r>
        <w:rPr>
          <w:rFonts w:ascii="宋体" w:eastAsia="宋体" w:hAnsi="宋体" w:hint="eastAsia"/>
          <w:szCs w:val="21"/>
        </w:rPr>
        <w:t>A</w:t>
      </w:r>
      <w:r>
        <w:rPr>
          <w:rFonts w:ascii="宋体" w:eastAsia="宋体" w:hAnsi="宋体"/>
          <w:szCs w:val="21"/>
        </w:rPr>
        <w:t xml:space="preserve"> </w:t>
      </w:r>
      <w:r>
        <w:rPr>
          <w:rFonts w:ascii="宋体" w:eastAsia="宋体" w:hAnsi="宋体" w:hint="eastAsia"/>
          <w:szCs w:val="21"/>
        </w:rPr>
        <w:t>UNIX小机</w:t>
      </w:r>
    </w:p>
    <w:tbl>
      <w:tblPr>
        <w:tblStyle w:val="TableNormal"/>
        <w:tblW w:w="8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4"/>
        <w:gridCol w:w="1134"/>
        <w:gridCol w:w="1353"/>
        <w:gridCol w:w="915"/>
        <w:gridCol w:w="2693"/>
        <w:gridCol w:w="1511"/>
      </w:tblGrid>
      <w:tr>
        <w:tblPrEx>
          <w:tblW w:w="8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20"/>
          <w:tblHeader/>
          <w:jc w:val="center"/>
        </w:trPr>
        <w:tc>
          <w:tcPr>
            <w:tcW w:w="704" w:type="dxa"/>
            <w:shd w:val="clear" w:color="auto" w:fill="auto"/>
            <w:vAlign w:val="center"/>
          </w:tcPr>
          <w:p>
            <w:r>
              <w:rPr>
                <w:rFonts w:hint="eastAsia"/>
              </w:rPr>
              <w:t>序号</w:t>
            </w:r>
          </w:p>
        </w:tc>
        <w:tc>
          <w:tcPr>
            <w:tcW w:w="1134" w:type="dxa"/>
            <w:shd w:val="clear" w:color="auto" w:fill="auto"/>
            <w:vAlign w:val="center"/>
          </w:tcPr>
          <w:p>
            <w:pPr>
              <w:widowControl/>
              <w:jc w:val="center"/>
              <w:rPr>
                <w:rFonts w:ascii="宋体" w:hAnsi="宋体" w:cs="宋体"/>
                <w:kern w:val="0"/>
                <w:sz w:val="20"/>
              </w:rPr>
            </w:pPr>
            <w:r>
              <w:rPr>
                <w:rFonts w:ascii="宋体" w:hAnsi="宋体" w:cs="宋体" w:hint="eastAsia"/>
                <w:kern w:val="0"/>
                <w:sz w:val="20"/>
                <w:szCs w:val="24"/>
              </w:rPr>
              <w:t>设备类型</w:t>
            </w:r>
          </w:p>
        </w:tc>
        <w:tc>
          <w:tcPr>
            <w:tcW w:w="1353" w:type="dxa"/>
            <w:shd w:val="clear" w:color="auto" w:fill="auto"/>
            <w:vAlign w:val="center"/>
          </w:tcPr>
          <w:p>
            <w:pPr>
              <w:widowControl/>
              <w:jc w:val="center"/>
              <w:rPr>
                <w:rFonts w:ascii="宋体" w:hAnsi="宋体" w:cs="宋体"/>
                <w:kern w:val="0"/>
                <w:sz w:val="20"/>
              </w:rPr>
            </w:pPr>
            <w:r>
              <w:rPr>
                <w:rFonts w:ascii="宋体" w:hAnsi="宋体" w:cs="宋体" w:hint="eastAsia"/>
                <w:kern w:val="0"/>
                <w:sz w:val="20"/>
                <w:szCs w:val="24"/>
              </w:rPr>
              <w:t>型号</w:t>
            </w:r>
          </w:p>
        </w:tc>
        <w:tc>
          <w:tcPr>
            <w:tcW w:w="915" w:type="dxa"/>
            <w:shd w:val="clear" w:color="auto" w:fill="auto"/>
            <w:vAlign w:val="center"/>
          </w:tcPr>
          <w:p>
            <w:pPr>
              <w:widowControl/>
              <w:jc w:val="center"/>
              <w:rPr>
                <w:color w:val="000000"/>
                <w:sz w:val="18"/>
                <w:szCs w:val="18"/>
              </w:rPr>
            </w:pPr>
            <w:r>
              <w:rPr>
                <w:rFonts w:hint="eastAsia"/>
                <w:color w:val="000000"/>
                <w:sz w:val="18"/>
                <w:szCs w:val="18"/>
              </w:rPr>
              <w:t>台套数</w:t>
            </w:r>
          </w:p>
        </w:tc>
        <w:tc>
          <w:tcPr>
            <w:tcW w:w="2693" w:type="dxa"/>
          </w:tcPr>
          <w:p>
            <w:pPr>
              <w:widowControl/>
              <w:jc w:val="center"/>
              <w:rPr>
                <w:color w:val="000000"/>
                <w:sz w:val="18"/>
                <w:szCs w:val="18"/>
              </w:rPr>
            </w:pPr>
            <w:r>
              <w:rPr>
                <w:rFonts w:hint="eastAsia"/>
                <w:color w:val="000000"/>
                <w:sz w:val="18"/>
                <w:szCs w:val="18"/>
              </w:rPr>
              <w:t>序列号备注</w:t>
            </w:r>
          </w:p>
        </w:tc>
        <w:tc>
          <w:tcPr>
            <w:tcW w:w="1511" w:type="dxa"/>
            <w:vAlign w:val="center"/>
          </w:tcPr>
          <w:p>
            <w:pPr>
              <w:widowControl/>
              <w:jc w:val="center"/>
              <w:rPr>
                <w:rFonts w:ascii="宋体" w:hAnsi="宋体" w:cs="宋体"/>
                <w:bCs/>
                <w:color w:val="000000"/>
                <w:kern w:val="0"/>
                <w:sz w:val="20"/>
              </w:rPr>
            </w:pPr>
            <w:r>
              <w:rPr>
                <w:rFonts w:ascii="宋体" w:hAnsi="宋体" w:cs="宋体" w:hint="eastAsia"/>
                <w:bCs/>
                <w:color w:val="000000"/>
                <w:kern w:val="0"/>
                <w:sz w:val="20"/>
                <w:szCs w:val="24"/>
              </w:rPr>
              <w:t>维保日期</w:t>
            </w:r>
          </w:p>
        </w:tc>
      </w:tr>
      <w:tr>
        <w:tblPrEx>
          <w:tblW w:w="8310" w:type="dxa"/>
          <w:jc w:val="center"/>
          <w:tblLayout w:type="fixed"/>
          <w:tblCellMar>
            <w:top w:w="0" w:type="dxa"/>
            <w:left w:w="108" w:type="dxa"/>
            <w:bottom w:w="0" w:type="dxa"/>
            <w:right w:w="108" w:type="dxa"/>
          </w:tblCellMar>
        </w:tblPrEx>
        <w:trPr>
          <w:trHeight w:val="661"/>
          <w:tblHeader/>
          <w:jc w:val="center"/>
        </w:trPr>
        <w:tc>
          <w:tcPr>
            <w:tcW w:w="704" w:type="dxa"/>
            <w:shd w:val="clear" w:color="auto" w:fill="auto"/>
            <w:vAlign w:val="center"/>
          </w:tcPr>
          <w:p>
            <w:pPr>
              <w:pStyle w:val="ListParagraph"/>
              <w:widowControl/>
              <w:numPr>
                <w:ilvl w:val="0"/>
                <w:numId w:val="11"/>
              </w:numPr>
              <w:ind w:firstLineChars="0"/>
              <w:jc w:val="center"/>
              <w:rPr>
                <w:rFonts w:ascii="宋体" w:hAnsi="宋体" w:cs="宋体"/>
                <w:kern w:val="0"/>
                <w:sz w:val="20"/>
                <w:szCs w:val="24"/>
              </w:rPr>
            </w:pPr>
          </w:p>
        </w:tc>
        <w:tc>
          <w:tcPr>
            <w:tcW w:w="1134" w:type="dxa"/>
            <w:shd w:val="clear" w:color="auto" w:fill="auto"/>
            <w:vAlign w:val="center"/>
          </w:tcPr>
          <w:p>
            <w:pPr>
              <w:widowControl/>
              <w:jc w:val="center"/>
              <w:rPr>
                <w:rFonts w:ascii="宋体" w:hAnsi="宋体" w:cs="宋体"/>
                <w:kern w:val="0"/>
                <w:sz w:val="20"/>
              </w:rPr>
            </w:pPr>
            <w:r>
              <w:rPr>
                <w:rFonts w:ascii="宋体" w:hAnsi="宋体" w:cs="宋体"/>
                <w:kern w:val="0"/>
                <w:sz w:val="20"/>
                <w:szCs w:val="24"/>
              </w:rPr>
              <w:t>UNIX服务器机群硬件设备</w:t>
            </w:r>
          </w:p>
        </w:tc>
        <w:tc>
          <w:tcPr>
            <w:tcW w:w="1353" w:type="dxa"/>
            <w:shd w:val="clear" w:color="auto" w:fill="auto"/>
            <w:vAlign w:val="center"/>
          </w:tcPr>
          <w:p>
            <w:pPr>
              <w:widowControl/>
              <w:jc w:val="center"/>
              <w:rPr>
                <w:rFonts w:ascii="宋体" w:hAnsi="宋体" w:cs="宋体"/>
                <w:kern w:val="0"/>
                <w:sz w:val="20"/>
              </w:rPr>
            </w:pPr>
            <w:r>
              <w:rPr>
                <w:rFonts w:ascii="宋体" w:hAnsi="宋体" w:cs="宋体" w:hint="eastAsia"/>
                <w:kern w:val="0"/>
                <w:sz w:val="20"/>
                <w:szCs w:val="24"/>
              </w:rPr>
              <w:t>新云东方</w:t>
            </w:r>
            <w:r>
              <w:rPr>
                <w:rFonts w:ascii="宋体" w:hAnsi="宋体" w:cs="宋体"/>
                <w:kern w:val="0"/>
                <w:sz w:val="20"/>
                <w:szCs w:val="24"/>
              </w:rPr>
              <w:t xml:space="preserve"> NA7844C 服务器及配套软件，操作系统， PowerHA </w:t>
            </w:r>
            <w:r>
              <w:rPr>
                <w:rFonts w:ascii="宋体" w:hAnsi="宋体" w:cs="宋体" w:hint="eastAsia"/>
                <w:kern w:val="0"/>
                <w:sz w:val="20"/>
                <w:szCs w:val="24"/>
              </w:rPr>
              <w:t>、</w:t>
            </w:r>
            <w:r>
              <w:rPr>
                <w:rFonts w:ascii="宋体" w:hAnsi="宋体" w:cs="宋体"/>
                <w:kern w:val="0"/>
                <w:sz w:val="20"/>
                <w:szCs w:val="24"/>
              </w:rPr>
              <w:t xml:space="preserve"> PowerVM ， PowerVC </w:t>
            </w:r>
            <w:r>
              <w:rPr>
                <w:rFonts w:ascii="宋体" w:hAnsi="宋体" w:cs="宋体" w:hint="eastAsia"/>
                <w:kern w:val="0"/>
                <w:sz w:val="20"/>
                <w:szCs w:val="24"/>
              </w:rPr>
              <w:t>、GPFS、作业调度、websphere</w:t>
            </w:r>
          </w:p>
        </w:tc>
        <w:tc>
          <w:tcPr>
            <w:tcW w:w="915" w:type="dxa"/>
            <w:shd w:val="clear" w:color="auto" w:fill="auto"/>
            <w:vAlign w:val="center"/>
          </w:tcPr>
          <w:p>
            <w:pPr>
              <w:widowControl/>
              <w:jc w:val="center"/>
              <w:rPr>
                <w:color w:val="000000"/>
                <w:sz w:val="18"/>
                <w:szCs w:val="18"/>
              </w:rPr>
            </w:pPr>
            <w:r>
              <w:rPr>
                <w:color w:val="000000"/>
                <w:sz w:val="18"/>
                <w:szCs w:val="18"/>
              </w:rPr>
              <w:t>17</w:t>
            </w:r>
          </w:p>
        </w:tc>
        <w:tc>
          <w:tcPr>
            <w:tcW w:w="2693" w:type="dxa"/>
          </w:tcPr>
          <w:p>
            <w:pPr>
              <w:widowControl/>
              <w:jc w:val="center"/>
              <w:rPr>
                <w:color w:val="000000"/>
                <w:sz w:val="18"/>
                <w:szCs w:val="18"/>
              </w:rPr>
            </w:pPr>
            <w:r>
              <w:rPr>
                <w:color w:val="000000"/>
                <w:sz w:val="18"/>
                <w:szCs w:val="18"/>
              </w:rPr>
              <w:t>683180X</w:t>
            </w:r>
          </w:p>
          <w:p>
            <w:pPr>
              <w:widowControl/>
              <w:jc w:val="center"/>
              <w:rPr>
                <w:color w:val="000000"/>
                <w:sz w:val="18"/>
                <w:szCs w:val="18"/>
              </w:rPr>
            </w:pPr>
            <w:r>
              <w:rPr>
                <w:color w:val="000000"/>
                <w:sz w:val="18"/>
                <w:szCs w:val="18"/>
              </w:rPr>
              <w:t>6831A3X</w:t>
            </w:r>
          </w:p>
          <w:p>
            <w:pPr>
              <w:widowControl/>
              <w:jc w:val="center"/>
              <w:rPr>
                <w:color w:val="000000"/>
                <w:sz w:val="18"/>
                <w:szCs w:val="18"/>
              </w:rPr>
            </w:pPr>
            <w:r>
              <w:rPr>
                <w:color w:val="000000"/>
                <w:sz w:val="18"/>
                <w:szCs w:val="18"/>
              </w:rPr>
              <w:t>68317CX</w:t>
            </w:r>
          </w:p>
          <w:p>
            <w:pPr>
              <w:widowControl/>
              <w:jc w:val="center"/>
              <w:rPr>
                <w:color w:val="000000"/>
                <w:sz w:val="18"/>
                <w:szCs w:val="18"/>
              </w:rPr>
            </w:pPr>
            <w:r>
              <w:rPr>
                <w:color w:val="000000"/>
                <w:sz w:val="18"/>
                <w:szCs w:val="18"/>
              </w:rPr>
              <w:t>68317DX</w:t>
            </w:r>
          </w:p>
          <w:p>
            <w:pPr>
              <w:widowControl/>
              <w:jc w:val="center"/>
              <w:rPr>
                <w:color w:val="000000"/>
                <w:sz w:val="18"/>
                <w:szCs w:val="18"/>
              </w:rPr>
            </w:pPr>
            <w:r>
              <w:rPr>
                <w:color w:val="000000"/>
                <w:sz w:val="18"/>
                <w:szCs w:val="18"/>
              </w:rPr>
              <w:t>68317EX</w:t>
            </w:r>
          </w:p>
          <w:p>
            <w:pPr>
              <w:widowControl/>
              <w:jc w:val="center"/>
              <w:rPr>
                <w:color w:val="000000"/>
                <w:sz w:val="18"/>
                <w:szCs w:val="18"/>
              </w:rPr>
            </w:pPr>
            <w:r>
              <w:rPr>
                <w:color w:val="000000"/>
                <w:sz w:val="18"/>
                <w:szCs w:val="18"/>
              </w:rPr>
              <w:t>6831A5X</w:t>
            </w:r>
          </w:p>
          <w:p>
            <w:pPr>
              <w:widowControl/>
              <w:jc w:val="center"/>
              <w:rPr>
                <w:color w:val="000000"/>
                <w:sz w:val="18"/>
                <w:szCs w:val="18"/>
              </w:rPr>
            </w:pPr>
            <w:r>
              <w:rPr>
                <w:color w:val="000000"/>
                <w:sz w:val="18"/>
                <w:szCs w:val="18"/>
              </w:rPr>
              <w:t>68319FX</w:t>
            </w:r>
          </w:p>
          <w:p>
            <w:pPr>
              <w:widowControl/>
              <w:jc w:val="center"/>
              <w:rPr>
                <w:color w:val="000000"/>
                <w:sz w:val="18"/>
                <w:szCs w:val="18"/>
              </w:rPr>
            </w:pPr>
            <w:r>
              <w:rPr>
                <w:color w:val="000000"/>
                <w:sz w:val="18"/>
                <w:szCs w:val="18"/>
              </w:rPr>
              <w:t>68317AX</w:t>
            </w:r>
          </w:p>
          <w:p>
            <w:pPr>
              <w:widowControl/>
              <w:jc w:val="center"/>
              <w:rPr>
                <w:color w:val="000000"/>
                <w:sz w:val="18"/>
                <w:szCs w:val="18"/>
              </w:rPr>
            </w:pPr>
            <w:r>
              <w:rPr>
                <w:color w:val="000000"/>
                <w:sz w:val="18"/>
                <w:szCs w:val="18"/>
              </w:rPr>
              <w:t>6831A4X</w:t>
            </w:r>
          </w:p>
          <w:p>
            <w:pPr>
              <w:widowControl/>
              <w:jc w:val="center"/>
              <w:rPr>
                <w:color w:val="000000"/>
                <w:sz w:val="18"/>
                <w:szCs w:val="18"/>
              </w:rPr>
            </w:pPr>
            <w:r>
              <w:rPr>
                <w:color w:val="000000"/>
                <w:sz w:val="18"/>
                <w:szCs w:val="18"/>
              </w:rPr>
              <w:t>6831A0X</w:t>
            </w:r>
          </w:p>
          <w:p>
            <w:pPr>
              <w:widowControl/>
              <w:jc w:val="center"/>
              <w:rPr>
                <w:color w:val="000000"/>
                <w:sz w:val="18"/>
                <w:szCs w:val="18"/>
              </w:rPr>
            </w:pPr>
            <w:r>
              <w:rPr>
                <w:color w:val="000000"/>
                <w:sz w:val="18"/>
                <w:szCs w:val="18"/>
              </w:rPr>
              <w:t>6831A2X</w:t>
            </w:r>
          </w:p>
          <w:p>
            <w:pPr>
              <w:widowControl/>
              <w:jc w:val="center"/>
              <w:rPr>
                <w:color w:val="000000"/>
                <w:sz w:val="18"/>
                <w:szCs w:val="18"/>
              </w:rPr>
            </w:pPr>
            <w:r>
              <w:rPr>
                <w:color w:val="000000"/>
                <w:sz w:val="18"/>
                <w:szCs w:val="18"/>
              </w:rPr>
              <w:t>6831A1X</w:t>
            </w:r>
          </w:p>
          <w:p>
            <w:pPr>
              <w:widowControl/>
              <w:jc w:val="center"/>
              <w:rPr>
                <w:color w:val="000000"/>
                <w:sz w:val="18"/>
                <w:szCs w:val="18"/>
              </w:rPr>
            </w:pPr>
            <w:r>
              <w:rPr>
                <w:color w:val="000000"/>
                <w:sz w:val="18"/>
                <w:szCs w:val="18"/>
              </w:rPr>
              <w:t>68317BX</w:t>
            </w:r>
          </w:p>
          <w:p>
            <w:pPr>
              <w:widowControl/>
              <w:jc w:val="center"/>
              <w:rPr>
                <w:color w:val="000000"/>
                <w:sz w:val="18"/>
                <w:szCs w:val="18"/>
              </w:rPr>
            </w:pPr>
            <w:r>
              <w:rPr>
                <w:color w:val="000000"/>
                <w:sz w:val="18"/>
                <w:szCs w:val="18"/>
              </w:rPr>
              <w:t>683178X</w:t>
            </w:r>
          </w:p>
          <w:p>
            <w:pPr>
              <w:widowControl/>
              <w:jc w:val="center"/>
              <w:rPr>
                <w:color w:val="000000"/>
                <w:sz w:val="18"/>
                <w:szCs w:val="18"/>
              </w:rPr>
            </w:pPr>
            <w:r>
              <w:rPr>
                <w:color w:val="000000"/>
                <w:sz w:val="18"/>
                <w:szCs w:val="18"/>
              </w:rPr>
              <w:t>683177X</w:t>
            </w:r>
          </w:p>
          <w:p>
            <w:pPr>
              <w:widowControl/>
              <w:jc w:val="center"/>
              <w:rPr>
                <w:color w:val="000000"/>
                <w:sz w:val="18"/>
                <w:szCs w:val="18"/>
              </w:rPr>
            </w:pPr>
            <w:r>
              <w:rPr>
                <w:color w:val="000000"/>
                <w:sz w:val="18"/>
                <w:szCs w:val="18"/>
              </w:rPr>
              <w:t>68317FX</w:t>
            </w:r>
          </w:p>
          <w:p>
            <w:pPr>
              <w:widowControl/>
              <w:jc w:val="center"/>
              <w:rPr>
                <w:color w:val="000000"/>
                <w:sz w:val="18"/>
                <w:szCs w:val="18"/>
              </w:rPr>
            </w:pPr>
            <w:r>
              <w:rPr>
                <w:color w:val="000000"/>
                <w:sz w:val="18"/>
                <w:szCs w:val="18"/>
              </w:rPr>
              <w:t>683179X</w:t>
            </w:r>
          </w:p>
        </w:tc>
        <w:tc>
          <w:tcPr>
            <w:tcW w:w="1511" w:type="dxa"/>
            <w:vAlign w:val="center"/>
          </w:tcPr>
          <w:p>
            <w:pPr>
              <w:widowControl/>
              <w:jc w:val="center"/>
              <w:rPr>
                <w:rFonts w:ascii="宋体" w:hAnsi="宋体" w:cs="宋体"/>
                <w:bCs/>
                <w:color w:val="000000"/>
                <w:kern w:val="0"/>
                <w:sz w:val="20"/>
              </w:rPr>
            </w:pPr>
            <w:r>
              <w:rPr>
                <w:rFonts w:ascii="宋体" w:hAnsi="宋体" w:cs="宋体" w:hint="eastAsia"/>
                <w:bCs/>
                <w:color w:val="000000"/>
                <w:kern w:val="0"/>
                <w:sz w:val="20"/>
                <w:szCs w:val="24"/>
              </w:rPr>
              <w:t>参见前文要求</w:t>
            </w:r>
          </w:p>
        </w:tc>
      </w:tr>
    </w:tbl>
    <w:p>
      <w:pPr>
        <w:sectPr>
          <w:pgSz w:w="11906" w:h="16838"/>
          <w:pgMar w:top="1440" w:right="1800" w:bottom="1440" w:left="1800" w:header="851" w:footer="992" w:gutter="0"/>
          <w:pgNumType w:start="1"/>
          <w:cols w:num="1" w:space="425"/>
          <w:docGrid w:type="lines" w:linePitch="312" w:charSpace="0"/>
        </w:sectPr>
      </w:pPr>
    </w:p>
    <w:p/>
    <w:p>
      <w:pPr>
        <w:snapToGrid w:val="0"/>
        <w:spacing w:line="360" w:lineRule="auto"/>
        <w:jc w:val="left"/>
        <w:rPr>
          <w:rFonts w:ascii="宋体" w:eastAsia="宋体" w:hAnsi="宋体" w:cs="Times New Roman"/>
          <w:szCs w:val="21"/>
        </w:rPr>
      </w:pPr>
    </w:p>
    <w:p>
      <w:pPr>
        <w:snapToGrid w:val="0"/>
        <w:spacing w:line="360" w:lineRule="auto"/>
        <w:ind w:firstLine="420"/>
        <w:jc w:val="left"/>
        <w:rPr>
          <w:rFonts w:ascii="宋体" w:eastAsia="宋体" w:hAnsi="宋体" w:cs="Times New Roman"/>
          <w:szCs w:val="21"/>
        </w:rPr>
      </w:pPr>
      <w:r>
        <w:rPr>
          <w:rFonts w:ascii="宋体" w:eastAsia="宋体" w:hAnsi="宋体" w:cs="Times New Roman" w:hint="eastAsia"/>
          <w:szCs w:val="21"/>
        </w:rPr>
        <w:t>（五）采购标的需满足的服务标准、期限、效率等要求；</w:t>
      </w:r>
    </w:p>
    <w:p>
      <w:pPr>
        <w:pStyle w:val="Heading2"/>
        <w:numPr>
          <w:ilvl w:val="0"/>
          <w:numId w:val="0"/>
        </w:numPr>
        <w:rPr>
          <w:rFonts w:ascii="黑体" w:eastAsia="黑体" w:hAnsi="黑体"/>
          <w:sz w:val="30"/>
          <w:szCs w:val="30"/>
        </w:rPr>
      </w:pPr>
      <w:bookmarkStart w:id="66" w:name="_Toc169020987"/>
      <w:r>
        <w:rPr>
          <w:rFonts w:ascii="黑体" w:eastAsia="黑体" w:hAnsi="黑体" w:hint="eastAsia"/>
          <w:sz w:val="30"/>
          <w:szCs w:val="30"/>
        </w:rPr>
        <w:t>5.1集成商日常维护要求</w:t>
      </w:r>
      <w:bookmarkEnd w:id="66"/>
    </w:p>
    <w:p>
      <w:pPr>
        <w:pStyle w:val="Heading3"/>
        <w:numPr>
          <w:ilvl w:val="0"/>
          <w:numId w:val="0"/>
        </w:numPr>
      </w:pPr>
      <w:bookmarkStart w:id="67" w:name="_Toc169020988"/>
      <w:r>
        <w:rPr>
          <w:rFonts w:hint="eastAsia"/>
        </w:rPr>
        <w:t>表</w:t>
      </w:r>
      <w:r>
        <w:t>1</w:t>
      </w:r>
      <w:r>
        <w:rPr>
          <w:rFonts w:hint="eastAsia"/>
        </w:rPr>
        <w:t>-表</w:t>
      </w:r>
      <w:r>
        <w:t>6</w:t>
      </w:r>
      <w:r>
        <w:rPr>
          <w:rFonts w:hint="eastAsia"/>
        </w:rPr>
        <w:t>设备维护要求</w:t>
      </w:r>
      <w:bookmarkEnd w:id="67"/>
    </w:p>
    <w:p>
      <w:pPr>
        <w:spacing w:line="360" w:lineRule="auto"/>
        <w:ind w:firstLine="420"/>
        <w:rPr>
          <w:rFonts w:ascii="宋体" w:eastAsia="宋体" w:hAnsi="宋体"/>
          <w:szCs w:val="21"/>
        </w:rPr>
      </w:pPr>
      <w:r>
        <w:rPr>
          <w:rFonts w:ascii="宋体" w:eastAsia="宋体" w:hAnsi="宋体" w:hint="eastAsia"/>
          <w:bCs/>
          <w:szCs w:val="21"/>
        </w:rPr>
        <w:t>表</w:t>
      </w:r>
      <w:r>
        <w:rPr>
          <w:rFonts w:ascii="宋体" w:eastAsia="宋体" w:hAnsi="宋体"/>
          <w:bCs/>
          <w:szCs w:val="21"/>
        </w:rPr>
        <w:t>1</w:t>
      </w:r>
      <w:r>
        <w:rPr>
          <w:rFonts w:ascii="宋体" w:eastAsia="宋体" w:hAnsi="宋体" w:hint="eastAsia"/>
          <w:bCs/>
          <w:szCs w:val="21"/>
        </w:rPr>
        <w:t>-表</w:t>
      </w:r>
      <w:r>
        <w:rPr>
          <w:rFonts w:ascii="宋体" w:eastAsia="宋体" w:hAnsi="宋体"/>
          <w:bCs/>
          <w:szCs w:val="21"/>
        </w:rPr>
        <w:t xml:space="preserve">6 </w:t>
      </w:r>
      <w:r>
        <w:rPr>
          <w:rFonts w:ascii="宋体" w:eastAsia="宋体" w:hAnsi="宋体" w:hint="eastAsia"/>
          <w:bCs/>
          <w:szCs w:val="21"/>
        </w:rPr>
        <w:t>所有</w:t>
      </w:r>
      <w:r>
        <w:rPr>
          <w:rFonts w:ascii="宋体" w:eastAsia="宋体" w:hAnsi="宋体" w:hint="eastAsia"/>
          <w:szCs w:val="21"/>
        </w:rPr>
        <w:t>设备要求提供7*</w:t>
      </w:r>
      <w:r>
        <w:rPr>
          <w:rFonts w:ascii="宋体" w:eastAsia="宋体" w:hAnsi="宋体"/>
          <w:szCs w:val="21"/>
        </w:rPr>
        <w:t>24</w:t>
      </w:r>
      <w:r>
        <w:rPr>
          <w:rFonts w:ascii="宋体" w:eastAsia="宋体" w:hAnsi="宋体" w:hint="eastAsia"/>
          <w:szCs w:val="21"/>
        </w:rPr>
        <w:t>小时</w:t>
      </w:r>
      <w:r>
        <w:rPr>
          <w:rFonts w:ascii="宋体" w:eastAsia="宋体" w:hAnsi="宋体"/>
          <w:szCs w:val="21"/>
        </w:rPr>
        <w:t>集成商维保服务</w:t>
      </w:r>
      <w:r>
        <w:rPr>
          <w:rFonts w:ascii="宋体" w:eastAsia="宋体" w:hAnsi="宋体" w:hint="eastAsia"/>
          <w:szCs w:val="21"/>
        </w:rPr>
        <w:t>，</w:t>
      </w:r>
      <w:r>
        <w:rPr>
          <w:rFonts w:ascii="宋体" w:eastAsia="宋体" w:hAnsi="宋体"/>
          <w:szCs w:val="21"/>
        </w:rPr>
        <w:t>具体要求包括</w:t>
      </w:r>
      <w:r>
        <w:rPr>
          <w:rFonts w:ascii="宋体" w:eastAsia="宋体" w:hAnsi="宋体" w:hint="eastAsia"/>
          <w:szCs w:val="21"/>
        </w:rPr>
        <w:t>：</w:t>
      </w:r>
    </w:p>
    <w:p>
      <w:pPr>
        <w:spacing w:line="360" w:lineRule="auto"/>
        <w:ind w:firstLine="420" w:firstLineChars="200"/>
        <w:rPr>
          <w:rFonts w:ascii="宋体" w:eastAsia="宋体" w:hAnsi="宋体" w:cs="宋体"/>
          <w:kern w:val="0"/>
          <w:szCs w:val="21"/>
        </w:rPr>
      </w:pPr>
      <w:r>
        <w:rPr>
          <w:rFonts w:ascii="宋体" w:eastAsia="宋体" w:hAnsi="宋体" w:hint="eastAsia"/>
          <w:szCs w:val="21"/>
        </w:rPr>
        <w:t>（1）</w:t>
      </w:r>
      <w:r>
        <w:rPr>
          <w:rFonts w:ascii="宋体" w:eastAsia="宋体" w:hAnsi="宋体" w:cs="宋体" w:hint="eastAsia"/>
          <w:kern w:val="0"/>
          <w:szCs w:val="21"/>
        </w:rPr>
        <w:t>7*24高级别的全天候硬件服务。硬件服务包括在合同期内对所有硬件设备的不限人天数的到场支持服务、免费换件服务。</w:t>
      </w:r>
    </w:p>
    <w:p>
      <w:pPr>
        <w:spacing w:line="360" w:lineRule="auto"/>
        <w:ind w:firstLine="420" w:firstLineChars="200"/>
        <w:rPr>
          <w:rFonts w:ascii="宋体" w:eastAsia="宋体" w:hAnsi="宋体"/>
          <w:szCs w:val="21"/>
        </w:rPr>
      </w:pPr>
      <w:r>
        <w:rPr>
          <w:rFonts w:ascii="宋体" w:eastAsia="宋体" w:hAnsi="宋体" w:hint="eastAsia"/>
          <w:szCs w:val="21"/>
        </w:rPr>
        <w:t>（2）</w:t>
      </w:r>
      <w:r>
        <w:rPr>
          <w:rFonts w:ascii="宋体" w:eastAsia="宋体" w:hAnsi="宋体" w:cs="宋体" w:hint="eastAsia"/>
          <w:kern w:val="0"/>
          <w:szCs w:val="21"/>
        </w:rPr>
        <w:t>7*24高级别的全天候软件服务。根据用户需求，对所有保修内的软件不限人天数的</w:t>
      </w:r>
      <w:r>
        <w:rPr>
          <w:rFonts w:ascii="宋体" w:eastAsia="宋体" w:hAnsi="宋体" w:hint="eastAsia"/>
          <w:szCs w:val="21"/>
        </w:rPr>
        <w:t>提供各种软件新版本的现场升级安装，检查微码级别并根据微码升级发布情况进行微码升级，在升级安装、升级后进行基本系统测试，确保设备运行正常。</w:t>
      </w:r>
    </w:p>
    <w:p>
      <w:pPr>
        <w:spacing w:line="360" w:lineRule="auto"/>
        <w:ind w:firstLine="420" w:firstLineChars="200"/>
        <w:rPr>
          <w:rFonts w:ascii="宋体" w:eastAsia="宋体" w:hAnsi="宋体"/>
          <w:szCs w:val="21"/>
        </w:rPr>
      </w:pPr>
      <w:r>
        <w:rPr>
          <w:rFonts w:ascii="宋体" w:eastAsia="宋体" w:hAnsi="宋体" w:hint="eastAsia"/>
          <w:szCs w:val="21"/>
        </w:rPr>
        <w:t>（3）设立7*24小时双备份故障报修专线，设备故障电话报修响应时间为10分钟内，通过电话进行故障的初步诊断，并根据用户要求和实际情况2小时内到现场（北京2小时到现场，其他城市以最快交通工具抵达）进行故障维修服务，出现致使业务运行中断的设备故障要求做到1个小时之内到现场（北京1小时到现场，其他城市以最快交通工具抵达）进行故障维修服务，4小时内必须解决故障或根据提前制定的故障处理预案恢复业务运行。</w:t>
      </w:r>
    </w:p>
    <w:p>
      <w:pPr>
        <w:spacing w:line="360" w:lineRule="auto"/>
        <w:ind w:firstLine="420" w:firstLineChars="200"/>
        <w:rPr>
          <w:rFonts w:ascii="宋体" w:eastAsia="宋体" w:hAnsi="宋体"/>
          <w:szCs w:val="21"/>
        </w:rPr>
      </w:pPr>
      <w:r>
        <w:rPr>
          <w:rFonts w:ascii="宋体" w:eastAsia="宋体" w:hAnsi="宋体" w:hint="eastAsia"/>
          <w:szCs w:val="21"/>
        </w:rPr>
        <w:t>（4）备件先行服务，故障部件被更换下来后，由服务商的现场工程师取回；</w:t>
      </w:r>
    </w:p>
    <w:p>
      <w:pPr>
        <w:spacing w:line="360" w:lineRule="auto"/>
        <w:ind w:firstLine="420" w:firstLineChars="200"/>
        <w:rPr>
          <w:rFonts w:ascii="宋体" w:eastAsia="宋体" w:hAnsi="宋体"/>
          <w:szCs w:val="21"/>
        </w:rPr>
      </w:pPr>
      <w:r>
        <w:rPr>
          <w:rFonts w:ascii="宋体" w:eastAsia="宋体" w:hAnsi="宋体" w:hint="eastAsia"/>
          <w:szCs w:val="21"/>
        </w:rPr>
        <w:t>（5）通过7*24小时800热线电话（或其他热线）技术支持，向用户提供服务，解决或解答软硬件故障问题及与软硬件相关的日常运行和安装问题。</w:t>
      </w:r>
    </w:p>
    <w:p>
      <w:pPr>
        <w:spacing w:line="360" w:lineRule="auto"/>
        <w:ind w:firstLine="420" w:firstLineChars="200"/>
        <w:rPr>
          <w:rFonts w:ascii="宋体" w:eastAsia="宋体" w:hAnsi="宋体"/>
          <w:szCs w:val="21"/>
        </w:rPr>
      </w:pPr>
      <w:r>
        <w:rPr>
          <w:rFonts w:ascii="宋体" w:eastAsia="宋体" w:hAnsi="宋体" w:hint="eastAsia"/>
          <w:szCs w:val="21"/>
        </w:rPr>
        <w:t>（6）对于7*24小时800热线电话（或其他热线）技术支持方式无法解决和解答的问题，按第3条的时间要求到现场进行服务，包括现场故障维修及</w:t>
      </w:r>
      <w:r>
        <w:rPr>
          <w:rFonts w:ascii="宋体" w:eastAsia="宋体" w:hAnsi="宋体" w:cs="宋体" w:hint="eastAsia"/>
          <w:kern w:val="0"/>
          <w:szCs w:val="21"/>
        </w:rPr>
        <w:t>免费</w:t>
      </w:r>
      <w:r>
        <w:rPr>
          <w:rFonts w:ascii="宋体" w:eastAsia="宋体" w:hAnsi="宋体" w:hint="eastAsia"/>
          <w:szCs w:val="21"/>
        </w:rPr>
        <w:t>换件服务、现场进行系统性能分析及调整服务、现场进行问题诊断和排除。</w:t>
      </w:r>
    </w:p>
    <w:p>
      <w:pPr>
        <w:spacing w:line="360" w:lineRule="auto"/>
        <w:ind w:firstLine="420" w:firstLineChars="200"/>
        <w:rPr>
          <w:rFonts w:ascii="宋体" w:eastAsia="宋体" w:hAnsi="宋体"/>
          <w:szCs w:val="21"/>
        </w:rPr>
      </w:pPr>
      <w:r>
        <w:rPr>
          <w:rFonts w:ascii="宋体" w:eastAsia="宋体" w:hAnsi="宋体" w:hint="eastAsia"/>
          <w:szCs w:val="21"/>
        </w:rPr>
        <w:t>（7）投标人须对设备进行每月系统健康检查、系统性能分析与优化，分析系统中的隐患和可能存在的问题，对客户系统运行提供合理化建议，并提交系统检查报告。根据用户要求制定有关问题的解决与实施方案，并根据用户的要求进行实施。</w:t>
      </w:r>
    </w:p>
    <w:p>
      <w:pPr>
        <w:spacing w:line="360" w:lineRule="auto"/>
        <w:ind w:firstLine="420" w:firstLineChars="200"/>
        <w:rPr>
          <w:rFonts w:ascii="宋体" w:eastAsia="宋体" w:hAnsi="宋体"/>
          <w:szCs w:val="21"/>
        </w:rPr>
      </w:pPr>
      <w:r>
        <w:rPr>
          <w:rFonts w:ascii="宋体" w:eastAsia="宋体" w:hAnsi="宋体" w:hint="eastAsia"/>
          <w:szCs w:val="21"/>
        </w:rPr>
        <w:t>（</w:t>
      </w:r>
      <w:r>
        <w:rPr>
          <w:rFonts w:ascii="宋体" w:eastAsia="宋体" w:hAnsi="宋体"/>
          <w:szCs w:val="21"/>
        </w:rPr>
        <w:t>8</w:t>
      </w:r>
      <w:r>
        <w:rPr>
          <w:rFonts w:ascii="宋体" w:eastAsia="宋体" w:hAnsi="宋体" w:hint="eastAsia"/>
          <w:szCs w:val="21"/>
        </w:rPr>
        <w:t>）配合国家卫星气象中心（以下简称“中心”） 用户完成信息安全相关工作。</w:t>
      </w:r>
    </w:p>
    <w:p>
      <w:pPr>
        <w:pStyle w:val="Heading2"/>
        <w:numPr>
          <w:ilvl w:val="0"/>
          <w:numId w:val="0"/>
        </w:numPr>
        <w:rPr>
          <w:rFonts w:ascii="黑体" w:eastAsia="黑体" w:hAnsi="黑体"/>
          <w:sz w:val="30"/>
          <w:szCs w:val="30"/>
        </w:rPr>
      </w:pPr>
      <w:bookmarkStart w:id="68" w:name="_Toc169020991"/>
      <w:r>
        <w:rPr>
          <w:rFonts w:ascii="黑体" w:eastAsia="黑体" w:hAnsi="黑体" w:hint="eastAsia"/>
          <w:sz w:val="30"/>
          <w:szCs w:val="30"/>
        </w:rPr>
        <w:t>5.2设备原厂维护要求</w:t>
      </w:r>
      <w:bookmarkEnd w:id="68"/>
    </w:p>
    <w:p>
      <w:pPr>
        <w:spacing w:line="360" w:lineRule="auto"/>
        <w:ind w:firstLine="420"/>
        <w:rPr>
          <w:rFonts w:ascii="宋体" w:eastAsia="宋体" w:hAnsi="宋体"/>
          <w:bCs/>
          <w:szCs w:val="21"/>
        </w:rPr>
      </w:pPr>
      <w:r>
        <w:rPr>
          <w:rFonts w:ascii="宋体" w:eastAsia="宋体" w:hAnsi="宋体" w:hint="eastAsia"/>
          <w:bCs/>
          <w:szCs w:val="21"/>
        </w:rPr>
        <w:t>针对表</w:t>
      </w:r>
      <w:r>
        <w:rPr>
          <w:rFonts w:ascii="宋体" w:eastAsia="宋体" w:hAnsi="宋体"/>
          <w:bCs/>
          <w:szCs w:val="21"/>
        </w:rPr>
        <w:t>1</w:t>
      </w:r>
      <w:r>
        <w:rPr>
          <w:rFonts w:ascii="宋体" w:eastAsia="宋体" w:hAnsi="宋体" w:hint="eastAsia"/>
          <w:bCs/>
          <w:szCs w:val="21"/>
        </w:rPr>
        <w:t>、表3、表4</w:t>
      </w:r>
      <w:r>
        <w:rPr>
          <w:rFonts w:ascii="宋体" w:eastAsia="宋体" w:hAnsi="宋体"/>
          <w:bCs/>
          <w:szCs w:val="21"/>
        </w:rPr>
        <w:t>-2</w:t>
      </w:r>
      <w:r>
        <w:rPr>
          <w:rFonts w:ascii="宋体" w:eastAsia="宋体" w:hAnsi="宋体" w:hint="eastAsia"/>
          <w:bCs/>
          <w:szCs w:val="21"/>
        </w:rPr>
        <w:t>、表5、表</w:t>
      </w:r>
      <w:r>
        <w:rPr>
          <w:rFonts w:ascii="宋体" w:eastAsia="宋体" w:hAnsi="宋体"/>
          <w:bCs/>
          <w:szCs w:val="21"/>
        </w:rPr>
        <w:t>6</w:t>
      </w:r>
      <w:r>
        <w:rPr>
          <w:rFonts w:ascii="宋体" w:eastAsia="宋体" w:hAnsi="宋体" w:hint="eastAsia"/>
          <w:bCs/>
          <w:szCs w:val="21"/>
        </w:rPr>
        <w:t>的UNIX小机、UNIX小机配套设备提</w:t>
      </w:r>
      <w:r>
        <w:rPr>
          <w:rFonts w:ascii="宋体" w:eastAsia="宋体" w:hAnsi="宋体" w:hint="eastAsia"/>
          <w:szCs w:val="21"/>
        </w:rPr>
        <w:t>供7*</w:t>
      </w:r>
      <w:r>
        <w:rPr>
          <w:rFonts w:ascii="宋体" w:eastAsia="宋体" w:hAnsi="宋体"/>
          <w:szCs w:val="21"/>
        </w:rPr>
        <w:t>24</w:t>
      </w:r>
      <w:r>
        <w:rPr>
          <w:rFonts w:ascii="宋体" w:eastAsia="宋体" w:hAnsi="宋体" w:hint="eastAsia"/>
          <w:szCs w:val="21"/>
        </w:rPr>
        <w:t>小时</w:t>
      </w:r>
      <w:r>
        <w:rPr>
          <w:rFonts w:ascii="宋体" w:eastAsia="宋体" w:hAnsi="宋体"/>
          <w:szCs w:val="21"/>
        </w:rPr>
        <w:t>原厂维保服务</w:t>
      </w:r>
      <w:r>
        <w:rPr>
          <w:rFonts w:ascii="宋体" w:eastAsia="宋体" w:hAnsi="宋体" w:hint="eastAsia"/>
          <w:szCs w:val="21"/>
        </w:rPr>
        <w:t>。</w:t>
      </w:r>
      <w:r>
        <w:rPr>
          <w:rFonts w:ascii="宋体" w:eastAsia="宋体" w:hAnsi="宋体" w:hint="eastAsia"/>
          <w:bCs/>
          <w:szCs w:val="21"/>
        </w:rPr>
        <w:t>具体维保要求包括：</w:t>
      </w:r>
    </w:p>
    <w:p>
      <w:pPr>
        <w:spacing w:line="360" w:lineRule="auto"/>
        <w:ind w:firstLine="420" w:firstLineChars="200"/>
        <w:rPr>
          <w:rFonts w:ascii="宋体" w:eastAsia="宋体" w:hAnsi="宋体" w:cs="宋体"/>
          <w:kern w:val="0"/>
          <w:szCs w:val="21"/>
        </w:rPr>
      </w:pPr>
      <w:r>
        <w:rPr>
          <w:rFonts w:ascii="宋体" w:eastAsia="宋体" w:hAnsi="宋体" w:hint="eastAsia"/>
          <w:szCs w:val="21"/>
        </w:rPr>
        <w:t>（1）</w:t>
      </w:r>
      <w:r>
        <w:rPr>
          <w:rFonts w:ascii="宋体" w:eastAsia="宋体" w:hAnsi="宋体" w:cs="宋体" w:hint="eastAsia"/>
          <w:kern w:val="0"/>
          <w:szCs w:val="21"/>
        </w:rPr>
        <w:t>7*24高级别的全天候硬件服务。硬件服务包括在合同期内对所有硬件设备的不限人天数的到场支持服务、免费换件服务。</w:t>
      </w:r>
    </w:p>
    <w:p>
      <w:pPr>
        <w:spacing w:line="360" w:lineRule="auto"/>
        <w:ind w:firstLine="420" w:firstLineChars="200"/>
        <w:rPr>
          <w:rFonts w:ascii="宋体" w:eastAsia="宋体" w:hAnsi="宋体"/>
          <w:szCs w:val="21"/>
        </w:rPr>
      </w:pPr>
      <w:r>
        <w:rPr>
          <w:rFonts w:ascii="宋体" w:eastAsia="宋体" w:hAnsi="宋体" w:hint="eastAsia"/>
          <w:szCs w:val="21"/>
        </w:rPr>
        <w:t>（2）</w:t>
      </w:r>
      <w:r>
        <w:rPr>
          <w:rFonts w:ascii="宋体" w:eastAsia="宋体" w:hAnsi="宋体" w:cs="宋体" w:hint="eastAsia"/>
          <w:kern w:val="0"/>
          <w:szCs w:val="21"/>
        </w:rPr>
        <w:t>7*24高级别的全天候软件服务。根据用户需求，对所有保修内的软件不限人天数的</w:t>
      </w:r>
      <w:r>
        <w:rPr>
          <w:rFonts w:ascii="宋体" w:eastAsia="宋体" w:hAnsi="宋体" w:hint="eastAsia"/>
          <w:szCs w:val="21"/>
        </w:rPr>
        <w:t>提供各种软件新版本的现场升级安装，检查微码级别并根据微码升级发布情况进行微码升级，在升级安装、升级后进行基本系统测试，确保设备运行正常。</w:t>
      </w:r>
    </w:p>
    <w:p>
      <w:pPr>
        <w:spacing w:line="360" w:lineRule="auto"/>
        <w:ind w:firstLine="420" w:firstLineChars="200"/>
        <w:rPr>
          <w:rFonts w:ascii="宋体" w:eastAsia="宋体" w:hAnsi="宋体"/>
          <w:szCs w:val="21"/>
        </w:rPr>
      </w:pPr>
      <w:r>
        <w:rPr>
          <w:rFonts w:ascii="宋体" w:eastAsia="宋体" w:hAnsi="宋体" w:hint="eastAsia"/>
          <w:szCs w:val="21"/>
        </w:rPr>
        <w:t>（</w:t>
      </w:r>
      <w:r>
        <w:rPr>
          <w:rFonts w:ascii="宋体" w:eastAsia="宋体" w:hAnsi="宋体"/>
          <w:szCs w:val="21"/>
        </w:rPr>
        <w:t>3</w:t>
      </w:r>
      <w:r>
        <w:rPr>
          <w:rFonts w:ascii="宋体" w:eastAsia="宋体" w:hAnsi="宋体" w:hint="eastAsia"/>
          <w:szCs w:val="21"/>
        </w:rPr>
        <w:t>）备件先行服务，故障部件被更换下来后，由服务商的现场工程师取回。</w:t>
      </w:r>
    </w:p>
    <w:p>
      <w:pPr>
        <w:spacing w:line="360" w:lineRule="auto"/>
        <w:ind w:firstLine="420" w:firstLineChars="200"/>
        <w:rPr>
          <w:rFonts w:ascii="宋体" w:eastAsia="宋体" w:hAnsi="宋体"/>
          <w:szCs w:val="21"/>
        </w:rPr>
      </w:pPr>
      <w:r>
        <w:rPr>
          <w:rFonts w:ascii="宋体" w:eastAsia="宋体" w:hAnsi="宋体" w:hint="eastAsia"/>
          <w:szCs w:val="21"/>
        </w:rPr>
        <w:t>（</w:t>
      </w:r>
      <w:r>
        <w:rPr>
          <w:rFonts w:ascii="宋体" w:eastAsia="宋体" w:hAnsi="宋体"/>
          <w:szCs w:val="21"/>
        </w:rPr>
        <w:t>4</w:t>
      </w:r>
      <w:r>
        <w:rPr>
          <w:rFonts w:ascii="宋体" w:eastAsia="宋体" w:hAnsi="宋体" w:hint="eastAsia"/>
          <w:szCs w:val="21"/>
        </w:rPr>
        <w:t>）通过7*24小时800热线电话（或其他热线）技术支持，向用户提供服务，解决或解答软硬件故障问题及与软硬件相关的日常运行和安装问题。</w:t>
      </w:r>
    </w:p>
    <w:p>
      <w:pPr>
        <w:spacing w:line="360" w:lineRule="auto"/>
        <w:ind w:firstLine="420" w:firstLineChars="200"/>
        <w:rPr>
          <w:rFonts w:ascii="宋体" w:eastAsia="宋体" w:hAnsi="宋体"/>
          <w:szCs w:val="21"/>
        </w:rPr>
      </w:pPr>
      <w:r>
        <w:rPr>
          <w:rFonts w:ascii="宋体" w:eastAsia="宋体" w:hAnsi="宋体" w:hint="eastAsia"/>
          <w:szCs w:val="21"/>
        </w:rPr>
        <w:t>（</w:t>
      </w:r>
      <w:r>
        <w:rPr>
          <w:rFonts w:ascii="宋体" w:eastAsia="宋体" w:hAnsi="宋体"/>
          <w:szCs w:val="21"/>
        </w:rPr>
        <w:t>5</w:t>
      </w:r>
      <w:r>
        <w:rPr>
          <w:rFonts w:ascii="宋体" w:eastAsia="宋体" w:hAnsi="宋体" w:hint="eastAsia"/>
          <w:szCs w:val="21"/>
        </w:rPr>
        <w:t>）对于7*24小时800热线电话（或其他热线）技术支持方式无法解决和解答的问题，要求到现场进行服务，包括现场故障维修及</w:t>
      </w:r>
      <w:r>
        <w:rPr>
          <w:rFonts w:ascii="宋体" w:eastAsia="宋体" w:hAnsi="宋体" w:cs="宋体" w:hint="eastAsia"/>
          <w:kern w:val="0"/>
          <w:szCs w:val="21"/>
        </w:rPr>
        <w:t>免费</w:t>
      </w:r>
      <w:r>
        <w:rPr>
          <w:rFonts w:ascii="宋体" w:eastAsia="宋体" w:hAnsi="宋体" w:hint="eastAsia"/>
          <w:szCs w:val="21"/>
        </w:rPr>
        <w:t>换件服务、现场进行系统性能分析及调整服务、现场进行问题诊断和排除。</w:t>
      </w:r>
    </w:p>
    <w:p>
      <w:pPr>
        <w:pStyle w:val="BodyTextFirstIndent"/>
        <w:spacing w:line="360" w:lineRule="auto"/>
        <w:ind w:left="105" w:firstLine="319" w:leftChars="50" w:firstLineChars="152"/>
        <w:rPr>
          <w:rFonts w:ascii="宋体" w:hAnsi="宋体"/>
          <w:szCs w:val="21"/>
        </w:rPr>
      </w:pPr>
      <w:r>
        <w:rPr>
          <w:rFonts w:ascii="宋体" w:hAnsi="宋体" w:hint="eastAsia"/>
          <w:szCs w:val="21"/>
        </w:rPr>
        <w:t>（</w:t>
      </w:r>
      <w:r>
        <w:rPr>
          <w:rFonts w:ascii="宋体" w:hAnsi="宋体"/>
          <w:szCs w:val="21"/>
        </w:rPr>
        <w:t>6</w:t>
      </w:r>
      <w:r>
        <w:rPr>
          <w:rFonts w:ascii="宋体" w:hAnsi="宋体" w:hint="eastAsia"/>
          <w:szCs w:val="21"/>
        </w:rPr>
        <w:t>）对</w:t>
      </w:r>
      <w:r>
        <w:rPr>
          <w:rFonts w:ascii="宋体" w:hAnsi="宋体" w:hint="eastAsia"/>
          <w:bCs/>
          <w:szCs w:val="21"/>
        </w:rPr>
        <w:t>表</w:t>
      </w:r>
      <w:r>
        <w:rPr>
          <w:rFonts w:ascii="宋体" w:hAnsi="宋体"/>
          <w:bCs/>
          <w:szCs w:val="21"/>
        </w:rPr>
        <w:t>1</w:t>
      </w:r>
      <w:r>
        <w:rPr>
          <w:rFonts w:ascii="宋体" w:hAnsi="宋体" w:hint="eastAsia"/>
          <w:bCs/>
          <w:szCs w:val="21"/>
        </w:rPr>
        <w:t>-表</w:t>
      </w:r>
      <w:r>
        <w:rPr>
          <w:rFonts w:ascii="宋体" w:hAnsi="宋体"/>
          <w:bCs/>
          <w:szCs w:val="21"/>
        </w:rPr>
        <w:t>6</w:t>
      </w:r>
      <w:r>
        <w:rPr>
          <w:rFonts w:ascii="宋体" w:hAnsi="宋体" w:hint="eastAsia"/>
          <w:bCs/>
          <w:szCs w:val="21"/>
        </w:rPr>
        <w:t>的UNIX小机、UNIX小机配套设备</w:t>
      </w:r>
      <w:r>
        <w:rPr>
          <w:rFonts w:ascii="宋体" w:hAnsi="宋体" w:hint="eastAsia"/>
          <w:szCs w:val="21"/>
        </w:rPr>
        <w:t>提供原厂备件维保服务,</w:t>
      </w:r>
      <w:r>
        <w:rPr>
          <w:rFonts w:ascii="宋体" w:hAnsi="宋体" w:hint="eastAsia"/>
          <w:bCs/>
          <w:szCs w:val="21"/>
        </w:rPr>
        <w:t xml:space="preserve"> 对表7</w:t>
      </w:r>
      <w:r>
        <w:rPr>
          <w:rFonts w:ascii="宋体" w:hAnsi="宋体"/>
          <w:bCs/>
          <w:szCs w:val="21"/>
        </w:rPr>
        <w:t>存储及</w:t>
      </w:r>
      <w:r>
        <w:rPr>
          <w:rFonts w:ascii="宋体" w:hAnsi="宋体" w:hint="eastAsia"/>
          <w:bCs/>
          <w:szCs w:val="21"/>
        </w:rPr>
        <w:t>配套设备提</w:t>
      </w:r>
      <w:r>
        <w:rPr>
          <w:rFonts w:ascii="宋体" w:hAnsi="宋体" w:hint="eastAsia"/>
          <w:szCs w:val="21"/>
        </w:rPr>
        <w:t>供7*</w:t>
      </w:r>
      <w:r>
        <w:rPr>
          <w:rFonts w:ascii="宋体" w:hAnsi="宋体"/>
          <w:szCs w:val="21"/>
        </w:rPr>
        <w:t>24</w:t>
      </w:r>
      <w:r>
        <w:rPr>
          <w:rFonts w:ascii="宋体" w:hAnsi="宋体" w:hint="eastAsia"/>
          <w:szCs w:val="21"/>
        </w:rPr>
        <w:t>小时原厂授权服务商备件维保服务。</w:t>
      </w:r>
    </w:p>
    <w:p>
      <w:pPr>
        <w:spacing w:line="360" w:lineRule="auto"/>
        <w:ind w:firstLine="420" w:firstLineChars="200"/>
        <w:rPr>
          <w:rFonts w:ascii="宋体" w:eastAsia="宋体" w:hAnsi="宋体"/>
          <w:szCs w:val="21"/>
        </w:rPr>
      </w:pPr>
      <w:r>
        <w:rPr>
          <w:rFonts w:ascii="宋体" w:eastAsia="宋体" w:hAnsi="宋体" w:hint="eastAsia"/>
          <w:szCs w:val="21"/>
        </w:rPr>
        <w:t>（</w:t>
      </w:r>
      <w:r>
        <w:rPr>
          <w:rFonts w:ascii="宋体" w:eastAsia="宋体" w:hAnsi="宋体"/>
          <w:szCs w:val="21"/>
        </w:rPr>
        <w:t>7</w:t>
      </w:r>
      <w:r>
        <w:rPr>
          <w:rFonts w:ascii="宋体" w:eastAsia="宋体" w:hAnsi="宋体" w:hint="eastAsia"/>
          <w:szCs w:val="21"/>
        </w:rPr>
        <w:t>）对软硬件设备提供原厂微码升级、操作系统及平台软件升级、打补丁等工作。</w:t>
      </w:r>
    </w:p>
    <w:p>
      <w:pPr>
        <w:spacing w:line="360" w:lineRule="auto"/>
        <w:ind w:firstLine="420"/>
        <w:rPr>
          <w:rFonts w:ascii="宋体" w:eastAsia="宋体" w:hAnsi="宋体"/>
          <w:bCs/>
          <w:szCs w:val="21"/>
        </w:rPr>
      </w:pPr>
    </w:p>
    <w:p>
      <w:pPr>
        <w:spacing w:line="360" w:lineRule="auto"/>
        <w:ind w:firstLine="420"/>
        <w:rPr>
          <w:rFonts w:ascii="宋体" w:eastAsia="宋体" w:hAnsi="宋体"/>
          <w:bCs/>
          <w:szCs w:val="21"/>
        </w:rPr>
      </w:pPr>
      <w:r>
        <w:rPr>
          <w:rFonts w:ascii="宋体" w:eastAsia="宋体" w:hAnsi="宋体" w:hint="eastAsia"/>
          <w:bCs/>
          <w:szCs w:val="21"/>
        </w:rPr>
        <w:t>针对表</w:t>
      </w:r>
      <w:r>
        <w:rPr>
          <w:rFonts w:ascii="宋体" w:eastAsia="宋体" w:hAnsi="宋体"/>
          <w:bCs/>
          <w:szCs w:val="21"/>
        </w:rPr>
        <w:t>2</w:t>
      </w:r>
      <w:r>
        <w:rPr>
          <w:rFonts w:ascii="宋体" w:eastAsia="宋体" w:hAnsi="宋体" w:hint="eastAsia"/>
          <w:bCs/>
          <w:szCs w:val="21"/>
        </w:rPr>
        <w:t>、表4</w:t>
      </w:r>
      <w:r>
        <w:rPr>
          <w:rFonts w:ascii="宋体" w:eastAsia="宋体" w:hAnsi="宋体"/>
          <w:bCs/>
          <w:szCs w:val="21"/>
        </w:rPr>
        <w:t>-1</w:t>
      </w:r>
      <w:r>
        <w:rPr>
          <w:rFonts w:ascii="宋体" w:eastAsia="宋体" w:hAnsi="宋体" w:hint="eastAsia"/>
          <w:bCs/>
          <w:szCs w:val="21"/>
        </w:rPr>
        <w:t>的UNIX小机、UNIX小机配套设备提</w:t>
      </w:r>
      <w:r>
        <w:rPr>
          <w:rFonts w:ascii="宋体" w:eastAsia="宋体" w:hAnsi="宋体" w:hint="eastAsia"/>
          <w:szCs w:val="21"/>
        </w:rPr>
        <w:t>供</w:t>
      </w:r>
      <w:r>
        <w:rPr>
          <w:rFonts w:ascii="宋体" w:eastAsia="宋体" w:hAnsi="宋体"/>
          <w:szCs w:val="21"/>
        </w:rPr>
        <w:t>7</w:t>
      </w:r>
      <w:r>
        <w:rPr>
          <w:rFonts w:ascii="宋体" w:eastAsia="宋体" w:hAnsi="宋体" w:hint="eastAsia"/>
          <w:szCs w:val="21"/>
        </w:rPr>
        <w:t>*</w:t>
      </w:r>
      <w:r>
        <w:rPr>
          <w:rFonts w:ascii="宋体" w:eastAsia="宋体" w:hAnsi="宋体"/>
          <w:szCs w:val="21"/>
        </w:rPr>
        <w:t>9</w:t>
      </w:r>
      <w:r>
        <w:rPr>
          <w:rFonts w:ascii="宋体" w:eastAsia="宋体" w:hAnsi="宋体" w:hint="eastAsia"/>
          <w:szCs w:val="21"/>
        </w:rPr>
        <w:t>小时</w:t>
      </w:r>
      <w:r>
        <w:rPr>
          <w:rFonts w:ascii="宋体" w:eastAsia="宋体" w:hAnsi="宋体"/>
          <w:szCs w:val="21"/>
        </w:rPr>
        <w:t>原厂维保服务</w:t>
      </w:r>
      <w:r>
        <w:rPr>
          <w:rFonts w:ascii="宋体" w:eastAsia="宋体" w:hAnsi="宋体" w:hint="eastAsia"/>
          <w:szCs w:val="21"/>
        </w:rPr>
        <w:t>。</w:t>
      </w:r>
      <w:r>
        <w:rPr>
          <w:rFonts w:ascii="宋体" w:eastAsia="宋体" w:hAnsi="宋体" w:hint="eastAsia"/>
          <w:bCs/>
          <w:szCs w:val="21"/>
        </w:rPr>
        <w:t>具体维保要求包括：</w:t>
      </w:r>
    </w:p>
    <w:p>
      <w:pPr>
        <w:spacing w:line="360" w:lineRule="auto"/>
        <w:ind w:firstLine="420" w:firstLineChars="200"/>
        <w:rPr>
          <w:rFonts w:ascii="宋体" w:eastAsia="宋体" w:hAnsi="宋体" w:cs="宋体"/>
          <w:kern w:val="0"/>
          <w:szCs w:val="21"/>
        </w:rPr>
      </w:pPr>
      <w:r>
        <w:rPr>
          <w:rFonts w:ascii="宋体" w:eastAsia="宋体" w:hAnsi="宋体" w:hint="eastAsia"/>
          <w:szCs w:val="21"/>
        </w:rPr>
        <w:t>（1）</w:t>
      </w:r>
      <w:r>
        <w:rPr>
          <w:rFonts w:ascii="宋体" w:eastAsia="宋体" w:hAnsi="宋体" w:cs="宋体" w:hint="eastAsia"/>
          <w:kern w:val="0"/>
          <w:szCs w:val="21"/>
        </w:rPr>
        <w:t>7*</w:t>
      </w:r>
      <w:r>
        <w:rPr>
          <w:rFonts w:ascii="宋体" w:eastAsia="宋体" w:hAnsi="宋体" w:cs="宋体"/>
          <w:kern w:val="0"/>
          <w:szCs w:val="21"/>
        </w:rPr>
        <w:t>9</w:t>
      </w:r>
      <w:r>
        <w:rPr>
          <w:rFonts w:ascii="宋体" w:eastAsia="宋体" w:hAnsi="宋体" w:cs="宋体" w:hint="eastAsia"/>
          <w:kern w:val="0"/>
          <w:szCs w:val="21"/>
        </w:rPr>
        <w:t>硬件服务。硬件服务包括在合同期内对所有硬件设备的不限人天数的到场支持服务、免费换件服务。</w:t>
      </w:r>
    </w:p>
    <w:p>
      <w:pPr>
        <w:spacing w:line="360" w:lineRule="auto"/>
        <w:ind w:firstLine="420" w:firstLineChars="200"/>
        <w:rPr>
          <w:rFonts w:ascii="宋体" w:eastAsia="宋体" w:hAnsi="宋体"/>
          <w:szCs w:val="21"/>
        </w:rPr>
      </w:pPr>
      <w:r>
        <w:rPr>
          <w:rFonts w:ascii="宋体" w:eastAsia="宋体" w:hAnsi="宋体" w:hint="eastAsia"/>
          <w:szCs w:val="21"/>
        </w:rPr>
        <w:t>（2）</w:t>
      </w:r>
      <w:r>
        <w:rPr>
          <w:rFonts w:ascii="宋体" w:eastAsia="宋体" w:hAnsi="宋体" w:cs="宋体" w:hint="eastAsia"/>
          <w:kern w:val="0"/>
          <w:szCs w:val="21"/>
        </w:rPr>
        <w:t>7*9软件服务。根据用户需求，对所有保修内的软件不限人天数的</w:t>
      </w:r>
      <w:r>
        <w:rPr>
          <w:rFonts w:ascii="宋体" w:eastAsia="宋体" w:hAnsi="宋体" w:hint="eastAsia"/>
          <w:szCs w:val="21"/>
        </w:rPr>
        <w:t>提供各种软件新版本的现场升级安装，检查微码级别并根据微码升级发布情况进行微码升级，在升级安装、升级后进行基本系统测试，确保设备运行正常。</w:t>
      </w:r>
    </w:p>
    <w:p>
      <w:pPr>
        <w:spacing w:line="360" w:lineRule="auto"/>
        <w:ind w:firstLine="420" w:firstLineChars="200"/>
        <w:rPr>
          <w:rFonts w:ascii="宋体" w:eastAsia="宋体" w:hAnsi="宋体"/>
          <w:szCs w:val="21"/>
        </w:rPr>
      </w:pPr>
      <w:r>
        <w:rPr>
          <w:rFonts w:ascii="宋体" w:eastAsia="宋体" w:hAnsi="宋体" w:hint="eastAsia"/>
          <w:szCs w:val="21"/>
        </w:rPr>
        <w:t>（</w:t>
      </w:r>
      <w:r>
        <w:rPr>
          <w:rFonts w:ascii="宋体" w:eastAsia="宋体" w:hAnsi="宋体"/>
          <w:szCs w:val="21"/>
        </w:rPr>
        <w:t>3</w:t>
      </w:r>
      <w:r>
        <w:rPr>
          <w:rFonts w:ascii="宋体" w:eastAsia="宋体" w:hAnsi="宋体" w:hint="eastAsia"/>
          <w:szCs w:val="21"/>
        </w:rPr>
        <w:t>）备件先行服务，故障部件被更换下来后，由服务商的现场工程师取回。</w:t>
      </w:r>
    </w:p>
    <w:p>
      <w:pPr>
        <w:spacing w:line="360" w:lineRule="auto"/>
        <w:ind w:firstLine="420" w:firstLineChars="200"/>
        <w:rPr>
          <w:rFonts w:ascii="宋体" w:eastAsia="宋体" w:hAnsi="宋体"/>
          <w:szCs w:val="21"/>
        </w:rPr>
      </w:pPr>
      <w:r>
        <w:rPr>
          <w:rFonts w:ascii="宋体" w:eastAsia="宋体" w:hAnsi="宋体" w:hint="eastAsia"/>
          <w:szCs w:val="21"/>
        </w:rPr>
        <w:t>（</w:t>
      </w:r>
      <w:r>
        <w:rPr>
          <w:rFonts w:ascii="宋体" w:eastAsia="宋体" w:hAnsi="宋体"/>
          <w:szCs w:val="21"/>
        </w:rPr>
        <w:t>4</w:t>
      </w:r>
      <w:r>
        <w:rPr>
          <w:rFonts w:ascii="宋体" w:eastAsia="宋体" w:hAnsi="宋体" w:hint="eastAsia"/>
          <w:szCs w:val="21"/>
        </w:rPr>
        <w:t>）通过7*24小时800热线电话（或其他热线）技术支持，向用户提供服务，解决或解答软硬件故障问题及与软硬件相关的日常运行和安装问题。</w:t>
      </w:r>
    </w:p>
    <w:p>
      <w:pPr>
        <w:spacing w:line="360" w:lineRule="auto"/>
        <w:ind w:firstLine="420" w:firstLineChars="200"/>
        <w:rPr>
          <w:rFonts w:ascii="宋体" w:eastAsia="宋体" w:hAnsi="宋体"/>
          <w:szCs w:val="21"/>
        </w:rPr>
      </w:pPr>
      <w:r>
        <w:rPr>
          <w:rFonts w:ascii="宋体" w:eastAsia="宋体" w:hAnsi="宋体" w:hint="eastAsia"/>
          <w:szCs w:val="21"/>
        </w:rPr>
        <w:t>（</w:t>
      </w:r>
      <w:r>
        <w:rPr>
          <w:rFonts w:ascii="宋体" w:eastAsia="宋体" w:hAnsi="宋体"/>
          <w:szCs w:val="21"/>
        </w:rPr>
        <w:t>5</w:t>
      </w:r>
      <w:r>
        <w:rPr>
          <w:rFonts w:ascii="宋体" w:eastAsia="宋体" w:hAnsi="宋体" w:hint="eastAsia"/>
          <w:szCs w:val="21"/>
        </w:rPr>
        <w:t>）对于7*24小时800热线电话（或其他热线）技术支持方式无法解决和解答的问题，要求到现场进行服务，包括现场故障维修及</w:t>
      </w:r>
      <w:r>
        <w:rPr>
          <w:rFonts w:ascii="宋体" w:eastAsia="宋体" w:hAnsi="宋体" w:cs="宋体" w:hint="eastAsia"/>
          <w:kern w:val="0"/>
          <w:szCs w:val="21"/>
        </w:rPr>
        <w:t>免费</w:t>
      </w:r>
      <w:r>
        <w:rPr>
          <w:rFonts w:ascii="宋体" w:eastAsia="宋体" w:hAnsi="宋体" w:hint="eastAsia"/>
          <w:szCs w:val="21"/>
        </w:rPr>
        <w:t>换件服务、现场进行系统性能分析及调整服务、现场进行问题诊断和排除。</w:t>
      </w:r>
    </w:p>
    <w:p>
      <w:pPr>
        <w:spacing w:line="360" w:lineRule="auto"/>
        <w:ind w:firstLine="420" w:firstLineChars="200"/>
        <w:rPr>
          <w:rFonts w:ascii="宋体" w:eastAsia="宋体" w:hAnsi="宋体"/>
          <w:szCs w:val="21"/>
        </w:rPr>
      </w:pPr>
      <w:r>
        <w:rPr>
          <w:rFonts w:ascii="宋体" w:eastAsia="宋体" w:hAnsi="宋体" w:hint="eastAsia"/>
          <w:szCs w:val="21"/>
        </w:rPr>
        <w:t>（6）对软硬件设备提供原厂微码升级、操作系统及平台软件升级、打补丁等工作。</w:t>
      </w:r>
    </w:p>
    <w:p>
      <w:pPr>
        <w:pStyle w:val="Heading2"/>
        <w:numPr>
          <w:ilvl w:val="0"/>
          <w:numId w:val="0"/>
        </w:numPr>
        <w:rPr>
          <w:rFonts w:ascii="黑体" w:eastAsia="黑体" w:hAnsi="黑体"/>
          <w:sz w:val="30"/>
          <w:szCs w:val="30"/>
        </w:rPr>
      </w:pPr>
      <w:bookmarkStart w:id="69" w:name="_Toc169020992"/>
      <w:r>
        <w:rPr>
          <w:rFonts w:ascii="黑体" w:eastAsia="黑体" w:hAnsi="黑体" w:hint="eastAsia"/>
          <w:sz w:val="30"/>
          <w:szCs w:val="30"/>
        </w:rPr>
        <w:t>5.3特殊时期维护要求</w:t>
      </w:r>
      <w:bookmarkEnd w:id="69"/>
    </w:p>
    <w:p>
      <w:pPr>
        <w:spacing w:line="360" w:lineRule="auto"/>
        <w:ind w:firstLine="420" w:firstLineChars="200"/>
        <w:rPr>
          <w:rFonts w:ascii="宋体" w:eastAsia="宋体" w:hAnsi="宋体"/>
          <w:szCs w:val="21"/>
        </w:rPr>
      </w:pPr>
      <w:r>
        <w:rPr>
          <w:rFonts w:ascii="宋体" w:eastAsia="宋体" w:hAnsi="宋体" w:hint="eastAsia"/>
          <w:szCs w:val="21"/>
        </w:rPr>
        <w:t>在卫星发射、重大活动服务保障、特殊天气服务保障等时期，根据用户需要提供不限人天的24小时现场技术保障服务。</w:t>
      </w:r>
    </w:p>
    <w:p>
      <w:pPr>
        <w:pStyle w:val="Heading2"/>
        <w:numPr>
          <w:ilvl w:val="0"/>
          <w:numId w:val="0"/>
        </w:numPr>
        <w:rPr>
          <w:rFonts w:ascii="黑体" w:eastAsia="黑体" w:hAnsi="黑体"/>
          <w:sz w:val="30"/>
          <w:szCs w:val="30"/>
        </w:rPr>
      </w:pPr>
      <w:bookmarkStart w:id="70" w:name="_Toc169020993"/>
      <w:r>
        <w:rPr>
          <w:rFonts w:ascii="黑体" w:eastAsia="黑体" w:hAnsi="黑体" w:hint="eastAsia"/>
          <w:sz w:val="30"/>
          <w:szCs w:val="30"/>
        </w:rPr>
        <w:t>5.4技术人员驻场及技术团队要求</w:t>
      </w:r>
      <w:bookmarkEnd w:id="70"/>
    </w:p>
    <w:p>
      <w:pPr>
        <w:spacing w:line="360" w:lineRule="auto"/>
        <w:ind w:firstLine="420" w:firstLineChars="200"/>
        <w:rPr>
          <w:rFonts w:ascii="宋体" w:eastAsia="宋体" w:hAnsi="宋体" w:hint="eastAsia"/>
          <w:szCs w:val="21"/>
        </w:rPr>
      </w:pPr>
      <w:r>
        <w:rPr>
          <w:rFonts w:ascii="宋体" w:eastAsia="宋体" w:hAnsi="宋体" w:hint="eastAsia"/>
          <w:szCs w:val="21"/>
        </w:rPr>
        <w:t>投标厂商需要为本项目提供2名驻场工程师甲方工作场所（北京，国家卫星气象中心）专职驻场，提供无犯罪记录证明</w:t>
      </w:r>
      <w:r>
        <w:rPr>
          <w:rFonts w:hint="eastAsia"/>
          <w:sz w:val="24"/>
          <w:szCs w:val="24"/>
        </w:rPr>
        <w:t>，</w:t>
      </w:r>
      <w:r>
        <w:rPr>
          <w:rFonts w:ascii="宋体" w:eastAsia="宋体" w:hAnsi="宋体" w:hint="eastAsia"/>
          <w:szCs w:val="21"/>
        </w:rPr>
        <w:t>接受中心管理，并和中心签署安全责任承诺书。</w:t>
      </w:r>
    </w:p>
    <w:p>
      <w:pPr>
        <w:spacing w:line="360" w:lineRule="auto"/>
        <w:ind w:firstLine="420" w:firstLineChars="200"/>
        <w:rPr>
          <w:rFonts w:ascii="宋体" w:eastAsia="宋体" w:hAnsi="宋体" w:hint="eastAsia"/>
          <w:szCs w:val="21"/>
        </w:rPr>
      </w:pPr>
      <w:r>
        <w:rPr>
          <w:rFonts w:ascii="宋体" w:eastAsia="宋体" w:hAnsi="宋体" w:hint="eastAsia"/>
          <w:szCs w:val="21"/>
          <w:highlight w:val="yellow"/>
        </w:rPr>
        <w:t>*投标人需提供承诺（格式自拟）：为本项目提供</w:t>
      </w:r>
      <w:r>
        <w:rPr>
          <w:rFonts w:ascii="宋体" w:eastAsia="宋体" w:hAnsi="宋体" w:hint="eastAsia"/>
          <w:szCs w:val="21"/>
          <w:highlight w:val="yellow"/>
          <w:lang w:val="en-US" w:eastAsia="zh-CN"/>
        </w:rPr>
        <w:t>2</w:t>
      </w:r>
      <w:r>
        <w:rPr>
          <w:rFonts w:ascii="宋体" w:eastAsia="宋体" w:hAnsi="宋体" w:hint="eastAsia"/>
          <w:szCs w:val="21"/>
          <w:highlight w:val="yellow"/>
        </w:rPr>
        <w:t>名驻场服务人员。</w:t>
      </w:r>
    </w:p>
    <w:p>
      <w:pPr>
        <w:spacing w:line="360" w:lineRule="auto"/>
        <w:ind w:firstLine="420" w:firstLineChars="200"/>
        <w:rPr>
          <w:rFonts w:ascii="宋体" w:eastAsia="宋体" w:hAnsi="宋体"/>
          <w:szCs w:val="21"/>
        </w:rPr>
      </w:pPr>
      <w:r>
        <w:rPr>
          <w:rFonts w:ascii="宋体" w:eastAsia="宋体" w:hAnsi="宋体" w:hint="eastAsia"/>
          <w:szCs w:val="21"/>
        </w:rPr>
        <w:t>驻场时间：本项目设备维保合同期间每个工作日8:30-17:00，按中心要求打卡签到。</w:t>
      </w:r>
    </w:p>
    <w:p>
      <w:pPr>
        <w:spacing w:line="360" w:lineRule="auto"/>
        <w:ind w:firstLine="420" w:firstLineChars="200"/>
        <w:rPr>
          <w:rFonts w:ascii="宋体" w:eastAsia="宋体" w:hAnsi="宋体"/>
          <w:szCs w:val="21"/>
        </w:rPr>
      </w:pPr>
      <w:r>
        <w:rPr>
          <w:rFonts w:ascii="宋体" w:eastAsia="宋体" w:hAnsi="宋体" w:hint="eastAsia"/>
          <w:szCs w:val="21"/>
        </w:rPr>
        <w:t>投标人驻场工程师资质要求：IT相关专业、在投标厂商从事主机相关技术工作（需提供相应证明），要拥有主机设备维护的相关认证证书。</w:t>
      </w:r>
    </w:p>
    <w:p>
      <w:pPr>
        <w:spacing w:line="360" w:lineRule="auto"/>
        <w:ind w:firstLine="420" w:firstLineChars="200"/>
        <w:rPr>
          <w:rFonts w:ascii="宋体" w:eastAsia="宋体" w:hAnsi="宋体"/>
          <w:szCs w:val="21"/>
        </w:rPr>
      </w:pPr>
      <w:r>
        <w:rPr>
          <w:rFonts w:ascii="宋体" w:eastAsia="宋体" w:hAnsi="宋体" w:hint="eastAsia"/>
          <w:szCs w:val="21"/>
        </w:rPr>
        <w:t>如驻场工程师因故离开本项目组，投标厂商需及时安排同资质工程师接管工作，进行工作交接，驻场工作需连续不中断。</w:t>
      </w:r>
    </w:p>
    <w:p>
      <w:pPr>
        <w:spacing w:line="360" w:lineRule="auto"/>
        <w:ind w:firstLine="420" w:firstLineChars="200"/>
        <w:rPr>
          <w:rFonts w:ascii="宋体" w:eastAsia="宋体" w:hAnsi="宋体"/>
          <w:szCs w:val="21"/>
        </w:rPr>
      </w:pPr>
      <w:r>
        <w:rPr>
          <w:rFonts w:ascii="宋体" w:eastAsia="宋体" w:hAnsi="宋体" w:hint="eastAsia"/>
          <w:szCs w:val="21"/>
        </w:rPr>
        <w:t>工作内容：每天按时完成设备巡检并及时提交日报、周报、月报；接受甲方主管工程师指派，完成所投保项目相关设备的日常运维管理工作。</w:t>
      </w:r>
    </w:p>
    <w:p>
      <w:pPr>
        <w:spacing w:line="360" w:lineRule="auto"/>
        <w:ind w:firstLine="420" w:firstLineChars="200"/>
        <w:rPr>
          <w:rFonts w:ascii="宋体" w:eastAsia="宋体" w:hAnsi="宋体"/>
          <w:szCs w:val="21"/>
        </w:rPr>
      </w:pPr>
      <w:r>
        <w:rPr>
          <w:rFonts w:ascii="宋体" w:eastAsia="宋体" w:hAnsi="宋体" w:hint="eastAsia"/>
          <w:szCs w:val="21"/>
        </w:rPr>
        <w:t>投标人需为驻场工程师提供运维记录文档以及设备标签输出等所需的设备及耗材。</w:t>
      </w:r>
    </w:p>
    <w:p>
      <w:pPr>
        <w:spacing w:line="360" w:lineRule="auto"/>
        <w:ind w:firstLine="420" w:firstLineChars="200"/>
        <w:rPr>
          <w:rFonts w:ascii="宋体" w:eastAsia="宋体" w:hAnsi="宋体"/>
          <w:szCs w:val="21"/>
        </w:rPr>
      </w:pPr>
      <w:r>
        <w:rPr>
          <w:rFonts w:ascii="宋体" w:eastAsia="宋体" w:hAnsi="宋体" w:hint="eastAsia"/>
          <w:szCs w:val="21"/>
        </w:rPr>
        <w:t>投标厂商须为本项目配置项目经理及二线技术支持队伍。要求项目经理及二线技术支持队伍有相关的专业资质。</w:t>
      </w:r>
    </w:p>
    <w:p>
      <w:pPr>
        <w:pStyle w:val="Heading2"/>
        <w:numPr>
          <w:ilvl w:val="0"/>
          <w:numId w:val="0"/>
        </w:numPr>
      </w:pPr>
      <w:bookmarkStart w:id="71" w:name="_Toc169020994"/>
      <w:r>
        <w:rPr>
          <w:rFonts w:hint="eastAsia"/>
        </w:rPr>
        <w:t>5.5升级改造</w:t>
      </w:r>
      <w:bookmarkEnd w:id="71"/>
      <w:r>
        <w:rPr>
          <w:rFonts w:hint="eastAsia"/>
        </w:rPr>
        <w:t>、系统优化及安全加固</w:t>
      </w:r>
    </w:p>
    <w:p>
      <w:pPr>
        <w:spacing w:line="360" w:lineRule="auto"/>
        <w:ind w:firstLine="420" w:firstLineChars="200"/>
        <w:rPr>
          <w:rFonts w:ascii="宋体" w:eastAsia="宋体" w:hAnsi="宋体"/>
          <w:szCs w:val="21"/>
        </w:rPr>
      </w:pPr>
      <w:r>
        <w:rPr>
          <w:rFonts w:ascii="宋体" w:eastAsia="宋体" w:hAnsi="宋体" w:hint="eastAsia"/>
          <w:szCs w:val="21"/>
        </w:rPr>
        <w:t>投标厂商必须配合用户对系统进行升级改造、系统优化及安全加固工作。</w:t>
      </w:r>
    </w:p>
    <w:p>
      <w:pPr>
        <w:spacing w:line="360" w:lineRule="auto"/>
        <w:ind w:firstLine="420" w:firstLineChars="200"/>
        <w:rPr>
          <w:rFonts w:ascii="宋体" w:eastAsia="宋体" w:hAnsi="宋体"/>
          <w:szCs w:val="21"/>
        </w:rPr>
      </w:pPr>
      <w:r>
        <w:rPr>
          <w:rFonts w:ascii="宋体" w:eastAsia="宋体" w:hAnsi="宋体" w:hint="eastAsia"/>
          <w:szCs w:val="21"/>
        </w:rPr>
        <w:t>（</w:t>
      </w:r>
      <w:r>
        <w:rPr>
          <w:rFonts w:ascii="宋体" w:eastAsia="宋体" w:hAnsi="宋体"/>
          <w:szCs w:val="21"/>
        </w:rPr>
        <w:t>1</w:t>
      </w:r>
      <w:r>
        <w:rPr>
          <w:rFonts w:ascii="宋体" w:eastAsia="宋体" w:hAnsi="宋体" w:hint="eastAsia"/>
          <w:szCs w:val="21"/>
        </w:rPr>
        <w:t>）针对用户工程建设或业务变化的需求，配合用户进行设备能力扩展、资源配置优化等工作，为用户提供升级改造及安全加固的方案，并安排人员组织实施。</w:t>
      </w:r>
    </w:p>
    <w:p>
      <w:pPr>
        <w:spacing w:line="360" w:lineRule="auto"/>
        <w:ind w:firstLine="420" w:firstLineChars="200"/>
        <w:rPr>
          <w:rFonts w:ascii="宋体" w:eastAsia="宋体" w:hAnsi="宋体"/>
          <w:szCs w:val="21"/>
        </w:rPr>
      </w:pPr>
      <w:r>
        <w:rPr>
          <w:rFonts w:ascii="宋体" w:eastAsia="宋体" w:hAnsi="宋体" w:hint="eastAsia"/>
          <w:szCs w:val="21"/>
        </w:rPr>
        <w:t>（</w:t>
      </w:r>
      <w:r>
        <w:rPr>
          <w:rFonts w:ascii="宋体" w:eastAsia="宋体" w:hAnsi="宋体"/>
          <w:szCs w:val="21"/>
        </w:rPr>
        <w:t>2</w:t>
      </w:r>
      <w:r>
        <w:rPr>
          <w:rFonts w:ascii="宋体" w:eastAsia="宋体" w:hAnsi="宋体" w:hint="eastAsia"/>
          <w:szCs w:val="21"/>
        </w:rPr>
        <w:t>）配合用户完成维保设备的更替、应用与数据迁移等工作，为用户提供设备更替、应用与数据迁移方案，提供一次设备搬迁服务，安排人员组织实施。</w:t>
      </w:r>
    </w:p>
    <w:p>
      <w:pPr>
        <w:spacing w:line="360" w:lineRule="auto"/>
        <w:ind w:firstLine="420" w:firstLineChars="200"/>
        <w:rPr>
          <w:rFonts w:ascii="宋体" w:eastAsia="宋体" w:hAnsi="宋体"/>
          <w:szCs w:val="21"/>
        </w:rPr>
      </w:pPr>
      <w:r>
        <w:rPr>
          <w:rFonts w:ascii="宋体" w:eastAsia="宋体" w:hAnsi="宋体" w:hint="eastAsia"/>
          <w:szCs w:val="21"/>
        </w:rPr>
        <w:t>（</w:t>
      </w:r>
      <w:r>
        <w:rPr>
          <w:rFonts w:ascii="宋体" w:eastAsia="宋体" w:hAnsi="宋体"/>
          <w:szCs w:val="21"/>
        </w:rPr>
        <w:t>3</w:t>
      </w:r>
      <w:r>
        <w:rPr>
          <w:rFonts w:ascii="宋体" w:eastAsia="宋体" w:hAnsi="宋体" w:hint="eastAsia"/>
          <w:szCs w:val="21"/>
        </w:rPr>
        <w:t>）投标人需保证本项目维保范围内设备运行正常，如因任何外部原因导致维保状态异常或者设备故障不能在规定时间内修复，投标人需提供整体解决方案，提供同等功能、性能国产化备品备件，保证用户业务系统正常稳定运行，并安排人员组织实施。</w:t>
      </w:r>
    </w:p>
    <w:p>
      <w:pPr>
        <w:pStyle w:val="Heading2"/>
        <w:numPr>
          <w:ilvl w:val="0"/>
          <w:numId w:val="0"/>
        </w:numPr>
        <w:rPr>
          <w:rFonts w:ascii="黑体" w:eastAsia="黑体" w:hAnsi="黑体"/>
          <w:sz w:val="30"/>
          <w:szCs w:val="30"/>
        </w:rPr>
      </w:pPr>
      <w:bookmarkStart w:id="72" w:name="_Toc169020995"/>
      <w:r>
        <w:rPr>
          <w:rFonts w:ascii="黑体" w:eastAsia="黑体" w:hAnsi="黑体" w:hint="eastAsia"/>
          <w:sz w:val="30"/>
          <w:szCs w:val="30"/>
        </w:rPr>
        <w:t>5.6运行维护记录要求</w:t>
      </w:r>
      <w:bookmarkEnd w:id="72"/>
    </w:p>
    <w:p>
      <w:pPr>
        <w:spacing w:line="360" w:lineRule="auto"/>
        <w:ind w:firstLine="420" w:firstLineChars="200"/>
        <w:rPr>
          <w:rFonts w:ascii="宋体" w:eastAsia="宋体" w:hAnsi="宋体"/>
          <w:szCs w:val="21"/>
        </w:rPr>
      </w:pPr>
      <w:r>
        <w:rPr>
          <w:rFonts w:ascii="宋体" w:eastAsia="宋体" w:hAnsi="宋体" w:hint="eastAsia"/>
          <w:szCs w:val="21"/>
        </w:rPr>
        <w:t>（1） 建立用户设备档案，编制设备系统维修计划。定期对系统进行备份。定期（至少每工作日一次）对软硬件设备进行例行巡检，检查设备的运行状态，查看系统日志，并根据检查结果提供建议，必要时进行预防性维护，并提交服务报告。</w:t>
      </w:r>
    </w:p>
    <w:p>
      <w:pPr>
        <w:spacing w:line="360" w:lineRule="auto"/>
        <w:ind w:firstLine="420" w:firstLineChars="200"/>
        <w:rPr>
          <w:rFonts w:ascii="宋体" w:eastAsia="宋体" w:hAnsi="宋体"/>
          <w:szCs w:val="21"/>
        </w:rPr>
      </w:pPr>
      <w:r>
        <w:rPr>
          <w:rFonts w:ascii="宋体" w:eastAsia="宋体" w:hAnsi="宋体" w:hint="eastAsia"/>
          <w:szCs w:val="21"/>
        </w:rPr>
        <w:t>（2）针对每次故障处理，按照用户要求提交故障处理报告，报告中需包括对故障发生的原因、故障处理的过程、预防故障再次发生的方案等内容。</w:t>
      </w:r>
    </w:p>
    <w:p>
      <w:pPr>
        <w:spacing w:line="360" w:lineRule="auto"/>
        <w:ind w:firstLine="420" w:firstLineChars="200"/>
        <w:rPr>
          <w:rFonts w:ascii="宋体" w:eastAsia="宋体" w:hAnsi="宋体"/>
          <w:szCs w:val="21"/>
        </w:rPr>
      </w:pPr>
      <w:r>
        <w:rPr>
          <w:rFonts w:ascii="宋体" w:eastAsia="宋体" w:hAnsi="宋体" w:hint="eastAsia"/>
          <w:szCs w:val="21"/>
        </w:rPr>
        <w:t>（3）根据用户需求，进行技术交流和反馈，填写维护记录，并定期提供客户服务维护技术档案，以提高客户技术人员的日常维护水平和对问题的解决能力。</w:t>
      </w:r>
    </w:p>
    <w:p>
      <w:pPr>
        <w:spacing w:line="360" w:lineRule="auto"/>
        <w:ind w:firstLine="420" w:firstLineChars="200"/>
        <w:rPr>
          <w:rFonts w:ascii="宋体" w:eastAsia="宋体" w:hAnsi="宋体"/>
          <w:szCs w:val="21"/>
        </w:rPr>
      </w:pPr>
      <w:bookmarkStart w:id="73" w:name="_Hlk138411227"/>
      <w:r>
        <w:rPr>
          <w:rFonts w:ascii="宋体" w:eastAsia="宋体" w:hAnsi="宋体"/>
          <w:szCs w:val="21"/>
        </w:rPr>
        <w:t>（4）</w:t>
      </w:r>
      <w:r>
        <w:rPr>
          <w:rFonts w:ascii="宋体" w:eastAsia="宋体" w:hAnsi="宋体" w:hint="eastAsia"/>
          <w:szCs w:val="21"/>
        </w:rPr>
        <w:t>投标人需为驻场工程师提供运维记录文档以及设备标签输出所需的设备及耗材。</w:t>
      </w:r>
      <w:bookmarkEnd w:id="73"/>
    </w:p>
    <w:p>
      <w:pPr>
        <w:snapToGrid w:val="0"/>
        <w:spacing w:line="360" w:lineRule="auto"/>
        <w:ind w:firstLine="420"/>
        <w:jc w:val="left"/>
        <w:rPr>
          <w:rFonts w:ascii="宋体" w:eastAsia="宋体" w:hAnsi="宋体" w:cs="Times New Roman"/>
          <w:szCs w:val="21"/>
        </w:rPr>
      </w:pPr>
    </w:p>
    <w:p>
      <w:pPr>
        <w:snapToGrid w:val="0"/>
        <w:spacing w:line="360" w:lineRule="auto"/>
        <w:ind w:firstLine="420"/>
        <w:jc w:val="left"/>
        <w:rPr>
          <w:rFonts w:ascii="宋体" w:eastAsia="宋体" w:hAnsi="宋体" w:cs="Times New Roman"/>
          <w:szCs w:val="21"/>
        </w:rPr>
      </w:pPr>
      <w:r>
        <w:rPr>
          <w:rFonts w:ascii="宋体" w:eastAsia="宋体" w:hAnsi="宋体" w:cs="Times New Roman" w:hint="eastAsia"/>
          <w:szCs w:val="21"/>
        </w:rPr>
        <w:t>（六）采购标的的验收标准；</w:t>
      </w:r>
    </w:p>
    <w:p>
      <w:pPr>
        <w:ind w:firstLine="420" w:firstLineChars="200"/>
        <w:rPr>
          <w:rFonts w:ascii="宋体" w:eastAsia="宋体" w:hAnsi="宋体"/>
        </w:rPr>
      </w:pPr>
      <w:r>
        <w:rPr>
          <w:rFonts w:ascii="宋体" w:eastAsia="宋体" w:hAnsi="宋体" w:hint="eastAsia"/>
        </w:rPr>
        <w:t>在本项目服务工作中，服务厂商完成以下要求后可通过验收：</w:t>
      </w:r>
    </w:p>
    <w:p>
      <w:pPr>
        <w:pStyle w:val="ListParagraph"/>
        <w:numPr>
          <w:ilvl w:val="0"/>
          <w:numId w:val="12"/>
        </w:numPr>
        <w:spacing w:line="360" w:lineRule="auto"/>
        <w:ind w:firstLineChars="0"/>
        <w:rPr>
          <w:rFonts w:ascii="宋体" w:eastAsia="宋体" w:hAnsi="宋体"/>
        </w:rPr>
      </w:pPr>
      <w:r>
        <w:rPr>
          <w:rFonts w:ascii="宋体" w:eastAsia="宋体" w:hAnsi="宋体" w:hint="eastAsia"/>
        </w:rPr>
        <w:t>完成任务书中的全部服务内容，保障服务期间维保设备正常运行。</w:t>
      </w:r>
    </w:p>
    <w:p>
      <w:pPr>
        <w:pStyle w:val="ListParagraph"/>
        <w:numPr>
          <w:ilvl w:val="0"/>
          <w:numId w:val="12"/>
        </w:numPr>
        <w:spacing w:line="360" w:lineRule="auto"/>
        <w:ind w:firstLineChars="0"/>
        <w:rPr>
          <w:rFonts w:ascii="宋体" w:eastAsia="宋体" w:hAnsi="宋体"/>
        </w:rPr>
      </w:pPr>
      <w:r>
        <w:rPr>
          <w:rFonts w:ascii="宋体" w:eastAsia="宋体" w:hAnsi="宋体" w:hint="eastAsia"/>
        </w:rPr>
        <w:t>提交服务过程中产生的全部文档，包括但不限于：</w:t>
      </w:r>
    </w:p>
    <w:tbl>
      <w:tblPr>
        <w:tblStyle w:val="TableNormal"/>
        <w:tblW w:w="89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39"/>
        <w:gridCol w:w="1304"/>
        <w:gridCol w:w="2098"/>
        <w:gridCol w:w="1275"/>
        <w:gridCol w:w="3724"/>
      </w:tblGrid>
      <w:tr>
        <w:tblPrEx>
          <w:tblW w:w="89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285"/>
        </w:trPr>
        <w:tc>
          <w:tcPr>
            <w:tcW w:w="539" w:type="dxa"/>
            <w:shd w:val="clear" w:color="auto" w:fill="FFFFFF"/>
            <w:noWrap/>
            <w:vAlign w:val="center"/>
          </w:tcPr>
          <w:p>
            <w:pPr>
              <w:rPr>
                <w:rFonts w:ascii="宋体" w:eastAsia="宋体" w:hAnsi="宋体"/>
                <w:b/>
                <w:bCs/>
              </w:rPr>
            </w:pPr>
            <w:r>
              <w:rPr>
                <w:rFonts w:ascii="宋体" w:eastAsia="宋体" w:hAnsi="宋体" w:hint="eastAsia"/>
                <w:b/>
                <w:bCs/>
              </w:rPr>
              <w:t>序号</w:t>
            </w:r>
          </w:p>
        </w:tc>
        <w:tc>
          <w:tcPr>
            <w:tcW w:w="1304" w:type="dxa"/>
            <w:shd w:val="clear" w:color="auto" w:fill="FFFFFF"/>
            <w:noWrap/>
            <w:vAlign w:val="center"/>
          </w:tcPr>
          <w:p>
            <w:pPr>
              <w:rPr>
                <w:rFonts w:ascii="宋体" w:eastAsia="宋体" w:hAnsi="宋体"/>
                <w:b/>
                <w:bCs/>
              </w:rPr>
            </w:pPr>
            <w:r>
              <w:rPr>
                <w:rFonts w:ascii="宋体" w:eastAsia="宋体" w:hAnsi="宋体" w:hint="eastAsia"/>
                <w:b/>
                <w:bCs/>
              </w:rPr>
              <w:t>服务分类</w:t>
            </w:r>
          </w:p>
        </w:tc>
        <w:tc>
          <w:tcPr>
            <w:tcW w:w="2098" w:type="dxa"/>
            <w:shd w:val="clear" w:color="auto" w:fill="FFFFFF"/>
            <w:noWrap/>
            <w:vAlign w:val="center"/>
          </w:tcPr>
          <w:p>
            <w:pPr>
              <w:rPr>
                <w:rFonts w:ascii="宋体" w:eastAsia="宋体" w:hAnsi="宋体"/>
                <w:b/>
                <w:bCs/>
              </w:rPr>
            </w:pPr>
            <w:r>
              <w:rPr>
                <w:rFonts w:ascii="宋体" w:eastAsia="宋体" w:hAnsi="宋体" w:hint="eastAsia"/>
                <w:b/>
                <w:bCs/>
              </w:rPr>
              <w:t>服务内容</w:t>
            </w:r>
          </w:p>
        </w:tc>
        <w:tc>
          <w:tcPr>
            <w:tcW w:w="1275" w:type="dxa"/>
            <w:shd w:val="clear" w:color="auto" w:fill="FFFFFF"/>
          </w:tcPr>
          <w:p>
            <w:pPr>
              <w:rPr>
                <w:rFonts w:ascii="宋体" w:eastAsia="宋体" w:hAnsi="宋体"/>
                <w:b/>
                <w:bCs/>
              </w:rPr>
            </w:pPr>
            <w:r>
              <w:rPr>
                <w:rFonts w:ascii="宋体" w:eastAsia="宋体" w:hAnsi="宋体" w:hint="eastAsia"/>
                <w:b/>
                <w:bCs/>
              </w:rPr>
              <w:t>交付频次</w:t>
            </w:r>
          </w:p>
        </w:tc>
        <w:tc>
          <w:tcPr>
            <w:tcW w:w="3724" w:type="dxa"/>
            <w:shd w:val="clear" w:color="auto" w:fill="FFFFFF"/>
            <w:noWrap/>
            <w:vAlign w:val="center"/>
          </w:tcPr>
          <w:p>
            <w:pPr>
              <w:rPr>
                <w:rFonts w:ascii="宋体" w:eastAsia="宋体" w:hAnsi="宋体"/>
                <w:b/>
                <w:bCs/>
              </w:rPr>
            </w:pPr>
            <w:r>
              <w:rPr>
                <w:rFonts w:ascii="宋体" w:eastAsia="宋体" w:hAnsi="宋体" w:hint="eastAsia"/>
                <w:b/>
                <w:bCs/>
              </w:rPr>
              <w:t>交付成果</w:t>
            </w:r>
          </w:p>
        </w:tc>
      </w:tr>
      <w:tr>
        <w:tblPrEx>
          <w:tblW w:w="8940" w:type="dxa"/>
          <w:tblInd w:w="-5" w:type="dxa"/>
          <w:tblCellMar>
            <w:top w:w="0" w:type="dxa"/>
            <w:left w:w="108" w:type="dxa"/>
            <w:bottom w:w="0" w:type="dxa"/>
            <w:right w:w="108" w:type="dxa"/>
          </w:tblCellMar>
        </w:tblPrEx>
        <w:trPr>
          <w:trHeight w:val="285"/>
        </w:trPr>
        <w:tc>
          <w:tcPr>
            <w:tcW w:w="539" w:type="dxa"/>
            <w:shd w:val="clear" w:color="auto" w:fill="auto"/>
            <w:noWrap/>
            <w:vAlign w:val="center"/>
          </w:tcPr>
          <w:p>
            <w:pPr>
              <w:numPr>
                <w:ilvl w:val="0"/>
                <w:numId w:val="13"/>
              </w:numPr>
              <w:spacing w:line="360" w:lineRule="auto"/>
              <w:rPr>
                <w:rFonts w:ascii="宋体" w:eastAsia="宋体" w:hAnsi="宋体"/>
              </w:rPr>
            </w:pPr>
          </w:p>
        </w:tc>
        <w:tc>
          <w:tcPr>
            <w:tcW w:w="1304" w:type="dxa"/>
            <w:vMerge w:val="restart"/>
            <w:shd w:val="clear" w:color="auto" w:fill="auto"/>
            <w:noWrap/>
            <w:vAlign w:val="center"/>
          </w:tcPr>
          <w:p>
            <w:pPr>
              <w:rPr>
                <w:rFonts w:ascii="宋体" w:eastAsia="宋体" w:hAnsi="宋体"/>
              </w:rPr>
            </w:pPr>
            <w:r>
              <w:rPr>
                <w:rFonts w:ascii="宋体" w:eastAsia="宋体" w:hAnsi="宋体" w:hint="eastAsia"/>
              </w:rPr>
              <w:t>系统运维</w:t>
            </w:r>
          </w:p>
        </w:tc>
        <w:tc>
          <w:tcPr>
            <w:tcW w:w="2098" w:type="dxa"/>
            <w:vMerge w:val="restart"/>
            <w:shd w:val="clear" w:color="auto" w:fill="auto"/>
            <w:noWrap/>
            <w:vAlign w:val="center"/>
          </w:tcPr>
          <w:p>
            <w:pPr>
              <w:rPr>
                <w:rFonts w:ascii="宋体" w:eastAsia="宋体" w:hAnsi="宋体"/>
              </w:rPr>
            </w:pPr>
            <w:r>
              <w:rPr>
                <w:rFonts w:ascii="宋体" w:eastAsia="宋体" w:hAnsi="宋体" w:hint="eastAsia"/>
              </w:rPr>
              <w:t>系统巡检、主动维护及故障处理</w:t>
            </w:r>
          </w:p>
        </w:tc>
        <w:tc>
          <w:tcPr>
            <w:tcW w:w="1275" w:type="dxa"/>
          </w:tcPr>
          <w:p>
            <w:pPr>
              <w:rPr>
                <w:rFonts w:ascii="宋体" w:eastAsia="宋体" w:hAnsi="宋体"/>
              </w:rPr>
            </w:pPr>
            <w:r>
              <w:rPr>
                <w:rFonts w:ascii="宋体" w:eastAsia="宋体" w:hAnsi="宋体" w:hint="eastAsia"/>
              </w:rPr>
              <w:t>每工作日</w:t>
            </w:r>
          </w:p>
        </w:tc>
        <w:tc>
          <w:tcPr>
            <w:tcW w:w="3724" w:type="dxa"/>
            <w:shd w:val="clear" w:color="auto" w:fill="auto"/>
            <w:noWrap/>
            <w:vAlign w:val="center"/>
          </w:tcPr>
          <w:p>
            <w:pPr>
              <w:rPr>
                <w:rFonts w:ascii="宋体" w:eastAsia="宋体" w:hAnsi="宋体"/>
              </w:rPr>
            </w:pPr>
            <w:r>
              <w:rPr>
                <w:rFonts w:ascii="宋体" w:eastAsia="宋体" w:hAnsi="宋体" w:hint="eastAsia"/>
              </w:rPr>
              <w:t>《设备巡检表》</w:t>
            </w:r>
          </w:p>
        </w:tc>
      </w:tr>
      <w:tr>
        <w:tblPrEx>
          <w:tblW w:w="8940" w:type="dxa"/>
          <w:tblInd w:w="-5" w:type="dxa"/>
          <w:tblCellMar>
            <w:top w:w="0" w:type="dxa"/>
            <w:left w:w="108" w:type="dxa"/>
            <w:bottom w:w="0" w:type="dxa"/>
            <w:right w:w="108" w:type="dxa"/>
          </w:tblCellMar>
        </w:tblPrEx>
        <w:trPr>
          <w:trHeight w:val="621"/>
        </w:trPr>
        <w:tc>
          <w:tcPr>
            <w:tcW w:w="539" w:type="dxa"/>
            <w:shd w:val="clear" w:color="auto" w:fill="auto"/>
            <w:noWrap/>
            <w:vAlign w:val="center"/>
          </w:tcPr>
          <w:p>
            <w:pPr>
              <w:numPr>
                <w:ilvl w:val="0"/>
                <w:numId w:val="13"/>
              </w:numPr>
              <w:spacing w:line="360" w:lineRule="auto"/>
              <w:rPr>
                <w:rFonts w:ascii="宋体" w:eastAsia="宋体" w:hAnsi="宋体"/>
              </w:rPr>
            </w:pPr>
          </w:p>
        </w:tc>
        <w:tc>
          <w:tcPr>
            <w:tcW w:w="1304" w:type="dxa"/>
            <w:vMerge/>
            <w:shd w:val="clear" w:color="auto" w:fill="auto"/>
            <w:noWrap/>
            <w:vAlign w:val="center"/>
          </w:tcPr>
          <w:p>
            <w:pPr>
              <w:rPr>
                <w:rFonts w:ascii="宋体" w:eastAsia="宋体" w:hAnsi="宋体"/>
              </w:rPr>
            </w:pPr>
          </w:p>
        </w:tc>
        <w:tc>
          <w:tcPr>
            <w:tcW w:w="2098" w:type="dxa"/>
            <w:vMerge/>
            <w:shd w:val="clear" w:color="auto" w:fill="auto"/>
            <w:noWrap/>
            <w:vAlign w:val="center"/>
          </w:tcPr>
          <w:p>
            <w:pPr>
              <w:rPr>
                <w:rFonts w:ascii="宋体" w:eastAsia="宋体" w:hAnsi="宋体"/>
              </w:rPr>
            </w:pPr>
          </w:p>
        </w:tc>
        <w:tc>
          <w:tcPr>
            <w:tcW w:w="1275" w:type="dxa"/>
          </w:tcPr>
          <w:p>
            <w:pPr>
              <w:rPr>
                <w:rFonts w:ascii="宋体" w:eastAsia="宋体" w:hAnsi="宋体"/>
              </w:rPr>
            </w:pPr>
            <w:r>
              <w:rPr>
                <w:rFonts w:ascii="宋体" w:eastAsia="宋体" w:hAnsi="宋体" w:hint="eastAsia"/>
              </w:rPr>
              <w:t>按需</w:t>
            </w:r>
          </w:p>
        </w:tc>
        <w:tc>
          <w:tcPr>
            <w:tcW w:w="3724" w:type="dxa"/>
            <w:shd w:val="clear" w:color="auto" w:fill="auto"/>
            <w:noWrap/>
            <w:vAlign w:val="center"/>
          </w:tcPr>
          <w:p>
            <w:pPr>
              <w:rPr>
                <w:rFonts w:ascii="宋体" w:eastAsia="宋体" w:hAnsi="宋体"/>
              </w:rPr>
            </w:pPr>
            <w:r>
              <w:rPr>
                <w:rFonts w:ascii="宋体" w:eastAsia="宋体" w:hAnsi="宋体" w:hint="eastAsia"/>
              </w:rPr>
              <w:t>《主动维护记录单》</w:t>
            </w:r>
          </w:p>
          <w:p>
            <w:pPr>
              <w:rPr>
                <w:rFonts w:ascii="宋体" w:eastAsia="宋体" w:hAnsi="宋体"/>
              </w:rPr>
            </w:pPr>
            <w:r>
              <w:rPr>
                <w:rFonts w:ascii="宋体" w:eastAsia="宋体" w:hAnsi="宋体" w:hint="eastAsia"/>
              </w:rPr>
              <w:t>《故障处理记录单》</w:t>
            </w:r>
          </w:p>
        </w:tc>
      </w:tr>
      <w:tr>
        <w:tblPrEx>
          <w:tblW w:w="8940" w:type="dxa"/>
          <w:tblInd w:w="-5" w:type="dxa"/>
          <w:tblCellMar>
            <w:top w:w="0" w:type="dxa"/>
            <w:left w:w="108" w:type="dxa"/>
            <w:bottom w:w="0" w:type="dxa"/>
            <w:right w:w="108" w:type="dxa"/>
          </w:tblCellMar>
        </w:tblPrEx>
        <w:trPr>
          <w:trHeight w:val="621"/>
        </w:trPr>
        <w:tc>
          <w:tcPr>
            <w:tcW w:w="539" w:type="dxa"/>
            <w:shd w:val="clear" w:color="auto" w:fill="auto"/>
            <w:noWrap/>
            <w:vAlign w:val="center"/>
          </w:tcPr>
          <w:p>
            <w:pPr>
              <w:numPr>
                <w:ilvl w:val="0"/>
                <w:numId w:val="13"/>
              </w:numPr>
              <w:spacing w:line="360" w:lineRule="auto"/>
              <w:rPr>
                <w:rFonts w:ascii="宋体" w:eastAsia="宋体" w:hAnsi="宋体"/>
              </w:rPr>
            </w:pPr>
          </w:p>
        </w:tc>
        <w:tc>
          <w:tcPr>
            <w:tcW w:w="1304" w:type="dxa"/>
            <w:vMerge/>
            <w:shd w:val="clear" w:color="auto" w:fill="auto"/>
            <w:noWrap/>
            <w:vAlign w:val="center"/>
          </w:tcPr>
          <w:p>
            <w:pPr>
              <w:rPr>
                <w:rFonts w:ascii="宋体" w:eastAsia="宋体" w:hAnsi="宋体"/>
              </w:rPr>
            </w:pPr>
          </w:p>
        </w:tc>
        <w:tc>
          <w:tcPr>
            <w:tcW w:w="2098" w:type="dxa"/>
            <w:shd w:val="clear" w:color="auto" w:fill="auto"/>
            <w:noWrap/>
            <w:vAlign w:val="center"/>
          </w:tcPr>
          <w:p>
            <w:pPr>
              <w:rPr>
                <w:rFonts w:ascii="宋体" w:eastAsia="宋体" w:hAnsi="宋体"/>
              </w:rPr>
            </w:pPr>
            <w:r>
              <w:rPr>
                <w:rFonts w:ascii="宋体" w:eastAsia="宋体" w:hAnsi="宋体" w:hint="eastAsia"/>
              </w:rPr>
              <w:t>系统优化</w:t>
            </w:r>
          </w:p>
        </w:tc>
        <w:tc>
          <w:tcPr>
            <w:tcW w:w="1275" w:type="dxa"/>
          </w:tcPr>
          <w:p>
            <w:pPr>
              <w:rPr>
                <w:rFonts w:ascii="宋体" w:eastAsia="宋体" w:hAnsi="宋体"/>
              </w:rPr>
            </w:pPr>
            <w:r>
              <w:rPr>
                <w:rFonts w:ascii="宋体" w:eastAsia="宋体" w:hAnsi="宋体" w:hint="eastAsia"/>
              </w:rPr>
              <w:t>按需</w:t>
            </w:r>
          </w:p>
        </w:tc>
        <w:tc>
          <w:tcPr>
            <w:tcW w:w="3724" w:type="dxa"/>
            <w:shd w:val="clear" w:color="auto" w:fill="auto"/>
            <w:noWrap/>
            <w:vAlign w:val="center"/>
          </w:tcPr>
          <w:p>
            <w:pPr>
              <w:rPr>
                <w:rFonts w:ascii="宋体" w:eastAsia="宋体" w:hAnsi="宋体"/>
              </w:rPr>
            </w:pPr>
            <w:r>
              <w:rPr>
                <w:rFonts w:ascii="宋体" w:eastAsia="宋体" w:hAnsi="宋体" w:hint="eastAsia"/>
              </w:rPr>
              <w:t>《变更记录单》</w:t>
            </w:r>
          </w:p>
          <w:p>
            <w:pPr>
              <w:rPr>
                <w:rFonts w:ascii="宋体" w:eastAsia="宋体" w:hAnsi="宋体"/>
              </w:rPr>
            </w:pPr>
            <w:r>
              <w:rPr>
                <w:rFonts w:ascii="宋体" w:eastAsia="宋体" w:hAnsi="宋体" w:hint="eastAsia"/>
              </w:rPr>
              <w:t>《系统优化建议及实施方案》</w:t>
            </w:r>
          </w:p>
        </w:tc>
      </w:tr>
      <w:tr>
        <w:tblPrEx>
          <w:tblW w:w="8940" w:type="dxa"/>
          <w:tblInd w:w="-5" w:type="dxa"/>
          <w:tblCellMar>
            <w:top w:w="0" w:type="dxa"/>
            <w:left w:w="108" w:type="dxa"/>
            <w:bottom w:w="0" w:type="dxa"/>
            <w:right w:w="108" w:type="dxa"/>
          </w:tblCellMar>
        </w:tblPrEx>
        <w:trPr>
          <w:trHeight w:val="285"/>
        </w:trPr>
        <w:tc>
          <w:tcPr>
            <w:tcW w:w="539" w:type="dxa"/>
            <w:shd w:val="clear" w:color="auto" w:fill="auto"/>
            <w:noWrap/>
            <w:vAlign w:val="center"/>
          </w:tcPr>
          <w:p>
            <w:pPr>
              <w:numPr>
                <w:ilvl w:val="0"/>
                <w:numId w:val="13"/>
              </w:numPr>
              <w:spacing w:line="360" w:lineRule="auto"/>
              <w:rPr>
                <w:rFonts w:ascii="宋体" w:eastAsia="宋体" w:hAnsi="宋体"/>
              </w:rPr>
            </w:pPr>
          </w:p>
        </w:tc>
        <w:tc>
          <w:tcPr>
            <w:tcW w:w="1304" w:type="dxa"/>
            <w:vMerge/>
            <w:shd w:val="clear" w:color="auto" w:fill="auto"/>
            <w:noWrap/>
            <w:vAlign w:val="center"/>
          </w:tcPr>
          <w:p>
            <w:pPr>
              <w:rPr>
                <w:rFonts w:ascii="宋体" w:eastAsia="宋体" w:hAnsi="宋体"/>
              </w:rPr>
            </w:pPr>
          </w:p>
        </w:tc>
        <w:tc>
          <w:tcPr>
            <w:tcW w:w="2098" w:type="dxa"/>
            <w:shd w:val="clear" w:color="auto" w:fill="auto"/>
            <w:noWrap/>
            <w:vAlign w:val="center"/>
          </w:tcPr>
          <w:p>
            <w:pPr>
              <w:rPr>
                <w:rFonts w:ascii="宋体" w:eastAsia="宋体" w:hAnsi="宋体"/>
              </w:rPr>
            </w:pPr>
            <w:r>
              <w:rPr>
                <w:rFonts w:ascii="宋体" w:eastAsia="宋体" w:hAnsi="宋体" w:hint="eastAsia"/>
              </w:rPr>
              <w:t>资产管理服务</w:t>
            </w:r>
          </w:p>
        </w:tc>
        <w:tc>
          <w:tcPr>
            <w:tcW w:w="1275" w:type="dxa"/>
          </w:tcPr>
          <w:p>
            <w:pPr>
              <w:rPr>
                <w:rFonts w:ascii="宋体" w:eastAsia="宋体" w:hAnsi="宋体"/>
              </w:rPr>
            </w:pPr>
            <w:r>
              <w:rPr>
                <w:rFonts w:ascii="宋体" w:eastAsia="宋体" w:hAnsi="宋体" w:hint="eastAsia"/>
              </w:rPr>
              <w:t>半年</w:t>
            </w:r>
          </w:p>
        </w:tc>
        <w:tc>
          <w:tcPr>
            <w:tcW w:w="3724" w:type="dxa"/>
            <w:shd w:val="clear" w:color="auto" w:fill="auto"/>
            <w:noWrap/>
            <w:vAlign w:val="center"/>
          </w:tcPr>
          <w:p>
            <w:pPr>
              <w:rPr>
                <w:rFonts w:ascii="宋体" w:eastAsia="宋体" w:hAnsi="宋体"/>
              </w:rPr>
            </w:pPr>
            <w:r>
              <w:rPr>
                <w:rFonts w:ascii="宋体" w:eastAsia="宋体" w:hAnsi="宋体" w:hint="eastAsia"/>
              </w:rPr>
              <w:t>《设备资产台账》</w:t>
            </w:r>
          </w:p>
        </w:tc>
      </w:tr>
      <w:tr>
        <w:tblPrEx>
          <w:tblW w:w="8940" w:type="dxa"/>
          <w:tblInd w:w="-5" w:type="dxa"/>
          <w:tblCellMar>
            <w:top w:w="0" w:type="dxa"/>
            <w:left w:w="108" w:type="dxa"/>
            <w:bottom w:w="0" w:type="dxa"/>
            <w:right w:w="108" w:type="dxa"/>
          </w:tblCellMar>
        </w:tblPrEx>
        <w:trPr>
          <w:trHeight w:val="285"/>
        </w:trPr>
        <w:tc>
          <w:tcPr>
            <w:tcW w:w="539" w:type="dxa"/>
            <w:shd w:val="clear" w:color="auto" w:fill="auto"/>
            <w:noWrap/>
            <w:vAlign w:val="center"/>
          </w:tcPr>
          <w:p>
            <w:pPr>
              <w:numPr>
                <w:ilvl w:val="0"/>
                <w:numId w:val="13"/>
              </w:numPr>
              <w:spacing w:line="360" w:lineRule="auto"/>
              <w:rPr>
                <w:rFonts w:ascii="宋体" w:eastAsia="宋体" w:hAnsi="宋体"/>
              </w:rPr>
            </w:pPr>
          </w:p>
        </w:tc>
        <w:tc>
          <w:tcPr>
            <w:tcW w:w="1304" w:type="dxa"/>
            <w:vMerge w:val="restart"/>
            <w:shd w:val="clear" w:color="auto" w:fill="auto"/>
            <w:noWrap/>
            <w:vAlign w:val="center"/>
          </w:tcPr>
          <w:p>
            <w:pPr>
              <w:rPr>
                <w:rFonts w:ascii="宋体" w:eastAsia="宋体" w:hAnsi="宋体"/>
              </w:rPr>
            </w:pPr>
            <w:r>
              <w:rPr>
                <w:rFonts w:ascii="宋体" w:eastAsia="宋体" w:hAnsi="宋体" w:hint="eastAsia"/>
              </w:rPr>
              <w:t>管理支持</w:t>
            </w:r>
          </w:p>
        </w:tc>
        <w:tc>
          <w:tcPr>
            <w:tcW w:w="2098" w:type="dxa"/>
            <w:shd w:val="clear" w:color="auto" w:fill="auto"/>
            <w:noWrap/>
            <w:vAlign w:val="center"/>
          </w:tcPr>
          <w:p>
            <w:pPr>
              <w:rPr>
                <w:rFonts w:ascii="宋体" w:eastAsia="宋体" w:hAnsi="宋体"/>
              </w:rPr>
            </w:pPr>
            <w:r>
              <w:rPr>
                <w:rFonts w:ascii="宋体" w:eastAsia="宋体" w:hAnsi="宋体" w:hint="eastAsia"/>
              </w:rPr>
              <w:t>管理支持服务</w:t>
            </w:r>
          </w:p>
        </w:tc>
        <w:tc>
          <w:tcPr>
            <w:tcW w:w="1275" w:type="dxa"/>
          </w:tcPr>
          <w:p>
            <w:pPr>
              <w:rPr>
                <w:rFonts w:ascii="宋体" w:eastAsia="宋体" w:hAnsi="宋体"/>
              </w:rPr>
            </w:pPr>
            <w:r>
              <w:rPr>
                <w:rFonts w:ascii="宋体" w:eastAsia="宋体" w:hAnsi="宋体" w:hint="eastAsia"/>
              </w:rPr>
              <w:t>按需</w:t>
            </w:r>
          </w:p>
        </w:tc>
        <w:tc>
          <w:tcPr>
            <w:tcW w:w="3724" w:type="dxa"/>
            <w:shd w:val="clear" w:color="auto" w:fill="auto"/>
            <w:noWrap/>
            <w:vAlign w:val="center"/>
          </w:tcPr>
          <w:p>
            <w:pPr>
              <w:rPr>
                <w:rFonts w:ascii="宋体" w:eastAsia="宋体" w:hAnsi="宋体"/>
              </w:rPr>
            </w:pPr>
            <w:r>
              <w:rPr>
                <w:rFonts w:ascii="宋体" w:eastAsia="宋体" w:hAnsi="宋体" w:hint="eastAsia"/>
              </w:rPr>
              <w:t>《管理支持服务记录》</w:t>
            </w:r>
          </w:p>
        </w:tc>
      </w:tr>
      <w:tr>
        <w:tblPrEx>
          <w:tblW w:w="8940" w:type="dxa"/>
          <w:tblInd w:w="-5" w:type="dxa"/>
          <w:tblCellMar>
            <w:top w:w="0" w:type="dxa"/>
            <w:left w:w="108" w:type="dxa"/>
            <w:bottom w:w="0" w:type="dxa"/>
            <w:right w:w="108" w:type="dxa"/>
          </w:tblCellMar>
        </w:tblPrEx>
        <w:trPr>
          <w:trHeight w:val="570"/>
        </w:trPr>
        <w:tc>
          <w:tcPr>
            <w:tcW w:w="539" w:type="dxa"/>
            <w:shd w:val="clear" w:color="auto" w:fill="auto"/>
            <w:noWrap/>
            <w:vAlign w:val="center"/>
          </w:tcPr>
          <w:p>
            <w:pPr>
              <w:numPr>
                <w:ilvl w:val="0"/>
                <w:numId w:val="13"/>
              </w:numPr>
              <w:spacing w:line="360" w:lineRule="auto"/>
              <w:rPr>
                <w:rFonts w:ascii="宋体" w:eastAsia="宋体" w:hAnsi="宋体"/>
              </w:rPr>
            </w:pPr>
          </w:p>
        </w:tc>
        <w:tc>
          <w:tcPr>
            <w:tcW w:w="1304" w:type="dxa"/>
            <w:vMerge/>
            <w:shd w:val="clear" w:color="auto" w:fill="auto"/>
            <w:vAlign w:val="center"/>
          </w:tcPr>
          <w:p>
            <w:pPr>
              <w:rPr>
                <w:rFonts w:ascii="宋体" w:eastAsia="宋体" w:hAnsi="宋体"/>
              </w:rPr>
            </w:pPr>
          </w:p>
        </w:tc>
        <w:tc>
          <w:tcPr>
            <w:tcW w:w="2098" w:type="dxa"/>
            <w:vMerge w:val="restart"/>
            <w:shd w:val="clear" w:color="auto" w:fill="auto"/>
            <w:noWrap/>
            <w:vAlign w:val="center"/>
          </w:tcPr>
          <w:p>
            <w:pPr>
              <w:rPr>
                <w:rFonts w:ascii="宋体" w:eastAsia="宋体" w:hAnsi="宋体"/>
              </w:rPr>
            </w:pPr>
            <w:r>
              <w:rPr>
                <w:rFonts w:ascii="宋体" w:eastAsia="宋体" w:hAnsi="宋体" w:hint="eastAsia"/>
              </w:rPr>
              <w:t>工作报告输出</w:t>
            </w:r>
          </w:p>
        </w:tc>
        <w:tc>
          <w:tcPr>
            <w:tcW w:w="1275" w:type="dxa"/>
          </w:tcPr>
          <w:p>
            <w:pPr>
              <w:rPr>
                <w:rFonts w:ascii="宋体" w:eastAsia="宋体" w:hAnsi="宋体"/>
              </w:rPr>
            </w:pPr>
            <w:r>
              <w:rPr>
                <w:rFonts w:ascii="宋体" w:eastAsia="宋体" w:hAnsi="宋体" w:hint="eastAsia"/>
              </w:rPr>
              <w:t>每月</w:t>
            </w:r>
          </w:p>
        </w:tc>
        <w:tc>
          <w:tcPr>
            <w:tcW w:w="3724" w:type="dxa"/>
            <w:shd w:val="clear" w:color="auto" w:fill="auto"/>
            <w:vAlign w:val="center"/>
          </w:tcPr>
          <w:p>
            <w:pPr>
              <w:rPr>
                <w:rFonts w:ascii="宋体" w:eastAsia="宋体" w:hAnsi="宋体"/>
              </w:rPr>
            </w:pPr>
            <w:r>
              <w:rPr>
                <w:rFonts w:ascii="宋体" w:eastAsia="宋体" w:hAnsi="宋体" w:hint="eastAsia"/>
              </w:rPr>
              <w:t>《系统运维月报》</w:t>
            </w:r>
          </w:p>
        </w:tc>
      </w:tr>
      <w:tr>
        <w:tblPrEx>
          <w:tblW w:w="8940" w:type="dxa"/>
          <w:tblInd w:w="-5" w:type="dxa"/>
          <w:tblCellMar>
            <w:top w:w="0" w:type="dxa"/>
            <w:left w:w="108" w:type="dxa"/>
            <w:bottom w:w="0" w:type="dxa"/>
            <w:right w:w="108" w:type="dxa"/>
          </w:tblCellMar>
        </w:tblPrEx>
        <w:trPr>
          <w:trHeight w:val="570"/>
        </w:trPr>
        <w:tc>
          <w:tcPr>
            <w:tcW w:w="539" w:type="dxa"/>
            <w:shd w:val="clear" w:color="auto" w:fill="auto"/>
            <w:noWrap/>
            <w:vAlign w:val="center"/>
          </w:tcPr>
          <w:p>
            <w:pPr>
              <w:numPr>
                <w:ilvl w:val="0"/>
                <w:numId w:val="13"/>
              </w:numPr>
              <w:spacing w:line="360" w:lineRule="auto"/>
              <w:rPr>
                <w:rFonts w:ascii="宋体" w:eastAsia="宋体" w:hAnsi="宋体"/>
              </w:rPr>
            </w:pPr>
          </w:p>
        </w:tc>
        <w:tc>
          <w:tcPr>
            <w:tcW w:w="1304" w:type="dxa"/>
            <w:vMerge/>
            <w:shd w:val="clear" w:color="auto" w:fill="auto"/>
            <w:vAlign w:val="center"/>
          </w:tcPr>
          <w:p>
            <w:pPr>
              <w:rPr>
                <w:rFonts w:ascii="宋体" w:eastAsia="宋体" w:hAnsi="宋体"/>
              </w:rPr>
            </w:pPr>
          </w:p>
        </w:tc>
        <w:tc>
          <w:tcPr>
            <w:tcW w:w="2098" w:type="dxa"/>
            <w:vMerge/>
            <w:shd w:val="clear" w:color="auto" w:fill="auto"/>
            <w:noWrap/>
            <w:vAlign w:val="center"/>
          </w:tcPr>
          <w:p>
            <w:pPr>
              <w:rPr>
                <w:rFonts w:ascii="宋体" w:eastAsia="宋体" w:hAnsi="宋体"/>
              </w:rPr>
            </w:pPr>
          </w:p>
        </w:tc>
        <w:tc>
          <w:tcPr>
            <w:tcW w:w="1275" w:type="dxa"/>
          </w:tcPr>
          <w:p>
            <w:pPr>
              <w:rPr>
                <w:rFonts w:ascii="宋体" w:eastAsia="宋体" w:hAnsi="宋体"/>
              </w:rPr>
            </w:pPr>
            <w:r>
              <w:rPr>
                <w:rFonts w:ascii="宋体" w:eastAsia="宋体" w:hAnsi="宋体" w:hint="eastAsia"/>
              </w:rPr>
              <w:t>每年1次</w:t>
            </w:r>
          </w:p>
        </w:tc>
        <w:tc>
          <w:tcPr>
            <w:tcW w:w="3724" w:type="dxa"/>
            <w:shd w:val="clear" w:color="auto" w:fill="auto"/>
            <w:vAlign w:val="center"/>
          </w:tcPr>
          <w:p>
            <w:pPr>
              <w:rPr>
                <w:rFonts w:ascii="宋体" w:eastAsia="宋体" w:hAnsi="宋体"/>
              </w:rPr>
            </w:pPr>
            <w:r>
              <w:rPr>
                <w:rFonts w:ascii="宋体" w:eastAsia="宋体" w:hAnsi="宋体" w:hint="eastAsia"/>
              </w:rPr>
              <w:t>《年度运维服务工作总结》</w:t>
            </w:r>
          </w:p>
        </w:tc>
      </w:tr>
    </w:tbl>
    <w:p/>
    <w:p>
      <w:pPr>
        <w:snapToGrid w:val="0"/>
        <w:spacing w:line="360" w:lineRule="auto"/>
        <w:ind w:firstLine="420"/>
        <w:jc w:val="left"/>
        <w:rPr>
          <w:rFonts w:ascii="宋体" w:eastAsia="宋体" w:hAnsi="宋体" w:cs="Times New Roman"/>
          <w:szCs w:val="21"/>
        </w:rPr>
      </w:pPr>
    </w:p>
    <w:p>
      <w:pPr>
        <w:snapToGrid w:val="0"/>
        <w:spacing w:line="360" w:lineRule="auto"/>
        <w:jc w:val="left"/>
        <w:rPr>
          <w:rFonts w:ascii="宋体" w:eastAsia="宋体" w:hAnsi="宋体" w:cs="Times New Roman"/>
          <w:szCs w:val="21"/>
        </w:rPr>
      </w:pPr>
      <w:r>
        <w:rPr>
          <w:rFonts w:ascii="宋体" w:eastAsia="宋体" w:hAnsi="宋体" w:cs="Times New Roman" w:hint="eastAsia"/>
          <w:szCs w:val="21"/>
        </w:rPr>
        <w:t>　　（七）采购标的的其他技术、服务等要求。</w:t>
      </w:r>
    </w:p>
    <w:p>
      <w:pPr>
        <w:pStyle w:val="Heading2"/>
        <w:numPr>
          <w:ilvl w:val="0"/>
          <w:numId w:val="0"/>
        </w:numPr>
        <w:rPr>
          <w:rFonts w:ascii="黑体" w:eastAsia="黑体" w:hAnsi="黑体"/>
          <w:sz w:val="30"/>
          <w:szCs w:val="30"/>
        </w:rPr>
      </w:pPr>
      <w:bookmarkStart w:id="74" w:name="_Toc169020996"/>
      <w:r>
        <w:rPr>
          <w:rFonts w:ascii="黑体" w:eastAsia="黑体" w:hAnsi="黑体" w:hint="eastAsia"/>
          <w:sz w:val="30"/>
          <w:szCs w:val="30"/>
          <w:lang w:val="en-US" w:eastAsia="zh-CN"/>
        </w:rPr>
        <w:t>5</w:t>
      </w:r>
      <w:r>
        <w:rPr>
          <w:rFonts w:ascii="黑体" w:eastAsia="黑体" w:hAnsi="黑体" w:hint="eastAsia"/>
          <w:sz w:val="30"/>
          <w:szCs w:val="30"/>
        </w:rPr>
        <w:t>.</w:t>
      </w:r>
      <w:r>
        <w:rPr>
          <w:rFonts w:ascii="黑体" w:eastAsia="黑体" w:hAnsi="黑体" w:hint="eastAsia"/>
          <w:sz w:val="30"/>
          <w:szCs w:val="30"/>
          <w:lang w:val="en-US" w:eastAsia="zh-CN"/>
        </w:rPr>
        <w:t>7</w:t>
      </w:r>
      <w:r>
        <w:rPr>
          <w:rFonts w:ascii="黑体" w:eastAsia="黑体" w:hAnsi="黑体" w:hint="eastAsia"/>
          <w:sz w:val="30"/>
          <w:szCs w:val="30"/>
        </w:rPr>
        <w:t>培训要求</w:t>
      </w:r>
      <w:bookmarkEnd w:id="74"/>
    </w:p>
    <w:p>
      <w:pPr>
        <w:pStyle w:val="BodyTextFirstIndent"/>
        <w:spacing w:after="0" w:line="360" w:lineRule="auto"/>
        <w:ind w:firstLine="420" w:firstLineChars="200"/>
        <w:rPr>
          <w:rFonts w:ascii="宋体" w:hAnsi="宋体"/>
          <w:szCs w:val="21"/>
        </w:rPr>
      </w:pPr>
      <w:r>
        <w:rPr>
          <w:rFonts w:ascii="宋体" w:hAnsi="宋体" w:hint="eastAsia"/>
          <w:szCs w:val="21"/>
        </w:rPr>
        <w:t>提供本项目相关的各类设备和软件管理、使用配置培训服务。提供不少于</w:t>
      </w:r>
      <w:r>
        <w:rPr>
          <w:rFonts w:ascii="宋体" w:hAnsi="宋体"/>
          <w:szCs w:val="21"/>
        </w:rPr>
        <w:t>2</w:t>
      </w:r>
      <w:r>
        <w:rPr>
          <w:rFonts w:ascii="宋体" w:hAnsi="宋体" w:hint="eastAsia"/>
          <w:szCs w:val="21"/>
        </w:rPr>
        <w:t>次的不限人数用户现场技术培训。</w:t>
      </w:r>
    </w:p>
    <w:p>
      <w:pPr>
        <w:spacing w:line="360" w:lineRule="auto"/>
        <w:ind w:firstLine="420" w:firstLineChars="200"/>
        <w:rPr>
          <w:rFonts w:ascii="宋体" w:eastAsia="宋体" w:hAnsi="宋体" w:cs="Times New Roman"/>
          <w:szCs w:val="21"/>
        </w:rPr>
      </w:pPr>
    </w:p>
    <w:p>
      <w:pPr>
        <w:spacing w:line="360" w:lineRule="auto"/>
        <w:ind w:firstLine="420" w:firstLineChars="200"/>
        <w:rPr>
          <w:rFonts w:ascii="宋体" w:eastAsia="宋体" w:hAnsi="宋体" w:cs="Times New Roman"/>
          <w:szCs w:val="21"/>
        </w:rPr>
      </w:pPr>
    </w:p>
    <w:p w:rsidR="00A77B3E"/>
    <w:p>
      <w:pPr>
        <w:spacing w:before="156" w:beforeLines="50" w:line="360" w:lineRule="auto"/>
        <w:jc w:val="center"/>
        <w:outlineLvl w:val="1"/>
        <w:rPr>
          <w:rFonts w:ascii="宋体" w:hAnsi="宋体"/>
          <w:b/>
          <w:sz w:val="30"/>
          <w:szCs w:val="30"/>
        </w:rPr>
        <w:sectPr>
          <w:footerReference w:type="default" r:id="rId7"/>
          <w:pgSz w:w="11906" w:h="16838"/>
          <w:pgMar w:top="1440" w:right="1800" w:bottom="1440" w:left="1800" w:header="851" w:footer="992" w:gutter="0"/>
          <w:pgNumType w:start="1"/>
          <w:cols w:num="1" w:space="425"/>
          <w:docGrid w:type="lines" w:linePitch="312" w:charSpace="0"/>
        </w:sectPr>
      </w:pPr>
      <w:bookmarkEnd w:id="58"/>
    </w:p>
    <w:p>
      <w:pPr>
        <w:spacing w:before="156" w:beforeLines="50" w:line="360" w:lineRule="auto"/>
        <w:jc w:val="center"/>
        <w:outlineLvl w:val="1"/>
        <w:rPr>
          <w:rFonts w:ascii="宋体" w:hAnsi="宋体"/>
          <w:b/>
          <w:sz w:val="30"/>
          <w:szCs w:val="30"/>
          <w:highlight w:val="none"/>
        </w:rPr>
      </w:pPr>
      <w:bookmarkStart w:id="75" w:name="投标被拒绝条款专用部分_JJTK"/>
      <w:r>
        <w:rPr>
          <w:rFonts w:ascii="宋体" w:hAnsi="宋体" w:cs="Times New Roman" w:hint="eastAsia"/>
          <w:b/>
          <w:sz w:val="30"/>
          <w:szCs w:val="30"/>
          <w:highlight w:val="none"/>
        </w:rPr>
        <w:t>第八章  投标被拒绝条款专用部分</w:t>
      </w:r>
    </w:p>
    <w:p>
      <w:pPr>
        <w:adjustRightInd w:val="0"/>
        <w:snapToGrid w:val="0"/>
        <w:spacing w:before="156" w:beforeLines="50" w:line="360" w:lineRule="auto"/>
        <w:rPr>
          <w:rFonts w:ascii="宋体" w:hAnsi="宋体"/>
          <w:szCs w:val="21"/>
          <w:highlight w:val="none"/>
        </w:rPr>
      </w:pPr>
    </w:p>
    <w:p>
      <w:pPr>
        <w:adjustRightInd w:val="0"/>
        <w:snapToGrid w:val="0"/>
        <w:spacing w:before="156" w:beforeLines="50" w:line="360" w:lineRule="auto"/>
        <w:ind w:firstLine="420" w:firstLineChars="200"/>
        <w:rPr>
          <w:rFonts w:ascii="宋体" w:hAnsi="宋体"/>
          <w:szCs w:val="21"/>
          <w:highlight w:val="none"/>
        </w:rPr>
      </w:pPr>
      <w:r>
        <w:rPr>
          <w:rFonts w:ascii="宋体" w:hAnsi="宋体" w:cs="Times New Roman" w:hint="eastAsia"/>
          <w:szCs w:val="21"/>
          <w:highlight w:val="none"/>
        </w:rPr>
        <w:t>本项目投标被拒绝专用条款详见下表。除下表及</w:t>
      </w:r>
      <w:r>
        <w:rPr>
          <w:rFonts w:ascii="黑体" w:eastAsia="黑体" w:hAnsi="黑体" w:cs="Times New Roman" w:hint="eastAsia"/>
          <w:b/>
          <w:bCs/>
          <w:szCs w:val="21"/>
          <w:highlight w:val="none"/>
        </w:rPr>
        <w:t>第三章投标被拒绝条款通用部分</w:t>
      </w:r>
      <w:r>
        <w:rPr>
          <w:rFonts w:ascii="宋体" w:hAnsi="宋体" w:cs="Times New Roman"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sz w:val="18"/>
                <w:szCs w:val="18"/>
                <w:highlight w:val="none"/>
              </w:rPr>
            </w:pPr>
            <w:r>
              <w:rPr>
                <w:rFonts w:ascii="Times New Roman" w:hAnsi="Times New Roman" w:cs="Times New Roman" w:hint="eastAsia"/>
                <w:sz w:val="18"/>
                <w:szCs w:val="18"/>
                <w:highlight w:val="none"/>
              </w:rPr>
              <w:t>序号</w:t>
            </w:r>
          </w:p>
        </w:tc>
        <w:tc>
          <w:tcPr>
            <w:tcW w:w="898" w:type="dxa"/>
            <w:noWrap w:val="0"/>
            <w:vAlign w:val="center"/>
          </w:tcPr>
          <w:p>
            <w:pPr>
              <w:jc w:val="center"/>
              <w:rPr>
                <w:sz w:val="18"/>
                <w:szCs w:val="18"/>
                <w:highlight w:val="none"/>
              </w:rPr>
            </w:pPr>
            <w:r>
              <w:rPr>
                <w:rFonts w:ascii="Times New Roman" w:hAnsi="Times New Roman" w:cs="Times New Roman" w:hint="eastAsia"/>
                <w:sz w:val="18"/>
                <w:szCs w:val="18"/>
                <w:highlight w:val="none"/>
              </w:rPr>
              <w:t>对应</w:t>
            </w:r>
          </w:p>
          <w:p>
            <w:pPr>
              <w:jc w:val="center"/>
              <w:rPr>
                <w:sz w:val="18"/>
                <w:szCs w:val="18"/>
                <w:highlight w:val="none"/>
              </w:rPr>
            </w:pPr>
            <w:r>
              <w:rPr>
                <w:rFonts w:ascii="Times New Roman" w:hAnsi="Times New Roman" w:cs="Times New Roman" w:hint="eastAsia"/>
                <w:sz w:val="18"/>
                <w:szCs w:val="18"/>
                <w:highlight w:val="none"/>
              </w:rPr>
              <w:t>条款号</w:t>
            </w:r>
          </w:p>
        </w:tc>
        <w:tc>
          <w:tcPr>
            <w:tcW w:w="7347" w:type="dxa"/>
            <w:noWrap w:val="0"/>
            <w:vAlign w:val="center"/>
          </w:tcPr>
          <w:p>
            <w:pPr>
              <w:jc w:val="center"/>
              <w:rPr>
                <w:sz w:val="18"/>
                <w:szCs w:val="18"/>
                <w:highlight w:val="none"/>
              </w:rPr>
            </w:pPr>
            <w:r>
              <w:rPr>
                <w:rFonts w:ascii="Times New Roman" w:hAnsi="Times New Roman" w:cs="Times New Roman"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b/>
                <w:sz w:val="18"/>
                <w:szCs w:val="18"/>
                <w:highlight w:val="none"/>
              </w:rPr>
            </w:pPr>
            <w:r>
              <w:rPr>
                <w:rFonts w:ascii="Times New Roman" w:hAnsi="Times New Roman" w:cs="Times New Roman"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7"/>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top"/>
          </w:tcPr>
          <w:p>
            <w:pPr>
              <w:tabs>
                <w:tab w:val="left" w:pos="709"/>
              </w:tabs>
              <w:spacing w:line="360" w:lineRule="auto"/>
              <w:jc w:val="left"/>
              <w:rPr>
                <w:rFonts w:ascii="宋体" w:hAnsi="宋体"/>
                <w:sz w:val="18"/>
                <w:szCs w:val="18"/>
                <w:highlight w:val="none"/>
              </w:rPr>
            </w:pP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sz w:val="18"/>
                <w:szCs w:val="18"/>
                <w:highlight w:val="none"/>
              </w:rPr>
            </w:pPr>
            <w:r>
              <w:rPr>
                <w:rFonts w:ascii="Times New Roman" w:hAnsi="Times New Roman" w:cs="Times New Roman"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7"/>
              </w:numPr>
              <w:rPr>
                <w:rFonts w:ascii="宋体" w:hAnsi="宋体"/>
                <w:sz w:val="18"/>
                <w:szCs w:val="18"/>
                <w:highlight w:val="none"/>
              </w:rPr>
            </w:pPr>
          </w:p>
        </w:tc>
        <w:tc>
          <w:tcPr>
            <w:tcW w:w="898" w:type="dxa"/>
            <w:noWrap w:val="0"/>
            <w:vAlign w:val="center"/>
          </w:tcPr>
          <w:p>
            <w:pPr>
              <w:jc w:val="center"/>
              <w:rPr>
                <w:rFonts w:ascii="宋体" w:hAnsi="宋体" w:hint="default"/>
                <w:sz w:val="18"/>
                <w:szCs w:val="18"/>
                <w:highlight w:val="none"/>
              </w:rPr>
            </w:pPr>
            <w:r>
              <w:rPr>
                <w:rFonts w:ascii="宋体" w:hAnsi="宋体" w:cs="Times New Roman" w:hint="eastAsia"/>
                <w:sz w:val="18"/>
                <w:szCs w:val="18"/>
                <w:highlight w:val="none"/>
                <w:lang w:val="en-US" w:eastAsia="zh-CN"/>
              </w:rPr>
              <w:t>5.4</w:t>
            </w: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*投标人需提供承诺（格式自拟）：为本项目提供</w:t>
            </w:r>
            <w:r>
              <w:rPr>
                <w:rFonts w:ascii="宋体" w:hAnsi="宋体" w:cs="微软雅黑" w:hint="eastAsia"/>
                <w:b/>
                <w:color w:val="0000FF"/>
                <w:kern w:val="0"/>
                <w:sz w:val="18"/>
                <w:szCs w:val="18"/>
                <w:highlight w:val="none"/>
                <w:lang w:val="en-US" w:eastAsia="zh-CN"/>
              </w:rPr>
              <w:t>2</w:t>
            </w:r>
            <w:r>
              <w:rPr>
                <w:rFonts w:ascii="宋体" w:hAnsi="宋体" w:cs="微软雅黑" w:hint="eastAsia"/>
                <w:b/>
                <w:color w:val="0000FF"/>
                <w:kern w:val="0"/>
                <w:sz w:val="18"/>
                <w:szCs w:val="18"/>
                <w:highlight w:val="none"/>
              </w:rPr>
              <w:t>名驻场服务人员。</w:t>
            </w:r>
          </w:p>
        </w:tc>
      </w:tr>
    </w:tbl>
    <w:p>
      <w:pPr>
        <w:spacing w:before="156" w:beforeLines="50" w:line="360" w:lineRule="auto"/>
        <w:rPr>
          <w:rFonts w:ascii="宋体" w:hAnsi="宋体"/>
          <w:szCs w:val="21"/>
          <w:highlight w:val="none"/>
        </w:rPr>
      </w:pPr>
      <w:r>
        <w:rPr>
          <w:rFonts w:ascii="宋体" w:hAnsi="宋体" w:cs="Times New Roman" w:hint="eastAsia"/>
          <w:szCs w:val="21"/>
          <w:highlight w:val="none"/>
        </w:rPr>
        <w:t>注：根据项目具体情况，对投标人有具体要求，且投标人必须遵守的，逐条列出。</w:t>
      </w:r>
    </w:p>
    <w:p>
      <w:pPr>
        <w:spacing w:before="156" w:beforeLines="50" w:line="360" w:lineRule="auto"/>
        <w:ind w:firstLine="420"/>
        <w:rPr>
          <w:highlight w:val="none"/>
        </w:rPr>
      </w:pPr>
    </w:p>
    <w:p w:rsidR="00A77B3E"/>
    <w:p>
      <w:pPr>
        <w:spacing w:before="156" w:beforeLines="50" w:line="360" w:lineRule="auto"/>
        <w:jc w:val="center"/>
        <w:outlineLvl w:val="1"/>
        <w:rPr>
          <w:rFonts w:ascii="宋体" w:hAnsi="宋体"/>
          <w:b/>
          <w:sz w:val="30"/>
          <w:szCs w:val="30"/>
          <w:highlight w:val="none"/>
        </w:rPr>
        <w:sectPr>
          <w:headerReference w:type="default" r:id="rId8"/>
          <w:footerReference w:type="default" r:id="rId9"/>
          <w:pgSz w:w="11906" w:h="16838"/>
          <w:pgMar w:top="1440" w:right="1800" w:bottom="1440" w:left="1800" w:header="851" w:footer="992" w:gutter="0"/>
          <w:cols w:space="708"/>
          <w:docGrid w:type="lines" w:linePitch="312"/>
        </w:sectPr>
      </w:pPr>
      <w:bookmarkEnd w:id="75"/>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AA7AB4">
      <w:pPr>
        <w:numPr>
          <w:ilvl w:val="0"/>
          <w:numId w:val="14"/>
        </w:numPr>
        <w:spacing w:line="360" w:lineRule="auto"/>
        <w:ind w:firstLine="3066" w:firstLineChars="1460"/>
        <w:jc w:val="left"/>
        <w:rPr>
          <w:rFonts w:ascii="Times New Roman" w:eastAsia="宋体" w:hAnsi="Times New Roman" w:cs="Times New Roman"/>
          <w:b/>
          <w:bCs/>
          <w:szCs w:val="21"/>
        </w:rPr>
      </w:pPr>
      <w:bookmarkStart w:id="76" w:name="采购公告合同部分_ZBGGHT"/>
      <w:r>
        <w:rPr>
          <w:rFonts w:ascii="Times New Roman" w:eastAsia="宋体" w:hAnsi="Times New Roman" w:cs="Times New Roman" w:hint="eastAsia"/>
          <w:b/>
          <w:bCs/>
          <w:szCs w:val="21"/>
        </w:rPr>
        <w:t xml:space="preserve"> </w:t>
      </w:r>
      <w:r>
        <w:rPr>
          <w:rFonts w:ascii="Times New Roman" w:eastAsia="宋体" w:hAnsi="Times New Roman" w:cs="Times New Roman" w:hint="eastAsia"/>
          <w:b/>
          <w:bCs/>
          <w:szCs w:val="21"/>
        </w:rPr>
        <w:t>采购合同</w:t>
      </w:r>
    </w:p>
    <w:p w:rsidR="00AA7AB4">
      <w:pPr>
        <w:spacing w:line="360" w:lineRule="auto"/>
        <w:ind w:left="1680" w:firstLine="420"/>
        <w:jc w:val="left"/>
        <w:rPr>
          <w:rFonts w:ascii="Times New Roman" w:eastAsia="宋体" w:hAnsi="Times New Roman" w:cs="Times New Roman"/>
          <w:b/>
          <w:bCs/>
          <w:szCs w:val="21"/>
        </w:rPr>
      </w:pPr>
      <w:r>
        <w:rPr>
          <w:rFonts w:hint="eastAsia"/>
          <w:b/>
          <w:bCs/>
          <w:szCs w:val="21"/>
        </w:rPr>
        <w:t>必须明确合同金额支付条件及支付比例</w:t>
      </w:r>
    </w:p>
    <w:p w:rsidR="00AA7AB4">
      <w:pPr>
        <w:spacing w:line="360" w:lineRule="auto"/>
        <w:ind w:firstLine="3066" w:firstLineChars="146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rsidR="00AA7AB4">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服务类政府采购合同</w:t>
      </w:r>
    </w:p>
    <w:p w:rsidR="00AA7AB4">
      <w:pPr>
        <w:rPr>
          <w:rFonts w:ascii="宋体" w:eastAsia="宋体" w:hAnsi="宋体" w:cs="宋体"/>
          <w:b/>
          <w:bCs/>
          <w:spacing w:val="-20"/>
          <w:kern w:val="44"/>
          <w:sz w:val="40"/>
          <w:szCs w:val="40"/>
        </w:rPr>
      </w:pPr>
    </w:p>
    <w:p w:rsidR="00AA7AB4">
      <w:pPr>
        <w:rPr>
          <w:rFonts w:ascii="宋体" w:eastAsia="宋体" w:hAnsi="宋体" w:cs="宋体"/>
          <w:b/>
          <w:bCs/>
          <w:spacing w:val="-20"/>
          <w:kern w:val="44"/>
          <w:sz w:val="40"/>
          <w:szCs w:val="40"/>
        </w:rPr>
      </w:pPr>
    </w:p>
    <w:p w:rsidR="00AA7AB4">
      <w:pPr>
        <w:rPr>
          <w:rFonts w:ascii="宋体" w:eastAsia="宋体" w:hAnsi="宋体" w:cs="宋体"/>
          <w:b/>
          <w:bCs/>
          <w:spacing w:val="-20"/>
          <w:kern w:val="44"/>
          <w:sz w:val="40"/>
          <w:szCs w:val="40"/>
        </w:rPr>
      </w:pPr>
    </w:p>
    <w:p w:rsidR="00AA7AB4">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rsidR="00AA7AB4">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rsidR="00AA7AB4">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AA7AB4">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AA7AB4">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rsidR="00AA7AB4">
      <w:pPr>
        <w:rPr>
          <w:rFonts w:ascii="Times New Roman" w:eastAsia="宋体" w:hAnsi="Times New Roman" w:cs="Times New Roman"/>
          <w:szCs w:val="20"/>
        </w:rPr>
      </w:pPr>
    </w:p>
    <w:p w:rsidR="00AA7AB4">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rsidR="00AA7AB4">
      <w:pPr>
        <w:rPr>
          <w:rFonts w:ascii="Times New Roman" w:eastAsia="黑体" w:hAnsi="Times New Roman" w:cs="Times New Roman"/>
          <w:sz w:val="44"/>
          <w:szCs w:val="44"/>
        </w:rPr>
      </w:pPr>
    </w:p>
    <w:p w:rsidR="00AA7AB4">
      <w:pPr>
        <w:rPr>
          <w:rFonts w:ascii="Times New Roman" w:eastAsia="黑体" w:hAnsi="Times New Roman" w:cs="Times New Roman"/>
          <w:sz w:val="44"/>
          <w:szCs w:val="44"/>
        </w:rPr>
      </w:pPr>
    </w:p>
    <w:p w:rsidR="00AA7AB4">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用</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说</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明</w:t>
      </w:r>
    </w:p>
    <w:p w:rsidR="00AA7AB4">
      <w:pPr>
        <w:ind w:firstLine="640" w:firstLineChars="200"/>
        <w:rPr>
          <w:rFonts w:ascii="仿宋_GB2312" w:eastAsia="仿宋_GB2312" w:hAnsi="仿宋_GB2312" w:cs="仿宋_GB2312"/>
          <w:sz w:val="32"/>
          <w:szCs w:val="32"/>
        </w:rPr>
      </w:pPr>
    </w:p>
    <w:p w:rsidR="00AA7AB4">
      <w:pPr>
        <w:numPr>
          <w:ilvl w:val="0"/>
          <w:numId w:val="15"/>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本合同标准文本适用于气象部门服务类（非定制开发软件）采购项目。</w:t>
      </w:r>
    </w:p>
    <w:p w:rsidR="00AA7AB4">
      <w:pPr>
        <w:numPr>
          <w:ilvl w:val="0"/>
          <w:numId w:val="15"/>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可以结合采购项目具体情况，对文本作必要的调整修订后使用。</w:t>
      </w:r>
    </w:p>
    <w:p w:rsidR="00AA7AB4">
      <w:pPr>
        <w:numPr>
          <w:ilvl w:val="0"/>
          <w:numId w:val="15"/>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rsidR="00AA7AB4">
      <w:pPr>
        <w:widowControl/>
        <w:jc w:val="left"/>
        <w:rPr>
          <w:rFonts w:ascii="宋体" w:eastAsia="宋体" w:hAnsi="宋体" w:cs="Times New Roman"/>
          <w:szCs w:val="21"/>
        </w:rPr>
      </w:pPr>
      <w:r>
        <w:rPr>
          <w:rFonts w:ascii="宋体" w:eastAsia="宋体" w:hAnsi="宋体" w:cs="Times New Roman"/>
          <w:szCs w:val="21"/>
        </w:rPr>
        <w:br w:type="page"/>
      </w:r>
    </w:p>
    <w:p w:rsidR="00AA7AB4">
      <w:pPr>
        <w:snapToGrid w:val="0"/>
        <w:spacing w:line="360" w:lineRule="auto"/>
        <w:ind w:firstLine="420"/>
        <w:rPr>
          <w:rFonts w:ascii="宋体" w:eastAsia="宋体" w:hAnsi="宋体" w:cs="Times New Roman"/>
          <w:szCs w:val="21"/>
        </w:rPr>
      </w:pPr>
    </w:p>
    <w:p w:rsidR="00AA7AB4">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第一部分</w:t>
      </w:r>
      <w:r>
        <w:rPr>
          <w:rFonts w:ascii="宋体" w:eastAsia="宋体" w:hAnsi="宋体" w:cs="Times New Roman" w:hint="eastAsia"/>
          <w:b/>
          <w:sz w:val="30"/>
          <w:szCs w:val="30"/>
        </w:rPr>
        <w:t xml:space="preserve">  </w:t>
      </w:r>
      <w:r>
        <w:rPr>
          <w:rFonts w:ascii="宋体" w:eastAsia="宋体" w:hAnsi="宋体" w:cs="Times New Roman" w:hint="eastAsia"/>
          <w:b/>
          <w:sz w:val="30"/>
          <w:szCs w:val="30"/>
        </w:rPr>
        <w:t>合同专用部分</w:t>
      </w:r>
    </w:p>
    <w:p w:rsidR="00AA7AB4">
      <w:pPr>
        <w:snapToGrid w:val="0"/>
        <w:spacing w:line="360" w:lineRule="auto"/>
        <w:ind w:firstLine="420"/>
        <w:jc w:val="center"/>
        <w:rPr>
          <w:rFonts w:ascii="宋体" w:eastAsia="宋体" w:hAnsi="宋体" w:cs="Times New Roman"/>
          <w:szCs w:val="21"/>
        </w:rPr>
      </w:pPr>
    </w:p>
    <w:p w:rsidR="00AA7AB4">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甲方（采购人）：</w:t>
      </w:r>
      <w:r>
        <w:rPr>
          <w:rFonts w:ascii="Times New Roman" w:eastAsia="宋体" w:hAnsi="Times New Roman" w:cs="Times New Roman" w:hint="eastAsia"/>
          <w:szCs w:val="21"/>
          <w:u w:val="single"/>
        </w:rPr>
        <w:t xml:space="preserve">                                  </w:t>
      </w:r>
    </w:p>
    <w:p w:rsidR="00AA7AB4">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乙方（中标人）：</w:t>
      </w:r>
      <w:r>
        <w:rPr>
          <w:rFonts w:ascii="Times New Roman" w:eastAsia="宋体" w:hAnsi="Times New Roman" w:cs="Times New Roman" w:hint="eastAsia"/>
          <w:szCs w:val="21"/>
          <w:u w:val="single"/>
        </w:rPr>
        <w:t xml:space="preserve">                                  </w:t>
      </w:r>
    </w:p>
    <w:p w:rsidR="00AA7AB4">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甲乙双方</w:t>
      </w:r>
      <w:r>
        <w:rPr>
          <w:rFonts w:ascii="Calibri" w:eastAsia="宋体" w:hAnsi="Calibri" w:cs="Times New Roman" w:hint="eastAsia"/>
          <w:szCs w:val="21"/>
        </w:rPr>
        <w:t>根据《中华人民共和国民法典（合同编）》、《中华人民共和国政府采购法》、《中华人民共和国政府采购法实施条例》和相关法律法规以及本项目招标文件的规定，</w:t>
      </w:r>
      <w:r>
        <w:rPr>
          <w:rFonts w:ascii="Times New Roman" w:eastAsia="宋体" w:hAnsi="Times New Roman" w:cs="Times New Roman" w:hint="eastAsia"/>
          <w:szCs w:val="21"/>
        </w:rPr>
        <w:t>经平等协商达成合同如下：</w:t>
      </w:r>
    </w:p>
    <w:p w:rsidR="00AA7AB4">
      <w:pPr>
        <w:adjustRightInd w:val="0"/>
        <w:snapToGrid w:val="0"/>
        <w:spacing w:line="360" w:lineRule="auto"/>
        <w:ind w:firstLine="412" w:firstLineChars="196"/>
        <w:rPr>
          <w:rFonts w:ascii="Times New Roman" w:eastAsia="宋体" w:hAnsi="Times New Roman" w:cs="Times New Roman"/>
          <w:b/>
          <w:szCs w:val="20"/>
        </w:rPr>
      </w:pPr>
      <w:r>
        <w:rPr>
          <w:rFonts w:ascii="Times New Roman" w:eastAsia="宋体" w:hAnsi="Times New Roman" w:cs="Times New Roman" w:hint="eastAsia"/>
          <w:b/>
          <w:szCs w:val="20"/>
        </w:rPr>
        <w:t>一、项目</w:t>
      </w:r>
    </w:p>
    <w:p w:rsidR="00AA7AB4">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项目名称：</w:t>
      </w:r>
      <w:r>
        <w:rPr>
          <w:rFonts w:ascii="Times New Roman" w:eastAsia="宋体" w:hAnsi="Times New Roman" w:cs="Times New Roman" w:hint="eastAsia"/>
          <w:szCs w:val="21"/>
          <w:u w:val="single"/>
        </w:rPr>
        <w:t xml:space="preserve">                                    </w:t>
      </w:r>
    </w:p>
    <w:p w:rsidR="00AA7AB4">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项目编号和分包号：</w:t>
      </w:r>
      <w:r>
        <w:rPr>
          <w:rFonts w:ascii="Times New Roman" w:eastAsia="宋体" w:hAnsi="Times New Roman" w:cs="Times New Roman" w:hint="eastAsia"/>
          <w:szCs w:val="21"/>
          <w:u w:val="single"/>
        </w:rPr>
        <w:t xml:space="preserve">                            </w:t>
      </w:r>
    </w:p>
    <w:p w:rsidR="00AA7AB4">
      <w:pPr>
        <w:adjustRightInd w:val="0"/>
        <w:snapToGrid w:val="0"/>
        <w:spacing w:line="360" w:lineRule="auto"/>
        <w:ind w:firstLine="420" w:firstLineChars="200"/>
        <w:rPr>
          <w:rFonts w:ascii="宋体" w:eastAsia="宋体" w:hAnsi="宋体" w:cs="Times New Roman"/>
          <w:b/>
          <w:szCs w:val="28"/>
        </w:rPr>
      </w:pPr>
      <w:r>
        <w:rPr>
          <w:rFonts w:ascii="Times New Roman" w:eastAsia="宋体" w:hAnsi="Times New Roman" w:cs="Times New Roman" w:hint="eastAsia"/>
          <w:szCs w:val="21"/>
        </w:rPr>
        <w:t>二、</w:t>
      </w:r>
      <w:r>
        <w:rPr>
          <w:rFonts w:ascii="宋体" w:eastAsia="宋体" w:hAnsi="宋体" w:cs="Times New Roman" w:hint="eastAsia"/>
          <w:b/>
          <w:szCs w:val="28"/>
        </w:rPr>
        <w:t>合同标的</w:t>
      </w:r>
    </w:p>
    <w:p w:rsidR="00AA7AB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8"/>
        <w:gridCol w:w="2935"/>
        <w:gridCol w:w="735"/>
        <w:gridCol w:w="1318"/>
        <w:gridCol w:w="750"/>
        <w:gridCol w:w="127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768" w:type="dxa"/>
            <w:vAlign w:val="center"/>
          </w:tcPr>
          <w:p w:rsidR="00AA7AB4">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序号</w:t>
            </w:r>
          </w:p>
        </w:tc>
        <w:tc>
          <w:tcPr>
            <w:tcW w:w="2935" w:type="dxa"/>
            <w:vAlign w:val="center"/>
          </w:tcPr>
          <w:p w:rsidR="00AA7AB4">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服务产品名称</w:t>
            </w:r>
          </w:p>
        </w:tc>
        <w:tc>
          <w:tcPr>
            <w:tcW w:w="735" w:type="dxa"/>
            <w:vAlign w:val="center"/>
          </w:tcPr>
          <w:p w:rsidR="00AA7AB4">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数量</w:t>
            </w:r>
          </w:p>
        </w:tc>
        <w:tc>
          <w:tcPr>
            <w:tcW w:w="1318" w:type="dxa"/>
            <w:vAlign w:val="center"/>
          </w:tcPr>
          <w:p w:rsidR="00AA7AB4">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质量说明</w:t>
            </w:r>
          </w:p>
        </w:tc>
        <w:tc>
          <w:tcPr>
            <w:tcW w:w="750" w:type="dxa"/>
            <w:vAlign w:val="center"/>
          </w:tcPr>
          <w:p w:rsidR="00AA7AB4">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价格</w:t>
            </w:r>
          </w:p>
        </w:tc>
        <w:tc>
          <w:tcPr>
            <w:tcW w:w="1275" w:type="dxa"/>
            <w:vAlign w:val="center"/>
          </w:tcPr>
          <w:p w:rsidR="00AA7AB4">
            <w:pPr>
              <w:tabs>
                <w:tab w:val="left" w:pos="1573"/>
              </w:tabs>
              <w:autoSpaceDE w:val="0"/>
              <w:autoSpaceDN w:val="0"/>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交付时间</w:t>
            </w:r>
          </w:p>
        </w:tc>
      </w:tr>
      <w:tr>
        <w:tblPrEx>
          <w:tblW w:w="0" w:type="auto"/>
          <w:jc w:val="center"/>
          <w:tblLayout w:type="fixed"/>
          <w:tblLook w:val="04A0"/>
        </w:tblPrEx>
        <w:trPr>
          <w:jc w:val="center"/>
        </w:trPr>
        <w:tc>
          <w:tcPr>
            <w:tcW w:w="768" w:type="dxa"/>
            <w:vAlign w:val="center"/>
          </w:tcPr>
          <w:p w:rsidR="00AA7AB4">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AA7AB4">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AA7AB4">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AA7AB4">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rsidR="00AA7AB4">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rsidR="00AA7AB4">
            <w:pPr>
              <w:tabs>
                <w:tab w:val="left" w:pos="1573"/>
              </w:tabs>
              <w:autoSpaceDE w:val="0"/>
              <w:autoSpaceDN w:val="0"/>
              <w:adjustRightInd w:val="0"/>
              <w:snapToGrid w:val="0"/>
              <w:spacing w:line="360" w:lineRule="auto"/>
              <w:rPr>
                <w:rFonts w:ascii="宋体" w:eastAsia="宋体" w:hAnsi="宋体" w:cs="Times New Roman"/>
                <w:szCs w:val="21"/>
              </w:rPr>
            </w:pPr>
          </w:p>
        </w:tc>
      </w:tr>
      <w:tr>
        <w:tblPrEx>
          <w:tblW w:w="0" w:type="auto"/>
          <w:jc w:val="center"/>
          <w:tblLayout w:type="fixed"/>
          <w:tblLook w:val="04A0"/>
        </w:tblPrEx>
        <w:trPr>
          <w:jc w:val="center"/>
        </w:trPr>
        <w:tc>
          <w:tcPr>
            <w:tcW w:w="768" w:type="dxa"/>
            <w:vAlign w:val="center"/>
          </w:tcPr>
          <w:p w:rsidR="00AA7AB4">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AA7AB4">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AA7AB4">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AA7AB4">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rsidR="00AA7AB4">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rsidR="00AA7AB4">
            <w:pPr>
              <w:tabs>
                <w:tab w:val="left" w:pos="1573"/>
              </w:tabs>
              <w:autoSpaceDE w:val="0"/>
              <w:autoSpaceDN w:val="0"/>
              <w:adjustRightInd w:val="0"/>
              <w:snapToGrid w:val="0"/>
              <w:spacing w:line="360" w:lineRule="auto"/>
              <w:rPr>
                <w:rFonts w:ascii="宋体" w:eastAsia="宋体" w:hAnsi="宋体" w:cs="Times New Roman"/>
                <w:szCs w:val="21"/>
              </w:rPr>
            </w:pPr>
          </w:p>
        </w:tc>
      </w:tr>
      <w:tr>
        <w:tblPrEx>
          <w:tblW w:w="0" w:type="auto"/>
          <w:jc w:val="center"/>
          <w:tblLayout w:type="fixed"/>
          <w:tblLook w:val="04A0"/>
        </w:tblPrEx>
        <w:trPr>
          <w:jc w:val="center"/>
        </w:trPr>
        <w:tc>
          <w:tcPr>
            <w:tcW w:w="768" w:type="dxa"/>
            <w:vAlign w:val="center"/>
          </w:tcPr>
          <w:p w:rsidR="00AA7AB4">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AA7AB4">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AA7AB4">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AA7AB4">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rsidR="00AA7AB4">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rsidR="00AA7AB4">
            <w:pPr>
              <w:tabs>
                <w:tab w:val="left" w:pos="1573"/>
              </w:tabs>
              <w:autoSpaceDE w:val="0"/>
              <w:autoSpaceDN w:val="0"/>
              <w:adjustRightInd w:val="0"/>
              <w:snapToGrid w:val="0"/>
              <w:spacing w:line="360" w:lineRule="auto"/>
              <w:rPr>
                <w:rFonts w:ascii="宋体" w:eastAsia="宋体" w:hAnsi="宋体" w:cs="Times New Roman"/>
                <w:szCs w:val="21"/>
              </w:rPr>
            </w:pPr>
          </w:p>
        </w:tc>
      </w:tr>
    </w:tbl>
    <w:p w:rsidR="00AA7AB4">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rPr>
        <w:t>三</w:t>
      </w:r>
      <w:r>
        <w:rPr>
          <w:rFonts w:ascii="Times New Roman" w:eastAsia="宋体" w:hAnsi="宋体" w:cs="Times New Roman" w:hint="eastAsia"/>
          <w:b/>
          <w:szCs w:val="20"/>
        </w:rPr>
        <w:t>、合同价格及</w:t>
      </w:r>
      <w:r>
        <w:rPr>
          <w:rFonts w:ascii="宋体" w:eastAsia="宋体" w:hAnsi="宋体" w:cs="Times New Roman" w:hint="eastAsia"/>
          <w:b/>
          <w:szCs w:val="28"/>
        </w:rPr>
        <w:t>付款方式</w:t>
      </w:r>
    </w:p>
    <w:p w:rsidR="00AA7AB4">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、合同总金额为人民币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rsidR="00AA7AB4">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、合同生效后付款：双方签署合同后</w:t>
      </w:r>
      <w:r w:rsidR="00953E8A">
        <w:rPr>
          <w:rFonts w:ascii="宋体" w:eastAsia="宋体" w:hAnsi="宋体" w:cs="Times New Roman" w:hint="eastAsia"/>
          <w:szCs w:val="21"/>
        </w:rPr>
        <w:t>10</w:t>
      </w:r>
      <w:r>
        <w:rPr>
          <w:rFonts w:ascii="宋体" w:eastAsia="宋体" w:hAnsi="宋体" w:cs="Times New Roman" w:hint="eastAsia"/>
          <w:szCs w:val="21"/>
        </w:rPr>
        <w:t>个工作日内，甲方向乙方支付合同总金额的</w:t>
      </w:r>
      <w:r w:rsidR="00953E8A">
        <w:rPr>
          <w:rFonts w:ascii="宋体" w:eastAsia="宋体" w:hAnsi="宋体" w:cs="微软雅黑" w:hint="eastAsia"/>
          <w:b/>
          <w:color w:val="0000FF"/>
          <w:kern w:val="0"/>
          <w:szCs w:val="21"/>
        </w:rPr>
        <w:t>30</w:t>
      </w:r>
      <w:r>
        <w:rPr>
          <w:rFonts w:ascii="宋体" w:eastAsia="宋体" w:hAnsi="宋体" w:cs="微软雅黑" w:hint="eastAsia"/>
          <w:b/>
          <w:color w:val="0000FF"/>
          <w:kern w:val="0"/>
          <w:szCs w:val="21"/>
        </w:rPr>
        <w:t>%</w:t>
      </w:r>
      <w:r>
        <w:rPr>
          <w:rFonts w:ascii="宋体" w:eastAsia="宋体" w:hAnsi="宋体" w:cs="Times New Roman" w:hint="eastAsia"/>
          <w:szCs w:val="21"/>
        </w:rPr>
        <w:t>，即人民币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rsidR="00AA7AB4">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w:t>
      </w:r>
      <w:r w:rsidR="00953E8A">
        <w:rPr>
          <w:rFonts w:ascii="宋体" w:eastAsia="宋体" w:hAnsi="宋体" w:cs="Times New Roman" w:hint="eastAsia"/>
          <w:szCs w:val="21"/>
        </w:rPr>
        <w:t>通过中期检查</w:t>
      </w:r>
      <w:r>
        <w:rPr>
          <w:rFonts w:ascii="宋体" w:eastAsia="宋体" w:hAnsi="宋体" w:cs="Times New Roman" w:hint="eastAsia"/>
          <w:szCs w:val="21"/>
        </w:rPr>
        <w:t>后付款：</w:t>
      </w:r>
      <w:r w:rsidR="00953E8A">
        <w:rPr>
          <w:rFonts w:ascii="宋体" w:eastAsia="宋体" w:hAnsi="宋体" w:cs="Times New Roman" w:hint="eastAsia"/>
          <w:szCs w:val="21"/>
        </w:rPr>
        <w:t>甲</w:t>
      </w:r>
      <w:r>
        <w:rPr>
          <w:rFonts w:ascii="宋体" w:eastAsia="宋体" w:hAnsi="宋体" w:cs="Times New Roman" w:hint="eastAsia"/>
          <w:szCs w:val="21"/>
        </w:rPr>
        <w:t>方</w:t>
      </w:r>
      <w:r w:rsidR="00953E8A">
        <w:rPr>
          <w:rFonts w:ascii="宋体" w:eastAsia="宋体" w:hAnsi="宋体" w:cs="Times New Roman" w:hint="eastAsia"/>
          <w:szCs w:val="21"/>
        </w:rPr>
        <w:t>组织中期检查</w:t>
      </w:r>
      <w:r>
        <w:rPr>
          <w:rFonts w:ascii="宋体" w:eastAsia="宋体" w:hAnsi="宋体" w:cs="Times New Roman" w:hint="eastAsia"/>
          <w:szCs w:val="21"/>
        </w:rPr>
        <w:t>后</w:t>
      </w:r>
      <w:r>
        <w:rPr>
          <w:rFonts w:ascii="宋体" w:eastAsia="宋体" w:hAnsi="宋体" w:cs="Times New Roman" w:hint="eastAsia"/>
          <w:szCs w:val="21"/>
        </w:rPr>
        <w:t>，</w:t>
      </w:r>
      <w:r w:rsidR="00953E8A">
        <w:rPr>
          <w:rFonts w:ascii="宋体" w:eastAsia="宋体" w:hAnsi="宋体" w:cs="Times New Roman" w:hint="eastAsia"/>
          <w:szCs w:val="21"/>
        </w:rPr>
        <w:t>视情况</w:t>
      </w:r>
      <w:r>
        <w:rPr>
          <w:rFonts w:ascii="宋体" w:eastAsia="宋体" w:hAnsi="宋体" w:cs="Times New Roman" w:hint="eastAsia"/>
          <w:szCs w:val="21"/>
        </w:rPr>
        <w:t>向乙方支付合同总金额的</w:t>
      </w:r>
      <w:r w:rsidR="00953E8A">
        <w:rPr>
          <w:rFonts w:ascii="宋体" w:eastAsia="宋体" w:hAnsi="宋体" w:cs="微软雅黑" w:hint="eastAsia"/>
          <w:b/>
          <w:color w:val="0000FF"/>
          <w:kern w:val="0"/>
          <w:szCs w:val="21"/>
        </w:rPr>
        <w:t>50</w:t>
      </w:r>
      <w:r>
        <w:rPr>
          <w:rFonts w:ascii="宋体" w:eastAsia="宋体" w:hAnsi="宋体" w:cs="微软雅黑" w:hint="eastAsia"/>
          <w:b/>
          <w:color w:val="0000FF"/>
          <w:kern w:val="0"/>
          <w:szCs w:val="21"/>
        </w:rPr>
        <w:t>%</w:t>
      </w:r>
      <w:r>
        <w:rPr>
          <w:rFonts w:ascii="宋体" w:eastAsia="宋体" w:hAnsi="宋体" w:cs="Times New Roman" w:hint="eastAsia"/>
          <w:szCs w:val="21"/>
        </w:rPr>
        <w:t>，即人民币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r>
        <w:rPr>
          <w:rFonts w:ascii="宋体" w:eastAsia="宋体" w:hAnsi="宋体" w:cs="Times New Roman" w:hint="eastAsia"/>
          <w:szCs w:val="21"/>
        </w:rPr>
        <w:t xml:space="preserve"> </w:t>
      </w:r>
    </w:p>
    <w:p w:rsidR="00AA7AB4">
      <w:pPr>
        <w:tabs>
          <w:tab w:val="left" w:pos="1573"/>
        </w:tabs>
        <w:adjustRightInd w:val="0"/>
        <w:snapToGrid w:val="0"/>
        <w:spacing w:line="360" w:lineRule="auto"/>
        <w:ind w:firstLine="420" w:firstLineChars="200"/>
        <w:jc w:val="left"/>
        <w:rPr>
          <w:rFonts w:ascii="Times New Roman" w:eastAsia="宋体" w:hAnsi="宋体" w:cs="Times New Roman"/>
          <w:kern w:val="0"/>
          <w:szCs w:val="20"/>
        </w:rPr>
      </w:pPr>
      <w:r>
        <w:rPr>
          <w:rFonts w:ascii="宋体" w:eastAsia="宋体" w:hAnsi="宋体" w:cs="Times New Roman" w:hint="eastAsia"/>
          <w:szCs w:val="21"/>
        </w:rPr>
        <w:t>4</w:t>
      </w:r>
      <w:r>
        <w:rPr>
          <w:rFonts w:ascii="宋体" w:eastAsia="宋体" w:hAnsi="宋体" w:cs="Times New Roman" w:hint="eastAsia"/>
          <w:szCs w:val="21"/>
        </w:rPr>
        <w:t>、</w:t>
      </w:r>
      <w:r w:rsidR="00953E8A">
        <w:rPr>
          <w:rFonts w:ascii="宋体" w:eastAsia="宋体" w:hAnsi="宋体" w:cs="Times New Roman" w:hint="eastAsia"/>
          <w:szCs w:val="21"/>
        </w:rPr>
        <w:t>项目验收</w:t>
      </w:r>
      <w:r>
        <w:rPr>
          <w:rFonts w:ascii="宋体" w:eastAsia="宋体" w:hAnsi="宋体" w:cs="Times New Roman" w:hint="eastAsia"/>
          <w:szCs w:val="21"/>
        </w:rPr>
        <w:t>后付款：</w:t>
      </w:r>
      <w:r w:rsidR="00953E8A">
        <w:rPr>
          <w:rFonts w:ascii="宋体" w:eastAsia="宋体" w:hAnsi="宋体" w:cs="Times New Roman" w:hint="eastAsia"/>
          <w:szCs w:val="21"/>
        </w:rPr>
        <w:t>项目验收</w:t>
      </w:r>
      <w:r>
        <w:rPr>
          <w:rFonts w:ascii="宋体" w:eastAsia="宋体" w:hAnsi="宋体" w:cs="Times New Roman" w:hint="eastAsia"/>
          <w:szCs w:val="21"/>
        </w:rPr>
        <w:t>后</w:t>
      </w:r>
      <w:r w:rsidR="00953E8A">
        <w:rPr>
          <w:rFonts w:ascii="宋体" w:eastAsia="宋体" w:hAnsi="宋体" w:cs="Times New Roman" w:hint="eastAsia"/>
          <w:szCs w:val="21"/>
        </w:rPr>
        <w:t>10</w:t>
      </w:r>
      <w:r>
        <w:rPr>
          <w:rFonts w:ascii="宋体" w:eastAsia="宋体" w:hAnsi="宋体" w:cs="Times New Roman" w:hint="eastAsia"/>
          <w:szCs w:val="21"/>
        </w:rPr>
        <w:t>个工作日内，甲方向乙方支付合同总金额的</w:t>
      </w:r>
      <w:r w:rsidR="00953E8A">
        <w:rPr>
          <w:rFonts w:ascii="宋体" w:eastAsia="宋体" w:hAnsi="宋体" w:cs="微软雅黑" w:hint="eastAsia"/>
          <w:b/>
          <w:color w:val="0000FF"/>
          <w:kern w:val="0"/>
          <w:szCs w:val="21"/>
        </w:rPr>
        <w:t>20</w:t>
      </w:r>
      <w:r>
        <w:rPr>
          <w:rFonts w:ascii="宋体" w:eastAsia="宋体" w:hAnsi="宋体" w:cs="微软雅黑" w:hint="eastAsia"/>
          <w:b/>
          <w:color w:val="0000FF"/>
          <w:kern w:val="0"/>
          <w:szCs w:val="21"/>
        </w:rPr>
        <w:t>%</w:t>
      </w:r>
      <w:r>
        <w:rPr>
          <w:rFonts w:ascii="宋体" w:eastAsia="宋体" w:hAnsi="宋体" w:cs="Times New Roman" w:hint="eastAsia"/>
          <w:szCs w:val="21"/>
        </w:rPr>
        <w:t>，即人民币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rsidR="00AA7AB4">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四、甲方应向乙方提供的资料</w:t>
      </w:r>
    </w:p>
    <w:p w:rsidR="00AA7AB4">
      <w:pPr>
        <w:tabs>
          <w:tab w:val="left" w:pos="1573"/>
        </w:tabs>
        <w:adjustRightInd w:val="0"/>
        <w:snapToGrid w:val="0"/>
        <w:spacing w:line="360" w:lineRule="auto"/>
        <w:ind w:firstLine="412" w:firstLineChars="196"/>
        <w:jc w:val="left"/>
        <w:rPr>
          <w:rFonts w:ascii="宋体" w:eastAsia="宋体" w:hAnsi="宋体" w:cs="Times New Roman"/>
          <w:szCs w:val="28"/>
        </w:rPr>
      </w:pPr>
      <w:r>
        <w:rPr>
          <w:rFonts w:ascii="宋体" w:eastAsia="宋体" w:hAnsi="宋体" w:cs="Times New Roman" w:hint="eastAsia"/>
          <w:szCs w:val="28"/>
        </w:rPr>
        <w:t>甲方提供该乙方履行合同所需的资料清单如下：</w:t>
      </w:r>
    </w:p>
    <w:p w:rsidR="00AA7AB4">
      <w:pPr>
        <w:tabs>
          <w:tab w:val="left" w:pos="1573"/>
        </w:tabs>
        <w:adjustRightInd w:val="0"/>
        <w:snapToGrid w:val="0"/>
        <w:spacing w:line="360" w:lineRule="auto"/>
        <w:ind w:firstLine="412" w:firstLineChars="196"/>
        <w:jc w:val="left"/>
        <w:rPr>
          <w:rFonts w:ascii="宋体" w:eastAsia="宋体" w:hAnsi="宋体" w:cs="Times New Roman"/>
          <w:szCs w:val="28"/>
        </w:rPr>
      </w:pPr>
    </w:p>
    <w:p w:rsidR="00AA7AB4">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五、进度要求及交付</w:t>
      </w:r>
    </w:p>
    <w:p w:rsidR="00AA7AB4">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、交付日期：</w:t>
      </w:r>
      <w:r>
        <w:rPr>
          <w:rFonts w:ascii="宋体" w:eastAsia="宋体" w:hAnsi="宋体" w:cs="Times New Roman" w:hint="eastAsia"/>
          <w:szCs w:val="21"/>
          <w:u w:val="single"/>
        </w:rPr>
        <w:tab/>
        <w:t xml:space="preserve">                      </w:t>
      </w:r>
      <w:r>
        <w:rPr>
          <w:rFonts w:ascii="宋体" w:eastAsia="宋体" w:hAnsi="宋体" w:cs="Times New Roman" w:hint="eastAsia"/>
          <w:szCs w:val="21"/>
        </w:rPr>
        <w:t>。</w:t>
      </w:r>
    </w:p>
    <w:p w:rsidR="00AA7AB4">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、交付地点：</w:t>
      </w:r>
      <w:r>
        <w:rPr>
          <w:rFonts w:ascii="宋体" w:eastAsia="宋体" w:hAnsi="宋体" w:cs="Times New Roman" w:hint="eastAsia"/>
          <w:szCs w:val="21"/>
          <w:u w:val="single"/>
        </w:rPr>
        <w:tab/>
        <w:t xml:space="preserve">                                 </w:t>
      </w:r>
      <w:r>
        <w:rPr>
          <w:rFonts w:ascii="宋体" w:eastAsia="宋体" w:hAnsi="宋体" w:cs="Times New Roman" w:hint="eastAsia"/>
          <w:szCs w:val="21"/>
        </w:rPr>
        <w:t>。</w:t>
      </w:r>
    </w:p>
    <w:p w:rsidR="00AA7AB4">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、其他约定事项：</w:t>
      </w:r>
      <w:r>
        <w:rPr>
          <w:rFonts w:ascii="宋体" w:eastAsia="宋体" w:hAnsi="宋体" w:cs="Times New Roman" w:hint="eastAsia"/>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w:t>
      </w:r>
    </w:p>
    <w:p w:rsidR="00AA7AB4">
      <w:pPr>
        <w:tabs>
          <w:tab w:val="left" w:pos="1573"/>
        </w:tabs>
        <w:adjustRightInd w:val="0"/>
        <w:snapToGrid w:val="0"/>
        <w:spacing w:line="360" w:lineRule="auto"/>
        <w:ind w:left="420" w:leftChars="200"/>
        <w:rPr>
          <w:rFonts w:ascii="Times New Roman" w:eastAsia="宋体" w:hAnsi="Times New Roman" w:cs="Times New Roman"/>
          <w:b/>
          <w:szCs w:val="21"/>
        </w:rPr>
      </w:pPr>
      <w:r>
        <w:rPr>
          <w:rFonts w:ascii="宋体" w:eastAsia="宋体" w:hAnsi="宋体" w:cs="Times New Roman" w:hint="eastAsia"/>
          <w:b/>
          <w:szCs w:val="21"/>
        </w:rPr>
        <w:t>六、</w:t>
      </w:r>
      <w:r>
        <w:rPr>
          <w:rFonts w:ascii="Times New Roman" w:eastAsia="宋体" w:hAnsi="Times New Roman" w:cs="Times New Roman" w:hint="eastAsia"/>
          <w:b/>
          <w:szCs w:val="21"/>
        </w:rPr>
        <w:t>技术服务和保修责任</w:t>
      </w:r>
    </w:p>
    <w:p w:rsidR="00AA7AB4">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乙方对合同服务的质量保修期为验收证书签署之日起</w:t>
      </w:r>
      <w:r>
        <w:rPr>
          <w:rFonts w:ascii="宋体" w:eastAsia="宋体" w:hAnsi="宋体" w:cs="Times New Roman" w:hint="eastAsia"/>
          <w:szCs w:val="21"/>
          <w:u w:val="single"/>
        </w:rPr>
        <w:t xml:space="preserve">          </w:t>
      </w:r>
      <w:r>
        <w:rPr>
          <w:rFonts w:ascii="宋体" w:eastAsia="宋体" w:hAnsi="宋体" w:cs="Times New Roman" w:hint="eastAsia"/>
          <w:szCs w:val="21"/>
        </w:rPr>
        <w:t>个</w:t>
      </w:r>
      <w:r>
        <w:rPr>
          <w:rFonts w:ascii="宋体" w:eastAsia="宋体" w:hAnsi="宋体" w:cs="Times New Roman" w:hint="eastAsia"/>
          <w:szCs w:val="21"/>
        </w:rPr>
        <w:t>月。</w:t>
      </w:r>
    </w:p>
    <w:p w:rsidR="00AA7AB4">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七、履约验收</w:t>
      </w:r>
    </w:p>
    <w:p w:rsidR="00AA7AB4">
      <w:pPr>
        <w:tabs>
          <w:tab w:val="left" w:pos="1573"/>
        </w:tabs>
        <w:adjustRightInd w:val="0"/>
        <w:snapToGrid w:val="0"/>
        <w:spacing w:line="360" w:lineRule="auto"/>
        <w:ind w:firstLine="412" w:firstLineChars="196"/>
        <w:jc w:val="left"/>
        <w:rPr>
          <w:rFonts w:ascii="宋体" w:eastAsia="宋体" w:hAnsi="宋体" w:cs="Times New Roman"/>
          <w:szCs w:val="28"/>
        </w:rPr>
      </w:pPr>
      <w:r>
        <w:rPr>
          <w:rFonts w:ascii="宋体" w:eastAsia="宋体" w:hAnsi="宋体" w:cs="Times New Roman" w:hint="eastAsia"/>
          <w:szCs w:val="28"/>
        </w:rPr>
        <w:t>（略）</w:t>
      </w:r>
    </w:p>
    <w:p w:rsidR="00AA7AB4">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szCs w:val="28"/>
        </w:rPr>
        <w:t>具体条款由甲方商乙方拟定。基本内容应包括：验收时间；验收地点；一次性验收还是分阶段、分期验收；验收方式（包括</w:t>
      </w:r>
      <w:r>
        <w:rPr>
          <w:rFonts w:ascii="宋体" w:eastAsia="宋体" w:hAnsi="宋体" w:cs="Times New Roman" w:hint="eastAsia"/>
          <w:szCs w:val="21"/>
        </w:rPr>
        <w:t>自行简易验收、验收小组验收、委托第三方验收等）；验收内容和标准（参见附表）；验收未通过（整体未通过或部分未通过）的处理措施；验收费用承担方等</w:t>
      </w:r>
    </w:p>
    <w:p w:rsidR="00AA7AB4">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八、风险管理</w:t>
      </w:r>
    </w:p>
    <w:p w:rsidR="00AA7AB4">
      <w:pPr>
        <w:tabs>
          <w:tab w:val="left" w:pos="1573"/>
        </w:tabs>
        <w:adjustRightInd w:val="0"/>
        <w:snapToGrid w:val="0"/>
        <w:spacing w:line="360" w:lineRule="auto"/>
        <w:ind w:firstLine="412" w:firstLineChars="196"/>
        <w:jc w:val="left"/>
        <w:rPr>
          <w:rFonts w:ascii="宋体" w:eastAsia="宋体" w:hAnsi="宋体" w:cs="Times New Roman"/>
          <w:szCs w:val="20"/>
        </w:rPr>
      </w:pPr>
      <w:r>
        <w:rPr>
          <w:rFonts w:ascii="宋体" w:eastAsia="宋体" w:hAnsi="宋体" w:cs="Times New Roman" w:hint="eastAsia"/>
          <w:szCs w:val="20"/>
        </w:rPr>
        <w:t>（略）</w:t>
      </w:r>
    </w:p>
    <w:p w:rsidR="00AA7AB4">
      <w:pPr>
        <w:tabs>
          <w:tab w:val="left" w:pos="1573"/>
        </w:tabs>
        <w:adjustRightInd w:val="0"/>
        <w:snapToGrid w:val="0"/>
        <w:spacing w:line="360" w:lineRule="auto"/>
        <w:ind w:firstLine="412" w:firstLineChars="196"/>
        <w:jc w:val="left"/>
        <w:rPr>
          <w:rFonts w:ascii="宋体" w:eastAsia="宋体" w:hAnsi="宋体" w:cs="Times New Roman"/>
          <w:szCs w:val="20"/>
        </w:rPr>
      </w:pPr>
      <w:r>
        <w:rPr>
          <w:rFonts w:ascii="宋体" w:eastAsia="宋体" w:hAnsi="宋体" w:cs="Times New Roman" w:hint="eastAsia"/>
          <w:szCs w:val="20"/>
        </w:rPr>
        <w:t>按照《政府采购需求管理办法》（财库【</w:t>
      </w:r>
      <w:r>
        <w:rPr>
          <w:rFonts w:ascii="宋体" w:eastAsia="宋体" w:hAnsi="宋体" w:cs="Times New Roman" w:hint="eastAsia"/>
          <w:szCs w:val="20"/>
        </w:rPr>
        <w:t>2021</w:t>
      </w:r>
      <w:r>
        <w:rPr>
          <w:rFonts w:ascii="宋体" w:eastAsia="宋体" w:hAnsi="宋体" w:cs="Times New Roman" w:hint="eastAsia"/>
          <w:szCs w:val="20"/>
        </w:rPr>
        <w:t>】</w:t>
      </w:r>
      <w:r>
        <w:rPr>
          <w:rFonts w:ascii="宋体" w:eastAsia="宋体" w:hAnsi="宋体" w:cs="Times New Roman" w:hint="eastAsia"/>
          <w:szCs w:val="20"/>
        </w:rPr>
        <w:t>22</w:t>
      </w:r>
      <w:r>
        <w:rPr>
          <w:rFonts w:ascii="宋体" w:eastAsia="宋体" w:hAnsi="宋体" w:cs="Times New Roman" w:hint="eastAsia"/>
          <w:szCs w:val="20"/>
        </w:rPr>
        <w:t>号）有关规定，如本项目是</w:t>
      </w:r>
      <w:r>
        <w:rPr>
          <w:rFonts w:ascii="宋体" w:eastAsia="宋体" w:hAnsi="宋体" w:cs="Times New Roman" w:hint="eastAsia"/>
          <w:szCs w:val="20"/>
        </w:rPr>
        <w:t>1000</w:t>
      </w:r>
      <w:r>
        <w:rPr>
          <w:rFonts w:ascii="宋体" w:eastAsia="宋体" w:hAnsi="宋体" w:cs="Times New Roman" w:hint="eastAsia"/>
          <w:szCs w:val="20"/>
        </w:rPr>
        <w:t>万元以上的货物、服务采购项目或</w:t>
      </w:r>
      <w:r>
        <w:rPr>
          <w:rFonts w:ascii="宋体" w:eastAsia="宋体" w:hAnsi="宋体" w:cs="Times New Roman" w:hint="eastAsia"/>
          <w:szCs w:val="20"/>
        </w:rPr>
        <w:t>3000</w:t>
      </w:r>
      <w:r>
        <w:rPr>
          <w:rFonts w:ascii="宋体" w:eastAsia="宋体" w:hAnsi="宋体" w:cs="Times New Roman" w:hint="eastAsia"/>
          <w:szCs w:val="20"/>
        </w:rPr>
        <w:t>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w:t>
      </w:r>
      <w:r>
        <w:rPr>
          <w:rFonts w:ascii="宋体" w:eastAsia="宋体" w:hAnsi="宋体" w:cs="Times New Roman" w:hint="eastAsia"/>
          <w:szCs w:val="20"/>
        </w:rPr>
        <w:t>项目，要对合同履行过程中出现有关风险（如</w:t>
      </w:r>
      <w:r>
        <w:rPr>
          <w:rFonts w:ascii="Times New Roman" w:eastAsia="宋体" w:hAnsi="Times New Roman" w:cs="Times New Roman"/>
          <w:szCs w:val="20"/>
        </w:rPr>
        <w:t>国家政策变化</w:t>
      </w:r>
      <w:r>
        <w:rPr>
          <w:rFonts w:ascii="Times New Roman" w:eastAsia="宋体" w:hAnsi="Times New Roman" w:cs="Times New Roman" w:hint="eastAsia"/>
          <w:szCs w:val="20"/>
        </w:rPr>
        <w:t>、</w:t>
      </w:r>
      <w:r>
        <w:rPr>
          <w:rFonts w:ascii="Times New Roman" w:eastAsia="宋体" w:hAnsi="Times New Roman" w:cs="Times New Roman"/>
          <w:szCs w:val="20"/>
        </w:rPr>
        <w:t>实施环境变化</w:t>
      </w:r>
      <w:r>
        <w:rPr>
          <w:rFonts w:ascii="Times New Roman" w:eastAsia="宋体" w:hAnsi="Times New Roman" w:cs="Times New Roman" w:hint="eastAsia"/>
          <w:szCs w:val="20"/>
        </w:rPr>
        <w:t>、</w:t>
      </w:r>
      <w:r>
        <w:rPr>
          <w:rFonts w:ascii="Times New Roman" w:eastAsia="宋体" w:hAnsi="Times New Roman" w:cs="Times New Roman"/>
          <w:szCs w:val="20"/>
        </w:rPr>
        <w:t>重大技术变化</w:t>
      </w:r>
      <w:r>
        <w:rPr>
          <w:rFonts w:ascii="Times New Roman" w:eastAsia="宋体" w:hAnsi="Times New Roman" w:cs="Times New Roman" w:hint="eastAsia"/>
          <w:szCs w:val="20"/>
        </w:rPr>
        <w:t>、</w:t>
      </w:r>
      <w:r>
        <w:rPr>
          <w:rFonts w:ascii="Times New Roman" w:eastAsia="宋体" w:hAnsi="Times New Roman" w:cs="Times New Roman"/>
          <w:szCs w:val="20"/>
        </w:rPr>
        <w:t>预算项目调整</w:t>
      </w:r>
      <w:r>
        <w:rPr>
          <w:rFonts w:ascii="Times New Roman" w:eastAsia="宋体" w:hAnsi="Times New Roman" w:cs="Times New Roman" w:hint="eastAsia"/>
          <w:szCs w:val="20"/>
        </w:rPr>
        <w:t>、</w:t>
      </w:r>
      <w:r>
        <w:rPr>
          <w:rFonts w:ascii="Times New Roman" w:eastAsia="宋体" w:hAnsi="Times New Roman" w:cs="Times New Roman"/>
          <w:szCs w:val="20"/>
        </w:rPr>
        <w:t>因质疑投诉影响</w:t>
      </w:r>
      <w:r>
        <w:rPr>
          <w:rFonts w:ascii="Times New Roman" w:eastAsia="宋体" w:hAnsi="Times New Roman" w:cs="Times New Roman" w:hint="eastAsia"/>
          <w:szCs w:val="20"/>
        </w:rPr>
        <w:t>合同</w:t>
      </w:r>
      <w:r>
        <w:rPr>
          <w:rFonts w:ascii="Times New Roman" w:eastAsia="宋体" w:hAnsi="Times New Roman" w:cs="Times New Roman"/>
          <w:szCs w:val="20"/>
        </w:rPr>
        <w:t>进度</w:t>
      </w:r>
      <w:r>
        <w:rPr>
          <w:rFonts w:ascii="Times New Roman" w:eastAsia="宋体" w:hAnsi="Times New Roman" w:cs="Times New Roman" w:hint="eastAsia"/>
          <w:szCs w:val="20"/>
        </w:rPr>
        <w:t>等）</w:t>
      </w:r>
      <w:r>
        <w:rPr>
          <w:rFonts w:ascii="宋体" w:eastAsia="宋体" w:hAnsi="宋体" w:cs="Times New Roman" w:hint="eastAsia"/>
          <w:szCs w:val="20"/>
        </w:rPr>
        <w:t>的可能性、影响程度进行</w:t>
      </w:r>
      <w:r>
        <w:rPr>
          <w:rFonts w:ascii="宋体" w:eastAsia="宋体" w:hAnsi="宋体" w:cs="Times New Roman" w:hint="eastAsia"/>
          <w:szCs w:val="20"/>
        </w:rPr>
        <w:t>研</w:t>
      </w:r>
      <w:r>
        <w:rPr>
          <w:rFonts w:ascii="宋体" w:eastAsia="宋体" w:hAnsi="宋体" w:cs="Times New Roman" w:hint="eastAsia"/>
          <w:szCs w:val="20"/>
        </w:rPr>
        <w:t>判，明确管控责任，提出有针对性的处置措施和替代方案。如本项目不属于上述项目，“八、风险管理”可省略）</w:t>
      </w:r>
    </w:p>
    <w:p w:rsidR="00AA7AB4">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九、违约责任</w:t>
      </w:r>
    </w:p>
    <w:p w:rsidR="00AA7AB4">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8"/>
        </w:rPr>
        <w:t>1</w:t>
      </w:r>
      <w:r>
        <w:rPr>
          <w:rFonts w:ascii="宋体" w:eastAsia="宋体" w:hAnsi="宋体" w:cs="Times New Roman" w:hint="eastAsia"/>
          <w:szCs w:val="28"/>
        </w:rPr>
        <w:t>、</w:t>
      </w:r>
      <w:r>
        <w:rPr>
          <w:rFonts w:ascii="宋体" w:eastAsia="宋体" w:hAnsi="宋体" w:cs="Times New Roman" w:hint="eastAsia"/>
          <w:szCs w:val="21"/>
        </w:rPr>
        <w:t>延期交付或延期付款的违约责任：如乙方延期交付或甲方延期付款，每逾期一天，违约方应按延期交货所折合的金额或延期付款金额每天</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 xml:space="preserve"> </w:t>
      </w:r>
      <w:r>
        <w:rPr>
          <w:rFonts w:ascii="宋体" w:eastAsia="宋体" w:hAnsi="宋体" w:cs="Times New Roman" w:hint="eastAsia"/>
          <w:szCs w:val="21"/>
        </w:rPr>
        <w:t>的比例向对方支付违约金，但该违约金累计不得超过合同总金额的</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；上述逾期超过</w:t>
      </w:r>
      <w:r>
        <w:rPr>
          <w:rFonts w:ascii="宋体" w:eastAsia="宋体" w:hAnsi="宋体" w:cs="Times New Roman" w:hint="eastAsia"/>
          <w:szCs w:val="21"/>
          <w:u w:val="single"/>
        </w:rPr>
        <w:t xml:space="preserve">      </w:t>
      </w:r>
      <w:r>
        <w:rPr>
          <w:rFonts w:ascii="宋体" w:eastAsia="宋体" w:hAnsi="宋体" w:cs="Times New Roman" w:hint="eastAsia"/>
          <w:szCs w:val="21"/>
        </w:rPr>
        <w:t>天，守约方有权解除合同，并要求违约方赔偿由此造成的损失。</w:t>
      </w:r>
    </w:p>
    <w:p w:rsidR="00AA7AB4">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、其它违约责任</w:t>
      </w:r>
    </w:p>
    <w:p w:rsidR="00AA7AB4">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违约方应就每一单项违约向对方支付合同总金额</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的违约金。</w:t>
      </w:r>
    </w:p>
    <w:p w:rsidR="00AA7AB4">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rPr>
        <w:t>十、联系方式</w:t>
      </w:r>
    </w:p>
    <w:p w:rsidR="00AA7AB4">
      <w:pPr>
        <w:snapToGrid w:val="0"/>
        <w:ind w:firstLine="309" w:firstLineChars="147"/>
        <w:rPr>
          <w:rFonts w:ascii="宋体" w:eastAsia="宋体" w:hAnsi="宋体" w:cs="Times New Roman"/>
          <w:szCs w:val="21"/>
        </w:rPr>
      </w:pPr>
      <w:r>
        <w:rPr>
          <w:rFonts w:ascii="宋体" w:eastAsia="宋体" w:hAnsi="宋体" w:cs="Times New Roman" w:hint="eastAsia"/>
          <w:szCs w:val="21"/>
        </w:rPr>
        <w:t>甲方：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联系人：</w:t>
      </w:r>
      <w:r>
        <w:rPr>
          <w:rFonts w:ascii="宋体" w:eastAsia="宋体" w:hAnsi="宋体" w:cs="Times New Roman" w:hint="eastAsia"/>
          <w:szCs w:val="21"/>
          <w:u w:val="single"/>
        </w:rPr>
        <w:t xml:space="preserve">             </w:t>
      </w:r>
    </w:p>
    <w:p w:rsidR="00AA7AB4">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邮编：</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rsidR="00AA7AB4">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rPr>
        <w:t>：</w:t>
      </w:r>
      <w:r>
        <w:rPr>
          <w:rFonts w:ascii="宋体" w:eastAsia="宋体" w:hAnsi="宋体" w:cs="Times New Roman" w:hint="eastAsia"/>
          <w:szCs w:val="21"/>
          <w:u w:val="single"/>
        </w:rPr>
        <w:t xml:space="preserve">             </w:t>
      </w:r>
    </w:p>
    <w:p w:rsidR="00AA7AB4">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w:t>
      </w:r>
      <w:r>
        <w:rPr>
          <w:rFonts w:ascii="宋体" w:eastAsia="宋体" w:hAnsi="宋体" w:cs="Times New Roman" w:hint="eastAsia"/>
          <w:szCs w:val="21"/>
        </w:rPr>
        <w:t>帐号</w:t>
      </w:r>
      <w:r>
        <w:rPr>
          <w:rFonts w:ascii="宋体" w:eastAsia="宋体" w:hAnsi="宋体" w:cs="Times New Roman" w:hint="eastAsia"/>
          <w:szCs w:val="21"/>
        </w:rPr>
        <w:t>：</w:t>
      </w:r>
      <w:r>
        <w:rPr>
          <w:rFonts w:ascii="宋体" w:eastAsia="宋体" w:hAnsi="宋体" w:cs="Times New Roman" w:hint="eastAsia"/>
          <w:szCs w:val="21"/>
          <w:u w:val="single"/>
        </w:rPr>
        <w:t xml:space="preserve">                                              </w:t>
      </w:r>
    </w:p>
    <w:p w:rsidR="00AA7AB4">
      <w:pPr>
        <w:tabs>
          <w:tab w:val="left" w:pos="1573"/>
        </w:tabs>
        <w:adjustRightInd w:val="0"/>
        <w:snapToGrid w:val="0"/>
        <w:ind w:firstLine="315" w:firstLineChars="150"/>
        <w:jc w:val="left"/>
        <w:rPr>
          <w:rFonts w:ascii="宋体" w:eastAsia="宋体" w:hAnsi="宋体" w:cs="Times New Roman"/>
          <w:szCs w:val="21"/>
          <w:u w:val="single"/>
        </w:rPr>
      </w:pPr>
    </w:p>
    <w:p w:rsidR="00AA7AB4">
      <w:pPr>
        <w:snapToGrid w:val="0"/>
        <w:ind w:firstLine="309" w:firstLineChars="147"/>
        <w:rPr>
          <w:rFonts w:ascii="宋体" w:eastAsia="宋体" w:hAnsi="宋体" w:cs="Times New Roman"/>
          <w:szCs w:val="21"/>
        </w:rPr>
      </w:pPr>
      <w:r>
        <w:rPr>
          <w:rFonts w:ascii="宋体" w:eastAsia="宋体" w:hAnsi="宋体" w:cs="Times New Roman" w:hint="eastAsia"/>
          <w:szCs w:val="21"/>
        </w:rPr>
        <w:t>乙方：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联系人：</w:t>
      </w:r>
      <w:r>
        <w:rPr>
          <w:rFonts w:ascii="宋体" w:eastAsia="宋体" w:hAnsi="宋体" w:cs="Times New Roman" w:hint="eastAsia"/>
          <w:szCs w:val="21"/>
          <w:u w:val="single"/>
        </w:rPr>
        <w:t xml:space="preserve">             </w:t>
      </w:r>
    </w:p>
    <w:p w:rsidR="00AA7AB4">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邮编：</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rsidR="00AA7AB4">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rPr>
        <w:t>：</w:t>
      </w:r>
      <w:r>
        <w:rPr>
          <w:rFonts w:ascii="宋体" w:eastAsia="宋体" w:hAnsi="宋体" w:cs="Times New Roman" w:hint="eastAsia"/>
          <w:szCs w:val="21"/>
          <w:u w:val="single"/>
        </w:rPr>
        <w:t xml:space="preserve">             </w:t>
      </w:r>
    </w:p>
    <w:p w:rsidR="00AA7AB4">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w:t>
      </w:r>
      <w:r>
        <w:rPr>
          <w:rFonts w:ascii="宋体" w:eastAsia="宋体" w:hAnsi="宋体" w:cs="Times New Roman" w:hint="eastAsia"/>
          <w:szCs w:val="21"/>
        </w:rPr>
        <w:t>帐号</w:t>
      </w:r>
      <w:r>
        <w:rPr>
          <w:rFonts w:ascii="宋体" w:eastAsia="宋体" w:hAnsi="宋体" w:cs="Times New Roman" w:hint="eastAsia"/>
          <w:szCs w:val="21"/>
        </w:rPr>
        <w:t>：</w:t>
      </w:r>
      <w:r>
        <w:rPr>
          <w:rFonts w:ascii="宋体" w:eastAsia="宋体" w:hAnsi="宋体" w:cs="Times New Roman" w:hint="eastAsia"/>
          <w:szCs w:val="21"/>
          <w:u w:val="single"/>
        </w:rPr>
        <w:t xml:space="preserve">                                              </w:t>
      </w:r>
    </w:p>
    <w:p w:rsidR="00AA7AB4">
      <w:pPr>
        <w:tabs>
          <w:tab w:val="left" w:pos="1573"/>
        </w:tabs>
        <w:adjustRightInd w:val="0"/>
        <w:snapToGrid w:val="0"/>
        <w:spacing w:line="360" w:lineRule="auto"/>
        <w:ind w:firstLine="420" w:firstLineChars="200"/>
        <w:jc w:val="left"/>
        <w:rPr>
          <w:rFonts w:ascii="Times New Roman" w:eastAsia="宋体" w:hAnsi="Times New Roman" w:cs="Times New Roman"/>
          <w:b/>
          <w:szCs w:val="21"/>
        </w:rPr>
      </w:pPr>
    </w:p>
    <w:p w:rsidR="00AA7AB4">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Times New Roman" w:eastAsia="宋体" w:hAnsi="Times New Roman" w:cs="Times New Roman" w:hint="eastAsia"/>
          <w:b/>
          <w:szCs w:val="21"/>
        </w:rPr>
        <w:t>十一、</w:t>
      </w:r>
      <w:r>
        <w:rPr>
          <w:rFonts w:ascii="宋体" w:eastAsia="宋体" w:hAnsi="宋体" w:cs="Times New Roman" w:hint="eastAsia"/>
          <w:b/>
          <w:szCs w:val="28"/>
        </w:rPr>
        <w:t>争议的解决</w:t>
      </w:r>
    </w:p>
    <w:p w:rsidR="00AA7AB4">
      <w:pPr>
        <w:tabs>
          <w:tab w:val="left" w:pos="1573"/>
        </w:tabs>
        <w:adjustRightInd w:val="0"/>
        <w:snapToGrid w:val="0"/>
        <w:spacing w:line="360" w:lineRule="auto"/>
        <w:ind w:firstLine="420" w:firstLineChars="200"/>
        <w:jc w:val="left"/>
        <w:rPr>
          <w:rFonts w:ascii="宋体" w:eastAsia="宋体" w:hAnsi="宋体" w:cs="Times New Roman"/>
          <w:szCs w:val="28"/>
        </w:rPr>
      </w:pPr>
      <w:r>
        <w:rPr>
          <w:rFonts w:ascii="宋体" w:eastAsia="宋体" w:hAnsi="宋体" w:cs="Times New Roman" w:hint="eastAsia"/>
          <w:szCs w:val="28"/>
        </w:rPr>
        <w:t>本项目选择</w:t>
      </w:r>
      <w:r>
        <w:rPr>
          <w:rFonts w:ascii="宋体" w:eastAsia="宋体" w:hAnsi="宋体" w:cs="Times New Roman" w:hint="eastAsia"/>
          <w:b/>
          <w:szCs w:val="28"/>
        </w:rPr>
        <w:t>第二章合同条款通用部分</w:t>
      </w:r>
      <w:r>
        <w:rPr>
          <w:rFonts w:ascii="宋体" w:eastAsia="宋体" w:hAnsi="宋体" w:cs="Times New Roman" w:hint="eastAsia"/>
          <w:szCs w:val="28"/>
        </w:rPr>
        <w:t>“争议的解决”所属第</w:t>
      </w:r>
      <w:r>
        <w:rPr>
          <w:rFonts w:ascii="宋体" w:eastAsia="宋体" w:hAnsi="宋体" w:cs="Times New Roman" w:hint="eastAsia"/>
          <w:szCs w:val="28"/>
          <w:u w:val="single"/>
        </w:rPr>
        <w:t xml:space="preserve">      </w:t>
      </w:r>
      <w:r>
        <w:rPr>
          <w:rFonts w:ascii="宋体" w:eastAsia="宋体" w:hAnsi="宋体" w:cs="Times New Roman" w:hint="eastAsia"/>
          <w:szCs w:val="28"/>
        </w:rPr>
        <w:t>种方式解决。</w:t>
      </w:r>
    </w:p>
    <w:p w:rsidR="00AA7AB4">
      <w:pPr>
        <w:tabs>
          <w:tab w:val="left" w:pos="1573"/>
        </w:tabs>
        <w:adjustRightInd w:val="0"/>
        <w:snapToGrid w:val="0"/>
        <w:spacing w:line="360" w:lineRule="auto"/>
        <w:ind w:firstLine="420" w:firstLineChars="200"/>
        <w:jc w:val="left"/>
        <w:rPr>
          <w:rFonts w:ascii="宋体" w:eastAsia="宋体" w:hAnsi="宋体" w:cs="Times New Roman"/>
          <w:b/>
          <w:szCs w:val="28"/>
        </w:rPr>
      </w:pPr>
    </w:p>
    <w:p w:rsidR="00AA7AB4">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rPr>
        <w:t>十二、履约保证金</w:t>
      </w:r>
    </w:p>
    <w:p w:rsidR="00AA7AB4">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中标人在收到中标通知书后</w:t>
      </w:r>
      <w:r>
        <w:rPr>
          <w:rFonts w:ascii="宋体" w:eastAsia="宋体" w:hAnsi="宋体" w:cs="Times New Roman" w:hint="eastAsia"/>
          <w:szCs w:val="21"/>
          <w:u w:val="single"/>
        </w:rPr>
        <w:t xml:space="preserve">   </w:t>
      </w:r>
      <w:r>
        <w:rPr>
          <w:rFonts w:ascii="宋体" w:eastAsia="宋体" w:hAnsi="宋体" w:cs="Times New Roman" w:hint="eastAsia"/>
          <w:szCs w:val="21"/>
        </w:rPr>
        <w:t>个</w:t>
      </w:r>
      <w:r>
        <w:rPr>
          <w:rFonts w:ascii="宋体" w:eastAsia="宋体" w:hAnsi="宋体" w:cs="Times New Roman" w:hint="eastAsia"/>
          <w:szCs w:val="21"/>
        </w:rPr>
        <w:t>工作日内，向甲方提供相当于合同总价</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的履约保证金。</w:t>
      </w:r>
      <w:r>
        <w:rPr>
          <w:rFonts w:ascii="宋体" w:eastAsia="宋体" w:hAnsi="宋体" w:cs="Times New Roman" w:hint="eastAsia"/>
          <w:szCs w:val="21"/>
        </w:rPr>
        <w:t xml:space="preserve"> </w:t>
      </w:r>
    </w:p>
    <w:p w:rsidR="00AA7AB4">
      <w:pPr>
        <w:tabs>
          <w:tab w:val="left" w:pos="1573"/>
        </w:tabs>
        <w:adjustRightInd w:val="0"/>
        <w:snapToGrid w:val="0"/>
        <w:spacing w:line="360" w:lineRule="auto"/>
        <w:ind w:firstLine="412" w:firstLineChars="196"/>
        <w:jc w:val="left"/>
        <w:rPr>
          <w:rFonts w:ascii="宋体" w:eastAsia="宋体" w:hAnsi="宋体" w:cs="Times New Roman"/>
          <w:b/>
          <w:szCs w:val="28"/>
        </w:rPr>
      </w:pPr>
    </w:p>
    <w:p w:rsidR="00AA7AB4">
      <w:pPr>
        <w:snapToGrid w:val="0"/>
        <w:ind w:firstLine="309" w:firstLineChars="147"/>
        <w:rPr>
          <w:rFonts w:ascii="宋体" w:eastAsia="宋体" w:hAnsi="宋体" w:cs="Times New Roman"/>
          <w:b/>
          <w:szCs w:val="21"/>
        </w:rPr>
      </w:pPr>
      <w:r>
        <w:rPr>
          <w:rFonts w:ascii="宋体" w:eastAsia="宋体" w:hAnsi="宋体" w:cs="Times New Roman" w:hint="eastAsia"/>
          <w:b/>
          <w:szCs w:val="21"/>
        </w:rPr>
        <w:t>甲方：</w:t>
      </w:r>
      <w:r>
        <w:rPr>
          <w:rFonts w:ascii="宋体" w:eastAsia="宋体" w:hAnsi="宋体" w:cs="Times New Roman" w:hint="eastAsia"/>
          <w:b/>
          <w:szCs w:val="21"/>
        </w:rPr>
        <w:t xml:space="preserve">                                   </w:t>
      </w:r>
      <w:r>
        <w:rPr>
          <w:rFonts w:ascii="宋体" w:eastAsia="宋体" w:hAnsi="宋体" w:cs="Times New Roman" w:hint="eastAsia"/>
          <w:b/>
          <w:szCs w:val="21"/>
        </w:rPr>
        <w:t>乙方：</w:t>
      </w:r>
    </w:p>
    <w:p w:rsidR="00AA7AB4">
      <w:pPr>
        <w:snapToGrid w:val="0"/>
        <w:ind w:firstLine="309" w:firstLineChars="147"/>
        <w:rPr>
          <w:rFonts w:ascii="宋体" w:eastAsia="宋体" w:hAnsi="宋体" w:cs="Times New Roman"/>
          <w:b/>
          <w:szCs w:val="21"/>
        </w:rPr>
      </w:pPr>
      <w:r>
        <w:rPr>
          <w:rFonts w:ascii="宋体" w:eastAsia="宋体" w:hAnsi="宋体" w:cs="Times New Roman" w:hint="eastAsia"/>
          <w:b/>
          <w:szCs w:val="21"/>
        </w:rPr>
        <w:t>单位名称：（公章）</w:t>
      </w:r>
      <w:r>
        <w:rPr>
          <w:rFonts w:ascii="宋体" w:eastAsia="宋体" w:hAnsi="宋体" w:cs="Times New Roman" w:hint="eastAsia"/>
          <w:b/>
          <w:szCs w:val="21"/>
        </w:rPr>
        <w:t xml:space="preserve">                        </w:t>
      </w:r>
      <w:r>
        <w:rPr>
          <w:rFonts w:ascii="宋体" w:eastAsia="宋体" w:hAnsi="宋体" w:cs="Times New Roman" w:hint="eastAsia"/>
          <w:b/>
          <w:szCs w:val="21"/>
        </w:rPr>
        <w:t>单位名称：（公章）</w:t>
      </w:r>
    </w:p>
    <w:p w:rsidR="00AA7AB4">
      <w:pPr>
        <w:snapToGrid w:val="0"/>
        <w:ind w:firstLine="309" w:firstLineChars="147"/>
        <w:rPr>
          <w:rFonts w:ascii="宋体" w:eastAsia="宋体" w:hAnsi="宋体" w:cs="Times New Roman"/>
          <w:b/>
          <w:szCs w:val="21"/>
        </w:rPr>
      </w:pPr>
      <w:r>
        <w:rPr>
          <w:rFonts w:ascii="宋体" w:eastAsia="宋体" w:hAnsi="宋体" w:cs="Times New Roman" w:hint="eastAsia"/>
          <w:b/>
          <w:szCs w:val="21"/>
        </w:rPr>
        <w:t>法定代表人：</w:t>
      </w:r>
      <w:r>
        <w:rPr>
          <w:rFonts w:ascii="宋体" w:eastAsia="宋体" w:hAnsi="宋体" w:cs="Times New Roman" w:hint="eastAsia"/>
          <w:b/>
          <w:szCs w:val="21"/>
        </w:rPr>
        <w:t xml:space="preserve">                             </w:t>
      </w:r>
      <w:r>
        <w:rPr>
          <w:rFonts w:ascii="宋体" w:eastAsia="宋体" w:hAnsi="宋体" w:cs="Times New Roman" w:hint="eastAsia"/>
          <w:b/>
          <w:szCs w:val="21"/>
        </w:rPr>
        <w:t>法定代表人：</w:t>
      </w:r>
    </w:p>
    <w:p w:rsidR="00AA7AB4">
      <w:pPr>
        <w:snapToGrid w:val="0"/>
        <w:ind w:firstLine="309" w:firstLineChars="147"/>
        <w:rPr>
          <w:rFonts w:ascii="宋体" w:eastAsia="宋体" w:hAnsi="宋体" w:cs="Times New Roman"/>
          <w:b/>
          <w:szCs w:val="21"/>
        </w:rPr>
      </w:pPr>
      <w:r>
        <w:rPr>
          <w:rFonts w:ascii="宋体" w:eastAsia="宋体" w:hAnsi="宋体" w:cs="Times New Roman" w:hint="eastAsia"/>
          <w:b/>
          <w:szCs w:val="21"/>
        </w:rPr>
        <w:t>授权代表：</w:t>
      </w:r>
      <w:r>
        <w:rPr>
          <w:rFonts w:ascii="宋体" w:eastAsia="宋体" w:hAnsi="宋体" w:cs="Times New Roman" w:hint="eastAsia"/>
          <w:b/>
          <w:szCs w:val="21"/>
        </w:rPr>
        <w:t xml:space="preserve">                               </w:t>
      </w:r>
      <w:r>
        <w:rPr>
          <w:rFonts w:ascii="宋体" w:eastAsia="宋体" w:hAnsi="宋体" w:cs="Times New Roman" w:hint="eastAsia"/>
          <w:b/>
          <w:szCs w:val="21"/>
        </w:rPr>
        <w:t>授权代表：</w:t>
      </w:r>
    </w:p>
    <w:p w:rsidR="00AA7AB4">
      <w:pPr>
        <w:snapToGrid w:val="0"/>
        <w:ind w:firstLine="309" w:firstLineChars="147"/>
        <w:rPr>
          <w:rFonts w:ascii="宋体" w:eastAsia="宋体" w:hAnsi="宋体" w:cs="Times New Roman"/>
          <w:b/>
          <w:szCs w:val="21"/>
        </w:rPr>
      </w:pPr>
      <w:r>
        <w:rPr>
          <w:rFonts w:ascii="宋体" w:eastAsia="宋体" w:hAnsi="宋体" w:cs="Times New Roman" w:hint="eastAsia"/>
          <w:b/>
          <w:szCs w:val="21"/>
        </w:rPr>
        <w:t>签约日期：</w:t>
      </w:r>
      <w:r>
        <w:rPr>
          <w:rFonts w:ascii="宋体" w:eastAsia="宋体" w:hAnsi="宋体" w:cs="Times New Roman" w:hint="eastAsia"/>
          <w:b/>
          <w:szCs w:val="21"/>
        </w:rPr>
        <w:t xml:space="preserve">                               </w:t>
      </w:r>
      <w:r>
        <w:rPr>
          <w:rFonts w:ascii="宋体" w:eastAsia="宋体" w:hAnsi="宋体" w:cs="Times New Roman" w:hint="eastAsia"/>
          <w:b/>
          <w:szCs w:val="21"/>
        </w:rPr>
        <w:t>签约日期：</w:t>
      </w:r>
    </w:p>
    <w:p w:rsidR="00AA7AB4">
      <w:pPr>
        <w:widowControl/>
        <w:jc w:val="left"/>
        <w:rPr>
          <w:rFonts w:ascii="宋体" w:eastAsia="宋体" w:hAnsi="宋体" w:cs="Times New Roman"/>
          <w:b/>
          <w:szCs w:val="21"/>
        </w:rPr>
      </w:pPr>
      <w:r>
        <w:rPr>
          <w:rFonts w:ascii="宋体" w:eastAsia="宋体" w:hAnsi="宋体" w:cs="Times New Roman"/>
          <w:b/>
          <w:szCs w:val="21"/>
        </w:rPr>
        <w:br w:type="page"/>
      </w:r>
    </w:p>
    <w:p w:rsidR="00AA7AB4">
      <w:pPr>
        <w:spacing w:line="360" w:lineRule="auto"/>
        <w:jc w:val="left"/>
        <w:rPr>
          <w:rFonts w:ascii="Times New Roman" w:eastAsia="宋体" w:hAnsi="Times New Roman" w:cs="Times New Roman"/>
          <w:b/>
          <w:bCs/>
          <w:sz w:val="44"/>
          <w:szCs w:val="44"/>
        </w:rPr>
      </w:pPr>
    </w:p>
    <w:p w:rsidR="00AA7AB4">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第二部分</w:t>
      </w:r>
      <w:r>
        <w:rPr>
          <w:rFonts w:ascii="宋体" w:eastAsia="宋体" w:hAnsi="宋体" w:cs="Times New Roman" w:hint="eastAsia"/>
          <w:b/>
          <w:sz w:val="30"/>
          <w:szCs w:val="30"/>
        </w:rPr>
        <w:t xml:space="preserve">  </w:t>
      </w:r>
      <w:r>
        <w:rPr>
          <w:rFonts w:ascii="宋体" w:eastAsia="宋体" w:hAnsi="宋体" w:cs="Times New Roman" w:hint="eastAsia"/>
          <w:b/>
          <w:sz w:val="30"/>
          <w:szCs w:val="30"/>
        </w:rPr>
        <w:t>合同通用部分</w:t>
      </w:r>
    </w:p>
    <w:p w:rsidR="00AA7AB4">
      <w:pPr>
        <w:tabs>
          <w:tab w:val="left" w:pos="1573"/>
        </w:tabs>
        <w:snapToGrid w:val="0"/>
        <w:spacing w:line="360" w:lineRule="auto"/>
        <w:jc w:val="center"/>
        <w:rPr>
          <w:rFonts w:ascii="宋体" w:eastAsia="宋体" w:hAnsi="宋体" w:cs="Times New Roman"/>
          <w:szCs w:val="21"/>
        </w:rPr>
      </w:pPr>
    </w:p>
    <w:p w:rsidR="00AA7AB4">
      <w:pPr>
        <w:tabs>
          <w:tab w:val="left" w:pos="1573"/>
        </w:tabs>
        <w:adjustRightInd w:val="0"/>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rPr>
        <w:t xml:space="preserve"> </w:t>
      </w:r>
    </w:p>
    <w:p w:rsidR="00AA7AB4">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本合同所附下列文件是构成本合同不可分割的部分，若各文件之间存在含糊不清或互相冲突之处，优先顺序应按下列文件顺序解释：</w:t>
      </w:r>
    </w:p>
    <w:p w:rsidR="00AA7AB4">
      <w:pPr>
        <w:numPr>
          <w:ilvl w:val="0"/>
          <w:numId w:val="16"/>
        </w:numPr>
        <w:snapToGrid w:val="0"/>
        <w:spacing w:line="360" w:lineRule="auto"/>
        <w:rPr>
          <w:rFonts w:ascii="宋体" w:eastAsia="宋体" w:hAnsi="宋体" w:cs="Times New Roman"/>
          <w:szCs w:val="21"/>
        </w:rPr>
      </w:pPr>
      <w:r>
        <w:rPr>
          <w:rFonts w:ascii="宋体" w:eastAsia="宋体" w:hAnsi="宋体" w:cs="Times New Roman" w:hint="eastAsia"/>
          <w:szCs w:val="21"/>
        </w:rPr>
        <w:t>中标通知书</w:t>
      </w:r>
    </w:p>
    <w:p w:rsidR="00AA7AB4">
      <w:pPr>
        <w:numPr>
          <w:ilvl w:val="0"/>
          <w:numId w:val="16"/>
        </w:numPr>
        <w:snapToGrid w:val="0"/>
        <w:spacing w:line="360" w:lineRule="auto"/>
        <w:rPr>
          <w:rFonts w:ascii="宋体" w:eastAsia="宋体" w:hAnsi="宋体" w:cs="Times New Roman"/>
          <w:szCs w:val="21"/>
        </w:rPr>
      </w:pPr>
      <w:r>
        <w:rPr>
          <w:rFonts w:ascii="宋体" w:eastAsia="宋体" w:hAnsi="宋体" w:cs="Times New Roman" w:hint="eastAsia"/>
          <w:szCs w:val="21"/>
        </w:rPr>
        <w:t>开标一览表及投标分项报价表</w:t>
      </w:r>
    </w:p>
    <w:p w:rsidR="00AA7AB4">
      <w:pPr>
        <w:numPr>
          <w:ilvl w:val="0"/>
          <w:numId w:val="16"/>
        </w:numPr>
        <w:snapToGrid w:val="0"/>
        <w:spacing w:line="360" w:lineRule="auto"/>
        <w:rPr>
          <w:rFonts w:ascii="宋体" w:eastAsia="宋体" w:hAnsi="宋体" w:cs="Times New Roman"/>
          <w:szCs w:val="21"/>
        </w:rPr>
      </w:pPr>
      <w:r>
        <w:rPr>
          <w:rFonts w:ascii="宋体" w:eastAsia="宋体" w:hAnsi="宋体" w:cs="Times New Roman" w:hint="eastAsia"/>
          <w:szCs w:val="21"/>
        </w:rPr>
        <w:t>商务和技术偏离表</w:t>
      </w:r>
    </w:p>
    <w:p w:rsidR="00AA7AB4">
      <w:pPr>
        <w:numPr>
          <w:ilvl w:val="0"/>
          <w:numId w:val="16"/>
        </w:numPr>
        <w:snapToGrid w:val="0"/>
        <w:spacing w:line="360" w:lineRule="auto"/>
        <w:rPr>
          <w:rFonts w:ascii="宋体" w:eastAsia="宋体" w:hAnsi="宋体" w:cs="Times New Roman"/>
          <w:szCs w:val="21"/>
        </w:rPr>
      </w:pPr>
      <w:r>
        <w:rPr>
          <w:rFonts w:ascii="宋体" w:eastAsia="宋体" w:hAnsi="宋体" w:cs="Times New Roman" w:hint="eastAsia"/>
          <w:szCs w:val="21"/>
        </w:rPr>
        <w:t>合同条款专用部分</w:t>
      </w:r>
    </w:p>
    <w:p w:rsidR="00AA7AB4">
      <w:pPr>
        <w:numPr>
          <w:ilvl w:val="0"/>
          <w:numId w:val="16"/>
        </w:numPr>
        <w:snapToGrid w:val="0"/>
        <w:spacing w:line="360" w:lineRule="auto"/>
        <w:rPr>
          <w:rFonts w:ascii="宋体" w:eastAsia="宋体" w:hAnsi="宋体" w:cs="Times New Roman"/>
          <w:szCs w:val="21"/>
        </w:rPr>
      </w:pPr>
      <w:r>
        <w:rPr>
          <w:rFonts w:ascii="宋体" w:eastAsia="宋体" w:hAnsi="宋体" w:cs="Times New Roman" w:hint="eastAsia"/>
          <w:szCs w:val="21"/>
        </w:rPr>
        <w:t>合同条款</w:t>
      </w:r>
      <w:r>
        <w:rPr>
          <w:rFonts w:ascii="宋体" w:eastAsia="宋体" w:hAnsi="宋体" w:cs="Times New Roman" w:hint="eastAsia"/>
          <w:szCs w:val="21"/>
        </w:rPr>
        <w:t>通用部分</w:t>
      </w:r>
    </w:p>
    <w:p w:rsidR="00AA7AB4">
      <w:pPr>
        <w:numPr>
          <w:ilvl w:val="0"/>
          <w:numId w:val="16"/>
        </w:numPr>
        <w:snapToGrid w:val="0"/>
        <w:spacing w:line="360" w:lineRule="auto"/>
        <w:rPr>
          <w:rFonts w:ascii="宋体" w:eastAsia="宋体" w:hAnsi="宋体" w:cs="Times New Roman"/>
          <w:szCs w:val="21"/>
        </w:rPr>
      </w:pPr>
      <w:r>
        <w:rPr>
          <w:rFonts w:ascii="宋体" w:eastAsia="宋体" w:hAnsi="宋体" w:cs="Times New Roman" w:hint="eastAsia"/>
          <w:szCs w:val="21"/>
        </w:rPr>
        <w:t>采购需求</w:t>
      </w:r>
    </w:p>
    <w:p w:rsidR="00AA7AB4">
      <w:pPr>
        <w:numPr>
          <w:ilvl w:val="0"/>
          <w:numId w:val="16"/>
        </w:numPr>
        <w:snapToGrid w:val="0"/>
        <w:spacing w:line="360" w:lineRule="auto"/>
        <w:rPr>
          <w:rFonts w:ascii="宋体" w:eastAsia="宋体" w:hAnsi="宋体" w:cs="Times New Roman"/>
          <w:szCs w:val="21"/>
        </w:rPr>
      </w:pPr>
      <w:r>
        <w:rPr>
          <w:rFonts w:ascii="宋体" w:eastAsia="宋体" w:hAnsi="宋体" w:cs="Times New Roman" w:hint="eastAsia"/>
          <w:szCs w:val="21"/>
        </w:rPr>
        <w:t>双方有关服务的洽商、变更等书面协议或文件</w:t>
      </w:r>
    </w:p>
    <w:p w:rsidR="00AA7AB4">
      <w:pPr>
        <w:numPr>
          <w:ilvl w:val="0"/>
          <w:numId w:val="16"/>
        </w:numPr>
        <w:snapToGrid w:val="0"/>
        <w:spacing w:line="360" w:lineRule="auto"/>
        <w:rPr>
          <w:rFonts w:ascii="宋体" w:eastAsia="宋体" w:hAnsi="宋体" w:cs="Times New Roman"/>
          <w:szCs w:val="21"/>
        </w:rPr>
      </w:pPr>
      <w:r>
        <w:rPr>
          <w:rFonts w:ascii="宋体" w:eastAsia="宋体" w:hAnsi="宋体" w:cs="Times New Roman" w:hint="eastAsia"/>
          <w:szCs w:val="21"/>
        </w:rPr>
        <w:t>投标文件、招标文件除以上的其他部分</w:t>
      </w:r>
    </w:p>
    <w:p w:rsidR="00AA7AB4">
      <w:pPr>
        <w:numPr>
          <w:ilvl w:val="0"/>
          <w:numId w:val="16"/>
        </w:numPr>
        <w:snapToGrid w:val="0"/>
        <w:spacing w:line="360" w:lineRule="auto"/>
        <w:rPr>
          <w:rFonts w:ascii="宋体" w:eastAsia="宋体" w:hAnsi="宋体" w:cs="Times New Roman"/>
          <w:szCs w:val="21"/>
        </w:rPr>
      </w:pPr>
      <w:r>
        <w:rPr>
          <w:rFonts w:ascii="宋体" w:eastAsia="宋体" w:hAnsi="宋体" w:cs="Times New Roman" w:hint="eastAsia"/>
          <w:szCs w:val="21"/>
        </w:rPr>
        <w:t>其他合同文本</w:t>
      </w:r>
    </w:p>
    <w:p w:rsidR="00AA7AB4">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一、定义</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除非另有特别解释或说明，在本合同及与本合同相关的，双方另行签署的其他文件（包括但不限于本合同的附件）中，下述词语均</w:t>
      </w:r>
      <w:r>
        <w:rPr>
          <w:rFonts w:ascii="宋体" w:eastAsia="宋体" w:hAnsi="宋体" w:cs="Times New Roman" w:hint="eastAsia"/>
          <w:szCs w:val="21"/>
        </w:rPr>
        <w:t>依如下</w:t>
      </w:r>
      <w:r>
        <w:rPr>
          <w:rFonts w:ascii="宋体" w:eastAsia="宋体" w:hAnsi="宋体" w:cs="Times New Roman" w:hint="eastAsia"/>
          <w:szCs w:val="21"/>
        </w:rPr>
        <w:t>定义进行解释：</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、“项目”详见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、“合同”指甲乙双方签署的，与本项目相关的协议、附件、附录和其他一切文件，还</w:t>
      </w:r>
      <w:r>
        <w:rPr>
          <w:rFonts w:ascii="宋体" w:eastAsia="宋体" w:hAnsi="宋体" w:cs="Times New Roman"/>
          <w:szCs w:val="21"/>
        </w:rPr>
        <w:t>包括招标文件、投标文件中的相关内容及其有效补充文件</w:t>
      </w:r>
      <w:r>
        <w:rPr>
          <w:rFonts w:ascii="宋体" w:eastAsia="宋体" w:hAnsi="宋体" w:cs="Times New Roman" w:hint="eastAsia"/>
          <w:szCs w:val="21"/>
        </w:rPr>
        <w:t>。</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、“附件”是指与本合同的订立、履行有关的，经甲乙双方认可的，对本合同约定的内容进行细化、补充、修改、变更的文件、图纸、音像制品等资料。</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、“合同服务”指合同服务清单（同投标文件中分项报价表，下同）中所规定的服务内容、设备和软件购置等内容。</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、“验收证书”指验收完成后由合同双方签署的最终验收确认书。</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、“保修期”指自验收证书甲方签署之日起，乙方免费对所提供给甲方服务内容进行技术支持、现场服务、升级服务等，并自</w:t>
      </w:r>
      <w:r>
        <w:rPr>
          <w:rFonts w:ascii="宋体" w:eastAsia="宋体" w:hAnsi="宋体" w:cs="Times New Roman" w:hint="eastAsia"/>
          <w:szCs w:val="21"/>
        </w:rPr>
        <w:t>担费用</w:t>
      </w:r>
      <w:r>
        <w:rPr>
          <w:rFonts w:ascii="宋体" w:eastAsia="宋体" w:hAnsi="宋体" w:cs="Times New Roman" w:hint="eastAsia"/>
          <w:szCs w:val="21"/>
        </w:rPr>
        <w:t>方式保证合同服务正常运行的时期。</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w:t>
      </w:r>
      <w:r>
        <w:rPr>
          <w:rFonts w:ascii="宋体" w:eastAsia="宋体" w:hAnsi="宋体" w:cs="Times New Roman" w:hint="eastAsia"/>
          <w:szCs w:val="21"/>
        </w:rPr>
        <w:t>、“第三人”是指本合同双方以外的任何中国境内、外的自</w:t>
      </w:r>
      <w:r>
        <w:rPr>
          <w:rFonts w:ascii="宋体" w:eastAsia="宋体" w:hAnsi="宋体" w:cs="Times New Roman" w:hint="eastAsia"/>
          <w:szCs w:val="21"/>
        </w:rPr>
        <w:t>然人、法人或其他经济组织。</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w:t>
      </w:r>
      <w:r>
        <w:rPr>
          <w:rFonts w:ascii="宋体" w:eastAsia="宋体" w:hAnsi="宋体" w:cs="Times New Roman" w:hint="eastAsia"/>
          <w:szCs w:val="21"/>
        </w:rPr>
        <w:t>、“法律、法规”是指由中国有关部门制定的法律、行政法规、地方性法规、规章及其他规</w:t>
      </w:r>
      <w:r>
        <w:rPr>
          <w:rFonts w:ascii="宋体" w:eastAsia="宋体" w:hAnsi="宋体" w:cs="Times New Roman" w:hint="eastAsia"/>
          <w:szCs w:val="21"/>
        </w:rPr>
        <w:t>范性文件以及经全国人民代表大会常务委员会批准的中国缔结、参加的国际条（公）约的有关规定。</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w:t>
      </w:r>
      <w:r>
        <w:rPr>
          <w:rFonts w:ascii="宋体" w:eastAsia="宋体" w:hAnsi="宋体" w:cs="Times New Roman" w:hint="eastAsia"/>
          <w:szCs w:val="21"/>
        </w:rPr>
        <w:t>、“招标文件”指采购中心发布的本项目招标文件。</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w:t>
      </w:r>
      <w:r>
        <w:rPr>
          <w:rFonts w:ascii="宋体" w:eastAsia="宋体" w:hAnsi="宋体" w:cs="Times New Roman" w:hint="eastAsia"/>
          <w:szCs w:val="21"/>
        </w:rPr>
        <w:t>、“投标文件”指乙方按照采购中心发布的本项目招标文件的要求编制和投递，并最终被采购中心接受的投标文件。</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w:t>
      </w:r>
      <w:r>
        <w:rPr>
          <w:rFonts w:ascii="宋体" w:eastAsia="宋体" w:hAnsi="宋体" w:cs="Times New Roman" w:hint="eastAsia"/>
          <w:szCs w:val="21"/>
        </w:rPr>
        <w:t>、“合同标的”指甲方同意从乙方购买，乙方同意向甲方提供</w:t>
      </w:r>
      <w:r>
        <w:rPr>
          <w:rFonts w:ascii="黑体" w:eastAsia="黑体" w:hAnsi="黑体" w:cs="Times New Roman" w:hint="eastAsia"/>
          <w:b/>
          <w:szCs w:val="21"/>
        </w:rPr>
        <w:t>合同服务清单（同投标文件中分项报价表）</w:t>
      </w:r>
      <w:r>
        <w:rPr>
          <w:rFonts w:ascii="宋体" w:eastAsia="宋体" w:hAnsi="宋体" w:cs="Times New Roman" w:hint="eastAsia"/>
          <w:szCs w:val="21"/>
        </w:rPr>
        <w:t>中所列服务内容、设备和软件购置等内容。</w:t>
      </w:r>
    </w:p>
    <w:p w:rsidR="00AA7AB4">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二、合同标的</w:t>
      </w:r>
    </w:p>
    <w:p w:rsidR="00AA7AB4">
      <w:pPr>
        <w:numPr>
          <w:ilvl w:val="6"/>
          <w:numId w:val="0"/>
        </w:num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见</w:t>
      </w:r>
      <w:r>
        <w:rPr>
          <w:rFonts w:ascii="黑体" w:eastAsia="黑体" w:hAnsi="黑体" w:cs="Times New Roman" w:hint="eastAsia"/>
          <w:b/>
          <w:bCs/>
          <w:szCs w:val="21"/>
        </w:rPr>
        <w:t>合</w:t>
      </w:r>
      <w:r>
        <w:rPr>
          <w:rFonts w:ascii="黑体" w:eastAsia="黑体" w:hAnsi="黑体" w:cs="Times New Roman" w:hint="eastAsia"/>
          <w:b/>
          <w:bCs/>
          <w:szCs w:val="21"/>
        </w:rPr>
        <w:t>同</w:t>
      </w:r>
      <w:r>
        <w:rPr>
          <w:rFonts w:ascii="黑体" w:eastAsia="黑体" w:hAnsi="黑体" w:cs="Times New Roman" w:hint="eastAsia"/>
          <w:b/>
          <w:bCs/>
          <w:szCs w:val="21"/>
        </w:rPr>
        <w:t>条款专用部分</w:t>
      </w:r>
      <w:r>
        <w:rPr>
          <w:rFonts w:ascii="宋体" w:eastAsia="宋体" w:hAnsi="宋体" w:cs="Times New Roman" w:hint="eastAsia"/>
          <w:szCs w:val="21"/>
        </w:rPr>
        <w:t>。</w:t>
      </w:r>
    </w:p>
    <w:p w:rsidR="00AA7AB4">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三、合同价格</w:t>
      </w:r>
    </w:p>
    <w:p w:rsidR="00AA7AB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、合同总金额详见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AA7AB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、本合同价格包括服务产品金额，是在项目交付前、交付时所发生或引起的本合同相关的全部成本、费用等，且为完税后价格。</w:t>
      </w:r>
    </w:p>
    <w:p w:rsidR="00AA7AB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、合同服务产品详细目录及价格</w:t>
      </w:r>
      <w:r>
        <w:rPr>
          <w:rFonts w:ascii="宋体" w:eastAsia="宋体" w:hAnsi="宋体"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服务产品清单（同投标文件中服务产品清单）</w:t>
      </w:r>
      <w:r>
        <w:rPr>
          <w:rFonts w:ascii="宋体" w:eastAsia="宋体" w:hAnsi="宋体" w:cs="Times New Roman" w:hint="eastAsia"/>
          <w:szCs w:val="21"/>
        </w:rPr>
        <w:t>。</w:t>
      </w:r>
    </w:p>
    <w:p w:rsidR="00AA7AB4">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四、支付和结算方式</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、双方因本合同发生的一切费用均以人民币结算及支付。</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、双方的</w:t>
      </w:r>
      <w:r>
        <w:rPr>
          <w:rFonts w:ascii="宋体" w:eastAsia="宋体" w:hAnsi="宋体" w:cs="Times New Roman" w:hint="eastAsia"/>
          <w:szCs w:val="21"/>
        </w:rPr>
        <w:t>帐户</w:t>
      </w:r>
      <w:r>
        <w:rPr>
          <w:rFonts w:ascii="宋体" w:eastAsia="宋体" w:hAnsi="宋体" w:cs="Times New Roman" w:hint="eastAsia"/>
          <w:szCs w:val="21"/>
        </w:rPr>
        <w:t>名称、开户银行及</w:t>
      </w:r>
      <w:r>
        <w:rPr>
          <w:rFonts w:ascii="宋体" w:eastAsia="宋体" w:hAnsi="宋体" w:cs="Times New Roman" w:hint="eastAsia"/>
          <w:szCs w:val="21"/>
        </w:rPr>
        <w:t>帐号</w:t>
      </w:r>
      <w:r>
        <w:rPr>
          <w:rFonts w:ascii="宋体" w:eastAsia="宋体" w:hAnsi="宋体" w:cs="Times New Roman" w:hint="eastAsia"/>
          <w:szCs w:val="21"/>
        </w:rPr>
        <w:t>以本合同提供的为准。</w:t>
      </w:r>
    </w:p>
    <w:p w:rsidR="00AA7AB4">
      <w:pPr>
        <w:tabs>
          <w:tab w:val="left" w:pos="1573"/>
        </w:tabs>
        <w:adjustRightInd w:val="0"/>
        <w:snapToGrid w:val="0"/>
        <w:spacing w:line="360" w:lineRule="auto"/>
        <w:ind w:firstLine="420" w:firstLineChars="200"/>
        <w:rPr>
          <w:rFonts w:ascii="Times New Roman" w:eastAsia="宋体" w:hAnsi="宋体" w:cs="Times New Roman"/>
          <w:kern w:val="0"/>
          <w:szCs w:val="21"/>
        </w:rPr>
      </w:pPr>
      <w:r>
        <w:rPr>
          <w:rFonts w:ascii="宋体" w:eastAsia="宋体" w:hAnsi="宋体" w:cs="Times New Roman" w:hint="eastAsia"/>
          <w:szCs w:val="21"/>
        </w:rPr>
        <w:t>3</w:t>
      </w:r>
      <w:r>
        <w:rPr>
          <w:rFonts w:ascii="宋体" w:eastAsia="宋体" w:hAnsi="宋体" w:cs="Times New Roman" w:hint="eastAsia"/>
          <w:szCs w:val="21"/>
        </w:rPr>
        <w:t>、付款方式：</w:t>
      </w:r>
      <w:r>
        <w:rPr>
          <w:rFonts w:ascii="Times New Roman" w:eastAsia="宋体" w:hAnsi="宋体" w:cs="Times New Roman" w:hint="eastAsia"/>
          <w:kern w:val="0"/>
          <w:szCs w:val="21"/>
        </w:rPr>
        <w:t xml:space="preserve"> </w:t>
      </w:r>
    </w:p>
    <w:p w:rsidR="00AA7AB4">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w:t>
      </w:r>
      <w:r>
        <w:rPr>
          <w:rFonts w:ascii="Times New Roman" w:eastAsia="宋体" w:hAnsi="宋体" w:cs="Times New Roman" w:hint="eastAsia"/>
          <w:kern w:val="0"/>
          <w:szCs w:val="20"/>
        </w:rPr>
        <w:t>1</w:t>
      </w:r>
      <w:r>
        <w:rPr>
          <w:rFonts w:ascii="Times New Roman" w:eastAsia="宋体" w:hAnsi="宋体" w:cs="Times New Roman" w:hint="eastAsia"/>
          <w:kern w:val="0"/>
          <w:szCs w:val="20"/>
        </w:rPr>
        <w:t>）合同生效后付款：双方签署合同后</w:t>
      </w:r>
      <w:r>
        <w:rPr>
          <w:rFonts w:ascii="Times New Roman" w:eastAsia="宋体" w:hAnsi="宋体" w:cs="Times New Roman" w:hint="eastAsia"/>
          <w:kern w:val="0"/>
          <w:szCs w:val="20"/>
        </w:rPr>
        <w:t>7</w:t>
      </w:r>
      <w:r>
        <w:rPr>
          <w:rFonts w:ascii="Times New Roman" w:eastAsia="宋体" w:hAnsi="宋体" w:cs="Times New Roman" w:hint="eastAsia"/>
          <w:kern w:val="0"/>
          <w:szCs w:val="20"/>
        </w:rPr>
        <w:t>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w:t>
      </w:r>
      <w:r>
        <w:rPr>
          <w:rFonts w:ascii="黑体" w:eastAsia="黑体" w:hAnsi="黑体" w:cs="Times New Roman" w:hint="eastAsia"/>
          <w:b/>
          <w:bCs/>
          <w:szCs w:val="20"/>
        </w:rPr>
        <w:t>条款专用部分</w:t>
      </w:r>
      <w:r>
        <w:rPr>
          <w:rFonts w:ascii="Times New Roman" w:eastAsia="宋体" w:hAnsi="宋体" w:cs="Times New Roman" w:hint="eastAsia"/>
          <w:kern w:val="0"/>
          <w:szCs w:val="20"/>
        </w:rPr>
        <w:t>；</w:t>
      </w:r>
    </w:p>
    <w:p w:rsidR="00AA7AB4">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w:t>
      </w:r>
      <w:r>
        <w:rPr>
          <w:rFonts w:ascii="Times New Roman" w:eastAsia="宋体" w:hAnsi="宋体" w:cs="Times New Roman" w:hint="eastAsia"/>
          <w:kern w:val="0"/>
          <w:szCs w:val="20"/>
        </w:rPr>
        <w:t>2</w:t>
      </w:r>
      <w:r>
        <w:rPr>
          <w:rFonts w:ascii="Times New Roman" w:eastAsia="宋体" w:hAnsi="宋体" w:cs="Times New Roman" w:hint="eastAsia"/>
          <w:kern w:val="0"/>
          <w:szCs w:val="20"/>
        </w:rPr>
        <w:t>）签署验收报后付款：合同服务安装、调试到位、试运行完成，经甲方核对无误、检验合格，双方签署验收报告后</w:t>
      </w:r>
      <w:r>
        <w:rPr>
          <w:rFonts w:ascii="Times New Roman" w:eastAsia="宋体" w:hAnsi="宋体" w:cs="Times New Roman" w:hint="eastAsia"/>
          <w:kern w:val="0"/>
          <w:szCs w:val="20"/>
        </w:rPr>
        <w:t>7</w:t>
      </w:r>
      <w:r>
        <w:rPr>
          <w:rFonts w:ascii="Times New Roman" w:eastAsia="宋体" w:hAnsi="宋体" w:cs="Times New Roman" w:hint="eastAsia"/>
          <w:kern w:val="0"/>
          <w:szCs w:val="20"/>
        </w:rPr>
        <w:t>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w:t>
      </w:r>
      <w:r>
        <w:rPr>
          <w:rFonts w:ascii="黑体" w:eastAsia="黑体" w:hAnsi="黑体" w:cs="Times New Roman" w:hint="eastAsia"/>
          <w:b/>
          <w:bCs/>
          <w:szCs w:val="20"/>
        </w:rPr>
        <w:t>条款专用部分</w:t>
      </w:r>
      <w:r>
        <w:rPr>
          <w:rFonts w:ascii="Times New Roman" w:eastAsia="宋体" w:hAnsi="宋体" w:cs="Times New Roman" w:hint="eastAsia"/>
          <w:kern w:val="0"/>
          <w:szCs w:val="20"/>
        </w:rPr>
        <w:t>；</w:t>
      </w:r>
      <w:r>
        <w:rPr>
          <w:rFonts w:ascii="Times New Roman" w:eastAsia="宋体" w:hAnsi="宋体" w:cs="Times New Roman" w:hint="eastAsia"/>
          <w:kern w:val="0"/>
          <w:szCs w:val="20"/>
        </w:rPr>
        <w:t xml:space="preserve"> </w:t>
      </w:r>
    </w:p>
    <w:p w:rsidR="00AA7AB4">
      <w:pPr>
        <w:tabs>
          <w:tab w:val="left" w:pos="1573"/>
        </w:tabs>
        <w:adjustRightInd w:val="0"/>
        <w:snapToGrid w:val="0"/>
        <w:spacing w:line="360" w:lineRule="auto"/>
        <w:ind w:firstLine="420" w:firstLineChars="200"/>
        <w:rPr>
          <w:rFonts w:ascii="宋体" w:eastAsia="宋体" w:hAnsi="宋体" w:cs="Times New Roman"/>
          <w:kern w:val="0"/>
          <w:szCs w:val="20"/>
        </w:rPr>
      </w:pPr>
      <w:r>
        <w:rPr>
          <w:rFonts w:ascii="宋体" w:eastAsia="宋体" w:hAnsi="宋体" w:cs="Times New Roman" w:hint="eastAsia"/>
          <w:kern w:val="0"/>
          <w:szCs w:val="20"/>
        </w:rPr>
        <w:t>（</w:t>
      </w:r>
      <w:r>
        <w:rPr>
          <w:rFonts w:ascii="宋体" w:eastAsia="宋体" w:hAnsi="宋体" w:cs="Times New Roman" w:hint="eastAsia"/>
          <w:kern w:val="0"/>
          <w:szCs w:val="20"/>
        </w:rPr>
        <w:t>3</w:t>
      </w:r>
      <w:r>
        <w:rPr>
          <w:rFonts w:ascii="宋体" w:eastAsia="宋体" w:hAnsi="宋体" w:cs="Times New Roman" w:hint="eastAsia"/>
          <w:kern w:val="0"/>
          <w:szCs w:val="20"/>
        </w:rPr>
        <w:t>）保修期满后付款：合同服务的保修期（合同服务的保修期</w:t>
      </w:r>
      <w:r>
        <w:rPr>
          <w:rFonts w:ascii="宋体" w:eastAsia="宋体" w:hAnsi="宋体" w:cs="Times New Roman" w:hint="eastAsia"/>
          <w:kern w:val="0"/>
          <w:szCs w:val="20"/>
        </w:rPr>
        <w:t>自全部</w:t>
      </w:r>
      <w:r>
        <w:rPr>
          <w:rFonts w:ascii="宋体" w:eastAsia="宋体" w:hAnsi="宋体" w:cs="Times New Roman" w:hint="eastAsia"/>
          <w:kern w:val="0"/>
          <w:szCs w:val="20"/>
        </w:rPr>
        <w:t>服务验收合格，双方签署验收证书之日起算）期满后</w:t>
      </w:r>
      <w:r>
        <w:rPr>
          <w:rFonts w:ascii="宋体" w:eastAsia="宋体" w:hAnsi="宋体" w:cs="Times New Roman" w:hint="eastAsia"/>
          <w:kern w:val="0"/>
          <w:szCs w:val="20"/>
        </w:rPr>
        <w:t>7</w:t>
      </w:r>
      <w:r>
        <w:rPr>
          <w:rFonts w:ascii="宋体" w:eastAsia="宋体" w:hAnsi="宋体" w:cs="Times New Roman" w:hint="eastAsia"/>
          <w:kern w:val="0"/>
          <w:szCs w:val="20"/>
        </w:rPr>
        <w:t>个工作日内，甲方向乙方支付合同余款，支付比例、金额</w:t>
      </w:r>
      <w:r>
        <w:rPr>
          <w:rFonts w:ascii="宋体" w:eastAsia="宋体" w:hAnsi="Courier New"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条款专用部分</w:t>
      </w:r>
      <w:r>
        <w:rPr>
          <w:rFonts w:ascii="宋体" w:eastAsia="宋体" w:hAnsi="宋体" w:cs="Times New Roman" w:hint="eastAsia"/>
          <w:kern w:val="0"/>
          <w:szCs w:val="20"/>
        </w:rPr>
        <w:t>，作为本合同最终结款。</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、乙方在收到甲方每一笔付款的同时，应向甲方开具相应金额的商业发票。</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w:t>
      </w:r>
      <w:r>
        <w:rPr>
          <w:rFonts w:ascii="宋体" w:eastAsia="宋体" w:hAnsi="宋体" w:cs="Times New Roman" w:hint="eastAsia"/>
          <w:szCs w:val="21"/>
        </w:rPr>
        <w:t>。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rsidR="00AA7AB4">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五、资料的使用</w:t>
      </w:r>
    </w:p>
    <w:p w:rsidR="00AA7AB4">
      <w:pPr>
        <w:adjustRightInd w:val="0"/>
        <w:snapToGrid w:val="0"/>
        <w:spacing w:line="360" w:lineRule="auto"/>
        <w:ind w:left="105" w:firstLine="315" w:leftChars="50" w:firstLineChars="15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rsidR="00AA7AB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、没有甲方事先书面同意，除了履行本合同之外，乙方不应使用甲方提供的任何文件和资料。</w:t>
      </w:r>
    </w:p>
    <w:p w:rsidR="00AA7AB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、没有甲方事先书面同意，乙方不得泄露与本项目有关的任何资料、数据及其它信息。</w:t>
      </w:r>
    </w:p>
    <w:p w:rsidR="00AA7AB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、除了合同本身以外，甲方提供给乙方的任何文件是甲方的财产。如果甲方有要求，乙方在完成合同后应将这些文件</w:t>
      </w:r>
      <w:r>
        <w:rPr>
          <w:rFonts w:ascii="宋体" w:eastAsia="宋体" w:hAnsi="宋体" w:cs="Times New Roman" w:hint="eastAsia"/>
          <w:szCs w:val="21"/>
        </w:rPr>
        <w:t>(</w:t>
      </w:r>
      <w:r>
        <w:rPr>
          <w:rFonts w:ascii="宋体" w:eastAsia="宋体" w:hAnsi="宋体" w:cs="Times New Roman" w:hint="eastAsia"/>
          <w:szCs w:val="21"/>
        </w:rPr>
        <w:t>全部拷贝</w:t>
      </w:r>
      <w:r>
        <w:rPr>
          <w:rFonts w:ascii="宋体" w:eastAsia="宋体" w:hAnsi="宋体" w:cs="Times New Roman" w:hint="eastAsia"/>
          <w:szCs w:val="21"/>
        </w:rPr>
        <w:t>)</w:t>
      </w:r>
      <w:r>
        <w:rPr>
          <w:rFonts w:ascii="宋体" w:eastAsia="宋体" w:hAnsi="宋体" w:cs="Times New Roman" w:hint="eastAsia"/>
          <w:szCs w:val="21"/>
        </w:rPr>
        <w:t>还给甲方。</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甲方提供该乙方履行合同所需的资料清单</w:t>
      </w:r>
      <w:r>
        <w:rPr>
          <w:rFonts w:ascii="宋体" w:eastAsia="宋体" w:hAnsi="宋体"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条款专用部分。</w:t>
      </w:r>
    </w:p>
    <w:p w:rsidR="00AA7AB4">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六、知识产权</w:t>
      </w:r>
    </w:p>
    <w:p w:rsidR="00AA7AB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、在本协议生效日前业已存在的版权及其他知识产权应属于本协议生效前既拥有该等权利的一方。</w:t>
      </w:r>
    </w:p>
    <w:p w:rsidR="00AA7AB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、任何一方均不可凭借本协议取得另一方此前所已经拥有且根据本合同不应被合理的推论为其已经同意转移的版权、专利、商业秘密、商标或其他知识产权的所有权。</w:t>
      </w:r>
    </w:p>
    <w:p w:rsidR="00AA7AB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、符合法律规定及当事人约定的原则：任何相关事项均应当符合法律规定，及应当符合当事人约定。</w:t>
      </w:r>
    </w:p>
    <w:p w:rsidR="00AA7AB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、开发成果归属清晰原则：全部及</w:t>
      </w:r>
      <w:r>
        <w:rPr>
          <w:rFonts w:ascii="宋体" w:eastAsia="宋体" w:hAnsi="宋体" w:cs="Times New Roman" w:hint="eastAsia"/>
          <w:szCs w:val="21"/>
        </w:rPr>
        <w:t>/</w:t>
      </w:r>
      <w:r>
        <w:rPr>
          <w:rFonts w:ascii="宋体" w:eastAsia="宋体" w:hAnsi="宋体" w:cs="Times New Roman" w:hint="eastAsia"/>
          <w:szCs w:val="21"/>
        </w:rPr>
        <w:t>或任何部分的相关知识产权，包括相关权益，均归甲方所有。乙方有不可争议的义务</w:t>
      </w:r>
      <w:r>
        <w:rPr>
          <w:rFonts w:ascii="宋体" w:eastAsia="宋体" w:hAnsi="宋体" w:cs="Times New Roman" w:hint="eastAsia"/>
          <w:szCs w:val="21"/>
        </w:rPr>
        <w:t>确保甲方依据本次采购所获得的知识产权不存在任何瑕疵并且可以不受限制地行使相关权利，包括各项延伸权利。若因此发生任何争议均应当由乙方独自承担全部及</w:t>
      </w:r>
      <w:r>
        <w:rPr>
          <w:rFonts w:ascii="宋体" w:eastAsia="宋体" w:hAnsi="宋体" w:cs="Times New Roman" w:hint="eastAsia"/>
          <w:szCs w:val="21"/>
        </w:rPr>
        <w:t>/</w:t>
      </w:r>
      <w:r>
        <w:rPr>
          <w:rFonts w:ascii="宋体" w:eastAsia="宋体" w:hAnsi="宋体" w:cs="Times New Roman" w:hint="eastAsia"/>
          <w:szCs w:val="21"/>
        </w:rPr>
        <w:t>或任何责任，包括但不限于应当承担其自身及甲方为排除任何争议或瑕疵所应当或所需要支付的一切相关及</w:t>
      </w:r>
      <w:r>
        <w:rPr>
          <w:rFonts w:ascii="宋体" w:eastAsia="宋体" w:hAnsi="宋体" w:cs="Times New Roman" w:hint="eastAsia"/>
          <w:szCs w:val="21"/>
        </w:rPr>
        <w:t>/</w:t>
      </w:r>
      <w:r>
        <w:rPr>
          <w:rFonts w:ascii="宋体" w:eastAsia="宋体" w:hAnsi="宋体" w:cs="Times New Roman" w:hint="eastAsia"/>
          <w:szCs w:val="21"/>
        </w:rPr>
        <w:t>或由此引起的费用。</w:t>
      </w:r>
    </w:p>
    <w:p w:rsidR="00AA7AB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w:t>
      </w:r>
      <w:r>
        <w:rPr>
          <w:rFonts w:ascii="宋体" w:eastAsia="宋体" w:hAnsi="宋体" w:cs="Times New Roman" w:hint="eastAsia"/>
          <w:szCs w:val="21"/>
        </w:rPr>
        <w:t>/</w:t>
      </w:r>
      <w:r>
        <w:rPr>
          <w:rFonts w:ascii="宋体" w:eastAsia="宋体" w:hAnsi="宋体" w:cs="Times New Roman" w:hint="eastAsia"/>
          <w:szCs w:val="21"/>
        </w:rPr>
        <w:t>或任何责任，包括但不限</w:t>
      </w:r>
      <w:r>
        <w:rPr>
          <w:rFonts w:ascii="宋体" w:eastAsia="宋体" w:hAnsi="宋体" w:cs="Times New Roman" w:hint="eastAsia"/>
          <w:szCs w:val="21"/>
        </w:rPr>
        <w:t>于应当承担其自身及甲方为排除任何争议及</w:t>
      </w:r>
      <w:r>
        <w:rPr>
          <w:rFonts w:ascii="宋体" w:eastAsia="宋体" w:hAnsi="宋体" w:cs="Times New Roman" w:hint="eastAsia"/>
          <w:szCs w:val="21"/>
        </w:rPr>
        <w:t>/</w:t>
      </w:r>
      <w:r>
        <w:rPr>
          <w:rFonts w:ascii="宋体" w:eastAsia="宋体" w:hAnsi="宋体" w:cs="Times New Roman" w:hint="eastAsia"/>
          <w:szCs w:val="21"/>
        </w:rPr>
        <w:t>或赔偿侵权所应当或所需要支付的一切相关及</w:t>
      </w:r>
      <w:r>
        <w:rPr>
          <w:rFonts w:ascii="宋体" w:eastAsia="宋体" w:hAnsi="宋体" w:cs="Times New Roman" w:hint="eastAsia"/>
          <w:szCs w:val="21"/>
        </w:rPr>
        <w:t>/</w:t>
      </w:r>
      <w:r>
        <w:rPr>
          <w:rFonts w:ascii="宋体" w:eastAsia="宋体" w:hAnsi="宋体" w:cs="Times New Roman" w:hint="eastAsia"/>
          <w:szCs w:val="21"/>
        </w:rPr>
        <w:t>或由此引起的费用。</w:t>
      </w:r>
    </w:p>
    <w:p w:rsidR="00AA7AB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、甲方将拥有其在本协议项下所从事的所有工作（包括各类纸质文档，电子文档及其他可交付物）中所包含的或与之相关的全部版权、专利、商业秘密、商标和其他知识产权以及所有权和其他权益。</w:t>
      </w:r>
    </w:p>
    <w:p w:rsidR="00AA7AB4">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七、进度要求</w:t>
      </w:r>
    </w:p>
    <w:p w:rsidR="00AA7AB4">
      <w:pPr>
        <w:numPr>
          <w:ilvl w:val="6"/>
          <w:numId w:val="0"/>
        </w:numPr>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见</w:t>
      </w:r>
      <w:r>
        <w:rPr>
          <w:rFonts w:ascii="黑体" w:eastAsia="黑体" w:hAnsi="黑体" w:cs="Times New Roman" w:hint="eastAsia"/>
          <w:b/>
          <w:bCs/>
          <w:szCs w:val="20"/>
        </w:rPr>
        <w:t>合同</w:t>
      </w:r>
      <w:r>
        <w:rPr>
          <w:rFonts w:ascii="黑体" w:eastAsia="黑体" w:hAnsi="黑体" w:cs="Times New Roman" w:hint="eastAsia"/>
          <w:b/>
          <w:bCs/>
          <w:szCs w:val="20"/>
        </w:rPr>
        <w:t>条款专用部分</w:t>
      </w:r>
      <w:r>
        <w:rPr>
          <w:rFonts w:ascii="宋体" w:eastAsia="宋体" w:hAnsi="宋体" w:cs="Times New Roman" w:hint="eastAsia"/>
          <w:b/>
          <w:szCs w:val="21"/>
        </w:rPr>
        <w:t>。</w:t>
      </w:r>
    </w:p>
    <w:p w:rsidR="00AA7AB4">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八、技术服务和保修责任</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关于本条的特别说明：本条中的服务时间，</w:t>
      </w:r>
      <w:r>
        <w:rPr>
          <w:rFonts w:ascii="宋体" w:eastAsia="宋体" w:hAnsi="宋体" w:cs="Times New Roman" w:hint="eastAsia"/>
          <w:szCs w:val="21"/>
        </w:rPr>
        <w:t>即相关</w:t>
      </w:r>
      <w:r>
        <w:rPr>
          <w:rFonts w:ascii="宋体" w:eastAsia="宋体" w:hAnsi="宋体" w:cs="Times New Roman" w:hint="eastAsia"/>
          <w:szCs w:val="21"/>
        </w:rPr>
        <w:t>的服务到达现场或完成维修工作所需的时间：小时、天数等，招标文件或有关保修服务的其它文件中有规定的，遵从其规定；若无相关文</w:t>
      </w:r>
      <w:r>
        <w:rPr>
          <w:rFonts w:ascii="宋体" w:eastAsia="宋体" w:hAnsi="宋体" w:cs="Times New Roman" w:hint="eastAsia"/>
          <w:szCs w:val="21"/>
        </w:rPr>
        <w:t>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rPr>
        <w:t>合同条款专用部分</w:t>
      </w:r>
      <w:r>
        <w:rPr>
          <w:rFonts w:ascii="宋体" w:eastAsia="宋体" w:hAnsi="宋体" w:cs="Times New Roman" w:hint="eastAsia"/>
          <w:szCs w:val="21"/>
        </w:rPr>
        <w:t>。</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、乙方对合同服务的质量保修期</w:t>
      </w:r>
      <w:r>
        <w:rPr>
          <w:rFonts w:ascii="宋体" w:eastAsia="宋体" w:hAnsi="宋体"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条款专用部分</w:t>
      </w:r>
      <w:r>
        <w:rPr>
          <w:rFonts w:ascii="宋体" w:eastAsia="宋体" w:hAnsi="宋体" w:cs="Times New Roman" w:hint="eastAsia"/>
          <w:szCs w:val="21"/>
        </w:rPr>
        <w:t>。乙方应保证所提供的产品、服务，符合合同规定的技术要求。如不符时，乙方应负全责并尽快处理解决，由此造成的损失和相关费用由乙方负责，甲方保留</w:t>
      </w:r>
      <w:r>
        <w:rPr>
          <w:rFonts w:ascii="宋体" w:eastAsia="宋体" w:hAnsi="宋体" w:cs="Times New Roman" w:hint="eastAsia"/>
          <w:szCs w:val="21"/>
        </w:rPr>
        <w:t>终止合同及索赔的权利。</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、乙方应保证通过执行合同中全部方案后，可以取得本合同规定的结果，达到本合同规定的预期目标。对任何情况下出现问题的，应尽快提出解决方案。</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、如果乙方提供的产品、服务和解决方案不符合甲方要求，或在规定的时间内没有弥补缺陷，甲方有权采取一切必要的补救措施，由此产生的费用全部由乙方负责。</w:t>
      </w:r>
    </w:p>
    <w:p w:rsidR="00AA7AB4">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九、履约保证金</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、中标人应在收到中标通知书后规定时间内（具体时间</w:t>
      </w:r>
      <w:r>
        <w:rPr>
          <w:rFonts w:ascii="Times New Roman" w:eastAsia="宋体" w:hAnsi="Times New Roman"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条款专用部分</w:t>
      </w:r>
      <w:r>
        <w:rPr>
          <w:rFonts w:ascii="宋体" w:eastAsia="宋体" w:hAnsi="宋体" w:cs="Times New Roman" w:hint="eastAsia"/>
          <w:szCs w:val="21"/>
        </w:rPr>
        <w:t>）内，以信汇、电汇或履约保函形式向甲方提供履约保证金，保证金金额：</w:t>
      </w:r>
      <w:r>
        <w:rPr>
          <w:rFonts w:ascii="宋体" w:eastAsia="宋体" w:hAnsi="宋体"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条款专用部分</w:t>
      </w:r>
      <w:r>
        <w:rPr>
          <w:rFonts w:ascii="宋体" w:eastAsia="宋体" w:hAnsi="宋体" w:cs="Times New Roman" w:hint="eastAsia"/>
          <w:szCs w:val="21"/>
        </w:rPr>
        <w:t>。</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、如果中标人没有按照上述规定</w:t>
      </w:r>
      <w:r>
        <w:rPr>
          <w:rFonts w:ascii="宋体" w:eastAsia="宋体" w:hAnsi="宋体" w:cs="Times New Roman" w:hint="eastAsia"/>
          <w:szCs w:val="21"/>
        </w:rPr>
        <w:t>执行，甲方将有充分理由取消该中标决定，并不</w:t>
      </w:r>
      <w:r>
        <w:rPr>
          <w:rFonts w:ascii="宋体" w:eastAsia="宋体" w:hAnsi="宋体" w:cs="Times New Roman" w:hint="eastAsia"/>
          <w:szCs w:val="21"/>
        </w:rPr>
        <w:t>予退</w:t>
      </w:r>
      <w:r>
        <w:rPr>
          <w:rFonts w:ascii="宋体" w:eastAsia="宋体" w:hAnsi="宋体" w:cs="Times New Roman" w:hint="eastAsia"/>
          <w:szCs w:val="21"/>
        </w:rPr>
        <w:t>还其投标保证金。在此情况下甲方可将合同授予排名第二的中标候选人，或重新招标。</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、如果中标人在与甲方</w:t>
      </w:r>
      <w:r>
        <w:rPr>
          <w:rFonts w:ascii="宋体" w:eastAsia="宋体" w:hAnsi="宋体" w:cs="Times New Roman" w:hint="eastAsia"/>
          <w:szCs w:val="21"/>
        </w:rPr>
        <w:t>签定</w:t>
      </w:r>
      <w:r>
        <w:rPr>
          <w:rFonts w:ascii="宋体" w:eastAsia="宋体" w:hAnsi="宋体" w:cs="Times New Roman" w:hint="eastAsia"/>
          <w:szCs w:val="21"/>
        </w:rPr>
        <w:t>合同以后，将中标项目转包给第三方或者</w:t>
      </w:r>
      <w:r>
        <w:rPr>
          <w:rFonts w:ascii="Times New Roman" w:eastAsia="宋体" w:hAnsi="Times New Roman" w:cs="Times New Roman" w:hint="eastAsia"/>
          <w:szCs w:val="20"/>
        </w:rPr>
        <w:t>将合同全部及任何权利、义务向第三方转让，或者在</w:t>
      </w:r>
      <w:r>
        <w:rPr>
          <w:rFonts w:ascii="宋体" w:eastAsia="宋体" w:hAnsi="宋体" w:cs="Times New Roman" w:hint="eastAsia"/>
          <w:szCs w:val="21"/>
        </w:rPr>
        <w:t>本项目不允许分包的情况下将中标项目分包给第三方，甲方将有充分理由终止合同，并不</w:t>
      </w:r>
      <w:r>
        <w:rPr>
          <w:rFonts w:ascii="宋体" w:eastAsia="宋体" w:hAnsi="宋体" w:cs="Times New Roman" w:hint="eastAsia"/>
          <w:szCs w:val="21"/>
        </w:rPr>
        <w:t>予退</w:t>
      </w:r>
      <w:r>
        <w:rPr>
          <w:rFonts w:ascii="宋体" w:eastAsia="宋体" w:hAnsi="宋体" w:cs="Times New Roman" w:hint="eastAsia"/>
          <w:szCs w:val="21"/>
        </w:rPr>
        <w:t>还其履约保证金。</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、中标人的履约保证金将在合同</w:t>
      </w:r>
      <w:r>
        <w:rPr>
          <w:rFonts w:ascii="宋体" w:eastAsia="宋体" w:hAnsi="宋体" w:cs="Times New Roman" w:hint="eastAsia"/>
          <w:szCs w:val="21"/>
        </w:rPr>
        <w:t>服务试经甲方</w:t>
      </w:r>
      <w:r>
        <w:rPr>
          <w:rFonts w:ascii="宋体" w:eastAsia="宋体" w:hAnsi="宋体" w:cs="Times New Roman" w:hint="eastAsia"/>
          <w:szCs w:val="21"/>
        </w:rPr>
        <w:t>终验合格，履行</w:t>
      </w:r>
      <w:r>
        <w:rPr>
          <w:rFonts w:ascii="宋体" w:eastAsia="宋体" w:hAnsi="宋体" w:cs="Times New Roman" w:hint="eastAsia"/>
          <w:szCs w:val="21"/>
        </w:rPr>
        <w:t>完必要</w:t>
      </w:r>
      <w:r>
        <w:rPr>
          <w:rFonts w:ascii="宋体" w:eastAsia="宋体" w:hAnsi="宋体" w:cs="Times New Roman" w:hint="eastAsia"/>
          <w:szCs w:val="21"/>
        </w:rPr>
        <w:t>的审批手续后</w:t>
      </w:r>
      <w:r>
        <w:rPr>
          <w:rFonts w:ascii="宋体" w:eastAsia="宋体" w:hAnsi="宋体" w:cs="Times New Roman" w:hint="eastAsia"/>
          <w:szCs w:val="21"/>
        </w:rPr>
        <w:t>30</w:t>
      </w:r>
      <w:r>
        <w:rPr>
          <w:rFonts w:ascii="宋体" w:eastAsia="宋体" w:hAnsi="宋体" w:cs="Times New Roman" w:hint="eastAsia"/>
          <w:szCs w:val="21"/>
        </w:rPr>
        <w:t>日内退还中标人。</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、如乙方未能完全履行合同规定的义务，甲方有权从履约保证金中得到补偿。</w:t>
      </w:r>
    </w:p>
    <w:p w:rsidR="00AA7AB4">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十、审计及检查</w:t>
      </w:r>
    </w:p>
    <w:p w:rsidR="00AA7AB4">
      <w:pPr>
        <w:tabs>
          <w:tab w:val="left" w:pos="360"/>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如果采购人要求，中标人应允许采购人检查中标人与实施本合同有关的资金、</w:t>
      </w:r>
      <w:r>
        <w:rPr>
          <w:rFonts w:ascii="宋体" w:eastAsia="宋体" w:hAnsi="宋体" w:cs="Times New Roman" w:hint="eastAsia"/>
          <w:bCs/>
          <w:szCs w:val="21"/>
        </w:rPr>
        <w:t>帐户</w:t>
      </w:r>
      <w:r>
        <w:rPr>
          <w:rFonts w:ascii="宋体" w:eastAsia="宋体" w:hAnsi="宋体" w:cs="Times New Roman" w:hint="eastAsia"/>
          <w:bCs/>
          <w:szCs w:val="21"/>
        </w:rPr>
        <w:t>和记录，并由采购人指定的审计人员对其进行审计。</w:t>
      </w:r>
    </w:p>
    <w:p w:rsidR="00AA7AB4">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十一、违约责任</w:t>
      </w:r>
    </w:p>
    <w:p w:rsidR="00AA7AB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对本合同的任何违反均构成违约。当一方认为对方的违约属于严重违约时，若按照相关法律规定或按照通常的理解或认识，确属对合同的履行有重大影响，则应当被认为属于严重违约。若双方对某一违约是否属于严</w:t>
      </w:r>
      <w:r>
        <w:rPr>
          <w:rFonts w:ascii="宋体" w:eastAsia="宋体" w:hAnsi="宋体" w:cs="Times New Roman" w:hint="eastAsia"/>
          <w:szCs w:val="21"/>
        </w:rPr>
        <w:t>重</w:t>
      </w:r>
      <w:r>
        <w:rPr>
          <w:rFonts w:ascii="宋体" w:eastAsia="宋体" w:hAnsi="宋体" w:cs="Times New Roman" w:hint="eastAsia"/>
          <w:szCs w:val="21"/>
        </w:rPr>
        <w:t>违约仍</w:t>
      </w:r>
      <w:r>
        <w:rPr>
          <w:rFonts w:ascii="宋体" w:eastAsia="宋体" w:hAnsi="宋体" w:cs="Times New Roman" w:hint="eastAsia"/>
          <w:szCs w:val="21"/>
        </w:rPr>
        <w:t>有争议，可以由争议解决机构裁决认定。</w:t>
      </w:r>
    </w:p>
    <w:p w:rsidR="00AA7AB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、若乙方未如期按照合同约定的</w:t>
      </w:r>
      <w:r>
        <w:rPr>
          <w:rFonts w:ascii="宋体" w:eastAsia="宋体" w:hAnsi="宋体" w:cs="Times New Roman" w:hint="eastAsia"/>
          <w:szCs w:val="21"/>
        </w:rPr>
        <w:t>任何或</w:t>
      </w:r>
      <w:r>
        <w:rPr>
          <w:rFonts w:ascii="宋体" w:eastAsia="宋体" w:hAnsi="宋体" w:cs="Times New Roman" w:hint="eastAsia"/>
          <w:szCs w:val="21"/>
        </w:rPr>
        <w:t>全部款项内容之要求交付合同服务产品，或乙方未能履行合同规定的任何其它义务时，甲方有权直接向乙方发出违约通知书，乙方应按照甲方选择的下列一种或多种方式承担赔偿责任及违约责任：</w:t>
      </w:r>
    </w:p>
    <w:p w:rsidR="00AA7AB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）在甲方同意延长的期限内交付服务产品并承担由此给甲方造成的直接损失及甲方因此产生的对第三方的责任。</w:t>
      </w:r>
    </w:p>
    <w:p w:rsidR="00AA7AB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）甲方有权部分或全部解除合同并要求乙方赔偿由此造成的损失及甲方因此产生的对第三方的责任。此时甲方可采取必要的补救措施，相关费用由乙方承担。</w:t>
      </w:r>
    </w:p>
    <w:p w:rsidR="00AA7AB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）上</w:t>
      </w:r>
      <w:r>
        <w:rPr>
          <w:rFonts w:ascii="宋体" w:eastAsia="宋体" w:hAnsi="宋体" w:cs="Times New Roman" w:hint="eastAsia"/>
          <w:szCs w:val="21"/>
        </w:rPr>
        <w:t>述情形下甲方为采取必要的补救措施或因防止损失扩大而支出的合理费用应由乙方承担。</w:t>
      </w:r>
    </w:p>
    <w:p w:rsidR="00AA7AB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rsidR="00AA7AB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）向对方支付违约金，但该违约金累计不得超过合同总金额</w:t>
      </w:r>
      <w:r>
        <w:rPr>
          <w:rFonts w:ascii="宋体" w:eastAsia="宋体" w:hAnsi="宋体" w:cs="Times New Roman" w:hint="eastAsia"/>
          <w:szCs w:val="21"/>
        </w:rPr>
        <w:t>的一定比例（详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）；上述逾期超过一定时间（详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），守约方有权解除合同，并要求违约方赔偿由此造成的损失。</w:t>
      </w:r>
    </w:p>
    <w:p w:rsidR="00AA7AB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、其它违约责任</w:t>
      </w:r>
      <w:r>
        <w:rPr>
          <w:rFonts w:ascii="宋体" w:eastAsia="宋体" w:hAnsi="宋体" w:cs="Times New Roman" w:hint="eastAsia"/>
          <w:szCs w:val="21"/>
        </w:rPr>
        <w:t xml:space="preserve"> </w:t>
      </w:r>
    </w:p>
    <w:p w:rsidR="00AA7AB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）如任何一方无故解除合同或有违反本合同规定的任何情形均属于违约行为，违约方应就每一单项违约向对方支付合同总金额一定比例的违约金，具体比例</w:t>
      </w:r>
      <w:r>
        <w:rPr>
          <w:rFonts w:ascii="宋体" w:eastAsia="宋体" w:hAnsi="宋体"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条款专用部分</w:t>
      </w:r>
      <w:r>
        <w:rPr>
          <w:rFonts w:ascii="宋体" w:eastAsia="宋体" w:hAnsi="宋体" w:cs="Times New Roman" w:hint="eastAsia"/>
          <w:szCs w:val="21"/>
        </w:rPr>
        <w:t>。</w:t>
      </w:r>
    </w:p>
    <w:p w:rsidR="00AA7AB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）如乙方在合同规定的交付日期后</w:t>
      </w:r>
      <w:r>
        <w:rPr>
          <w:rFonts w:ascii="宋体" w:eastAsia="宋体" w:hAnsi="宋体" w:cs="Times New Roman" w:hint="eastAsia"/>
          <w:szCs w:val="21"/>
        </w:rPr>
        <w:t>10</w:t>
      </w:r>
      <w:r>
        <w:rPr>
          <w:rFonts w:ascii="宋体" w:eastAsia="宋体" w:hAnsi="宋体" w:cs="Times New Roman" w:hint="eastAsia"/>
          <w:szCs w:val="21"/>
        </w:rPr>
        <w:t>天内仍未能交付，则视为乙方不能交付，甲方有权解除合同，乙方若已经收取了甲方的定金则同时还应双倍返还已收取的定金。</w:t>
      </w:r>
    </w:p>
    <w:p w:rsidR="00AA7AB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、乙方违反规定，有下列行为之一的，甲方有权对因此造成的损失追究责任；构成犯罪的，由司法机关追究其刑事责任：</w:t>
      </w:r>
    </w:p>
    <w:p w:rsidR="00AA7AB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）擅自向第三方提供或者转让项目资料的；</w:t>
      </w:r>
    </w:p>
    <w:p w:rsidR="00AA7AB4">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）未经甲方许可使用项目资料的；</w:t>
      </w:r>
    </w:p>
    <w:p w:rsidR="00AA7AB4">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）项目完成后，乙方未经甲方许可保留项目资料的；</w:t>
      </w:r>
    </w:p>
    <w:p w:rsidR="00AA7AB4">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）对项目资料保管不当，造成数据全部或者部分丢失、被窃的。</w:t>
      </w:r>
    </w:p>
    <w:p w:rsidR="00AA7AB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w:t>
      </w:r>
      <w:r>
        <w:rPr>
          <w:rFonts w:ascii="宋体" w:eastAsia="宋体" w:hAnsi="宋体" w:cs="Times New Roman" w:hint="eastAsia"/>
          <w:szCs w:val="21"/>
        </w:rPr>
        <w:t>、乙方在进行项目时违反有关保密规定的，依照《中华人民共和国保密法》等有关法律法规的规定处理。</w:t>
      </w:r>
    </w:p>
    <w:p w:rsidR="00AA7AB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w:t>
      </w:r>
      <w:r>
        <w:rPr>
          <w:rFonts w:ascii="宋体" w:eastAsia="宋体" w:hAnsi="宋体" w:cs="Times New Roman" w:hint="eastAsia"/>
          <w:szCs w:val="21"/>
        </w:rPr>
        <w:t>、若发生延期交货或延期付款情形之外的任何违约时，违约方在接到对方关于违约的通知时，均应当就每一项违约向对方支付相当于合同金额</w:t>
      </w:r>
      <w:r>
        <w:rPr>
          <w:rFonts w:ascii="宋体" w:eastAsia="宋体" w:hAnsi="宋体" w:cs="Times New Roman" w:hint="eastAsia"/>
          <w:szCs w:val="21"/>
        </w:rPr>
        <w:t>5%</w:t>
      </w:r>
      <w:r>
        <w:rPr>
          <w:rFonts w:ascii="宋体" w:eastAsia="宋体" w:hAnsi="宋体" w:cs="Times New Roman" w:hint="eastAsia"/>
          <w:szCs w:val="21"/>
        </w:rPr>
        <w:t>的违约金。当违约行为给对方造成损失时，若违约金不足以弥补全部损失，违约方还应当赔偿对方因此所受全部损失。</w:t>
      </w:r>
      <w:r>
        <w:rPr>
          <w:rFonts w:ascii="宋体" w:eastAsia="宋体" w:hAnsi="宋体" w:cs="Times New Roman" w:hint="eastAsia"/>
          <w:szCs w:val="21"/>
        </w:rPr>
        <w:t>当构成</w:t>
      </w:r>
      <w:r>
        <w:rPr>
          <w:rFonts w:ascii="宋体" w:eastAsia="宋体" w:hAnsi="宋体" w:cs="Times New Roman" w:hint="eastAsia"/>
          <w:szCs w:val="21"/>
        </w:rPr>
        <w:t>严重违约时，对方可以单方面决定解除或终止合同履行，违约方同时还应当承担违约或赔偿责任。</w:t>
      </w:r>
    </w:p>
    <w:p w:rsidR="00AA7AB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w:t>
      </w:r>
      <w:r>
        <w:rPr>
          <w:rFonts w:ascii="宋体" w:eastAsia="宋体" w:hAnsi="宋体" w:cs="Times New Roman" w:hint="eastAsia"/>
          <w:szCs w:val="21"/>
        </w:rPr>
        <w:t>、以上各项交付的违约金并不影响违约方履行合同的各项义务。</w:t>
      </w:r>
    </w:p>
    <w:p w:rsidR="00AA7AB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w:t>
      </w:r>
      <w:r>
        <w:rPr>
          <w:rFonts w:ascii="宋体" w:eastAsia="宋体" w:hAnsi="宋体" w:cs="Times New Roman" w:hint="eastAsia"/>
          <w:szCs w:val="21"/>
        </w:rPr>
        <w:t>、若乙方通过协议、设立控</w:t>
      </w:r>
      <w:r>
        <w:rPr>
          <w:rFonts w:ascii="宋体" w:eastAsia="宋体" w:hAnsi="宋体" w:cs="Times New Roman" w:hint="eastAsia"/>
          <w:szCs w:val="21"/>
        </w:rPr>
        <w:t>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w:t>
      </w:r>
      <w:r>
        <w:rPr>
          <w:rFonts w:ascii="宋体" w:eastAsia="宋体" w:hAnsi="宋体" w:cs="Times New Roman" w:hint="eastAsia"/>
          <w:szCs w:val="21"/>
        </w:rPr>
        <w:t>均并不</w:t>
      </w:r>
      <w:r>
        <w:rPr>
          <w:rFonts w:ascii="宋体" w:eastAsia="宋体" w:hAnsi="宋体" w:cs="Times New Roman" w:hint="eastAsia"/>
          <w:szCs w:val="21"/>
        </w:rPr>
        <w:t>因此被减免。</w:t>
      </w:r>
    </w:p>
    <w:p w:rsidR="00AA7AB4">
      <w:pPr>
        <w:adjustRightInd w:val="0"/>
        <w:snapToGrid w:val="0"/>
        <w:spacing w:line="360" w:lineRule="auto"/>
        <w:ind w:firstLine="315" w:firstLineChars="150"/>
        <w:rPr>
          <w:rFonts w:ascii="宋体" w:eastAsia="宋体" w:hAnsi="宋体" w:cs="Times New Roman"/>
          <w:b/>
          <w:szCs w:val="21"/>
        </w:rPr>
      </w:pPr>
      <w:r>
        <w:rPr>
          <w:rFonts w:ascii="宋体" w:eastAsia="宋体" w:hAnsi="宋体" w:cs="Times New Roman" w:hint="eastAsia"/>
          <w:szCs w:val="21"/>
        </w:rPr>
        <w:t>11</w:t>
      </w:r>
      <w:r>
        <w:rPr>
          <w:rFonts w:ascii="宋体" w:eastAsia="宋体" w:hAnsi="宋体" w:cs="Times New Roman" w:hint="eastAsia"/>
          <w:szCs w:val="21"/>
        </w:rPr>
        <w:t>、本次采购的合同项下的任何合同、文件等均应当符合有关环保、知识产权及其他法律法规的规定，包括童工禁用、劳动保护待</w:t>
      </w:r>
      <w:r>
        <w:rPr>
          <w:rFonts w:ascii="宋体" w:eastAsia="宋体" w:hAnsi="宋体" w:cs="Times New Roman" w:hint="eastAsia"/>
          <w:szCs w:val="21"/>
        </w:rPr>
        <w:t>遇等法律规定。投标人或中标人</w:t>
      </w:r>
      <w:r>
        <w:rPr>
          <w:rFonts w:ascii="宋体" w:eastAsia="宋体" w:hAnsi="宋体" w:cs="Times New Roman" w:hint="eastAsia"/>
          <w:szCs w:val="21"/>
        </w:rPr>
        <w:t>或乙方或乙方</w:t>
      </w:r>
      <w:r>
        <w:rPr>
          <w:rFonts w:ascii="宋体" w:eastAsia="宋体" w:hAnsi="宋体" w:cs="Times New Roman" w:hint="eastAsia"/>
          <w:szCs w:val="21"/>
        </w:rPr>
        <w:t>代理商等均已清楚本次政府采购招标中的政府或其部门、采购中心、采购人或使用人等，均已尽声明、提示、审慎核查等注意义务及相关责任，若仍发生任何相关违反法律、法规之情形均属投标人或中标人</w:t>
      </w:r>
      <w:r>
        <w:rPr>
          <w:rFonts w:ascii="宋体" w:eastAsia="宋体" w:hAnsi="宋体" w:cs="Times New Roman" w:hint="eastAsia"/>
          <w:szCs w:val="21"/>
        </w:rPr>
        <w:t>或乙方或乙方</w:t>
      </w:r>
      <w:r>
        <w:rPr>
          <w:rFonts w:ascii="宋体" w:eastAsia="宋体" w:hAnsi="宋体" w:cs="Times New Roman" w:hint="eastAsia"/>
          <w:szCs w:val="21"/>
        </w:rPr>
        <w:t>代理商等单方面之因素、原因、责任。投标人或中标人</w:t>
      </w:r>
      <w:r>
        <w:rPr>
          <w:rFonts w:ascii="宋体" w:eastAsia="宋体" w:hAnsi="宋体" w:cs="Times New Roman" w:hint="eastAsia"/>
          <w:szCs w:val="21"/>
        </w:rPr>
        <w:t>或乙方或乙方</w:t>
      </w:r>
      <w:r>
        <w:rPr>
          <w:rFonts w:ascii="宋体" w:eastAsia="宋体" w:hAnsi="宋体" w:cs="Times New Roman" w:hint="eastAsia"/>
          <w:szCs w:val="21"/>
        </w:rPr>
        <w:t>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w:t>
      </w:r>
      <w:r>
        <w:rPr>
          <w:rFonts w:ascii="宋体" w:eastAsia="宋体" w:hAnsi="宋体" w:cs="Times New Roman" w:hint="eastAsia"/>
          <w:szCs w:val="21"/>
        </w:rPr>
        <w:t>侵权赔偿责任。上述该等责任同时亦均属严重违约责任。</w:t>
      </w:r>
    </w:p>
    <w:p w:rsidR="00AA7AB4">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十二、不可抗力</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、不可抗力指下列事件：战争、动乱、瘟疫、严重火灾、洪水、地震、风暴或其他自然灾害，以及本合同各方不可预见、不可防止并不能避免或克服的一切其他因素及事件。</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w:t>
      </w:r>
      <w:r>
        <w:rPr>
          <w:rFonts w:ascii="宋体" w:eastAsia="宋体" w:hAnsi="宋体" w:cs="Times New Roman" w:hint="eastAsia"/>
          <w:szCs w:val="21"/>
        </w:rPr>
        <w:t>作出</w:t>
      </w:r>
      <w:r>
        <w:rPr>
          <w:rFonts w:ascii="宋体" w:eastAsia="宋体" w:hAnsi="宋体" w:cs="Times New Roman" w:hint="eastAsia"/>
          <w:szCs w:val="21"/>
        </w:rPr>
        <w:t>的公证证明。</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、发生不可抗力事件，</w:t>
      </w:r>
      <w:r>
        <w:rPr>
          <w:rFonts w:ascii="宋体" w:eastAsia="宋体" w:hAnsi="宋体" w:cs="Times New Roman" w:hint="eastAsia"/>
          <w:szCs w:val="21"/>
        </w:rPr>
        <w:t>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、合同各方应根据不可抗力对本合同履行的影响程度，协商确定是否终止本合同，或是继续履行本合同。</w:t>
      </w:r>
    </w:p>
    <w:p w:rsidR="00AA7AB4">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十三、联系方式</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、合同双方发出与本合同有关的通知或回复，应以专人送递、传真或特快专递方式发出；如果以专人送递或特快专递发送，以送达至对方的住所地或</w:t>
      </w:r>
      <w:r>
        <w:rPr>
          <w:rFonts w:ascii="宋体" w:eastAsia="宋体" w:hAnsi="宋体" w:cs="Times New Roman" w:hint="eastAsia"/>
          <w:szCs w:val="21"/>
        </w:rPr>
        <w:t>通讯联络</w:t>
      </w:r>
      <w:r>
        <w:rPr>
          <w:rFonts w:ascii="宋体" w:eastAsia="宋体" w:hAnsi="宋体" w:cs="Times New Roman" w:hint="eastAsia"/>
          <w:szCs w:val="21"/>
        </w:rPr>
        <w:t>地为送达；如果以传真方式发送，发件人在收到传真报告后视为送达；如果采用电话或电子邮件的方式，则应在发送后由对方以书面方式予以确认。</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、合同双方发出的与本合同有关的通知或回复均应发至</w:t>
      </w:r>
      <w:r>
        <w:rPr>
          <w:rFonts w:ascii="黑体" w:eastAsia="黑体" w:hAnsi="黑体" w:cs="Times New Roman" w:hint="eastAsia"/>
          <w:b/>
          <w:bCs/>
          <w:szCs w:val="21"/>
        </w:rPr>
        <w:t>合同条款专用部分</w:t>
      </w:r>
      <w:r>
        <w:rPr>
          <w:rFonts w:ascii="宋体" w:eastAsia="宋体" w:hAnsi="宋体" w:cs="Times New Roman" w:hint="eastAsia"/>
          <w:szCs w:val="21"/>
        </w:rPr>
        <w:t>中的通讯地址，付款或收款应使用</w:t>
      </w:r>
      <w:r>
        <w:rPr>
          <w:rFonts w:ascii="黑体" w:eastAsia="黑体" w:hAnsi="黑体" w:cs="Times New Roman" w:hint="eastAsia"/>
          <w:b/>
          <w:bCs/>
          <w:szCs w:val="21"/>
        </w:rPr>
        <w:t>合同条款专用部分</w:t>
      </w:r>
      <w:r>
        <w:rPr>
          <w:rFonts w:ascii="宋体" w:eastAsia="宋体" w:hAnsi="宋体" w:cs="Times New Roman" w:hint="eastAsia"/>
          <w:szCs w:val="21"/>
        </w:rPr>
        <w:t>中的</w:t>
      </w:r>
      <w:r>
        <w:rPr>
          <w:rFonts w:ascii="宋体" w:eastAsia="宋体" w:hAnsi="宋体" w:cs="Times New Roman" w:hint="eastAsia"/>
          <w:szCs w:val="21"/>
        </w:rPr>
        <w:t>帐号</w:t>
      </w:r>
      <w:r>
        <w:rPr>
          <w:rFonts w:ascii="宋体" w:eastAsia="宋体" w:hAnsi="宋体" w:cs="Times New Roman" w:hint="eastAsia"/>
          <w:szCs w:val="21"/>
        </w:rPr>
        <w:t>，一方变更通讯地址或</w:t>
      </w:r>
      <w:r>
        <w:rPr>
          <w:rFonts w:ascii="宋体" w:eastAsia="宋体" w:hAnsi="宋体" w:cs="Times New Roman" w:hint="eastAsia"/>
          <w:szCs w:val="21"/>
        </w:rPr>
        <w:t>帐号</w:t>
      </w:r>
      <w:r>
        <w:rPr>
          <w:rFonts w:ascii="宋体" w:eastAsia="宋体" w:hAnsi="宋体" w:cs="Times New Roman" w:hint="eastAsia"/>
          <w:szCs w:val="21"/>
        </w:rPr>
        <w:t>，应自变更之日起三个工作日内，将变更后的地址通知对方。变更方不履行通知义务的，应对此造成的一切后</w:t>
      </w:r>
      <w:r>
        <w:rPr>
          <w:rFonts w:ascii="宋体" w:eastAsia="宋体" w:hAnsi="宋体" w:cs="Times New Roman" w:hint="eastAsia"/>
          <w:szCs w:val="21"/>
        </w:rPr>
        <w:t>果承担法律责任。</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、上述发出通知、回复的费用由发出一方承担。</w:t>
      </w:r>
    </w:p>
    <w:p w:rsidR="00AA7AB4">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十四、保密条款</w:t>
      </w:r>
    </w:p>
    <w:p w:rsidR="00AA7AB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0"/>
        </w:rPr>
        <w:t>1</w:t>
      </w:r>
      <w:r>
        <w:rPr>
          <w:rFonts w:ascii="宋体" w:eastAsia="宋体" w:hAnsi="宋体" w:cs="Times New Roman" w:hint="eastAsia"/>
          <w:szCs w:val="20"/>
        </w:rPr>
        <w:t>、</w:t>
      </w:r>
      <w:r>
        <w:rPr>
          <w:rFonts w:ascii="宋体" w:eastAsia="宋体" w:hAnsi="宋体" w:cs="Times New Roman" w:hint="eastAsia"/>
          <w:szCs w:val="21"/>
        </w:rPr>
        <w:t>任何一方对其获知的本合同及附件中其他各方的商业秘密和国家秘密负有保密义务。</w:t>
      </w:r>
    </w:p>
    <w:p w:rsidR="00AA7AB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、在下列情形下：</w:t>
      </w:r>
      <w:r>
        <w:rPr>
          <w:rFonts w:ascii="宋体" w:eastAsia="宋体" w:hAnsi="宋体" w:cs="Times New Roman" w:hint="eastAsia"/>
          <w:szCs w:val="21"/>
        </w:rPr>
        <w:t>当发布</w:t>
      </w:r>
      <w:r>
        <w:rPr>
          <w:rFonts w:ascii="宋体" w:eastAsia="宋体" w:hAnsi="宋体" w:cs="Times New Roman" w:hint="eastAsia"/>
          <w:szCs w:val="21"/>
        </w:rPr>
        <w:t>中标公告和其它公告时，当国家机关调查、审查、审计时，以及其他符合法律规定的情形下，无须事先征求投标人</w:t>
      </w:r>
      <w:r>
        <w:rPr>
          <w:rFonts w:ascii="宋体" w:eastAsia="宋体" w:hAnsi="宋体" w:cs="Times New Roman" w:hint="eastAsia"/>
          <w:szCs w:val="21"/>
        </w:rPr>
        <w:t>/</w:t>
      </w:r>
      <w:r>
        <w:rPr>
          <w:rFonts w:ascii="宋体" w:eastAsia="宋体" w:hAnsi="宋体" w:cs="Times New Roman" w:hint="eastAsia"/>
          <w:szCs w:val="21"/>
        </w:rPr>
        <w:t>中标人同意而可以披露关于采购过程、合同文本、签署情况的资料、投标人</w:t>
      </w:r>
      <w:r>
        <w:rPr>
          <w:rFonts w:ascii="宋体" w:eastAsia="宋体" w:hAnsi="宋体" w:cs="Times New Roman" w:hint="eastAsia"/>
          <w:szCs w:val="21"/>
        </w:rPr>
        <w:t>/</w:t>
      </w:r>
      <w:r>
        <w:rPr>
          <w:rFonts w:ascii="宋体" w:eastAsia="宋体" w:hAnsi="宋体" w:cs="Times New Roman" w:hint="eastAsia"/>
          <w:szCs w:val="21"/>
        </w:rPr>
        <w:t>中标人的名称及地址、采购内容的有关信息以及补充条款等，但应当在合理的必要范围内。对任何已经公布过的内容或与之内容相同的资料，以及投标人</w:t>
      </w:r>
      <w:r>
        <w:rPr>
          <w:rFonts w:ascii="宋体" w:eastAsia="宋体" w:hAnsi="宋体" w:cs="Times New Roman" w:hint="eastAsia"/>
          <w:szCs w:val="21"/>
        </w:rPr>
        <w:t>/</w:t>
      </w:r>
      <w:r>
        <w:rPr>
          <w:rFonts w:ascii="宋体" w:eastAsia="宋体" w:hAnsi="宋体" w:cs="Times New Roman" w:hint="eastAsia"/>
          <w:szCs w:val="21"/>
        </w:rPr>
        <w:t>中标人已经泄露或公开的</w:t>
      </w:r>
      <w:r>
        <w:rPr>
          <w:rFonts w:ascii="宋体" w:eastAsia="宋体" w:hAnsi="宋体" w:cs="Times New Roman" w:hint="eastAsia"/>
          <w:szCs w:val="21"/>
        </w:rPr>
        <w:t>，无须再承担保密责任。</w:t>
      </w:r>
    </w:p>
    <w:p w:rsidR="00AA7AB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、此外的其它情形下，除非法律、法规另有规定或得到本合同之其他各方的书面许可，任何一方不得向第三人泄露前款规定的商业秘密和国家秘密。保密期限</w:t>
      </w:r>
      <w:r>
        <w:rPr>
          <w:rFonts w:ascii="宋体" w:eastAsia="宋体" w:hAnsi="宋体" w:cs="Times New Roman" w:hint="eastAsia"/>
          <w:szCs w:val="21"/>
        </w:rPr>
        <w:t>自任何</w:t>
      </w:r>
      <w:r>
        <w:rPr>
          <w:rFonts w:ascii="宋体" w:eastAsia="宋体" w:hAnsi="宋体" w:cs="Times New Roman" w:hint="eastAsia"/>
          <w:szCs w:val="21"/>
        </w:rPr>
        <w:t>一方获知该商业秘密和国家秘密之日起至本条规定的秘密成为公众信息之日止。</w:t>
      </w:r>
    </w:p>
    <w:p w:rsidR="00AA7AB4">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十五、合同的解释和法律适用</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、任何一方对本合同及其附件的解释均应遵循诚实信用原则</w:t>
      </w:r>
      <w:r>
        <w:rPr>
          <w:rFonts w:ascii="宋体" w:eastAsia="宋体" w:hAnsi="宋体" w:cs="Times New Roman" w:hint="eastAsia"/>
          <w:szCs w:val="21"/>
        </w:rPr>
        <w:t>,</w:t>
      </w:r>
      <w:r>
        <w:rPr>
          <w:rFonts w:ascii="宋体" w:eastAsia="宋体" w:hAnsi="宋体" w:cs="Times New Roman" w:hint="eastAsia"/>
          <w:szCs w:val="21"/>
        </w:rPr>
        <w:t>依照本合同签订时有效的中国法律、法规以及通常的理解进行。</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、本合同标题仅供查阅方便，并非对本合同的诠释或解释；本合同中以日表述的时间期限均指自然日。</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、对本合同的任何解释均应以书面</w:t>
      </w:r>
      <w:r>
        <w:rPr>
          <w:rFonts w:ascii="宋体" w:eastAsia="宋体" w:hAnsi="宋体" w:cs="Times New Roman" w:hint="eastAsia"/>
          <w:szCs w:val="21"/>
        </w:rPr>
        <w:t>作</w:t>
      </w:r>
      <w:r>
        <w:rPr>
          <w:rFonts w:ascii="宋体" w:eastAsia="宋体" w:hAnsi="宋体" w:cs="Times New Roman" w:hint="eastAsia"/>
          <w:szCs w:val="21"/>
        </w:rPr>
        <w:t>出</w:t>
      </w:r>
      <w:r>
        <w:rPr>
          <w:rFonts w:ascii="宋体" w:eastAsia="宋体" w:hAnsi="宋体" w:cs="Times New Roman" w:hint="eastAsia"/>
          <w:szCs w:val="21"/>
        </w:rPr>
        <w:t>。</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、本合同及附件的订立、效力、解释、履行、争议的解决等适用本合同签订时有效的中华人民共和国法律、法规的有关规定。</w:t>
      </w:r>
    </w:p>
    <w:p w:rsidR="00AA7AB4">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十六、合同的终止</w:t>
      </w:r>
    </w:p>
    <w:p w:rsidR="00AA7AB4">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、本合同因下列原因而终止：</w:t>
      </w:r>
    </w:p>
    <w:p w:rsidR="00AA7AB4">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）本合同正常履行完毕；</w:t>
      </w:r>
    </w:p>
    <w:p w:rsidR="00AA7AB4">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）合同双方协议终止本合同的履行；</w:t>
      </w:r>
    </w:p>
    <w:p w:rsidR="00AA7AB4">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）不可抗力事件导致本合同无法履行或履行不必要；</w:t>
      </w:r>
    </w:p>
    <w:p w:rsidR="00AA7AB4">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4</w:t>
      </w:r>
      <w:r>
        <w:rPr>
          <w:rFonts w:ascii="宋体" w:eastAsia="宋体" w:hAnsi="宋体" w:cs="Times New Roman" w:hint="eastAsia"/>
          <w:szCs w:val="21"/>
        </w:rPr>
        <w:t>）任何一方行使解除权，解除本合同。</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、对本合同终止有过错的一方应赔偿另一方因合同终止而受到的损失。对合同终止双方均无过错的，则各自承担所受到的损失。</w:t>
      </w:r>
    </w:p>
    <w:p w:rsidR="00AA7AB4">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十七、法律适用</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、本合同及附件的订立、效力、解释、履行、争议的解决等适用本合同签订时有效的中华人民共和国法律、法规的有关规定。</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、在本合同履行期间，因中国法律、法规、政策的变化致使本合同的部分条款相冲突、无效或失去可强制执行效力时，双方同意将密切合作，尽快修改本合同中相冲突或无效或失去强制执行效力的有关条款。</w:t>
      </w:r>
    </w:p>
    <w:p w:rsidR="00AA7AB4">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十八、权利的保留</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、如果本合同部分条款依据现行有关法律、法规被确认为无效或无法履行，且该部分无效</w:t>
      </w:r>
      <w:r>
        <w:rPr>
          <w:rFonts w:ascii="宋体" w:eastAsia="宋体" w:hAnsi="宋体" w:cs="Times New Roman" w:hint="eastAsia"/>
          <w:szCs w:val="21"/>
        </w:rPr>
        <w:t>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rsidR="00AA7AB4">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十九、争议的解决</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、合同双方应通过友好协商解决</w:t>
      </w:r>
      <w:r>
        <w:rPr>
          <w:rFonts w:ascii="宋体" w:eastAsia="宋体" w:hAnsi="宋体" w:cs="Times New Roman" w:hint="eastAsia"/>
          <w:szCs w:val="21"/>
        </w:rPr>
        <w:t>因解释</w:t>
      </w:r>
      <w:r>
        <w:rPr>
          <w:rFonts w:ascii="宋体" w:eastAsia="宋体" w:hAnsi="宋体" w:cs="Times New Roman" w:hint="eastAsia"/>
          <w:szCs w:val="21"/>
        </w:rPr>
        <w:t>﹑执行本合同所发生的和本合同有关的一切争议。如果经协商不能达成协议，则双方同意：</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）在甲方所在地有管辖权的人民法院提起诉讼。</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）由贸易仲裁委员会根据现行有效的仲裁程序进行仲裁。仲裁裁决为最终裁决对双方均具有约束力。仲裁费除仲裁机关另有裁决外的应由</w:t>
      </w:r>
      <w:r>
        <w:rPr>
          <w:rFonts w:ascii="宋体" w:eastAsia="宋体" w:hAnsi="宋体" w:cs="Times New Roman" w:hint="eastAsia"/>
          <w:szCs w:val="21"/>
        </w:rPr>
        <w:t>败诉方承担。</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本项目选择的具体解决方式</w:t>
      </w:r>
      <w:r>
        <w:rPr>
          <w:rFonts w:ascii="宋体" w:eastAsia="宋体" w:hAnsi="宋体" w:cs="Times New Roman" w:hint="eastAsia"/>
          <w:szCs w:val="21"/>
        </w:rPr>
        <w:t>见</w:t>
      </w:r>
      <w:r>
        <w:rPr>
          <w:rFonts w:ascii="黑体" w:eastAsia="黑体" w:hAnsi="黑体" w:cs="Times New Roman" w:hint="eastAsia"/>
          <w:b/>
          <w:bCs/>
          <w:szCs w:val="20"/>
        </w:rPr>
        <w:t>合同</w:t>
      </w:r>
      <w:r>
        <w:rPr>
          <w:rFonts w:ascii="黑体" w:eastAsia="黑体" w:hAnsi="黑体" w:cs="Times New Roman" w:hint="eastAsia"/>
          <w:b/>
          <w:bCs/>
          <w:szCs w:val="20"/>
        </w:rPr>
        <w:t>条款专用部分。</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、本</w:t>
      </w:r>
      <w:r>
        <w:rPr>
          <w:rFonts w:ascii="宋体" w:eastAsia="宋体" w:hAnsi="宋体" w:cs="Times New Roman"/>
          <w:szCs w:val="21"/>
        </w:rPr>
        <w:t>合同</w:t>
      </w:r>
      <w:r>
        <w:rPr>
          <w:rFonts w:ascii="宋体" w:eastAsia="宋体" w:hAnsi="宋体" w:cs="Times New Roman" w:hint="eastAsia"/>
          <w:szCs w:val="21"/>
        </w:rPr>
        <w:t>甲、乙双方一致认为，本</w:t>
      </w:r>
      <w:r>
        <w:rPr>
          <w:rFonts w:ascii="宋体" w:eastAsia="宋体" w:hAnsi="宋体" w:cs="Times New Roman"/>
          <w:szCs w:val="21"/>
        </w:rPr>
        <w:t>合同</w:t>
      </w:r>
      <w:r>
        <w:rPr>
          <w:rFonts w:ascii="宋体" w:eastAsia="宋体" w:hAnsi="宋体" w:cs="Times New Roman" w:hint="eastAsia"/>
          <w:szCs w:val="21"/>
        </w:rPr>
        <w:t>仅</w:t>
      </w:r>
      <w:r>
        <w:rPr>
          <w:rFonts w:ascii="宋体" w:eastAsia="宋体" w:hAnsi="宋体" w:cs="Times New Roman"/>
          <w:szCs w:val="21"/>
        </w:rPr>
        <w:t>属于</w:t>
      </w:r>
      <w:r>
        <w:rPr>
          <w:rFonts w:ascii="宋体" w:eastAsia="宋体" w:hAnsi="宋体" w:cs="Times New Roman" w:hint="eastAsia"/>
          <w:szCs w:val="21"/>
        </w:rPr>
        <w:t>甲、乙双方</w:t>
      </w:r>
      <w:r>
        <w:rPr>
          <w:rFonts w:ascii="宋体" w:eastAsia="宋体" w:hAnsi="宋体" w:cs="Times New Roman"/>
          <w:szCs w:val="21"/>
        </w:rPr>
        <w:t>之间的</w:t>
      </w:r>
      <w:r>
        <w:rPr>
          <w:rFonts w:ascii="宋体" w:eastAsia="宋体" w:hAnsi="宋体" w:cs="Times New Roman" w:hint="eastAsia"/>
          <w:szCs w:val="21"/>
        </w:rPr>
        <w:t>协议，任何</w:t>
      </w:r>
      <w:r>
        <w:rPr>
          <w:rFonts w:ascii="宋体" w:eastAsia="宋体" w:hAnsi="宋体" w:cs="Times New Roman"/>
          <w:szCs w:val="21"/>
        </w:rPr>
        <w:t>争议</w:t>
      </w:r>
      <w:r>
        <w:rPr>
          <w:rFonts w:ascii="宋体" w:eastAsia="宋体" w:hAnsi="宋体" w:cs="Times New Roman" w:hint="eastAsia"/>
          <w:szCs w:val="21"/>
        </w:rPr>
        <w:t>均只</w:t>
      </w:r>
      <w:r>
        <w:rPr>
          <w:rFonts w:ascii="宋体" w:eastAsia="宋体" w:hAnsi="宋体" w:cs="Times New Roman"/>
          <w:szCs w:val="21"/>
        </w:rPr>
        <w:t>应当</w:t>
      </w:r>
      <w:r>
        <w:rPr>
          <w:rFonts w:ascii="宋体" w:eastAsia="宋体" w:hAnsi="宋体" w:cs="Times New Roman" w:hint="eastAsia"/>
          <w:szCs w:val="21"/>
        </w:rPr>
        <w:t>按照本合同</w:t>
      </w:r>
      <w:r>
        <w:rPr>
          <w:rFonts w:ascii="宋体" w:eastAsia="宋体" w:hAnsi="宋体" w:cs="Times New Roman"/>
          <w:szCs w:val="21"/>
        </w:rPr>
        <w:t>的约定方式处理，</w:t>
      </w:r>
      <w:r>
        <w:rPr>
          <w:rFonts w:ascii="宋体" w:eastAsia="宋体" w:hAnsi="宋体" w:cs="Times New Roman" w:hint="eastAsia"/>
          <w:szCs w:val="21"/>
        </w:rPr>
        <w:t>任何情形下采购中心均</w:t>
      </w:r>
      <w:r>
        <w:rPr>
          <w:rFonts w:ascii="宋体" w:eastAsia="宋体" w:hAnsi="宋体" w:cs="Times New Roman"/>
          <w:szCs w:val="21"/>
        </w:rPr>
        <w:t>不应当成为该等争议的当事人，无论该等诉讼均不得</w:t>
      </w:r>
      <w:r>
        <w:rPr>
          <w:rFonts w:ascii="宋体" w:eastAsia="宋体" w:hAnsi="宋体" w:cs="Times New Roman" w:hint="eastAsia"/>
          <w:szCs w:val="21"/>
        </w:rPr>
        <w:t>针</w:t>
      </w:r>
      <w:r>
        <w:rPr>
          <w:rFonts w:ascii="宋体" w:eastAsia="宋体" w:hAnsi="宋体" w:cs="Times New Roman"/>
          <w:szCs w:val="21"/>
        </w:rPr>
        <w:t>对</w:t>
      </w:r>
      <w:r>
        <w:rPr>
          <w:rFonts w:ascii="宋体" w:eastAsia="宋体" w:hAnsi="宋体" w:cs="Times New Roman" w:hint="eastAsia"/>
          <w:szCs w:val="21"/>
        </w:rPr>
        <w:t>采购中心</w:t>
      </w:r>
      <w:r>
        <w:rPr>
          <w:rFonts w:ascii="宋体" w:eastAsia="宋体" w:hAnsi="宋体" w:cs="Times New Roman"/>
          <w:szCs w:val="21"/>
        </w:rPr>
        <w:t>提起。</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、在争议解决期间，除了诉讼进行过程中正在解决的部分问题外，合同其余部分应继续履行。</w:t>
      </w:r>
    </w:p>
    <w:p w:rsidR="00AA7AB4">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二十、合同的补充、修改和变更</w:t>
      </w:r>
    </w:p>
    <w:p w:rsidR="00AA7AB4">
      <w:pPr>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在</w:t>
      </w:r>
      <w:r>
        <w:rPr>
          <w:rFonts w:ascii="宋体" w:eastAsia="宋体" w:hAnsi="宋体" w:cs="Times New Roman" w:hint="eastAsia"/>
          <w:szCs w:val="21"/>
        </w:rPr>
        <w:t>不</w:t>
      </w:r>
      <w:r>
        <w:rPr>
          <w:rFonts w:ascii="宋体" w:eastAsia="宋体" w:hAnsi="宋体" w:cs="Times New Roman" w:hint="eastAsia"/>
          <w:szCs w:val="21"/>
        </w:rPr>
        <w:t>背离</w:t>
      </w:r>
      <w:r>
        <w:rPr>
          <w:rFonts w:ascii="Calibri" w:eastAsia="宋体" w:hAnsi="Calibri" w:cs="Times New Roman" w:hint="eastAsia"/>
        </w:rPr>
        <w:t>招标文件、投标文件及评审过程中的有关澄清、说明或者补正文件的实质性内容的前提下，</w:t>
      </w:r>
      <w:r>
        <w:rPr>
          <w:rFonts w:ascii="宋体" w:eastAsia="宋体" w:hAnsi="宋体" w:cs="Times New Roman" w:hint="eastAsia"/>
          <w:szCs w:val="21"/>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rsidR="00AA7AB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、甲方可以要求对技术文件进行修改。所有的修改要求都应以书面形式提交。甲方将准备一份书面的修改备忘录以说明所要求的更改，并列出对技术文件条款的任何修改。乙方应在</w:t>
      </w:r>
      <w:r>
        <w:rPr>
          <w:rFonts w:ascii="宋体" w:eastAsia="宋体" w:hAnsi="宋体" w:cs="Times New Roman" w:hint="eastAsia"/>
          <w:szCs w:val="21"/>
        </w:rPr>
        <w:t>3</w:t>
      </w:r>
      <w:r>
        <w:rPr>
          <w:rFonts w:ascii="宋体" w:eastAsia="宋体" w:hAnsi="宋体" w:cs="Times New Roman" w:hint="eastAsia"/>
          <w:szCs w:val="21"/>
        </w:rPr>
        <w:t>日内对此</w:t>
      </w:r>
      <w:r>
        <w:rPr>
          <w:rFonts w:ascii="宋体" w:eastAsia="宋体" w:hAnsi="宋体" w:cs="Times New Roman" w:hint="eastAsia"/>
          <w:szCs w:val="21"/>
        </w:rPr>
        <w:t>作出</w:t>
      </w:r>
      <w:r>
        <w:rPr>
          <w:rFonts w:ascii="宋体" w:eastAsia="宋体" w:hAnsi="宋体" w:cs="Times New Roman" w:hint="eastAsia"/>
          <w:szCs w:val="21"/>
        </w:rPr>
        <w:t>书面回应，其内容包括详细的该修改对合同价格、项目交付日期、项目技术参数的影响</w:t>
      </w:r>
      <w:r>
        <w:rPr>
          <w:rFonts w:ascii="宋体" w:eastAsia="宋体" w:hAnsi="宋体" w:cs="Times New Roman" w:hint="eastAsia"/>
          <w:szCs w:val="21"/>
        </w:rPr>
        <w:t>和变化以及对合同条款的影响等。</w:t>
      </w:r>
    </w:p>
    <w:p w:rsidR="00AA7AB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、甲方收到乙方的上述回应后，应在</w:t>
      </w:r>
      <w:r>
        <w:rPr>
          <w:rFonts w:ascii="宋体" w:eastAsia="宋体" w:hAnsi="宋体" w:cs="Times New Roman" w:hint="eastAsia"/>
          <w:szCs w:val="21"/>
        </w:rPr>
        <w:t>3</w:t>
      </w:r>
      <w:r>
        <w:rPr>
          <w:rFonts w:ascii="宋体" w:eastAsia="宋体" w:hAnsi="宋体" w:cs="Times New Roman" w:hint="eastAsia"/>
          <w:szCs w:val="21"/>
        </w:rPr>
        <w:t>日内以书面方式通知乙方是否同意和接受乙方的上述回应。如果甲方接受乙方的上述回应，则双方另行对此修改签署予以确认，乙方则按修改后的约定履行本合同。</w:t>
      </w:r>
    </w:p>
    <w:p w:rsidR="00AA7AB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rsidR="00AA7AB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、如乙方提</w:t>
      </w:r>
      <w:r>
        <w:rPr>
          <w:rFonts w:ascii="宋体" w:eastAsia="宋体" w:hAnsi="宋体" w:cs="Times New Roman" w:hint="eastAsia"/>
          <w:szCs w:val="21"/>
        </w:rPr>
        <w:t>出项目的部分修改建议，乙方应同时详细阐明该变更对合同价格、项目交付日</w:t>
      </w:r>
      <w:r>
        <w:rPr>
          <w:rFonts w:ascii="宋体" w:eastAsia="宋体" w:hAnsi="宋体" w:cs="Times New Roman" w:hint="eastAsia"/>
          <w:szCs w:val="21"/>
        </w:rPr>
        <w:t>期、项目技术参数的影响和变化以及对合同条款的影响等。</w:t>
      </w:r>
    </w:p>
    <w:p w:rsidR="00AA7AB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、甲方收到乙方的上述修改建议后，应在</w:t>
      </w:r>
      <w:r>
        <w:rPr>
          <w:rFonts w:ascii="宋体" w:eastAsia="宋体" w:hAnsi="宋体" w:cs="Times New Roman" w:hint="eastAsia"/>
          <w:szCs w:val="21"/>
        </w:rPr>
        <w:t>3</w:t>
      </w:r>
      <w:r>
        <w:rPr>
          <w:rFonts w:ascii="宋体" w:eastAsia="宋体" w:hAnsi="宋体" w:cs="Times New Roman" w:hint="eastAsia"/>
          <w:szCs w:val="21"/>
        </w:rPr>
        <w:t>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rsidR="00AA7AB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、所有的修改应在双方签署书面的修改备忘录时生效。修改备忘录将变更或取代有关的技术文件中或先前的任何修改备忘录中所有不一致的条款。</w:t>
      </w:r>
    </w:p>
    <w:p w:rsidR="00AA7AB4">
      <w:pPr>
        <w:adjustRightInd w:val="0"/>
        <w:snapToGrid w:val="0"/>
        <w:spacing w:line="360" w:lineRule="auto"/>
        <w:ind w:left="420"/>
        <w:rPr>
          <w:rFonts w:ascii="宋体" w:eastAsia="宋体" w:hAnsi="宋体" w:cs="Times New Roman"/>
          <w:szCs w:val="21"/>
        </w:rPr>
      </w:pPr>
      <w:r>
        <w:rPr>
          <w:rFonts w:ascii="宋体" w:eastAsia="宋体" w:hAnsi="宋体" w:cs="Times New Roman" w:hint="eastAsia"/>
          <w:szCs w:val="21"/>
        </w:rPr>
        <w:t>7</w:t>
      </w:r>
      <w:r>
        <w:rPr>
          <w:rFonts w:ascii="宋体" w:eastAsia="宋体" w:hAnsi="宋体" w:cs="Times New Roman" w:hint="eastAsia"/>
          <w:szCs w:val="21"/>
        </w:rPr>
        <w:t>、任何对合</w:t>
      </w:r>
      <w:r>
        <w:rPr>
          <w:rFonts w:ascii="宋体" w:eastAsia="宋体" w:hAnsi="宋体" w:cs="Times New Roman" w:hint="eastAsia"/>
          <w:szCs w:val="21"/>
        </w:rPr>
        <w:t>同条件的变更或修改均须双方签订书面的修改书。</w:t>
      </w:r>
    </w:p>
    <w:p w:rsidR="00AA7AB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w:t>
      </w:r>
      <w:r>
        <w:rPr>
          <w:rFonts w:ascii="宋体" w:eastAsia="宋体" w:hAnsi="宋体" w:cs="Times New Roman" w:hint="eastAsia"/>
          <w:szCs w:val="21"/>
        </w:rPr>
        <w:t>、招投标文件及其全部条款、双方签订的补充协议以及修改或变更的条款与本合同具有同等法律效力。补充、修改或变更的协议的签署及生效方式与本合同的签署及生效方式相同。</w:t>
      </w:r>
    </w:p>
    <w:p w:rsidR="00AA7AB4">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二十一、合同的生效</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本合同经双方法定代表人（负责人）或授权代表签字并加盖单位公章后生效。</w:t>
      </w:r>
    </w:p>
    <w:p w:rsidR="00AA7AB4">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二十二、其它约定事项</w:t>
      </w:r>
    </w:p>
    <w:p w:rsidR="00AA7AB4">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、本合同中的附件均为本合同不可分割的部分，与本合同具有相同的法律效力。</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、本合同正本一式两份，甲、乙双方各执一份，每份正本具有同等法律效力，</w:t>
      </w:r>
      <w:r>
        <w:rPr>
          <w:rFonts w:ascii="宋体" w:eastAsia="宋体" w:hAnsi="宋体" w:cs="Times New Roman" w:hint="eastAsia"/>
          <w:szCs w:val="21"/>
        </w:rPr>
        <w:t>副本报</w:t>
      </w:r>
      <w:r>
        <w:rPr>
          <w:rFonts w:ascii="宋体" w:eastAsia="宋体" w:hAnsi="宋体" w:cs="Times New Roman" w:hint="eastAsia"/>
          <w:szCs w:val="21"/>
        </w:rPr>
        <w:t>财政部备案。</w:t>
      </w:r>
    </w:p>
    <w:p w:rsidR="00AA7A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、本合同涉及的招标文件和投标文件，正本由中国气象局政府采购中心保存。</w:t>
      </w:r>
    </w:p>
    <w:p w:rsidR="00AA7AB4">
      <w:pPr>
        <w:tabs>
          <w:tab w:val="left" w:pos="1573"/>
        </w:tabs>
        <w:adjustRightInd w:val="0"/>
        <w:snapToGrid w:val="0"/>
        <w:spacing w:line="360" w:lineRule="auto"/>
        <w:ind w:firstLine="412" w:firstLineChars="196"/>
        <w:jc w:val="left"/>
        <w:rPr>
          <w:rFonts w:ascii="宋体" w:eastAsia="宋体" w:hAnsi="宋体" w:cs="Times New Roman"/>
          <w:szCs w:val="21"/>
        </w:rPr>
      </w:pPr>
    </w:p>
    <w:p w:rsidR="00AA7AB4"/>
    <w:p w:rsidR="00A77B3E"/>
    <w:p w:rsidR="00AA7AB4">
      <w:pPr>
        <w:numPr>
          <w:ilvl w:val="0"/>
          <w:numId w:val="14"/>
        </w:numPr>
        <w:spacing w:line="360" w:lineRule="auto"/>
        <w:ind w:firstLine="3066" w:firstLineChars="1460"/>
        <w:jc w:val="left"/>
        <w:rPr>
          <w:rFonts w:ascii="Times New Roman" w:eastAsia="宋体" w:hAnsi="Times New Roman" w:cs="Times New Roman"/>
          <w:b/>
          <w:bCs/>
          <w:szCs w:val="21"/>
        </w:rPr>
      </w:pPr>
      <w:bookmarkEnd w:id="76"/>
    </w:p>
    <w:sectPr>
      <w:headerReference w:type="even" r:id="rId10"/>
      <w:headerReference w:type="default" r:id="rId11"/>
      <w:footerReference w:type="default" r:id="rId12"/>
      <w:headerReference w:type="first" r:id="rId13"/>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E4002EFF" w:usb1="C200247B" w:usb2="00000009" w:usb3="00000000" w:csb0="200001FF" w:csb1="00000000"/>
  </w:font>
  <w:font w:name="华文楷体">
    <w:panose1 w:val="02010600040101010101"/>
    <w:charset w:val="86"/>
    <w:family w:val="auto"/>
    <w:pitch w:val="variable"/>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53394300"/>
      <w:richText/>
    </w:sdtPr>
    <w:sdtContent>
      <w:p>
        <w:pPr>
          <w:pStyle w:val="Footer"/>
          <w:jc w:val="right"/>
        </w:pPr>
        <w:r>
          <w:fldChar w:fldCharType="begin"/>
        </w:r>
        <w:r>
          <w:instrText>PAGE   \* MERGEFORMAT</w:instrText>
        </w:r>
        <w:r>
          <w:fldChar w:fldCharType="separate"/>
        </w:r>
        <w:r>
          <w:rPr>
            <w:lang w:val="zh-CN"/>
          </w:rPr>
          <w:t>3</w:t>
        </w:r>
        <w:r>
          <w:fldChar w:fldCharType="end"/>
        </w:r>
      </w:p>
    </w:sdtContent>
  </w:sdt>
  <w:p>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2384163"/>
      <w:richText/>
    </w:sdtPr>
    <w:sdtContent>
      <w:p>
        <w:pPr>
          <w:pStyle w:val="Footer"/>
          <w:jc w:val="right"/>
        </w:pPr>
        <w:r>
          <w:fldChar w:fldCharType="begin"/>
        </w:r>
        <w:r>
          <w:instrText>PAGE   \* MERGEFORMAT</w:instrText>
        </w:r>
        <w:r>
          <w:fldChar w:fldCharType="separate"/>
        </w:r>
        <w:r>
          <w:rPr>
            <w:lang w:val="zh-CN"/>
          </w:rPr>
          <w:t>3</w:t>
        </w:r>
        <w:r>
          <w:fldChar w:fldCharType="end"/>
        </w:r>
      </w:p>
    </w:sdtContent>
  </w:sdt>
  <w:p>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BDEECA8"/>
    <w:multiLevelType w:val="singleLevel"/>
    <w:tmpl w:val="9BDEECA8"/>
    <w:lvl w:ilvl="0">
      <w:start w:val="9"/>
      <w:numFmt w:val="chineseCounting"/>
      <w:suff w:val="space"/>
      <w:lvlText w:val="第%1章"/>
      <w:lvlJc w:val="left"/>
      <w:rPr>
        <w:rFonts w:hint="eastAsia"/>
      </w:rPr>
    </w:lvl>
  </w:abstractNum>
  <w:abstractNum w:abstractNumId="2">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4">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129631B7"/>
    <w:multiLevelType w:val="multilevel"/>
    <w:tmpl w:val="129631B7"/>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14635B28"/>
    <w:multiLevelType w:val="multilevel"/>
    <w:tmpl w:val="14635B2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18F92F8A"/>
    <w:multiLevelType w:val="multilevel"/>
    <w:tmpl w:val="18F92F8A"/>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6966333"/>
    <w:multiLevelType w:val="multilevel"/>
    <w:tmpl w:val="36966333"/>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44B055CC"/>
    <w:multiLevelType w:val="multilevel"/>
    <w:tmpl w:val="44B055C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45BA42D8"/>
    <w:multiLevelType w:val="multilevel"/>
    <w:tmpl w:val="45BA42D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nsid w:val="658D0D1D"/>
    <w:multiLevelType w:val="multilevel"/>
    <w:tmpl w:val="658D0D1D"/>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nsid w:val="694C4941"/>
    <w:multiLevelType w:val="multilevel"/>
    <w:tmpl w:val="694C4941"/>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5">
    <w:nsid w:val="6BBE3263"/>
    <w:multiLevelType w:val="multilevel"/>
    <w:tmpl w:val="6BBE3263"/>
    <w:lvl w:ilvl="0">
      <w:start w:val="1"/>
      <w:numFmt w:val="decimalEnclosedCircle"/>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nsid w:val="7B682ABB"/>
    <w:multiLevelType w:val="multilevel"/>
    <w:tmpl w:val="7B682AB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3"/>
  </w:num>
  <w:num w:numId="2">
    <w:abstractNumId w:val="2"/>
  </w:num>
  <w:num w:numId="3">
    <w:abstractNumId w:val="4"/>
  </w:num>
  <w:num w:numId="4">
    <w:abstractNumId w:val="15"/>
  </w:num>
  <w:num w:numId="5">
    <w:abstractNumId w:val="7"/>
  </w:num>
  <w:num w:numId="6">
    <w:abstractNumId w:val="5"/>
  </w:num>
  <w:num w:numId="7">
    <w:abstractNumId w:val="11"/>
  </w:num>
  <w:num w:numId="8">
    <w:abstractNumId w:val="16"/>
  </w:num>
  <w:num w:numId="9">
    <w:abstractNumId w:val="6"/>
  </w:num>
  <w:num w:numId="10">
    <w:abstractNumId w:val="13"/>
  </w:num>
  <w:num w:numId="11">
    <w:abstractNumId w:val="10"/>
  </w:num>
  <w:num w:numId="12">
    <w:abstractNumId w:val="14"/>
  </w:num>
  <w:num w:numId="13">
    <w:abstractNumId w:val="12"/>
  </w:num>
  <w:num w:numId="14">
    <w:abstractNumId w:val="1"/>
  </w:num>
  <w:num w:numId="15">
    <w:abstractNumId w:val="0"/>
  </w:num>
  <w:num w:numId="16">
    <w:abstractNumId w:val="8"/>
  </w:num>
  <w:num w:numId="17">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409"/>
    <w:rsid w:val="00007B85"/>
    <w:rsid w:val="000117CF"/>
    <w:rsid w:val="00012E11"/>
    <w:rsid w:val="00013C5A"/>
    <w:rsid w:val="00014327"/>
    <w:rsid w:val="00015560"/>
    <w:rsid w:val="00023804"/>
    <w:rsid w:val="000259A3"/>
    <w:rsid w:val="00025F7F"/>
    <w:rsid w:val="0002730D"/>
    <w:rsid w:val="00027E31"/>
    <w:rsid w:val="00030872"/>
    <w:rsid w:val="000343A5"/>
    <w:rsid w:val="00035175"/>
    <w:rsid w:val="00035D1E"/>
    <w:rsid w:val="00037AB2"/>
    <w:rsid w:val="000400B8"/>
    <w:rsid w:val="000405AF"/>
    <w:rsid w:val="000410F1"/>
    <w:rsid w:val="00041207"/>
    <w:rsid w:val="00041238"/>
    <w:rsid w:val="00041AED"/>
    <w:rsid w:val="0004234F"/>
    <w:rsid w:val="00042AA3"/>
    <w:rsid w:val="00043FC9"/>
    <w:rsid w:val="00044ACA"/>
    <w:rsid w:val="00047C9E"/>
    <w:rsid w:val="00050E8F"/>
    <w:rsid w:val="00051C61"/>
    <w:rsid w:val="00052FCE"/>
    <w:rsid w:val="000535E9"/>
    <w:rsid w:val="00053A5E"/>
    <w:rsid w:val="00057D9E"/>
    <w:rsid w:val="00062949"/>
    <w:rsid w:val="000647A7"/>
    <w:rsid w:val="00066022"/>
    <w:rsid w:val="00066DC2"/>
    <w:rsid w:val="00066FDA"/>
    <w:rsid w:val="00070389"/>
    <w:rsid w:val="000714D8"/>
    <w:rsid w:val="0007158E"/>
    <w:rsid w:val="00071F38"/>
    <w:rsid w:val="00072B31"/>
    <w:rsid w:val="0007427D"/>
    <w:rsid w:val="00074B9A"/>
    <w:rsid w:val="00074BB7"/>
    <w:rsid w:val="000769F6"/>
    <w:rsid w:val="000770DF"/>
    <w:rsid w:val="00077A69"/>
    <w:rsid w:val="0008172E"/>
    <w:rsid w:val="00084233"/>
    <w:rsid w:val="000868CE"/>
    <w:rsid w:val="00087892"/>
    <w:rsid w:val="00087F70"/>
    <w:rsid w:val="00091254"/>
    <w:rsid w:val="000921EB"/>
    <w:rsid w:val="00092756"/>
    <w:rsid w:val="00093FB7"/>
    <w:rsid w:val="0009416F"/>
    <w:rsid w:val="000A184C"/>
    <w:rsid w:val="000A33F0"/>
    <w:rsid w:val="000A402C"/>
    <w:rsid w:val="000A49D4"/>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22A"/>
    <w:rsid w:val="000E07B5"/>
    <w:rsid w:val="000E1112"/>
    <w:rsid w:val="000E6D58"/>
    <w:rsid w:val="000E72D7"/>
    <w:rsid w:val="000F1BC9"/>
    <w:rsid w:val="000F1DF5"/>
    <w:rsid w:val="000F6345"/>
    <w:rsid w:val="000F646B"/>
    <w:rsid w:val="000F750E"/>
    <w:rsid w:val="000F75E8"/>
    <w:rsid w:val="000F7A12"/>
    <w:rsid w:val="00100624"/>
    <w:rsid w:val="001010DF"/>
    <w:rsid w:val="001026BF"/>
    <w:rsid w:val="00105108"/>
    <w:rsid w:val="00105728"/>
    <w:rsid w:val="00105944"/>
    <w:rsid w:val="00105EE3"/>
    <w:rsid w:val="00106412"/>
    <w:rsid w:val="00107CCA"/>
    <w:rsid w:val="00110637"/>
    <w:rsid w:val="00110D05"/>
    <w:rsid w:val="00110FD6"/>
    <w:rsid w:val="001125B5"/>
    <w:rsid w:val="0011281B"/>
    <w:rsid w:val="00112919"/>
    <w:rsid w:val="00112977"/>
    <w:rsid w:val="00113A52"/>
    <w:rsid w:val="00113A5C"/>
    <w:rsid w:val="00113AF1"/>
    <w:rsid w:val="00114489"/>
    <w:rsid w:val="001147F2"/>
    <w:rsid w:val="00114ACA"/>
    <w:rsid w:val="0011580C"/>
    <w:rsid w:val="001164D1"/>
    <w:rsid w:val="00116547"/>
    <w:rsid w:val="00117062"/>
    <w:rsid w:val="00117AC2"/>
    <w:rsid w:val="001206E4"/>
    <w:rsid w:val="00121962"/>
    <w:rsid w:val="00122027"/>
    <w:rsid w:val="001223E2"/>
    <w:rsid w:val="001234AA"/>
    <w:rsid w:val="0012363A"/>
    <w:rsid w:val="001239AD"/>
    <w:rsid w:val="00124CC2"/>
    <w:rsid w:val="001264E0"/>
    <w:rsid w:val="00126E8B"/>
    <w:rsid w:val="00127129"/>
    <w:rsid w:val="001306FB"/>
    <w:rsid w:val="00130D3D"/>
    <w:rsid w:val="00131B4E"/>
    <w:rsid w:val="00133834"/>
    <w:rsid w:val="001459A1"/>
    <w:rsid w:val="00146475"/>
    <w:rsid w:val="001465EB"/>
    <w:rsid w:val="00146E29"/>
    <w:rsid w:val="00147122"/>
    <w:rsid w:val="00151022"/>
    <w:rsid w:val="0015119F"/>
    <w:rsid w:val="0015178A"/>
    <w:rsid w:val="001517DA"/>
    <w:rsid w:val="001521E4"/>
    <w:rsid w:val="00152CC6"/>
    <w:rsid w:val="00153B8A"/>
    <w:rsid w:val="001541F5"/>
    <w:rsid w:val="001550E5"/>
    <w:rsid w:val="00156CC4"/>
    <w:rsid w:val="00160055"/>
    <w:rsid w:val="001601FC"/>
    <w:rsid w:val="00160B5C"/>
    <w:rsid w:val="00160FB7"/>
    <w:rsid w:val="00163306"/>
    <w:rsid w:val="001654AF"/>
    <w:rsid w:val="00165DCF"/>
    <w:rsid w:val="001666E1"/>
    <w:rsid w:val="00166FE0"/>
    <w:rsid w:val="00167730"/>
    <w:rsid w:val="001705C0"/>
    <w:rsid w:val="00170CAE"/>
    <w:rsid w:val="00172A27"/>
    <w:rsid w:val="00173C95"/>
    <w:rsid w:val="00174751"/>
    <w:rsid w:val="001748EA"/>
    <w:rsid w:val="001760EC"/>
    <w:rsid w:val="00177D5E"/>
    <w:rsid w:val="0018106A"/>
    <w:rsid w:val="00181482"/>
    <w:rsid w:val="001814EA"/>
    <w:rsid w:val="00182442"/>
    <w:rsid w:val="001836A4"/>
    <w:rsid w:val="00184A52"/>
    <w:rsid w:val="00186C92"/>
    <w:rsid w:val="001873F2"/>
    <w:rsid w:val="00187547"/>
    <w:rsid w:val="00191879"/>
    <w:rsid w:val="00192921"/>
    <w:rsid w:val="00193AC2"/>
    <w:rsid w:val="00194F97"/>
    <w:rsid w:val="001955FF"/>
    <w:rsid w:val="001958F4"/>
    <w:rsid w:val="001A10C3"/>
    <w:rsid w:val="001A14C0"/>
    <w:rsid w:val="001A14D4"/>
    <w:rsid w:val="001A18BD"/>
    <w:rsid w:val="001A1941"/>
    <w:rsid w:val="001A68F2"/>
    <w:rsid w:val="001B0500"/>
    <w:rsid w:val="001B0FCC"/>
    <w:rsid w:val="001B31D1"/>
    <w:rsid w:val="001B47AA"/>
    <w:rsid w:val="001B66AE"/>
    <w:rsid w:val="001C0E16"/>
    <w:rsid w:val="001C0FC7"/>
    <w:rsid w:val="001C12F6"/>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70E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5F6"/>
    <w:rsid w:val="00211BAB"/>
    <w:rsid w:val="00212C35"/>
    <w:rsid w:val="002139CC"/>
    <w:rsid w:val="00213F8E"/>
    <w:rsid w:val="00214CCA"/>
    <w:rsid w:val="00215AB5"/>
    <w:rsid w:val="00216BDA"/>
    <w:rsid w:val="00221D24"/>
    <w:rsid w:val="00223413"/>
    <w:rsid w:val="00223EA7"/>
    <w:rsid w:val="002255B4"/>
    <w:rsid w:val="0022674B"/>
    <w:rsid w:val="002267A7"/>
    <w:rsid w:val="00230D95"/>
    <w:rsid w:val="002311D0"/>
    <w:rsid w:val="00231EF6"/>
    <w:rsid w:val="00233646"/>
    <w:rsid w:val="00233E72"/>
    <w:rsid w:val="00233FD2"/>
    <w:rsid w:val="00234A0E"/>
    <w:rsid w:val="002367D2"/>
    <w:rsid w:val="00236CEF"/>
    <w:rsid w:val="00240213"/>
    <w:rsid w:val="00241BF1"/>
    <w:rsid w:val="002420E3"/>
    <w:rsid w:val="0024276F"/>
    <w:rsid w:val="002435A1"/>
    <w:rsid w:val="00244B6B"/>
    <w:rsid w:val="00244E24"/>
    <w:rsid w:val="00244FFE"/>
    <w:rsid w:val="00246AD2"/>
    <w:rsid w:val="00246B88"/>
    <w:rsid w:val="00250541"/>
    <w:rsid w:val="00252714"/>
    <w:rsid w:val="00255D12"/>
    <w:rsid w:val="00256110"/>
    <w:rsid w:val="00257963"/>
    <w:rsid w:val="00257CD4"/>
    <w:rsid w:val="00261F79"/>
    <w:rsid w:val="0026257E"/>
    <w:rsid w:val="00264386"/>
    <w:rsid w:val="0026600B"/>
    <w:rsid w:val="00267220"/>
    <w:rsid w:val="0027386F"/>
    <w:rsid w:val="002746D6"/>
    <w:rsid w:val="00274906"/>
    <w:rsid w:val="00274D1F"/>
    <w:rsid w:val="002758FB"/>
    <w:rsid w:val="00275B5D"/>
    <w:rsid w:val="002805DF"/>
    <w:rsid w:val="00280650"/>
    <w:rsid w:val="002816DD"/>
    <w:rsid w:val="00285A93"/>
    <w:rsid w:val="0029011E"/>
    <w:rsid w:val="002905EE"/>
    <w:rsid w:val="00290E23"/>
    <w:rsid w:val="002921DC"/>
    <w:rsid w:val="00292D0F"/>
    <w:rsid w:val="00293227"/>
    <w:rsid w:val="002945BB"/>
    <w:rsid w:val="00295225"/>
    <w:rsid w:val="0029629F"/>
    <w:rsid w:val="002970D7"/>
    <w:rsid w:val="00297198"/>
    <w:rsid w:val="002A00B7"/>
    <w:rsid w:val="002A0C63"/>
    <w:rsid w:val="002A1C12"/>
    <w:rsid w:val="002A48ED"/>
    <w:rsid w:val="002A5D00"/>
    <w:rsid w:val="002B0345"/>
    <w:rsid w:val="002B099F"/>
    <w:rsid w:val="002B41FC"/>
    <w:rsid w:val="002B49BC"/>
    <w:rsid w:val="002B61E5"/>
    <w:rsid w:val="002B71B4"/>
    <w:rsid w:val="002B72BC"/>
    <w:rsid w:val="002C0552"/>
    <w:rsid w:val="002C05B2"/>
    <w:rsid w:val="002C0DEA"/>
    <w:rsid w:val="002C160C"/>
    <w:rsid w:val="002C5F3F"/>
    <w:rsid w:val="002C6A8D"/>
    <w:rsid w:val="002C729D"/>
    <w:rsid w:val="002D01BD"/>
    <w:rsid w:val="002D0303"/>
    <w:rsid w:val="002D0B28"/>
    <w:rsid w:val="002D1340"/>
    <w:rsid w:val="002D4502"/>
    <w:rsid w:val="002D60C2"/>
    <w:rsid w:val="002E0DF7"/>
    <w:rsid w:val="002E183F"/>
    <w:rsid w:val="002E2238"/>
    <w:rsid w:val="002E2F72"/>
    <w:rsid w:val="002E3A13"/>
    <w:rsid w:val="002E5428"/>
    <w:rsid w:val="002E57D6"/>
    <w:rsid w:val="002E677C"/>
    <w:rsid w:val="002E776D"/>
    <w:rsid w:val="002F0E73"/>
    <w:rsid w:val="002F325A"/>
    <w:rsid w:val="002F3E2B"/>
    <w:rsid w:val="002F4210"/>
    <w:rsid w:val="002F50C6"/>
    <w:rsid w:val="002F770C"/>
    <w:rsid w:val="002F77A6"/>
    <w:rsid w:val="002F7B63"/>
    <w:rsid w:val="002F7E2E"/>
    <w:rsid w:val="00300441"/>
    <w:rsid w:val="003009F4"/>
    <w:rsid w:val="00301941"/>
    <w:rsid w:val="003025E4"/>
    <w:rsid w:val="00302948"/>
    <w:rsid w:val="0030355E"/>
    <w:rsid w:val="00304E48"/>
    <w:rsid w:val="0030606D"/>
    <w:rsid w:val="00310A06"/>
    <w:rsid w:val="00311663"/>
    <w:rsid w:val="0031243A"/>
    <w:rsid w:val="0031359D"/>
    <w:rsid w:val="00316867"/>
    <w:rsid w:val="00320185"/>
    <w:rsid w:val="003226E8"/>
    <w:rsid w:val="00323B22"/>
    <w:rsid w:val="00325B45"/>
    <w:rsid w:val="00327470"/>
    <w:rsid w:val="00327FF7"/>
    <w:rsid w:val="003372D2"/>
    <w:rsid w:val="00337666"/>
    <w:rsid w:val="0034156A"/>
    <w:rsid w:val="0034291A"/>
    <w:rsid w:val="00344A3D"/>
    <w:rsid w:val="0034628F"/>
    <w:rsid w:val="00347AA7"/>
    <w:rsid w:val="00350A59"/>
    <w:rsid w:val="00351EF1"/>
    <w:rsid w:val="003521F9"/>
    <w:rsid w:val="00352FB4"/>
    <w:rsid w:val="00353491"/>
    <w:rsid w:val="003537FC"/>
    <w:rsid w:val="00353CA0"/>
    <w:rsid w:val="00353F83"/>
    <w:rsid w:val="0035468C"/>
    <w:rsid w:val="00354943"/>
    <w:rsid w:val="00354A83"/>
    <w:rsid w:val="00355CE3"/>
    <w:rsid w:val="0035798A"/>
    <w:rsid w:val="00360252"/>
    <w:rsid w:val="00360577"/>
    <w:rsid w:val="00361DBD"/>
    <w:rsid w:val="003624BE"/>
    <w:rsid w:val="00362B7F"/>
    <w:rsid w:val="0036376B"/>
    <w:rsid w:val="003637AF"/>
    <w:rsid w:val="003637CE"/>
    <w:rsid w:val="0036384D"/>
    <w:rsid w:val="00366679"/>
    <w:rsid w:val="003702A0"/>
    <w:rsid w:val="00370D9E"/>
    <w:rsid w:val="00371C65"/>
    <w:rsid w:val="00374ACB"/>
    <w:rsid w:val="00375BE2"/>
    <w:rsid w:val="003772EF"/>
    <w:rsid w:val="0037762A"/>
    <w:rsid w:val="003776A3"/>
    <w:rsid w:val="00377CA2"/>
    <w:rsid w:val="00377D03"/>
    <w:rsid w:val="00380531"/>
    <w:rsid w:val="003819B8"/>
    <w:rsid w:val="00382002"/>
    <w:rsid w:val="00382BF1"/>
    <w:rsid w:val="003850D0"/>
    <w:rsid w:val="003875EE"/>
    <w:rsid w:val="0038761B"/>
    <w:rsid w:val="003919BC"/>
    <w:rsid w:val="003931DC"/>
    <w:rsid w:val="003955E2"/>
    <w:rsid w:val="00396088"/>
    <w:rsid w:val="0039748A"/>
    <w:rsid w:val="00397C86"/>
    <w:rsid w:val="003A0AED"/>
    <w:rsid w:val="003A30B5"/>
    <w:rsid w:val="003A4338"/>
    <w:rsid w:val="003A4FAE"/>
    <w:rsid w:val="003A54E6"/>
    <w:rsid w:val="003A5FFE"/>
    <w:rsid w:val="003A661F"/>
    <w:rsid w:val="003A718A"/>
    <w:rsid w:val="003A7A2D"/>
    <w:rsid w:val="003B175C"/>
    <w:rsid w:val="003B27B4"/>
    <w:rsid w:val="003B2A16"/>
    <w:rsid w:val="003B3127"/>
    <w:rsid w:val="003B489F"/>
    <w:rsid w:val="003B6D1E"/>
    <w:rsid w:val="003B6F16"/>
    <w:rsid w:val="003B73FF"/>
    <w:rsid w:val="003C119F"/>
    <w:rsid w:val="003C1C24"/>
    <w:rsid w:val="003C4382"/>
    <w:rsid w:val="003C49DD"/>
    <w:rsid w:val="003C550F"/>
    <w:rsid w:val="003C5FB5"/>
    <w:rsid w:val="003C67B5"/>
    <w:rsid w:val="003C7FC8"/>
    <w:rsid w:val="003D0F8D"/>
    <w:rsid w:val="003D1D6E"/>
    <w:rsid w:val="003D31B2"/>
    <w:rsid w:val="003D4D4D"/>
    <w:rsid w:val="003D5FB0"/>
    <w:rsid w:val="003D606B"/>
    <w:rsid w:val="003D63D8"/>
    <w:rsid w:val="003D6453"/>
    <w:rsid w:val="003E03AD"/>
    <w:rsid w:val="003E21C6"/>
    <w:rsid w:val="003E3578"/>
    <w:rsid w:val="003E3AEC"/>
    <w:rsid w:val="003E4700"/>
    <w:rsid w:val="003E474F"/>
    <w:rsid w:val="003E5042"/>
    <w:rsid w:val="003E579F"/>
    <w:rsid w:val="003F124D"/>
    <w:rsid w:val="003F2123"/>
    <w:rsid w:val="003F3B21"/>
    <w:rsid w:val="003F4D50"/>
    <w:rsid w:val="003F4F83"/>
    <w:rsid w:val="003F7497"/>
    <w:rsid w:val="003F7D42"/>
    <w:rsid w:val="003F7D55"/>
    <w:rsid w:val="00400934"/>
    <w:rsid w:val="00400EC6"/>
    <w:rsid w:val="00403479"/>
    <w:rsid w:val="00403547"/>
    <w:rsid w:val="004036CC"/>
    <w:rsid w:val="0040430E"/>
    <w:rsid w:val="00404D00"/>
    <w:rsid w:val="0040769F"/>
    <w:rsid w:val="0041031B"/>
    <w:rsid w:val="0041228B"/>
    <w:rsid w:val="00412C66"/>
    <w:rsid w:val="00413174"/>
    <w:rsid w:val="0041320D"/>
    <w:rsid w:val="0041455B"/>
    <w:rsid w:val="00414602"/>
    <w:rsid w:val="004159D8"/>
    <w:rsid w:val="00416F20"/>
    <w:rsid w:val="004200C4"/>
    <w:rsid w:val="0042011A"/>
    <w:rsid w:val="00422399"/>
    <w:rsid w:val="00423DE8"/>
    <w:rsid w:val="0042451E"/>
    <w:rsid w:val="00424688"/>
    <w:rsid w:val="0042562F"/>
    <w:rsid w:val="004274CB"/>
    <w:rsid w:val="00427C57"/>
    <w:rsid w:val="0043054A"/>
    <w:rsid w:val="00431168"/>
    <w:rsid w:val="00432283"/>
    <w:rsid w:val="00432ECA"/>
    <w:rsid w:val="00437997"/>
    <w:rsid w:val="0044165A"/>
    <w:rsid w:val="0044281E"/>
    <w:rsid w:val="004432CC"/>
    <w:rsid w:val="0045096D"/>
    <w:rsid w:val="0045101E"/>
    <w:rsid w:val="00452440"/>
    <w:rsid w:val="00453059"/>
    <w:rsid w:val="004539D9"/>
    <w:rsid w:val="00453D42"/>
    <w:rsid w:val="0045419E"/>
    <w:rsid w:val="004552C2"/>
    <w:rsid w:val="00457B7E"/>
    <w:rsid w:val="004618B4"/>
    <w:rsid w:val="004619DE"/>
    <w:rsid w:val="00462B14"/>
    <w:rsid w:val="00466764"/>
    <w:rsid w:val="00466B27"/>
    <w:rsid w:val="00467BDF"/>
    <w:rsid w:val="0047193A"/>
    <w:rsid w:val="004760A5"/>
    <w:rsid w:val="004765ED"/>
    <w:rsid w:val="004768CE"/>
    <w:rsid w:val="00480B5E"/>
    <w:rsid w:val="00480C81"/>
    <w:rsid w:val="00480E76"/>
    <w:rsid w:val="00482FA5"/>
    <w:rsid w:val="004859C9"/>
    <w:rsid w:val="0048692A"/>
    <w:rsid w:val="00486B2F"/>
    <w:rsid w:val="004870B2"/>
    <w:rsid w:val="00491895"/>
    <w:rsid w:val="00492043"/>
    <w:rsid w:val="0049254D"/>
    <w:rsid w:val="00493E77"/>
    <w:rsid w:val="00494BBB"/>
    <w:rsid w:val="00496871"/>
    <w:rsid w:val="004970F1"/>
    <w:rsid w:val="00497908"/>
    <w:rsid w:val="00497C48"/>
    <w:rsid w:val="00497EE8"/>
    <w:rsid w:val="004A04EF"/>
    <w:rsid w:val="004A1FF8"/>
    <w:rsid w:val="004A241E"/>
    <w:rsid w:val="004A44A7"/>
    <w:rsid w:val="004A5895"/>
    <w:rsid w:val="004A59C0"/>
    <w:rsid w:val="004A6892"/>
    <w:rsid w:val="004A6BD2"/>
    <w:rsid w:val="004B129F"/>
    <w:rsid w:val="004B2660"/>
    <w:rsid w:val="004B28BA"/>
    <w:rsid w:val="004B56BB"/>
    <w:rsid w:val="004B5F7C"/>
    <w:rsid w:val="004B695E"/>
    <w:rsid w:val="004B6A6E"/>
    <w:rsid w:val="004B6EE0"/>
    <w:rsid w:val="004B7FB0"/>
    <w:rsid w:val="004C006C"/>
    <w:rsid w:val="004C054B"/>
    <w:rsid w:val="004C30A6"/>
    <w:rsid w:val="004C318C"/>
    <w:rsid w:val="004C3CC3"/>
    <w:rsid w:val="004C449E"/>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14D3"/>
    <w:rsid w:val="004F1C42"/>
    <w:rsid w:val="004F3AC6"/>
    <w:rsid w:val="004F3B4F"/>
    <w:rsid w:val="004F4357"/>
    <w:rsid w:val="004F45FF"/>
    <w:rsid w:val="005001A3"/>
    <w:rsid w:val="0050052D"/>
    <w:rsid w:val="00500EBB"/>
    <w:rsid w:val="00503A5C"/>
    <w:rsid w:val="00503CBF"/>
    <w:rsid w:val="00504EF6"/>
    <w:rsid w:val="00506AD1"/>
    <w:rsid w:val="00507748"/>
    <w:rsid w:val="0051053E"/>
    <w:rsid w:val="005117FA"/>
    <w:rsid w:val="005132DC"/>
    <w:rsid w:val="0051358D"/>
    <w:rsid w:val="00513C13"/>
    <w:rsid w:val="00514553"/>
    <w:rsid w:val="00515742"/>
    <w:rsid w:val="00515CE4"/>
    <w:rsid w:val="00516000"/>
    <w:rsid w:val="00517D62"/>
    <w:rsid w:val="0052139E"/>
    <w:rsid w:val="00521878"/>
    <w:rsid w:val="0052492E"/>
    <w:rsid w:val="00524ED9"/>
    <w:rsid w:val="00526CA1"/>
    <w:rsid w:val="00527753"/>
    <w:rsid w:val="005277A2"/>
    <w:rsid w:val="005302F5"/>
    <w:rsid w:val="00530718"/>
    <w:rsid w:val="00530BC2"/>
    <w:rsid w:val="005311F7"/>
    <w:rsid w:val="00531434"/>
    <w:rsid w:val="00531C9B"/>
    <w:rsid w:val="00536909"/>
    <w:rsid w:val="00540056"/>
    <w:rsid w:val="00540322"/>
    <w:rsid w:val="00540483"/>
    <w:rsid w:val="005428B5"/>
    <w:rsid w:val="00542A08"/>
    <w:rsid w:val="00543D29"/>
    <w:rsid w:val="0054594F"/>
    <w:rsid w:val="00545BE3"/>
    <w:rsid w:val="00546596"/>
    <w:rsid w:val="0054675E"/>
    <w:rsid w:val="00547A46"/>
    <w:rsid w:val="005511D3"/>
    <w:rsid w:val="005512F7"/>
    <w:rsid w:val="00551E9F"/>
    <w:rsid w:val="00552395"/>
    <w:rsid w:val="00552D50"/>
    <w:rsid w:val="005560DC"/>
    <w:rsid w:val="00556AF3"/>
    <w:rsid w:val="00560135"/>
    <w:rsid w:val="00560F1E"/>
    <w:rsid w:val="0056446E"/>
    <w:rsid w:val="0056479F"/>
    <w:rsid w:val="00570E15"/>
    <w:rsid w:val="00573E51"/>
    <w:rsid w:val="005740E0"/>
    <w:rsid w:val="00574DF0"/>
    <w:rsid w:val="00574EB7"/>
    <w:rsid w:val="00575266"/>
    <w:rsid w:val="00575F6A"/>
    <w:rsid w:val="005769FC"/>
    <w:rsid w:val="00580D99"/>
    <w:rsid w:val="00581712"/>
    <w:rsid w:val="005877E3"/>
    <w:rsid w:val="0058799B"/>
    <w:rsid w:val="0059015D"/>
    <w:rsid w:val="005902D6"/>
    <w:rsid w:val="00591A71"/>
    <w:rsid w:val="00592087"/>
    <w:rsid w:val="005921B8"/>
    <w:rsid w:val="0059279E"/>
    <w:rsid w:val="0059331C"/>
    <w:rsid w:val="00594353"/>
    <w:rsid w:val="0059435D"/>
    <w:rsid w:val="0059469C"/>
    <w:rsid w:val="0059476B"/>
    <w:rsid w:val="005949A8"/>
    <w:rsid w:val="00596885"/>
    <w:rsid w:val="00596E1E"/>
    <w:rsid w:val="005A0079"/>
    <w:rsid w:val="005A3654"/>
    <w:rsid w:val="005A6834"/>
    <w:rsid w:val="005A68FF"/>
    <w:rsid w:val="005A7311"/>
    <w:rsid w:val="005A7D7F"/>
    <w:rsid w:val="005B4AE0"/>
    <w:rsid w:val="005B4C0E"/>
    <w:rsid w:val="005B6517"/>
    <w:rsid w:val="005C026B"/>
    <w:rsid w:val="005C1832"/>
    <w:rsid w:val="005C241B"/>
    <w:rsid w:val="005C310D"/>
    <w:rsid w:val="005C386E"/>
    <w:rsid w:val="005C419D"/>
    <w:rsid w:val="005C5A30"/>
    <w:rsid w:val="005C72F7"/>
    <w:rsid w:val="005D1D6D"/>
    <w:rsid w:val="005D2178"/>
    <w:rsid w:val="005D48CE"/>
    <w:rsid w:val="005D4FB4"/>
    <w:rsid w:val="005D5B37"/>
    <w:rsid w:val="005D6684"/>
    <w:rsid w:val="005E18A2"/>
    <w:rsid w:val="005E2BFF"/>
    <w:rsid w:val="005E42B6"/>
    <w:rsid w:val="005F0F45"/>
    <w:rsid w:val="005F17C9"/>
    <w:rsid w:val="005F1907"/>
    <w:rsid w:val="005F1925"/>
    <w:rsid w:val="005F1D4C"/>
    <w:rsid w:val="005F32A4"/>
    <w:rsid w:val="005F5774"/>
    <w:rsid w:val="005F5B4C"/>
    <w:rsid w:val="005F6416"/>
    <w:rsid w:val="00600700"/>
    <w:rsid w:val="00600F9B"/>
    <w:rsid w:val="006015A1"/>
    <w:rsid w:val="00601EE5"/>
    <w:rsid w:val="00602F8F"/>
    <w:rsid w:val="00603919"/>
    <w:rsid w:val="00604394"/>
    <w:rsid w:val="006067CE"/>
    <w:rsid w:val="006109C1"/>
    <w:rsid w:val="00610DC7"/>
    <w:rsid w:val="00611AD3"/>
    <w:rsid w:val="0061303E"/>
    <w:rsid w:val="00613444"/>
    <w:rsid w:val="00614492"/>
    <w:rsid w:val="00614891"/>
    <w:rsid w:val="006179F1"/>
    <w:rsid w:val="00617B0E"/>
    <w:rsid w:val="00622203"/>
    <w:rsid w:val="00622272"/>
    <w:rsid w:val="00632EE5"/>
    <w:rsid w:val="00640E3B"/>
    <w:rsid w:val="00642D25"/>
    <w:rsid w:val="0064443D"/>
    <w:rsid w:val="00644497"/>
    <w:rsid w:val="00644F52"/>
    <w:rsid w:val="006456CB"/>
    <w:rsid w:val="00645735"/>
    <w:rsid w:val="0064683C"/>
    <w:rsid w:val="00650AFB"/>
    <w:rsid w:val="006516D6"/>
    <w:rsid w:val="00652549"/>
    <w:rsid w:val="00652C5F"/>
    <w:rsid w:val="00652E45"/>
    <w:rsid w:val="00652EBD"/>
    <w:rsid w:val="00653DD7"/>
    <w:rsid w:val="006566EC"/>
    <w:rsid w:val="00656B46"/>
    <w:rsid w:val="00663788"/>
    <w:rsid w:val="00663D38"/>
    <w:rsid w:val="00665215"/>
    <w:rsid w:val="00666130"/>
    <w:rsid w:val="0066689A"/>
    <w:rsid w:val="00667408"/>
    <w:rsid w:val="006675B8"/>
    <w:rsid w:val="00670C3A"/>
    <w:rsid w:val="0067132F"/>
    <w:rsid w:val="006716C6"/>
    <w:rsid w:val="00671EA5"/>
    <w:rsid w:val="0067216D"/>
    <w:rsid w:val="006725B7"/>
    <w:rsid w:val="0067421A"/>
    <w:rsid w:val="00674E41"/>
    <w:rsid w:val="00675155"/>
    <w:rsid w:val="00676887"/>
    <w:rsid w:val="006808B9"/>
    <w:rsid w:val="0068090B"/>
    <w:rsid w:val="00680DB0"/>
    <w:rsid w:val="00681995"/>
    <w:rsid w:val="006821AD"/>
    <w:rsid w:val="00684032"/>
    <w:rsid w:val="00684696"/>
    <w:rsid w:val="00686982"/>
    <w:rsid w:val="00686D66"/>
    <w:rsid w:val="0068754E"/>
    <w:rsid w:val="006904AE"/>
    <w:rsid w:val="00691B74"/>
    <w:rsid w:val="006924F7"/>
    <w:rsid w:val="00696938"/>
    <w:rsid w:val="006973FA"/>
    <w:rsid w:val="00697B81"/>
    <w:rsid w:val="00697EE6"/>
    <w:rsid w:val="006A08B1"/>
    <w:rsid w:val="006A0AB1"/>
    <w:rsid w:val="006A1BC7"/>
    <w:rsid w:val="006A1C8F"/>
    <w:rsid w:val="006A2C18"/>
    <w:rsid w:val="006A5528"/>
    <w:rsid w:val="006A72C6"/>
    <w:rsid w:val="006A7D0B"/>
    <w:rsid w:val="006B058C"/>
    <w:rsid w:val="006B1B92"/>
    <w:rsid w:val="006B4961"/>
    <w:rsid w:val="006B6041"/>
    <w:rsid w:val="006B7BF1"/>
    <w:rsid w:val="006C0C12"/>
    <w:rsid w:val="006C46BB"/>
    <w:rsid w:val="006C4F28"/>
    <w:rsid w:val="006C5571"/>
    <w:rsid w:val="006C5D99"/>
    <w:rsid w:val="006C6D4E"/>
    <w:rsid w:val="006C7835"/>
    <w:rsid w:val="006D111D"/>
    <w:rsid w:val="006D122A"/>
    <w:rsid w:val="006D2DE3"/>
    <w:rsid w:val="006D3E00"/>
    <w:rsid w:val="006D5E7E"/>
    <w:rsid w:val="006D67E8"/>
    <w:rsid w:val="006E27FD"/>
    <w:rsid w:val="006E6C75"/>
    <w:rsid w:val="006E7057"/>
    <w:rsid w:val="006E7CC0"/>
    <w:rsid w:val="006F0783"/>
    <w:rsid w:val="006F07B1"/>
    <w:rsid w:val="006F0FDD"/>
    <w:rsid w:val="006F1827"/>
    <w:rsid w:val="006F1923"/>
    <w:rsid w:val="006F1E00"/>
    <w:rsid w:val="006F2797"/>
    <w:rsid w:val="006F3BDD"/>
    <w:rsid w:val="006F4261"/>
    <w:rsid w:val="006F4570"/>
    <w:rsid w:val="006F50C6"/>
    <w:rsid w:val="007001E3"/>
    <w:rsid w:val="007018A9"/>
    <w:rsid w:val="00702EE2"/>
    <w:rsid w:val="00703317"/>
    <w:rsid w:val="00704E50"/>
    <w:rsid w:val="007060C7"/>
    <w:rsid w:val="00706F91"/>
    <w:rsid w:val="00707132"/>
    <w:rsid w:val="00710193"/>
    <w:rsid w:val="0071019B"/>
    <w:rsid w:val="00713436"/>
    <w:rsid w:val="00714594"/>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C31"/>
    <w:rsid w:val="0073618E"/>
    <w:rsid w:val="007371C5"/>
    <w:rsid w:val="00740D25"/>
    <w:rsid w:val="007416CB"/>
    <w:rsid w:val="007420B7"/>
    <w:rsid w:val="00743B25"/>
    <w:rsid w:val="007458A7"/>
    <w:rsid w:val="007462F2"/>
    <w:rsid w:val="007464CE"/>
    <w:rsid w:val="00746859"/>
    <w:rsid w:val="00746DF5"/>
    <w:rsid w:val="00747A4A"/>
    <w:rsid w:val="00747D27"/>
    <w:rsid w:val="007501D8"/>
    <w:rsid w:val="007527FA"/>
    <w:rsid w:val="0075321E"/>
    <w:rsid w:val="007533F9"/>
    <w:rsid w:val="0075472F"/>
    <w:rsid w:val="00754CF2"/>
    <w:rsid w:val="007551AB"/>
    <w:rsid w:val="00757B72"/>
    <w:rsid w:val="0076138D"/>
    <w:rsid w:val="00761D31"/>
    <w:rsid w:val="00762765"/>
    <w:rsid w:val="00762B65"/>
    <w:rsid w:val="00762D23"/>
    <w:rsid w:val="00763B2E"/>
    <w:rsid w:val="00764198"/>
    <w:rsid w:val="0076467B"/>
    <w:rsid w:val="00764DC9"/>
    <w:rsid w:val="00764F2C"/>
    <w:rsid w:val="00764FD2"/>
    <w:rsid w:val="00766477"/>
    <w:rsid w:val="00766651"/>
    <w:rsid w:val="00767027"/>
    <w:rsid w:val="0077346A"/>
    <w:rsid w:val="00773627"/>
    <w:rsid w:val="00774FCE"/>
    <w:rsid w:val="007751E9"/>
    <w:rsid w:val="00776BBB"/>
    <w:rsid w:val="00780140"/>
    <w:rsid w:val="00782A58"/>
    <w:rsid w:val="00783749"/>
    <w:rsid w:val="00786AB2"/>
    <w:rsid w:val="007913C4"/>
    <w:rsid w:val="007913ED"/>
    <w:rsid w:val="00791750"/>
    <w:rsid w:val="00791D4B"/>
    <w:rsid w:val="00792011"/>
    <w:rsid w:val="00792D88"/>
    <w:rsid w:val="007951D2"/>
    <w:rsid w:val="00796304"/>
    <w:rsid w:val="007A0429"/>
    <w:rsid w:val="007A0451"/>
    <w:rsid w:val="007A048E"/>
    <w:rsid w:val="007A0943"/>
    <w:rsid w:val="007A4100"/>
    <w:rsid w:val="007A4FEC"/>
    <w:rsid w:val="007A70F0"/>
    <w:rsid w:val="007A7166"/>
    <w:rsid w:val="007A735A"/>
    <w:rsid w:val="007A74A3"/>
    <w:rsid w:val="007B28EA"/>
    <w:rsid w:val="007B420E"/>
    <w:rsid w:val="007B6E13"/>
    <w:rsid w:val="007B75A3"/>
    <w:rsid w:val="007B798F"/>
    <w:rsid w:val="007B7E2A"/>
    <w:rsid w:val="007C036B"/>
    <w:rsid w:val="007C19C1"/>
    <w:rsid w:val="007C349D"/>
    <w:rsid w:val="007C3E46"/>
    <w:rsid w:val="007C56FB"/>
    <w:rsid w:val="007C72EB"/>
    <w:rsid w:val="007C78C9"/>
    <w:rsid w:val="007C7C49"/>
    <w:rsid w:val="007C7D9B"/>
    <w:rsid w:val="007D1574"/>
    <w:rsid w:val="007D174D"/>
    <w:rsid w:val="007D18A9"/>
    <w:rsid w:val="007D1B43"/>
    <w:rsid w:val="007D2903"/>
    <w:rsid w:val="007D30EC"/>
    <w:rsid w:val="007D503A"/>
    <w:rsid w:val="007D5FA4"/>
    <w:rsid w:val="007D73CC"/>
    <w:rsid w:val="007D7AE3"/>
    <w:rsid w:val="007E0CFA"/>
    <w:rsid w:val="007E1E43"/>
    <w:rsid w:val="007E283D"/>
    <w:rsid w:val="007E2DB0"/>
    <w:rsid w:val="007E30C9"/>
    <w:rsid w:val="007E3521"/>
    <w:rsid w:val="007E48D9"/>
    <w:rsid w:val="007E53E8"/>
    <w:rsid w:val="007E6A46"/>
    <w:rsid w:val="007E6B1D"/>
    <w:rsid w:val="007F043B"/>
    <w:rsid w:val="007F273F"/>
    <w:rsid w:val="007F33AD"/>
    <w:rsid w:val="007F3805"/>
    <w:rsid w:val="007F4135"/>
    <w:rsid w:val="007F4A04"/>
    <w:rsid w:val="007F4BE4"/>
    <w:rsid w:val="007F5E9F"/>
    <w:rsid w:val="007F650A"/>
    <w:rsid w:val="007F6665"/>
    <w:rsid w:val="007F6E2E"/>
    <w:rsid w:val="007F7AC8"/>
    <w:rsid w:val="00800551"/>
    <w:rsid w:val="008013B9"/>
    <w:rsid w:val="00807377"/>
    <w:rsid w:val="00810223"/>
    <w:rsid w:val="00811B69"/>
    <w:rsid w:val="00811CAA"/>
    <w:rsid w:val="00812DB4"/>
    <w:rsid w:val="00813582"/>
    <w:rsid w:val="00813A9C"/>
    <w:rsid w:val="00813B62"/>
    <w:rsid w:val="00813BF8"/>
    <w:rsid w:val="00814BA5"/>
    <w:rsid w:val="0081551C"/>
    <w:rsid w:val="00815B15"/>
    <w:rsid w:val="0081774B"/>
    <w:rsid w:val="00821BDB"/>
    <w:rsid w:val="00821D8A"/>
    <w:rsid w:val="008227E7"/>
    <w:rsid w:val="00822A75"/>
    <w:rsid w:val="00824139"/>
    <w:rsid w:val="00825C33"/>
    <w:rsid w:val="00826927"/>
    <w:rsid w:val="00830A02"/>
    <w:rsid w:val="00830C9A"/>
    <w:rsid w:val="00832070"/>
    <w:rsid w:val="008323F5"/>
    <w:rsid w:val="00832451"/>
    <w:rsid w:val="0083383B"/>
    <w:rsid w:val="008341C1"/>
    <w:rsid w:val="008355C4"/>
    <w:rsid w:val="008356EB"/>
    <w:rsid w:val="00835B82"/>
    <w:rsid w:val="008403F4"/>
    <w:rsid w:val="00841A1B"/>
    <w:rsid w:val="008423F1"/>
    <w:rsid w:val="00843C5A"/>
    <w:rsid w:val="008467AA"/>
    <w:rsid w:val="0085043D"/>
    <w:rsid w:val="00852481"/>
    <w:rsid w:val="008531B9"/>
    <w:rsid w:val="008535FF"/>
    <w:rsid w:val="008542A6"/>
    <w:rsid w:val="00854597"/>
    <w:rsid w:val="008545F0"/>
    <w:rsid w:val="00854943"/>
    <w:rsid w:val="008563CD"/>
    <w:rsid w:val="008579AC"/>
    <w:rsid w:val="00864D38"/>
    <w:rsid w:val="008659E9"/>
    <w:rsid w:val="00866156"/>
    <w:rsid w:val="00867AE4"/>
    <w:rsid w:val="008701D4"/>
    <w:rsid w:val="008728D7"/>
    <w:rsid w:val="008732A8"/>
    <w:rsid w:val="00874BD5"/>
    <w:rsid w:val="00876AE1"/>
    <w:rsid w:val="00877EB5"/>
    <w:rsid w:val="00881362"/>
    <w:rsid w:val="00881FA2"/>
    <w:rsid w:val="008831A9"/>
    <w:rsid w:val="00883620"/>
    <w:rsid w:val="00885648"/>
    <w:rsid w:val="00885E4F"/>
    <w:rsid w:val="0088618B"/>
    <w:rsid w:val="00890AE7"/>
    <w:rsid w:val="008923A1"/>
    <w:rsid w:val="0089269E"/>
    <w:rsid w:val="008956F7"/>
    <w:rsid w:val="00895F08"/>
    <w:rsid w:val="008960DE"/>
    <w:rsid w:val="00896A96"/>
    <w:rsid w:val="00897961"/>
    <w:rsid w:val="008A06FA"/>
    <w:rsid w:val="008A11DA"/>
    <w:rsid w:val="008A174C"/>
    <w:rsid w:val="008A21E1"/>
    <w:rsid w:val="008A3AF5"/>
    <w:rsid w:val="008A3C1B"/>
    <w:rsid w:val="008A637A"/>
    <w:rsid w:val="008A74CD"/>
    <w:rsid w:val="008A78B6"/>
    <w:rsid w:val="008A7AC7"/>
    <w:rsid w:val="008B0B4F"/>
    <w:rsid w:val="008B0ED4"/>
    <w:rsid w:val="008B16B2"/>
    <w:rsid w:val="008B2C10"/>
    <w:rsid w:val="008B2EFE"/>
    <w:rsid w:val="008B4AF8"/>
    <w:rsid w:val="008B510E"/>
    <w:rsid w:val="008B78C6"/>
    <w:rsid w:val="008B7D86"/>
    <w:rsid w:val="008B7FBB"/>
    <w:rsid w:val="008C3032"/>
    <w:rsid w:val="008C3454"/>
    <w:rsid w:val="008C3CDA"/>
    <w:rsid w:val="008C3D80"/>
    <w:rsid w:val="008C4CF2"/>
    <w:rsid w:val="008C5CE5"/>
    <w:rsid w:val="008D0429"/>
    <w:rsid w:val="008D2129"/>
    <w:rsid w:val="008D42BD"/>
    <w:rsid w:val="008D43BA"/>
    <w:rsid w:val="008D4E7E"/>
    <w:rsid w:val="008D5EAB"/>
    <w:rsid w:val="008E0768"/>
    <w:rsid w:val="008E114C"/>
    <w:rsid w:val="008E268D"/>
    <w:rsid w:val="008E462A"/>
    <w:rsid w:val="008E5213"/>
    <w:rsid w:val="008E5891"/>
    <w:rsid w:val="008E6491"/>
    <w:rsid w:val="008F2626"/>
    <w:rsid w:val="008F3FDE"/>
    <w:rsid w:val="008F4BB1"/>
    <w:rsid w:val="008F55BE"/>
    <w:rsid w:val="008F58F5"/>
    <w:rsid w:val="008F61CD"/>
    <w:rsid w:val="008F6FDA"/>
    <w:rsid w:val="008F71C8"/>
    <w:rsid w:val="00900D18"/>
    <w:rsid w:val="00901757"/>
    <w:rsid w:val="00901F45"/>
    <w:rsid w:val="0091255C"/>
    <w:rsid w:val="00912955"/>
    <w:rsid w:val="00915024"/>
    <w:rsid w:val="00915F1C"/>
    <w:rsid w:val="009223A1"/>
    <w:rsid w:val="00922D8C"/>
    <w:rsid w:val="009235D9"/>
    <w:rsid w:val="009241D3"/>
    <w:rsid w:val="00926996"/>
    <w:rsid w:val="00926D8E"/>
    <w:rsid w:val="009300BA"/>
    <w:rsid w:val="00930C19"/>
    <w:rsid w:val="00931119"/>
    <w:rsid w:val="00931B02"/>
    <w:rsid w:val="00931BDF"/>
    <w:rsid w:val="009340D3"/>
    <w:rsid w:val="009343E8"/>
    <w:rsid w:val="00934BBB"/>
    <w:rsid w:val="00934EAF"/>
    <w:rsid w:val="0093513C"/>
    <w:rsid w:val="00935564"/>
    <w:rsid w:val="00936FA6"/>
    <w:rsid w:val="00937407"/>
    <w:rsid w:val="009415C6"/>
    <w:rsid w:val="00947A10"/>
    <w:rsid w:val="00947DB8"/>
    <w:rsid w:val="00951883"/>
    <w:rsid w:val="00952D47"/>
    <w:rsid w:val="00953E8A"/>
    <w:rsid w:val="009542EA"/>
    <w:rsid w:val="0095488F"/>
    <w:rsid w:val="00954A8E"/>
    <w:rsid w:val="00955040"/>
    <w:rsid w:val="00955F83"/>
    <w:rsid w:val="009569EB"/>
    <w:rsid w:val="009604DD"/>
    <w:rsid w:val="00960522"/>
    <w:rsid w:val="0096067E"/>
    <w:rsid w:val="00960EB6"/>
    <w:rsid w:val="0096183C"/>
    <w:rsid w:val="00962E59"/>
    <w:rsid w:val="0096340E"/>
    <w:rsid w:val="00963946"/>
    <w:rsid w:val="00964A9F"/>
    <w:rsid w:val="00966267"/>
    <w:rsid w:val="00971029"/>
    <w:rsid w:val="0097127D"/>
    <w:rsid w:val="00972801"/>
    <w:rsid w:val="009731A1"/>
    <w:rsid w:val="0097491B"/>
    <w:rsid w:val="00974FF5"/>
    <w:rsid w:val="00975848"/>
    <w:rsid w:val="009766C9"/>
    <w:rsid w:val="00976D1B"/>
    <w:rsid w:val="00977517"/>
    <w:rsid w:val="0098150E"/>
    <w:rsid w:val="0098367D"/>
    <w:rsid w:val="00983B70"/>
    <w:rsid w:val="00983D28"/>
    <w:rsid w:val="009864C6"/>
    <w:rsid w:val="00987562"/>
    <w:rsid w:val="00990175"/>
    <w:rsid w:val="00990D2A"/>
    <w:rsid w:val="00990D5E"/>
    <w:rsid w:val="009916CB"/>
    <w:rsid w:val="0099254B"/>
    <w:rsid w:val="00992CC6"/>
    <w:rsid w:val="00994973"/>
    <w:rsid w:val="009950BE"/>
    <w:rsid w:val="00996230"/>
    <w:rsid w:val="009963D6"/>
    <w:rsid w:val="00996541"/>
    <w:rsid w:val="0099753F"/>
    <w:rsid w:val="00997623"/>
    <w:rsid w:val="00997BAC"/>
    <w:rsid w:val="009A084C"/>
    <w:rsid w:val="009A25E6"/>
    <w:rsid w:val="009A3D2F"/>
    <w:rsid w:val="009A3EC5"/>
    <w:rsid w:val="009A4C60"/>
    <w:rsid w:val="009B02B0"/>
    <w:rsid w:val="009B0AAE"/>
    <w:rsid w:val="009B1FAD"/>
    <w:rsid w:val="009B22F2"/>
    <w:rsid w:val="009B2CC7"/>
    <w:rsid w:val="009B4434"/>
    <w:rsid w:val="009B589E"/>
    <w:rsid w:val="009C2C92"/>
    <w:rsid w:val="009C36F6"/>
    <w:rsid w:val="009C607E"/>
    <w:rsid w:val="009C635D"/>
    <w:rsid w:val="009C63E6"/>
    <w:rsid w:val="009C66A8"/>
    <w:rsid w:val="009C66D3"/>
    <w:rsid w:val="009C7280"/>
    <w:rsid w:val="009D1F60"/>
    <w:rsid w:val="009D3EF5"/>
    <w:rsid w:val="009D4CA7"/>
    <w:rsid w:val="009D5263"/>
    <w:rsid w:val="009D57B1"/>
    <w:rsid w:val="009D5920"/>
    <w:rsid w:val="009E0E87"/>
    <w:rsid w:val="009E1598"/>
    <w:rsid w:val="009E231E"/>
    <w:rsid w:val="009E2D4A"/>
    <w:rsid w:val="009E3518"/>
    <w:rsid w:val="009E5147"/>
    <w:rsid w:val="009F3B4C"/>
    <w:rsid w:val="009F4633"/>
    <w:rsid w:val="009F52C5"/>
    <w:rsid w:val="009F6CE0"/>
    <w:rsid w:val="00A00852"/>
    <w:rsid w:val="00A012F7"/>
    <w:rsid w:val="00A0159D"/>
    <w:rsid w:val="00A01EEE"/>
    <w:rsid w:val="00A021C4"/>
    <w:rsid w:val="00A03505"/>
    <w:rsid w:val="00A0358D"/>
    <w:rsid w:val="00A03DD4"/>
    <w:rsid w:val="00A0415F"/>
    <w:rsid w:val="00A055DB"/>
    <w:rsid w:val="00A05F0E"/>
    <w:rsid w:val="00A06255"/>
    <w:rsid w:val="00A06B1F"/>
    <w:rsid w:val="00A07012"/>
    <w:rsid w:val="00A0774E"/>
    <w:rsid w:val="00A07E4C"/>
    <w:rsid w:val="00A10255"/>
    <w:rsid w:val="00A1187E"/>
    <w:rsid w:val="00A11B12"/>
    <w:rsid w:val="00A13A0A"/>
    <w:rsid w:val="00A13C73"/>
    <w:rsid w:val="00A14BF2"/>
    <w:rsid w:val="00A1629B"/>
    <w:rsid w:val="00A16CA3"/>
    <w:rsid w:val="00A1758A"/>
    <w:rsid w:val="00A21F28"/>
    <w:rsid w:val="00A22D65"/>
    <w:rsid w:val="00A22FAA"/>
    <w:rsid w:val="00A30E42"/>
    <w:rsid w:val="00A31149"/>
    <w:rsid w:val="00A31DDF"/>
    <w:rsid w:val="00A32957"/>
    <w:rsid w:val="00A32D0F"/>
    <w:rsid w:val="00A36E6B"/>
    <w:rsid w:val="00A373BC"/>
    <w:rsid w:val="00A3775E"/>
    <w:rsid w:val="00A404C9"/>
    <w:rsid w:val="00A443E9"/>
    <w:rsid w:val="00A51B54"/>
    <w:rsid w:val="00A5453E"/>
    <w:rsid w:val="00A55188"/>
    <w:rsid w:val="00A566E1"/>
    <w:rsid w:val="00A56E09"/>
    <w:rsid w:val="00A61158"/>
    <w:rsid w:val="00A6284D"/>
    <w:rsid w:val="00A6314D"/>
    <w:rsid w:val="00A635C3"/>
    <w:rsid w:val="00A6604F"/>
    <w:rsid w:val="00A66248"/>
    <w:rsid w:val="00A66B89"/>
    <w:rsid w:val="00A66EAB"/>
    <w:rsid w:val="00A678FE"/>
    <w:rsid w:val="00A70492"/>
    <w:rsid w:val="00A71E82"/>
    <w:rsid w:val="00A7233E"/>
    <w:rsid w:val="00A73439"/>
    <w:rsid w:val="00A73960"/>
    <w:rsid w:val="00A74C47"/>
    <w:rsid w:val="00A77B3E"/>
    <w:rsid w:val="00A805F8"/>
    <w:rsid w:val="00A80D2B"/>
    <w:rsid w:val="00A82BA5"/>
    <w:rsid w:val="00A82D6A"/>
    <w:rsid w:val="00A83BF4"/>
    <w:rsid w:val="00A846E4"/>
    <w:rsid w:val="00A84966"/>
    <w:rsid w:val="00A910E7"/>
    <w:rsid w:val="00A94E29"/>
    <w:rsid w:val="00A95729"/>
    <w:rsid w:val="00A96395"/>
    <w:rsid w:val="00AA1282"/>
    <w:rsid w:val="00AA1A36"/>
    <w:rsid w:val="00AA2238"/>
    <w:rsid w:val="00AA25DA"/>
    <w:rsid w:val="00AA3160"/>
    <w:rsid w:val="00AA4670"/>
    <w:rsid w:val="00AA493B"/>
    <w:rsid w:val="00AA7AB4"/>
    <w:rsid w:val="00AB079C"/>
    <w:rsid w:val="00AB3FC3"/>
    <w:rsid w:val="00AB58DF"/>
    <w:rsid w:val="00AB6EAB"/>
    <w:rsid w:val="00AC0540"/>
    <w:rsid w:val="00AC0C39"/>
    <w:rsid w:val="00AC33CC"/>
    <w:rsid w:val="00AC345A"/>
    <w:rsid w:val="00AC4B03"/>
    <w:rsid w:val="00AC4B5C"/>
    <w:rsid w:val="00AC4C4C"/>
    <w:rsid w:val="00AC6F9D"/>
    <w:rsid w:val="00AC7373"/>
    <w:rsid w:val="00AC78A4"/>
    <w:rsid w:val="00AD01AF"/>
    <w:rsid w:val="00AD0326"/>
    <w:rsid w:val="00AD2218"/>
    <w:rsid w:val="00AD382E"/>
    <w:rsid w:val="00AD3C8D"/>
    <w:rsid w:val="00AD6F48"/>
    <w:rsid w:val="00AD71C8"/>
    <w:rsid w:val="00AD77D6"/>
    <w:rsid w:val="00AE04AE"/>
    <w:rsid w:val="00AE165B"/>
    <w:rsid w:val="00AE2C60"/>
    <w:rsid w:val="00AE32AB"/>
    <w:rsid w:val="00AE340E"/>
    <w:rsid w:val="00AE3F24"/>
    <w:rsid w:val="00AE3F91"/>
    <w:rsid w:val="00AE54F6"/>
    <w:rsid w:val="00AE5742"/>
    <w:rsid w:val="00AE588B"/>
    <w:rsid w:val="00AE5A45"/>
    <w:rsid w:val="00AE7E0F"/>
    <w:rsid w:val="00AF00F0"/>
    <w:rsid w:val="00AF2D30"/>
    <w:rsid w:val="00AF4FF3"/>
    <w:rsid w:val="00AF588F"/>
    <w:rsid w:val="00AF6C93"/>
    <w:rsid w:val="00B002F3"/>
    <w:rsid w:val="00B0065E"/>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22D06"/>
    <w:rsid w:val="00B24FAA"/>
    <w:rsid w:val="00B2539F"/>
    <w:rsid w:val="00B310E8"/>
    <w:rsid w:val="00B3144B"/>
    <w:rsid w:val="00B33309"/>
    <w:rsid w:val="00B353FA"/>
    <w:rsid w:val="00B367EA"/>
    <w:rsid w:val="00B36AA6"/>
    <w:rsid w:val="00B37C5B"/>
    <w:rsid w:val="00B40981"/>
    <w:rsid w:val="00B42857"/>
    <w:rsid w:val="00B42A87"/>
    <w:rsid w:val="00B432B5"/>
    <w:rsid w:val="00B43E6E"/>
    <w:rsid w:val="00B4422F"/>
    <w:rsid w:val="00B4468F"/>
    <w:rsid w:val="00B45673"/>
    <w:rsid w:val="00B500AC"/>
    <w:rsid w:val="00B52495"/>
    <w:rsid w:val="00B528E4"/>
    <w:rsid w:val="00B530D4"/>
    <w:rsid w:val="00B53F77"/>
    <w:rsid w:val="00B56675"/>
    <w:rsid w:val="00B56C48"/>
    <w:rsid w:val="00B5722F"/>
    <w:rsid w:val="00B57AD6"/>
    <w:rsid w:val="00B603B3"/>
    <w:rsid w:val="00B614AC"/>
    <w:rsid w:val="00B61CEF"/>
    <w:rsid w:val="00B61F48"/>
    <w:rsid w:val="00B626B0"/>
    <w:rsid w:val="00B641FD"/>
    <w:rsid w:val="00B6445E"/>
    <w:rsid w:val="00B66472"/>
    <w:rsid w:val="00B66CAB"/>
    <w:rsid w:val="00B67883"/>
    <w:rsid w:val="00B711A5"/>
    <w:rsid w:val="00B7554B"/>
    <w:rsid w:val="00B77648"/>
    <w:rsid w:val="00B77A18"/>
    <w:rsid w:val="00B80661"/>
    <w:rsid w:val="00B812E0"/>
    <w:rsid w:val="00B817DB"/>
    <w:rsid w:val="00B82A15"/>
    <w:rsid w:val="00B835CA"/>
    <w:rsid w:val="00B847FF"/>
    <w:rsid w:val="00B8502E"/>
    <w:rsid w:val="00B85D5B"/>
    <w:rsid w:val="00B868FD"/>
    <w:rsid w:val="00B87DF6"/>
    <w:rsid w:val="00B90828"/>
    <w:rsid w:val="00B936A9"/>
    <w:rsid w:val="00B9554B"/>
    <w:rsid w:val="00B97055"/>
    <w:rsid w:val="00BA21A2"/>
    <w:rsid w:val="00BA6416"/>
    <w:rsid w:val="00BA7DB7"/>
    <w:rsid w:val="00BB16AE"/>
    <w:rsid w:val="00BB51CA"/>
    <w:rsid w:val="00BB63FB"/>
    <w:rsid w:val="00BB776F"/>
    <w:rsid w:val="00BC1527"/>
    <w:rsid w:val="00BC37ED"/>
    <w:rsid w:val="00BC49B9"/>
    <w:rsid w:val="00BC49CB"/>
    <w:rsid w:val="00BC4EF0"/>
    <w:rsid w:val="00BC4F48"/>
    <w:rsid w:val="00BC51DC"/>
    <w:rsid w:val="00BC60EE"/>
    <w:rsid w:val="00BD05A0"/>
    <w:rsid w:val="00BD0DBE"/>
    <w:rsid w:val="00BD2169"/>
    <w:rsid w:val="00BD296B"/>
    <w:rsid w:val="00BD2D4E"/>
    <w:rsid w:val="00BD5498"/>
    <w:rsid w:val="00BD7483"/>
    <w:rsid w:val="00BD76A1"/>
    <w:rsid w:val="00BD7D0E"/>
    <w:rsid w:val="00BE0907"/>
    <w:rsid w:val="00BE500B"/>
    <w:rsid w:val="00BE58BA"/>
    <w:rsid w:val="00BE6FF3"/>
    <w:rsid w:val="00BE7DCB"/>
    <w:rsid w:val="00BF0758"/>
    <w:rsid w:val="00BF0811"/>
    <w:rsid w:val="00BF1386"/>
    <w:rsid w:val="00BF2548"/>
    <w:rsid w:val="00BF4B8F"/>
    <w:rsid w:val="00BF4BBB"/>
    <w:rsid w:val="00BF66DD"/>
    <w:rsid w:val="00BF795A"/>
    <w:rsid w:val="00BF7D35"/>
    <w:rsid w:val="00C00779"/>
    <w:rsid w:val="00C0149F"/>
    <w:rsid w:val="00C0313C"/>
    <w:rsid w:val="00C031A0"/>
    <w:rsid w:val="00C03D2F"/>
    <w:rsid w:val="00C03FEE"/>
    <w:rsid w:val="00C0454F"/>
    <w:rsid w:val="00C07F89"/>
    <w:rsid w:val="00C117E2"/>
    <w:rsid w:val="00C119A6"/>
    <w:rsid w:val="00C13C17"/>
    <w:rsid w:val="00C15B7D"/>
    <w:rsid w:val="00C16233"/>
    <w:rsid w:val="00C20A23"/>
    <w:rsid w:val="00C21111"/>
    <w:rsid w:val="00C217D1"/>
    <w:rsid w:val="00C27FEC"/>
    <w:rsid w:val="00C300CF"/>
    <w:rsid w:val="00C30E21"/>
    <w:rsid w:val="00C310B2"/>
    <w:rsid w:val="00C3200F"/>
    <w:rsid w:val="00C34E6B"/>
    <w:rsid w:val="00C355C7"/>
    <w:rsid w:val="00C3594C"/>
    <w:rsid w:val="00C3637F"/>
    <w:rsid w:val="00C36B3B"/>
    <w:rsid w:val="00C3737E"/>
    <w:rsid w:val="00C40F91"/>
    <w:rsid w:val="00C40FF3"/>
    <w:rsid w:val="00C417C6"/>
    <w:rsid w:val="00C43D93"/>
    <w:rsid w:val="00C45223"/>
    <w:rsid w:val="00C464CC"/>
    <w:rsid w:val="00C470E0"/>
    <w:rsid w:val="00C4746A"/>
    <w:rsid w:val="00C509B8"/>
    <w:rsid w:val="00C52345"/>
    <w:rsid w:val="00C5329B"/>
    <w:rsid w:val="00C541F6"/>
    <w:rsid w:val="00C548B6"/>
    <w:rsid w:val="00C5698D"/>
    <w:rsid w:val="00C56E03"/>
    <w:rsid w:val="00C5706D"/>
    <w:rsid w:val="00C5738D"/>
    <w:rsid w:val="00C57AE9"/>
    <w:rsid w:val="00C601CC"/>
    <w:rsid w:val="00C605E5"/>
    <w:rsid w:val="00C63230"/>
    <w:rsid w:val="00C6351C"/>
    <w:rsid w:val="00C640EA"/>
    <w:rsid w:val="00C656D8"/>
    <w:rsid w:val="00C65875"/>
    <w:rsid w:val="00C66260"/>
    <w:rsid w:val="00C6677A"/>
    <w:rsid w:val="00C70673"/>
    <w:rsid w:val="00C706F9"/>
    <w:rsid w:val="00C70C7E"/>
    <w:rsid w:val="00C70E2C"/>
    <w:rsid w:val="00C71726"/>
    <w:rsid w:val="00C71F25"/>
    <w:rsid w:val="00C7484E"/>
    <w:rsid w:val="00C75A6E"/>
    <w:rsid w:val="00C75FB1"/>
    <w:rsid w:val="00C7632B"/>
    <w:rsid w:val="00C76CEC"/>
    <w:rsid w:val="00C774CD"/>
    <w:rsid w:val="00C806C6"/>
    <w:rsid w:val="00C81CD5"/>
    <w:rsid w:val="00C825D9"/>
    <w:rsid w:val="00C837E5"/>
    <w:rsid w:val="00C8385D"/>
    <w:rsid w:val="00C869CE"/>
    <w:rsid w:val="00C909C1"/>
    <w:rsid w:val="00C92027"/>
    <w:rsid w:val="00C94C23"/>
    <w:rsid w:val="00C94E7A"/>
    <w:rsid w:val="00C95914"/>
    <w:rsid w:val="00C9619F"/>
    <w:rsid w:val="00C9790E"/>
    <w:rsid w:val="00C97B08"/>
    <w:rsid w:val="00C97D85"/>
    <w:rsid w:val="00CA0DFC"/>
    <w:rsid w:val="00CA1268"/>
    <w:rsid w:val="00CA18C9"/>
    <w:rsid w:val="00CA446C"/>
    <w:rsid w:val="00CA46FC"/>
    <w:rsid w:val="00CA725C"/>
    <w:rsid w:val="00CA74D8"/>
    <w:rsid w:val="00CB0070"/>
    <w:rsid w:val="00CB0102"/>
    <w:rsid w:val="00CB080F"/>
    <w:rsid w:val="00CB58FD"/>
    <w:rsid w:val="00CB5925"/>
    <w:rsid w:val="00CB66BB"/>
    <w:rsid w:val="00CB6767"/>
    <w:rsid w:val="00CB7157"/>
    <w:rsid w:val="00CB777F"/>
    <w:rsid w:val="00CC6077"/>
    <w:rsid w:val="00CD1AF8"/>
    <w:rsid w:val="00CD1B4C"/>
    <w:rsid w:val="00CD1B95"/>
    <w:rsid w:val="00CD505A"/>
    <w:rsid w:val="00CD5E80"/>
    <w:rsid w:val="00CD6154"/>
    <w:rsid w:val="00CD78A7"/>
    <w:rsid w:val="00CE0A0D"/>
    <w:rsid w:val="00CE2EA9"/>
    <w:rsid w:val="00CE370A"/>
    <w:rsid w:val="00CE4056"/>
    <w:rsid w:val="00CE49E6"/>
    <w:rsid w:val="00CE4F70"/>
    <w:rsid w:val="00CF167D"/>
    <w:rsid w:val="00CF21F6"/>
    <w:rsid w:val="00CF2E83"/>
    <w:rsid w:val="00CF382C"/>
    <w:rsid w:val="00CF4EA8"/>
    <w:rsid w:val="00CF65CF"/>
    <w:rsid w:val="00CF69C7"/>
    <w:rsid w:val="00CF75DD"/>
    <w:rsid w:val="00D00337"/>
    <w:rsid w:val="00D01242"/>
    <w:rsid w:val="00D0142C"/>
    <w:rsid w:val="00D017A1"/>
    <w:rsid w:val="00D0299D"/>
    <w:rsid w:val="00D05808"/>
    <w:rsid w:val="00D05E79"/>
    <w:rsid w:val="00D067F2"/>
    <w:rsid w:val="00D12199"/>
    <w:rsid w:val="00D13F96"/>
    <w:rsid w:val="00D14B8E"/>
    <w:rsid w:val="00D157FC"/>
    <w:rsid w:val="00D15E34"/>
    <w:rsid w:val="00D176E3"/>
    <w:rsid w:val="00D20885"/>
    <w:rsid w:val="00D20C25"/>
    <w:rsid w:val="00D20E2A"/>
    <w:rsid w:val="00D21986"/>
    <w:rsid w:val="00D22B69"/>
    <w:rsid w:val="00D23C42"/>
    <w:rsid w:val="00D25F48"/>
    <w:rsid w:val="00D26084"/>
    <w:rsid w:val="00D27A89"/>
    <w:rsid w:val="00D27B39"/>
    <w:rsid w:val="00D31106"/>
    <w:rsid w:val="00D32700"/>
    <w:rsid w:val="00D34AEE"/>
    <w:rsid w:val="00D354F0"/>
    <w:rsid w:val="00D36069"/>
    <w:rsid w:val="00D36EE6"/>
    <w:rsid w:val="00D40796"/>
    <w:rsid w:val="00D40903"/>
    <w:rsid w:val="00D40A4B"/>
    <w:rsid w:val="00D4115F"/>
    <w:rsid w:val="00D441A5"/>
    <w:rsid w:val="00D44AF4"/>
    <w:rsid w:val="00D517D5"/>
    <w:rsid w:val="00D530BF"/>
    <w:rsid w:val="00D547CC"/>
    <w:rsid w:val="00D556A2"/>
    <w:rsid w:val="00D55F02"/>
    <w:rsid w:val="00D6052D"/>
    <w:rsid w:val="00D6111B"/>
    <w:rsid w:val="00D61DCA"/>
    <w:rsid w:val="00D642A1"/>
    <w:rsid w:val="00D643AE"/>
    <w:rsid w:val="00D6462C"/>
    <w:rsid w:val="00D66CF0"/>
    <w:rsid w:val="00D674B3"/>
    <w:rsid w:val="00D70123"/>
    <w:rsid w:val="00D70EF5"/>
    <w:rsid w:val="00D72B01"/>
    <w:rsid w:val="00D72C63"/>
    <w:rsid w:val="00D752F4"/>
    <w:rsid w:val="00D7615F"/>
    <w:rsid w:val="00D77133"/>
    <w:rsid w:val="00D77A30"/>
    <w:rsid w:val="00D81FB1"/>
    <w:rsid w:val="00D82AD9"/>
    <w:rsid w:val="00D861AD"/>
    <w:rsid w:val="00D86626"/>
    <w:rsid w:val="00D907D9"/>
    <w:rsid w:val="00D918D2"/>
    <w:rsid w:val="00D919C3"/>
    <w:rsid w:val="00D9280E"/>
    <w:rsid w:val="00D93AAE"/>
    <w:rsid w:val="00D93BC5"/>
    <w:rsid w:val="00D93DFC"/>
    <w:rsid w:val="00D940A9"/>
    <w:rsid w:val="00D942DD"/>
    <w:rsid w:val="00DA0C72"/>
    <w:rsid w:val="00DA0FCD"/>
    <w:rsid w:val="00DA2420"/>
    <w:rsid w:val="00DA2442"/>
    <w:rsid w:val="00DA5850"/>
    <w:rsid w:val="00DA6BC7"/>
    <w:rsid w:val="00DA79ED"/>
    <w:rsid w:val="00DB0B04"/>
    <w:rsid w:val="00DB0F7D"/>
    <w:rsid w:val="00DB27C1"/>
    <w:rsid w:val="00DB2898"/>
    <w:rsid w:val="00DB3C4A"/>
    <w:rsid w:val="00DB5448"/>
    <w:rsid w:val="00DB5592"/>
    <w:rsid w:val="00DB5BC6"/>
    <w:rsid w:val="00DB5F04"/>
    <w:rsid w:val="00DC09D4"/>
    <w:rsid w:val="00DC11B9"/>
    <w:rsid w:val="00DC2446"/>
    <w:rsid w:val="00DC3B35"/>
    <w:rsid w:val="00DC4277"/>
    <w:rsid w:val="00DC5CB6"/>
    <w:rsid w:val="00DD026C"/>
    <w:rsid w:val="00DD02D6"/>
    <w:rsid w:val="00DD0803"/>
    <w:rsid w:val="00DD1D9B"/>
    <w:rsid w:val="00DD29FC"/>
    <w:rsid w:val="00DD4076"/>
    <w:rsid w:val="00DE2312"/>
    <w:rsid w:val="00DE2C08"/>
    <w:rsid w:val="00DE6997"/>
    <w:rsid w:val="00DE746C"/>
    <w:rsid w:val="00DE7C7A"/>
    <w:rsid w:val="00DF039B"/>
    <w:rsid w:val="00DF67FE"/>
    <w:rsid w:val="00DF6DFE"/>
    <w:rsid w:val="00DF6E18"/>
    <w:rsid w:val="00DF703C"/>
    <w:rsid w:val="00DF72CF"/>
    <w:rsid w:val="00E00513"/>
    <w:rsid w:val="00E00DCF"/>
    <w:rsid w:val="00E034F7"/>
    <w:rsid w:val="00E0413E"/>
    <w:rsid w:val="00E06AA3"/>
    <w:rsid w:val="00E0783A"/>
    <w:rsid w:val="00E10352"/>
    <w:rsid w:val="00E105B8"/>
    <w:rsid w:val="00E10CE0"/>
    <w:rsid w:val="00E10E35"/>
    <w:rsid w:val="00E12D13"/>
    <w:rsid w:val="00E12E96"/>
    <w:rsid w:val="00E139F0"/>
    <w:rsid w:val="00E140A3"/>
    <w:rsid w:val="00E20134"/>
    <w:rsid w:val="00E2058C"/>
    <w:rsid w:val="00E2156C"/>
    <w:rsid w:val="00E223C9"/>
    <w:rsid w:val="00E228EE"/>
    <w:rsid w:val="00E2476F"/>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72"/>
    <w:rsid w:val="00E401E9"/>
    <w:rsid w:val="00E40772"/>
    <w:rsid w:val="00E42CC1"/>
    <w:rsid w:val="00E5003E"/>
    <w:rsid w:val="00E5088E"/>
    <w:rsid w:val="00E518A3"/>
    <w:rsid w:val="00E52801"/>
    <w:rsid w:val="00E55C6F"/>
    <w:rsid w:val="00E6178A"/>
    <w:rsid w:val="00E62053"/>
    <w:rsid w:val="00E632BD"/>
    <w:rsid w:val="00E634A5"/>
    <w:rsid w:val="00E66025"/>
    <w:rsid w:val="00E66E01"/>
    <w:rsid w:val="00E7172A"/>
    <w:rsid w:val="00E7189F"/>
    <w:rsid w:val="00E73293"/>
    <w:rsid w:val="00E73620"/>
    <w:rsid w:val="00E74E32"/>
    <w:rsid w:val="00E754DE"/>
    <w:rsid w:val="00E7682F"/>
    <w:rsid w:val="00E76BC9"/>
    <w:rsid w:val="00E807E8"/>
    <w:rsid w:val="00E80A8F"/>
    <w:rsid w:val="00E80B9E"/>
    <w:rsid w:val="00E827B0"/>
    <w:rsid w:val="00E83346"/>
    <w:rsid w:val="00E83689"/>
    <w:rsid w:val="00E84A05"/>
    <w:rsid w:val="00E850BD"/>
    <w:rsid w:val="00E86017"/>
    <w:rsid w:val="00E86082"/>
    <w:rsid w:val="00E87B8A"/>
    <w:rsid w:val="00E90CB8"/>
    <w:rsid w:val="00E9127A"/>
    <w:rsid w:val="00E91379"/>
    <w:rsid w:val="00E92CC0"/>
    <w:rsid w:val="00E92E43"/>
    <w:rsid w:val="00E95123"/>
    <w:rsid w:val="00E95693"/>
    <w:rsid w:val="00E95878"/>
    <w:rsid w:val="00E96DD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6A1B"/>
    <w:rsid w:val="00EB771B"/>
    <w:rsid w:val="00EB7E96"/>
    <w:rsid w:val="00EC013A"/>
    <w:rsid w:val="00EC01FF"/>
    <w:rsid w:val="00EC0C9D"/>
    <w:rsid w:val="00EC0CED"/>
    <w:rsid w:val="00EC1426"/>
    <w:rsid w:val="00EC23DA"/>
    <w:rsid w:val="00EC2CAE"/>
    <w:rsid w:val="00EC2E4B"/>
    <w:rsid w:val="00EC45FA"/>
    <w:rsid w:val="00EC493B"/>
    <w:rsid w:val="00EC5DD1"/>
    <w:rsid w:val="00ED10A4"/>
    <w:rsid w:val="00ED2D44"/>
    <w:rsid w:val="00ED327A"/>
    <w:rsid w:val="00ED3D7D"/>
    <w:rsid w:val="00ED453F"/>
    <w:rsid w:val="00ED4E3B"/>
    <w:rsid w:val="00ED643F"/>
    <w:rsid w:val="00ED6B45"/>
    <w:rsid w:val="00EE2725"/>
    <w:rsid w:val="00EE2DE2"/>
    <w:rsid w:val="00EE315A"/>
    <w:rsid w:val="00EE3389"/>
    <w:rsid w:val="00EE5177"/>
    <w:rsid w:val="00EE6139"/>
    <w:rsid w:val="00EE6266"/>
    <w:rsid w:val="00EE73FB"/>
    <w:rsid w:val="00EF08F6"/>
    <w:rsid w:val="00EF20BF"/>
    <w:rsid w:val="00EF239C"/>
    <w:rsid w:val="00EF5E1A"/>
    <w:rsid w:val="00F0002B"/>
    <w:rsid w:val="00F01E99"/>
    <w:rsid w:val="00F028B2"/>
    <w:rsid w:val="00F03E21"/>
    <w:rsid w:val="00F105BE"/>
    <w:rsid w:val="00F1089D"/>
    <w:rsid w:val="00F1545A"/>
    <w:rsid w:val="00F155C5"/>
    <w:rsid w:val="00F15851"/>
    <w:rsid w:val="00F15CC8"/>
    <w:rsid w:val="00F22C47"/>
    <w:rsid w:val="00F230E3"/>
    <w:rsid w:val="00F233F0"/>
    <w:rsid w:val="00F2405D"/>
    <w:rsid w:val="00F2463D"/>
    <w:rsid w:val="00F250A6"/>
    <w:rsid w:val="00F26C53"/>
    <w:rsid w:val="00F26F75"/>
    <w:rsid w:val="00F305F9"/>
    <w:rsid w:val="00F30C15"/>
    <w:rsid w:val="00F31955"/>
    <w:rsid w:val="00F3307F"/>
    <w:rsid w:val="00F336B2"/>
    <w:rsid w:val="00F34477"/>
    <w:rsid w:val="00F34F76"/>
    <w:rsid w:val="00F3670A"/>
    <w:rsid w:val="00F3750B"/>
    <w:rsid w:val="00F401C7"/>
    <w:rsid w:val="00F40F76"/>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745D"/>
    <w:rsid w:val="00F57B3C"/>
    <w:rsid w:val="00F62444"/>
    <w:rsid w:val="00F62D00"/>
    <w:rsid w:val="00F63596"/>
    <w:rsid w:val="00F66AB3"/>
    <w:rsid w:val="00F674C0"/>
    <w:rsid w:val="00F67ECC"/>
    <w:rsid w:val="00F7492E"/>
    <w:rsid w:val="00F75730"/>
    <w:rsid w:val="00F761D5"/>
    <w:rsid w:val="00F77080"/>
    <w:rsid w:val="00F77101"/>
    <w:rsid w:val="00F80262"/>
    <w:rsid w:val="00F80DD9"/>
    <w:rsid w:val="00F81809"/>
    <w:rsid w:val="00F818FB"/>
    <w:rsid w:val="00F822BF"/>
    <w:rsid w:val="00F82E49"/>
    <w:rsid w:val="00F83203"/>
    <w:rsid w:val="00F83D88"/>
    <w:rsid w:val="00F8654B"/>
    <w:rsid w:val="00F86793"/>
    <w:rsid w:val="00F87063"/>
    <w:rsid w:val="00F90331"/>
    <w:rsid w:val="00F91688"/>
    <w:rsid w:val="00F924B8"/>
    <w:rsid w:val="00F937D3"/>
    <w:rsid w:val="00F949B8"/>
    <w:rsid w:val="00F9528A"/>
    <w:rsid w:val="00F95866"/>
    <w:rsid w:val="00F95D86"/>
    <w:rsid w:val="00F97389"/>
    <w:rsid w:val="00FA0A29"/>
    <w:rsid w:val="00FA0F55"/>
    <w:rsid w:val="00FA138A"/>
    <w:rsid w:val="00FA14EA"/>
    <w:rsid w:val="00FA26A6"/>
    <w:rsid w:val="00FA3C3D"/>
    <w:rsid w:val="00FA4761"/>
    <w:rsid w:val="00FA7DA7"/>
    <w:rsid w:val="00FB3A27"/>
    <w:rsid w:val="00FB47E1"/>
    <w:rsid w:val="00FB4A8B"/>
    <w:rsid w:val="00FB6D70"/>
    <w:rsid w:val="00FB7E7D"/>
    <w:rsid w:val="00FC03B5"/>
    <w:rsid w:val="00FC19B1"/>
    <w:rsid w:val="00FC2956"/>
    <w:rsid w:val="00FC4105"/>
    <w:rsid w:val="00FC5864"/>
    <w:rsid w:val="00FC5F03"/>
    <w:rsid w:val="00FC6FB3"/>
    <w:rsid w:val="00FC7A11"/>
    <w:rsid w:val="00FD0069"/>
    <w:rsid w:val="00FD065B"/>
    <w:rsid w:val="00FD0FCE"/>
    <w:rsid w:val="00FD152E"/>
    <w:rsid w:val="00FD1DC8"/>
    <w:rsid w:val="00FD222A"/>
    <w:rsid w:val="00FD4F15"/>
    <w:rsid w:val="00FD51D0"/>
    <w:rsid w:val="00FD6F90"/>
    <w:rsid w:val="00FE022E"/>
    <w:rsid w:val="00FE1190"/>
    <w:rsid w:val="00FE1893"/>
    <w:rsid w:val="00FE3225"/>
    <w:rsid w:val="00FE3FA2"/>
    <w:rsid w:val="00FE419B"/>
    <w:rsid w:val="00FE79EB"/>
    <w:rsid w:val="00FF02CC"/>
    <w:rsid w:val="00FF0FE5"/>
    <w:rsid w:val="00FF19A7"/>
    <w:rsid w:val="00FF1D50"/>
    <w:rsid w:val="00FF219C"/>
    <w:rsid w:val="00FF260D"/>
    <w:rsid w:val="00FF39F3"/>
    <w:rsid w:val="00FF3AF1"/>
    <w:rsid w:val="00FF3FD4"/>
    <w:rsid w:val="00FF41E9"/>
    <w:rsid w:val="00FF5342"/>
    <w:rsid w:val="00FF6C98"/>
    <w:rsid w:val="023070B4"/>
    <w:rsid w:val="078451F1"/>
    <w:rsid w:val="08C230B8"/>
    <w:rsid w:val="0E576F53"/>
    <w:rsid w:val="125B2CFC"/>
    <w:rsid w:val="13405E2E"/>
    <w:rsid w:val="2F605368"/>
    <w:rsid w:val="31FD4B93"/>
    <w:rsid w:val="3FCA68B7"/>
    <w:rsid w:val="45196B36"/>
    <w:rsid w:val="4ABD599D"/>
    <w:rsid w:val="4DE429AA"/>
    <w:rsid w:val="50746AF7"/>
    <w:rsid w:val="57CC0065"/>
    <w:rsid w:val="5F550FC4"/>
    <w:rsid w:val="636A2F64"/>
    <w:rsid w:val="67913957"/>
    <w:rsid w:val="68864A1A"/>
    <w:rsid w:val="6C8872C2"/>
    <w:rsid w:val="73DB594D"/>
    <w:rsid w:val="7C21103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basedOn w:val="DefaultParagraphFont"/>
    <w:link w:val="BodyText"/>
    <w:uiPriority w:val="99"/>
    <w:qFormat/>
    <w:rPr>
      <w:rFonts w:asciiTheme="minorHAnsi" w:eastAsiaTheme="minorEastAsia" w:hAnsiTheme="minorHAnsi" w:cstheme="minorBidi"/>
      <w:kern w:val="2"/>
      <w:sz w:val="21"/>
      <w:szCs w:val="22"/>
      <w:lang w:eastAsia="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paragraph" w:styleId="Caption">
    <w:name w:val="caption"/>
    <w:basedOn w:val="Normal"/>
    <w:next w:val="Normal"/>
    <w:uiPriority w:val="35"/>
    <w:unhideWhenUsed/>
    <w:qFormat/>
    <w:rPr>
      <w:rFonts w:eastAsia="黑体" w:asciiTheme="majorHAnsi" w:hAnsiTheme="majorHAnsi" w:cstheme="majorBidi"/>
      <w:sz w:val="20"/>
    </w:rPr>
  </w:style>
  <w:style w:type="table" w:customStyle="1" w:styleId="13">
    <w:name w:val="网格型浅色1"/>
    <w:basedOn w:val="TableNormal"/>
    <w:uiPriority w:val="40"/>
    <w:qFormat/>
    <w:rPr>
      <w:rFonts w:asciiTheme="minorHAnsi" w:eastAsiaTheme="minorEastAsia" w:hAnsiTheme="minorHAnsi" w:cstheme="minorBidi"/>
      <w:lang w:eastAsia="zh-CN"/>
    </w:rPr>
    <w:tblP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style>
  <w:style w:type="paragraph" w:styleId="BodyTextFirstIndent">
    <w:name w:val="Body Text First Indent"/>
    <w:basedOn w:val="BodyText"/>
    <w:link w:val="a3"/>
    <w:unhideWhenUsed/>
    <w:qFormat/>
    <w:pPr>
      <w:widowControl w:val="0"/>
      <w:ind w:firstLine="420" w:firstLineChars="100"/>
      <w:jc w:val="both"/>
    </w:pPr>
    <w:rPr>
      <w:rFonts w:ascii="Times New Roman" w:eastAsia="宋体" w:hAnsi="Times New Roman"/>
      <w:color w:val="auto"/>
      <w:kern w:val="2"/>
      <w:szCs w:val="24"/>
      <w:lang w:val="en-US"/>
    </w:rPr>
  </w:style>
  <w:style w:type="character" w:customStyle="1" w:styleId="a2">
    <w:name w:val="正文文本 字符"/>
    <w:basedOn w:val="DefaultParagraphFont"/>
    <w:link w:val="Footer"/>
    <w:qFormat/>
    <w:rPr>
      <w:rFonts w:asciiTheme="minorHAnsi" w:eastAsiaTheme="minorEastAsia" w:hAnsiTheme="minorHAnsi" w:cstheme="minorBidi"/>
      <w:kern w:val="2"/>
      <w:sz w:val="21"/>
      <w:szCs w:val="22"/>
      <w:lang w:eastAsia="zh-CN"/>
    </w:rPr>
  </w:style>
  <w:style w:type="character" w:customStyle="1" w:styleId="a3">
    <w:name w:val="正文文本首行缩进 字符"/>
    <w:basedOn w:val="a2"/>
    <w:link w:val="BodyTextFirstIndent"/>
    <w:qFormat/>
    <w:rPr>
      <w:rFonts w:ascii="Times New Roman" w:eastAsia="宋体" w:hAnsi="Times New Roman" w:cs="Times New Roman"/>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5.xml" /><Relationship Id="rId13" Type="http://schemas.openxmlformats.org/officeDocument/2006/relationships/header" Target="header5.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header" Target="header2.xml" /><Relationship Id="rId9" Type="http://schemas.openxmlformats.org/officeDocument/2006/relationships/footer" Target="foot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157263360</TotalTime>
  <Pages>38</Pages>
  <Words>26681</Words>
  <Characters>28214</Characters>
  <Application>Microsoft Office Word</Application>
  <DocSecurity>0</DocSecurity>
  <Lines>216</Lines>
  <Paragraphs>61</Paragraphs>
  <ScaleCrop>false</ScaleCrop>
  <Company>中国气象局</Company>
  <LinksUpToDate>false</LinksUpToDate>
  <CharactersWithSpaces>28397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2023-10-26T02:24:00Z</dcterms:created>
  <dcterms:modified xsi:type="dcterms:W3CDTF">2025-08-12T01:56:21Z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CD8C96B3C27544FE9237DF28949E6E50_13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