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气象信息综合分析处理系统强对流版-强对流天气预报分析制作系统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ZQCD-25456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气象信息综合分析处理系统强对流版-强对流天气预报分析制作系统</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ZQCD-25456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自合同签订后24个月内完成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2025年12月08日 00:00:00</w:t>
      </w:r>
      <w:bookmarkEnd w:id="27"/>
      <w:r>
        <w:rPr>
          <w:rFonts w:ascii="宋体" w:hint="eastAsia"/>
          <w:szCs w:val="21"/>
          <w:highlight w:val="none"/>
        </w:rPr>
        <w:t>至</w:t>
      </w:r>
      <w:bookmarkStart w:id="28" w:name="项目公告_signUpLastTime"/>
      <w:r>
        <w:rPr>
          <w:rFonts w:ascii="宋体" w:hint="eastAsia"/>
          <w:szCs w:val="21"/>
          <w:highlight w:val="none"/>
        </w:rPr>
        <w:t>2025年12月15日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2025年12月30日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刘盼</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010-58993374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（1）标的：气象信息综合分析处理系统强对流版-强对流天气预报分析制作系统，属于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1,005.450000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1,005.450000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20"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4"/>
        <w:gridCol w:w="285"/>
        <w:gridCol w:w="897"/>
        <w:gridCol w:w="285"/>
        <w:gridCol w:w="68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ISO9000系列或GJB9001B质量管理体系认证；</w:t>
              <w:cr/>
              <w:t>2、投标人具有ISO20000信息技术服务管理体系认证；</w:t>
              <w:cr/>
              <w:t>3、投标人具有ISO27001信息安全管理体系认证；</w:t>
              <w:cr/>
              <w:t>以上每有一个证书得2分，满分6分。否则不得分。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(14)</w:t>
            </w:r>
          </w:p>
        </w:tc>
        <w:tc>
          <w:tcPr/>
          <w:p>
            <w:r>
              <w:t>评审标准：</w:t>
            </w:r>
          </w:p>
          <w:p>
            <w:r>
              <w:t>投标人应组成本项目开发服务团队，团队组织结构清晰，应设服务团队负责人（项目经理）、技术负责人，人员专业背景齐全。具体如下：</w:t>
              <w:cr/>
              <w:t>1、团队人数至少8人，其中驻场人员至少5人。完全满足得2分，否则不得分。</w:t>
              <w:cr/>
              <w:t>2、团队负责人（项目经理）具有大气科学/计算机/软件工程相关专业背景，具有PMP证书（项目管理专业人员资格认证）或信息系统项目管理师（高级）证书，且具有同类项目工作经验5年以上。完全满足得4分，否则不得分；</w:t>
              <w:cr/>
              <w:t>3、技术负责人具有大气科学/计算机/软件工程相关专业背景，且具有3年以上同类项目经验。完全满足得4分，否则不得分。</w:t>
              <w:cr/>
              <w:t>4、团队其他成员中至少6人具有大气科学/计算机/软件工程相关专业背景，且具有1年以上同类项目经验。完全满足得4分。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10</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四档：系统整体架构设计合理可行，符合CME要求，技术先进，功能完整，针对性强。</w:t>
            </w:r>
          </w:p>
          <w:p/>
        </w:tc>
      </w:tr>
      <w:tr>
        <w:tblPrEx>
          <w:tblW w:w="5000" w:type="pct"/>
          <w:tblCellMar>
            <w:left w:w="108" w:type="dxa"/>
            <w:right w:w="108" w:type="dxa"/>
          </w:tblCellMar>
        </w:tblPrEx>
        <w:tc>
          <w:tcPr/>
          <w:p>
            <w:r>
              <w:t>11</w:t>
            </w:r>
          </w:p>
        </w:tc>
        <w:tc>
          <w:tcPr>
            <w:vMerge/>
          </w:tcPr>
          <w:p>
            <w:r>
              <w:t>技术部分</w:t>
            </w:r>
          </w:p>
        </w:tc>
        <w:tc>
          <w:tcPr/>
          <w:p>
            <w:r>
              <w:t>模块设计技术方案（主观分）</w:t>
            </w:r>
          </w:p>
        </w:tc>
        <w:tc>
          <w:tcPr/>
          <w:p>
            <w:r>
              <w:t>区间打分</w:t>
            </w:r>
            <w:r>
              <w:t>(28)</w:t>
            </w:r>
          </w:p>
        </w:tc>
        <w:tc>
          <w:tcPr/>
          <w:p>
            <w:r>
              <w:t>评审标准：</w:t>
            </w:r>
          </w:p>
          <w:p>
            <w:r>
              <w:t>提交如下子系统技术方案：</w:t>
              <w:cr/>
              <w:t>1</w:t>
              <w:tab/>
              <w:t>强对流预报预警前端显示引擎子系统</w:t>
              <w:cr/>
              <w:t>2</w:t>
              <w:tab/>
              <w:t>强对流预报服务业务专题数据集成子系统</w:t>
              <w:cr/>
              <w:t>3</w:t>
              <w:tab/>
              <w:t>短临预报算法集成管理子系统</w:t>
              <w:cr/>
              <w:t>4</w:t>
              <w:tab/>
              <w:t>短临监测预报相关组件管理子系统</w:t>
              <w:cr/>
              <w:t>5</w:t>
              <w:tab/>
              <w:t>国省短临预警协同业务子系统</w:t>
              <w:cr/>
              <w:t>6</w:t>
              <w:tab/>
              <w:t>预警提示阈值管理子系统</w:t>
              <w:cr/>
              <w:t>7</w:t>
              <w:tab/>
              <w:t>强对流天气符号交互组件子系统</w:t>
              <w:cr/>
              <w:t>8</w:t>
              <w:tab/>
              <w:t>数据图层管理子系统</w:t>
              <w:cr/>
              <w:t>9</w:t>
              <w:tab/>
              <w:t>多屏对比分析子系统</w:t>
              <w:cr/>
              <w:t>10</w:t>
              <w:tab/>
              <w:t>时间轴联动子系统</w:t>
              <w:cr/>
              <w:t>11</w:t>
              <w:tab/>
              <w:t>三维可视化处理子系统</w:t>
              <w:cr/>
              <w:t>12</w:t>
              <w:tab/>
              <w:t>短临相关格点穿透数据服务子系统</w:t>
              <w:cr/>
              <w:t>13</w:t>
              <w:tab/>
              <w:t>闪电定位、风廓线数据应用子系统</w:t>
              <w:cr/>
              <w:t>14</w:t>
              <w:tab/>
              <w:t>CME智能体子系统</w:t>
              <w:cr/>
              <w:t>以上每个子系统</w:t>
              <w:cr/>
              <w:t>一档0分</w:t>
              <w:cr/>
              <w:t>二档0.5分</w:t>
              <w:cr/>
              <w:t>三档1分</w:t>
              <w:cr/>
              <w:t>四档2分</w:t>
              <w:cr/>
              <w:t>以上共计14子系统，满分28分。</w:t>
            </w:r>
          </w:p>
          <w:p>
            <w:r>
              <w:t>评审标准说明：</w:t>
            </w:r>
          </w:p>
          <w:p>
            <w:r>
              <w:t>按子系统提出技术方案，每个子系统评分标准如下：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明确提出基于CME构建数据、算法、组件等功能模块的实现流程、关建技术的分析较清晰，解决措施有一定可行性针对性，基本满足采购需求。</w:t>
              <w:cr/>
              <w:t>四档：技术方案内容完整、详实，基于CME实现各功能模块的流程描述清晰,覆盖项目的功能和非功能需求，逻辑性强，图文规范；技术先进，针对关建技术的分析详细，解决措施切实可行，针对性强，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20" w:after="120"/>
        <w:jc w:val="center"/>
        <w:rPr>
          <w:rFonts w:asciiTheme="minorEastAsia" w:eastAsiaTheme="minorEastAsia" w:hAnsiTheme="minorEastAsia" w:cstheme="minorEastAsia" w:hint="eastAsia"/>
          <w:b/>
          <w:sz w:val="30"/>
          <w:szCs w:val="30"/>
        </w:rPr>
      </w:pPr>
      <w:r>
        <w:rPr>
          <w:bCs/>
          <w:szCs w:val="21"/>
          <w:highlight w:val="none"/>
        </w:rPr>
        <w:br w:type="page"/>
      </w:r>
      <w:bookmarkStart w:id="60" w:name="插入_采购需求书"/>
      <w:bookmarkStart w:id="61" w:name="OLE_LINK1"/>
      <w:r>
        <w:rPr>
          <w:rFonts w:asciiTheme="minorEastAsia" w:eastAsiaTheme="minorEastAsia" w:hAnsiTheme="minorEastAsia" w:cstheme="minorEastAsia" w:hint="eastAsia"/>
          <w:b/>
          <w:sz w:val="30"/>
          <w:szCs w:val="30"/>
        </w:rPr>
        <w:t>第七章  采购需求</w:t>
      </w:r>
    </w:p>
    <w:p>
      <w:pPr>
        <w:spacing w:before="120" w:after="120"/>
        <w:jc w:val="center"/>
        <w:rPr>
          <w:rFonts w:asciiTheme="minorEastAsia" w:eastAsiaTheme="minorEastAsia" w:hAnsiTheme="minorEastAsia" w:cstheme="minorEastAsia" w:hint="eastAsia"/>
          <w:b/>
          <w:sz w:val="30"/>
          <w:szCs w:val="30"/>
        </w:rPr>
      </w:pPr>
    </w:p>
    <w:p>
      <w:pPr>
        <w:spacing w:before="120" w:after="120"/>
        <w:jc w:val="center"/>
        <w:rPr>
          <w:rFonts w:asciiTheme="minorEastAsia" w:eastAsiaTheme="minorEastAsia" w:hAnsiTheme="minorEastAsia" w:cstheme="minorEastAsia" w:hint="eastAsia"/>
          <w:b/>
          <w:sz w:val="30"/>
          <w:szCs w:val="30"/>
        </w:rPr>
      </w:pPr>
    </w:p>
    <w:p>
      <w:pPr>
        <w:spacing w:before="120" w:after="120"/>
        <w:jc w:val="center"/>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b/>
          <w:sz w:val="30"/>
          <w:szCs w:val="30"/>
        </w:rPr>
        <w:t>气象信息综合分析处理系统强对流版-强对流天气预报分析制作系统</w:t>
      </w:r>
      <w:bookmarkEnd w:id="61"/>
    </w:p>
    <w:p>
      <w:pPr>
        <w:spacing w:before="120" w:after="120"/>
        <w:jc w:val="center"/>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b/>
          <w:sz w:val="30"/>
          <w:szCs w:val="30"/>
        </w:rPr>
        <w:t>采购需求书</w:t>
      </w:r>
    </w:p>
    <w:p>
      <w:pPr>
        <w:spacing w:before="120" w:after="120"/>
      </w:pPr>
    </w:p>
    <w:p>
      <w:pPr>
        <w:spacing w:before="120" w:after="120"/>
      </w:pPr>
    </w:p>
    <w:p>
      <w:pPr>
        <w:spacing w:before="120" w:after="120"/>
      </w:pPr>
    </w:p>
    <w:p>
      <w:pPr>
        <w:spacing w:before="120" w:after="120"/>
      </w:pPr>
    </w:p>
    <w:p>
      <w:pPr>
        <w:spacing w:before="120" w:after="120"/>
      </w:pPr>
    </w:p>
    <w:p>
      <w:pPr>
        <w:spacing w:before="120" w:after="120"/>
      </w:pPr>
    </w:p>
    <w:p>
      <w:pPr>
        <w:spacing w:before="120" w:after="120"/>
      </w:pPr>
    </w:p>
    <w:p>
      <w:pPr>
        <w:spacing w:before="120" w:after="120"/>
      </w:pPr>
    </w:p>
    <w:p>
      <w:pPr>
        <w:spacing w:before="120" w:after="120"/>
        <w:jc w:val="center"/>
        <w:rPr>
          <w:b/>
          <w:sz w:val="32"/>
          <w:szCs w:val="32"/>
        </w:rPr>
      </w:pPr>
      <w:r>
        <w:rPr>
          <w:rFonts w:hint="eastAsia"/>
          <w:b/>
          <w:sz w:val="32"/>
          <w:szCs w:val="32"/>
        </w:rPr>
        <w:t>国家气象中心</w:t>
      </w:r>
    </w:p>
    <w:p>
      <w:pPr>
        <w:spacing w:before="120" w:after="120"/>
        <w:jc w:val="center"/>
      </w:pPr>
      <w:r>
        <w:rPr>
          <w:rFonts w:ascii="宋体" w:cs="宋体" w:hint="eastAsia"/>
          <w:b/>
          <w:kern w:val="0"/>
          <w:sz w:val="32"/>
          <w:szCs w:val="32"/>
        </w:rPr>
        <w:t>二○二五年十月</w:t>
      </w:r>
    </w:p>
    <w:p>
      <w:pPr>
        <w:spacing w:before="120" w:after="120" w:line="288" w:lineRule="auto"/>
        <w:jc w:val="center"/>
        <w:rPr>
          <w:b/>
          <w:sz w:val="32"/>
          <w:szCs w:val="32"/>
        </w:rPr>
        <w:sectPr>
          <w:headerReference w:type="even" r:id="rId6"/>
          <w:footerReference w:type="even" r:id="rId7"/>
          <w:footerReference w:type="default" r:id="rId8"/>
          <w:headerReference w:type="first" r:id="rId9"/>
          <w:footerReference w:type="first" r:id="rId10"/>
          <w:type w:val="continuous"/>
          <w:pgSz w:w="11906" w:h="16838"/>
          <w:pgMar w:top="1440" w:right="1800" w:bottom="1440" w:left="1800" w:header="851" w:footer="992" w:gutter="0"/>
          <w:pgNumType w:fmt="upperRoman" w:start="1"/>
          <w:cols w:num="1" w:space="425"/>
          <w:titlePg/>
          <w:docGrid w:linePitch="312" w:charSpace="0"/>
        </w:sectPr>
      </w:pPr>
    </w:p>
    <w:p>
      <w:pPr>
        <w:spacing w:before="163" w:after="163"/>
        <w:jc w:val="center"/>
        <w:rPr>
          <w:b/>
          <w:sz w:val="30"/>
          <w:szCs w:val="30"/>
        </w:rPr>
      </w:pPr>
      <w:r>
        <w:rPr>
          <w:rFonts w:hint="eastAsia"/>
          <w:b/>
          <w:sz w:val="30"/>
          <w:szCs w:val="30"/>
        </w:rPr>
        <w:t>目    录</w:t>
      </w:r>
    </w:p>
    <w:p>
      <w:pPr>
        <w:pStyle w:val="TOC1"/>
        <w:tabs>
          <w:tab w:val="right" w:leader="dot" w:pos="8306"/>
        </w:tabs>
        <w:spacing w:before="163" w:after="163"/>
      </w:pPr>
      <w:r>
        <w:fldChar w:fldCharType="begin"/>
      </w:r>
      <w:r>
        <w:instrText xml:space="preserve"> TOC \o "1-3" \h \z \u </w:instrText>
      </w:r>
      <w:r>
        <w:fldChar w:fldCharType="separate"/>
      </w:r>
      <w:hyperlink w:anchor="_Toc6510" w:history="1">
        <w:r>
          <w:rPr>
            <w:rFonts w:hint="eastAsia"/>
          </w:rPr>
          <w:t>1 项目概述</w:t>
        </w:r>
        <w:r>
          <w:tab/>
        </w:r>
        <w:r>
          <w:fldChar w:fldCharType="begin"/>
        </w:r>
        <w:r>
          <w:instrText xml:space="preserve"> PAGEREF _Toc6510 \h </w:instrText>
        </w:r>
        <w:r>
          <w:fldChar w:fldCharType="separate"/>
        </w:r>
        <w:r>
          <w:t>1</w:t>
        </w:r>
        <w:r>
          <w:fldChar w:fldCharType="end"/>
        </w:r>
      </w:hyperlink>
    </w:p>
    <w:p>
      <w:pPr>
        <w:pStyle w:val="TOC2"/>
        <w:tabs>
          <w:tab w:val="right" w:leader="dot" w:pos="8306"/>
        </w:tabs>
        <w:spacing w:before="163" w:after="163"/>
      </w:pPr>
      <w:hyperlink w:anchor="_Toc19117" w:history="1">
        <w:r>
          <w:rPr>
            <w:rFonts w:hint="eastAsia"/>
          </w:rPr>
          <w:t>1.1 项目名称</w:t>
        </w:r>
        <w:r>
          <w:tab/>
        </w:r>
        <w:r>
          <w:fldChar w:fldCharType="begin"/>
        </w:r>
        <w:r>
          <w:instrText xml:space="preserve"> PAGEREF _Toc19117 \h </w:instrText>
        </w:r>
        <w:r>
          <w:fldChar w:fldCharType="separate"/>
        </w:r>
        <w:r>
          <w:t>1</w:t>
        </w:r>
        <w:r>
          <w:fldChar w:fldCharType="end"/>
        </w:r>
      </w:hyperlink>
    </w:p>
    <w:p>
      <w:pPr>
        <w:pStyle w:val="TOC2"/>
        <w:tabs>
          <w:tab w:val="right" w:leader="dot" w:pos="8306"/>
        </w:tabs>
        <w:spacing w:before="163" w:after="163"/>
      </w:pPr>
      <w:hyperlink w:anchor="_Toc17582" w:history="1">
        <w:r>
          <w:rPr>
            <w:rFonts w:hint="eastAsia"/>
          </w:rPr>
          <w:t>1.2 实施地点</w:t>
        </w:r>
        <w:r>
          <w:tab/>
        </w:r>
        <w:r>
          <w:fldChar w:fldCharType="begin"/>
        </w:r>
        <w:r>
          <w:instrText xml:space="preserve"> PAGEREF _Toc17582 \h </w:instrText>
        </w:r>
        <w:r>
          <w:fldChar w:fldCharType="separate"/>
        </w:r>
        <w:r>
          <w:t>1</w:t>
        </w:r>
        <w:r>
          <w:fldChar w:fldCharType="end"/>
        </w:r>
      </w:hyperlink>
    </w:p>
    <w:p>
      <w:pPr>
        <w:pStyle w:val="TOC2"/>
        <w:tabs>
          <w:tab w:val="right" w:leader="dot" w:pos="8306"/>
        </w:tabs>
        <w:spacing w:before="163" w:after="163"/>
      </w:pPr>
      <w:hyperlink w:anchor="_Toc11614" w:history="1">
        <w:r>
          <w:rPr>
            <w:rFonts w:hint="eastAsia"/>
          </w:rPr>
          <w:t>1.3 建设内容</w:t>
        </w:r>
        <w:r>
          <w:tab/>
        </w:r>
        <w:r>
          <w:fldChar w:fldCharType="begin"/>
        </w:r>
        <w:r>
          <w:instrText xml:space="preserve"> PAGEREF _Toc11614 \h </w:instrText>
        </w:r>
        <w:r>
          <w:fldChar w:fldCharType="separate"/>
        </w:r>
        <w:r>
          <w:t>1</w:t>
        </w:r>
        <w:r>
          <w:fldChar w:fldCharType="end"/>
        </w:r>
      </w:hyperlink>
    </w:p>
    <w:p>
      <w:pPr>
        <w:pStyle w:val="TOC2"/>
        <w:tabs>
          <w:tab w:val="right" w:leader="dot" w:pos="8306"/>
        </w:tabs>
        <w:spacing w:before="163" w:after="163"/>
      </w:pPr>
      <w:hyperlink w:anchor="_Toc12134" w:history="1">
        <w:r>
          <w:rPr>
            <w:rFonts w:hint="eastAsia"/>
          </w:rPr>
          <w:t>1.4 相关标准</w:t>
        </w:r>
        <w:r>
          <w:tab/>
        </w:r>
        <w:r>
          <w:fldChar w:fldCharType="begin"/>
        </w:r>
        <w:r>
          <w:instrText xml:space="preserve"> PAGEREF _Toc12134 \h </w:instrText>
        </w:r>
        <w:r>
          <w:fldChar w:fldCharType="separate"/>
        </w:r>
        <w:r>
          <w:t>1</w:t>
        </w:r>
        <w:r>
          <w:fldChar w:fldCharType="end"/>
        </w:r>
      </w:hyperlink>
    </w:p>
    <w:p>
      <w:pPr>
        <w:pStyle w:val="TOC1"/>
        <w:tabs>
          <w:tab w:val="right" w:leader="dot" w:pos="8306"/>
        </w:tabs>
        <w:spacing w:before="163" w:after="163"/>
      </w:pPr>
      <w:hyperlink w:anchor="_Toc29812" w:history="1">
        <w:r>
          <w:rPr>
            <w:rFonts w:hint="eastAsia"/>
          </w:rPr>
          <w:t>2 技术规格要求</w:t>
        </w:r>
        <w:r>
          <w:tab/>
        </w:r>
        <w:r>
          <w:fldChar w:fldCharType="begin"/>
        </w:r>
        <w:r>
          <w:instrText xml:space="preserve"> PAGEREF _Toc29812 \h </w:instrText>
        </w:r>
        <w:r>
          <w:fldChar w:fldCharType="separate"/>
        </w:r>
        <w:r>
          <w:t>1</w:t>
        </w:r>
        <w:r>
          <w:fldChar w:fldCharType="end"/>
        </w:r>
      </w:hyperlink>
    </w:p>
    <w:p>
      <w:pPr>
        <w:pStyle w:val="TOC2"/>
        <w:tabs>
          <w:tab w:val="right" w:leader="dot" w:pos="8306"/>
        </w:tabs>
        <w:spacing w:before="163" w:after="163"/>
      </w:pPr>
      <w:hyperlink w:anchor="_Toc1418" w:history="1">
        <w:r>
          <w:rPr>
            <w:rFonts w:hint="eastAsia"/>
          </w:rPr>
          <w:t>2.1 总体功能需求</w:t>
        </w:r>
        <w:r>
          <w:tab/>
        </w:r>
        <w:r>
          <w:fldChar w:fldCharType="begin"/>
        </w:r>
        <w:r>
          <w:instrText xml:space="preserve"> PAGEREF _Toc1418 \h </w:instrText>
        </w:r>
        <w:r>
          <w:fldChar w:fldCharType="separate"/>
        </w:r>
        <w:r>
          <w:t>1</w:t>
        </w:r>
        <w:r>
          <w:fldChar w:fldCharType="end"/>
        </w:r>
      </w:hyperlink>
    </w:p>
    <w:p>
      <w:pPr>
        <w:pStyle w:val="TOC2"/>
        <w:tabs>
          <w:tab w:val="right" w:leader="dot" w:pos="8306"/>
        </w:tabs>
        <w:spacing w:before="163" w:after="163"/>
      </w:pPr>
      <w:hyperlink w:anchor="_Toc11379" w:history="1">
        <w:r>
          <w:rPr>
            <w:rFonts w:hint="eastAsia"/>
          </w:rPr>
          <w:t>2.2 软件子系统功能需求</w:t>
        </w:r>
        <w:r>
          <w:tab/>
        </w:r>
        <w:r>
          <w:fldChar w:fldCharType="begin"/>
        </w:r>
        <w:r>
          <w:instrText xml:space="preserve"> PAGEREF _Toc11379 \h </w:instrText>
        </w:r>
        <w:r>
          <w:fldChar w:fldCharType="separate"/>
        </w:r>
        <w:r>
          <w:t>1</w:t>
        </w:r>
        <w:r>
          <w:fldChar w:fldCharType="end"/>
        </w:r>
      </w:hyperlink>
    </w:p>
    <w:p>
      <w:pPr>
        <w:pStyle w:val="TOC3"/>
        <w:tabs>
          <w:tab w:val="right" w:leader="dot" w:pos="8306"/>
        </w:tabs>
        <w:spacing w:before="163" w:after="163"/>
      </w:pPr>
      <w:hyperlink w:anchor="_Toc30825" w:history="1">
        <w:r>
          <w:rPr>
            <w:rFonts w:hint="eastAsia"/>
          </w:rPr>
          <w:t>2.2.1 强对流预报预警前端显示引擎子系统</w:t>
        </w:r>
        <w:r>
          <w:tab/>
        </w:r>
        <w:r>
          <w:fldChar w:fldCharType="begin"/>
        </w:r>
        <w:r>
          <w:instrText xml:space="preserve"> PAGEREF _Toc30825 \h </w:instrText>
        </w:r>
        <w:r>
          <w:fldChar w:fldCharType="separate"/>
        </w:r>
        <w:r>
          <w:t>1</w:t>
        </w:r>
        <w:r>
          <w:fldChar w:fldCharType="end"/>
        </w:r>
      </w:hyperlink>
    </w:p>
    <w:p>
      <w:pPr>
        <w:pStyle w:val="TOC3"/>
        <w:tabs>
          <w:tab w:val="right" w:leader="dot" w:pos="8306"/>
        </w:tabs>
        <w:spacing w:before="163" w:after="163"/>
      </w:pPr>
      <w:hyperlink w:anchor="_Toc9443" w:history="1">
        <w:r>
          <w:rPr>
            <w:rFonts w:hint="eastAsia"/>
          </w:rPr>
          <w:t>2.2.2 强对流预报服务业务专题数据集成子系统</w:t>
        </w:r>
        <w:r>
          <w:tab/>
        </w:r>
        <w:r>
          <w:fldChar w:fldCharType="begin"/>
        </w:r>
        <w:r>
          <w:instrText xml:space="preserve"> PAGEREF _Toc9443 \h </w:instrText>
        </w:r>
        <w:r>
          <w:fldChar w:fldCharType="separate"/>
        </w:r>
        <w:r>
          <w:t>1</w:t>
        </w:r>
        <w:r>
          <w:fldChar w:fldCharType="end"/>
        </w:r>
      </w:hyperlink>
    </w:p>
    <w:p>
      <w:pPr>
        <w:pStyle w:val="TOC3"/>
        <w:tabs>
          <w:tab w:val="right" w:leader="dot" w:pos="8306"/>
        </w:tabs>
        <w:spacing w:before="163" w:after="163"/>
      </w:pPr>
      <w:hyperlink w:anchor="_Toc14103" w:history="1">
        <w:r>
          <w:rPr>
            <w:rFonts w:hint="eastAsia"/>
          </w:rPr>
          <w:t>2.2.3 短临预报算法集成管理子系统</w:t>
        </w:r>
        <w:r>
          <w:tab/>
        </w:r>
        <w:r>
          <w:fldChar w:fldCharType="begin"/>
        </w:r>
        <w:r>
          <w:instrText xml:space="preserve"> PAGEREF _Toc14103 \h </w:instrText>
        </w:r>
        <w:r>
          <w:fldChar w:fldCharType="separate"/>
        </w:r>
        <w:r>
          <w:t>1</w:t>
        </w:r>
        <w:r>
          <w:fldChar w:fldCharType="end"/>
        </w:r>
      </w:hyperlink>
    </w:p>
    <w:p>
      <w:pPr>
        <w:pStyle w:val="TOC3"/>
        <w:tabs>
          <w:tab w:val="right" w:leader="dot" w:pos="8306"/>
        </w:tabs>
        <w:spacing w:before="163" w:after="163"/>
      </w:pPr>
      <w:hyperlink w:anchor="_Toc8073" w:history="1">
        <w:r>
          <w:rPr>
            <w:rFonts w:hint="eastAsia"/>
          </w:rPr>
          <w:t>2.2.4 短临监测预报相关组件管理子系统</w:t>
        </w:r>
        <w:r>
          <w:tab/>
        </w:r>
        <w:r>
          <w:fldChar w:fldCharType="begin"/>
        </w:r>
        <w:r>
          <w:instrText xml:space="preserve"> PAGEREF _Toc8073 \h </w:instrText>
        </w:r>
        <w:r>
          <w:fldChar w:fldCharType="separate"/>
        </w:r>
        <w:r>
          <w:t>1</w:t>
        </w:r>
        <w:r>
          <w:fldChar w:fldCharType="end"/>
        </w:r>
      </w:hyperlink>
    </w:p>
    <w:p>
      <w:pPr>
        <w:pStyle w:val="TOC3"/>
        <w:tabs>
          <w:tab w:val="right" w:leader="dot" w:pos="8306"/>
        </w:tabs>
        <w:spacing w:before="163" w:after="163"/>
      </w:pPr>
      <w:hyperlink w:anchor="_Toc5945" w:history="1">
        <w:r>
          <w:rPr>
            <w:rFonts w:hint="eastAsia"/>
          </w:rPr>
          <w:t>2.2.5 国省短临预警协同业务子系统</w:t>
        </w:r>
        <w:r>
          <w:tab/>
        </w:r>
        <w:r>
          <w:fldChar w:fldCharType="begin"/>
        </w:r>
        <w:r>
          <w:instrText xml:space="preserve"> PAGEREF _Toc5945 \h </w:instrText>
        </w:r>
        <w:r>
          <w:fldChar w:fldCharType="separate"/>
        </w:r>
        <w:r>
          <w:t>1</w:t>
        </w:r>
        <w:r>
          <w:fldChar w:fldCharType="end"/>
        </w:r>
      </w:hyperlink>
    </w:p>
    <w:p>
      <w:pPr>
        <w:pStyle w:val="TOC3"/>
        <w:tabs>
          <w:tab w:val="right" w:leader="dot" w:pos="8306"/>
        </w:tabs>
        <w:spacing w:before="163" w:after="163"/>
      </w:pPr>
      <w:hyperlink w:anchor="_Toc12931" w:history="1">
        <w:r>
          <w:rPr>
            <w:rFonts w:hint="eastAsia"/>
          </w:rPr>
          <w:t>2.2.6 预警提示阈值管理子系统</w:t>
        </w:r>
        <w:r>
          <w:tab/>
        </w:r>
        <w:r>
          <w:fldChar w:fldCharType="begin"/>
        </w:r>
        <w:r>
          <w:instrText xml:space="preserve"> PAGEREF _Toc12931 \h </w:instrText>
        </w:r>
        <w:r>
          <w:fldChar w:fldCharType="separate"/>
        </w:r>
        <w:r>
          <w:t>1</w:t>
        </w:r>
        <w:r>
          <w:fldChar w:fldCharType="end"/>
        </w:r>
      </w:hyperlink>
    </w:p>
    <w:p>
      <w:pPr>
        <w:pStyle w:val="TOC3"/>
        <w:tabs>
          <w:tab w:val="right" w:leader="dot" w:pos="8306"/>
        </w:tabs>
        <w:spacing w:before="163" w:after="163"/>
      </w:pPr>
      <w:hyperlink w:anchor="_Toc22849" w:history="1">
        <w:r>
          <w:rPr>
            <w:rFonts w:hint="eastAsia"/>
          </w:rPr>
          <w:t>2.2.7 强对流天气符号交互组件子系统</w:t>
        </w:r>
        <w:r>
          <w:tab/>
        </w:r>
        <w:r>
          <w:fldChar w:fldCharType="begin"/>
        </w:r>
        <w:r>
          <w:instrText xml:space="preserve"> PAGEREF _Toc22849 \h </w:instrText>
        </w:r>
        <w:r>
          <w:fldChar w:fldCharType="separate"/>
        </w:r>
        <w:r>
          <w:t>1</w:t>
        </w:r>
        <w:r>
          <w:fldChar w:fldCharType="end"/>
        </w:r>
      </w:hyperlink>
    </w:p>
    <w:p>
      <w:pPr>
        <w:pStyle w:val="TOC3"/>
        <w:tabs>
          <w:tab w:val="right" w:leader="dot" w:pos="8306"/>
        </w:tabs>
        <w:spacing w:before="163" w:after="163"/>
      </w:pPr>
      <w:hyperlink w:anchor="_Toc15398" w:history="1">
        <w:r>
          <w:rPr>
            <w:rFonts w:hint="eastAsia"/>
          </w:rPr>
          <w:t>2.2.8 数据图层管理子系统</w:t>
        </w:r>
        <w:r>
          <w:tab/>
        </w:r>
        <w:r>
          <w:fldChar w:fldCharType="begin"/>
        </w:r>
        <w:r>
          <w:instrText xml:space="preserve"> PAGEREF _Toc15398 \h </w:instrText>
        </w:r>
        <w:r>
          <w:fldChar w:fldCharType="separate"/>
        </w:r>
        <w:r>
          <w:t>1</w:t>
        </w:r>
        <w:r>
          <w:fldChar w:fldCharType="end"/>
        </w:r>
      </w:hyperlink>
    </w:p>
    <w:p>
      <w:pPr>
        <w:pStyle w:val="TOC3"/>
        <w:tabs>
          <w:tab w:val="right" w:leader="dot" w:pos="8306"/>
        </w:tabs>
        <w:spacing w:before="163" w:after="163"/>
      </w:pPr>
      <w:hyperlink w:anchor="_Toc2892" w:history="1">
        <w:r>
          <w:rPr>
            <w:rFonts w:hint="eastAsia"/>
          </w:rPr>
          <w:t>2.2.9 多屏对比分析子系统</w:t>
        </w:r>
        <w:r>
          <w:tab/>
        </w:r>
        <w:r>
          <w:fldChar w:fldCharType="begin"/>
        </w:r>
        <w:r>
          <w:instrText xml:space="preserve"> PAGEREF _Toc2892 \h </w:instrText>
        </w:r>
        <w:r>
          <w:fldChar w:fldCharType="separate"/>
        </w:r>
        <w:r>
          <w:t>1</w:t>
        </w:r>
        <w:r>
          <w:fldChar w:fldCharType="end"/>
        </w:r>
      </w:hyperlink>
    </w:p>
    <w:p>
      <w:pPr>
        <w:pStyle w:val="TOC3"/>
        <w:tabs>
          <w:tab w:val="right" w:leader="dot" w:pos="8306"/>
        </w:tabs>
        <w:spacing w:before="163" w:after="163"/>
      </w:pPr>
      <w:hyperlink w:anchor="_Toc32453" w:history="1">
        <w:r>
          <w:rPr>
            <w:rFonts w:hint="eastAsia"/>
          </w:rPr>
          <w:t>2.2.10 时间轴联动子系统</w:t>
        </w:r>
        <w:r>
          <w:tab/>
        </w:r>
        <w:r>
          <w:fldChar w:fldCharType="begin"/>
        </w:r>
        <w:r>
          <w:instrText xml:space="preserve"> PAGEREF _Toc32453 \h </w:instrText>
        </w:r>
        <w:r>
          <w:fldChar w:fldCharType="separate"/>
        </w:r>
        <w:r>
          <w:t>1</w:t>
        </w:r>
        <w:r>
          <w:fldChar w:fldCharType="end"/>
        </w:r>
      </w:hyperlink>
    </w:p>
    <w:p>
      <w:pPr>
        <w:pStyle w:val="TOC3"/>
        <w:tabs>
          <w:tab w:val="right" w:leader="dot" w:pos="8306"/>
        </w:tabs>
        <w:spacing w:before="163" w:after="163"/>
      </w:pPr>
      <w:hyperlink w:anchor="_Toc26699" w:history="1">
        <w:r>
          <w:rPr>
            <w:rFonts w:hint="eastAsia"/>
          </w:rPr>
          <w:t>2.2.11 三维可视化处理子系统</w:t>
        </w:r>
        <w:r>
          <w:tab/>
        </w:r>
        <w:r>
          <w:fldChar w:fldCharType="begin"/>
        </w:r>
        <w:r>
          <w:instrText xml:space="preserve"> PAGEREF _Toc26699 \h </w:instrText>
        </w:r>
        <w:r>
          <w:fldChar w:fldCharType="separate"/>
        </w:r>
        <w:r>
          <w:t>1</w:t>
        </w:r>
        <w:r>
          <w:fldChar w:fldCharType="end"/>
        </w:r>
      </w:hyperlink>
    </w:p>
    <w:p>
      <w:pPr>
        <w:pStyle w:val="TOC3"/>
        <w:tabs>
          <w:tab w:val="right" w:leader="dot" w:pos="8306"/>
        </w:tabs>
        <w:spacing w:before="163" w:after="163"/>
      </w:pPr>
      <w:hyperlink w:anchor="_Toc27603" w:history="1">
        <w:r>
          <w:rPr>
            <w:rFonts w:hint="eastAsia"/>
          </w:rPr>
          <w:t>2.2.12 短临相关格点穿透数据服务子系统</w:t>
        </w:r>
        <w:r>
          <w:tab/>
        </w:r>
        <w:r>
          <w:fldChar w:fldCharType="begin"/>
        </w:r>
        <w:r>
          <w:instrText xml:space="preserve"> PAGEREF _Toc27603 \h </w:instrText>
        </w:r>
        <w:r>
          <w:fldChar w:fldCharType="separate"/>
        </w:r>
        <w:r>
          <w:t>1</w:t>
        </w:r>
        <w:r>
          <w:fldChar w:fldCharType="end"/>
        </w:r>
      </w:hyperlink>
    </w:p>
    <w:p>
      <w:pPr>
        <w:pStyle w:val="TOC3"/>
        <w:tabs>
          <w:tab w:val="right" w:leader="dot" w:pos="8306"/>
        </w:tabs>
        <w:spacing w:before="163" w:after="163"/>
      </w:pPr>
      <w:hyperlink w:anchor="_Toc15647" w:history="1">
        <w:r>
          <w:rPr>
            <w:rFonts w:hint="eastAsia"/>
          </w:rPr>
          <w:t>2.2.13 闪电定位、风廓线数据应用子系统</w:t>
        </w:r>
        <w:r>
          <w:tab/>
        </w:r>
        <w:r>
          <w:fldChar w:fldCharType="begin"/>
        </w:r>
        <w:r>
          <w:instrText xml:space="preserve"> PAGEREF _Toc15647 \h </w:instrText>
        </w:r>
        <w:r>
          <w:fldChar w:fldCharType="separate"/>
        </w:r>
        <w:r>
          <w:t>1</w:t>
        </w:r>
        <w:r>
          <w:fldChar w:fldCharType="end"/>
        </w:r>
      </w:hyperlink>
    </w:p>
    <w:p>
      <w:pPr>
        <w:pStyle w:val="TOC3"/>
        <w:tabs>
          <w:tab w:val="right" w:leader="dot" w:pos="8306"/>
        </w:tabs>
        <w:spacing w:before="163" w:after="163"/>
      </w:pPr>
      <w:hyperlink w:anchor="_Toc8447" w:history="1">
        <w:r>
          <w:rPr>
            <w:rFonts w:hint="eastAsia"/>
          </w:rPr>
          <w:t>2.2.14 CME智能体子系统</w:t>
        </w:r>
        <w:r>
          <w:tab/>
        </w:r>
        <w:r>
          <w:fldChar w:fldCharType="begin"/>
        </w:r>
        <w:r>
          <w:instrText xml:space="preserve"> PAGEREF _Toc8447 \h </w:instrText>
        </w:r>
        <w:r>
          <w:fldChar w:fldCharType="separate"/>
        </w:r>
        <w:r>
          <w:t>1</w:t>
        </w:r>
        <w:r>
          <w:fldChar w:fldCharType="end"/>
        </w:r>
      </w:hyperlink>
    </w:p>
    <w:p>
      <w:pPr>
        <w:pStyle w:val="TOC2"/>
        <w:tabs>
          <w:tab w:val="right" w:leader="dot" w:pos="8306"/>
        </w:tabs>
        <w:spacing w:before="163" w:after="163"/>
      </w:pPr>
      <w:hyperlink w:anchor="_Toc27588" w:history="1">
        <w:r>
          <w:rPr>
            <w:rFonts w:hint="eastAsia"/>
          </w:rPr>
          <w:t>2.3 非功能需求</w:t>
        </w:r>
        <w:r>
          <w:tab/>
        </w:r>
        <w:r>
          <w:fldChar w:fldCharType="begin"/>
        </w:r>
        <w:r>
          <w:instrText xml:space="preserve"> PAGEREF _Toc27588 \h </w:instrText>
        </w:r>
        <w:r>
          <w:fldChar w:fldCharType="separate"/>
        </w:r>
        <w:r>
          <w:t>1</w:t>
        </w:r>
        <w:r>
          <w:fldChar w:fldCharType="end"/>
        </w:r>
      </w:hyperlink>
    </w:p>
    <w:p>
      <w:pPr>
        <w:pStyle w:val="TOC3"/>
        <w:tabs>
          <w:tab w:val="right" w:leader="dot" w:pos="8306"/>
        </w:tabs>
        <w:spacing w:before="163" w:after="163"/>
      </w:pPr>
      <w:hyperlink w:anchor="_Toc28470" w:history="1">
        <w:r>
          <w:rPr>
            <w:rFonts w:hint="eastAsia"/>
          </w:rPr>
          <w:t>2.3.1 性能要求</w:t>
        </w:r>
        <w:r>
          <w:tab/>
        </w:r>
        <w:r>
          <w:fldChar w:fldCharType="begin"/>
        </w:r>
        <w:r>
          <w:instrText xml:space="preserve"> PAGEREF _Toc28470 \h </w:instrText>
        </w:r>
        <w:r>
          <w:fldChar w:fldCharType="separate"/>
        </w:r>
        <w:r>
          <w:t>1</w:t>
        </w:r>
        <w:r>
          <w:fldChar w:fldCharType="end"/>
        </w:r>
      </w:hyperlink>
    </w:p>
    <w:p>
      <w:pPr>
        <w:pStyle w:val="TOC3"/>
        <w:tabs>
          <w:tab w:val="right" w:leader="dot" w:pos="8306"/>
        </w:tabs>
        <w:spacing w:before="163" w:after="163"/>
      </w:pPr>
      <w:hyperlink w:anchor="_Toc9421" w:history="1">
        <w:r>
          <w:rPr>
            <w:rFonts w:hint="eastAsia"/>
          </w:rPr>
          <w:t>2.3.2 稳定性要求</w:t>
        </w:r>
        <w:r>
          <w:tab/>
        </w:r>
        <w:r>
          <w:fldChar w:fldCharType="begin"/>
        </w:r>
        <w:r>
          <w:instrText xml:space="preserve"> PAGEREF _Toc9421 \h </w:instrText>
        </w:r>
        <w:r>
          <w:fldChar w:fldCharType="separate"/>
        </w:r>
        <w:r>
          <w:t>1</w:t>
        </w:r>
        <w:r>
          <w:fldChar w:fldCharType="end"/>
        </w:r>
      </w:hyperlink>
    </w:p>
    <w:p>
      <w:pPr>
        <w:pStyle w:val="TOC3"/>
        <w:tabs>
          <w:tab w:val="right" w:leader="dot" w:pos="8306"/>
        </w:tabs>
        <w:spacing w:before="163" w:after="163"/>
      </w:pPr>
      <w:hyperlink w:anchor="_Toc17074" w:history="1">
        <w:r>
          <w:rPr>
            <w:rFonts w:hint="eastAsia"/>
          </w:rPr>
          <w:t>2.3.3 可维护性要求</w:t>
        </w:r>
        <w:r>
          <w:tab/>
        </w:r>
        <w:r>
          <w:fldChar w:fldCharType="begin"/>
        </w:r>
        <w:r>
          <w:instrText xml:space="preserve"> PAGEREF _Toc17074 \h </w:instrText>
        </w:r>
        <w:r>
          <w:fldChar w:fldCharType="separate"/>
        </w:r>
        <w:r>
          <w:t>1</w:t>
        </w:r>
        <w:r>
          <w:fldChar w:fldCharType="end"/>
        </w:r>
      </w:hyperlink>
    </w:p>
    <w:p>
      <w:pPr>
        <w:pStyle w:val="TOC3"/>
        <w:tabs>
          <w:tab w:val="right" w:leader="dot" w:pos="8306"/>
        </w:tabs>
        <w:spacing w:before="163" w:after="163"/>
      </w:pPr>
      <w:hyperlink w:anchor="_Toc29111" w:history="1">
        <w:r>
          <w:rPr>
            <w:rFonts w:hint="eastAsia"/>
          </w:rPr>
          <w:t>2.3.4 兼容性要求</w:t>
        </w:r>
        <w:r>
          <w:tab/>
        </w:r>
        <w:r>
          <w:fldChar w:fldCharType="begin"/>
        </w:r>
        <w:r>
          <w:instrText xml:space="preserve"> PAGEREF _Toc29111 \h </w:instrText>
        </w:r>
        <w:r>
          <w:fldChar w:fldCharType="separate"/>
        </w:r>
        <w:r>
          <w:t>1</w:t>
        </w:r>
        <w:r>
          <w:fldChar w:fldCharType="end"/>
        </w:r>
      </w:hyperlink>
    </w:p>
    <w:p>
      <w:pPr>
        <w:pStyle w:val="TOC3"/>
        <w:tabs>
          <w:tab w:val="right" w:leader="dot" w:pos="8306"/>
        </w:tabs>
        <w:spacing w:before="163" w:after="163"/>
      </w:pPr>
      <w:hyperlink w:anchor="_Toc15484" w:history="1">
        <w:r>
          <w:rPr>
            <w:rFonts w:hint="eastAsia"/>
          </w:rPr>
          <w:t>2.3.5 集约化要求</w:t>
        </w:r>
        <w:r>
          <w:tab/>
        </w:r>
        <w:r>
          <w:fldChar w:fldCharType="begin"/>
        </w:r>
        <w:r>
          <w:instrText xml:space="preserve"> PAGEREF _Toc15484 \h </w:instrText>
        </w:r>
        <w:r>
          <w:fldChar w:fldCharType="separate"/>
        </w:r>
        <w:r>
          <w:t>1</w:t>
        </w:r>
        <w:r>
          <w:fldChar w:fldCharType="end"/>
        </w:r>
      </w:hyperlink>
    </w:p>
    <w:p>
      <w:pPr>
        <w:pStyle w:val="TOC3"/>
        <w:tabs>
          <w:tab w:val="right" w:leader="dot" w:pos="8306"/>
        </w:tabs>
        <w:spacing w:before="163" w:after="163"/>
      </w:pPr>
      <w:hyperlink w:anchor="_Toc16096" w:history="1">
        <w:r>
          <w:rPr>
            <w:rFonts w:hint="eastAsia"/>
          </w:rPr>
          <w:t>2.3.6 可移植性要求</w:t>
        </w:r>
        <w:r>
          <w:tab/>
        </w:r>
        <w:r>
          <w:fldChar w:fldCharType="begin"/>
        </w:r>
        <w:r>
          <w:instrText xml:space="preserve"> PAGEREF _Toc16096 \h </w:instrText>
        </w:r>
        <w:r>
          <w:fldChar w:fldCharType="separate"/>
        </w:r>
        <w:r>
          <w:t>1</w:t>
        </w:r>
        <w:r>
          <w:fldChar w:fldCharType="end"/>
        </w:r>
      </w:hyperlink>
    </w:p>
    <w:p>
      <w:pPr>
        <w:pStyle w:val="TOC3"/>
        <w:tabs>
          <w:tab w:val="right" w:leader="dot" w:pos="8306"/>
        </w:tabs>
        <w:spacing w:before="163" w:after="163"/>
      </w:pPr>
      <w:hyperlink w:anchor="_Toc4366" w:history="1">
        <w:r>
          <w:rPr>
            <w:rFonts w:hint="eastAsia"/>
          </w:rPr>
          <w:t>2.3.7 安全性要求</w:t>
        </w:r>
        <w:r>
          <w:tab/>
        </w:r>
        <w:r>
          <w:fldChar w:fldCharType="begin"/>
        </w:r>
        <w:r>
          <w:instrText xml:space="preserve"> PAGEREF _Toc4366 \h </w:instrText>
        </w:r>
        <w:r>
          <w:fldChar w:fldCharType="separate"/>
        </w:r>
        <w:r>
          <w:t>1</w:t>
        </w:r>
        <w:r>
          <w:fldChar w:fldCharType="end"/>
        </w:r>
      </w:hyperlink>
    </w:p>
    <w:p>
      <w:pPr>
        <w:pStyle w:val="TOC1"/>
        <w:tabs>
          <w:tab w:val="right" w:leader="dot" w:pos="8306"/>
        </w:tabs>
        <w:spacing w:before="163" w:after="163"/>
      </w:pPr>
      <w:hyperlink w:anchor="_Toc18979" w:history="1">
        <w:r>
          <w:rPr>
            <w:rFonts w:hint="eastAsia"/>
          </w:rPr>
          <w:t>3 建设进度要求</w:t>
        </w:r>
        <w:r>
          <w:tab/>
        </w:r>
        <w:r>
          <w:fldChar w:fldCharType="begin"/>
        </w:r>
        <w:r>
          <w:instrText xml:space="preserve"> PAGEREF _Toc18979 \h </w:instrText>
        </w:r>
        <w:r>
          <w:fldChar w:fldCharType="separate"/>
        </w:r>
        <w:r>
          <w:t>1</w:t>
        </w:r>
        <w:r>
          <w:fldChar w:fldCharType="end"/>
        </w:r>
      </w:hyperlink>
    </w:p>
    <w:p>
      <w:pPr>
        <w:pStyle w:val="TOC1"/>
        <w:tabs>
          <w:tab w:val="right" w:leader="dot" w:pos="8306"/>
        </w:tabs>
        <w:spacing w:before="163" w:after="163"/>
      </w:pPr>
      <w:hyperlink w:anchor="_Toc7418" w:history="1">
        <w:r>
          <w:rPr>
            <w:rFonts w:hint="eastAsia"/>
          </w:rPr>
          <w:t>4 项目交付物要求</w:t>
        </w:r>
        <w:r>
          <w:tab/>
        </w:r>
        <w:r>
          <w:fldChar w:fldCharType="begin"/>
        </w:r>
        <w:r>
          <w:instrText xml:space="preserve"> PAGEREF _Toc7418 \h </w:instrText>
        </w:r>
        <w:r>
          <w:fldChar w:fldCharType="separate"/>
        </w:r>
        <w:r>
          <w:t>1</w:t>
        </w:r>
        <w:r>
          <w:fldChar w:fldCharType="end"/>
        </w:r>
      </w:hyperlink>
    </w:p>
    <w:p>
      <w:pPr>
        <w:pStyle w:val="TOC1"/>
        <w:tabs>
          <w:tab w:val="right" w:leader="dot" w:pos="8306"/>
        </w:tabs>
        <w:spacing w:before="163" w:after="163"/>
      </w:pPr>
      <w:hyperlink w:anchor="_Toc17255" w:history="1">
        <w:r>
          <w:rPr>
            <w:rFonts w:hint="eastAsia"/>
          </w:rPr>
          <w:t>5 第三方测试要求</w:t>
        </w:r>
        <w:r>
          <w:tab/>
        </w:r>
        <w:r>
          <w:fldChar w:fldCharType="begin"/>
        </w:r>
        <w:r>
          <w:instrText xml:space="preserve"> PAGEREF _Toc17255 \h </w:instrText>
        </w:r>
        <w:r>
          <w:fldChar w:fldCharType="separate"/>
        </w:r>
        <w:r>
          <w:t>1</w:t>
        </w:r>
        <w:r>
          <w:fldChar w:fldCharType="end"/>
        </w:r>
      </w:hyperlink>
    </w:p>
    <w:p>
      <w:pPr>
        <w:pStyle w:val="TOC1"/>
        <w:tabs>
          <w:tab w:val="right" w:leader="dot" w:pos="8306"/>
        </w:tabs>
        <w:spacing w:before="163" w:after="163"/>
      </w:pPr>
      <w:hyperlink w:anchor="_Toc26552" w:history="1">
        <w:r>
          <w:rPr>
            <w:rFonts w:hint="eastAsia"/>
          </w:rPr>
          <w:t>6 培训要求</w:t>
        </w:r>
        <w:r>
          <w:tab/>
        </w:r>
        <w:r>
          <w:fldChar w:fldCharType="begin"/>
        </w:r>
        <w:r>
          <w:instrText xml:space="preserve"> PAGEREF _Toc26552 \h </w:instrText>
        </w:r>
        <w:r>
          <w:fldChar w:fldCharType="separate"/>
        </w:r>
        <w:r>
          <w:t>1</w:t>
        </w:r>
        <w:r>
          <w:fldChar w:fldCharType="end"/>
        </w:r>
      </w:hyperlink>
    </w:p>
    <w:p>
      <w:pPr>
        <w:pStyle w:val="TOC1"/>
        <w:tabs>
          <w:tab w:val="right" w:leader="dot" w:pos="8306"/>
        </w:tabs>
        <w:spacing w:before="163" w:after="163"/>
      </w:pPr>
      <w:hyperlink w:anchor="_Toc5802" w:history="1">
        <w:r>
          <w:rPr>
            <w:rFonts w:hint="eastAsia"/>
          </w:rPr>
          <w:t>7 安全保密要求</w:t>
        </w:r>
        <w:r>
          <w:tab/>
        </w:r>
        <w:r>
          <w:fldChar w:fldCharType="begin"/>
        </w:r>
        <w:r>
          <w:instrText xml:space="preserve"> PAGEREF _Toc5802 \h </w:instrText>
        </w:r>
        <w:r>
          <w:fldChar w:fldCharType="separate"/>
        </w:r>
        <w:r>
          <w:t>1</w:t>
        </w:r>
        <w:r>
          <w:fldChar w:fldCharType="end"/>
        </w:r>
      </w:hyperlink>
    </w:p>
    <w:p>
      <w:pPr>
        <w:pStyle w:val="TOC1"/>
        <w:tabs>
          <w:tab w:val="right" w:leader="dot" w:pos="8306"/>
        </w:tabs>
        <w:spacing w:before="163" w:after="163"/>
      </w:pPr>
      <w:hyperlink w:anchor="_Toc19987" w:history="1">
        <w:r>
          <w:rPr>
            <w:rFonts w:hint="eastAsia"/>
          </w:rPr>
          <w:t>8 售后服务要求</w:t>
        </w:r>
        <w:r>
          <w:tab/>
        </w:r>
        <w:r>
          <w:fldChar w:fldCharType="begin"/>
        </w:r>
        <w:r>
          <w:instrText xml:space="preserve"> PAGEREF _Toc19987 \h </w:instrText>
        </w:r>
        <w:r>
          <w:fldChar w:fldCharType="separate"/>
        </w:r>
        <w:r>
          <w:t>1</w:t>
        </w:r>
        <w:r>
          <w:fldChar w:fldCharType="end"/>
        </w:r>
      </w:hyperlink>
    </w:p>
    <w:p>
      <w:pPr>
        <w:pStyle w:val="TOC1"/>
        <w:tabs>
          <w:tab w:val="right" w:leader="dot" w:pos="8306"/>
        </w:tabs>
        <w:spacing w:before="163" w:after="163"/>
      </w:pPr>
      <w:hyperlink w:anchor="_Toc21321" w:history="1">
        <w:r>
          <w:rPr>
            <w:rFonts w:hint="eastAsia"/>
          </w:rPr>
          <w:t>9 知识产权要求</w:t>
        </w:r>
        <w:r>
          <w:tab/>
        </w:r>
        <w:r>
          <w:fldChar w:fldCharType="begin"/>
        </w:r>
        <w:r>
          <w:instrText xml:space="preserve"> PAGEREF _Toc21321 \h </w:instrText>
        </w:r>
        <w:r>
          <w:fldChar w:fldCharType="separate"/>
        </w:r>
        <w:r>
          <w:t>1</w:t>
        </w:r>
        <w:r>
          <w:fldChar w:fldCharType="end"/>
        </w:r>
      </w:hyperlink>
    </w:p>
    <w:p>
      <w:pPr>
        <w:pStyle w:val="TOC1"/>
        <w:tabs>
          <w:tab w:val="right" w:leader="dot" w:pos="8306"/>
        </w:tabs>
        <w:spacing w:before="163" w:after="163"/>
      </w:pPr>
      <w:hyperlink w:anchor="_Toc6346" w:history="1">
        <w:r>
          <w:rPr>
            <w:rFonts w:hint="eastAsia"/>
          </w:rPr>
          <w:t>10 国产化要求</w:t>
        </w:r>
        <w:r>
          <w:tab/>
        </w:r>
        <w:r>
          <w:fldChar w:fldCharType="begin"/>
        </w:r>
        <w:r>
          <w:instrText xml:space="preserve"> PAGEREF _Toc6346 \h </w:instrText>
        </w:r>
        <w:r>
          <w:fldChar w:fldCharType="separate"/>
        </w:r>
        <w:r>
          <w:t>1</w:t>
        </w:r>
        <w:r>
          <w:fldChar w:fldCharType="end"/>
        </w:r>
      </w:hyperlink>
    </w:p>
    <w:p>
      <w:pPr>
        <w:pStyle w:val="TOC1"/>
        <w:tabs>
          <w:tab w:val="right" w:leader="dot" w:pos="8306"/>
        </w:tabs>
        <w:spacing w:before="163" w:after="163"/>
      </w:pPr>
      <w:hyperlink w:anchor="_Toc653" w:history="1">
        <w:r>
          <w:rPr>
            <w:rFonts w:hint="eastAsia"/>
          </w:rPr>
          <w:t>11 项目验收要求</w:t>
        </w:r>
        <w:r>
          <w:tab/>
        </w:r>
        <w:r>
          <w:fldChar w:fldCharType="begin"/>
        </w:r>
        <w:r>
          <w:instrText xml:space="preserve"> PAGEREF _Toc653 \h </w:instrText>
        </w:r>
        <w:r>
          <w:fldChar w:fldCharType="separate"/>
        </w:r>
        <w:r>
          <w:t>1</w:t>
        </w:r>
        <w:r>
          <w:fldChar w:fldCharType="end"/>
        </w:r>
      </w:hyperlink>
    </w:p>
    <w:p>
      <w:pPr>
        <w:pStyle w:val="TOC2"/>
        <w:tabs>
          <w:tab w:val="left" w:pos="960"/>
          <w:tab w:val="right" w:leader="dot" w:pos="8296"/>
        </w:tabs>
        <w:spacing w:before="163" w:after="163"/>
        <w:rPr>
          <w:rFonts w:asciiTheme="minorHAnsi" w:eastAsiaTheme="minorEastAsia" w:hAnsiTheme="minorHAnsi" w:cstheme="minorBidi"/>
          <w:smallCaps w:val="0"/>
          <w:sz w:val="21"/>
          <w:szCs w:val="22"/>
        </w:rPr>
        <w:sectPr>
          <w:headerReference w:type="default" r:id="rId11"/>
          <w:footerReference w:type="default" r:id="rId12"/>
          <w:pgSz w:w="11906" w:h="16838"/>
          <w:pgMar w:top="1440" w:right="1800" w:bottom="1440" w:left="1800" w:header="851" w:footer="851" w:gutter="0"/>
          <w:cols w:num="1" w:space="425"/>
          <w:docGrid w:type="lines" w:linePitch="326" w:charSpace="0"/>
        </w:sectPr>
      </w:pPr>
      <w:r>
        <w:fldChar w:fldCharType="end"/>
      </w:r>
      <w:bookmarkStart w:id="65" w:name="_Toc271988751"/>
      <w:bookmarkStart w:id="66" w:name="_Toc273087688"/>
      <w:bookmarkStart w:id="67" w:name="_Toc271376174"/>
      <w:bookmarkStart w:id="68" w:name="_Toc248658147"/>
      <w:bookmarkStart w:id="69" w:name="_Toc271815011"/>
    </w:p>
    <w:p>
      <w:pPr>
        <w:spacing w:before="163" w:after="163"/>
        <w:sectPr>
          <w:pgSz w:w="11906" w:h="16838"/>
          <w:pgMar w:top="1440" w:right="1800" w:bottom="1440" w:left="1800" w:header="851" w:footer="851" w:gutter="0"/>
          <w:cols w:num="1" w:space="425"/>
          <w:docGrid w:type="lines" w:linePitch="326" w:charSpace="0"/>
        </w:sectPr>
      </w:pPr>
    </w:p>
    <w:bookmarkEnd w:id="65"/>
    <w:bookmarkEnd w:id="66"/>
    <w:bookmarkEnd w:id="67"/>
    <w:p>
      <w:pPr>
        <w:pStyle w:val="Heading1"/>
        <w:keepNext/>
        <w:keepLines/>
        <w:widowControl w:val="0"/>
        <w:numPr>
          <w:ilvl w:val="0"/>
          <w:numId w:val="4"/>
        </w:numPr>
        <w:tabs>
          <w:tab w:val="left" w:pos="0"/>
          <w:tab w:val="left" w:pos="180"/>
          <w:tab w:val="left" w:pos="360"/>
          <w:tab w:val="left" w:pos="540"/>
        </w:tabs>
        <w:spacing w:before="163" w:beforeLines="50" w:after="163" w:afterLines="50" w:line="578" w:lineRule="auto"/>
        <w:ind w:left="0" w:firstLine="0"/>
        <w:jc w:val="both"/>
      </w:pPr>
      <w:bookmarkStart w:id="70" w:name="_Toc6510"/>
      <w:r>
        <w:rPr>
          <w:rFonts w:hint="eastAsia"/>
        </w:rPr>
        <w:t>项目概述</w:t>
      </w:r>
      <w:bookmarkEnd w:id="70"/>
    </w:p>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71" w:name="_Toc19117"/>
      <w:r>
        <w:rPr>
          <w:rFonts w:hint="eastAsia"/>
        </w:rPr>
        <w:t>项目名称</w:t>
      </w:r>
      <w:bookmarkEnd w:id="71"/>
    </w:p>
    <w:p>
      <w:pPr>
        <w:spacing w:before="163" w:after="163" w:line="572" w:lineRule="exact"/>
        <w:ind w:firstLine="640"/>
        <w:rPr>
          <w:color w:val="000000"/>
          <w:szCs w:val="32"/>
        </w:rPr>
      </w:pPr>
      <w:r>
        <w:rPr>
          <w:rFonts w:hint="eastAsia"/>
          <w:color w:val="000000"/>
          <w:szCs w:val="32"/>
        </w:rPr>
        <w:t>气象信息综合分析处理系统强对流版-强对流天气预报分析制作系统。</w:t>
      </w:r>
    </w:p>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72" w:name="_Toc17582"/>
      <w:r>
        <w:rPr>
          <w:rFonts w:hint="eastAsia"/>
        </w:rPr>
        <w:t>实施地点</w:t>
      </w:r>
      <w:bookmarkEnd w:id="72"/>
    </w:p>
    <w:p>
      <w:pPr>
        <w:spacing w:before="163" w:after="163" w:line="572" w:lineRule="exact"/>
        <w:ind w:firstLine="632"/>
        <w:rPr>
          <w:color w:val="000000"/>
          <w:szCs w:val="32"/>
        </w:rPr>
      </w:pPr>
      <w:r>
        <w:rPr>
          <w:rFonts w:hint="eastAsia"/>
          <w:color w:val="000000"/>
          <w:szCs w:val="32"/>
        </w:rPr>
        <w:t>国家气象中心</w:t>
      </w:r>
      <w:r>
        <w:rPr>
          <w:color w:val="000000"/>
          <w:szCs w:val="32"/>
        </w:rPr>
        <w:t>。</w:t>
      </w:r>
    </w:p>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73" w:name="_Toc11614"/>
      <w:bookmarkStart w:id="74" w:name="_Toc273087700"/>
      <w:bookmarkStart w:id="75" w:name="_Toc271376186"/>
      <w:bookmarkStart w:id="76" w:name="_Toc271988760"/>
      <w:r>
        <w:rPr>
          <w:rFonts w:hint="eastAsia"/>
        </w:rPr>
        <w:t>建设内容</w:t>
      </w:r>
      <w:bookmarkEnd w:id="73"/>
    </w:p>
    <w:p>
      <w:pPr>
        <w:spacing w:before="163" w:after="163" w:line="572" w:lineRule="exact"/>
        <w:ind w:firstLine="640"/>
        <w:rPr>
          <w:color w:val="000000"/>
          <w:szCs w:val="32"/>
        </w:rPr>
      </w:pPr>
      <w:r>
        <w:rPr>
          <w:rFonts w:hint="eastAsia"/>
          <w:color w:val="000000"/>
          <w:szCs w:val="32"/>
        </w:rPr>
        <w:t>基于CME基础框架，建设面向强对流应用场景的气象信息综合分析处理系统，构建和实现基础强对流业务流程、渲染引擎、交互分析制作、业务组件库，实现内部业务打通。基于C</w:t>
      </w:r>
      <w:r>
        <w:rPr>
          <w:color w:val="000000"/>
          <w:szCs w:val="32"/>
        </w:rPr>
        <w:t>ME</w:t>
      </w:r>
      <w:r>
        <w:rPr>
          <w:rFonts w:hint="eastAsia"/>
          <w:color w:val="000000"/>
          <w:szCs w:val="32"/>
        </w:rPr>
        <w:t>数字预报基座，构建面向强对流业务的基础数据集、个性化数据集，实现强对流数据服的统一管理、监控，实现多源资料立体监测能力，支持包含多波段雷达、多通道卫星、地面自动站、无线电探空、闪电定位、微波辐射计、风廓线雷达等资料的叠加显示，提供离散与规则数据时间序列、单点廓线、空间剖面等多视角监视分析功能。</w:t>
      </w:r>
    </w:p>
    <w:p>
      <w:pPr>
        <w:spacing w:before="163" w:after="163" w:line="572" w:lineRule="exact"/>
        <w:ind w:firstLine="640"/>
        <w:rPr>
          <w:color w:val="000000"/>
          <w:szCs w:val="32"/>
        </w:rPr>
      </w:pPr>
      <w:r>
        <w:rPr>
          <w:rFonts w:hint="eastAsia"/>
          <w:color w:val="000000"/>
          <w:szCs w:val="32"/>
        </w:rPr>
        <w:t>气象信息综合分析处理系统强对流版-强对流天气预报分析制作系统</w:t>
      </w:r>
      <w:r>
        <w:rPr>
          <w:color w:val="000000"/>
          <w:szCs w:val="32"/>
        </w:rPr>
        <w:t>包括强对流天气监测、预报、预警、业务流程中的整体框架、核心功能和通用组件，开发气象数据获取、二三维显示、人机交互、预报预测、</w:t>
      </w:r>
      <w:r>
        <w:rPr>
          <w:rFonts w:hint="eastAsia"/>
          <w:color w:val="000000"/>
          <w:szCs w:val="32"/>
        </w:rPr>
        <w:t>预警提示</w:t>
      </w:r>
      <w:r>
        <w:rPr>
          <w:color w:val="000000"/>
          <w:szCs w:val="32"/>
        </w:rPr>
        <w:t>等各类处理逻辑和交互功能组件，实现对短临监测、短临预报、短期预报、短临服务保障业务的支持。</w:t>
      </w:r>
    </w:p>
    <w:p>
      <w:pPr>
        <w:spacing w:before="163" w:after="163" w:line="572" w:lineRule="exact"/>
        <w:ind w:firstLine="640"/>
        <w:rPr>
          <w:color w:val="000000"/>
          <w:szCs w:val="32"/>
        </w:rPr>
      </w:pPr>
      <w:r>
        <w:rPr>
          <w:rFonts w:hint="eastAsia"/>
          <w:color w:val="000000"/>
          <w:szCs w:val="32"/>
        </w:rPr>
        <w:t>气象信息综合分析处理系统强对流版-强对流天气预报分析制作系统</w:t>
      </w:r>
      <w:r>
        <w:rPr>
          <w:color w:val="000000"/>
          <w:szCs w:val="32"/>
        </w:rPr>
        <w:t>以CME技术框架为基础，按照组件化思路对各个功能模块进行开发。以数字预报基座作为基础数据源，平台交互应用算法纳入CME框架进行统一管理，后台运行算法通过NIMM框架进行管理调度；以SpringBoot微服务框架作为后端开发框架，提供气象产品快速访问；以WebGL+H5作为前端开发语言，提供高效数据渲染能力以及高质量渲染效果。</w:t>
      </w:r>
    </w:p>
    <w:p>
      <w:pPr>
        <w:pStyle w:val="Heading2"/>
        <w:keepNext/>
        <w:keepLines/>
        <w:widowControl w:val="0"/>
        <w:numPr>
          <w:ilvl w:val="1"/>
          <w:numId w:val="4"/>
        </w:numPr>
        <w:tabs>
          <w:tab w:val="clear" w:pos="0"/>
          <w:tab w:val="left" w:pos="576"/>
        </w:tabs>
        <w:spacing w:before="163" w:beforeLines="50" w:after="163" w:afterLines="50" w:line="416" w:lineRule="auto"/>
        <w:ind w:left="576" w:hanging="576"/>
        <w:jc w:val="both"/>
      </w:pPr>
      <w:bookmarkStart w:id="77" w:name="_Toc12134"/>
      <w:r>
        <w:rPr>
          <w:rFonts w:hint="eastAsia"/>
        </w:rPr>
        <w:t>相关标准</w:t>
      </w:r>
      <w:bookmarkEnd w:id="77"/>
    </w:p>
    <w:p>
      <w:pPr>
        <w:spacing w:before="163" w:after="163"/>
        <w:ind w:firstLine="420" w:firstLineChars="200"/>
        <w:jc w:val="left"/>
        <w:rPr>
          <w:rFonts w:ascii="宋体" w:hAnsi="宋体"/>
        </w:rPr>
      </w:pPr>
      <w:r>
        <w:rPr>
          <w:rFonts w:ascii="宋体" w:hAnsi="宋体" w:hint="eastAsia"/>
        </w:rPr>
        <w:t>（</w:t>
      </w:r>
      <w:r>
        <w:rPr>
          <w:rFonts w:ascii="宋体" w:hAnsi="宋体"/>
        </w:rPr>
        <w:t>1</w:t>
      </w:r>
      <w:r>
        <w:rPr>
          <w:rFonts w:ascii="宋体" w:hAnsi="宋体" w:hint="eastAsia"/>
        </w:rPr>
        <w:t>）</w:t>
      </w:r>
      <w:r>
        <w:rPr>
          <w:rFonts w:ascii="宋体" w:hAnsi="宋体"/>
        </w:rPr>
        <w:tab/>
      </w:r>
      <w:r>
        <w:rPr>
          <w:rFonts w:ascii="宋体" w:hAnsi="宋体" w:hint="eastAsia"/>
        </w:rPr>
        <w:t>《</w:t>
      </w:r>
      <w:r>
        <w:rPr>
          <w:rFonts w:ascii="宋体" w:hAnsi="宋体"/>
        </w:rPr>
        <w:t xml:space="preserve">ISO9001 </w:t>
      </w:r>
      <w:r>
        <w:rPr>
          <w:rFonts w:ascii="宋体" w:hAnsi="宋体" w:hint="eastAsia"/>
        </w:rPr>
        <w:t>标准规范》（</w:t>
      </w:r>
      <w:r>
        <w:rPr>
          <w:rFonts w:ascii="宋体" w:hAnsi="宋体"/>
        </w:rPr>
        <w:t>GB/T 19001-2000</w:t>
      </w:r>
      <w:r>
        <w:rPr>
          <w:rFonts w:ascii="宋体" w:hAnsi="宋体" w:hint="eastAsia"/>
        </w:rPr>
        <w:t>）</w:t>
      </w:r>
    </w:p>
    <w:p>
      <w:pPr>
        <w:spacing w:before="163" w:after="163"/>
        <w:ind w:firstLine="420" w:firstLineChars="200"/>
        <w:jc w:val="left"/>
        <w:rPr>
          <w:rFonts w:ascii="宋体" w:hAnsi="宋体"/>
        </w:rPr>
      </w:pPr>
      <w:r>
        <w:rPr>
          <w:rFonts w:ascii="宋体" w:hAnsi="宋体" w:hint="eastAsia"/>
        </w:rPr>
        <w:t>（</w:t>
      </w:r>
      <w:r>
        <w:rPr>
          <w:rFonts w:ascii="宋体" w:hAnsi="宋体"/>
        </w:rPr>
        <w:t>2</w:t>
      </w:r>
      <w:r>
        <w:rPr>
          <w:rFonts w:ascii="宋体" w:hAnsi="宋体" w:hint="eastAsia"/>
        </w:rPr>
        <w:t>）</w:t>
      </w:r>
      <w:r>
        <w:rPr>
          <w:rFonts w:ascii="宋体" w:hAnsi="宋体"/>
        </w:rPr>
        <w:tab/>
      </w:r>
      <w:r>
        <w:rPr>
          <w:rFonts w:ascii="宋体" w:hAnsi="宋体" w:hint="eastAsia"/>
        </w:rPr>
        <w:t>《计算机软件配置管理计划规范》（</w:t>
      </w:r>
      <w:r>
        <w:rPr>
          <w:rFonts w:ascii="宋体" w:hAnsi="宋体"/>
        </w:rPr>
        <w:t>GB/T 12505-90）</w:t>
      </w:r>
    </w:p>
    <w:p>
      <w:pPr>
        <w:spacing w:before="163" w:after="163"/>
        <w:ind w:firstLine="420" w:firstLineChars="200"/>
        <w:jc w:val="left"/>
        <w:rPr>
          <w:rFonts w:ascii="宋体" w:hAnsi="宋体"/>
        </w:rPr>
      </w:pPr>
      <w:r>
        <w:rPr>
          <w:rFonts w:ascii="宋体" w:hAnsi="宋体" w:hint="eastAsia"/>
        </w:rPr>
        <w:t>（</w:t>
      </w:r>
      <w:r>
        <w:rPr>
          <w:rFonts w:ascii="宋体" w:hAnsi="宋体"/>
        </w:rPr>
        <w:t>3</w:t>
      </w:r>
      <w:r>
        <w:rPr>
          <w:rFonts w:ascii="宋体" w:hAnsi="宋体" w:hint="eastAsia"/>
        </w:rPr>
        <w:t>）</w:t>
      </w:r>
      <w:r>
        <w:rPr>
          <w:rFonts w:ascii="宋体" w:hAnsi="宋体"/>
        </w:rPr>
        <w:tab/>
      </w:r>
      <w:r>
        <w:rPr>
          <w:rFonts w:ascii="宋体" w:hAnsi="宋体" w:hint="eastAsia"/>
        </w:rPr>
        <w:t>《计算机软件单元测试》（</w:t>
      </w:r>
      <w:r>
        <w:rPr>
          <w:rFonts w:ascii="宋体" w:hAnsi="宋体"/>
        </w:rPr>
        <w:t>GB/T 15532-2008）</w:t>
      </w:r>
    </w:p>
    <w:p>
      <w:pPr>
        <w:spacing w:before="163" w:after="163"/>
        <w:ind w:firstLine="420" w:firstLineChars="200"/>
        <w:jc w:val="left"/>
        <w:rPr>
          <w:rFonts w:ascii="宋体" w:hAnsi="宋体"/>
        </w:rPr>
      </w:pPr>
      <w:r>
        <w:rPr>
          <w:rFonts w:ascii="宋体" w:hAnsi="宋体" w:hint="eastAsia"/>
        </w:rPr>
        <w:t>（</w:t>
      </w:r>
      <w:r>
        <w:rPr>
          <w:rFonts w:ascii="宋体" w:hAnsi="宋体"/>
        </w:rPr>
        <w:t>4</w:t>
      </w:r>
      <w:r>
        <w:rPr>
          <w:rFonts w:ascii="宋体" w:hAnsi="宋体" w:hint="eastAsia"/>
        </w:rPr>
        <w:t>）</w:t>
      </w:r>
      <w:r>
        <w:rPr>
          <w:rFonts w:ascii="宋体" w:hAnsi="宋体"/>
        </w:rPr>
        <w:tab/>
      </w:r>
      <w:r>
        <w:rPr>
          <w:rFonts w:ascii="宋体" w:hAnsi="宋体" w:hint="eastAsia"/>
        </w:rPr>
        <w:t>《软件维护指南》（</w:t>
      </w:r>
      <w:r>
        <w:rPr>
          <w:rFonts w:ascii="宋体" w:hAnsi="宋体"/>
        </w:rPr>
        <w:t>GB/T 14079-93）</w:t>
      </w:r>
    </w:p>
    <w:p>
      <w:pPr>
        <w:spacing w:before="163" w:after="163"/>
        <w:ind w:firstLine="420" w:firstLineChars="200"/>
        <w:jc w:val="left"/>
        <w:rPr>
          <w:rFonts w:ascii="宋体" w:hAnsi="宋体"/>
        </w:rPr>
      </w:pPr>
      <w:r>
        <w:rPr>
          <w:rFonts w:ascii="宋体" w:hAnsi="宋体" w:hint="eastAsia"/>
        </w:rPr>
        <w:t>（</w:t>
      </w:r>
      <w:r>
        <w:rPr>
          <w:rFonts w:ascii="宋体" w:hAnsi="宋体"/>
        </w:rPr>
        <w:t>5</w:t>
      </w:r>
      <w:r>
        <w:rPr>
          <w:rFonts w:ascii="宋体" w:hAnsi="宋体" w:hint="eastAsia"/>
        </w:rPr>
        <w:t>）</w:t>
      </w:r>
      <w:r>
        <w:rPr>
          <w:rFonts w:ascii="宋体" w:hAnsi="宋体"/>
        </w:rPr>
        <w:tab/>
      </w:r>
      <w:r>
        <w:rPr>
          <w:rFonts w:ascii="宋体" w:hAnsi="宋体" w:hint="eastAsia"/>
        </w:rPr>
        <w:t>《计算机软件开发规范》（</w:t>
      </w:r>
      <w:r>
        <w:rPr>
          <w:rFonts w:ascii="宋体" w:hAnsi="宋体"/>
        </w:rPr>
        <w:t>GB 8566-88）</w:t>
      </w:r>
    </w:p>
    <w:p>
      <w:pPr>
        <w:spacing w:before="163" w:after="163"/>
        <w:ind w:firstLine="420" w:firstLineChars="200"/>
        <w:jc w:val="left"/>
        <w:rPr>
          <w:rFonts w:ascii="宋体" w:hAnsi="宋体"/>
        </w:rPr>
      </w:pPr>
      <w:r>
        <w:rPr>
          <w:rFonts w:ascii="宋体" w:hAnsi="宋体" w:hint="eastAsia"/>
        </w:rPr>
        <w:t>（</w:t>
      </w:r>
      <w:r>
        <w:rPr>
          <w:rFonts w:ascii="宋体" w:hAnsi="宋体"/>
        </w:rPr>
        <w:t>6</w:t>
      </w:r>
      <w:r>
        <w:rPr>
          <w:rFonts w:ascii="宋体" w:hAnsi="宋体" w:hint="eastAsia"/>
        </w:rPr>
        <w:t>）</w:t>
      </w:r>
      <w:r>
        <w:rPr>
          <w:rFonts w:ascii="宋体" w:hAnsi="宋体"/>
        </w:rPr>
        <w:tab/>
      </w:r>
      <w:r>
        <w:rPr>
          <w:rFonts w:ascii="宋体" w:hAnsi="宋体" w:hint="eastAsia"/>
        </w:rPr>
        <w:t>《计算机软件文档编制规范》（</w:t>
      </w:r>
      <w:r>
        <w:rPr>
          <w:rFonts w:ascii="宋体" w:hAnsi="宋体"/>
        </w:rPr>
        <w:t>GB 8567-2006）</w:t>
      </w:r>
    </w:p>
    <w:p>
      <w:pPr>
        <w:spacing w:before="163" w:after="163"/>
        <w:ind w:firstLine="420" w:firstLineChars="200"/>
        <w:jc w:val="left"/>
        <w:rPr>
          <w:rFonts w:ascii="宋体" w:hAnsi="宋体"/>
        </w:rPr>
      </w:pPr>
      <w:r>
        <w:rPr>
          <w:rFonts w:ascii="宋体" w:hAnsi="宋体" w:hint="eastAsia"/>
        </w:rPr>
        <w:t>（</w:t>
      </w:r>
      <w:r>
        <w:rPr>
          <w:rFonts w:ascii="宋体" w:hAnsi="宋体"/>
        </w:rPr>
        <w:t>7</w:t>
      </w:r>
      <w:r>
        <w:rPr>
          <w:rFonts w:ascii="宋体" w:hAnsi="宋体" w:hint="eastAsia"/>
        </w:rPr>
        <w:t>）</w:t>
      </w:r>
      <w:r>
        <w:rPr>
          <w:rFonts w:ascii="宋体" w:hAnsi="宋体"/>
        </w:rPr>
        <w:tab/>
      </w:r>
      <w:r>
        <w:rPr>
          <w:rFonts w:ascii="宋体" w:hAnsi="宋体" w:hint="eastAsia"/>
        </w:rPr>
        <w:t>《计算机软件可靠性和可维护性管理》</w:t>
      </w:r>
      <w:r>
        <w:rPr>
          <w:rFonts w:ascii="宋体" w:hAnsi="宋体"/>
        </w:rPr>
        <w:t>(GB/T 1394-93)</w:t>
      </w:r>
    </w:p>
    <w:p>
      <w:pPr>
        <w:spacing w:before="163" w:after="163"/>
        <w:ind w:firstLine="420" w:firstLineChars="200"/>
        <w:jc w:val="left"/>
        <w:rPr>
          <w:b/>
          <w:bCs/>
          <w:vanish/>
          <w:sz w:val="32"/>
          <w:szCs w:val="32"/>
        </w:rPr>
      </w:pPr>
      <w:r>
        <w:rPr>
          <w:rFonts w:ascii="宋体" w:hAnsi="宋体" w:hint="eastAsia"/>
        </w:rPr>
        <w:t>（</w:t>
      </w:r>
      <w:r>
        <w:rPr>
          <w:rFonts w:ascii="宋体" w:hAnsi="宋体"/>
        </w:rPr>
        <w:t>8</w:t>
      </w:r>
      <w:r>
        <w:rPr>
          <w:rFonts w:ascii="宋体" w:hAnsi="宋体" w:hint="eastAsia"/>
        </w:rPr>
        <w:t>）</w:t>
      </w:r>
      <w:r>
        <w:rPr>
          <w:rFonts w:ascii="宋体" w:hAnsi="宋体"/>
        </w:rPr>
        <w:tab/>
      </w:r>
      <w:r>
        <w:rPr>
          <w:rFonts w:ascii="宋体" w:hAnsi="宋体" w:hint="eastAsia"/>
        </w:rPr>
        <w:t>《质量管理体系要求》</w:t>
      </w:r>
      <w:r>
        <w:rPr>
          <w:rFonts w:ascii="宋体" w:hAnsi="宋体"/>
        </w:rPr>
        <w:t>(GB/T 19001-2008）</w:t>
      </w:r>
      <w:bookmarkStart w:id="78" w:name="_Toc210037104"/>
      <w:bookmarkEnd w:id="78"/>
      <w:bookmarkStart w:id="79" w:name="_Toc207210509"/>
      <w:bookmarkEnd w:id="79"/>
      <w:bookmarkStart w:id="80" w:name="_Toc210037016"/>
      <w:bookmarkEnd w:id="80"/>
      <w:bookmarkStart w:id="81" w:name="_Toc207210584"/>
      <w:bookmarkEnd w:id="81"/>
      <w:bookmarkStart w:id="82" w:name="_Toc210045428"/>
      <w:bookmarkEnd w:id="82"/>
      <w:bookmarkStart w:id="83" w:name="_Toc174529237"/>
    </w:p>
    <w:p>
      <w:pPr>
        <w:pStyle w:val="ListParagraph"/>
        <w:keepNext/>
        <w:keepLines/>
        <w:numPr>
          <w:ilvl w:val="1"/>
          <w:numId w:val="5"/>
        </w:numPr>
        <w:spacing w:before="163" w:after="163" w:line="416" w:lineRule="auto"/>
        <w:ind w:firstLineChars="0"/>
        <w:outlineLvl w:val="2"/>
        <w:rPr>
          <w:b/>
          <w:bCs/>
          <w:vanish/>
          <w:sz w:val="32"/>
          <w:szCs w:val="32"/>
        </w:rPr>
      </w:pPr>
      <w:bookmarkStart w:id="84" w:name="_Toc207210585"/>
      <w:bookmarkEnd w:id="84"/>
      <w:bookmarkStart w:id="85" w:name="_Toc210037017"/>
      <w:bookmarkEnd w:id="85"/>
      <w:bookmarkStart w:id="86" w:name="_Toc211930001"/>
      <w:bookmarkEnd w:id="86"/>
      <w:bookmarkStart w:id="87" w:name="_Toc210045429"/>
      <w:bookmarkEnd w:id="87"/>
      <w:bookmarkStart w:id="88" w:name="_Toc207210510"/>
      <w:bookmarkEnd w:id="88"/>
      <w:bookmarkStart w:id="89" w:name="_Toc211872921"/>
      <w:bookmarkEnd w:id="89"/>
      <w:bookmarkStart w:id="90" w:name="_Toc211872992"/>
      <w:bookmarkEnd w:id="90"/>
      <w:bookmarkStart w:id="91" w:name="_Toc210037105"/>
      <w:bookmarkEnd w:id="91"/>
    </w:p>
    <w:p>
      <w:pPr>
        <w:pStyle w:val="ListParagraph"/>
        <w:keepNext/>
        <w:keepLines/>
        <w:numPr>
          <w:ilvl w:val="1"/>
          <w:numId w:val="5"/>
        </w:numPr>
        <w:spacing w:before="163" w:after="163" w:line="416" w:lineRule="auto"/>
        <w:ind w:firstLineChars="0"/>
        <w:outlineLvl w:val="2"/>
        <w:rPr>
          <w:b/>
          <w:bCs/>
          <w:vanish/>
          <w:sz w:val="32"/>
          <w:szCs w:val="32"/>
        </w:rPr>
      </w:pPr>
      <w:bookmarkStart w:id="92" w:name="_Toc210045430"/>
      <w:bookmarkEnd w:id="92"/>
      <w:bookmarkStart w:id="93" w:name="_Toc211872993"/>
      <w:bookmarkEnd w:id="93"/>
      <w:bookmarkStart w:id="94" w:name="_Toc210037018"/>
      <w:bookmarkEnd w:id="94"/>
      <w:bookmarkStart w:id="95" w:name="_Toc210037106"/>
      <w:bookmarkEnd w:id="95"/>
      <w:bookmarkStart w:id="96" w:name="_Toc207210586"/>
      <w:bookmarkEnd w:id="96"/>
      <w:bookmarkStart w:id="97" w:name="_Toc211872922"/>
      <w:bookmarkEnd w:id="97"/>
      <w:bookmarkStart w:id="98" w:name="_Toc207210511"/>
      <w:bookmarkEnd w:id="98"/>
      <w:bookmarkStart w:id="99" w:name="_Toc211930002"/>
      <w:bookmarkEnd w:id="99"/>
    </w:p>
    <w:p>
      <w:pPr>
        <w:pStyle w:val="ListParagraph"/>
        <w:keepNext/>
        <w:keepLines/>
        <w:numPr>
          <w:ilvl w:val="1"/>
          <w:numId w:val="5"/>
        </w:numPr>
        <w:spacing w:before="163" w:after="163" w:line="416" w:lineRule="auto"/>
        <w:ind w:firstLineChars="0"/>
        <w:outlineLvl w:val="2"/>
        <w:rPr>
          <w:b/>
          <w:bCs/>
          <w:vanish/>
          <w:sz w:val="32"/>
          <w:szCs w:val="32"/>
        </w:rPr>
      </w:pPr>
      <w:bookmarkStart w:id="100" w:name="_Toc211872923"/>
      <w:bookmarkEnd w:id="100"/>
      <w:bookmarkStart w:id="101" w:name="_Toc207210587"/>
      <w:bookmarkEnd w:id="101"/>
      <w:bookmarkStart w:id="102" w:name="_Toc210045431"/>
      <w:bookmarkEnd w:id="102"/>
      <w:bookmarkStart w:id="103" w:name="_Toc210037019"/>
      <w:bookmarkEnd w:id="103"/>
      <w:bookmarkStart w:id="104" w:name="_Toc211930003"/>
      <w:bookmarkEnd w:id="104"/>
      <w:bookmarkStart w:id="105" w:name="_Toc210037107"/>
      <w:bookmarkEnd w:id="105"/>
      <w:bookmarkStart w:id="106" w:name="_Toc211872994"/>
      <w:bookmarkEnd w:id="106"/>
      <w:bookmarkStart w:id="107" w:name="_Toc207210512"/>
      <w:bookmarkEnd w:id="107"/>
    </w:p>
    <w:bookmarkEnd w:id="74"/>
    <w:bookmarkEnd w:id="75"/>
    <w:bookmarkEnd w:id="76"/>
    <w:bookmarkEnd w:id="83"/>
    <w:p>
      <w:pPr>
        <w:pStyle w:val="NormalIndent"/>
        <w:spacing w:before="163" w:after="163" w:line="360" w:lineRule="auto"/>
        <w:ind w:firstLine="480"/>
        <w:rPr>
          <w:rFonts w:ascii="宋体" w:hAnsi="宋体"/>
          <w:sz w:val="24"/>
        </w:rPr>
        <w:sectPr>
          <w:pgSz w:w="11906" w:h="16838"/>
          <w:pgMar w:top="1440" w:right="1800" w:bottom="1440" w:left="1800" w:header="851" w:footer="851" w:gutter="0"/>
          <w:cols w:num="1" w:space="425"/>
          <w:docGrid w:type="lines" w:linePitch="326" w:charSpace="0"/>
        </w:sectPr>
      </w:pPr>
    </w:p>
    <w:p>
      <w:pPr>
        <w:pStyle w:val="Heading1"/>
        <w:keepNext/>
        <w:keepLines/>
        <w:widowControl w:val="0"/>
        <w:numPr>
          <w:ilvl w:val="0"/>
          <w:numId w:val="4"/>
        </w:numPr>
        <w:tabs>
          <w:tab w:val="left" w:pos="0"/>
          <w:tab w:val="left" w:pos="180"/>
          <w:tab w:val="left" w:pos="360"/>
          <w:tab w:val="left" w:pos="540"/>
        </w:tabs>
        <w:spacing w:before="163" w:beforeLines="50" w:after="163" w:afterLines="50" w:line="578" w:lineRule="auto"/>
        <w:ind w:left="0" w:firstLine="0"/>
        <w:jc w:val="both"/>
      </w:pPr>
      <w:bookmarkStart w:id="108" w:name="_Toc29812"/>
      <w:r>
        <w:rPr>
          <w:rFonts w:hint="eastAsia"/>
        </w:rPr>
        <w:t>技术规格要求</w:t>
      </w:r>
      <w:bookmarkEnd w:id="108"/>
    </w:p>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109" w:name="_Toc271376210"/>
      <w:bookmarkStart w:id="110" w:name="_Toc1418"/>
      <w:bookmarkStart w:id="111" w:name="_Toc273087725"/>
      <w:bookmarkStart w:id="112" w:name="_Toc271988775"/>
      <w:r>
        <w:rPr>
          <w:rFonts w:hint="eastAsia"/>
        </w:rPr>
        <w:t>总体功能需求</w:t>
      </w:r>
      <w:bookmarkEnd w:id="109"/>
      <w:bookmarkEnd w:id="110"/>
      <w:bookmarkEnd w:id="111"/>
      <w:bookmarkEnd w:id="112"/>
    </w:p>
    <w:p>
      <w:pPr>
        <w:pStyle w:val="ListParagraph"/>
        <w:keepNext/>
        <w:keepLines/>
        <w:numPr>
          <w:ilvl w:val="0"/>
          <w:numId w:val="5"/>
        </w:numPr>
        <w:spacing w:before="163" w:after="163" w:line="416" w:lineRule="auto"/>
        <w:ind w:firstLineChars="0"/>
        <w:outlineLvl w:val="2"/>
        <w:rPr>
          <w:b/>
          <w:bCs/>
          <w:vanish/>
          <w:sz w:val="32"/>
          <w:szCs w:val="32"/>
        </w:rPr>
      </w:pPr>
      <w:bookmarkStart w:id="113" w:name="_Toc210045456"/>
      <w:bookmarkEnd w:id="113"/>
      <w:bookmarkStart w:id="114" w:name="_Toc207210613"/>
      <w:bookmarkEnd w:id="114"/>
      <w:bookmarkStart w:id="115" w:name="_Toc210037044"/>
      <w:bookmarkEnd w:id="115"/>
      <w:bookmarkStart w:id="116" w:name="_Toc211872997"/>
      <w:bookmarkEnd w:id="116"/>
      <w:bookmarkStart w:id="117" w:name="_Toc211872926"/>
      <w:bookmarkEnd w:id="117"/>
      <w:bookmarkStart w:id="118" w:name="_Toc211930006"/>
      <w:bookmarkEnd w:id="118"/>
      <w:bookmarkStart w:id="119" w:name="_Toc210037132"/>
      <w:bookmarkEnd w:id="119"/>
      <w:bookmarkStart w:id="120" w:name="_Toc207210538"/>
      <w:bookmarkEnd w:id="120"/>
    </w:p>
    <w:p>
      <w:pPr>
        <w:pStyle w:val="ListParagraph"/>
        <w:keepNext/>
        <w:keepLines/>
        <w:numPr>
          <w:ilvl w:val="1"/>
          <w:numId w:val="5"/>
        </w:numPr>
        <w:spacing w:before="163" w:after="163" w:line="416" w:lineRule="auto"/>
        <w:ind w:firstLineChars="0"/>
        <w:outlineLvl w:val="2"/>
        <w:rPr>
          <w:b/>
          <w:bCs/>
          <w:vanish/>
          <w:sz w:val="32"/>
          <w:szCs w:val="32"/>
        </w:rPr>
      </w:pPr>
      <w:bookmarkStart w:id="121" w:name="_Toc210037133"/>
      <w:bookmarkEnd w:id="121"/>
      <w:bookmarkStart w:id="122" w:name="_Toc207210614"/>
      <w:bookmarkEnd w:id="122"/>
      <w:bookmarkStart w:id="123" w:name="_Toc210045457"/>
      <w:bookmarkEnd w:id="123"/>
      <w:bookmarkStart w:id="124" w:name="_Toc211930007"/>
      <w:bookmarkEnd w:id="124"/>
      <w:bookmarkStart w:id="125" w:name="_Toc207210539"/>
      <w:bookmarkEnd w:id="125"/>
      <w:bookmarkStart w:id="126" w:name="_Toc210037045"/>
      <w:bookmarkEnd w:id="126"/>
      <w:bookmarkStart w:id="127" w:name="_Toc211872927"/>
      <w:bookmarkEnd w:id="127"/>
      <w:bookmarkStart w:id="128" w:name="_Toc211872998"/>
      <w:bookmarkEnd w:id="128"/>
    </w:p>
    <w:bookmarkEnd w:id="68"/>
    <w:bookmarkEnd w:id="69"/>
    <w:p>
      <w:pPr>
        <w:spacing w:before="163" w:after="163" w:line="572" w:lineRule="exact"/>
        <w:ind w:firstLine="640"/>
        <w:rPr>
          <w:color w:val="000000"/>
          <w:szCs w:val="32"/>
        </w:rPr>
      </w:pPr>
      <w:bookmarkStart w:id="129" w:name="_Toc271988780"/>
      <w:bookmarkStart w:id="130" w:name="_Toc273087741"/>
      <w:bookmarkStart w:id="131" w:name="_Toc271815025"/>
      <w:r>
        <w:rPr>
          <w:rFonts w:hint="eastAsia"/>
          <w:color w:val="000000"/>
          <w:szCs w:val="32"/>
        </w:rPr>
        <w:t>气象信息综合分析处理系统强对流版-强对流天气预报分析制作系统</w:t>
      </w:r>
      <w:r>
        <w:rPr>
          <w:color w:val="000000"/>
          <w:szCs w:val="32"/>
        </w:rPr>
        <w:t>包括强对流天气监测、预报、预警、业务流程中的整体框架、核心功能和通用组件，开发气象数据获取、二三维显示、人机交互、预报预测、</w:t>
      </w:r>
      <w:r>
        <w:rPr>
          <w:rFonts w:hint="eastAsia"/>
          <w:color w:val="000000"/>
          <w:szCs w:val="32"/>
        </w:rPr>
        <w:t>预警提示</w:t>
      </w:r>
      <w:r>
        <w:rPr>
          <w:color w:val="000000"/>
          <w:szCs w:val="32"/>
        </w:rPr>
        <w:t>等各类处理逻辑和交互功能组件，实现对短临监测、短临预报、短期预报、短临服务保障业务的支持。</w:t>
      </w:r>
    </w:p>
    <w:p>
      <w:pPr>
        <w:spacing w:before="163" w:after="163" w:line="572" w:lineRule="exact"/>
        <w:ind w:firstLine="640"/>
        <w:rPr>
          <w:color w:val="000000"/>
          <w:szCs w:val="32"/>
        </w:rPr>
      </w:pPr>
      <w:r>
        <w:rPr>
          <w:color w:val="000000"/>
          <w:szCs w:val="32"/>
        </w:rPr>
        <w:t>本项目在CME框架基础上，以基于天擎的数字预报基座为基础，构建满足强对流预报预警相关业务的基础数据支撑；组件算法中台是系统中枢，由强对流相关基础算法、强对流专题组件库及强对流智能算法组成</w:t>
      </w:r>
      <w:r>
        <w:rPr>
          <w:rFonts w:hint="eastAsia"/>
          <w:color w:val="000000"/>
          <w:szCs w:val="32"/>
        </w:rPr>
        <w:t>，实现统一管理</w:t>
      </w:r>
      <w:r>
        <w:rPr>
          <w:color w:val="000000"/>
          <w:szCs w:val="32"/>
        </w:rPr>
        <w:t>；顶层应用是基于CME框架发布的强对流各类业务应用场景。总体架构图如</w:t>
      </w:r>
      <w:r>
        <w:rPr>
          <w:rFonts w:hint="eastAsia"/>
          <w:color w:val="000000"/>
          <w:szCs w:val="32"/>
        </w:rPr>
        <w:t>图1所示</w:t>
      </w:r>
      <w:r>
        <w:rPr>
          <w:color w:val="000000"/>
          <w:szCs w:val="32"/>
        </w:rPr>
        <w:t>。系统采用微服务架构，基于WebSocket技术实现实时通信，通过RESTful API实现模块间的通信，采用Docker容器化技术实现服务的快速部署和弹性伸缩，结合云平台和人工智能技术，构建高可用、可扩展的技术架构。将系统拆分为多个独立的微服务模块，各个微服务统一部署在云平台上。</w:t>
      </w:r>
    </w:p>
    <w:bookmarkEnd w:id="129"/>
    <w:bookmarkEnd w:id="130"/>
    <w:bookmarkEnd w:id="131"/>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132" w:name="_Toc11379"/>
      <w:r>
        <w:rPr>
          <w:rFonts w:hint="eastAsia"/>
        </w:rPr>
        <w:t>软件子系统功能需求</w:t>
      </w:r>
      <w:bookmarkEnd w:id="132"/>
    </w:p>
    <w:p>
      <w:pPr>
        <w:pStyle w:val="ListParagraph"/>
        <w:keepNext/>
        <w:keepLines/>
        <w:numPr>
          <w:ilvl w:val="1"/>
          <w:numId w:val="5"/>
        </w:numPr>
        <w:spacing w:before="163" w:after="163" w:line="416" w:lineRule="auto"/>
        <w:ind w:firstLineChars="0"/>
        <w:outlineLvl w:val="2"/>
        <w:rPr>
          <w:b/>
          <w:bCs/>
          <w:vanish/>
          <w:sz w:val="32"/>
          <w:szCs w:val="32"/>
        </w:rPr>
      </w:pPr>
      <w:bookmarkStart w:id="133" w:name="_Toc211873000"/>
      <w:bookmarkEnd w:id="133"/>
      <w:bookmarkStart w:id="134" w:name="_Toc207210544"/>
      <w:bookmarkEnd w:id="134"/>
      <w:bookmarkStart w:id="135" w:name="_Toc211930009"/>
      <w:bookmarkEnd w:id="135"/>
      <w:bookmarkStart w:id="136" w:name="_Toc210037050"/>
      <w:bookmarkEnd w:id="136"/>
      <w:bookmarkStart w:id="137" w:name="_Toc210037138"/>
      <w:bookmarkEnd w:id="137"/>
      <w:bookmarkStart w:id="138" w:name="_Toc211872929"/>
      <w:bookmarkEnd w:id="138"/>
      <w:bookmarkStart w:id="139" w:name="_Toc210045462"/>
      <w:bookmarkEnd w:id="139"/>
      <w:bookmarkStart w:id="140" w:name="_Toc207210619"/>
      <w:bookmarkEnd w:id="140"/>
    </w:p>
    <w:p>
      <w:pPr>
        <w:pStyle w:val="Heading3"/>
        <w:keepNext/>
        <w:keepLines/>
        <w:widowControl w:val="0"/>
        <w:numPr>
          <w:ilvl w:val="2"/>
          <w:numId w:val="5"/>
        </w:numPr>
        <w:spacing w:before="163" w:beforeLines="50" w:after="163" w:afterLines="50" w:line="416" w:lineRule="auto"/>
        <w:ind w:left="720" w:hanging="720"/>
        <w:jc w:val="both"/>
      </w:pPr>
      <w:bookmarkStart w:id="141" w:name="_Toc30825"/>
      <w:r>
        <w:rPr>
          <w:rFonts w:hint="eastAsia"/>
        </w:rPr>
        <w:t>强对流预报预警前端显示引擎子系统</w:t>
      </w:r>
      <w:bookmarkEnd w:id="141"/>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按照CME框架构建满足强对流天气监测、诊断分析、产品加工等数据前端显示支撑，实现支撑综合诊断分析、短临检测应用的前端显示引擎的设计和研发，满足分钟级实况和预报资料的高效显示。</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（1）分钟级短临监测站点数据显示</w:t>
      </w:r>
    </w:p>
    <w:p>
      <w:pPr>
        <w:spacing w:before="163" w:after="163"/>
        <w:ind w:firstLine="420" w:firstLineChars="200"/>
      </w:pPr>
      <w:r>
        <w:rPr>
          <w:rFonts w:hint="eastAsia"/>
        </w:rPr>
        <w:t>展示分钟级地面观测站点的实时气象数据，如温度、湿度、风速等。每个站点以图标形式标记在地图上，支持点数据的符号化自定义。</w:t>
      </w:r>
    </w:p>
    <w:p>
      <w:pPr>
        <w:spacing w:before="163" w:after="163"/>
        <w:ind w:firstLine="420" w:firstLineChars="200"/>
      </w:pPr>
      <w:r>
        <w:rPr>
          <w:rFonts w:hint="eastAsia"/>
        </w:rPr>
        <w:t>（2）格点数据显示</w:t>
      </w:r>
    </w:p>
    <w:p>
      <w:pPr>
        <w:spacing w:before="163" w:after="163"/>
        <w:ind w:firstLine="420" w:firstLineChars="200"/>
      </w:pPr>
      <w:r>
        <w:rPr>
          <w:rFonts w:hint="eastAsia"/>
        </w:rPr>
        <w:t>实现气象格点数据显示，覆盖整个区域。每个格点包含对应的气象数值，通过颜色渐变或符号表示数值大小，直观展示气象要素的空间分布，适合分析大范围气象特征。</w:t>
      </w:r>
    </w:p>
    <w:p>
      <w:pPr>
        <w:spacing w:before="163" w:after="163"/>
        <w:ind w:firstLine="420" w:firstLineChars="200"/>
      </w:pPr>
      <w:r>
        <w:rPr>
          <w:rFonts w:hint="eastAsia"/>
        </w:rPr>
        <w:t>（3）等值线数据显示</w:t>
      </w:r>
    </w:p>
    <w:p>
      <w:pPr>
        <w:spacing w:before="163" w:after="163"/>
        <w:ind w:firstLine="420" w:firstLineChars="200"/>
      </w:pPr>
      <w:r>
        <w:rPr>
          <w:rFonts w:hint="eastAsia"/>
        </w:rPr>
        <w:t>绘制等值线（如等温线、等压线）来表示气象要素的连续变化。等值线连接数值相等的点，清晰展示气象要素的梯度和分布趋势，帮助用户快速识别气象现象的范围和强度。</w:t>
      </w:r>
    </w:p>
    <w:p>
      <w:pPr>
        <w:spacing w:before="163" w:after="163"/>
        <w:ind w:firstLine="420" w:firstLineChars="200"/>
      </w:pPr>
      <w:r>
        <w:rPr>
          <w:rFonts w:hint="eastAsia"/>
        </w:rPr>
        <w:t>（4）等值面数据显示</w:t>
      </w:r>
    </w:p>
    <w:p>
      <w:pPr>
        <w:spacing w:before="163" w:after="163"/>
        <w:ind w:firstLine="420" w:firstLineChars="200"/>
      </w:pPr>
      <w:r>
        <w:rPr>
          <w:rFonts w:hint="eastAsia"/>
        </w:rPr>
        <w:t>支持强对流相关主观预报等值面数据的显示，支持强对流天气展望、概率预报落区的前端显示，提供按照斜线、纯色等填充效果，支持透明度设置。</w:t>
      </w:r>
    </w:p>
    <w:p>
      <w:pPr>
        <w:spacing w:before="163" w:after="163"/>
        <w:ind w:firstLine="420" w:firstLineChars="200"/>
      </w:pPr>
      <w:r>
        <w:rPr>
          <w:rFonts w:hint="eastAsia"/>
        </w:rPr>
        <w:t>（5）格点过滤</w:t>
      </w:r>
    </w:p>
    <w:p>
      <w:pPr>
        <w:spacing w:before="163" w:after="163"/>
        <w:ind w:firstLine="420" w:firstLineChars="200"/>
      </w:pPr>
      <w:r>
        <w:rPr>
          <w:rFonts w:hint="eastAsia"/>
        </w:rPr>
        <w:t>对格点数据进行筛选，去除不符合条件的格点（如数值异常或低于阈值）。通过设置过滤条件，可聚焦于有效数据，减少噪声干扰，提高数据质量和分析效率，适用于数据预处理阶段。</w:t>
      </w:r>
    </w:p>
    <w:p>
      <w:pPr>
        <w:spacing w:before="163" w:after="163"/>
        <w:ind w:firstLine="420" w:firstLineChars="200"/>
      </w:pPr>
      <w:r>
        <w:rPr>
          <w:rFonts w:hint="eastAsia"/>
        </w:rPr>
        <w:t>（6）站点过滤</w:t>
      </w:r>
    </w:p>
    <w:p>
      <w:pPr>
        <w:spacing w:before="163" w:after="163"/>
        <w:ind w:firstLine="420" w:firstLineChars="200"/>
      </w:pPr>
      <w:r>
        <w:rPr>
          <w:rFonts w:hint="eastAsia"/>
        </w:rPr>
        <w:t>根据特定条件（如数据质量、地理位置）筛选观测站点。过滤后的站点数据更具代表性，便于用户专注于关键站点的气象信息，提高数据的可用性和分析的针对性。</w:t>
      </w:r>
    </w:p>
    <w:p>
      <w:pPr>
        <w:spacing w:before="163" w:after="163"/>
        <w:ind w:firstLine="420" w:firstLineChars="200"/>
      </w:pPr>
      <w:r>
        <w:rPr>
          <w:rFonts w:hint="eastAsia"/>
        </w:rPr>
        <w:t>（7）数据抽稀</w:t>
      </w:r>
    </w:p>
    <w:p>
      <w:pPr>
        <w:spacing w:before="163" w:after="163"/>
        <w:ind w:firstLine="420" w:firstLineChars="200"/>
      </w:pPr>
      <w:r>
        <w:rPr>
          <w:rFonts w:hint="eastAsia"/>
        </w:rPr>
        <w:t>对密集的气象数据进行抽稀处理，减少数据量。通过合理抽稀，保留关键数据点，降低系统负载，同时保持数据的整体特征，适用于数据量大但计算资源有限的场景。</w:t>
      </w:r>
    </w:p>
    <w:p>
      <w:pPr>
        <w:spacing w:before="163" w:after="163"/>
        <w:ind w:firstLine="420" w:firstLineChars="200"/>
      </w:pPr>
      <w:r>
        <w:rPr>
          <w:rFonts w:hint="eastAsia"/>
        </w:rPr>
        <w:t>（8）前端投影坐标</w:t>
      </w:r>
    </w:p>
    <w:p>
      <w:pPr>
        <w:spacing w:before="163" w:after="163"/>
        <w:ind w:firstLine="420" w:firstLineChars="200"/>
      </w:pPr>
      <w:r>
        <w:rPr>
          <w:rFonts w:hint="eastAsia"/>
        </w:rPr>
        <w:t>将气象数据从地理坐标投影到前端显示的坐标系中。通过投影算法，确保数据在地图上准确显示，支持多种投影方式，满足不同地图类型和应用场景的需求。</w:t>
      </w:r>
    </w:p>
    <w:p>
      <w:pPr>
        <w:spacing w:before="163" w:after="163"/>
        <w:ind w:firstLine="420" w:firstLineChars="200"/>
      </w:pPr>
      <w:r>
        <w:rPr>
          <w:rFonts w:hint="eastAsia"/>
        </w:rPr>
        <w:t>（9）要素分级渲染</w:t>
      </w:r>
    </w:p>
    <w:p>
      <w:pPr>
        <w:spacing w:before="163" w:after="163"/>
        <w:ind w:firstLine="420" w:firstLineChars="200"/>
      </w:pPr>
      <w:r>
        <w:rPr>
          <w:rFonts w:hint="eastAsia"/>
        </w:rPr>
        <w:t>根据气象要素的数值范围，将其分为多个等级，并采用不同颜色或符号进行渲染。分级渲染可突出显示不同强度的气象现象，使用户更直观地理解数据差异和分布规律。</w:t>
      </w:r>
    </w:p>
    <w:p>
      <w:pPr>
        <w:spacing w:before="163" w:after="163"/>
        <w:ind w:firstLine="420" w:firstLineChars="200"/>
      </w:pPr>
      <w:r>
        <w:rPr>
          <w:rFonts w:hint="eastAsia"/>
        </w:rPr>
        <w:t>（10）指定区间标注</w:t>
      </w:r>
    </w:p>
    <w:p>
      <w:pPr>
        <w:spacing w:before="163" w:after="163"/>
        <w:ind w:firstLine="420" w:firstLineChars="200"/>
      </w:pPr>
      <w:r>
        <w:rPr>
          <w:rFonts w:hint="eastAsia"/>
        </w:rPr>
        <w:t>在指定的数值区间内对气象数据进行标注，如在高风险区域标注警戒值。标注可帮助用户快速识别关键信息，便于进行气象预警和决策支持，增强数据的可读性和实用性。</w:t>
      </w:r>
    </w:p>
    <w:p>
      <w:pPr>
        <w:pStyle w:val="Heading3"/>
        <w:keepNext/>
        <w:keepLines/>
        <w:widowControl w:val="0"/>
        <w:numPr>
          <w:ilvl w:val="2"/>
          <w:numId w:val="5"/>
        </w:numPr>
        <w:spacing w:before="163" w:beforeLines="50" w:after="163" w:afterLines="50" w:line="416" w:lineRule="auto"/>
        <w:ind w:left="720" w:hanging="720"/>
        <w:jc w:val="both"/>
      </w:pPr>
      <w:bookmarkStart w:id="142" w:name="_Toc9443"/>
      <w:r>
        <w:rPr>
          <w:rFonts w:hint="eastAsia"/>
        </w:rPr>
        <w:t>强对流预报服务业务专题数据集成子系统</w:t>
      </w:r>
      <w:bookmarkEnd w:id="142"/>
    </w:p>
    <w:p>
      <w:pPr>
        <w:pStyle w:val="ListParagraph"/>
        <w:keepNext/>
        <w:keepLines/>
        <w:numPr>
          <w:ilvl w:val="2"/>
          <w:numId w:val="6"/>
        </w:numPr>
        <w:tabs>
          <w:tab w:val="left" w:pos="720"/>
        </w:tabs>
        <w:spacing w:before="163" w:after="163" w:line="416" w:lineRule="auto"/>
        <w:ind w:firstLineChars="0"/>
        <w:outlineLvl w:val="1"/>
        <w:rPr>
          <w:rFonts w:ascii="Arial" w:eastAsia="黑体" w:hAnsi="Arial"/>
          <w:b/>
          <w:bCs/>
          <w:vanish/>
          <w:sz w:val="32"/>
          <w:szCs w:val="32"/>
        </w:rPr>
      </w:pPr>
      <w:bookmarkStart w:id="143" w:name="_Toc210045465"/>
      <w:bookmarkEnd w:id="143"/>
      <w:bookmarkStart w:id="144" w:name="_Toc207210622"/>
      <w:bookmarkEnd w:id="144"/>
      <w:bookmarkStart w:id="145" w:name="_Toc211930012"/>
      <w:bookmarkEnd w:id="145"/>
      <w:bookmarkStart w:id="146" w:name="_Toc211872932"/>
      <w:bookmarkEnd w:id="146"/>
      <w:bookmarkStart w:id="147" w:name="_Toc211873003"/>
      <w:bookmarkEnd w:id="147"/>
      <w:bookmarkStart w:id="148" w:name="_Toc210037141"/>
      <w:bookmarkEnd w:id="148"/>
      <w:bookmarkStart w:id="149" w:name="_Toc210037053"/>
      <w:bookmarkEnd w:id="149"/>
      <w:bookmarkStart w:id="150" w:name="_Toc207210547"/>
      <w:bookmarkEnd w:id="150"/>
    </w:p>
    <w:p>
      <w:pPr>
        <w:pStyle w:val="Heading4"/>
        <w:keepNext/>
        <w:keepLines/>
        <w:widowControl w:val="0"/>
        <w:numPr>
          <w:ilvl w:val="3"/>
          <w:numId w:val="6"/>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基于CME框架整合短临相关多源观测资料，包括雷达、卫星、自动站等，为短临预报提供全面的数据支持，实现数据的实时接收、处理、存储和分发，确保数据的时效性和准确性。</w:t>
      </w:r>
    </w:p>
    <w:p>
      <w:pPr>
        <w:pStyle w:val="ListParagraph"/>
        <w:keepNext/>
        <w:keepLines/>
        <w:numPr>
          <w:ilvl w:val="2"/>
          <w:numId w:val="6"/>
        </w:numPr>
        <w:tabs>
          <w:tab w:val="left" w:pos="720"/>
        </w:tabs>
        <w:spacing w:before="163" w:after="163" w:line="416" w:lineRule="auto"/>
        <w:ind w:firstLineChars="0"/>
        <w:outlineLvl w:val="1"/>
        <w:rPr>
          <w:rFonts w:ascii="Arial" w:eastAsia="黑体" w:hAnsi="Arial"/>
          <w:b/>
          <w:bCs/>
          <w:vanish/>
          <w:sz w:val="32"/>
          <w:szCs w:val="32"/>
        </w:rPr>
      </w:pPr>
      <w:bookmarkStart w:id="151" w:name="_Toc210037054"/>
      <w:bookmarkEnd w:id="151"/>
      <w:bookmarkStart w:id="152" w:name="_Toc211873004"/>
      <w:bookmarkEnd w:id="152"/>
      <w:bookmarkStart w:id="153" w:name="_Toc211872933"/>
      <w:bookmarkEnd w:id="153"/>
      <w:bookmarkStart w:id="154" w:name="_Toc210037142"/>
      <w:bookmarkEnd w:id="154"/>
      <w:bookmarkStart w:id="155" w:name="_Toc207210548"/>
      <w:bookmarkEnd w:id="155"/>
      <w:bookmarkStart w:id="156" w:name="_Toc210045466"/>
      <w:bookmarkEnd w:id="156"/>
      <w:bookmarkStart w:id="157" w:name="_Toc207210623"/>
      <w:bookmarkEnd w:id="157"/>
      <w:bookmarkStart w:id="158" w:name="_Toc211930013"/>
      <w:bookmarkEnd w:id="158"/>
    </w:p>
    <w:p>
      <w:pPr>
        <w:pStyle w:val="ListParagraph"/>
        <w:keepNext/>
        <w:keepLines/>
        <w:numPr>
          <w:ilvl w:val="2"/>
          <w:numId w:val="6"/>
        </w:numPr>
        <w:tabs>
          <w:tab w:val="left" w:pos="720"/>
        </w:tabs>
        <w:spacing w:before="163" w:after="163" w:line="416" w:lineRule="auto"/>
        <w:ind w:firstLineChars="0"/>
        <w:outlineLvl w:val="1"/>
        <w:rPr>
          <w:rFonts w:ascii="Arial" w:eastAsia="黑体" w:hAnsi="Arial"/>
          <w:b/>
          <w:bCs/>
          <w:vanish/>
          <w:sz w:val="32"/>
          <w:szCs w:val="32"/>
        </w:rPr>
      </w:pPr>
      <w:bookmarkStart w:id="159" w:name="_Toc210037055"/>
      <w:bookmarkEnd w:id="159"/>
      <w:bookmarkStart w:id="160" w:name="_Toc210045467"/>
      <w:bookmarkEnd w:id="160"/>
      <w:bookmarkStart w:id="161" w:name="_Toc207210549"/>
      <w:bookmarkEnd w:id="161"/>
      <w:bookmarkStart w:id="162" w:name="_Toc207210624"/>
      <w:bookmarkEnd w:id="162"/>
      <w:bookmarkStart w:id="163" w:name="_Toc211873005"/>
      <w:bookmarkEnd w:id="163"/>
      <w:bookmarkStart w:id="164" w:name="_Toc210037143"/>
      <w:bookmarkEnd w:id="164"/>
      <w:bookmarkStart w:id="165" w:name="_Toc211872934"/>
      <w:bookmarkEnd w:id="165"/>
      <w:bookmarkStart w:id="166" w:name="_Toc211930014"/>
      <w:bookmarkEnd w:id="166"/>
    </w:p>
    <w:p>
      <w:pPr>
        <w:pStyle w:val="ListParagraph"/>
        <w:keepNext/>
        <w:keepLines/>
        <w:numPr>
          <w:ilvl w:val="3"/>
          <w:numId w:val="6"/>
        </w:numPr>
        <w:tabs>
          <w:tab w:val="left" w:pos="864"/>
        </w:tabs>
        <w:spacing w:before="163" w:after="163" w:line="377" w:lineRule="auto"/>
        <w:ind w:firstLineChars="0"/>
        <w:outlineLvl w:val="3"/>
        <w:rPr>
          <w:rFonts w:ascii="Arial" w:eastAsia="黑体" w:hAnsi="Arial"/>
          <w:b/>
          <w:bCs/>
          <w:vanish/>
          <w:sz w:val="28"/>
          <w:szCs w:val="28"/>
        </w:rPr>
      </w:pPr>
    </w:p>
    <w:p>
      <w:pPr>
        <w:pStyle w:val="Heading4"/>
        <w:keepNext/>
        <w:keepLines/>
        <w:widowControl w:val="0"/>
        <w:numPr>
          <w:ilvl w:val="3"/>
          <w:numId w:val="6"/>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（1）常规雷达数据</w:t>
      </w:r>
    </w:p>
    <w:p>
      <w:pPr>
        <w:spacing w:before="163" w:after="163"/>
        <w:ind w:firstLine="420" w:firstLineChars="200"/>
      </w:pPr>
      <w:r>
        <w:rPr>
          <w:rFonts w:hint="eastAsia"/>
        </w:rPr>
        <w:t>实现对单站雷达、雷达拼图数据的处理和服务发布，能够实时监测雷暴、冰雹、大风等强对流天气的回波特征。雷达数据包括反射率、径向速度、谱宽等，用于识别对流单体的位置、强度和移动趋势。</w:t>
      </w:r>
    </w:p>
    <w:p>
      <w:pPr>
        <w:spacing w:before="163" w:after="163"/>
        <w:ind w:firstLine="420" w:firstLineChars="200"/>
      </w:pPr>
      <w:r>
        <w:rPr>
          <w:rFonts w:hint="eastAsia"/>
        </w:rPr>
        <w:t>（2）卫星数据</w:t>
      </w:r>
    </w:p>
    <w:p>
      <w:pPr>
        <w:spacing w:before="163" w:after="163"/>
        <w:ind w:firstLine="420" w:firstLineChars="200"/>
      </w:pPr>
      <w:r>
        <w:rPr>
          <w:rFonts w:hint="eastAsia"/>
        </w:rPr>
        <w:t>卫星遥感数据提供大范围的气象信息，包括云图、温度、湿度等。卫星多通道产品可用于识别对流云团的发展和演变，支持强对流天气的早期识别。</w:t>
      </w:r>
    </w:p>
    <w:p>
      <w:pPr>
        <w:spacing w:before="163" w:after="163"/>
        <w:ind w:firstLine="420" w:firstLineChars="200"/>
      </w:pPr>
      <w:r>
        <w:rPr>
          <w:rFonts w:hint="eastAsia"/>
        </w:rPr>
        <w:t>（3）分钟级自动站观测数据</w:t>
      </w:r>
    </w:p>
    <w:p>
      <w:pPr>
        <w:spacing w:before="163" w:after="163"/>
        <w:ind w:firstLine="420" w:firstLineChars="200"/>
      </w:pPr>
      <w:r>
        <w:rPr>
          <w:rFonts w:hint="eastAsia"/>
        </w:rPr>
        <w:t>提供分钟级地面气象要素的实时观测数据服务，如温度、湿度、风速、风向、气压和降水等。</w:t>
      </w:r>
    </w:p>
    <w:p>
      <w:pPr>
        <w:spacing w:before="163" w:after="163"/>
        <w:ind w:firstLine="420" w:firstLineChars="200"/>
      </w:pPr>
      <w:r>
        <w:rPr>
          <w:rFonts w:hint="eastAsia"/>
        </w:rPr>
        <w:t>（4）闪电定位数据</w:t>
      </w:r>
    </w:p>
    <w:p>
      <w:pPr>
        <w:spacing w:before="163" w:after="163"/>
        <w:ind w:firstLine="420" w:firstLineChars="200"/>
      </w:pPr>
      <w:r>
        <w:rPr>
          <w:rFonts w:hint="eastAsia"/>
        </w:rPr>
        <w:t>提供闪电定位数据服务，实时监测闪电的发生位置和强度，是识别雷暴活动的重要手段。</w:t>
      </w:r>
    </w:p>
    <w:p>
      <w:pPr>
        <w:spacing w:before="163" w:after="163"/>
        <w:ind w:firstLine="420" w:firstLineChars="200"/>
      </w:pPr>
      <w:r>
        <w:rPr>
          <w:rFonts w:hint="eastAsia"/>
        </w:rPr>
        <w:t>（5）中尺度数值预报模式数据服务</w:t>
      </w:r>
    </w:p>
    <w:p>
      <w:pPr>
        <w:spacing w:before="163" w:after="163"/>
        <w:ind w:firstLine="420" w:firstLineChars="200"/>
      </w:pPr>
      <w:r>
        <w:rPr>
          <w:rFonts w:hint="eastAsia"/>
        </w:rPr>
        <w:t>提供中尺度数值预报模式提供未来几小时到几天的气象要素预测，包括温度、湿度、风场等。</w:t>
      </w:r>
    </w:p>
    <w:p>
      <w:pPr>
        <w:spacing w:before="163" w:after="163"/>
        <w:ind w:firstLine="420" w:firstLineChars="200"/>
      </w:pPr>
      <w:r>
        <w:rPr>
          <w:rFonts w:hint="eastAsia"/>
        </w:rPr>
        <w:t>（6）基础地形和地理数据</w:t>
      </w:r>
    </w:p>
    <w:p>
      <w:pPr>
        <w:spacing w:before="163" w:after="163"/>
        <w:ind w:firstLine="420" w:firstLineChars="200"/>
      </w:pPr>
      <w:r>
        <w:rPr>
          <w:rFonts w:hint="eastAsia"/>
        </w:rPr>
        <w:t>地形数据（如海拔高度、山脉走向）和地理信息（如河流、湖泊）对强对流天气的形成和发展有重要影响。</w:t>
      </w:r>
    </w:p>
    <w:p>
      <w:pPr>
        <w:spacing w:before="163" w:after="163"/>
        <w:ind w:firstLine="420" w:firstLineChars="200"/>
      </w:pPr>
      <w:r>
        <w:rPr>
          <w:rFonts w:hint="eastAsia"/>
        </w:rPr>
        <w:t>（7）云雷达数据服务</w:t>
      </w:r>
    </w:p>
    <w:p>
      <w:pPr>
        <w:spacing w:before="163" w:after="163"/>
        <w:ind w:firstLine="420" w:firstLineChars="200"/>
      </w:pPr>
      <w:r>
        <w:rPr>
          <w:rFonts w:hint="eastAsia"/>
        </w:rPr>
        <w:t>对云雷达回波数据进行噪声滤除、数据校准和云层特征提取，包括云顶高度、云厚、云滴浓度等。将处理后的云层数据按照CME的标准进行发布，支持实时云图更新和历史数据查询，为气象预报提供云层动态信息。</w:t>
      </w:r>
    </w:p>
    <w:p>
      <w:pPr>
        <w:spacing w:before="163" w:after="163"/>
        <w:ind w:firstLine="420" w:firstLineChars="200"/>
      </w:pPr>
      <w:r>
        <w:rPr>
          <w:rFonts w:hint="eastAsia"/>
        </w:rPr>
        <w:t>（8）激光测风雷达</w:t>
      </w:r>
    </w:p>
    <w:p>
      <w:pPr>
        <w:spacing w:before="163" w:after="163"/>
        <w:ind w:firstLine="420" w:firstLineChars="200"/>
      </w:pPr>
      <w:r>
        <w:rPr>
          <w:rFonts w:hint="eastAsia"/>
        </w:rPr>
        <w:t>对激光测风雷达的风速、风向数据进行质量控制和数据融合，提供高时空分辨率的风场数据，支持风场三维可视化，为航空气象和强对流监测提供实时风场信息。</w:t>
      </w:r>
    </w:p>
    <w:p>
      <w:pPr>
        <w:spacing w:before="163" w:after="163"/>
        <w:ind w:firstLine="420" w:firstLineChars="200"/>
      </w:pPr>
      <w:r>
        <w:rPr>
          <w:rFonts w:hint="eastAsia"/>
        </w:rPr>
        <w:t>（9）微雨雷达</w:t>
      </w:r>
    </w:p>
    <w:p>
      <w:pPr>
        <w:spacing w:before="163" w:after="163"/>
        <w:ind w:firstLine="420" w:firstLineChars="200"/>
      </w:pPr>
      <w:r>
        <w:rPr>
          <w:rFonts w:hint="eastAsia"/>
        </w:rPr>
        <w:t>对微雨雷达的雨滴谱、降雨率等数据进行实时处理，包括数据校准和降水强度反演，发布降水实时数据服务。</w:t>
      </w:r>
    </w:p>
    <w:p>
      <w:pPr>
        <w:spacing w:before="163" w:after="163"/>
        <w:ind w:firstLine="420" w:firstLineChars="200"/>
      </w:pPr>
      <w:r>
        <w:rPr>
          <w:rFonts w:hint="eastAsia"/>
        </w:rPr>
        <w:t>（10）微波辐射计</w:t>
      </w:r>
    </w:p>
    <w:p>
      <w:pPr>
        <w:spacing w:before="163" w:after="163"/>
        <w:ind w:firstLine="420" w:firstLineChars="200"/>
      </w:pPr>
      <w:r>
        <w:rPr>
          <w:rFonts w:hint="eastAsia"/>
        </w:rPr>
        <w:t>对微波辐射计的亮度温度数据进行定标和格网化处理，修正入射角和噪声，提供大气温度、湿度廓线产品数据服务。</w:t>
      </w:r>
    </w:p>
    <w:p>
      <w:pPr>
        <w:spacing w:before="163" w:after="163"/>
        <w:ind w:firstLine="420" w:firstLineChars="200"/>
      </w:pPr>
      <w:r>
        <w:rPr>
          <w:rFonts w:hint="eastAsia"/>
        </w:rPr>
        <w:t>（11）云高仪</w:t>
      </w:r>
    </w:p>
    <w:p>
      <w:pPr>
        <w:spacing w:before="163" w:after="163"/>
        <w:ind w:firstLine="420" w:firstLineChars="200"/>
      </w:pPr>
      <w:r>
        <w:rPr>
          <w:rFonts w:hint="eastAsia"/>
        </w:rPr>
        <w:t>对云高仪的云底高度数据进行校准和数据平滑处理，确保数据的准确性，发布实时云底高度数据服务。</w:t>
      </w:r>
    </w:p>
    <w:p>
      <w:pPr>
        <w:spacing w:before="163" w:after="163"/>
        <w:ind w:firstLine="420" w:firstLineChars="200"/>
      </w:pPr>
      <w:r>
        <w:rPr>
          <w:rFonts w:hint="eastAsia"/>
        </w:rPr>
        <w:t>（12）强对流网格预报解码处理模块</w:t>
      </w:r>
    </w:p>
    <w:p>
      <w:pPr>
        <w:spacing w:before="163" w:after="163"/>
        <w:ind w:firstLine="420" w:firstLineChars="200"/>
      </w:pPr>
      <w:r>
        <w:rPr>
          <w:rFonts w:hint="eastAsia"/>
        </w:rPr>
        <w:t>对获取的短时强降水、冰雹、雷暴大风等强对流网格预报指导产品进行解码处理。</w:t>
      </w:r>
    </w:p>
    <w:p>
      <w:pPr>
        <w:spacing w:before="163" w:after="163"/>
        <w:ind w:firstLine="420" w:firstLineChars="200"/>
      </w:pPr>
      <w:r>
        <w:rPr>
          <w:rFonts w:hint="eastAsia"/>
        </w:rPr>
        <w:t>（13）强对流网格预报数据服务模块</w:t>
      </w:r>
    </w:p>
    <w:p>
      <w:pPr>
        <w:spacing w:before="163" w:after="163"/>
        <w:ind w:firstLine="420" w:firstLineChars="200"/>
      </w:pPr>
      <w:r>
        <w:rPr>
          <w:rFonts w:hint="eastAsia"/>
        </w:rPr>
        <w:t>将解码后的数据进行格式转换处理，数据格式转换统一按照数字预报基座的规范进行服务发布，提供对应格点数据接口。</w:t>
      </w:r>
    </w:p>
    <w:p>
      <w:pPr>
        <w:pStyle w:val="Heading3"/>
        <w:keepNext/>
        <w:keepLines/>
        <w:widowControl w:val="0"/>
        <w:numPr>
          <w:ilvl w:val="2"/>
          <w:numId w:val="5"/>
        </w:numPr>
        <w:spacing w:before="163" w:beforeLines="50" w:after="163" w:afterLines="50" w:line="416" w:lineRule="auto"/>
        <w:ind w:left="720" w:hanging="720"/>
        <w:jc w:val="both"/>
      </w:pPr>
      <w:bookmarkStart w:id="167" w:name="_Toc14103"/>
      <w:r>
        <w:rPr>
          <w:rFonts w:hint="eastAsia"/>
        </w:rPr>
        <w:t>短临预报算法集成管理子系统</w:t>
      </w:r>
      <w:bookmarkEnd w:id="167"/>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通过CME框架管理体系，开发适用于短临预报的数值预报模型和统计预报方法模型接入管理，提供算法注册、管理和调用接口，方便用户根据需求选择合适的预报算法。</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（1）算法服务发现</w:t>
      </w:r>
    </w:p>
    <w:p>
      <w:pPr>
        <w:spacing w:before="163" w:after="163"/>
        <w:ind w:firstLine="420" w:firstLineChars="200"/>
      </w:pPr>
      <w:r>
        <w:rPr>
          <w:rFonts w:hint="eastAsia"/>
        </w:rPr>
        <w:t>所有服务均可通过服务发现机制找到其他已发布服务的地址和端口。这使得服务可以动态地发现和连接到其他服务，而无需人工配置。</w:t>
      </w:r>
    </w:p>
    <w:p>
      <w:pPr>
        <w:spacing w:before="163" w:after="163"/>
        <w:ind w:firstLine="420" w:firstLineChars="200"/>
      </w:pPr>
      <w:r>
        <w:rPr>
          <w:rFonts w:hint="eastAsia"/>
        </w:rPr>
        <w:t>（2）算法服务元信息管理</w:t>
      </w:r>
    </w:p>
    <w:p>
      <w:pPr>
        <w:spacing w:before="163" w:after="163"/>
        <w:ind w:firstLine="420" w:firstLineChars="200"/>
      </w:pPr>
      <w:r>
        <w:rPr>
          <w:rFonts w:hint="eastAsia"/>
        </w:rPr>
        <w:t>关于服务的信息，例如服务的名称、版本、描述、地址、端口、健康状况等。服务元信息可以存储在服务注册表中，供其他服务查询。</w:t>
      </w:r>
    </w:p>
    <w:p>
      <w:pPr>
        <w:spacing w:before="163" w:after="163"/>
        <w:ind w:firstLine="420" w:firstLineChars="200"/>
      </w:pPr>
      <w:r>
        <w:rPr>
          <w:rFonts w:hint="eastAsia"/>
        </w:rPr>
        <w:t>（3）算法服务描述规范</w:t>
      </w:r>
    </w:p>
    <w:p>
      <w:pPr>
        <w:spacing w:before="163" w:after="163"/>
        <w:ind w:firstLine="420" w:firstLineChars="200"/>
      </w:pPr>
      <w:r>
        <w:rPr>
          <w:rFonts w:hint="eastAsia"/>
        </w:rPr>
        <w:t>指定服务的描述规范，包括服务功能、开发信息、调用方式等。</w:t>
      </w:r>
    </w:p>
    <w:p>
      <w:pPr>
        <w:spacing w:before="163" w:after="163"/>
        <w:ind w:firstLine="420" w:firstLineChars="200"/>
      </w:pPr>
      <w:r>
        <w:rPr>
          <w:rFonts w:hint="eastAsia"/>
        </w:rPr>
        <w:t>（4）算法监控</w:t>
      </w:r>
    </w:p>
    <w:p>
      <w:pPr>
        <w:spacing w:before="163" w:after="163"/>
        <w:ind w:firstLine="420" w:firstLineChars="200"/>
      </w:pPr>
      <w:r>
        <w:rPr>
          <w:rFonts w:hint="eastAsia"/>
        </w:rPr>
        <w:t>监控算法的运行情况，并发现任何问题。在监控算法时，需要注意算法的性能、准确性和稳定性</w:t>
      </w:r>
    </w:p>
    <w:p>
      <w:pPr>
        <w:spacing w:before="163" w:after="163"/>
        <w:ind w:firstLine="420" w:firstLineChars="200"/>
      </w:pPr>
      <w:r>
        <w:rPr>
          <w:rFonts w:hint="eastAsia"/>
        </w:rPr>
        <w:t>（5）算法调度</w:t>
      </w:r>
    </w:p>
    <w:p>
      <w:pPr>
        <w:spacing w:before="163" w:after="163"/>
        <w:ind w:firstLine="420" w:firstLineChars="200"/>
      </w:pPr>
      <w:r>
        <w:rPr>
          <w:rFonts w:hint="eastAsia"/>
        </w:rPr>
        <w:t>对算法服务启停、参数设置、重新执行等进行调度管理，提供算法上下线等工具。</w:t>
      </w:r>
    </w:p>
    <w:p>
      <w:pPr>
        <w:spacing w:before="163" w:after="163"/>
        <w:ind w:firstLine="420" w:firstLineChars="200"/>
      </w:pPr>
      <w:r>
        <w:rPr>
          <w:rFonts w:hint="eastAsia"/>
        </w:rPr>
        <w:t>（6）算法授权</w:t>
      </w:r>
    </w:p>
    <w:p>
      <w:pPr>
        <w:spacing w:before="163" w:after="163"/>
        <w:ind w:firstLine="420" w:firstLineChars="200"/>
      </w:pPr>
      <w:r>
        <w:rPr>
          <w:rFonts w:hint="eastAsia"/>
        </w:rPr>
        <w:t>对短临相关算法的使用权限进行管理和控制。通过授权机制，确保只有经过许可的用户或系统能够调用和使用算法，从而保护算法的知识产权。</w:t>
      </w:r>
    </w:p>
    <w:p>
      <w:pPr>
        <w:pStyle w:val="Heading3"/>
        <w:keepNext/>
        <w:keepLines/>
        <w:widowControl w:val="0"/>
        <w:numPr>
          <w:ilvl w:val="2"/>
          <w:numId w:val="5"/>
        </w:numPr>
        <w:spacing w:before="163" w:beforeLines="50" w:after="163" w:afterLines="50" w:line="416" w:lineRule="auto"/>
        <w:ind w:left="720" w:hanging="720"/>
        <w:jc w:val="both"/>
      </w:pPr>
      <w:bookmarkStart w:id="168" w:name="_Toc8073"/>
      <w:r>
        <w:rPr>
          <w:rFonts w:hint="eastAsia"/>
        </w:rPr>
        <w:t>短临监测预报相关组件管理子系统</w:t>
      </w:r>
      <w:bookmarkEnd w:id="168"/>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169" w:name="_Toc207210552"/>
      <w:bookmarkEnd w:id="169"/>
      <w:bookmarkStart w:id="170" w:name="_Toc207210627"/>
      <w:bookmarkEnd w:id="170"/>
      <w:bookmarkStart w:id="171" w:name="_Toc211872937"/>
      <w:bookmarkEnd w:id="171"/>
      <w:bookmarkStart w:id="172" w:name="_Toc211930017"/>
      <w:bookmarkEnd w:id="172"/>
      <w:bookmarkStart w:id="173" w:name="_Toc210045470"/>
      <w:bookmarkEnd w:id="173"/>
      <w:bookmarkStart w:id="174" w:name="_Toc210037146"/>
      <w:bookmarkEnd w:id="174"/>
      <w:bookmarkStart w:id="175" w:name="_Toc210037058"/>
      <w:bookmarkEnd w:id="175"/>
      <w:bookmarkStart w:id="176" w:name="_Toc211873008"/>
      <w:bookmarkEnd w:id="176"/>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对短临预报预警相关业务算法、处理逻辑和显示交互功能进行封装，提供涵盖组件全生命周期的注册、引用、升级、更新、共享发布、退出、元数据管理、应用统计、评分评价等开发和管理功能。组件库包含平台通用组件、气象基础组件、业务应用组件三类。组件管理模块是用于管理和维护系统中多个独立的、可复用的组件，以实现模块化、可维护和可扩展的架构。</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（1）短临监测预报组件注册</w:t>
      </w:r>
    </w:p>
    <w:p>
      <w:pPr>
        <w:spacing w:before="163" w:after="163"/>
        <w:ind w:firstLine="420" w:firstLineChars="200"/>
      </w:pPr>
      <w:r>
        <w:rPr>
          <w:rFonts w:hint="eastAsia"/>
        </w:rPr>
        <w:t>提供组件注册功能，允许开发者将新开发的短临预报预警组件录入系统，记录组件基本信息和功能描述。</w:t>
      </w:r>
    </w:p>
    <w:p>
      <w:pPr>
        <w:spacing w:before="163" w:after="163"/>
        <w:ind w:firstLine="420" w:firstLineChars="200"/>
      </w:pPr>
      <w:r>
        <w:rPr>
          <w:rFonts w:hint="eastAsia"/>
        </w:rPr>
        <w:t>（2）短临监测预报组件引用</w:t>
      </w:r>
    </w:p>
    <w:p>
      <w:pPr>
        <w:spacing w:before="163" w:after="163"/>
        <w:ind w:firstLine="420" w:firstLineChars="200"/>
      </w:pPr>
      <w:r>
        <w:rPr>
          <w:rFonts w:hint="eastAsia"/>
        </w:rPr>
        <w:t>支持用户在系统中引用已注册的组件，实现组件的快速调用和集成，提高开发效率。</w:t>
      </w:r>
    </w:p>
    <w:p>
      <w:pPr>
        <w:spacing w:before="163" w:after="163"/>
        <w:ind w:firstLine="420" w:firstLineChars="200"/>
      </w:pPr>
      <w:r>
        <w:rPr>
          <w:rFonts w:hint="eastAsia"/>
        </w:rPr>
        <w:t>（3）短临监测预报组件升级</w:t>
      </w:r>
    </w:p>
    <w:p>
      <w:pPr>
        <w:spacing w:before="163" w:after="163"/>
        <w:ind w:firstLine="420" w:firstLineChars="200"/>
      </w:pPr>
      <w:r>
        <w:rPr>
          <w:rFonts w:hint="eastAsia"/>
        </w:rPr>
        <w:t>提供组件升级功能，允许开发者更新组件版本，确保组件的持续优化和功能扩展。</w:t>
      </w:r>
    </w:p>
    <w:p>
      <w:pPr>
        <w:spacing w:before="163" w:after="163"/>
        <w:ind w:firstLine="420" w:firstLineChars="200"/>
      </w:pPr>
      <w:r>
        <w:rPr>
          <w:rFonts w:hint="eastAsia"/>
        </w:rPr>
        <w:t>（4）短临监测预报组件更新</w:t>
      </w:r>
    </w:p>
    <w:p>
      <w:pPr>
        <w:spacing w:before="163" w:after="163"/>
        <w:ind w:firstLine="420" w:firstLineChars="200"/>
      </w:pPr>
      <w:r>
        <w:rPr>
          <w:rFonts w:hint="eastAsia"/>
        </w:rPr>
        <w:t>实现组件的自动或手动更新机制，确保系统中使用的组件始终为最新版本，提升系统稳定性。</w:t>
      </w:r>
    </w:p>
    <w:p>
      <w:pPr>
        <w:spacing w:before="163" w:after="163"/>
        <w:ind w:firstLine="420" w:firstLineChars="200"/>
      </w:pPr>
      <w:r>
        <w:rPr>
          <w:rFonts w:hint="eastAsia"/>
        </w:rPr>
        <w:t>（5）短临监测预报组件共享发布</w:t>
      </w:r>
    </w:p>
    <w:p>
      <w:pPr>
        <w:spacing w:before="163" w:after="163"/>
        <w:ind w:firstLine="420" w:firstLineChars="200"/>
      </w:pPr>
      <w:r>
        <w:rPr>
          <w:rFonts w:hint="eastAsia"/>
        </w:rPr>
        <w:t>支持将组件发布到共享平台，供其他用户或系统使用，促进组件的复用和共享。</w:t>
      </w:r>
    </w:p>
    <w:p>
      <w:pPr>
        <w:spacing w:before="163" w:after="163"/>
        <w:ind w:firstLine="420" w:firstLineChars="200"/>
      </w:pPr>
      <w:r>
        <w:rPr>
          <w:rFonts w:hint="eastAsia"/>
        </w:rPr>
        <w:t>（6）短临监测预报组件退出</w:t>
      </w:r>
    </w:p>
    <w:p>
      <w:pPr>
        <w:spacing w:before="163" w:after="163"/>
        <w:ind w:firstLine="420" w:firstLineChars="200"/>
      </w:pPr>
      <w:r>
        <w:rPr>
          <w:rFonts w:hint="eastAsia"/>
        </w:rPr>
        <w:t>提供组件退出机制，允许移除不再使用的组件，优化系统资源，保持系统整洁。</w:t>
      </w:r>
    </w:p>
    <w:p>
      <w:pPr>
        <w:spacing w:before="163" w:after="163"/>
        <w:ind w:firstLine="420" w:firstLineChars="200"/>
      </w:pPr>
      <w:r>
        <w:rPr>
          <w:rFonts w:hint="eastAsia"/>
        </w:rPr>
        <w:t>（7）短临监测预报元数据管理</w:t>
      </w:r>
    </w:p>
    <w:p>
      <w:pPr>
        <w:spacing w:before="163" w:after="163"/>
        <w:ind w:firstLine="420" w:firstLineChars="200"/>
      </w:pPr>
      <w:r>
        <w:rPr>
          <w:rFonts w:hint="eastAsia"/>
        </w:rPr>
        <w:t>管理组件的元数据，包括组件名称、版本、作者、功能描述等，便于组件的查找和管理。</w:t>
      </w:r>
    </w:p>
    <w:p>
      <w:pPr>
        <w:spacing w:before="163" w:after="163"/>
        <w:ind w:firstLine="420" w:firstLineChars="200"/>
      </w:pPr>
      <w:r>
        <w:rPr>
          <w:rFonts w:hint="eastAsia"/>
        </w:rPr>
        <w:t>（8）短临监测预报应用统计</w:t>
      </w:r>
    </w:p>
    <w:p>
      <w:pPr>
        <w:spacing w:before="163" w:after="163"/>
        <w:ind w:firstLine="420" w:firstLineChars="200"/>
      </w:pPr>
      <w:r>
        <w:rPr>
          <w:rFonts w:hint="eastAsia"/>
        </w:rPr>
        <w:t>提供组件使用统计功能，记录组件的调用次数、使用频率等，为组件优化提供数据支持。</w:t>
      </w:r>
    </w:p>
    <w:p>
      <w:pPr>
        <w:spacing w:before="163" w:after="163"/>
        <w:ind w:firstLine="420" w:firstLineChars="200"/>
      </w:pPr>
      <w:r>
        <w:rPr>
          <w:rFonts w:hint="eastAsia"/>
        </w:rPr>
        <w:t>（9）短临监测预报评分评价</w:t>
      </w:r>
    </w:p>
    <w:p>
      <w:pPr>
        <w:spacing w:before="163" w:after="163"/>
        <w:ind w:firstLine="420" w:firstLineChars="200"/>
      </w:pPr>
      <w:r>
        <w:rPr>
          <w:rFonts w:hint="eastAsia"/>
        </w:rPr>
        <w:t>支持用户对组件进行评分和评价，收集用户反馈，帮助改进组件质量。</w:t>
      </w:r>
    </w:p>
    <w:p>
      <w:pPr>
        <w:spacing w:before="163" w:after="163"/>
        <w:ind w:firstLine="420" w:firstLineChars="200"/>
      </w:pPr>
      <w:r>
        <w:rPr>
          <w:rFonts w:hint="eastAsia"/>
        </w:rPr>
        <w:t>（10）短临监测预报组件与组件仓库对接</w:t>
      </w:r>
    </w:p>
    <w:p>
      <w:pPr>
        <w:spacing w:before="163" w:after="163"/>
        <w:ind w:firstLine="420" w:firstLineChars="200"/>
      </w:pPr>
      <w:r>
        <w:rPr>
          <w:rFonts w:hint="eastAsia"/>
        </w:rPr>
        <w:t>实现短临监测预报组件与中国气象局组件仓库的打通，支持组件的同步和共享，提升系统整体资源利用效率。</w:t>
      </w:r>
    </w:p>
    <w:p>
      <w:pPr>
        <w:pStyle w:val="Heading3"/>
        <w:keepNext/>
        <w:keepLines/>
        <w:widowControl w:val="0"/>
        <w:numPr>
          <w:ilvl w:val="2"/>
          <w:numId w:val="5"/>
        </w:numPr>
        <w:spacing w:before="163" w:beforeLines="50" w:after="163" w:afterLines="50" w:line="416" w:lineRule="auto"/>
        <w:ind w:left="720" w:hanging="720"/>
        <w:jc w:val="both"/>
      </w:pPr>
      <w:bookmarkStart w:id="177" w:name="_Toc5945"/>
      <w:r>
        <w:rPr>
          <w:rFonts w:hint="eastAsia"/>
        </w:rPr>
        <w:t>国省短临预警协同业务子系统</w:t>
      </w:r>
      <w:bookmarkEnd w:id="177"/>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178" w:name="_Toc210037148"/>
      <w:bookmarkEnd w:id="178"/>
      <w:bookmarkStart w:id="179" w:name="_Toc211930019"/>
      <w:bookmarkEnd w:id="179"/>
      <w:bookmarkStart w:id="180" w:name="_Toc211872939"/>
      <w:bookmarkEnd w:id="180"/>
      <w:bookmarkStart w:id="181" w:name="_Toc207210554"/>
      <w:bookmarkEnd w:id="181"/>
      <w:bookmarkStart w:id="182" w:name="_Toc210045472"/>
      <w:bookmarkEnd w:id="182"/>
      <w:bookmarkStart w:id="183" w:name="_Toc210037060"/>
      <w:bookmarkEnd w:id="183"/>
      <w:bookmarkStart w:id="184" w:name="_Toc207210629"/>
      <w:bookmarkEnd w:id="184"/>
      <w:bookmarkStart w:id="185" w:name="_Toc211873010"/>
      <w:bookmarkEnd w:id="185"/>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建设国省消息应用模块，具备用户管理、消息传输、历史消息回滚、离线消息投递、好友管理、群组管理、群组通知等功能。支持预报员通过消息协同联动模块进行实时聊天、预报产品传输、在线会商、共享桌面等操作。</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（1）国省协同点对点消息互通模块</w:t>
      </w:r>
    </w:p>
    <w:p>
      <w:pPr>
        <w:spacing w:before="163" w:after="163"/>
        <w:ind w:firstLine="420" w:firstLineChars="200"/>
      </w:pPr>
      <w:r>
        <w:rPr>
          <w:rFonts w:hint="eastAsia"/>
        </w:rPr>
        <w:t>本模块基于WebSocket技术，实现国省两级单位之间的点对点消息互通，确保消息传递的精准性和实时性。模块支持一对一的消息发送与接收，能够根据用户身份和权限自动匹配目标接收方，确保消息的精准靶向传递。</w:t>
      </w:r>
    </w:p>
    <w:p>
      <w:pPr>
        <w:spacing w:before="163" w:after="163"/>
        <w:ind w:firstLine="420" w:firstLineChars="200"/>
      </w:pPr>
      <w:r>
        <w:rPr>
          <w:rFonts w:hint="eastAsia"/>
        </w:rPr>
        <w:t>（2）国省协同群组消息互通模块</w:t>
      </w:r>
    </w:p>
    <w:p>
      <w:pPr>
        <w:spacing w:before="163" w:after="163"/>
        <w:ind w:firstLine="420" w:firstLineChars="200"/>
      </w:pPr>
      <w:r>
        <w:rPr>
          <w:rFonts w:hint="eastAsia"/>
        </w:rPr>
        <w:t>本模块采用WebSocket技术，支持国省两级多家单位之间的群组消息互通，实现多对多实时互动功能。模块支持创建和管理多个群组，群组内支持文本、图片、文件等多种消息类型的发送与接收，同时提供群公告、群成员管理等功能，便于多方协同工作。模块还支持群组消息的实时同步和历史消息查询，确保用户能够随时查看群组内的沟通记录。</w:t>
      </w:r>
    </w:p>
    <w:p>
      <w:pPr>
        <w:spacing w:before="163" w:after="163"/>
        <w:ind w:firstLine="420" w:firstLineChars="200"/>
      </w:pPr>
      <w:r>
        <w:rPr>
          <w:rFonts w:hint="eastAsia"/>
        </w:rPr>
        <w:t>（3）国省协同桌面消息组件模块</w:t>
      </w:r>
    </w:p>
    <w:p>
      <w:pPr>
        <w:spacing w:before="163" w:after="163"/>
        <w:ind w:firstLine="420" w:firstLineChars="200"/>
      </w:pPr>
      <w:r>
        <w:rPr>
          <w:rFonts w:hint="eastAsia"/>
        </w:rPr>
        <w:t>本模块提供轻量级桌面消息组件，支持用户通过桌面客户端实时接收和响应消息。组件采用低资源占用的设计，确保在后台运行时不影响用户的其他操作。模块支持消息的弹窗提醒、声音提示等多种通知方式，确保用户能够及时处理重要信息。同时，组件还支持消息的快速回复和消息状态查看功能，进一步提升用户的操作效率。</w:t>
      </w:r>
    </w:p>
    <w:p>
      <w:pPr>
        <w:spacing w:before="163" w:after="163"/>
        <w:ind w:firstLine="420" w:firstLineChars="200"/>
      </w:pPr>
      <w:r>
        <w:rPr>
          <w:rFonts w:hint="eastAsia"/>
        </w:rPr>
        <w:t>（4）国省协同网页消息组件模块</w:t>
      </w:r>
    </w:p>
    <w:p>
      <w:pPr>
        <w:spacing w:before="163" w:after="163"/>
        <w:ind w:firstLine="420" w:firstLineChars="200"/>
      </w:pPr>
      <w:r>
        <w:rPr>
          <w:rFonts w:hint="eastAsia"/>
        </w:rPr>
        <w:t>本模块提供基于浏览器的网页消息组件，支持用户通过网页端实时接收和响应消息。组件兼容主流浏览器，用户无需安装额外软件即可使用，支持消息的弹窗提醒、声音提示等多种通知方式，确保用户能够及时处理重要信息。同时，组件还支持消息的快速回复和消息状态查看功能，进一步提升用户的操作效率。</w:t>
      </w:r>
    </w:p>
    <w:p>
      <w:pPr>
        <w:spacing w:before="163" w:after="163"/>
        <w:ind w:firstLine="420" w:firstLineChars="200"/>
      </w:pPr>
      <w:r>
        <w:rPr>
          <w:rFonts w:hint="eastAsia"/>
        </w:rPr>
        <w:t>（5）国省协同消息交互模块</w:t>
      </w:r>
    </w:p>
    <w:p>
      <w:pPr>
        <w:spacing w:before="163" w:after="163"/>
        <w:ind w:firstLine="420" w:firstLineChars="200"/>
      </w:pPr>
      <w:r>
        <w:rPr>
          <w:rFonts w:hint="eastAsia"/>
        </w:rPr>
        <w:t>本模块提供多功能消息交互界面，支持文本、图片、表情等多种消息类型的发送与接收。</w:t>
      </w:r>
    </w:p>
    <w:p>
      <w:pPr>
        <w:spacing w:before="163" w:after="163"/>
        <w:ind w:firstLine="420" w:firstLineChars="200"/>
      </w:pPr>
      <w:r>
        <w:rPr>
          <w:rFonts w:hint="eastAsia"/>
        </w:rPr>
        <w:t>（6）国省协同文件传输模块</w:t>
      </w:r>
    </w:p>
    <w:p>
      <w:pPr>
        <w:spacing w:before="163" w:after="163"/>
        <w:ind w:firstLine="420" w:firstLineChars="200"/>
      </w:pPr>
      <w:r>
        <w:rPr>
          <w:rFonts w:hint="eastAsia"/>
        </w:rPr>
        <w:t>本模块支持大文件在局域网内的快速传输，确保文件的完整性和传输速度。模块采用分片传输技术，支持断点续传和并行传输功能，大幅提升大文件的传输效率。</w:t>
      </w:r>
    </w:p>
    <w:p>
      <w:pPr>
        <w:spacing w:before="163" w:after="163"/>
        <w:ind w:firstLine="420" w:firstLineChars="200"/>
      </w:pPr>
      <w:r>
        <w:rPr>
          <w:rFonts w:hint="eastAsia"/>
        </w:rPr>
        <w:t>（7）国省协同好友及群组管理模块</w:t>
      </w:r>
    </w:p>
    <w:p>
      <w:pPr>
        <w:spacing w:before="163" w:after="163"/>
        <w:ind w:firstLine="420" w:firstLineChars="200"/>
      </w:pPr>
      <w:r>
        <w:rPr>
          <w:rFonts w:hint="eastAsia"/>
        </w:rPr>
        <w:t>本模块支持用户对好友和群组进行管理，包括创建、加入、管理群组等功能。用户可通过模块搜索和添加好友，并根据业务需求创建或加入群组。模块支持群公告发布、群成员管理等功能，便于多人协同工作。</w:t>
      </w:r>
    </w:p>
    <w:p>
      <w:pPr>
        <w:spacing w:before="163" w:after="163"/>
        <w:ind w:firstLine="420" w:firstLineChars="200"/>
      </w:pPr>
      <w:r>
        <w:rPr>
          <w:rFonts w:hint="eastAsia"/>
        </w:rPr>
        <w:t>（8）国省协同消息云化管理模块</w:t>
      </w:r>
    </w:p>
    <w:p>
      <w:pPr>
        <w:spacing w:before="163" w:after="163"/>
        <w:ind w:firstLine="420" w:firstLineChars="200"/>
      </w:pPr>
      <w:r>
        <w:rPr>
          <w:rFonts w:hint="eastAsia"/>
        </w:rPr>
        <w:t>本模块对国省协同消息进行云化管理，支持按时间、关键词等条件快速查询历史消息。模块采用分布式存储技术，确保消息数据的高可用性和可扩展性。用户可通过模块对历史消息进行分类管理和批量导出，便于后续分析和存档。</w:t>
      </w:r>
    </w:p>
    <w:p>
      <w:pPr>
        <w:spacing w:before="163" w:after="163"/>
        <w:ind w:firstLine="420" w:firstLineChars="200"/>
      </w:pPr>
      <w:r>
        <w:rPr>
          <w:rFonts w:hint="eastAsia"/>
        </w:rPr>
        <w:t>（9）国省协同消息安全加密模块</w:t>
      </w:r>
    </w:p>
    <w:p>
      <w:pPr>
        <w:spacing w:before="163" w:after="163"/>
        <w:ind w:firstLine="420" w:firstLineChars="200"/>
      </w:pPr>
      <w:r>
        <w:rPr>
          <w:rFonts w:hint="eastAsia"/>
        </w:rPr>
        <w:t>本模块采用先进的加密算法对传输的消息和存储的数据进行加密，确保通讯过程的安全性。模块支持AES、RSA、HMAC、SHA-256 加密标准，确保数据在传输和存储过程中不被窃取或篡改。</w:t>
      </w:r>
    </w:p>
    <w:p>
      <w:pPr>
        <w:spacing w:before="163" w:after="163"/>
        <w:ind w:firstLine="420" w:firstLineChars="200"/>
      </w:pPr>
      <w:r>
        <w:rPr>
          <w:rFonts w:hint="eastAsia"/>
        </w:rPr>
        <w:t>（10）国省协同消息列表模块</w:t>
      </w:r>
    </w:p>
    <w:p>
      <w:pPr>
        <w:spacing w:before="163" w:after="163"/>
        <w:ind w:firstLine="420" w:firstLineChars="200"/>
      </w:pPr>
      <w:r>
        <w:rPr>
          <w:rFonts w:hint="eastAsia"/>
        </w:rPr>
        <w:t>本模块提供消息列表功能，支持对聊天消息、产品消息等不同类型消息进行分类展示和管理。用户可通过模块查看消息状态、产品下发/响应状态，并快速打开聊天会话。模块支持消息的置顶、标记和筛选功能，便于用户快速定位重要信息。同时，模块还提供消息搜索功能，支持按关键词快速查找历史消息。</w:t>
      </w:r>
    </w:p>
    <w:p>
      <w:pPr>
        <w:spacing w:before="163" w:after="163"/>
        <w:ind w:firstLine="420" w:firstLineChars="200"/>
      </w:pPr>
      <w:r>
        <w:rPr>
          <w:rFonts w:hint="eastAsia"/>
        </w:rPr>
        <w:t>（11）国省协同历史消息导出模块</w:t>
      </w:r>
    </w:p>
    <w:p>
      <w:pPr>
        <w:spacing w:before="163" w:after="163"/>
        <w:ind w:firstLine="420" w:firstLineChars="200"/>
      </w:pPr>
      <w:r>
        <w:rPr>
          <w:rFonts w:hint="eastAsia"/>
        </w:rPr>
        <w:t>本模块支持按日期检索和导出历史聊天记录，便于用户进行数据备份和后续分析。模块提供多种导出格式选择，如Excel、CSV等，满足用户在不同场景下的数据使用需求。同时，模块还支持批量导出功能，用户可一次性导出多天的聊天记录，进一步提升操作效率。</w:t>
      </w:r>
    </w:p>
    <w:p>
      <w:pPr>
        <w:spacing w:before="163" w:after="163"/>
        <w:ind w:firstLine="420" w:firstLineChars="200"/>
      </w:pPr>
      <w:r>
        <w:rPr>
          <w:rFonts w:hint="eastAsia"/>
        </w:rPr>
        <w:t>（12）国省协同用户登录模块</w:t>
      </w:r>
    </w:p>
    <w:p>
      <w:pPr>
        <w:spacing w:before="163" w:after="163"/>
        <w:ind w:firstLine="420" w:firstLineChars="200"/>
      </w:pPr>
      <w:r>
        <w:rPr>
          <w:rFonts w:hint="eastAsia"/>
        </w:rPr>
        <w:t>本模块提供用户登录功能，并通过“心跳检测”机制实时监测用户在线状态。同时，模块还提供用户状态展示功能，实时显示用户的在线、离线等状态，便于其他用户了解其可用性。此外，模块还支持自动登录和会话管理功能，提升用户的使用体验。</w:t>
      </w:r>
    </w:p>
    <w:p>
      <w:pPr>
        <w:spacing w:before="163" w:after="163"/>
        <w:ind w:firstLine="420" w:firstLineChars="200"/>
      </w:pPr>
      <w:r>
        <w:rPr>
          <w:rFonts w:hint="eastAsia"/>
        </w:rPr>
        <w:t>（13）国省协同权限管理模块</w:t>
      </w:r>
    </w:p>
    <w:p>
      <w:pPr>
        <w:spacing w:before="163" w:after="163"/>
        <w:ind w:firstLine="420" w:firstLineChars="200"/>
      </w:pPr>
      <w:r>
        <w:rPr>
          <w:rFonts w:hint="eastAsia"/>
        </w:rPr>
        <w:t>本模块为不同用户分配权限，根据权限显示相应功能。管理员可通过模块对用户信息和权限进行管理，包括添加、删除、修改用户权限等操作。模块支持角色权限管理功能，管理员可根据业务需求创建不同的角色，并为角色分配相应的权限，确保系统的安全性和可控性。</w:t>
      </w:r>
    </w:p>
    <w:p>
      <w:pPr>
        <w:spacing w:before="163" w:after="163"/>
        <w:ind w:firstLine="420" w:firstLineChars="200"/>
      </w:pPr>
      <w:r>
        <w:rPr>
          <w:rFonts w:hint="eastAsia"/>
        </w:rPr>
        <w:t>（14）短临预报产品定向下发模块</w:t>
      </w:r>
    </w:p>
    <w:p>
      <w:pPr>
        <w:spacing w:before="163" w:after="163"/>
        <w:ind w:firstLine="420" w:firstLineChars="200"/>
      </w:pPr>
      <w:r>
        <w:rPr>
          <w:rFonts w:hint="eastAsia"/>
        </w:rPr>
        <w:t>本模块支持国家级用户对短临预报产品进行定向下发。模块可根据预警信息的影响范围，自动为当前所有影响单位快速建群，确保信息传递的精准性。同时，模块还支持产品下发的状态跟踪功能，便于国家级用户掌握产品的接收和响应情况。</w:t>
      </w:r>
    </w:p>
    <w:p>
      <w:pPr>
        <w:spacing w:before="163" w:after="163"/>
        <w:ind w:firstLine="420" w:firstLineChars="200"/>
      </w:pPr>
      <w:r>
        <w:rPr>
          <w:rFonts w:hint="eastAsia"/>
        </w:rPr>
        <w:t>（15）短临预报产品接收与响应模块</w:t>
      </w:r>
    </w:p>
    <w:p>
      <w:pPr>
        <w:spacing w:before="163" w:after="163"/>
        <w:ind w:firstLine="420" w:firstLineChars="200"/>
      </w:pPr>
      <w:r>
        <w:rPr>
          <w:rFonts w:hint="eastAsia"/>
        </w:rPr>
        <w:t>本模块提供短临预报产品消息的快速提醒功能，通过浮窗弹出强制消息，确保用户能够第一时间查看与响应。模块支持消息的快速回复和响应功能，便于用户对预警信息进行及时处理。同时，模块还提供消息的自动归档功能，确保历史预警信息的可追溯性。</w:t>
      </w:r>
    </w:p>
    <w:p>
      <w:pPr>
        <w:spacing w:before="163" w:after="163"/>
        <w:ind w:firstLine="420" w:firstLineChars="200"/>
      </w:pPr>
      <w:r>
        <w:rPr>
          <w:rFonts w:hint="eastAsia"/>
        </w:rPr>
        <w:t>（16）国省协同即时会商模块</w:t>
      </w:r>
    </w:p>
    <w:p>
      <w:pPr>
        <w:spacing w:before="163" w:after="163"/>
        <w:ind w:firstLine="420" w:firstLineChars="200"/>
      </w:pPr>
      <w:r>
        <w:rPr>
          <w:rFonts w:hint="eastAsia"/>
        </w:rPr>
        <w:t>本模块支持在国省协同组件中快速发起会商、接收会商通知、快速进入会议室等功能。模块提供会商消息的管理与记录功能，便于后续统计分析。</w:t>
      </w:r>
    </w:p>
    <w:p>
      <w:pPr>
        <w:spacing w:before="163" w:after="163"/>
        <w:ind w:firstLine="420" w:firstLineChars="200"/>
      </w:pPr>
      <w:r>
        <w:rPr>
          <w:rFonts w:hint="eastAsia"/>
        </w:rPr>
        <w:t>（17）国省协同效能评估模块</w:t>
      </w:r>
    </w:p>
    <w:p>
      <w:pPr>
        <w:spacing w:before="163" w:after="163"/>
        <w:ind w:firstLine="420" w:firstLineChars="200"/>
      </w:pPr>
      <w:r>
        <w:rPr>
          <w:rFonts w:hint="eastAsia"/>
        </w:rPr>
        <w:t>本模块提供对国省协同过程的统计与效能评估功能。模块通过对协同消息、频次等内容的统计，生成可视化的评估报告，便于事后分析和优化。</w:t>
      </w:r>
    </w:p>
    <w:p>
      <w:pPr>
        <w:spacing w:before="163" w:after="163"/>
        <w:ind w:firstLine="420" w:firstLineChars="200"/>
      </w:pPr>
      <w:r>
        <w:rPr>
          <w:rFonts w:hint="eastAsia"/>
        </w:rPr>
        <w:t>（18）国省协同多渠道消息发布模块</w:t>
      </w:r>
    </w:p>
    <w:p>
      <w:pPr>
        <w:spacing w:before="163" w:after="163"/>
        <w:ind w:firstLine="420" w:firstLineChars="200"/>
      </w:pPr>
      <w:r>
        <w:rPr>
          <w:rFonts w:hint="eastAsia"/>
        </w:rPr>
        <w:t>本模块支持消息发布接口的扩展，实现与其他即时通信软件（如微信、闪信等）的无缝对接。模块提供多渠道消息的同步发布功能，确保预警信息能够快速传递到目标用户。同时，模块还支持消息发布的状态跟踪功能，便于用户掌握消息的发布效果。</w:t>
      </w:r>
    </w:p>
    <w:p>
      <w:pPr>
        <w:spacing w:before="163" w:after="163"/>
        <w:ind w:firstLine="420" w:firstLineChars="200"/>
      </w:pPr>
      <w:r>
        <w:rPr>
          <w:rFonts w:hint="eastAsia"/>
        </w:rPr>
        <w:t>（19）国省协同智能预报助手模块</w:t>
      </w:r>
    </w:p>
    <w:p>
      <w:pPr>
        <w:spacing w:before="163" w:after="163"/>
        <w:ind w:firstLine="420" w:firstLineChars="200"/>
      </w:pPr>
      <w:r>
        <w:rPr>
          <w:rFonts w:hint="eastAsia"/>
        </w:rPr>
        <w:t>本模块基于人工智能技术和大语言模型，提供智能化的短临预报助手功能。模块支持语音或文字对话，简化预报员的操作流程。同时，模块还提供智能化提醒功能，如预警信息推送、历史年鉴检索、个例快速检索等，提升预报员的工作效率和准确性。</w:t>
      </w:r>
    </w:p>
    <w:p>
      <w:pPr>
        <w:pStyle w:val="Heading3"/>
        <w:keepNext/>
        <w:keepLines/>
        <w:widowControl w:val="0"/>
        <w:numPr>
          <w:ilvl w:val="2"/>
          <w:numId w:val="5"/>
        </w:numPr>
        <w:spacing w:before="163" w:beforeLines="50" w:after="163" w:afterLines="50" w:line="416" w:lineRule="auto"/>
        <w:ind w:left="720" w:hanging="720"/>
        <w:jc w:val="both"/>
      </w:pPr>
      <w:bookmarkStart w:id="186" w:name="_Toc12931"/>
      <w:r>
        <w:rPr>
          <w:rFonts w:hint="eastAsia"/>
        </w:rPr>
        <w:t>预警提示阈值管理子系统</w:t>
      </w:r>
      <w:bookmarkEnd w:id="186"/>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187" w:name="_Toc210037150"/>
      <w:bookmarkEnd w:id="187"/>
      <w:bookmarkStart w:id="188" w:name="_Toc210045474"/>
      <w:bookmarkEnd w:id="188"/>
      <w:bookmarkStart w:id="189" w:name="_Toc211930021"/>
      <w:bookmarkEnd w:id="189"/>
      <w:bookmarkStart w:id="190" w:name="_Toc210037062"/>
      <w:bookmarkEnd w:id="190"/>
      <w:bookmarkStart w:id="191" w:name="_Toc211873012"/>
      <w:bookmarkEnd w:id="191"/>
      <w:bookmarkStart w:id="192" w:name="_Toc211872941"/>
      <w:bookmarkEnd w:id="192"/>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显示短时临近预报业务规定的本地区警戒线范围，根据监测站点的报警阈值设置，实现站点报警以及灾害预警信息的提醒。功能主要包括实况报警、雷达报警、预报预警、报警预警设置、策略设置和黑名单管理等。针对暴雨、大风、雷暴、高温、低温等报警要素进行阈值设置，在达到历史极端阈值时发布相关短临报警提示，支持短信、语音外呼、系统弹屏等方式。</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（1）警戒线范围显示</w:t>
      </w:r>
    </w:p>
    <w:p>
      <w:pPr>
        <w:spacing w:before="163" w:after="163"/>
        <w:ind w:firstLine="420" w:firstLineChars="200"/>
      </w:pPr>
      <w:r>
        <w:rPr>
          <w:rFonts w:hint="eastAsia"/>
        </w:rPr>
        <w:t>在地图上显示本地区短时临近预报业务规定的警戒线范围，明确重点监测区域，为预警提供地理参考。</w:t>
      </w:r>
    </w:p>
    <w:p>
      <w:pPr>
        <w:spacing w:before="163" w:after="163"/>
        <w:ind w:firstLine="420" w:firstLineChars="200"/>
      </w:pPr>
      <w:r>
        <w:rPr>
          <w:rFonts w:hint="eastAsia"/>
        </w:rPr>
        <w:t>（2）监测站点管理</w:t>
      </w:r>
    </w:p>
    <w:p>
      <w:pPr>
        <w:spacing w:before="163" w:after="163"/>
        <w:ind w:firstLine="420" w:firstLineChars="200"/>
      </w:pPr>
      <w:r>
        <w:rPr>
          <w:rFonts w:hint="eastAsia"/>
        </w:rPr>
        <w:t>提供监测站点的管理功能，包括站点信息录入、编辑、删除等，确保站点数据的准确性和完整性。</w:t>
      </w:r>
    </w:p>
    <w:p>
      <w:pPr>
        <w:spacing w:before="163" w:after="163"/>
        <w:ind w:firstLine="420" w:firstLineChars="200"/>
      </w:pPr>
      <w:r>
        <w:rPr>
          <w:rFonts w:hint="eastAsia"/>
        </w:rPr>
        <w:t>（3）报警阈值设置</w:t>
      </w:r>
    </w:p>
    <w:p>
      <w:pPr>
        <w:spacing w:before="163" w:after="163"/>
        <w:ind w:firstLine="420" w:firstLineChars="200"/>
      </w:pPr>
      <w:r>
        <w:rPr>
          <w:rFonts w:hint="eastAsia"/>
        </w:rPr>
        <w:t>允许用户为不同监测站点设置报警阈值，支持多种气象要素（如降水、风速、温度等），灵活调整预警条件。</w:t>
      </w:r>
    </w:p>
    <w:p>
      <w:pPr>
        <w:spacing w:before="163" w:after="163"/>
        <w:ind w:firstLine="420" w:firstLineChars="200"/>
      </w:pPr>
      <w:r>
        <w:rPr>
          <w:rFonts w:hint="eastAsia"/>
        </w:rPr>
        <w:t>（4）实况报警功能</w:t>
      </w:r>
    </w:p>
    <w:p>
      <w:pPr>
        <w:spacing w:before="163" w:after="163"/>
        <w:ind w:firstLine="420" w:firstLineChars="200"/>
      </w:pPr>
      <w:r>
        <w:rPr>
          <w:rFonts w:hint="eastAsia"/>
        </w:rPr>
        <w:t>实时监测站点数据，当实况数据超过设定阈值时，触发实况报警，及时提醒用户当前天气异常。</w:t>
      </w:r>
    </w:p>
    <w:p>
      <w:pPr>
        <w:spacing w:before="163" w:after="163"/>
        <w:ind w:firstLine="420" w:firstLineChars="200"/>
      </w:pPr>
      <w:r>
        <w:rPr>
          <w:rFonts w:hint="eastAsia"/>
        </w:rPr>
        <w:t>（5）雷达报警功能</w:t>
      </w:r>
    </w:p>
    <w:p>
      <w:pPr>
        <w:spacing w:before="163" w:after="163"/>
        <w:ind w:firstLine="420" w:firstLineChars="200"/>
      </w:pPr>
      <w:r>
        <w:rPr>
          <w:rFonts w:hint="eastAsia"/>
        </w:rPr>
        <w:t>利用雷达数据监测天气变化，当雷达回波强度或形态达到阈值时，触发雷达报警，提前预警强对流天气。</w:t>
      </w:r>
    </w:p>
    <w:p>
      <w:pPr>
        <w:spacing w:before="163" w:after="163"/>
        <w:ind w:firstLine="420" w:firstLineChars="200"/>
      </w:pPr>
      <w:r>
        <w:rPr>
          <w:rFonts w:hint="eastAsia"/>
        </w:rPr>
        <w:t>（6）报警预警阈值设置</w:t>
      </w:r>
    </w:p>
    <w:p>
      <w:pPr>
        <w:spacing w:before="163" w:after="163"/>
        <w:ind w:firstLine="420" w:firstLineChars="200"/>
      </w:pPr>
      <w:r>
        <w:rPr>
          <w:rFonts w:hint="eastAsia"/>
        </w:rPr>
        <w:t>提供报警和预警阈值的灵活设置功能，用户可根据业务需求调整不同级别报警的触发条件。</w:t>
      </w:r>
    </w:p>
    <w:p>
      <w:pPr>
        <w:spacing w:before="163" w:after="163"/>
        <w:ind w:firstLine="420" w:firstLineChars="200"/>
      </w:pPr>
      <w:r>
        <w:rPr>
          <w:rFonts w:hint="eastAsia"/>
        </w:rPr>
        <w:t>（7）策略设置功能</w:t>
      </w:r>
    </w:p>
    <w:p>
      <w:pPr>
        <w:spacing w:before="163" w:after="163"/>
        <w:ind w:firstLine="420" w:firstLineChars="200"/>
      </w:pPr>
      <w:r>
        <w:rPr>
          <w:rFonts w:hint="eastAsia"/>
        </w:rPr>
        <w:t>允许用户定义报警触发后的响应策略，如自动发布预警信息、通知相关人员等，提高预警效率。</w:t>
      </w:r>
    </w:p>
    <w:p>
      <w:pPr>
        <w:spacing w:before="163" w:after="163"/>
        <w:ind w:firstLine="420" w:firstLineChars="200"/>
      </w:pPr>
      <w:r>
        <w:rPr>
          <w:rFonts w:hint="eastAsia"/>
        </w:rPr>
        <w:t>（8）黑名单管理</w:t>
      </w:r>
    </w:p>
    <w:p>
      <w:pPr>
        <w:spacing w:before="163" w:after="163"/>
        <w:ind w:firstLine="420" w:firstLineChars="200"/>
      </w:pPr>
      <w:r>
        <w:rPr>
          <w:rFonts w:hint="eastAsia"/>
        </w:rPr>
        <w:t>支持将误报或干扰站点加入黑名单，排除干扰数据，提高报警准确性和可靠性。</w:t>
      </w:r>
    </w:p>
    <w:p>
      <w:pPr>
        <w:spacing w:before="163" w:after="163"/>
        <w:ind w:firstLine="420" w:firstLineChars="200"/>
      </w:pPr>
      <w:r>
        <w:rPr>
          <w:rFonts w:hint="eastAsia"/>
        </w:rPr>
        <w:t>（9）报警信息推送</w:t>
      </w:r>
    </w:p>
    <w:p>
      <w:pPr>
        <w:spacing w:before="163" w:after="163"/>
        <w:ind w:firstLine="420" w:firstLineChars="200"/>
      </w:pPr>
      <w:r>
        <w:rPr>
          <w:rFonts w:hint="eastAsia"/>
        </w:rPr>
        <w:t>支持将报警信息通过多种渠道（如短信、邮件、系统弹窗）推送给用户，确保用户及时收到预警信息。</w:t>
      </w:r>
    </w:p>
    <w:p>
      <w:pPr>
        <w:pStyle w:val="Heading3"/>
        <w:keepNext/>
        <w:keepLines/>
        <w:widowControl w:val="0"/>
        <w:numPr>
          <w:ilvl w:val="2"/>
          <w:numId w:val="5"/>
        </w:numPr>
        <w:spacing w:before="163" w:beforeLines="50" w:after="163" w:afterLines="50" w:line="416" w:lineRule="auto"/>
        <w:ind w:left="720" w:hanging="720"/>
        <w:jc w:val="both"/>
      </w:pPr>
      <w:bookmarkStart w:id="193" w:name="_Toc22849"/>
      <w:r>
        <w:rPr>
          <w:rFonts w:hint="eastAsia"/>
        </w:rPr>
        <w:t>强对流天气符号交互组件子系统</w:t>
      </w:r>
      <w:bookmarkEnd w:id="193"/>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194" w:name="_Toc210037152"/>
      <w:bookmarkEnd w:id="194"/>
      <w:bookmarkStart w:id="195" w:name="_Toc210045476"/>
      <w:bookmarkEnd w:id="195"/>
      <w:bookmarkStart w:id="196" w:name="_Toc211872943"/>
      <w:bookmarkEnd w:id="196"/>
      <w:bookmarkStart w:id="197" w:name="_Toc211873014"/>
      <w:bookmarkEnd w:id="197"/>
      <w:bookmarkStart w:id="198" w:name="_Toc211930023"/>
      <w:bookmarkEnd w:id="198"/>
      <w:bookmarkStart w:id="199" w:name="_Toc210037064"/>
      <w:bookmarkEnd w:id="199"/>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包括全部短临天气预报落区、天气符号、天气系统分析、等值线、特殊符号的绘制、修改、添加删除以及重做功能。支持分类强对流短临中尺度交互分析工具模块，实现在线天气符号、落区绘制，快速一键制作导出天气图形产品，导出MICAPS等格式产品。</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（1）短临天气预报落区绘制</w:t>
      </w:r>
    </w:p>
    <w:p>
      <w:pPr>
        <w:spacing w:before="163" w:after="163"/>
        <w:ind w:firstLine="420" w:firstLineChars="200"/>
      </w:pPr>
      <w:r>
        <w:rPr>
          <w:rFonts w:hint="eastAsia"/>
        </w:rPr>
        <w:t>提供短临天气预报落区的绘制功能，用户可以手动绘制天气影响区域，支持多区域叠加和调整。</w:t>
      </w:r>
    </w:p>
    <w:p>
      <w:pPr>
        <w:spacing w:before="163" w:after="163"/>
        <w:ind w:firstLine="420" w:firstLineChars="200"/>
      </w:pPr>
      <w:r>
        <w:rPr>
          <w:rFonts w:hint="eastAsia"/>
        </w:rPr>
        <w:t>（2）天气符号绘制与编辑</w:t>
      </w:r>
    </w:p>
    <w:p>
      <w:pPr>
        <w:spacing w:before="163" w:after="163"/>
        <w:ind w:firstLine="420" w:firstLineChars="200"/>
      </w:pPr>
      <w:r>
        <w:rPr>
          <w:rFonts w:hint="eastAsia"/>
        </w:rPr>
        <w:t>支持常见天气符号的绘制和编辑，包括降水、云层、风向等符号，方便用户标注天气现象。</w:t>
      </w:r>
    </w:p>
    <w:p>
      <w:pPr>
        <w:spacing w:before="163" w:after="163"/>
        <w:ind w:firstLine="420" w:firstLineChars="200"/>
      </w:pPr>
      <w:r>
        <w:rPr>
          <w:rFonts w:hint="eastAsia"/>
        </w:rPr>
        <w:t>（3）天气系统分析工具</w:t>
      </w:r>
    </w:p>
    <w:p>
      <w:pPr>
        <w:spacing w:before="163" w:after="163"/>
        <w:ind w:firstLine="420" w:firstLineChars="200"/>
      </w:pPr>
      <w:r>
        <w:rPr>
          <w:rFonts w:hint="eastAsia"/>
        </w:rPr>
        <w:t>提供天气系统分析功能，辅助用户识别和分析高压、低压、锋面等天气系统，支持自动识别和手动调整。</w:t>
      </w:r>
    </w:p>
    <w:p>
      <w:pPr>
        <w:spacing w:before="163" w:after="163"/>
        <w:ind w:firstLine="420" w:firstLineChars="200"/>
      </w:pPr>
      <w:r>
        <w:rPr>
          <w:rFonts w:hint="eastAsia"/>
        </w:rPr>
        <w:t>（4）等值线绘制与修改</w:t>
      </w:r>
    </w:p>
    <w:p>
      <w:pPr>
        <w:spacing w:before="163" w:after="163"/>
        <w:ind w:firstLine="420" w:firstLineChars="200"/>
      </w:pPr>
      <w:r>
        <w:rPr>
          <w:rFonts w:hint="eastAsia"/>
        </w:rPr>
        <w:t>支持等值线（如等温线、等压线）的绘制和修改，用户可以自定义等值线间隔和样式，快速生成等值线图。</w:t>
      </w:r>
    </w:p>
    <w:p>
      <w:pPr>
        <w:spacing w:before="163" w:after="163"/>
        <w:ind w:firstLine="420" w:firstLineChars="200"/>
      </w:pPr>
      <w:r>
        <w:rPr>
          <w:rFonts w:hint="eastAsia"/>
        </w:rPr>
        <w:t>（5）特殊符号添加与删除</w:t>
      </w:r>
    </w:p>
    <w:p>
      <w:pPr>
        <w:spacing w:before="163" w:after="163"/>
        <w:ind w:firstLine="420" w:firstLineChars="200"/>
      </w:pPr>
      <w:r>
        <w:rPr>
          <w:rFonts w:hint="eastAsia"/>
        </w:rPr>
        <w:t>提供特殊符号（如雷暴、冰雹等）的添加和删除功能，方便用户在地图上标注特殊天气现象。</w:t>
      </w:r>
    </w:p>
    <w:p>
      <w:pPr>
        <w:spacing w:before="163" w:after="163"/>
        <w:ind w:firstLine="420" w:firstLineChars="200"/>
      </w:pPr>
      <w:r>
        <w:rPr>
          <w:rFonts w:hint="eastAsia"/>
        </w:rPr>
        <w:t>（6）数据修改与重做功能</w:t>
      </w:r>
    </w:p>
    <w:p>
      <w:pPr>
        <w:spacing w:before="163" w:after="163"/>
        <w:ind w:firstLine="420" w:firstLineChars="200"/>
      </w:pPr>
      <w:r>
        <w:rPr>
          <w:rFonts w:hint="eastAsia"/>
        </w:rPr>
        <w:t>支持对已绘制的图形进行修改和重做操作，用户可以随时调整图形内容，确保分析结果准确。</w:t>
      </w:r>
    </w:p>
    <w:p>
      <w:pPr>
        <w:spacing w:before="163" w:after="163"/>
        <w:ind w:firstLine="420" w:firstLineChars="200"/>
      </w:pPr>
      <w:r>
        <w:rPr>
          <w:rFonts w:hint="eastAsia"/>
        </w:rPr>
        <w:t>（7）强对流短临中尺度分析工具</w:t>
      </w:r>
    </w:p>
    <w:p>
      <w:pPr>
        <w:spacing w:before="163" w:after="163"/>
        <w:ind w:firstLine="420" w:firstLineChars="200"/>
      </w:pPr>
      <w:r>
        <w:rPr>
          <w:rFonts w:hint="eastAsia"/>
        </w:rPr>
        <w:t>提供分类强对流短临中尺度交互分析工具模块，支持在线天气符号和落区绘制，提升分析效率。</w:t>
      </w:r>
    </w:p>
    <w:p>
      <w:pPr>
        <w:spacing w:before="163" w:after="163"/>
        <w:ind w:firstLine="420" w:firstLineChars="200"/>
      </w:pPr>
      <w:r>
        <w:rPr>
          <w:rFonts w:hint="eastAsia"/>
        </w:rPr>
        <w:t>（8）导出MICAPS格式产品</w:t>
      </w:r>
    </w:p>
    <w:p>
      <w:pPr>
        <w:spacing w:before="163" w:after="163"/>
        <w:ind w:firstLine="420" w:firstLineChars="200"/>
      </w:pPr>
      <w:r>
        <w:rPr>
          <w:rFonts w:hint="eastAsia"/>
        </w:rPr>
        <w:t>支持将绘制的天气图形产品导出为MICAPS等专业格式，便于与其他气象系统兼容和共享。</w:t>
      </w:r>
    </w:p>
    <w:p>
      <w:pPr>
        <w:spacing w:before="163" w:after="163"/>
        <w:ind w:firstLine="420" w:firstLineChars="200"/>
      </w:pPr>
      <w:r>
        <w:rPr>
          <w:rFonts w:hint="eastAsia"/>
        </w:rPr>
        <w:t>（9）交互式图形操作</w:t>
      </w:r>
    </w:p>
    <w:p>
      <w:pPr>
        <w:spacing w:before="163" w:after="163"/>
        <w:ind w:firstLine="420" w:firstLineChars="200"/>
      </w:pPr>
      <w:r>
        <w:rPr>
          <w:rFonts w:hint="eastAsia"/>
        </w:rPr>
        <w:t>提供交互式图形操作功能，用户可以通过鼠标拖动、缩放等方式实时调整图形，增强用户体验。</w:t>
      </w:r>
    </w:p>
    <w:p>
      <w:pPr>
        <w:pStyle w:val="Heading3"/>
        <w:keepNext/>
        <w:keepLines/>
        <w:widowControl w:val="0"/>
        <w:numPr>
          <w:ilvl w:val="2"/>
          <w:numId w:val="5"/>
        </w:numPr>
        <w:spacing w:before="163" w:beforeLines="50" w:after="163" w:afterLines="50" w:line="416" w:lineRule="auto"/>
        <w:ind w:left="720" w:hanging="720"/>
        <w:jc w:val="both"/>
      </w:pPr>
      <w:bookmarkStart w:id="200" w:name="_Toc15398"/>
      <w:r>
        <w:rPr>
          <w:rFonts w:hint="eastAsia"/>
        </w:rPr>
        <w:t>数据图层管理子系统</w:t>
      </w:r>
      <w:bookmarkEnd w:id="200"/>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01" w:name="_Toc210037066"/>
      <w:bookmarkEnd w:id="201"/>
      <w:bookmarkStart w:id="202" w:name="_Toc211930025"/>
      <w:bookmarkEnd w:id="202"/>
      <w:bookmarkStart w:id="203" w:name="_Toc211872945"/>
      <w:bookmarkEnd w:id="203"/>
      <w:bookmarkStart w:id="204" w:name="_Toc210037154"/>
      <w:bookmarkEnd w:id="204"/>
      <w:bookmarkStart w:id="205" w:name="_Toc210045478"/>
      <w:bookmarkEnd w:id="205"/>
      <w:bookmarkStart w:id="206" w:name="_Toc211873016"/>
      <w:bookmarkEnd w:id="206"/>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实现对前端应用数据图层管理相关功能，提供针对图层属性、顺序管理、状态标记、显示设置等多项功能，要达到数据毫秒级显示刷新的性能要求。</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（1）基本管理</w:t>
      </w:r>
    </w:p>
    <w:p>
      <w:pPr>
        <w:spacing w:before="163" w:after="163"/>
        <w:ind w:firstLine="420" w:firstLineChars="200"/>
      </w:pPr>
      <w:r>
        <w:rPr>
          <w:rFonts w:hint="eastAsia"/>
        </w:rPr>
        <w:t>图层的添加、删除、显隐、数据对齐、动画锁定、元信息查看。</w:t>
      </w:r>
    </w:p>
    <w:p>
      <w:pPr>
        <w:spacing w:before="163" w:after="163"/>
        <w:ind w:firstLine="420" w:firstLineChars="200"/>
      </w:pPr>
      <w:r>
        <w:rPr>
          <w:rFonts w:hint="eastAsia"/>
        </w:rPr>
        <w:t>（2）叠加顺序管理</w:t>
      </w:r>
    </w:p>
    <w:p>
      <w:pPr>
        <w:spacing w:before="163" w:after="163"/>
        <w:ind w:firstLine="420" w:firstLineChars="200"/>
      </w:pPr>
      <w:r>
        <w:rPr>
          <w:rFonts w:hint="eastAsia"/>
        </w:rPr>
        <w:t>默认的显示从上至下为：点-&gt;线-&gt;面，支持图层的显示顺序调整，如调整相同类型的图层显示叠加顺序。</w:t>
      </w:r>
    </w:p>
    <w:p>
      <w:pPr>
        <w:spacing w:before="163" w:after="163"/>
        <w:ind w:firstLine="420" w:firstLineChars="200"/>
      </w:pPr>
      <w:r>
        <w:rPr>
          <w:rFonts w:hint="eastAsia"/>
        </w:rPr>
        <w:t>（3）状态标记</w:t>
      </w:r>
    </w:p>
    <w:p>
      <w:pPr>
        <w:spacing w:before="163" w:after="163"/>
        <w:ind w:firstLine="420" w:firstLineChars="200"/>
      </w:pPr>
      <w:r>
        <w:rPr>
          <w:rFonts w:hint="eastAsia"/>
        </w:rPr>
        <w:t>图层状态包括但不限于：显示、隐藏、编辑、非编辑。</w:t>
      </w:r>
    </w:p>
    <w:p>
      <w:pPr>
        <w:spacing w:before="163" w:after="163"/>
        <w:ind w:firstLine="420" w:firstLineChars="200"/>
      </w:pPr>
      <w:r>
        <w:rPr>
          <w:rFonts w:hint="eastAsia"/>
        </w:rPr>
        <w:t>（4）显示与分析属性扩展</w:t>
      </w:r>
    </w:p>
    <w:p>
      <w:pPr>
        <w:spacing w:before="163" w:after="163"/>
        <w:ind w:firstLine="420" w:firstLineChars="200"/>
      </w:pPr>
      <w:r>
        <w:rPr>
          <w:rFonts w:hint="eastAsia"/>
        </w:rPr>
        <w:t>不同数据种类的图层匹配对应的属性窗口，通过该属性窗口可调整图层的显示属性、分析参数、统计参数等。</w:t>
      </w:r>
    </w:p>
    <w:p>
      <w:pPr>
        <w:spacing w:before="163" w:after="163"/>
        <w:ind w:firstLine="420" w:firstLineChars="200"/>
      </w:pPr>
      <w:r>
        <w:rPr>
          <w:rFonts w:hint="eastAsia"/>
        </w:rPr>
        <w:t>（5）显示配置</w:t>
      </w:r>
    </w:p>
    <w:p>
      <w:pPr>
        <w:spacing w:before="163" w:after="163"/>
        <w:ind w:firstLine="420" w:firstLineChars="200"/>
      </w:pPr>
      <w:r>
        <w:rPr>
          <w:rFonts w:hint="eastAsia"/>
        </w:rPr>
        <w:t>分析属性的个性化保存和加载，可根据登录用户保存某类图层的显示偏好，当用户再次登陆时，自动加载该配置。</w:t>
      </w:r>
    </w:p>
    <w:p>
      <w:pPr>
        <w:pStyle w:val="Heading3"/>
        <w:keepNext/>
        <w:keepLines/>
        <w:widowControl w:val="0"/>
        <w:numPr>
          <w:ilvl w:val="2"/>
          <w:numId w:val="5"/>
        </w:numPr>
        <w:spacing w:before="163" w:beforeLines="50" w:after="163" w:afterLines="50" w:line="416" w:lineRule="auto"/>
        <w:ind w:left="720" w:hanging="720"/>
        <w:jc w:val="both"/>
      </w:pPr>
      <w:bookmarkStart w:id="207" w:name="_Toc2892"/>
      <w:r>
        <w:rPr>
          <w:rFonts w:hint="eastAsia"/>
        </w:rPr>
        <w:t>多屏对比分析子系统</w:t>
      </w:r>
      <w:bookmarkEnd w:id="207"/>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08" w:name="_Toc210045480"/>
      <w:bookmarkEnd w:id="208"/>
      <w:bookmarkStart w:id="209" w:name="_Toc210037156"/>
      <w:bookmarkEnd w:id="209"/>
      <w:bookmarkStart w:id="210" w:name="_Toc211930027"/>
      <w:bookmarkEnd w:id="210"/>
      <w:bookmarkStart w:id="211" w:name="_Toc211872947"/>
      <w:bookmarkEnd w:id="211"/>
      <w:bookmarkStart w:id="212" w:name="_Toc211873018"/>
      <w:bookmarkEnd w:id="212"/>
      <w:bookmarkStart w:id="213" w:name="_Toc210037068"/>
      <w:bookmarkEnd w:id="213"/>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实现多屏幕对比组件，实现页面快速嵌入；实现多屏同步功能。支持云端气象服务数据自定义选择，本地数据上传等方式进行对比分析。</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（1）多屏幕对比组件开发</w:t>
      </w:r>
    </w:p>
    <w:p>
      <w:pPr>
        <w:spacing w:before="163" w:after="163"/>
        <w:ind w:firstLine="420" w:firstLineChars="200"/>
      </w:pPr>
      <w:r>
        <w:rPr>
          <w:rFonts w:hint="eastAsia"/>
        </w:rPr>
        <w:t>开发多屏幕对比组件，支持气象模式数据与实况数据的多屏对比显示，提升分析效率。</w:t>
      </w:r>
    </w:p>
    <w:p>
      <w:pPr>
        <w:spacing w:before="163" w:after="163"/>
        <w:ind w:firstLine="420" w:firstLineChars="200"/>
      </w:pPr>
      <w:r>
        <w:rPr>
          <w:rFonts w:hint="eastAsia"/>
        </w:rPr>
        <w:t>（2）页面快速嵌入功能</w:t>
      </w:r>
    </w:p>
    <w:p>
      <w:pPr>
        <w:spacing w:before="163" w:after="163"/>
        <w:ind w:firstLine="420" w:firstLineChars="200"/>
      </w:pPr>
      <w:r>
        <w:rPr>
          <w:rFonts w:hint="eastAsia"/>
        </w:rPr>
        <w:t>提供页面快速嵌入功能，支持将对比组件无缝嵌入现有气象业务系统页面，无需复杂配置。</w:t>
      </w:r>
    </w:p>
    <w:p>
      <w:pPr>
        <w:spacing w:before="163" w:after="163"/>
        <w:ind w:firstLine="420" w:firstLineChars="200"/>
      </w:pPr>
      <w:r>
        <w:rPr>
          <w:rFonts w:hint="eastAsia"/>
        </w:rPr>
        <w:t>（3）多屏同步显示功能</w:t>
      </w:r>
    </w:p>
    <w:p>
      <w:pPr>
        <w:spacing w:before="163" w:after="163"/>
        <w:ind w:firstLine="420" w:firstLineChars="200"/>
      </w:pPr>
      <w:r>
        <w:rPr>
          <w:rFonts w:hint="eastAsia"/>
        </w:rPr>
        <w:t>实现多屏幕内容同步显示，确保用户在不同屏幕上看到一致的数据和分析结果。</w:t>
      </w:r>
    </w:p>
    <w:p>
      <w:pPr>
        <w:spacing w:before="163" w:after="163"/>
        <w:ind w:firstLine="420" w:firstLineChars="200"/>
      </w:pPr>
      <w:r>
        <w:rPr>
          <w:rFonts w:hint="eastAsia"/>
        </w:rPr>
        <w:t>（4）数据实时更新机制</w:t>
      </w:r>
    </w:p>
    <w:p>
      <w:pPr>
        <w:spacing w:before="163" w:after="163"/>
        <w:ind w:firstLine="420" w:firstLineChars="200"/>
      </w:pPr>
      <w:r>
        <w:rPr>
          <w:rFonts w:hint="eastAsia"/>
        </w:rPr>
        <w:t>支持数据实时更新，确保气象模式数据和实况数据在多屏对比时始终保持最新状态。</w:t>
      </w:r>
    </w:p>
    <w:p>
      <w:pPr>
        <w:spacing w:before="163" w:after="163"/>
        <w:ind w:firstLine="420" w:firstLineChars="200"/>
      </w:pPr>
      <w:r>
        <w:rPr>
          <w:rFonts w:hint="eastAsia"/>
        </w:rPr>
        <w:t>（5）对比视图自定义</w:t>
      </w:r>
    </w:p>
    <w:p>
      <w:pPr>
        <w:spacing w:before="163" w:after="163"/>
        <w:ind w:firstLine="420" w:firstLineChars="200"/>
      </w:pPr>
      <w:r>
        <w:rPr>
          <w:rFonts w:hint="eastAsia"/>
        </w:rPr>
        <w:t>允许用户自定义对比视图，包括数据类型、显示方式、时间范围等，满足个性化需求。</w:t>
      </w:r>
    </w:p>
    <w:p>
      <w:pPr>
        <w:spacing w:before="163" w:after="163"/>
        <w:ind w:firstLine="420" w:firstLineChars="200"/>
      </w:pPr>
      <w:r>
        <w:rPr>
          <w:rFonts w:hint="eastAsia"/>
        </w:rPr>
        <w:t>（6）交互式操作支持</w:t>
      </w:r>
    </w:p>
    <w:p>
      <w:pPr>
        <w:spacing w:before="163" w:after="163"/>
        <w:ind w:firstLine="420" w:firstLineChars="200"/>
      </w:pPr>
      <w:r>
        <w:rPr>
          <w:rFonts w:hint="eastAsia"/>
        </w:rPr>
        <w:t>提供交互式操作功能，用户可以通过缩放、拖动等方式在多屏上同步查看数据细节。</w:t>
      </w:r>
    </w:p>
    <w:p>
      <w:pPr>
        <w:pStyle w:val="Heading3"/>
        <w:keepNext/>
        <w:keepLines/>
        <w:widowControl w:val="0"/>
        <w:numPr>
          <w:ilvl w:val="2"/>
          <w:numId w:val="5"/>
        </w:numPr>
        <w:spacing w:before="163" w:beforeLines="50" w:after="163" w:afterLines="50" w:line="416" w:lineRule="auto"/>
        <w:ind w:left="720" w:hanging="720"/>
        <w:jc w:val="both"/>
      </w:pPr>
      <w:bookmarkStart w:id="214" w:name="_Toc32453"/>
      <w:r>
        <w:rPr>
          <w:rFonts w:hint="eastAsia"/>
        </w:rPr>
        <w:t>时间轴联动子系统</w:t>
      </w:r>
      <w:bookmarkEnd w:id="214"/>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15" w:name="_Toc211872949"/>
      <w:bookmarkEnd w:id="215"/>
      <w:bookmarkStart w:id="216" w:name="_Toc211873020"/>
      <w:bookmarkEnd w:id="216"/>
      <w:bookmarkStart w:id="217" w:name="_Toc210037158"/>
      <w:bookmarkEnd w:id="217"/>
      <w:bookmarkStart w:id="218" w:name="_Toc210037070"/>
      <w:bookmarkEnd w:id="218"/>
      <w:bookmarkStart w:id="219" w:name="_Toc210045482"/>
      <w:bookmarkEnd w:id="219"/>
      <w:bookmarkStart w:id="220" w:name="_Toc211930029"/>
      <w:bookmarkEnd w:id="220"/>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针对雷达产品（6分钟更新）、降水量产品（5min,1h等）更新，自动匹配时间，进行同步播放；通过缩放时间范围按钮，自动从月、日尺度下钻到小时、分钟尺度。</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（1）时间自动匹配功能</w:t>
      </w:r>
    </w:p>
    <w:p>
      <w:pPr>
        <w:spacing w:before="163" w:after="163"/>
        <w:ind w:firstLine="420" w:firstLineChars="200"/>
      </w:pPr>
      <w:r>
        <w:rPr>
          <w:rFonts w:hint="eastAsia"/>
        </w:rPr>
        <w:t>自动匹配强对流相关雷达和降水量等产品的更新时间，确保不同数据源的时间同步。</w:t>
      </w:r>
    </w:p>
    <w:p>
      <w:pPr>
        <w:spacing w:before="163" w:after="163"/>
        <w:ind w:firstLine="420" w:firstLineChars="200"/>
      </w:pPr>
      <w:r>
        <w:rPr>
          <w:rFonts w:hint="eastAsia"/>
        </w:rPr>
        <w:t>（2）同步播放功能</w:t>
      </w:r>
    </w:p>
    <w:p>
      <w:pPr>
        <w:spacing w:before="163" w:after="163"/>
        <w:ind w:firstLine="420" w:firstLineChars="200"/>
      </w:pPr>
      <w:r>
        <w:rPr>
          <w:rFonts w:hint="eastAsia"/>
        </w:rPr>
        <w:t>实现雷达和降水量产品的同步播放，用户可以同时查看两种产品的动态变化。</w:t>
      </w:r>
    </w:p>
    <w:p>
      <w:pPr>
        <w:spacing w:before="163" w:after="163"/>
        <w:ind w:firstLine="420" w:firstLineChars="200"/>
      </w:pPr>
      <w:r>
        <w:rPr>
          <w:rFonts w:hint="eastAsia"/>
        </w:rPr>
        <w:t>（3）时间范围缩放按钮</w:t>
      </w:r>
    </w:p>
    <w:p>
      <w:pPr>
        <w:spacing w:before="163" w:after="163"/>
        <w:ind w:firstLine="420" w:firstLineChars="200"/>
      </w:pPr>
      <w:r>
        <w:rPr>
          <w:rFonts w:hint="eastAsia"/>
        </w:rPr>
        <w:t>提供时间范围缩放按钮，用户可以快速调整时间尺度，从月、日到小时、分钟。</w:t>
      </w:r>
    </w:p>
    <w:p>
      <w:pPr>
        <w:spacing w:before="163" w:after="163"/>
        <w:ind w:firstLine="420" w:firstLineChars="200"/>
      </w:pPr>
      <w:r>
        <w:rPr>
          <w:rFonts w:hint="eastAsia"/>
        </w:rPr>
        <w:t>（4）月尺度数据展示</w:t>
      </w:r>
    </w:p>
    <w:p>
      <w:pPr>
        <w:spacing w:before="163" w:after="163"/>
        <w:ind w:firstLine="420" w:firstLineChars="200"/>
      </w:pPr>
      <w:r>
        <w:rPr>
          <w:rFonts w:hint="eastAsia"/>
        </w:rPr>
        <w:t>在月尺度下展示雷达和降水量产品的整体趋势，支持用户快速了解长期变化。</w:t>
      </w:r>
    </w:p>
    <w:p>
      <w:pPr>
        <w:spacing w:before="163" w:after="163"/>
        <w:ind w:firstLine="420" w:firstLineChars="200"/>
      </w:pPr>
      <w:r>
        <w:rPr>
          <w:rFonts w:hint="eastAsia"/>
        </w:rPr>
        <w:t>（5）日尺度数据展示</w:t>
      </w:r>
    </w:p>
    <w:p>
      <w:pPr>
        <w:spacing w:before="163" w:after="163"/>
        <w:ind w:firstLine="420" w:firstLineChars="200"/>
      </w:pPr>
      <w:r>
        <w:rPr>
          <w:rFonts w:hint="eastAsia"/>
        </w:rPr>
        <w:t>在日尺度下展示雷达和降水量产品的日变化，支持用户查看每日的详细数据。</w:t>
      </w:r>
    </w:p>
    <w:p>
      <w:pPr>
        <w:spacing w:before="163" w:after="163"/>
        <w:ind w:firstLine="420" w:firstLineChars="200"/>
      </w:pPr>
      <w:r>
        <w:rPr>
          <w:rFonts w:hint="eastAsia"/>
        </w:rPr>
        <w:t>（6）小时尺度数据展示</w:t>
      </w:r>
    </w:p>
    <w:p>
      <w:pPr>
        <w:spacing w:before="163" w:after="163"/>
        <w:ind w:firstLine="420" w:firstLineChars="200"/>
      </w:pPr>
      <w:r>
        <w:rPr>
          <w:rFonts w:hint="eastAsia"/>
        </w:rPr>
        <w:t>在小时尺度下展示雷达和降水量产品的小时变化，支持用户查看短时变化。</w:t>
      </w:r>
    </w:p>
    <w:p>
      <w:pPr>
        <w:spacing w:before="163" w:after="163"/>
        <w:ind w:firstLine="420" w:firstLineChars="200"/>
      </w:pPr>
      <w:r>
        <w:rPr>
          <w:rFonts w:hint="eastAsia"/>
        </w:rPr>
        <w:t>（7）分钟尺度数据展示</w:t>
      </w:r>
    </w:p>
    <w:p>
      <w:pPr>
        <w:spacing w:before="163" w:after="163"/>
        <w:ind w:firstLine="420" w:firstLineChars="200"/>
      </w:pPr>
      <w:r>
        <w:rPr>
          <w:rFonts w:hint="eastAsia"/>
        </w:rPr>
        <w:t>在分钟尺度下展示雷达和降水量产品的分钟变化，支持用户查看高时间分辨率数据。</w:t>
      </w:r>
    </w:p>
    <w:p>
      <w:pPr>
        <w:spacing w:before="163" w:after="163"/>
        <w:ind w:firstLine="420" w:firstLineChars="200"/>
      </w:pPr>
      <w:r>
        <w:rPr>
          <w:rFonts w:hint="eastAsia"/>
        </w:rPr>
        <w:t>（8）自动下钻功能</w:t>
      </w:r>
    </w:p>
    <w:p>
      <w:pPr>
        <w:spacing w:before="163" w:after="163"/>
        <w:ind w:firstLine="420" w:firstLineChars="200"/>
      </w:pPr>
      <w:r>
        <w:rPr>
          <w:rFonts w:hint="eastAsia"/>
        </w:rPr>
        <w:t>支持从月、日尺度自动下钻到小时、分钟尺度，用户可以通过点击或按钮操作快速切换时间尺度</w:t>
      </w:r>
    </w:p>
    <w:p>
      <w:pPr>
        <w:pStyle w:val="Heading3"/>
        <w:keepNext/>
        <w:keepLines/>
        <w:widowControl w:val="0"/>
        <w:numPr>
          <w:ilvl w:val="2"/>
          <w:numId w:val="5"/>
        </w:numPr>
        <w:spacing w:before="163" w:beforeLines="50" w:after="163" w:afterLines="50" w:line="416" w:lineRule="auto"/>
        <w:ind w:left="720" w:hanging="720"/>
        <w:jc w:val="both"/>
      </w:pPr>
      <w:bookmarkStart w:id="221" w:name="_Toc26699"/>
      <w:r>
        <w:rPr>
          <w:rFonts w:hint="eastAsia"/>
        </w:rPr>
        <w:t>三维可视化处理子系统</w:t>
      </w:r>
      <w:bookmarkEnd w:id="221"/>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22" w:name="_Toc210045484"/>
      <w:bookmarkEnd w:id="222"/>
      <w:bookmarkStart w:id="223" w:name="_Toc210037160"/>
      <w:bookmarkEnd w:id="223"/>
      <w:bookmarkStart w:id="224" w:name="_Toc211873022"/>
      <w:bookmarkEnd w:id="224"/>
      <w:bookmarkStart w:id="225" w:name="_Toc211930031"/>
      <w:bookmarkEnd w:id="225"/>
      <w:bookmarkStart w:id="226" w:name="_Toc210037072"/>
      <w:bookmarkEnd w:id="226"/>
      <w:bookmarkStart w:id="227" w:name="_Toc211872951"/>
      <w:bookmarkEnd w:id="227"/>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系统支持气象数据的三维可视化展示，支持基于数值模式产品、网格实况预报、雷达观测外推等资料进行气象要素、雷达、云量、台风等三维体的可视展示，同时支持用户基于地图针对三维场景交互分析、时序播放等操作。业务人员可以在地图上选取指定区域，进行三维可视展示分析，三维气象数据展示可与三维地形数据进行集成，保障业务。</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2功能组件/软件模块开发</w:t>
      </w:r>
    </w:p>
    <w:p>
      <w:pPr>
        <w:spacing w:before="163" w:after="163"/>
        <w:ind w:firstLine="420" w:firstLineChars="200"/>
      </w:pPr>
      <w:r>
        <w:rPr>
          <w:rFonts w:hint="eastAsia"/>
        </w:rPr>
        <w:t>（1）三维可视化展示功能</w:t>
      </w:r>
    </w:p>
    <w:p>
      <w:pPr>
        <w:spacing w:before="163" w:after="163"/>
        <w:ind w:firstLine="420" w:firstLineChars="200"/>
      </w:pPr>
      <w:r>
        <w:rPr>
          <w:rFonts w:hint="eastAsia"/>
        </w:rPr>
        <w:t>提供气象数据的三维可视化展示，支持多种气象要素（如温度、湿度、风场）的三维体渲染，直观呈现气象现象。</w:t>
      </w:r>
    </w:p>
    <w:p>
      <w:pPr>
        <w:spacing w:before="163" w:after="163"/>
        <w:ind w:firstLine="420" w:firstLineChars="200"/>
      </w:pPr>
      <w:r>
        <w:rPr>
          <w:rFonts w:hint="eastAsia"/>
        </w:rPr>
        <w:t>（2）数值模式产品三维支持</w:t>
      </w:r>
    </w:p>
    <w:p>
      <w:pPr>
        <w:spacing w:before="163" w:after="163"/>
        <w:ind w:firstLine="420" w:firstLineChars="200"/>
      </w:pPr>
      <w:r>
        <w:rPr>
          <w:rFonts w:hint="eastAsia"/>
        </w:rPr>
        <w:t>支持基于数值模式产品的三维可视化，将模式输出的气象要素（如温度、风场）以三维体形式展示，辅助预报分析。</w:t>
      </w:r>
    </w:p>
    <w:p>
      <w:pPr>
        <w:spacing w:before="163" w:after="163"/>
        <w:ind w:firstLine="420" w:firstLineChars="200"/>
      </w:pPr>
      <w:r>
        <w:rPr>
          <w:rFonts w:hint="eastAsia"/>
        </w:rPr>
        <w:t>（3）网格实况预报三维支持</w:t>
      </w:r>
    </w:p>
    <w:p>
      <w:pPr>
        <w:spacing w:before="163" w:after="163"/>
        <w:ind w:firstLine="420" w:firstLineChars="200"/>
      </w:pPr>
      <w:r>
        <w:rPr>
          <w:rFonts w:hint="eastAsia"/>
        </w:rPr>
        <w:t>支持网格实况预报数据的三维可视化，将实时气象数据（如降水、温度）以网格形式展示，增强数据直观性。</w:t>
      </w:r>
    </w:p>
    <w:p>
      <w:pPr>
        <w:spacing w:before="163" w:after="163"/>
        <w:ind w:firstLine="420" w:firstLineChars="200"/>
      </w:pPr>
      <w:r>
        <w:rPr>
          <w:rFonts w:hint="eastAsia"/>
        </w:rPr>
        <w:t>（4）雷达观测外推支持</w:t>
      </w:r>
    </w:p>
    <w:p>
      <w:pPr>
        <w:spacing w:before="163" w:after="163"/>
        <w:ind w:firstLine="420" w:firstLineChars="200"/>
      </w:pPr>
      <w:r>
        <w:rPr>
          <w:rFonts w:hint="eastAsia"/>
        </w:rPr>
        <w:t>支持雷达观测数据的外推和三维可视化，通过雷达回波外推预测未来天气变化，以三维体形式展示。</w:t>
      </w:r>
    </w:p>
    <w:p>
      <w:pPr>
        <w:spacing w:before="163" w:after="163"/>
        <w:ind w:firstLine="420" w:firstLineChars="200"/>
      </w:pPr>
      <w:r>
        <w:rPr>
          <w:rFonts w:hint="eastAsia"/>
        </w:rPr>
        <w:t>（5）雷达三维体展示</w:t>
      </w:r>
    </w:p>
    <w:p>
      <w:pPr>
        <w:spacing w:before="163" w:after="163"/>
        <w:ind w:firstLine="420" w:firstLineChars="200"/>
      </w:pPr>
      <w:r>
        <w:rPr>
          <w:rFonts w:hint="eastAsia"/>
        </w:rPr>
        <w:t>实现雷达数据的三维体渲染，展示雷达回波的三维结构，帮助用户分析强对流天气的垂直特征。</w:t>
      </w:r>
    </w:p>
    <w:p>
      <w:pPr>
        <w:spacing w:before="163" w:after="163"/>
        <w:ind w:firstLine="420" w:firstLineChars="200"/>
      </w:pPr>
      <w:r>
        <w:rPr>
          <w:rFonts w:hint="eastAsia"/>
        </w:rPr>
        <w:t>（6）云量三维展示</w:t>
      </w:r>
    </w:p>
    <w:p>
      <w:pPr>
        <w:spacing w:before="163" w:after="163"/>
        <w:ind w:firstLine="420" w:firstLineChars="200"/>
      </w:pPr>
      <w:r>
        <w:rPr>
          <w:rFonts w:hint="eastAsia"/>
        </w:rPr>
        <w:t>提供云量数据的三维可视化，展示云层的厚度、分布和变化，增强对云系结构的直观理解。</w:t>
      </w:r>
    </w:p>
    <w:p>
      <w:pPr>
        <w:spacing w:before="163" w:after="163"/>
        <w:ind w:firstLine="420" w:firstLineChars="200"/>
      </w:pPr>
      <w:r>
        <w:rPr>
          <w:rFonts w:hint="eastAsia"/>
        </w:rPr>
        <w:t>（7）台风三维展示</w:t>
      </w:r>
    </w:p>
    <w:p>
      <w:pPr>
        <w:spacing w:before="163" w:after="163"/>
        <w:ind w:firstLine="420" w:firstLineChars="200"/>
      </w:pPr>
      <w:r>
        <w:rPr>
          <w:rFonts w:hint="eastAsia"/>
        </w:rPr>
        <w:t>支持台风路径和强度的三维可视化，展示台风的三维结构和演变过程，辅助台风监测和预报。</w:t>
      </w:r>
    </w:p>
    <w:p>
      <w:pPr>
        <w:spacing w:before="163" w:after="163"/>
        <w:ind w:firstLine="420" w:firstLineChars="200"/>
      </w:pPr>
      <w:r>
        <w:rPr>
          <w:rFonts w:hint="eastAsia"/>
        </w:rPr>
        <w:t>（8）三维地图交互分析功能</w:t>
      </w:r>
    </w:p>
    <w:p>
      <w:pPr>
        <w:spacing w:before="163" w:after="163"/>
        <w:ind w:firstLine="420" w:firstLineChars="200"/>
      </w:pPr>
      <w:r>
        <w:rPr>
          <w:rFonts w:hint="eastAsia"/>
        </w:rPr>
        <w:t>支持用户基于地图对三维场景进行交互分析，包括缩放、旋转、剖面分析等，提升分析灵活性。</w:t>
      </w:r>
    </w:p>
    <w:p>
      <w:pPr>
        <w:spacing w:before="163" w:after="163"/>
        <w:ind w:firstLine="420" w:firstLineChars="200"/>
      </w:pPr>
      <w:r>
        <w:rPr>
          <w:rFonts w:hint="eastAsia"/>
        </w:rPr>
        <w:t>（9）用户自定义分析</w:t>
      </w:r>
    </w:p>
    <w:p>
      <w:pPr>
        <w:spacing w:before="163" w:after="163"/>
        <w:ind w:firstLine="420" w:firstLineChars="200"/>
      </w:pPr>
      <w:r>
        <w:rPr>
          <w:rFonts w:hint="eastAsia"/>
        </w:rPr>
        <w:t>支持用户自定义分析功能，用户可以根据需求选择不同的气象要素和时间范围进行分析，满足个性化需求。</w:t>
      </w:r>
    </w:p>
    <w:p>
      <w:pPr>
        <w:pStyle w:val="Heading3"/>
        <w:keepNext/>
        <w:keepLines/>
        <w:widowControl w:val="0"/>
        <w:numPr>
          <w:ilvl w:val="2"/>
          <w:numId w:val="5"/>
        </w:numPr>
        <w:spacing w:before="163" w:beforeLines="50" w:after="163" w:afterLines="50" w:line="416" w:lineRule="auto"/>
        <w:ind w:left="720" w:hanging="720"/>
        <w:jc w:val="both"/>
      </w:pPr>
      <w:bookmarkStart w:id="228" w:name="_Toc27603"/>
      <w:r>
        <w:rPr>
          <w:rFonts w:hint="eastAsia"/>
        </w:rPr>
        <w:t>短临相关格点穿透数据服务子系统</w:t>
      </w:r>
      <w:bookmarkEnd w:id="228"/>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29" w:name="_Toc211872953"/>
      <w:bookmarkEnd w:id="229"/>
      <w:bookmarkStart w:id="230" w:name="_Toc210037074"/>
      <w:bookmarkEnd w:id="230"/>
      <w:bookmarkStart w:id="231" w:name="_Toc210037162"/>
      <w:bookmarkEnd w:id="231"/>
      <w:bookmarkStart w:id="232" w:name="_Toc211873024"/>
      <w:bookmarkEnd w:id="232"/>
      <w:bookmarkStart w:id="233" w:name="_Toc210045486"/>
      <w:bookmarkEnd w:id="233"/>
      <w:bookmarkStart w:id="234" w:name="_Toc211930033"/>
      <w:bookmarkEnd w:id="234"/>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面向短临气象灾害业务应用的格点穿透数据服务模块，设计多种短临数据的时间序列、单点廓线、空间剖面等多视角监视分析数据服务，支撑单点反射率时序服务、单点临近降水预报时序服务、降水实况预报一体化时序服务，反射率剖面服务、单站风廓线时序服务，单站微波辐射计服时序服务，能满足前端实时交互需求，响应时间达到毫秒级</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（1）格点数据穿透服务</w:t>
      </w:r>
    </w:p>
    <w:p>
      <w:pPr>
        <w:spacing w:before="163" w:after="163"/>
        <w:ind w:firstLine="420" w:firstLineChars="200"/>
      </w:pPr>
      <w:r>
        <w:rPr>
          <w:rFonts w:hint="eastAsia"/>
        </w:rPr>
        <w:t>提供短临气象灾害业务应用的格点数据穿透服务，支持多源数据融合，确保数据高时空分辨率。</w:t>
      </w:r>
    </w:p>
    <w:p>
      <w:pPr>
        <w:spacing w:before="163" w:after="163"/>
        <w:ind w:firstLine="420" w:firstLineChars="200"/>
      </w:pPr>
      <w:r>
        <w:rPr>
          <w:rFonts w:hint="eastAsia"/>
        </w:rPr>
        <w:t>（2）时间序列分析功能</w:t>
      </w:r>
    </w:p>
    <w:p>
      <w:pPr>
        <w:spacing w:before="163" w:after="163"/>
        <w:ind w:firstLine="420" w:firstLineChars="200"/>
      </w:pPr>
      <w:r>
        <w:rPr>
          <w:rFonts w:hint="eastAsia"/>
        </w:rPr>
        <w:t>支持短临数据的时间序列分析，展示气象要素随时间的变化趋势，辅助预报员进行趋势判断。</w:t>
      </w:r>
    </w:p>
    <w:p>
      <w:pPr>
        <w:spacing w:before="163" w:after="163"/>
        <w:ind w:firstLine="420" w:firstLineChars="200"/>
      </w:pPr>
      <w:r>
        <w:rPr>
          <w:rFonts w:hint="eastAsia"/>
        </w:rPr>
        <w:t>（3）单点廓线分析功能</w:t>
      </w:r>
    </w:p>
    <w:p>
      <w:pPr>
        <w:spacing w:before="163" w:after="163"/>
        <w:ind w:firstLine="420" w:firstLineChars="200"/>
      </w:pPr>
      <w:r>
        <w:rPr>
          <w:rFonts w:hint="eastAsia"/>
        </w:rPr>
        <w:t>提供单点气象要素的垂直廓线分析，支持用户查看特定站点的气象要素垂直分布。</w:t>
      </w:r>
    </w:p>
    <w:p>
      <w:pPr>
        <w:spacing w:before="163" w:after="163"/>
        <w:ind w:firstLine="420" w:firstLineChars="200"/>
      </w:pPr>
      <w:r>
        <w:rPr>
          <w:rFonts w:hint="eastAsia"/>
        </w:rPr>
        <w:t>（4）空间剖面分析功能</w:t>
      </w:r>
    </w:p>
    <w:p>
      <w:pPr>
        <w:spacing w:before="163" w:after="163"/>
        <w:ind w:firstLine="420" w:firstLineChars="200"/>
      </w:pPr>
      <w:r>
        <w:rPr>
          <w:rFonts w:hint="eastAsia"/>
        </w:rPr>
        <w:t>实现空间剖面分析，用户可以自定义剖面路径，查看气象要素的水平或垂直剖面。</w:t>
      </w:r>
    </w:p>
    <w:p>
      <w:pPr>
        <w:spacing w:before="163" w:after="163"/>
        <w:ind w:firstLine="420" w:firstLineChars="200"/>
      </w:pPr>
      <w:r>
        <w:rPr>
          <w:rFonts w:hint="eastAsia"/>
        </w:rPr>
        <w:t>（5）单点反射率时序服务</w:t>
      </w:r>
    </w:p>
    <w:p>
      <w:pPr>
        <w:spacing w:before="163" w:after="163"/>
        <w:ind w:firstLine="420" w:firstLineChars="200"/>
      </w:pPr>
      <w:r>
        <w:rPr>
          <w:rFonts w:hint="eastAsia"/>
        </w:rPr>
        <w:t>提供单点雷达反射率的时序服务，支持实时监测和历史数据查询，辅助强对流天气监测。</w:t>
      </w:r>
    </w:p>
    <w:p>
      <w:pPr>
        <w:spacing w:before="163" w:after="163"/>
        <w:ind w:firstLine="420" w:firstLineChars="200"/>
      </w:pPr>
      <w:r>
        <w:rPr>
          <w:rFonts w:hint="eastAsia"/>
        </w:rPr>
        <w:t>（6）单点临近降水预报时序服务</w:t>
      </w:r>
    </w:p>
    <w:p>
      <w:pPr>
        <w:spacing w:before="163" w:after="163"/>
        <w:ind w:firstLine="420" w:firstLineChars="200"/>
      </w:pPr>
      <w:r>
        <w:rPr>
          <w:rFonts w:hint="eastAsia"/>
        </w:rPr>
        <w:t>支持单点临近降水预报的时序服务，结合雷达和数值模式数据，提供高精度降水预报。</w:t>
      </w:r>
    </w:p>
    <w:p>
      <w:pPr>
        <w:spacing w:before="163" w:after="163"/>
        <w:ind w:firstLine="420" w:firstLineChars="200"/>
      </w:pPr>
      <w:r>
        <w:rPr>
          <w:rFonts w:hint="eastAsia"/>
        </w:rPr>
        <w:t>（7）降水实况预报一体化时序服务</w:t>
      </w:r>
    </w:p>
    <w:p>
      <w:pPr>
        <w:spacing w:before="163" w:after="163"/>
        <w:ind w:firstLine="420" w:firstLineChars="200"/>
      </w:pPr>
      <w:r>
        <w:rPr>
          <w:rFonts w:hint="eastAsia"/>
        </w:rPr>
        <w:t>实现降水实况与预报数据的一体化时序展示，支持用户快速对比实况与预报差异。</w:t>
      </w:r>
    </w:p>
    <w:p>
      <w:pPr>
        <w:spacing w:before="163" w:after="163"/>
        <w:ind w:firstLine="420" w:firstLineChars="200"/>
      </w:pPr>
      <w:r>
        <w:rPr>
          <w:rFonts w:hint="eastAsia"/>
        </w:rPr>
        <w:t>（8）反射率剖面服务</w:t>
      </w:r>
    </w:p>
    <w:p>
      <w:pPr>
        <w:spacing w:before="163" w:after="163"/>
        <w:ind w:firstLine="420" w:firstLineChars="200"/>
      </w:pPr>
      <w:r>
        <w:rPr>
          <w:rFonts w:hint="eastAsia"/>
        </w:rPr>
        <w:t>提供雷达反射率的剖面服务，支持用户查看反射率的垂直结构，增强对强对流天气的分析能力。</w:t>
      </w:r>
    </w:p>
    <w:p>
      <w:pPr>
        <w:spacing w:before="163" w:after="163"/>
        <w:ind w:firstLine="420" w:firstLineChars="200"/>
      </w:pPr>
      <w:r>
        <w:rPr>
          <w:rFonts w:hint="eastAsia"/>
        </w:rPr>
        <w:t>（9）单站风廓线时序服务</w:t>
      </w:r>
    </w:p>
    <w:p>
      <w:pPr>
        <w:spacing w:before="163" w:after="163"/>
        <w:ind w:firstLine="420" w:firstLineChars="200"/>
      </w:pPr>
      <w:r>
        <w:rPr>
          <w:rFonts w:hint="eastAsia"/>
        </w:rPr>
        <w:t>支持单站风廓线的时序服务，展示风速和风向随高度的变化，辅助分析大气动力学特征。</w:t>
      </w:r>
    </w:p>
    <w:p>
      <w:pPr>
        <w:spacing w:before="163" w:after="163"/>
        <w:ind w:firstLine="420" w:firstLineChars="200"/>
      </w:pPr>
      <w:r>
        <w:rPr>
          <w:rFonts w:hint="eastAsia"/>
        </w:rPr>
        <w:t>（10）单站微波辐射计时序服务</w:t>
      </w:r>
    </w:p>
    <w:p>
      <w:pPr>
        <w:spacing w:before="163" w:after="163"/>
        <w:ind w:firstLine="420" w:firstLineChars="200"/>
      </w:pPr>
      <w:r>
        <w:rPr>
          <w:rFonts w:hint="eastAsia"/>
        </w:rPr>
        <w:t>提供单站微波辐射计数据的时序服务，支持大气温湿度廓线的实时监测和历史查询。</w:t>
      </w:r>
    </w:p>
    <w:p>
      <w:pPr>
        <w:pStyle w:val="Heading3"/>
        <w:keepNext/>
        <w:keepLines/>
        <w:widowControl w:val="0"/>
        <w:numPr>
          <w:ilvl w:val="2"/>
          <w:numId w:val="5"/>
        </w:numPr>
        <w:spacing w:before="163" w:beforeLines="50" w:after="163" w:afterLines="50" w:line="416" w:lineRule="auto"/>
        <w:ind w:left="720" w:hanging="720"/>
        <w:jc w:val="both"/>
      </w:pPr>
      <w:bookmarkStart w:id="235" w:name="_Toc15647"/>
      <w:r>
        <w:rPr>
          <w:rFonts w:hint="eastAsia"/>
        </w:rPr>
        <w:t>闪电定位、风廓线数据应用子系统</w:t>
      </w:r>
      <w:bookmarkEnd w:id="235"/>
    </w:p>
    <w:p>
      <w:pPr>
        <w:pStyle w:val="ListParagraph"/>
        <w:keepNext/>
        <w:keepLines/>
        <w:numPr>
          <w:ilvl w:val="2"/>
          <w:numId w:val="4"/>
        </w:numPr>
        <w:spacing w:before="163" w:after="163" w:line="416" w:lineRule="auto"/>
        <w:ind w:firstLineChars="0"/>
        <w:outlineLvl w:val="1"/>
        <w:rPr>
          <w:rFonts w:ascii="Arial" w:eastAsia="黑体" w:hAnsi="Arial"/>
          <w:b/>
          <w:bCs/>
          <w:vanish/>
          <w:sz w:val="32"/>
          <w:szCs w:val="32"/>
        </w:rPr>
      </w:pPr>
      <w:bookmarkStart w:id="236" w:name="_Toc210037164"/>
      <w:bookmarkEnd w:id="236"/>
      <w:bookmarkStart w:id="237" w:name="_Toc211930035"/>
      <w:bookmarkEnd w:id="237"/>
      <w:bookmarkStart w:id="238" w:name="_Toc210037076"/>
      <w:bookmarkEnd w:id="238"/>
      <w:bookmarkStart w:id="239" w:name="_Toc211872955"/>
      <w:bookmarkEnd w:id="239"/>
      <w:bookmarkStart w:id="240" w:name="_Toc211873026"/>
      <w:bookmarkEnd w:id="240"/>
      <w:bookmarkStart w:id="241" w:name="_Toc210045488"/>
      <w:bookmarkEnd w:id="241"/>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功能和性能</w:t>
      </w:r>
    </w:p>
    <w:p>
      <w:pPr>
        <w:spacing w:before="163" w:after="163"/>
        <w:ind w:firstLine="420" w:firstLineChars="200"/>
      </w:pPr>
      <w:r>
        <w:rPr>
          <w:rFonts w:hint="eastAsia"/>
        </w:rPr>
        <w:t>利用数字预报基座统一数据访问接口及底层框架下的渲染接口，结合闪电定位数据的应用场景，提供闪电定位数据的解析。结合风廓线数据的应用场景，提供风廓线数据的解析。结合铁塔数据的应用场景，提供铁塔数据的解析。</w:t>
      </w:r>
    </w:p>
    <w:p>
      <w:pPr>
        <w:pStyle w:val="Heading4"/>
        <w:keepNext/>
        <w:keepLines/>
        <w:widowControl w:val="0"/>
        <w:numPr>
          <w:ilvl w:val="3"/>
          <w:numId w:val="4"/>
        </w:numPr>
        <w:tabs>
          <w:tab w:val="left" w:pos="864"/>
        </w:tabs>
        <w:spacing w:before="163" w:beforeLines="50" w:after="163" w:afterLines="50" w:line="377" w:lineRule="auto"/>
        <w:ind w:left="864" w:hanging="864"/>
        <w:jc w:val="both"/>
      </w:pPr>
      <w:r>
        <w:rPr>
          <w:rFonts w:hint="eastAsia"/>
        </w:rPr>
        <w:t>功能组件/软件模块开发</w:t>
      </w:r>
    </w:p>
    <w:p>
      <w:pPr>
        <w:spacing w:before="163" w:after="163"/>
        <w:ind w:firstLine="420" w:firstLineChars="200"/>
      </w:pPr>
      <w:r>
        <w:rPr>
          <w:rFonts w:hint="eastAsia"/>
        </w:rPr>
        <w:t>（1）专题渲染接口</w:t>
      </w:r>
    </w:p>
    <w:p>
      <w:pPr>
        <w:spacing w:before="163" w:after="163"/>
        <w:ind w:firstLine="420" w:firstLineChars="200"/>
      </w:pPr>
      <w:r>
        <w:rPr>
          <w:rFonts w:hint="eastAsia"/>
        </w:rPr>
        <w:t>结合底层框架的渲染接口，设计闪电定位、风廓线、铁塔数据的可视化渲染方案，提升数据展示的直观性和交互性。</w:t>
      </w:r>
    </w:p>
    <w:p>
      <w:pPr>
        <w:spacing w:before="163" w:after="163"/>
        <w:ind w:firstLine="420" w:firstLineChars="200"/>
      </w:pPr>
      <w:r>
        <w:rPr>
          <w:rFonts w:hint="eastAsia"/>
        </w:rPr>
        <w:t>（2）闪电定位数据展示</w:t>
      </w:r>
    </w:p>
    <w:p>
      <w:pPr>
        <w:spacing w:before="163" w:after="163"/>
        <w:ind w:firstLine="420" w:firstLineChars="200"/>
      </w:pPr>
      <w:r>
        <w:rPr>
          <w:rFonts w:hint="eastAsia"/>
        </w:rPr>
        <w:t>提供闪电定位数据的显示功能，实时展示闪电发生的位置和强度，支持历史数据查询和统计分析。</w:t>
      </w:r>
    </w:p>
    <w:p>
      <w:pPr>
        <w:spacing w:before="163" w:after="163"/>
        <w:ind w:firstLine="420" w:firstLineChars="200"/>
      </w:pPr>
      <w:r>
        <w:rPr>
          <w:rFonts w:hint="eastAsia"/>
        </w:rPr>
        <w:t>（3）风廓线数据展示</w:t>
      </w:r>
    </w:p>
    <w:p>
      <w:pPr>
        <w:spacing w:before="163" w:after="163"/>
        <w:ind w:firstLine="420" w:firstLineChars="200"/>
      </w:pPr>
      <w:r>
        <w:rPr>
          <w:rFonts w:hint="eastAsia"/>
        </w:rPr>
        <w:t>实现风廓线数据的可视化展示，支持风速和风向随高度变化的剖面图绘制，辅助大气动力学分析。</w:t>
      </w:r>
    </w:p>
    <w:p>
      <w:pPr>
        <w:spacing w:before="163" w:after="163"/>
        <w:ind w:firstLine="420" w:firstLineChars="200"/>
      </w:pPr>
      <w:r>
        <w:rPr>
          <w:rFonts w:hint="eastAsia"/>
        </w:rPr>
        <w:t>（4）铁塔数据展示</w:t>
      </w:r>
    </w:p>
    <w:p>
      <w:pPr>
        <w:spacing w:before="163" w:after="163"/>
        <w:ind w:firstLine="420" w:firstLineChars="200"/>
      </w:pPr>
      <w:r>
        <w:rPr>
          <w:rFonts w:hint="eastAsia"/>
        </w:rPr>
        <w:t>提供铁塔监测数据的显示功能，展示铁塔的气象数据和结构状态，支持数据的实时更新和历史对比。</w:t>
      </w:r>
    </w:p>
    <w:p>
      <w:pPr>
        <w:spacing w:before="163" w:after="163"/>
        <w:ind w:firstLine="420" w:firstLineChars="200"/>
      </w:pPr>
      <w:r>
        <w:rPr>
          <w:rFonts w:hint="eastAsia"/>
        </w:rPr>
        <w:t>（5）综合分析工具</w:t>
      </w:r>
    </w:p>
    <w:p>
      <w:pPr>
        <w:spacing w:before="163" w:after="163"/>
        <w:ind w:firstLine="420" w:firstLineChars="200"/>
      </w:pPr>
      <w:r>
        <w:rPr>
          <w:rFonts w:hint="eastAsia"/>
        </w:rPr>
        <w:t>提供闪电定位、风廓线、铁塔数据的综合分析工具，支持多数据源的关联分析和异常检测，提升应用场景的决策支持能力。</w:t>
      </w:r>
    </w:p>
    <w:p>
      <w:pPr>
        <w:pStyle w:val="Heading3"/>
        <w:keepNext/>
        <w:keepLines/>
        <w:widowControl w:val="0"/>
        <w:numPr>
          <w:ilvl w:val="2"/>
          <w:numId w:val="5"/>
        </w:numPr>
        <w:spacing w:before="163" w:beforeLines="50" w:after="163" w:afterLines="50" w:line="416" w:lineRule="auto"/>
        <w:ind w:left="720" w:hanging="720"/>
        <w:jc w:val="both"/>
      </w:pPr>
      <w:bookmarkStart w:id="242" w:name="_Toc8447"/>
      <w:r>
        <w:rPr>
          <w:rFonts w:hint="eastAsia"/>
        </w:rPr>
        <w:t>CME智能体子系统</w:t>
      </w:r>
      <w:bookmarkEnd w:id="242"/>
    </w:p>
    <w:p>
      <w:pPr>
        <w:spacing w:before="163" w:after="163"/>
        <w:ind w:firstLine="420" w:firstLineChars="200"/>
      </w:pPr>
      <w:r>
        <w:rPr>
          <w:rFonts w:hint="eastAsia"/>
        </w:rPr>
        <w:t>构建能够支撑CME智能化应用的智能体，搭建能够支持CME应用的MCP服务集群，构建CME框架的RAG，通过其先进的结构化检索与推理能力，精准解析用户包含众多天气要素的复杂、模糊查询意图，解决因要素繁多导致的识别混乱问题，并输出结构化的、精确的操作指令，通过RAG和CME的MCP服务集群实现资料显示、数据分析、产品加工、服务共享全流程的智能化、自动化应用智能体，能够主动推荐、自动分析并可根据用户历史行为进行迭代回归训练以提高效果。</w:t>
      </w:r>
    </w:p>
    <w:p>
      <w:pPr>
        <w:pStyle w:val="Heading2"/>
        <w:keepNext/>
        <w:keepLines/>
        <w:widowControl w:val="0"/>
        <w:numPr>
          <w:ilvl w:val="1"/>
          <w:numId w:val="4"/>
        </w:numPr>
        <w:tabs>
          <w:tab w:val="left" w:pos="0"/>
          <w:tab w:val="left" w:pos="576"/>
        </w:tabs>
        <w:spacing w:before="163" w:beforeLines="50" w:after="163" w:afterLines="50" w:line="416" w:lineRule="auto"/>
        <w:ind w:left="576" w:hanging="576"/>
        <w:jc w:val="both"/>
      </w:pPr>
      <w:bookmarkStart w:id="243" w:name="_Toc273087830"/>
      <w:bookmarkStart w:id="244" w:name="_Toc271815076"/>
      <w:bookmarkStart w:id="245" w:name="_Toc271988811"/>
      <w:bookmarkStart w:id="246" w:name="_Toc27588"/>
      <w:r>
        <w:rPr>
          <w:rFonts w:hint="eastAsia"/>
        </w:rPr>
        <w:t>非功能</w:t>
      </w:r>
      <w:bookmarkEnd w:id="243"/>
      <w:bookmarkEnd w:id="244"/>
      <w:bookmarkEnd w:id="245"/>
      <w:r>
        <w:rPr>
          <w:rFonts w:hint="eastAsia"/>
        </w:rPr>
        <w:t>需求</w:t>
      </w:r>
      <w:bookmarkEnd w:id="246"/>
    </w:p>
    <w:p>
      <w:pPr>
        <w:pStyle w:val="ListParagraph"/>
        <w:keepNext/>
        <w:keepLines/>
        <w:numPr>
          <w:ilvl w:val="1"/>
          <w:numId w:val="5"/>
        </w:numPr>
        <w:spacing w:before="163" w:after="163" w:line="416" w:lineRule="auto"/>
        <w:ind w:firstLineChars="0"/>
        <w:outlineLvl w:val="2"/>
        <w:rPr>
          <w:b/>
          <w:bCs/>
          <w:vanish/>
          <w:sz w:val="32"/>
          <w:szCs w:val="32"/>
        </w:rPr>
      </w:pPr>
      <w:bookmarkStart w:id="247" w:name="_Toc210037166"/>
      <w:bookmarkEnd w:id="247"/>
      <w:bookmarkStart w:id="248" w:name="_Toc210037078"/>
      <w:bookmarkEnd w:id="248"/>
      <w:bookmarkStart w:id="249" w:name="_Toc210045490"/>
      <w:bookmarkEnd w:id="249"/>
      <w:bookmarkStart w:id="250" w:name="_Toc211873029"/>
      <w:bookmarkEnd w:id="250"/>
      <w:bookmarkStart w:id="251" w:name="_Toc211872958"/>
      <w:bookmarkEnd w:id="251"/>
      <w:bookmarkStart w:id="252" w:name="_Toc211930038"/>
      <w:bookmarkEnd w:id="252"/>
    </w:p>
    <w:p>
      <w:pPr>
        <w:pStyle w:val="Heading3"/>
        <w:keepNext/>
        <w:keepLines/>
        <w:widowControl w:val="0"/>
        <w:numPr>
          <w:ilvl w:val="2"/>
          <w:numId w:val="5"/>
        </w:numPr>
        <w:spacing w:before="163" w:beforeLines="50" w:after="163" w:afterLines="50" w:line="416" w:lineRule="auto"/>
        <w:ind w:left="720" w:hanging="720"/>
        <w:jc w:val="both"/>
      </w:pPr>
      <w:bookmarkStart w:id="253" w:name="_Toc28470"/>
      <w:r>
        <w:rPr>
          <w:rFonts w:hint="eastAsia"/>
        </w:rPr>
        <w:t>性能要求</w:t>
      </w:r>
      <w:bookmarkEnd w:id="253"/>
    </w:p>
    <w:p>
      <w:pPr>
        <w:spacing w:before="163" w:after="163"/>
        <w:ind w:firstLine="420" w:firstLineChars="200"/>
      </w:pPr>
      <w:r>
        <w:rPr>
          <w:rFonts w:hint="eastAsia"/>
        </w:rPr>
        <w:t>（1）实现业务数据集约化程度到90%以上，访问效率达到秒级。</w:t>
      </w:r>
    </w:p>
    <w:p>
      <w:pPr>
        <w:spacing w:before="163" w:after="163"/>
        <w:ind w:firstLine="420" w:firstLineChars="200"/>
      </w:pPr>
      <w:r>
        <w:rPr>
          <w:rFonts w:hint="eastAsia"/>
        </w:rPr>
        <w:t>（</w:t>
      </w:r>
      <w:r>
        <w:t>2</w:t>
      </w:r>
      <w:r>
        <w:rPr>
          <w:rFonts w:hint="eastAsia"/>
        </w:rPr>
        <w:t>）系统具备自动运行制作预报产品、流程监控和异常备份预报等功能，运行故障率低于5%。</w:t>
      </w:r>
    </w:p>
    <w:p>
      <w:pPr>
        <w:spacing w:before="163" w:after="163"/>
        <w:ind w:firstLine="420" w:firstLineChars="200"/>
      </w:pPr>
      <w:r>
        <w:rPr>
          <w:rFonts w:hint="eastAsia"/>
        </w:rPr>
        <w:t>（</w:t>
      </w:r>
      <w:r>
        <w:t>3</w:t>
      </w:r>
      <w:r>
        <w:rPr>
          <w:rFonts w:hint="eastAsia"/>
        </w:rPr>
        <w:t>）数据存检索需求：提高各类数据检索效率，获取常规观测、模式数据产品等数据量在</w:t>
      </w:r>
      <w:r>
        <w:t xml:space="preserve">2M </w:t>
      </w:r>
      <w:r>
        <w:rPr>
          <w:rFonts w:hint="eastAsia"/>
        </w:rPr>
        <w:t>以下数据应在</w:t>
      </w:r>
      <w:r>
        <w:t>100</w:t>
      </w:r>
      <w:r>
        <w:rPr>
          <w:rFonts w:hint="eastAsia"/>
        </w:rPr>
        <w:t>毫秒内完成，数据量较大的卫星数据应在</w:t>
      </w:r>
      <w:r>
        <w:t xml:space="preserve">1000 </w:t>
      </w:r>
      <w:r>
        <w:rPr>
          <w:rFonts w:hint="eastAsia"/>
        </w:rPr>
        <w:t>毫秒内完成，大数据量的数据应通过高速缓存技术提高访问速度。数据处理速度。</w:t>
      </w:r>
    </w:p>
    <w:p>
      <w:pPr>
        <w:spacing w:before="163" w:after="163"/>
        <w:ind w:firstLine="420" w:firstLineChars="200"/>
      </w:pPr>
      <w:r>
        <w:rPr>
          <w:rFonts w:hint="eastAsia"/>
        </w:rPr>
        <w:t>（</w:t>
      </w:r>
      <w:r>
        <w:t>4</w:t>
      </w:r>
      <w:r>
        <w:rPr>
          <w:rFonts w:hint="eastAsia"/>
        </w:rPr>
        <w:t>）数据显示效率要求：数据模式产品和雷达数据应在500毫秒内完成显示；分辨率</w:t>
      </w:r>
      <w:r>
        <w:t>0.25</w:t>
      </w:r>
      <w:r>
        <w:rPr>
          <w:rFonts w:hint="eastAsia"/>
        </w:rPr>
        <w:t>度的等值线分析速度应低于</w:t>
      </w:r>
      <w:r>
        <w:t>150</w:t>
      </w:r>
      <w:r>
        <w:rPr>
          <w:rFonts w:hint="eastAsia"/>
        </w:rPr>
        <w:t>毫秒；叠加5个以下数据，能够在1500毫秒内实现动画翻页；高分辨率卫星数据应在1秒内完成加载显示。</w:t>
      </w:r>
    </w:p>
    <w:p>
      <w:pPr>
        <w:spacing w:before="163" w:after="163"/>
        <w:ind w:firstLine="480"/>
      </w:pPr>
      <w:r>
        <w:rPr>
          <w:rFonts w:hint="eastAsia"/>
        </w:rPr>
        <w:t>（5）多线程解码入库≥5000条记录/秒。</w:t>
      </w:r>
    </w:p>
    <w:p>
      <w:pPr>
        <w:spacing w:before="163" w:after="163"/>
        <w:ind w:firstLine="480"/>
      </w:pPr>
      <w:r>
        <w:rPr>
          <w:rFonts w:hint="eastAsia"/>
        </w:rPr>
        <w:t>（6）数据入索引库+分布式NAS处理速度大于每秒 100MB。</w:t>
      </w:r>
    </w:p>
    <w:p>
      <w:pPr>
        <w:spacing w:before="163" w:after="163"/>
        <w:ind w:firstLine="480"/>
      </w:pPr>
      <w:r>
        <w:rPr>
          <w:rFonts w:hint="eastAsia"/>
        </w:rPr>
        <w:t>（7）接口网关数据延时小于50毫秒，具备每秒5000并发处理能力。</w:t>
      </w:r>
    </w:p>
    <w:p>
      <w:pPr>
        <w:spacing w:before="163" w:after="163"/>
        <w:ind w:firstLine="480"/>
      </w:pPr>
      <w:r>
        <w:rPr>
          <w:rFonts w:hint="eastAsia"/>
        </w:rPr>
        <w:t>（8）数据检索接口，数据量&lt;10MB的，性能&lt;1秒，数据量10-50MB的，性能&lt;3秒；数据下载接口速度≥100MB/秒。</w:t>
      </w:r>
    </w:p>
    <w:p>
      <w:pPr>
        <w:spacing w:before="163" w:after="163"/>
        <w:ind w:firstLine="480"/>
      </w:pPr>
      <w:r>
        <w:rPr>
          <w:rFonts w:hint="eastAsia"/>
        </w:rPr>
        <w:t>（9）系统一般页面平均响应时间小于3秒；支持具备每秒500用户同时访问的能力。</w:t>
      </w:r>
    </w:p>
    <w:p>
      <w:pPr>
        <w:spacing w:before="163" w:after="163"/>
        <w:ind w:firstLine="480"/>
      </w:pPr>
      <w:r>
        <w:rPr>
          <w:rFonts w:hint="eastAsia"/>
        </w:rPr>
        <w:t>（10）支持平均10000条/秒的监视信息的处理能力，支持平均20000条/秒的原始事件处理能力，支持接入的监视信息的峰值吞吐量达到50000条/秒。</w:t>
      </w:r>
    </w:p>
    <w:p>
      <w:pPr>
        <w:spacing w:before="163" w:after="163"/>
        <w:ind w:firstLine="480"/>
      </w:pPr>
      <w:r>
        <w:rPr>
          <w:rFonts w:hint="eastAsia"/>
        </w:rPr>
        <w:t>（11）系统具备7×24小时运行能力，系统持续运行可靠性优于99.99%。</w:t>
      </w:r>
    </w:p>
    <w:p>
      <w:pPr>
        <w:spacing w:before="163" w:after="163"/>
        <w:ind w:firstLine="480"/>
      </w:pPr>
      <w:r>
        <w:rPr>
          <w:rFonts w:hint="eastAsia"/>
        </w:rPr>
        <w:t>（12）系统服务器平均无故障时间1000小时以上，客户端平均无故障时间600小时以上。</w:t>
      </w:r>
    </w:p>
    <w:p>
      <w:pPr>
        <w:spacing w:before="163" w:after="163"/>
        <w:ind w:firstLine="480"/>
      </w:pPr>
      <w:r>
        <w:rPr>
          <w:rFonts w:hint="eastAsia"/>
        </w:rPr>
        <w:t>（13）数据集存储空间不小于16T，从发出检索指令到完成检索显示输出结果，响应时间不超过3s。</w:t>
      </w:r>
    </w:p>
    <w:p>
      <w:pPr>
        <w:spacing w:before="163" w:after="163"/>
        <w:ind w:firstLine="480"/>
      </w:pPr>
      <w:r>
        <w:rPr>
          <w:rFonts w:hint="eastAsia"/>
        </w:rPr>
        <w:t>（1</w:t>
      </w:r>
      <w:r>
        <w:t>4</w:t>
      </w:r>
      <w:r>
        <w:rPr>
          <w:rFonts w:hint="eastAsia"/>
        </w:rPr>
        <w:t>）数据库支持超过1000个用户的并发访问能力。</w:t>
      </w:r>
    </w:p>
    <w:p>
      <w:pPr>
        <w:pStyle w:val="Heading3"/>
        <w:keepNext/>
        <w:keepLines/>
        <w:widowControl w:val="0"/>
        <w:numPr>
          <w:ilvl w:val="2"/>
          <w:numId w:val="5"/>
        </w:numPr>
        <w:spacing w:before="163" w:beforeLines="50" w:after="163" w:afterLines="50" w:line="416" w:lineRule="auto"/>
        <w:ind w:left="720" w:hanging="720"/>
        <w:jc w:val="both"/>
      </w:pPr>
      <w:bookmarkStart w:id="254" w:name="_Toc9421"/>
      <w:r>
        <w:rPr>
          <w:rFonts w:hint="eastAsia"/>
        </w:rPr>
        <w:t>稳定性要求</w:t>
      </w:r>
      <w:bookmarkEnd w:id="254"/>
    </w:p>
    <w:p>
      <w:pPr>
        <w:spacing w:before="163" w:after="163"/>
        <w:ind w:firstLine="480"/>
      </w:pPr>
      <w:r>
        <w:rPr>
          <w:rFonts w:hint="eastAsia"/>
        </w:rPr>
        <w:t>在软件的设计实现上要考虑系统长期运行的稳定性和可靠性。软件在运行期间，针对任何一个重要操作，都必须具有判断错误的能力，具有一定的容错性，必要时可以进行恢复性操作，否则要发出报警消息，便于人工干预。系统业务运行时必须具有较高的稳定性和故障后快速恢复的能力。</w:t>
      </w:r>
    </w:p>
    <w:p>
      <w:pPr>
        <w:spacing w:before="163" w:after="163"/>
        <w:ind w:firstLine="480"/>
      </w:pPr>
      <w:r>
        <w:rPr>
          <w:rFonts w:hint="eastAsia"/>
        </w:rPr>
        <w:t>具体需求如下：</w:t>
      </w:r>
    </w:p>
    <w:p>
      <w:pPr>
        <w:spacing w:before="163" w:after="163"/>
        <w:ind w:firstLine="480"/>
      </w:pPr>
      <w:r>
        <w:rPr>
          <w:rFonts w:hint="eastAsia"/>
        </w:rPr>
        <w:t>（1）应用软件开发严格遵循软件工程国家标准的开发、测试和集成规范。</w:t>
      </w:r>
    </w:p>
    <w:p>
      <w:pPr>
        <w:spacing w:before="163" w:after="163"/>
        <w:ind w:firstLine="480"/>
      </w:pPr>
      <w:r>
        <w:rPr>
          <w:rFonts w:hint="eastAsia"/>
        </w:rPr>
        <w:t>（2）在集群的硬件和软件平台可靠性的保证下，系统在5分钟内恢复运行状态。</w:t>
      </w:r>
    </w:p>
    <w:p>
      <w:pPr>
        <w:spacing w:before="163" w:after="163"/>
        <w:ind w:firstLine="480"/>
      </w:pPr>
      <w:r>
        <w:rPr>
          <w:rFonts w:hint="eastAsia"/>
        </w:rPr>
        <w:t>（</w:t>
      </w:r>
      <w:r>
        <w:t>3</w:t>
      </w:r>
      <w:r>
        <w:rPr>
          <w:rFonts w:hint="eastAsia"/>
        </w:rPr>
        <w:t>）服务器平均无故障时间</w:t>
      </w:r>
      <w:r>
        <w:t>1000</w:t>
      </w:r>
      <w:r>
        <w:rPr>
          <w:rFonts w:hint="eastAsia"/>
        </w:rPr>
        <w:t>小时以上，客户端平均无故障时间</w:t>
      </w:r>
      <w:r>
        <w:t>600</w:t>
      </w:r>
      <w:r>
        <w:rPr>
          <w:rFonts w:hint="eastAsia"/>
        </w:rPr>
        <w:t>小时以上。</w:t>
      </w:r>
    </w:p>
    <w:p>
      <w:pPr>
        <w:pStyle w:val="Heading3"/>
        <w:keepNext/>
        <w:keepLines/>
        <w:widowControl w:val="0"/>
        <w:numPr>
          <w:ilvl w:val="2"/>
          <w:numId w:val="5"/>
        </w:numPr>
        <w:spacing w:before="163" w:beforeLines="50" w:after="163" w:afterLines="50" w:line="416" w:lineRule="auto"/>
        <w:ind w:left="720" w:hanging="720"/>
        <w:jc w:val="both"/>
      </w:pPr>
      <w:bookmarkStart w:id="255" w:name="_Toc17074"/>
      <w:r>
        <w:rPr>
          <w:rFonts w:hint="eastAsia"/>
        </w:rPr>
        <w:t>可维护性要求</w:t>
      </w:r>
      <w:bookmarkEnd w:id="255"/>
    </w:p>
    <w:p>
      <w:pPr>
        <w:spacing w:before="163" w:after="163"/>
        <w:ind w:firstLine="420"/>
      </w:pPr>
      <w:r>
        <w:rPr>
          <w:rFonts w:hint="eastAsia"/>
        </w:rPr>
        <w:t>随着系统功能的不断扩展，系统管理和维护的任务将会日益繁重。所以在系统设计中，必须建立一套全面的管理机制和维护机制。系统应尽量采用智能化、图形化、易维护的系统管理工具以提高系统的可维护性</w:t>
      </w:r>
    </w:p>
    <w:p>
      <w:pPr>
        <w:pStyle w:val="Heading3"/>
        <w:keepNext/>
        <w:keepLines/>
        <w:widowControl w:val="0"/>
        <w:numPr>
          <w:ilvl w:val="2"/>
          <w:numId w:val="5"/>
        </w:numPr>
        <w:spacing w:before="163" w:beforeLines="50" w:after="163" w:afterLines="50" w:line="416" w:lineRule="auto"/>
        <w:ind w:left="720" w:hanging="720"/>
        <w:jc w:val="both"/>
      </w:pPr>
      <w:bookmarkStart w:id="256" w:name="_Toc29111"/>
      <w:r>
        <w:rPr>
          <w:rFonts w:hint="eastAsia"/>
        </w:rPr>
        <w:t>兼容性要求</w:t>
      </w:r>
      <w:bookmarkEnd w:id="256"/>
    </w:p>
    <w:p>
      <w:pPr>
        <w:spacing w:before="163" w:after="163"/>
        <w:ind w:firstLine="480"/>
      </w:pPr>
      <w:r>
        <w:rPr>
          <w:rFonts w:hint="eastAsia"/>
        </w:rPr>
        <w:t>硬件兼容性：支持在国产服务器硬件（包括但不限于</w:t>
      </w:r>
      <w:r>
        <w:t>ARM</w:t>
      </w:r>
      <w:r>
        <w:rPr>
          <w:rFonts w:hint="eastAsia"/>
        </w:rPr>
        <w:t>架构、C</w:t>
      </w:r>
      <w:r>
        <w:t>86</w:t>
      </w:r>
      <w:r>
        <w:rPr>
          <w:rFonts w:hint="eastAsia"/>
        </w:rPr>
        <w:t>架构）和其他服务器硬件上正常部署、运行。</w:t>
      </w:r>
    </w:p>
    <w:p>
      <w:pPr>
        <w:spacing w:before="163" w:after="163"/>
        <w:ind w:firstLine="480"/>
      </w:pPr>
      <w:r>
        <w:rPr>
          <w:rFonts w:hint="eastAsia"/>
        </w:rPr>
        <w:t>操作系统兼容性：支持在多种操作系统上正常部署、运行，包括但不限于Windows、Linux、麒麟、统信等。</w:t>
      </w:r>
    </w:p>
    <w:p>
      <w:pPr>
        <w:spacing w:before="163" w:after="163"/>
        <w:ind w:firstLine="480"/>
      </w:pPr>
      <w:r>
        <w:rPr>
          <w:rFonts w:hint="eastAsia"/>
        </w:rPr>
        <w:t>浏览器兼容性：对于Web应用程序，软件应能在不同的浏览器上正确显示和运行。</w:t>
      </w:r>
    </w:p>
    <w:p>
      <w:pPr>
        <w:spacing w:before="163" w:after="163"/>
        <w:ind w:firstLine="480"/>
      </w:pPr>
      <w:r>
        <w:rPr>
          <w:rFonts w:hint="eastAsia"/>
        </w:rPr>
        <w:t>API兼容性：软件应能与其他系统或服务进行正常的接口调用和数据交换。</w:t>
      </w:r>
    </w:p>
    <w:p>
      <w:pPr>
        <w:spacing w:before="163" w:after="163"/>
      </w:pPr>
      <w:r>
        <w:rPr>
          <w:rFonts w:hint="eastAsia"/>
        </w:rPr>
        <w:t>版本兼容性：软件应能与不同版本的依赖软件或库进行协同工作。</w:t>
      </w:r>
    </w:p>
    <w:p>
      <w:pPr>
        <w:pStyle w:val="Heading3"/>
        <w:keepNext/>
        <w:keepLines/>
        <w:widowControl w:val="0"/>
        <w:numPr>
          <w:ilvl w:val="2"/>
          <w:numId w:val="5"/>
        </w:numPr>
        <w:spacing w:before="163" w:beforeLines="50" w:after="163" w:afterLines="50" w:line="416" w:lineRule="auto"/>
        <w:ind w:left="720" w:hanging="720"/>
        <w:jc w:val="both"/>
      </w:pPr>
      <w:bookmarkStart w:id="257" w:name="_Toc15484"/>
      <w:r>
        <w:rPr>
          <w:rFonts w:hint="eastAsia"/>
        </w:rPr>
        <w:t>集约化要求</w:t>
      </w:r>
      <w:bookmarkEnd w:id="257"/>
    </w:p>
    <w:p>
      <w:pPr>
        <w:spacing w:before="163" w:after="163"/>
        <w:ind w:firstLine="480"/>
      </w:pPr>
      <w:r>
        <w:rPr>
          <w:rFonts w:hint="eastAsia"/>
        </w:rPr>
        <w:t>本系统采用“云+端”的技术架构基于天气业务一体化平台（C</w:t>
      </w:r>
      <w:r>
        <w:t>ME</w:t>
      </w:r>
      <w:r>
        <w:rPr>
          <w:rFonts w:hint="eastAsia"/>
        </w:rPr>
        <w:t>）和气象大数据云平台建设，后台算法、服务、数据由C</w:t>
      </w:r>
      <w:r>
        <w:t>ME</w:t>
      </w:r>
      <w:r>
        <w:rPr>
          <w:rFonts w:hint="eastAsia"/>
        </w:rPr>
        <w:t>结合气象大数据云平台统一管理，基础硬件资源由气象大数据云平台、气象虚拟化资源池提供所需的基础资源支撑，系统运行所需要气象数据的存储环境、底层支撑软件、采集调度处理分发、学习训练环境等应用软件，均复用国家气象信息中心已有成果，不再单独建设。对于目前国家气象信息中心暂无法支持部分，通过本项目进行开发，并以功能组件的方式融入到C</w:t>
      </w:r>
      <w:r>
        <w:t>ME</w:t>
      </w:r>
      <w:r>
        <w:rPr>
          <w:rFonts w:hint="eastAsia"/>
        </w:rPr>
        <w:t>底层的支撑环境当中。</w:t>
      </w:r>
    </w:p>
    <w:p>
      <w:pPr>
        <w:spacing w:before="163" w:after="163"/>
        <w:ind w:firstLine="480"/>
      </w:pPr>
      <w:r>
        <w:rPr>
          <w:rFonts w:hint="eastAsia"/>
        </w:rPr>
        <w:t>本系统基于C</w:t>
      </w:r>
      <w:r>
        <w:t>ME</w:t>
      </w:r>
      <w:r>
        <w:rPr>
          <w:rFonts w:hint="eastAsia"/>
        </w:rPr>
        <w:t>数据基座作为底层数据源，对于天擎基础支撑库已经存储的原始格式气象数据，本系统不再单独存储，均通过接口</w:t>
      </w:r>
      <w:r>
        <w:t>/SDK等形式直接读取，充分复用。</w:t>
      </w:r>
      <w:r>
        <w:rPr>
          <w:rFonts w:hint="eastAsia"/>
        </w:rPr>
        <w:t>本项目建设的各业务子系统需要与C</w:t>
      </w:r>
      <w:r>
        <w:t>ME</w:t>
      </w:r>
      <w:r>
        <w:rPr>
          <w:rFonts w:hint="eastAsia"/>
        </w:rPr>
        <w:t>平台进行集约化建设、组件化设计。</w:t>
      </w:r>
    </w:p>
    <w:p>
      <w:pPr>
        <w:pStyle w:val="Heading3"/>
        <w:keepNext/>
        <w:keepLines/>
        <w:widowControl w:val="0"/>
        <w:numPr>
          <w:ilvl w:val="2"/>
          <w:numId w:val="5"/>
        </w:numPr>
        <w:spacing w:before="163" w:beforeLines="50" w:after="163" w:afterLines="50" w:line="416" w:lineRule="auto"/>
        <w:ind w:left="720" w:hanging="720"/>
        <w:jc w:val="both"/>
      </w:pPr>
      <w:bookmarkStart w:id="258" w:name="_Toc16096"/>
      <w:r>
        <w:rPr>
          <w:rFonts w:hint="eastAsia"/>
        </w:rPr>
        <w:t>可移植性要求</w:t>
      </w:r>
      <w:bookmarkEnd w:id="258"/>
    </w:p>
    <w:p>
      <w:pPr>
        <w:spacing w:before="163" w:after="163"/>
        <w:ind w:firstLine="480"/>
      </w:pPr>
      <w:r>
        <w:rPr>
          <w:rFonts w:hint="eastAsia"/>
        </w:rPr>
        <w:t>将平台划分为多个独立但相互关联的模块，每个模块遵循统一接口标准，确保模块间的松耦合，便于在不同硬件和软件环境中独立升级或替换。</w:t>
      </w:r>
    </w:p>
    <w:p>
      <w:pPr>
        <w:spacing w:before="163" w:after="163"/>
        <w:ind w:firstLine="480"/>
      </w:pPr>
      <w:r>
        <w:rPr>
          <w:rFonts w:hint="eastAsia"/>
        </w:rPr>
        <w:tab/>
      </w:r>
      <w:r>
        <w:rPr>
          <w:rFonts w:hint="eastAsia"/>
        </w:rPr>
        <w:t>采用微服务架构，将不同功能封装成独立的服务组件，通过API网关进行服务间的通信与协调。这种设计提高了系统的可扩展性和可维护性，也便于在不同平台间迁移和部署。</w:t>
      </w:r>
    </w:p>
    <w:p>
      <w:pPr>
        <w:spacing w:before="163" w:after="163"/>
        <w:ind w:firstLine="480"/>
      </w:pPr>
      <w:r>
        <w:rPr>
          <w:rFonts w:hint="eastAsia"/>
        </w:rPr>
        <w:tab/>
      </w:r>
      <w:r>
        <w:rPr>
          <w:rFonts w:hint="eastAsia"/>
        </w:rPr>
        <w:t>建立统一的数据交换标准和接口规范，确保数据在不同系统、不同平台间的一致性和互操作性。利用国际标准或行业推荐标准，如OGC（Open Geospatial Consortium）标准，促进数据的全球流通与共享。</w:t>
      </w:r>
    </w:p>
    <w:p>
      <w:pPr>
        <w:spacing w:before="163" w:after="163"/>
        <w:ind w:firstLine="480"/>
      </w:pPr>
      <w:r>
        <w:rPr>
          <w:rFonts w:hint="eastAsia"/>
        </w:rPr>
        <w:tab/>
      </w:r>
      <w:r>
        <w:rPr>
          <w:rFonts w:hint="eastAsia"/>
        </w:rPr>
        <w:t>支持跨平台开发，采用如Java、Python等跨平台编程语言，以及Docker容器化技术，确保系统可以在不同操作系统（如Linux、Windows、macOS）和云环境（如AWS、Azure、阿里云）中无缝运行。</w:t>
      </w:r>
    </w:p>
    <w:p>
      <w:pPr>
        <w:spacing w:before="163" w:after="163"/>
        <w:ind w:firstLine="480"/>
      </w:pPr>
      <w:r>
        <w:rPr>
          <w:rFonts w:hint="eastAsia"/>
        </w:rPr>
        <w:tab/>
      </w:r>
      <w:r>
        <w:rPr>
          <w:rFonts w:hint="eastAsia"/>
        </w:rPr>
        <w:t>提供丰富的配置选项，允许用户根据具体环境和需求调整系统参数，如数据源配置、计算资源分配、服务端口设置等。通过配置文件或环境变量等方式实现快速配置与部署。</w:t>
      </w:r>
    </w:p>
    <w:p>
      <w:pPr>
        <w:pStyle w:val="Heading3"/>
        <w:keepNext/>
        <w:keepLines/>
        <w:widowControl w:val="0"/>
        <w:numPr>
          <w:ilvl w:val="2"/>
          <w:numId w:val="5"/>
        </w:numPr>
        <w:spacing w:before="163" w:beforeLines="50" w:after="163" w:afterLines="50" w:line="416" w:lineRule="auto"/>
        <w:ind w:left="720" w:hanging="720"/>
        <w:jc w:val="both"/>
      </w:pPr>
      <w:bookmarkStart w:id="259" w:name="_Toc4366"/>
      <w:r>
        <w:rPr>
          <w:rFonts w:hint="eastAsia"/>
        </w:rPr>
        <w:t>安全性要求</w:t>
      </w:r>
      <w:bookmarkEnd w:id="259"/>
    </w:p>
    <w:p>
      <w:pPr>
        <w:widowControl/>
        <w:spacing w:before="163" w:after="163"/>
        <w:ind w:firstLine="480"/>
        <w:jc w:val="left"/>
        <w:rPr>
          <w:rFonts w:ascii="宋体" w:hAnsi="宋体" w:cs="宋体"/>
          <w:kern w:val="0"/>
        </w:rPr>
      </w:pPr>
      <w:r>
        <w:rPr>
          <w:rFonts w:ascii="宋体" w:hAnsi="宋体" w:cs="宋体" w:hint="eastAsia"/>
          <w:kern w:val="0"/>
        </w:rPr>
        <w:t>为保证业务应用不间断运行，系统须具有极高的安全性和可靠性。对系统总体结构、网络系统、应用系统和数据服务系统等方面须进行高安全性和可靠性设计，还应兼顾现有系统整体情况，实现现有系统与新建系统之间的全面融合，以提升整体系统的综合服务能力。同时系统须具有一定的病毒防御能力和入侵检测防护功能。在网络传输过程中，采用相关的软件技术提供较强的管理机制和控制手段，以提高整个系统的稳定性和安全可靠传输，确保数据传输的稳定性及安全性。</w:t>
      </w:r>
    </w:p>
    <w:p>
      <w:pPr>
        <w:spacing w:before="163" w:after="163"/>
        <w:ind w:firstLine="420"/>
        <w:sectPr>
          <w:headerReference w:type="even" r:id="rId13"/>
          <w:footerReference w:type="even" r:id="rId14"/>
          <w:headerReference w:type="first" r:id="rId15"/>
          <w:footerReference w:type="first" r:id="rId16"/>
          <w:pgSz w:w="11906" w:h="16838"/>
          <w:pgMar w:top="1440" w:right="1800" w:bottom="1440" w:left="1800" w:header="851" w:footer="851" w:gutter="0"/>
          <w:cols w:num="1" w:space="425"/>
          <w:docGrid w:type="lines" w:linePitch="326" w:charSpace="0"/>
        </w:sectPr>
      </w:pP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60" w:name="_Toc18979"/>
      <w:r>
        <w:rPr>
          <w:rFonts w:hint="eastAsia"/>
        </w:rPr>
        <w:t>建设进度要求</w:t>
      </w:r>
      <w:bookmarkEnd w:id="260"/>
    </w:p>
    <w:p>
      <w:pPr>
        <w:spacing w:before="156" w:after="156"/>
        <w:ind w:firstLine="420" w:firstLineChars="200"/>
        <w:rPr>
          <w:rFonts w:ascii="宋体" w:hAnsi="宋体"/>
          <w:szCs w:val="21"/>
        </w:rPr>
      </w:pPr>
      <w:r>
        <w:rPr>
          <w:rFonts w:ascii="宋体" w:hAnsi="宋体" w:hint="eastAsia"/>
          <w:szCs w:val="21"/>
        </w:rPr>
        <w:t>项目建设任务要求自合同签订后</w:t>
      </w:r>
      <w:r>
        <w:rPr>
          <w:rFonts w:ascii="宋体" w:hAnsi="宋体"/>
          <w:szCs w:val="21"/>
        </w:rPr>
        <w:t>24个月内完成，并在2027年完成</w:t>
      </w:r>
      <w:r>
        <w:rPr>
          <w:rFonts w:ascii="宋体" w:hAnsi="宋体" w:hint="eastAsia"/>
          <w:szCs w:val="21"/>
        </w:rPr>
        <w:t>项目竣工验收。</w:t>
      </w:r>
    </w:p>
    <w:p>
      <w:pPr>
        <w:spacing w:before="156" w:after="156"/>
        <w:ind w:firstLine="420" w:firstLineChars="200"/>
        <w:rPr>
          <w:rFonts w:ascii="宋体" w:hAnsi="宋体"/>
          <w:szCs w:val="21"/>
        </w:rPr>
      </w:pPr>
      <w:r>
        <w:rPr>
          <w:rFonts w:ascii="宋体" w:hAnsi="宋体"/>
          <w:szCs w:val="21"/>
        </w:rPr>
        <w:t>2025年：</w:t>
      </w:r>
    </w:p>
    <w:p>
      <w:pPr>
        <w:pStyle w:val="ListParagraph"/>
        <w:numPr>
          <w:ilvl w:val="0"/>
          <w:numId w:val="7"/>
        </w:numPr>
        <w:spacing w:before="50" w:beforeLines="0" w:after="50" w:afterLines="0" w:line="360" w:lineRule="auto"/>
        <w:ind w:firstLine="480"/>
        <w:rPr>
          <w:rFonts w:ascii="宋体" w:hAnsi="宋体"/>
          <w:szCs w:val="21"/>
        </w:rPr>
      </w:pPr>
      <w:r>
        <w:rPr>
          <w:rFonts w:ascii="宋体" w:hAnsi="宋体"/>
          <w:szCs w:val="21"/>
        </w:rPr>
        <w:t>2025</w:t>
      </w:r>
      <w:r>
        <w:rPr>
          <w:rFonts w:ascii="宋体" w:hAnsi="宋体" w:hint="eastAsia"/>
          <w:szCs w:val="21"/>
        </w:rPr>
        <w:t>年</w:t>
      </w:r>
      <w:r>
        <w:rPr>
          <w:rFonts w:ascii="宋体" w:hAnsi="宋体"/>
          <w:szCs w:val="21"/>
        </w:rPr>
        <w:t>11-12</w:t>
      </w:r>
      <w:r>
        <w:rPr>
          <w:rFonts w:ascii="宋体" w:hAnsi="宋体" w:hint="eastAsia"/>
          <w:szCs w:val="21"/>
        </w:rPr>
        <w:t>月，完成招投标采购及合同签署。</w:t>
      </w:r>
    </w:p>
    <w:p>
      <w:pPr>
        <w:spacing w:before="156" w:after="156"/>
        <w:ind w:firstLine="420" w:firstLineChars="200"/>
        <w:rPr>
          <w:rFonts w:ascii="宋体" w:hAnsi="宋体"/>
          <w:szCs w:val="21"/>
        </w:rPr>
      </w:pPr>
      <w:r>
        <w:rPr>
          <w:rFonts w:ascii="宋体" w:hAnsi="宋体"/>
          <w:szCs w:val="21"/>
        </w:rPr>
        <w:t>2026年：</w:t>
      </w:r>
    </w:p>
    <w:p>
      <w:pPr>
        <w:pStyle w:val="ListParagraph"/>
        <w:numPr>
          <w:ilvl w:val="0"/>
          <w:numId w:val="7"/>
        </w:numPr>
        <w:spacing w:before="50" w:beforeLines="0" w:after="50" w:afterLines="0" w:line="360" w:lineRule="auto"/>
        <w:ind w:firstLine="48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1</w:t>
      </w:r>
      <w:r>
        <w:rPr>
          <w:rFonts w:ascii="宋体" w:hAnsi="宋体" w:hint="eastAsia"/>
          <w:szCs w:val="21"/>
        </w:rPr>
        <w:t>月</w:t>
      </w:r>
      <w:r>
        <w:rPr>
          <w:rFonts w:ascii="宋体" w:hAnsi="宋体"/>
          <w:szCs w:val="21"/>
        </w:rPr>
        <w:t>-2</w:t>
      </w:r>
      <w:r>
        <w:rPr>
          <w:rFonts w:ascii="宋体" w:hAnsi="宋体" w:hint="eastAsia"/>
          <w:szCs w:val="21"/>
        </w:rPr>
        <w:t>月，完成软件系统需求分析和概要设计。</w:t>
      </w:r>
    </w:p>
    <w:p>
      <w:pPr>
        <w:pStyle w:val="ListParagraph"/>
        <w:numPr>
          <w:ilvl w:val="0"/>
          <w:numId w:val="7"/>
        </w:numPr>
        <w:spacing w:before="50" w:beforeLines="0" w:after="50" w:afterLines="0" w:line="360" w:lineRule="auto"/>
        <w:ind w:firstLine="48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3</w:t>
      </w:r>
      <w:r>
        <w:rPr>
          <w:rFonts w:ascii="宋体" w:hAnsi="宋体" w:hint="eastAsia"/>
          <w:szCs w:val="21"/>
        </w:rPr>
        <w:t>月</w:t>
      </w:r>
      <w:r>
        <w:rPr>
          <w:rFonts w:ascii="宋体" w:hAnsi="宋体"/>
          <w:szCs w:val="21"/>
        </w:rPr>
        <w:t>-4</w:t>
      </w:r>
      <w:r>
        <w:rPr>
          <w:rFonts w:ascii="宋体" w:hAnsi="宋体" w:hint="eastAsia"/>
          <w:szCs w:val="21"/>
        </w:rPr>
        <w:t>月，完成详细设计。</w:t>
      </w:r>
    </w:p>
    <w:p>
      <w:pPr>
        <w:pStyle w:val="ListParagraph"/>
        <w:numPr>
          <w:ilvl w:val="0"/>
          <w:numId w:val="8"/>
        </w:numPr>
        <w:spacing w:before="50" w:beforeLines="0" w:after="50" w:afterLines="0" w:line="360" w:lineRule="auto"/>
        <w:ind w:firstLine="48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5</w:t>
      </w:r>
      <w:r>
        <w:rPr>
          <w:rFonts w:ascii="宋体" w:hAnsi="宋体" w:hint="eastAsia"/>
          <w:szCs w:val="21"/>
        </w:rPr>
        <w:t>月</w:t>
      </w:r>
      <w:r>
        <w:rPr>
          <w:rFonts w:ascii="宋体" w:hAnsi="宋体"/>
          <w:szCs w:val="21"/>
        </w:rPr>
        <w:t>-6</w:t>
      </w:r>
      <w:r>
        <w:rPr>
          <w:rFonts w:ascii="宋体" w:hAnsi="宋体" w:hint="eastAsia"/>
          <w:szCs w:val="21"/>
        </w:rPr>
        <w:t>月，完成</w:t>
      </w:r>
      <w:r>
        <w:rPr>
          <w:rFonts w:ascii="宋体" w:hAnsi="宋体"/>
          <w:szCs w:val="21"/>
        </w:rPr>
        <w:t>demo</w:t>
      </w:r>
      <w:r>
        <w:rPr>
          <w:rFonts w:ascii="宋体" w:hAnsi="宋体" w:hint="eastAsia"/>
          <w:szCs w:val="21"/>
        </w:rPr>
        <w:t>版的开发任务。</w:t>
      </w:r>
    </w:p>
    <w:p>
      <w:pPr>
        <w:pStyle w:val="ListParagraph"/>
        <w:numPr>
          <w:ilvl w:val="0"/>
          <w:numId w:val="8"/>
        </w:numPr>
        <w:spacing w:before="50" w:beforeLines="0" w:after="50" w:afterLines="0" w:line="360" w:lineRule="auto"/>
        <w:ind w:firstLine="48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7</w:t>
      </w:r>
      <w:r>
        <w:rPr>
          <w:rFonts w:ascii="宋体" w:hAnsi="宋体" w:hint="eastAsia"/>
          <w:szCs w:val="21"/>
        </w:rPr>
        <w:t>月</w:t>
      </w:r>
      <w:r>
        <w:rPr>
          <w:rFonts w:ascii="宋体" w:hAnsi="宋体"/>
          <w:szCs w:val="21"/>
        </w:rPr>
        <w:t>-12</w:t>
      </w:r>
      <w:r>
        <w:rPr>
          <w:rFonts w:ascii="宋体" w:hAnsi="宋体" w:hint="eastAsia"/>
          <w:szCs w:val="21"/>
        </w:rPr>
        <w:t>月，完成软件系统开发、集成、测试、安装部署。</w:t>
      </w:r>
    </w:p>
    <w:p>
      <w:pPr>
        <w:spacing w:before="156" w:after="156"/>
        <w:ind w:firstLine="420" w:firstLineChars="200"/>
        <w:rPr>
          <w:rFonts w:ascii="宋体" w:hAnsi="宋体"/>
          <w:szCs w:val="21"/>
        </w:rPr>
      </w:pPr>
      <w:r>
        <w:rPr>
          <w:rFonts w:ascii="宋体" w:hAnsi="宋体"/>
          <w:szCs w:val="21"/>
        </w:rPr>
        <w:t>2027年：</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1</w:t>
      </w:r>
      <w:r>
        <w:rPr>
          <w:rFonts w:ascii="宋体" w:hAnsi="宋体" w:hint="eastAsia"/>
          <w:szCs w:val="21"/>
        </w:rPr>
        <w:t>月，完成项目初验。</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2</w:t>
      </w:r>
      <w:r>
        <w:rPr>
          <w:rFonts w:ascii="宋体" w:hAnsi="宋体" w:hint="eastAsia"/>
          <w:szCs w:val="21"/>
        </w:rPr>
        <w:t>月</w:t>
      </w:r>
      <w:r>
        <w:rPr>
          <w:rFonts w:ascii="宋体" w:hAnsi="宋体"/>
          <w:szCs w:val="21"/>
        </w:rPr>
        <w:t>-4</w:t>
      </w:r>
      <w:r>
        <w:rPr>
          <w:rFonts w:ascii="宋体" w:hAnsi="宋体" w:hint="eastAsia"/>
          <w:szCs w:val="21"/>
        </w:rPr>
        <w:t>月，进行系统试运行。</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hint="eastAsia"/>
          <w:szCs w:val="21"/>
        </w:rPr>
        <w:t>2</w:t>
      </w:r>
      <w:r>
        <w:rPr>
          <w:rFonts w:ascii="宋体" w:hAnsi="宋体"/>
          <w:szCs w:val="21"/>
        </w:rPr>
        <w:t>027</w:t>
      </w:r>
      <w:r>
        <w:rPr>
          <w:rFonts w:ascii="宋体" w:hAnsi="宋体" w:hint="eastAsia"/>
          <w:szCs w:val="21"/>
        </w:rPr>
        <w:t>年5月-</w:t>
      </w:r>
      <w:r>
        <w:rPr>
          <w:rFonts w:ascii="宋体" w:hAnsi="宋体"/>
          <w:szCs w:val="21"/>
        </w:rPr>
        <w:t>6</w:t>
      </w:r>
      <w:r>
        <w:rPr>
          <w:rFonts w:ascii="宋体" w:hAnsi="宋体" w:hint="eastAsia"/>
          <w:szCs w:val="21"/>
        </w:rPr>
        <w:t>月，完成试运行期间发现的问题修改、系统优化。</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hint="eastAsia"/>
          <w:szCs w:val="21"/>
        </w:rPr>
        <w:t>2</w:t>
      </w:r>
      <w:r>
        <w:rPr>
          <w:rFonts w:ascii="宋体" w:hAnsi="宋体"/>
          <w:szCs w:val="21"/>
        </w:rPr>
        <w:t>027</w:t>
      </w:r>
      <w:r>
        <w:rPr>
          <w:rFonts w:ascii="宋体" w:hAnsi="宋体" w:hint="eastAsia"/>
          <w:szCs w:val="21"/>
        </w:rPr>
        <w:t>年7月-</w:t>
      </w:r>
      <w:r>
        <w:rPr>
          <w:rFonts w:ascii="宋体" w:hAnsi="宋体"/>
          <w:szCs w:val="21"/>
        </w:rPr>
        <w:t>8</w:t>
      </w:r>
      <w:r>
        <w:rPr>
          <w:rFonts w:ascii="宋体" w:hAnsi="宋体" w:hint="eastAsia"/>
          <w:szCs w:val="21"/>
        </w:rPr>
        <w:t>月，完成系统培训、单项验收和集合验收。</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9</w:t>
      </w:r>
      <w:r>
        <w:rPr>
          <w:rFonts w:ascii="宋体" w:hAnsi="宋体" w:hint="eastAsia"/>
          <w:szCs w:val="21"/>
        </w:rPr>
        <w:t>月</w:t>
      </w:r>
      <w:r>
        <w:rPr>
          <w:rFonts w:ascii="宋体" w:hAnsi="宋体"/>
          <w:szCs w:val="21"/>
        </w:rPr>
        <w:t>30</w:t>
      </w:r>
      <w:r>
        <w:rPr>
          <w:rFonts w:ascii="宋体" w:hAnsi="宋体" w:hint="eastAsia"/>
          <w:szCs w:val="21"/>
        </w:rPr>
        <w:t>日前，完成系统验收。</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12</w:t>
      </w:r>
      <w:r>
        <w:rPr>
          <w:rFonts w:ascii="宋体" w:hAnsi="宋体" w:hint="eastAsia"/>
          <w:szCs w:val="21"/>
        </w:rPr>
        <w:t>月</w:t>
      </w:r>
      <w:r>
        <w:rPr>
          <w:rFonts w:ascii="宋体" w:hAnsi="宋体"/>
          <w:szCs w:val="21"/>
        </w:rPr>
        <w:t>15</w:t>
      </w:r>
      <w:r>
        <w:rPr>
          <w:rFonts w:ascii="宋体" w:hAnsi="宋体" w:hint="eastAsia"/>
          <w:szCs w:val="21"/>
        </w:rPr>
        <w:t>日前，配合完成整个工程的竣工验收。</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r>
        <w:rPr>
          <w:rFonts w:hint="eastAsia"/>
        </w:rPr>
        <w:t>建设团队要求</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乙方（供应商）应指派具备相应资质和经验的人员组成</w:t>
      </w:r>
      <w:r>
        <w:rPr>
          <w:rFonts w:ascii="宋体" w:hAnsi="宋体" w:hint="eastAsia"/>
          <w:szCs w:val="21"/>
        </w:rPr>
        <w:t>核心开发人员不少于</w:t>
      </w:r>
      <w:r>
        <w:rPr>
          <w:rFonts w:ascii="宋体" w:hAnsi="宋体"/>
          <w:szCs w:val="21"/>
        </w:rPr>
        <w:t>8</w:t>
      </w:r>
      <w:r>
        <w:rPr>
          <w:rFonts w:ascii="宋体" w:hAnsi="宋体" w:hint="eastAsia"/>
          <w:szCs w:val="21"/>
        </w:rPr>
        <w:t>人的</w:t>
      </w:r>
      <w:r>
        <w:rPr>
          <w:rFonts w:ascii="宋体" w:hAnsi="宋体"/>
          <w:szCs w:val="21"/>
        </w:rPr>
        <w:t>项目团队，</w:t>
      </w:r>
      <w:r>
        <w:rPr>
          <w:rFonts w:ascii="宋体" w:hAnsi="宋体" w:hint="eastAsia"/>
          <w:szCs w:val="21"/>
        </w:rPr>
        <w:t>驻场服务人员不少于5人，</w:t>
      </w:r>
      <w:r>
        <w:rPr>
          <w:rFonts w:ascii="宋体" w:hAnsi="宋体"/>
          <w:szCs w:val="21"/>
        </w:rPr>
        <w:t>以确保本项目的顺利实施。</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乙方</w:t>
      </w:r>
      <w:r>
        <w:rPr>
          <w:rFonts w:ascii="宋体" w:hAnsi="宋体" w:hint="eastAsia"/>
          <w:szCs w:val="21"/>
        </w:rPr>
        <w:t>明确</w:t>
      </w:r>
      <w:r>
        <w:rPr>
          <w:rFonts w:ascii="宋体" w:hAnsi="宋体"/>
          <w:szCs w:val="21"/>
        </w:rPr>
        <w:t>指定项目经理</w:t>
      </w:r>
      <w:r>
        <w:rPr>
          <w:rFonts w:ascii="宋体" w:hAnsi="宋体" w:hint="eastAsia"/>
          <w:szCs w:val="21"/>
        </w:rPr>
        <w:t>一名</w:t>
      </w:r>
      <w:r>
        <w:rPr>
          <w:rFonts w:ascii="宋体" w:hAnsi="宋体"/>
          <w:szCs w:val="21"/>
        </w:rPr>
        <w:t>全面负责项目的管理与协调。未经甲方书面同意，乙方不得擅自更换项目经理。</w:t>
      </w:r>
    </w:p>
    <w:p>
      <w:pPr>
        <w:pStyle w:val="ListParagraph"/>
        <w:numPr>
          <w:ilvl w:val="0"/>
          <w:numId w:val="9"/>
        </w:numPr>
        <w:spacing w:before="50" w:beforeLines="0" w:after="50" w:afterLines="0" w:line="360" w:lineRule="auto"/>
        <w:ind w:firstLine="480"/>
        <w:rPr>
          <w:rFonts w:ascii="宋体" w:hAnsi="宋体"/>
          <w:szCs w:val="21"/>
        </w:rPr>
      </w:pPr>
      <w:r>
        <w:rPr>
          <w:rFonts w:ascii="宋体" w:hAnsi="宋体"/>
          <w:szCs w:val="21"/>
        </w:rPr>
        <w:t>如乙方需更换项目团队成员，应至少提前15日书面通知甲方。甲方如认为接替人员无法满足项目要求，有权要求乙方另行指派。</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61" w:name="_Toc7418"/>
      <w:r>
        <w:rPr>
          <w:rFonts w:hint="eastAsia"/>
        </w:rPr>
        <w:t>项目交付物要求</w:t>
      </w:r>
      <w:bookmarkEnd w:id="261"/>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需求分析、需求规格说明书、系统原型；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概要设计、详细设计方案；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运行正常的系统；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完整的软件源代码、可执行程序、安装程序；</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根据建设成果申请不少于3项发明专利；</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软件使用手册；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软件技术说明；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软件测试大纲、测试报告（第三方测试报告、代码审计报告）；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产品清单；                               </w:t>
      </w:r>
    </w:p>
    <w:p>
      <w:pPr>
        <w:pStyle w:val="ListParagraph"/>
        <w:numPr>
          <w:ilvl w:val="0"/>
          <w:numId w:val="9"/>
        </w:numPr>
        <w:spacing w:before="156" w:beforeLines="0" w:after="156" w:afterLines="0" w:line="360" w:lineRule="auto"/>
        <w:ind w:left="0" w:firstLine="480"/>
        <w:rPr>
          <w:rFonts w:ascii="宋体" w:hAnsi="宋体"/>
          <w:szCs w:val="21"/>
        </w:rPr>
      </w:pPr>
      <w:r>
        <w:rPr>
          <w:rFonts w:ascii="宋体" w:hAnsi="宋体" w:hint="eastAsia"/>
          <w:szCs w:val="21"/>
        </w:rPr>
        <w:t xml:space="preserve"> 其他按照《气象软件工程规范》要求的文档。 </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62" w:name="_Toc17255"/>
      <w:r>
        <w:rPr>
          <w:rFonts w:hint="eastAsia"/>
        </w:rPr>
        <w:t>第三方测试要求</w:t>
      </w:r>
      <w:bookmarkEnd w:id="262"/>
    </w:p>
    <w:p>
      <w:pPr>
        <w:spacing w:before="156" w:after="156"/>
        <w:ind w:firstLine="420"/>
      </w:pPr>
      <w:r>
        <w:rPr>
          <w:rFonts w:hint="eastAsia"/>
        </w:rPr>
        <w:t>委托第三方主持软件测试，中标方参加，对软件进行测试。测试时应有招标方现场确认交付的全部源代码通过编译获得可执行程序的环节。确认其符合</w:t>
      </w:r>
      <w:bookmarkStart w:id="263" w:name="OLE_LINK8"/>
      <w:r>
        <w:rPr>
          <w:rFonts w:hint="eastAsia"/>
        </w:rPr>
        <w:t>招标方</w:t>
      </w:r>
      <w:bookmarkEnd w:id="263"/>
      <w:r>
        <w:rPr>
          <w:rFonts w:hint="eastAsia"/>
        </w:rPr>
        <w:t>要求的测试标准后，招标方签字确认。</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64" w:name="_Toc26552"/>
      <w:r>
        <w:rPr>
          <w:rFonts w:hint="eastAsia"/>
        </w:rPr>
        <w:t>培训要求</w:t>
      </w:r>
      <w:bookmarkEnd w:id="264"/>
    </w:p>
    <w:p>
      <w:pPr>
        <w:spacing w:before="156" w:after="156"/>
        <w:ind w:firstLine="420" w:firstLineChars="200"/>
      </w:pPr>
      <w:r>
        <w:rPr>
          <w:rFonts w:hint="eastAsia"/>
        </w:rPr>
        <w:t>（</w:t>
      </w:r>
      <w:r>
        <w:t>1</w:t>
      </w:r>
      <w:r>
        <w:rPr>
          <w:rFonts w:hint="eastAsia"/>
        </w:rPr>
        <w:t>）培训方式应包括现场培训和集中培训，并应在进行培训之前向招标方提交一份详细的培训方案，包括：培训教材、培训对象、目标、方式、计划、反馈等）来满足采购人的需要。培训以线下课程方式进行，培训课时不少于</w:t>
      </w:r>
      <w:r>
        <w:t>36</w:t>
      </w:r>
      <w:r>
        <w:rPr>
          <w:rFonts w:hint="eastAsia"/>
        </w:rPr>
        <w:t>课时。</w:t>
      </w:r>
    </w:p>
    <w:p>
      <w:pPr>
        <w:spacing w:before="156" w:after="156"/>
        <w:ind w:firstLine="420" w:firstLineChars="200"/>
      </w:pPr>
      <w:bookmarkStart w:id="265" w:name="OLE_LINK5"/>
      <w:r>
        <w:rPr>
          <w:rFonts w:hint="eastAsia"/>
        </w:rPr>
        <w:t>（</w:t>
      </w:r>
      <w:r>
        <w:t>2</w:t>
      </w:r>
      <w:r>
        <w:rPr>
          <w:rFonts w:hint="eastAsia"/>
        </w:rPr>
        <w:t>）</w:t>
      </w:r>
      <w:bookmarkEnd w:id="265"/>
      <w:r>
        <w:rPr>
          <w:rFonts w:hint="eastAsia"/>
        </w:rPr>
        <w:t>投标人应以培训目标的实现为目的组织培训，确保每一位系统使用人员能够独立、熟练地完成操作，保证系统用户能够独立处理软件系统故障和进行简单的功能调整。</w:t>
      </w:r>
    </w:p>
    <w:p>
      <w:pPr>
        <w:spacing w:before="156" w:after="156"/>
        <w:ind w:firstLine="420" w:firstLineChars="200"/>
      </w:pPr>
      <w:r>
        <w:rPr>
          <w:rFonts w:hint="eastAsia"/>
        </w:rPr>
        <w:t>（</w:t>
      </w:r>
      <w:r>
        <w:t>3</w:t>
      </w:r>
      <w:r>
        <w:rPr>
          <w:rFonts w:hint="eastAsia"/>
        </w:rPr>
        <w:t>）集中培训地点由甲方根据本项目实际情况确定，具体培训时间由甲方与投标人根据项目进展情况协商确定。</w:t>
      </w:r>
    </w:p>
    <w:p>
      <w:pPr>
        <w:spacing w:before="156" w:after="156"/>
        <w:ind w:firstLine="420" w:firstLineChars="200"/>
      </w:pPr>
      <w:r>
        <w:rPr>
          <w:rFonts w:hint="eastAsia"/>
        </w:rPr>
        <w:t>（</w:t>
      </w:r>
      <w:r>
        <w:t>4</w:t>
      </w:r>
      <w:r>
        <w:rPr>
          <w:rFonts w:hint="eastAsia"/>
        </w:rPr>
        <w:t>）投标人负责提供培训教材等相关用品。</w:t>
      </w:r>
    </w:p>
    <w:p>
      <w:pPr>
        <w:spacing w:before="156" w:after="156"/>
        <w:ind w:firstLine="420" w:firstLineChars="200"/>
      </w:pPr>
      <w:r>
        <w:rPr>
          <w:rFonts w:hint="eastAsia"/>
        </w:rPr>
        <w:t>（</w:t>
      </w:r>
      <w:r>
        <w:t>5</w:t>
      </w:r>
      <w:r>
        <w:rPr>
          <w:rFonts w:hint="eastAsia"/>
        </w:rPr>
        <w:t>）投标人承担培训产生的食宿、场地、教师等一切费用。</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66" w:name="_Toc5802"/>
      <w:r>
        <w:rPr>
          <w:rFonts w:hint="eastAsia"/>
        </w:rPr>
        <w:t>安全保密要求</w:t>
      </w:r>
      <w:bookmarkEnd w:id="266"/>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67" w:name="_Toc211930051"/>
      <w:bookmarkEnd w:id="267"/>
      <w:bookmarkStart w:id="268" w:name="_Toc211873042"/>
      <w:bookmarkEnd w:id="268"/>
      <w:bookmarkStart w:id="269" w:name="_Toc211872971"/>
      <w:bookmarkEnd w:id="269"/>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70" w:name="_Toc211873043"/>
      <w:bookmarkEnd w:id="270"/>
      <w:bookmarkStart w:id="271" w:name="_Toc211930052"/>
      <w:bookmarkEnd w:id="271"/>
      <w:bookmarkStart w:id="272" w:name="_Toc211872972"/>
      <w:bookmarkEnd w:id="272"/>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73" w:name="_Toc211873044"/>
      <w:bookmarkEnd w:id="273"/>
      <w:bookmarkStart w:id="274" w:name="_Toc211872973"/>
      <w:bookmarkEnd w:id="274"/>
      <w:bookmarkStart w:id="275" w:name="_Toc211930053"/>
      <w:bookmarkEnd w:id="275"/>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76" w:name="_Toc211872974"/>
      <w:bookmarkEnd w:id="276"/>
      <w:bookmarkStart w:id="277" w:name="_Toc211873045"/>
      <w:bookmarkEnd w:id="277"/>
      <w:bookmarkStart w:id="278" w:name="_Toc211930054"/>
      <w:bookmarkEnd w:id="278"/>
    </w:p>
    <w:p>
      <w:pPr>
        <w:spacing w:before="156" w:after="156"/>
        <w:ind w:firstLine="420"/>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79" w:name="_Toc19987"/>
      <w:r>
        <w:rPr>
          <w:rFonts w:hint="eastAsia"/>
        </w:rPr>
        <w:t>售后服务要求</w:t>
      </w:r>
      <w:bookmarkEnd w:id="279"/>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80" w:name="_Toc211872976"/>
      <w:bookmarkEnd w:id="280"/>
      <w:bookmarkStart w:id="281" w:name="_Toc211873047"/>
      <w:bookmarkEnd w:id="281"/>
      <w:bookmarkStart w:id="282" w:name="_Toc211930056"/>
      <w:bookmarkEnd w:id="282"/>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83" w:name="_Toc211872977"/>
      <w:bookmarkEnd w:id="283"/>
      <w:bookmarkStart w:id="284" w:name="_Toc211930057"/>
      <w:bookmarkEnd w:id="284"/>
      <w:bookmarkStart w:id="285" w:name="_Toc211873048"/>
      <w:bookmarkEnd w:id="285"/>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86" w:name="_Toc211872978"/>
      <w:bookmarkEnd w:id="286"/>
      <w:bookmarkStart w:id="287" w:name="_Toc211873049"/>
      <w:bookmarkEnd w:id="287"/>
      <w:bookmarkStart w:id="288" w:name="_Toc211930058"/>
      <w:bookmarkEnd w:id="288"/>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89" w:name="_Toc211930059"/>
      <w:bookmarkEnd w:id="289"/>
      <w:bookmarkStart w:id="290" w:name="_Toc211872979"/>
      <w:bookmarkEnd w:id="290"/>
      <w:bookmarkStart w:id="291" w:name="_Toc211873050"/>
      <w:bookmarkEnd w:id="291"/>
    </w:p>
    <w:p>
      <w:pPr>
        <w:spacing w:before="156" w:after="156"/>
        <w:ind w:firstLine="420"/>
      </w:pPr>
      <w:r>
        <w:rPr>
          <w:rFonts w:hint="eastAsia"/>
        </w:rPr>
        <w:t>本次招标要求投标人能够提供从系统终验之日起</w:t>
      </w:r>
      <w:r>
        <w:t>5</w:t>
      </w:r>
      <w:r>
        <w:rPr>
          <w:rFonts w:hint="eastAsia"/>
        </w:rPr>
        <w:t>年免费质保，提供现场技术支持服务。</w:t>
      </w:r>
    </w:p>
    <w:p>
      <w:pPr>
        <w:spacing w:before="156" w:after="156"/>
        <w:ind w:firstLine="420"/>
      </w:pPr>
      <w:r>
        <w:rPr>
          <w:rFonts w:hint="eastAsia"/>
        </w:rPr>
        <w:t>系统发生异常情况，在接到招标人的通知后，中标人技术人员应提供</w:t>
      </w:r>
      <w:r>
        <w:t>7*24</w:t>
      </w:r>
      <w:r>
        <w:rPr>
          <w:rFonts w:hint="eastAsia"/>
        </w:rPr>
        <w:t>小时的服务响应，随时进行电话应答；</w:t>
      </w:r>
      <w:r>
        <w:t>30</w:t>
      </w:r>
      <w:r>
        <w:rPr>
          <w:rFonts w:hint="eastAsia"/>
        </w:rPr>
        <w:t>分钟内完成远程登录诊断；在</w:t>
      </w:r>
      <w:r>
        <w:t>1</w:t>
      </w:r>
      <w:r>
        <w:rPr>
          <w:rFonts w:hint="eastAsia"/>
        </w:rPr>
        <w:t>小时内到达现场解决疑难。</w:t>
      </w:r>
    </w:p>
    <w:p>
      <w:pPr>
        <w:spacing w:before="156" w:after="156"/>
        <w:ind w:firstLine="420"/>
      </w:pPr>
      <w:r>
        <w:t>在合同质保期内，投标人承诺免费响应甲方系统平台优化的要求，工作量不超过原有建设内容20%</w:t>
      </w:r>
      <w:r>
        <w:rPr>
          <w:rFonts w:hint="eastAsia"/>
        </w:rPr>
        <w:t>。</w:t>
      </w:r>
    </w:p>
    <w:p>
      <w:pPr>
        <w:spacing w:before="156" w:after="156"/>
        <w:ind w:firstLine="420"/>
      </w:pPr>
      <w:r>
        <w:rPr>
          <w:rFonts w:hint="eastAsia"/>
        </w:rPr>
        <w:t>质量保证期后，中标人仍应根据合同要求向招标人提供技术服务，以合理价格提供软件功能改进技术服务。</w:t>
      </w:r>
    </w:p>
    <w:p>
      <w:pPr>
        <w:spacing w:before="156" w:after="156"/>
        <w:ind w:firstLine="420"/>
      </w:pPr>
      <w:r>
        <w:rPr>
          <w:rFonts w:hint="eastAsia"/>
        </w:rPr>
        <w:t>质量保证期间的维护服务不收取任何额外费用，质量保证期后按合同约定进行维护。</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292" w:name="_Toc21321"/>
      <w:r>
        <w:rPr>
          <w:rFonts w:hint="eastAsia"/>
        </w:rPr>
        <w:t>知识产权要求</w:t>
      </w:r>
      <w:bookmarkEnd w:id="292"/>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93" w:name="_Toc211930061"/>
      <w:bookmarkEnd w:id="293"/>
      <w:bookmarkStart w:id="294" w:name="_Toc211872981"/>
      <w:bookmarkEnd w:id="294"/>
      <w:bookmarkStart w:id="295" w:name="_Toc211873052"/>
      <w:bookmarkEnd w:id="295"/>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96" w:name="_Toc211930062"/>
      <w:bookmarkEnd w:id="296"/>
      <w:bookmarkStart w:id="297" w:name="_Toc211872982"/>
      <w:bookmarkEnd w:id="297"/>
      <w:bookmarkStart w:id="298" w:name="_Toc211873053"/>
      <w:bookmarkEnd w:id="298"/>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99" w:name="_Toc211930063"/>
      <w:bookmarkEnd w:id="299"/>
      <w:bookmarkStart w:id="300" w:name="_Toc211873054"/>
      <w:bookmarkEnd w:id="300"/>
      <w:bookmarkStart w:id="301" w:name="_Toc211872983"/>
      <w:bookmarkEnd w:id="301"/>
    </w:p>
    <w:p>
      <w:pPr>
        <w:pStyle w:val="Style19"/>
        <w:numPr>
          <w:ilvl w:val="0"/>
          <w:numId w:val="10"/>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302" w:name="_Toc211930064"/>
      <w:bookmarkEnd w:id="302"/>
      <w:bookmarkStart w:id="303" w:name="_Toc211872984"/>
      <w:bookmarkEnd w:id="303"/>
      <w:bookmarkStart w:id="304" w:name="_Toc211873055"/>
      <w:bookmarkEnd w:id="304"/>
    </w:p>
    <w:p>
      <w:pPr>
        <w:spacing w:before="156" w:after="156"/>
        <w:ind w:firstLine="220"/>
      </w:pPr>
      <w:r>
        <w:rPr>
          <w:rFonts w:hint="eastAsia"/>
        </w:rPr>
        <w:t>（</w:t>
      </w:r>
      <w:r>
        <w:t>1</w:t>
      </w:r>
      <w:r>
        <w:rPr>
          <w:rFonts w:hint="eastAsia"/>
        </w:rPr>
        <w:t>）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pPr>
        <w:spacing w:before="156" w:after="156"/>
        <w:ind w:firstLine="220"/>
      </w:pPr>
      <w:r>
        <w:rPr>
          <w:rFonts w:hint="eastAsia"/>
        </w:rPr>
        <w:t>（</w:t>
      </w:r>
      <w:r>
        <w:t>2</w:t>
      </w:r>
      <w:r>
        <w:rPr>
          <w:rFonts w:hint="eastAsia"/>
        </w:rPr>
        <w:t>）本项目实施过程中产生的技术秘密使用权和转让权归招标人所有。</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305" w:name="_Toc6346"/>
      <w:r>
        <w:rPr>
          <w:rFonts w:hint="eastAsia"/>
        </w:rPr>
        <w:t>国产化要求</w:t>
      </w:r>
      <w:bookmarkEnd w:id="305"/>
    </w:p>
    <w:p>
      <w:pPr>
        <w:numPr>
          <w:ilvl w:val="0"/>
          <w:numId w:val="11"/>
        </w:numPr>
        <w:spacing w:before="156" w:beforeLines="0" w:after="156" w:afterLines="0"/>
        <w:ind w:firstLine="420" w:firstLineChars="200"/>
      </w:pPr>
      <w:r>
        <w:rPr>
          <w:rFonts w:hint="eastAsia"/>
        </w:rPr>
        <w:t>投标人所提供软件系统需兼容国产主流硬件平台，如华为、中兴、浪潮等。</w:t>
      </w:r>
    </w:p>
    <w:p>
      <w:pPr>
        <w:numPr>
          <w:ilvl w:val="0"/>
          <w:numId w:val="11"/>
        </w:numPr>
        <w:spacing w:before="156" w:beforeLines="0" w:after="156" w:afterLines="0"/>
        <w:ind w:firstLine="420" w:firstLineChars="200"/>
      </w:pPr>
      <w:r>
        <w:rPr>
          <w:rFonts w:hint="eastAsia"/>
        </w:rPr>
        <w:t>投标人所提供软件系统需兼容国产主流操作系统，如麒麟、银河麒麟、中标麒麟等。</w:t>
      </w:r>
    </w:p>
    <w:p>
      <w:pPr>
        <w:numPr>
          <w:ilvl w:val="0"/>
          <w:numId w:val="11"/>
        </w:numPr>
        <w:spacing w:before="156" w:beforeLines="0" w:after="156" w:afterLines="0"/>
        <w:ind w:firstLine="420" w:firstLineChars="200"/>
      </w:pPr>
      <w:r>
        <w:rPr>
          <w:rFonts w:hint="eastAsia"/>
        </w:rPr>
        <w:t>投标人所提供软件系统需兼容国产主流应用软件，如华为云、阿里云、腾讯云等。</w:t>
      </w:r>
    </w:p>
    <w:p>
      <w:pPr>
        <w:numPr>
          <w:ilvl w:val="0"/>
          <w:numId w:val="11"/>
        </w:numPr>
        <w:spacing w:before="156" w:beforeLines="0" w:after="156" w:afterLines="0"/>
        <w:ind w:firstLine="420" w:firstLineChars="200"/>
      </w:pPr>
      <w:r>
        <w:rPr>
          <w:rFonts w:hint="eastAsia"/>
        </w:rPr>
        <w:t>投标人所提供软件系统需使用国产主流开发语言（如Java、C++、Python等）和编译器（如华为鲲鹏编译器、中兴天玑编译器等）。</w:t>
      </w:r>
    </w:p>
    <w:p>
      <w:pPr>
        <w:numPr>
          <w:ilvl w:val="0"/>
          <w:numId w:val="11"/>
        </w:numPr>
        <w:spacing w:before="156" w:beforeLines="0" w:after="156" w:afterLines="0"/>
        <w:ind w:firstLine="420" w:firstLineChars="200"/>
      </w:pPr>
      <w:r>
        <w:rPr>
          <w:rFonts w:hint="eastAsia"/>
        </w:rPr>
        <w:t>投标人在项目实施过程中，提供完善的技术支持和服务保障，确保软件系统与国产硬件平台、操作系统、应用软件等的无缝对接和稳定运行。</w:t>
      </w:r>
    </w:p>
    <w:p>
      <w:pPr>
        <w:pStyle w:val="Heading1"/>
        <w:keepNext/>
        <w:keepLines/>
        <w:widowControl w:val="0"/>
        <w:numPr>
          <w:ilvl w:val="0"/>
          <w:numId w:val="4"/>
        </w:numPr>
        <w:tabs>
          <w:tab w:val="left" w:pos="0"/>
          <w:tab w:val="left" w:pos="180"/>
          <w:tab w:val="left" w:pos="360"/>
          <w:tab w:val="left" w:pos="540"/>
        </w:tabs>
        <w:spacing w:before="156" w:beforeLines="50" w:after="156" w:afterLines="50" w:line="578" w:lineRule="auto"/>
        <w:ind w:left="0" w:firstLine="0"/>
        <w:jc w:val="both"/>
      </w:pPr>
      <w:bookmarkStart w:id="306" w:name="_Toc653"/>
      <w:r>
        <w:rPr>
          <w:rFonts w:hint="eastAsia"/>
        </w:rPr>
        <w:t>项目验收要求</w:t>
      </w:r>
      <w:bookmarkEnd w:id="306"/>
    </w:p>
    <w:p>
      <w:pPr>
        <w:spacing w:before="156" w:after="156"/>
        <w:ind w:firstLine="420" w:firstLineChars="200"/>
      </w:pPr>
      <w:r>
        <w:rPr>
          <w:rFonts w:hint="eastAsia"/>
        </w:rPr>
        <w:t>在完成全部软件模块的开发、安装、集成后，中标方以书面形式递交测试和验收申请，同时提交包括但不限于以下材料：</w:t>
      </w:r>
    </w:p>
    <w:p>
      <w:pPr>
        <w:numPr>
          <w:ilvl w:val="0"/>
          <w:numId w:val="12"/>
        </w:numPr>
        <w:spacing w:before="156" w:beforeLines="0" w:after="156" w:afterLines="0"/>
        <w:ind w:left="0" w:firstLine="420"/>
      </w:pPr>
      <w:r>
        <w:rPr>
          <w:rFonts w:hint="eastAsia"/>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12"/>
        </w:numPr>
        <w:spacing w:before="156" w:beforeLines="0" w:after="156" w:afterLines="0"/>
        <w:ind w:left="0" w:firstLine="420"/>
      </w:pPr>
      <w:r>
        <w:rPr>
          <w:rFonts w:hint="eastAsia"/>
        </w:rPr>
        <w:t xml:space="preserve">按照合同和招标文件中所标明的软件系统及相关的技术维护文档、培训教材、使用说明书等；                                                                     </w:t>
      </w:r>
    </w:p>
    <w:p>
      <w:pPr>
        <w:numPr>
          <w:ilvl w:val="0"/>
          <w:numId w:val="12"/>
        </w:numPr>
        <w:spacing w:before="156" w:beforeLines="0" w:after="156" w:afterLines="0"/>
        <w:ind w:left="0" w:firstLine="420"/>
      </w:pPr>
      <w:r>
        <w:rPr>
          <w:rFonts w:hint="eastAsia"/>
        </w:rPr>
        <w:t xml:space="preserve">全部源代码（电子版）及说明；                                   </w:t>
      </w:r>
    </w:p>
    <w:p>
      <w:pPr>
        <w:numPr>
          <w:ilvl w:val="0"/>
          <w:numId w:val="12"/>
        </w:numPr>
        <w:spacing w:before="156" w:beforeLines="0" w:after="156" w:afterLines="0"/>
        <w:ind w:left="0" w:firstLine="420"/>
      </w:pPr>
      <w:r>
        <w:rPr>
          <w:rFonts w:hint="eastAsia"/>
        </w:rPr>
        <w:t xml:space="preserve">试运行方案、记录、报告、试运行改进报告；                         </w:t>
      </w:r>
    </w:p>
    <w:p>
      <w:pPr>
        <w:numPr>
          <w:ilvl w:val="0"/>
          <w:numId w:val="12"/>
        </w:numPr>
        <w:spacing w:before="156" w:beforeLines="0" w:after="156" w:afterLines="0"/>
        <w:ind w:left="0" w:firstLine="420"/>
      </w:pPr>
      <w:r>
        <w:rPr>
          <w:rFonts w:hint="eastAsia"/>
        </w:rPr>
        <w:t xml:space="preserve">合同验收文件、开发总结报告、交接清单；                           </w:t>
      </w:r>
    </w:p>
    <w:p>
      <w:pPr>
        <w:spacing w:before="156" w:after="156"/>
        <w:ind w:firstLine="420" w:firstLineChars="200"/>
      </w:pPr>
      <w:r>
        <w:rPr>
          <w:rFonts w:hint="eastAsia"/>
        </w:rPr>
        <w:t>如果系统在试运行和验收工作进行期间发现未能满足合同和招标文件中列举的全部要求、未能实现合同和招标文件中列举的全部功能和非功能要求、未能达到合同和招标文件中列举的全部指标、文档不齐全或者与招标方其他要求的内容不符，招标人有权推迟系统验收时间并要求在规定的期间内整改至符合本项目要求，中标方承担因此导致的项目系统迟延交付的责任。系统通过终验后，所有文档资料、软件和资产由招标方统一归档保管。</w:t>
      </w:r>
    </w:p>
    <w:p>
      <w:pPr>
        <w:spacing w:before="156" w:after="156"/>
      </w:pPr>
    </w:p>
    <w:p w:rsidR="00A77B3E"/>
    <w:p>
      <w:pPr>
        <w:adjustRightInd w:val="0"/>
        <w:snapToGrid w:val="0"/>
        <w:spacing w:line="360" w:lineRule="auto"/>
        <w:jc w:val="center"/>
        <w:rPr>
          <w:rFonts w:ascii="宋体" w:hAnsi="宋体" w:hint="eastAsia"/>
          <w:b/>
          <w:sz w:val="30"/>
          <w:szCs w:val="30"/>
          <w:highlight w:val="none"/>
        </w:rPr>
        <w:sectPr>
          <w:footerReference w:type="default" r:id="rId17"/>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307"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Times New Roman" w:hint="eastAsia"/>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8"/>
          <w:footerReference w:type="default" r:id="rId19"/>
          <w:pgSz w:w="11906" w:h="16838"/>
          <w:pgMar w:top="1440" w:right="1800" w:bottom="1440" w:left="1800" w:header="851" w:footer="992" w:gutter="0"/>
          <w:cols w:space="708"/>
          <w:docGrid w:type="lines" w:linePitch="312"/>
        </w:sectPr>
      </w:pPr>
      <w:bookmarkEnd w:id="30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308"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20"/>
          <w:headerReference w:type="default" r:id="rId21"/>
          <w:footerReference w:type="even" r:id="rId22"/>
          <w:footerReference w:type="default" r:id="rId23"/>
          <w:headerReference w:type="first" r:id="rId24"/>
          <w:footerReference w:type="first" r:id="rId25"/>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3"/>
        </w:numPr>
        <w:ind w:hanging="420"/>
        <w:jc w:val="left"/>
        <w:rPr>
          <w:sz w:val="24"/>
          <w:szCs w:val="24"/>
        </w:rPr>
      </w:pPr>
      <w:bookmarkStart w:id="309" w:name="_Toc150439537"/>
      <w:r>
        <w:rPr>
          <w:rFonts w:hint="eastAsia"/>
          <w:sz w:val="24"/>
          <w:szCs w:val="24"/>
        </w:rPr>
        <w:t>项目内容及概况</w:t>
      </w:r>
      <w:bookmarkEnd w:id="309"/>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3"/>
        </w:numPr>
        <w:ind w:hanging="420"/>
        <w:jc w:val="left"/>
        <w:rPr>
          <w:rFonts w:hint="eastAsia"/>
          <w:sz w:val="24"/>
          <w:szCs w:val="24"/>
        </w:rPr>
      </w:pPr>
      <w:bookmarkStart w:id="310" w:name="_Toc150434187"/>
      <w:bookmarkStart w:id="311" w:name="_Toc150439539"/>
      <w:bookmarkStart w:id="312" w:name="_Toc150434283"/>
      <w:bookmarkStart w:id="313" w:name="_Toc150439540"/>
      <w:bookmarkEnd w:id="310"/>
      <w:bookmarkEnd w:id="311"/>
      <w:bookmarkEnd w:id="312"/>
      <w:r>
        <w:rPr>
          <w:rFonts w:hint="eastAsia"/>
          <w:sz w:val="24"/>
          <w:szCs w:val="24"/>
        </w:rPr>
        <w:t>项目相关标准</w:t>
      </w:r>
      <w:bookmarkEnd w:id="313"/>
    </w:p>
    <w:p>
      <w:pPr>
        <w:numPr>
          <w:ilvl w:val="0"/>
          <w:numId w:val="14"/>
        </w:numPr>
        <w:ind w:left="0" w:firstLine="480" w:firstLineChars="200"/>
        <w:jc w:val="left"/>
      </w:pPr>
      <w:r>
        <w:rPr>
          <w:rFonts w:hint="eastAsia"/>
          <w:sz w:val="24"/>
          <w:szCs w:val="24"/>
        </w:rPr>
        <w:t>技术标准</w:t>
      </w:r>
    </w:p>
    <w:p>
      <w:pPr>
        <w:numPr>
          <w:ilvl w:val="0"/>
          <w:numId w:val="15"/>
        </w:numPr>
        <w:ind w:left="0" w:firstLine="480" w:firstLineChars="200"/>
        <w:jc w:val="left"/>
      </w:pPr>
      <w:r>
        <w:rPr>
          <w:rFonts w:hint="eastAsia"/>
          <w:sz w:val="24"/>
          <w:szCs w:val="24"/>
        </w:rPr>
        <w:t>国家政策文件</w:t>
      </w:r>
    </w:p>
    <w:p>
      <w:pPr>
        <w:numPr>
          <w:ilvl w:val="1"/>
          <w:numId w:val="14"/>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4"/>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5"/>
        </w:numPr>
        <w:ind w:left="0" w:firstLine="480" w:firstLineChars="200"/>
        <w:jc w:val="left"/>
      </w:pPr>
      <w:r>
        <w:rPr>
          <w:rFonts w:hint="eastAsia"/>
          <w:sz w:val="24"/>
          <w:szCs w:val="24"/>
        </w:rPr>
        <w:t>省厅政策文件</w:t>
      </w:r>
    </w:p>
    <w:p>
      <w:pPr>
        <w:numPr>
          <w:ilvl w:val="0"/>
          <w:numId w:val="16"/>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6"/>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5"/>
        </w:numPr>
        <w:ind w:left="0" w:firstLine="480" w:firstLineChars="200"/>
        <w:jc w:val="left"/>
      </w:pPr>
      <w:r>
        <w:rPr>
          <w:rFonts w:hint="eastAsia"/>
          <w:sz w:val="24"/>
          <w:szCs w:val="24"/>
        </w:rPr>
        <w:t>地区政策文件</w:t>
      </w:r>
    </w:p>
    <w:p>
      <w:pPr>
        <w:numPr>
          <w:ilvl w:val="1"/>
          <w:numId w:val="15"/>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5"/>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标准规范</w:t>
      </w:r>
    </w:p>
    <w:p>
      <w:pPr>
        <w:numPr>
          <w:ilvl w:val="0"/>
          <w:numId w:val="17"/>
        </w:numPr>
        <w:ind w:left="0" w:firstLine="480" w:firstLineChars="200"/>
        <w:jc w:val="left"/>
        <w:rPr>
          <w:rFonts w:hint="eastAsia"/>
          <w:u w:val="single"/>
        </w:rPr>
      </w:pPr>
      <w:r>
        <w:rPr>
          <w:rFonts w:hint="eastAsia"/>
          <w:sz w:val="24"/>
          <w:szCs w:val="24"/>
          <w:u w:val="single"/>
        </w:rPr>
        <w:t xml:space="preserve">                     </w:t>
      </w:r>
    </w:p>
    <w:p>
      <w:pPr>
        <w:numPr>
          <w:ilvl w:val="0"/>
          <w:numId w:val="17"/>
        </w:numPr>
        <w:ind w:left="0" w:firstLine="480" w:firstLineChars="200"/>
        <w:jc w:val="left"/>
        <w:rPr>
          <w:rFonts w:hint="eastAsia"/>
          <w:u w:val="single"/>
        </w:rPr>
      </w:pPr>
      <w:r>
        <w:rPr>
          <w:rFonts w:hint="eastAsia"/>
          <w:sz w:val="24"/>
          <w:szCs w:val="24"/>
          <w:u w:val="single"/>
        </w:rPr>
        <w:t xml:space="preserve">                     </w:t>
      </w:r>
    </w:p>
    <w:p>
      <w:pPr>
        <w:numPr>
          <w:ilvl w:val="0"/>
          <w:numId w:val="14"/>
        </w:numPr>
        <w:ind w:left="0" w:firstLine="480" w:firstLineChars="200"/>
        <w:jc w:val="left"/>
      </w:pPr>
      <w:r>
        <w:rPr>
          <w:rFonts w:hint="eastAsia"/>
          <w:sz w:val="24"/>
          <w:szCs w:val="24"/>
        </w:rPr>
        <w:t>国家法律法规</w:t>
      </w:r>
    </w:p>
    <w:p>
      <w:pPr>
        <w:numPr>
          <w:ilvl w:val="0"/>
          <w:numId w:val="18"/>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8"/>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8"/>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气象部门管理制度</w:t>
      </w:r>
    </w:p>
    <w:p>
      <w:pPr>
        <w:numPr>
          <w:ilvl w:val="0"/>
          <w:numId w:val="19"/>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9"/>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9"/>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9"/>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9"/>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9"/>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9"/>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9"/>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3"/>
        </w:numPr>
        <w:ind w:hanging="420"/>
        <w:jc w:val="left"/>
        <w:rPr>
          <w:rFonts w:hint="eastAsia"/>
          <w:sz w:val="24"/>
          <w:szCs w:val="24"/>
        </w:rPr>
      </w:pPr>
      <w:bookmarkStart w:id="314" w:name="_Toc150439541"/>
      <w:bookmarkStart w:id="315" w:name="_Toc150439542"/>
      <w:bookmarkEnd w:id="314"/>
      <w:r>
        <w:rPr>
          <w:rFonts w:hint="eastAsia"/>
          <w:sz w:val="24"/>
          <w:szCs w:val="24"/>
        </w:rPr>
        <w:t>组成本合同的文件</w:t>
      </w:r>
      <w:bookmarkEnd w:id="315"/>
    </w:p>
    <w:p>
      <w:pPr>
        <w:numPr>
          <w:ilvl w:val="0"/>
          <w:numId w:val="20"/>
        </w:numPr>
        <w:ind w:left="0" w:firstLine="480" w:firstLineChars="200"/>
        <w:jc w:val="left"/>
        <w:rPr>
          <w:rFonts w:hint="eastAsia"/>
        </w:rPr>
      </w:pPr>
      <w:r>
        <w:rPr>
          <w:rFonts w:hint="eastAsia"/>
          <w:sz w:val="24"/>
          <w:szCs w:val="24"/>
        </w:rPr>
        <w:t>本合同；</w:t>
      </w:r>
    </w:p>
    <w:p>
      <w:pPr>
        <w:numPr>
          <w:ilvl w:val="0"/>
          <w:numId w:val="20"/>
        </w:numPr>
        <w:ind w:left="0" w:firstLine="480" w:firstLineChars="200"/>
        <w:jc w:val="left"/>
      </w:pPr>
      <w:r>
        <w:rPr>
          <w:rFonts w:hint="eastAsia"/>
          <w:sz w:val="24"/>
          <w:szCs w:val="24"/>
        </w:rPr>
        <w:t>中标通知书、招标文件、投标文件等；</w:t>
      </w:r>
    </w:p>
    <w:p>
      <w:pPr>
        <w:numPr>
          <w:ilvl w:val="0"/>
          <w:numId w:val="20"/>
        </w:numPr>
        <w:ind w:left="0" w:firstLine="480" w:firstLineChars="200"/>
        <w:jc w:val="left"/>
      </w:pPr>
      <w:r>
        <w:rPr>
          <w:rFonts w:hint="eastAsia"/>
          <w:sz w:val="24"/>
          <w:szCs w:val="24"/>
        </w:rPr>
        <w:t>与履行本合同有关、经双方依法签字盖章确认后的下列技术文件：</w:t>
      </w:r>
    </w:p>
    <w:p>
      <w:pPr>
        <w:numPr>
          <w:ilvl w:val="0"/>
          <w:numId w:val="21"/>
        </w:numPr>
        <w:ind w:hanging="5"/>
        <w:jc w:val="left"/>
        <w:rPr>
          <w:rFonts w:hint="eastAsia"/>
        </w:rPr>
      </w:pPr>
      <w:r>
        <w:rPr>
          <w:rFonts w:hint="eastAsia"/>
          <w:sz w:val="24"/>
          <w:szCs w:val="24"/>
        </w:rPr>
        <w:t>技术背景资料；</w:t>
      </w:r>
    </w:p>
    <w:p>
      <w:pPr>
        <w:numPr>
          <w:ilvl w:val="0"/>
          <w:numId w:val="21"/>
        </w:numPr>
        <w:ind w:hanging="5"/>
        <w:jc w:val="left"/>
        <w:rPr>
          <w:rFonts w:hint="eastAsia"/>
        </w:rPr>
      </w:pPr>
      <w:r>
        <w:rPr>
          <w:rFonts w:hint="eastAsia"/>
          <w:sz w:val="24"/>
          <w:szCs w:val="24"/>
        </w:rPr>
        <w:t>可行性论证报告；</w:t>
      </w:r>
    </w:p>
    <w:p>
      <w:pPr>
        <w:numPr>
          <w:ilvl w:val="0"/>
          <w:numId w:val="21"/>
        </w:numPr>
        <w:ind w:hanging="5"/>
        <w:jc w:val="left"/>
        <w:rPr>
          <w:rFonts w:hint="eastAsia"/>
        </w:rPr>
      </w:pPr>
      <w:r>
        <w:rPr>
          <w:rFonts w:hint="eastAsia"/>
          <w:sz w:val="24"/>
          <w:szCs w:val="24"/>
        </w:rPr>
        <w:t>技术评价报告；</w:t>
      </w:r>
    </w:p>
    <w:p>
      <w:pPr>
        <w:numPr>
          <w:ilvl w:val="0"/>
          <w:numId w:val="21"/>
        </w:numPr>
        <w:ind w:hanging="5"/>
        <w:jc w:val="left"/>
        <w:rPr>
          <w:rFonts w:hint="eastAsia"/>
        </w:rPr>
      </w:pPr>
      <w:r>
        <w:rPr>
          <w:rFonts w:hint="eastAsia"/>
          <w:sz w:val="24"/>
          <w:szCs w:val="24"/>
        </w:rPr>
        <w:t>技术标准和规范；</w:t>
      </w:r>
    </w:p>
    <w:p>
      <w:pPr>
        <w:numPr>
          <w:ilvl w:val="0"/>
          <w:numId w:val="21"/>
        </w:numPr>
        <w:ind w:hanging="5"/>
        <w:jc w:val="left"/>
        <w:rPr>
          <w:rFonts w:hint="eastAsia"/>
        </w:rPr>
      </w:pPr>
      <w:r>
        <w:rPr>
          <w:sz w:val="24"/>
          <w:szCs w:val="24"/>
        </w:rPr>
        <w:t>……</w:t>
      </w:r>
    </w:p>
    <w:p>
      <w:pPr>
        <w:numPr>
          <w:ilvl w:val="0"/>
          <w:numId w:val="20"/>
        </w:numPr>
        <w:ind w:left="0" w:firstLine="480" w:firstLineChars="200"/>
        <w:jc w:val="left"/>
      </w:pPr>
      <w:r>
        <w:rPr>
          <w:rFonts w:hint="eastAsia"/>
          <w:sz w:val="24"/>
          <w:szCs w:val="24"/>
        </w:rPr>
        <w:t>安全保密承诺书（签字盖章）；</w:t>
      </w:r>
    </w:p>
    <w:p>
      <w:pPr>
        <w:numPr>
          <w:ilvl w:val="0"/>
          <w:numId w:val="20"/>
        </w:numPr>
        <w:ind w:left="0" w:firstLine="480" w:firstLineChars="200"/>
        <w:jc w:val="left"/>
      </w:pPr>
      <w:r>
        <w:rPr>
          <w:rFonts w:hint="eastAsia"/>
          <w:sz w:val="24"/>
          <w:szCs w:val="24"/>
        </w:rPr>
        <w:t>安全保密协议（签字盖章）；</w:t>
      </w:r>
    </w:p>
    <w:p>
      <w:pPr>
        <w:numPr>
          <w:ilvl w:val="0"/>
          <w:numId w:val="20"/>
        </w:numPr>
        <w:ind w:left="0" w:firstLine="480" w:firstLineChars="200"/>
        <w:jc w:val="left"/>
      </w:pPr>
      <w:r>
        <w:rPr>
          <w:rFonts w:hint="eastAsia"/>
          <w:sz w:val="24"/>
          <w:szCs w:val="24"/>
        </w:rPr>
        <w:t>乙方就该项目实施情况接受甲方监督检查的承诺书（签字盖章）；</w:t>
      </w:r>
    </w:p>
    <w:p>
      <w:pPr>
        <w:numPr>
          <w:ilvl w:val="0"/>
          <w:numId w:val="20"/>
        </w:numPr>
        <w:ind w:left="0" w:firstLine="480" w:firstLineChars="200"/>
        <w:jc w:val="left"/>
        <w:rPr>
          <w:rFonts w:hint="eastAsia"/>
        </w:rPr>
      </w:pPr>
      <w:r>
        <w:rPr>
          <w:rFonts w:hint="eastAsia"/>
          <w:sz w:val="24"/>
          <w:szCs w:val="24"/>
        </w:rPr>
        <w:t>统筹集约承诺书（签字盖章）；</w:t>
      </w:r>
    </w:p>
    <w:p>
      <w:pPr>
        <w:numPr>
          <w:ilvl w:val="0"/>
          <w:numId w:val="20"/>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20"/>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3"/>
        </w:numPr>
        <w:ind w:hanging="420"/>
        <w:jc w:val="left"/>
        <w:rPr>
          <w:rFonts w:hint="eastAsia"/>
          <w:sz w:val="24"/>
          <w:szCs w:val="24"/>
        </w:rPr>
      </w:pPr>
      <w:bookmarkStart w:id="316" w:name="_Toc150439545"/>
      <w:r>
        <w:rPr>
          <w:rFonts w:hint="eastAsia"/>
          <w:sz w:val="24"/>
          <w:szCs w:val="24"/>
        </w:rPr>
        <w:t>合同履行地点、合同服务期</w:t>
      </w:r>
      <w:bookmarkEnd w:id="316"/>
    </w:p>
    <w:p>
      <w:pPr>
        <w:numPr>
          <w:ilvl w:val="0"/>
          <w:numId w:val="22"/>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22"/>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3"/>
        </w:numPr>
        <w:ind w:hanging="420"/>
        <w:rPr>
          <w:rFonts w:hint="eastAsia"/>
          <w:sz w:val="24"/>
          <w:szCs w:val="24"/>
        </w:rPr>
      </w:pPr>
      <w:bookmarkStart w:id="317" w:name="_Toc150439547"/>
      <w:r>
        <w:rPr>
          <w:rFonts w:hint="eastAsia"/>
          <w:sz w:val="24"/>
          <w:szCs w:val="24"/>
        </w:rPr>
        <w:t>服务范围及内容</w:t>
      </w:r>
      <w:bookmarkEnd w:id="317"/>
    </w:p>
    <w:p>
      <w:pPr>
        <w:ind w:firstLine="480" w:firstLineChars="200"/>
      </w:pPr>
      <w:r>
        <w:rPr>
          <w:rFonts w:hint="eastAsia"/>
          <w:sz w:val="24"/>
          <w:szCs w:val="24"/>
        </w:rPr>
        <w:t>本合同研究开发项目的要求如下：</w:t>
      </w:r>
    </w:p>
    <w:p>
      <w:pPr>
        <w:numPr>
          <w:ilvl w:val="0"/>
          <w:numId w:val="23"/>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3"/>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3"/>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3"/>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3"/>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3"/>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3"/>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4"/>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3"/>
        </w:numPr>
        <w:ind w:hanging="420"/>
        <w:rPr>
          <w:rFonts w:hint="eastAsia"/>
          <w:sz w:val="24"/>
          <w:szCs w:val="24"/>
        </w:rPr>
      </w:pPr>
      <w:bookmarkStart w:id="318" w:name="_Toc150434195"/>
      <w:bookmarkStart w:id="319" w:name="_Toc150434291"/>
      <w:bookmarkStart w:id="320" w:name="_Toc150439548"/>
      <w:bookmarkStart w:id="321" w:name="_Toc150424370"/>
      <w:bookmarkStart w:id="322" w:name="_Toc150439549"/>
      <w:bookmarkEnd w:id="318"/>
      <w:bookmarkEnd w:id="319"/>
      <w:bookmarkEnd w:id="320"/>
      <w:bookmarkEnd w:id="321"/>
      <w:r>
        <w:rPr>
          <w:rFonts w:hint="eastAsia"/>
          <w:sz w:val="24"/>
          <w:szCs w:val="24"/>
        </w:rPr>
        <w:t>乙方的权利与义务</w:t>
      </w:r>
      <w:bookmarkEnd w:id="322"/>
    </w:p>
    <w:p>
      <w:pPr>
        <w:numPr>
          <w:ilvl w:val="0"/>
          <w:numId w:val="25"/>
        </w:numPr>
        <w:ind w:left="0" w:firstLine="480" w:firstLineChars="200"/>
        <w:rPr>
          <w:rFonts w:hint="eastAsia"/>
        </w:rPr>
      </w:pPr>
      <w:r>
        <w:rPr>
          <w:rFonts w:hint="eastAsia"/>
          <w:sz w:val="24"/>
          <w:szCs w:val="24"/>
        </w:rPr>
        <w:t>为保证履行合同，乙方承诺以下事项：</w:t>
      </w:r>
    </w:p>
    <w:p>
      <w:pPr>
        <w:numPr>
          <w:ilvl w:val="0"/>
          <w:numId w:val="26"/>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6"/>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6"/>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6"/>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6"/>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6"/>
        </w:numPr>
        <w:ind w:left="0" w:firstLine="480" w:firstLineChars="200"/>
        <w:rPr>
          <w:rFonts w:hint="eastAsia"/>
          <w:u w:val="single"/>
        </w:rPr>
      </w:pPr>
      <w:r>
        <w:rPr>
          <w:rFonts w:hint="eastAsia"/>
          <w:sz w:val="24"/>
          <w:szCs w:val="24"/>
          <w:u w:val="single"/>
        </w:rPr>
        <w:t xml:space="preserve">                                                                     </w:t>
      </w:r>
    </w:p>
    <w:p>
      <w:pPr>
        <w:numPr>
          <w:ilvl w:val="0"/>
          <w:numId w:val="25"/>
        </w:numPr>
        <w:ind w:left="0" w:firstLine="480" w:firstLineChars="200"/>
        <w:rPr>
          <w:rFonts w:hint="eastAsia"/>
        </w:rPr>
      </w:pPr>
      <w:r>
        <w:rPr>
          <w:rFonts w:hint="eastAsia"/>
          <w:sz w:val="24"/>
          <w:szCs w:val="24"/>
        </w:rPr>
        <w:t>对非驻场软件开发，乙方承诺以下事项：</w:t>
      </w:r>
    </w:p>
    <w:p>
      <w:pPr>
        <w:numPr>
          <w:ilvl w:val="0"/>
          <w:numId w:val="27"/>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7"/>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7"/>
        </w:numPr>
        <w:ind w:left="0" w:firstLine="480" w:firstLineChars="200"/>
        <w:rPr>
          <w:rFonts w:hint="eastAsia"/>
          <w:u w:val="single"/>
        </w:rPr>
      </w:pPr>
      <w:r>
        <w:rPr>
          <w:rFonts w:hint="eastAsia"/>
          <w:sz w:val="24"/>
          <w:szCs w:val="24"/>
          <w:u w:val="single"/>
        </w:rPr>
        <w:t xml:space="preserve">不存在规避监管的情形。                                                </w:t>
      </w:r>
    </w:p>
    <w:p>
      <w:pPr>
        <w:numPr>
          <w:ilvl w:val="0"/>
          <w:numId w:val="25"/>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5"/>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8"/>
        </w:numPr>
        <w:ind w:hanging="5"/>
        <w:jc w:val="left"/>
      </w:pPr>
      <w:r>
        <w:rPr>
          <w:rFonts w:hint="eastAsia"/>
          <w:sz w:val="24"/>
          <w:szCs w:val="24"/>
        </w:rPr>
        <w:t>项目功能清单；</w:t>
      </w:r>
    </w:p>
    <w:p>
      <w:pPr>
        <w:numPr>
          <w:ilvl w:val="0"/>
          <w:numId w:val="28"/>
        </w:numPr>
        <w:ind w:hanging="5"/>
        <w:jc w:val="left"/>
        <w:rPr>
          <w:rFonts w:hint="eastAsia"/>
        </w:rPr>
      </w:pPr>
      <w:r>
        <w:rPr>
          <w:rFonts w:hint="eastAsia"/>
          <w:sz w:val="24"/>
          <w:szCs w:val="24"/>
        </w:rPr>
        <w:t>项目实施方案。</w:t>
      </w:r>
    </w:p>
    <w:p>
      <w:pPr>
        <w:numPr>
          <w:ilvl w:val="0"/>
          <w:numId w:val="25"/>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9"/>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9"/>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9"/>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5"/>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5"/>
        </w:numPr>
        <w:ind w:left="0" w:firstLine="480" w:firstLineChars="200"/>
        <w:rPr>
          <w:rFonts w:hint="eastAsia"/>
        </w:rPr>
      </w:pPr>
      <w:r>
        <w:rPr>
          <w:rFonts w:hint="eastAsia"/>
          <w:sz w:val="24"/>
          <w:szCs w:val="24"/>
        </w:rPr>
        <w:t>乙方应接受甲方对本项目执行工作的监督、检查和评价。</w:t>
      </w:r>
    </w:p>
    <w:p>
      <w:pPr>
        <w:numPr>
          <w:ilvl w:val="0"/>
          <w:numId w:val="25"/>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5"/>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5"/>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5"/>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3"/>
        </w:numPr>
        <w:ind w:left="0" w:firstLine="480" w:firstLineChars="200"/>
        <w:rPr>
          <w:sz w:val="24"/>
          <w:szCs w:val="24"/>
        </w:rPr>
      </w:pPr>
      <w:bookmarkStart w:id="323" w:name="_Toc150434197"/>
      <w:bookmarkStart w:id="324" w:name="_Toc150434293"/>
      <w:bookmarkStart w:id="325" w:name="_Toc150424372"/>
      <w:bookmarkStart w:id="326" w:name="_Toc150439550"/>
      <w:bookmarkStart w:id="327" w:name="_Toc150439565"/>
      <w:bookmarkEnd w:id="323"/>
      <w:bookmarkEnd w:id="324"/>
      <w:bookmarkEnd w:id="325"/>
      <w:bookmarkEnd w:id="326"/>
      <w:r>
        <w:rPr>
          <w:rFonts w:hint="eastAsia"/>
          <w:sz w:val="24"/>
          <w:szCs w:val="24"/>
        </w:rPr>
        <w:t>甲方</w:t>
      </w:r>
      <w:r>
        <w:rPr>
          <w:sz w:val="24"/>
          <w:szCs w:val="24"/>
        </w:rPr>
        <w:t>的权利与义务</w:t>
      </w:r>
      <w:bookmarkEnd w:id="327"/>
    </w:p>
    <w:p>
      <w:pPr>
        <w:numPr>
          <w:ilvl w:val="0"/>
          <w:numId w:val="30"/>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31"/>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1"/>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31"/>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0"/>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30"/>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30"/>
        </w:numPr>
        <w:ind w:left="0" w:firstLine="480" w:firstLineChars="200"/>
        <w:rPr>
          <w:spacing w:val="7"/>
        </w:rPr>
      </w:pPr>
      <w:r>
        <w:rPr>
          <w:rFonts w:hint="eastAsia"/>
          <w:sz w:val="24"/>
          <w:szCs w:val="24"/>
        </w:rPr>
        <w:t>甲方必须遵守国家法律法规及气象部门管理制度的要求。</w:t>
      </w:r>
    </w:p>
    <w:p>
      <w:pPr>
        <w:numPr>
          <w:ilvl w:val="0"/>
          <w:numId w:val="30"/>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3"/>
        </w:numPr>
        <w:ind w:left="0" w:firstLine="480" w:firstLineChars="200"/>
        <w:rPr>
          <w:sz w:val="24"/>
          <w:szCs w:val="24"/>
        </w:rPr>
      </w:pPr>
      <w:r>
        <w:rPr>
          <w:rFonts w:hint="eastAsia"/>
          <w:sz w:val="24"/>
          <w:szCs w:val="24"/>
        </w:rPr>
        <w:t>知识产权归属</w:t>
      </w:r>
    </w:p>
    <w:p>
      <w:pPr>
        <w:numPr>
          <w:ilvl w:val="0"/>
          <w:numId w:val="32"/>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2"/>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32"/>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32"/>
        </w:numPr>
        <w:ind w:left="0" w:firstLine="480" w:firstLineChars="200"/>
      </w:pPr>
      <w:r>
        <w:rPr>
          <w:sz w:val="24"/>
          <w:szCs w:val="24"/>
        </w:rPr>
        <w:t>乙方利用研究开发经费所购置与研究开发工作有关的设备、器材、资料等财产，归甲方所有。</w:t>
      </w:r>
    </w:p>
    <w:p>
      <w:pPr>
        <w:numPr>
          <w:ilvl w:val="0"/>
          <w:numId w:val="32"/>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32"/>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32"/>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3"/>
        </w:numPr>
        <w:ind w:left="0" w:firstLine="480" w:firstLineChars="200"/>
        <w:rPr>
          <w:rFonts w:hint="eastAsia"/>
          <w:sz w:val="24"/>
          <w:szCs w:val="24"/>
        </w:rPr>
      </w:pPr>
      <w:r>
        <w:rPr>
          <w:rFonts w:hint="eastAsia"/>
          <w:sz w:val="24"/>
          <w:szCs w:val="24"/>
        </w:rPr>
        <w:t>项目联系人及相关约定</w:t>
      </w:r>
    </w:p>
    <w:p>
      <w:pPr>
        <w:numPr>
          <w:ilvl w:val="0"/>
          <w:numId w:val="33"/>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4"/>
        </w:numPr>
        <w:ind w:hanging="5"/>
        <w:rPr>
          <w:rFonts w:hint="eastAsia"/>
          <w:u w:val="single"/>
        </w:rPr>
      </w:pPr>
      <w:r>
        <w:rPr>
          <w:rFonts w:hint="eastAsia"/>
          <w:sz w:val="24"/>
          <w:szCs w:val="24"/>
          <w:u w:val="single"/>
        </w:rPr>
        <w:t xml:space="preserve">                                                            ；</w:t>
      </w:r>
    </w:p>
    <w:p>
      <w:pPr>
        <w:numPr>
          <w:ilvl w:val="0"/>
          <w:numId w:val="34"/>
        </w:numPr>
        <w:ind w:hanging="5"/>
        <w:rPr>
          <w:rFonts w:hint="eastAsia"/>
          <w:u w:val="single"/>
        </w:rPr>
      </w:pPr>
      <w:r>
        <w:rPr>
          <w:rFonts w:hint="eastAsia"/>
          <w:sz w:val="24"/>
          <w:szCs w:val="24"/>
          <w:u w:val="single"/>
        </w:rPr>
        <w:t xml:space="preserve">                                                            ； </w:t>
      </w:r>
    </w:p>
    <w:p>
      <w:pPr>
        <w:numPr>
          <w:ilvl w:val="0"/>
          <w:numId w:val="34"/>
        </w:numPr>
        <w:ind w:hanging="5"/>
        <w:rPr>
          <w:u w:val="single"/>
        </w:rPr>
      </w:pPr>
      <w:r>
        <w:rPr>
          <w:rFonts w:hint="eastAsia"/>
          <w:sz w:val="24"/>
          <w:szCs w:val="24"/>
          <w:u w:val="single"/>
        </w:rPr>
        <w:t xml:space="preserve">                                                            ；</w:t>
      </w:r>
    </w:p>
    <w:p>
      <w:pPr>
        <w:numPr>
          <w:ilvl w:val="0"/>
          <w:numId w:val="34"/>
        </w:numPr>
        <w:ind w:hanging="5"/>
        <w:rPr>
          <w:rFonts w:hint="eastAsia"/>
          <w:u w:val="single"/>
        </w:rPr>
      </w:pPr>
      <w:r>
        <w:rPr>
          <w:rFonts w:hint="eastAsia"/>
          <w:sz w:val="24"/>
          <w:szCs w:val="24"/>
          <w:u w:val="single"/>
        </w:rPr>
        <w:t xml:space="preserve">                                                            。</w:t>
      </w:r>
    </w:p>
    <w:p>
      <w:pPr>
        <w:numPr>
          <w:ilvl w:val="0"/>
          <w:numId w:val="33"/>
        </w:numPr>
        <w:ind w:left="0" w:firstLine="480" w:firstLineChars="200"/>
        <w:rPr>
          <w:rFonts w:hint="eastAsia"/>
        </w:rPr>
      </w:pPr>
      <w:r>
        <w:rPr>
          <w:rFonts w:hint="eastAsia"/>
          <w:sz w:val="24"/>
          <w:szCs w:val="24"/>
        </w:rPr>
        <w:t>联系人变更约定</w:t>
      </w:r>
    </w:p>
    <w:p>
      <w:pPr>
        <w:numPr>
          <w:ilvl w:val="0"/>
          <w:numId w:val="35"/>
        </w:numPr>
        <w:ind w:left="5" w:firstLine="415"/>
      </w:pPr>
      <w:r>
        <w:rPr>
          <w:sz w:val="24"/>
          <w:szCs w:val="24"/>
        </w:rPr>
        <w:t>一方变更项目联系人的，应当及时以书面形式通知另一方。未及时通知并影响本合同履行或造成损失的，应承担相应的责任。</w:t>
      </w:r>
    </w:p>
    <w:p>
      <w:pPr>
        <w:numPr>
          <w:ilvl w:val="0"/>
          <w:numId w:val="35"/>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5"/>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3"/>
        </w:numPr>
        <w:ind w:left="0" w:firstLine="480" w:firstLineChars="200"/>
        <w:rPr>
          <w:sz w:val="24"/>
          <w:szCs w:val="24"/>
        </w:rPr>
      </w:pPr>
      <w:bookmarkStart w:id="328" w:name="_Toc150439567"/>
      <w:r>
        <w:rPr>
          <w:rFonts w:hint="eastAsia"/>
          <w:sz w:val="24"/>
          <w:szCs w:val="24"/>
        </w:rPr>
        <w:t>项目交付</w:t>
      </w:r>
      <w:bookmarkEnd w:id="328"/>
    </w:p>
    <w:p>
      <w:pPr>
        <w:numPr>
          <w:ilvl w:val="0"/>
          <w:numId w:val="36"/>
        </w:numPr>
        <w:ind w:left="0" w:firstLine="480" w:firstLineChars="200"/>
        <w:rPr>
          <w:rFonts w:hint="eastAsia"/>
        </w:rPr>
      </w:pPr>
      <w:r>
        <w:rPr>
          <w:rFonts w:hint="eastAsia"/>
          <w:sz w:val="24"/>
          <w:szCs w:val="24"/>
        </w:rPr>
        <w:t>乙方应当按以下方式向甲方交付研究开发成果：</w:t>
      </w:r>
    </w:p>
    <w:p>
      <w:pPr>
        <w:numPr>
          <w:ilvl w:val="0"/>
          <w:numId w:val="37"/>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7"/>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7"/>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6"/>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8"/>
        </w:numPr>
        <w:ind w:left="0" w:firstLine="480" w:firstLineChars="200"/>
        <w:rPr>
          <w:rFonts w:hint="eastAsia"/>
        </w:rPr>
      </w:pPr>
      <w:r>
        <w:rPr>
          <w:rFonts w:hint="eastAsia"/>
          <w:sz w:val="24"/>
          <w:szCs w:val="24"/>
        </w:rPr>
        <w:t>确保达到系统正常运行条件和相关技术标准及业务要求；</w:t>
      </w:r>
    </w:p>
    <w:p>
      <w:pPr>
        <w:numPr>
          <w:ilvl w:val="0"/>
          <w:numId w:val="38"/>
        </w:numPr>
        <w:ind w:left="0" w:firstLine="480" w:firstLineChars="200"/>
        <w:rPr>
          <w:rFonts w:hint="eastAsia"/>
        </w:rPr>
      </w:pPr>
      <w:r>
        <w:rPr>
          <w:rFonts w:hint="eastAsia"/>
          <w:sz w:val="24"/>
          <w:szCs w:val="24"/>
        </w:rPr>
        <w:t>系统数据达到规范要求，运行正常；</w:t>
      </w:r>
    </w:p>
    <w:p>
      <w:pPr>
        <w:numPr>
          <w:ilvl w:val="0"/>
          <w:numId w:val="38"/>
        </w:numPr>
        <w:ind w:left="0" w:firstLine="480" w:firstLineChars="200"/>
        <w:rPr>
          <w:rFonts w:hint="eastAsia"/>
        </w:rPr>
      </w:pPr>
      <w:r>
        <w:rPr>
          <w:rFonts w:hint="eastAsia"/>
          <w:sz w:val="24"/>
          <w:szCs w:val="24"/>
        </w:rPr>
        <w:t>系统运行保证安全稳定；</w:t>
      </w:r>
    </w:p>
    <w:p>
      <w:pPr>
        <w:numPr>
          <w:ilvl w:val="0"/>
          <w:numId w:val="38"/>
        </w:numPr>
        <w:ind w:left="0" w:firstLine="480" w:firstLineChars="200"/>
        <w:rPr>
          <w:rFonts w:hint="eastAsia"/>
        </w:rPr>
      </w:pPr>
      <w:r>
        <w:rPr>
          <w:rFonts w:hint="eastAsia"/>
          <w:sz w:val="24"/>
          <w:szCs w:val="24"/>
        </w:rPr>
        <w:t>平台业务运行机制要完整。</w:t>
      </w:r>
    </w:p>
    <w:p>
      <w:pPr>
        <w:numPr>
          <w:ilvl w:val="0"/>
          <w:numId w:val="36"/>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3"/>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9"/>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40"/>
        </w:numPr>
        <w:ind w:hanging="5"/>
        <w:rPr>
          <w:rFonts w:hint="eastAsia"/>
        </w:rPr>
      </w:pPr>
      <w:r>
        <w:rPr>
          <w:rFonts w:hint="eastAsia"/>
          <w:sz w:val="24"/>
          <w:szCs w:val="24"/>
          <w:u w:val="single"/>
        </w:rPr>
        <w:t xml:space="preserve">                                                            </w:t>
      </w:r>
      <w:r>
        <w:rPr>
          <w:rFonts w:hint="eastAsia"/>
          <w:sz w:val="24"/>
          <w:szCs w:val="24"/>
        </w:rPr>
        <w:t>;</w:t>
      </w:r>
    </w:p>
    <w:p>
      <w:pPr>
        <w:numPr>
          <w:ilvl w:val="0"/>
          <w:numId w:val="40"/>
        </w:numPr>
        <w:ind w:hanging="5"/>
        <w:rPr>
          <w:rFonts w:hint="eastAsia"/>
        </w:rPr>
      </w:pPr>
      <w:r>
        <w:rPr>
          <w:rFonts w:hint="eastAsia"/>
          <w:sz w:val="24"/>
          <w:szCs w:val="24"/>
          <w:u w:val="single"/>
        </w:rPr>
        <w:t xml:space="preserve">                                                            </w:t>
      </w:r>
      <w:r>
        <w:rPr>
          <w:rFonts w:hint="eastAsia"/>
          <w:sz w:val="24"/>
          <w:szCs w:val="24"/>
        </w:rPr>
        <w:t>;</w:t>
      </w:r>
    </w:p>
    <w:p>
      <w:pPr>
        <w:numPr>
          <w:ilvl w:val="0"/>
          <w:numId w:val="40"/>
        </w:numPr>
        <w:ind w:hanging="5"/>
        <w:rPr>
          <w:rFonts w:hint="eastAsia"/>
        </w:rPr>
      </w:pPr>
      <w:r>
        <w:rPr>
          <w:rFonts w:hint="eastAsia"/>
          <w:sz w:val="24"/>
          <w:szCs w:val="24"/>
          <w:u w:val="single"/>
        </w:rPr>
        <w:t xml:space="preserve">                                                            </w:t>
      </w:r>
      <w:r>
        <w:rPr>
          <w:rFonts w:hint="eastAsia"/>
          <w:sz w:val="24"/>
          <w:szCs w:val="24"/>
        </w:rPr>
        <w:t>;</w:t>
      </w:r>
    </w:p>
    <w:p>
      <w:pPr>
        <w:numPr>
          <w:ilvl w:val="0"/>
          <w:numId w:val="40"/>
        </w:numPr>
        <w:ind w:hanging="5"/>
        <w:rPr>
          <w:rFonts w:hint="eastAsia"/>
        </w:rPr>
      </w:pPr>
      <w:r>
        <w:rPr>
          <w:rFonts w:hint="eastAsia"/>
          <w:sz w:val="24"/>
          <w:szCs w:val="24"/>
          <w:u w:val="single"/>
        </w:rPr>
        <w:t xml:space="preserve">                                                            。</w:t>
      </w:r>
    </w:p>
    <w:p>
      <w:pPr>
        <w:numPr>
          <w:ilvl w:val="0"/>
          <w:numId w:val="39"/>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9"/>
        </w:numPr>
        <w:tabs>
          <w:tab w:val="left" w:pos="720"/>
        </w:tabs>
        <w:ind w:left="0" w:firstLine="480" w:firstLineChars="200"/>
        <w:rPr>
          <w:rFonts w:hint="eastAsia"/>
        </w:rPr>
      </w:pPr>
      <w:r>
        <w:rPr>
          <w:rFonts w:hint="eastAsia"/>
          <w:sz w:val="24"/>
          <w:szCs w:val="24"/>
        </w:rPr>
        <w:t>履约保证金或履约保函</w:t>
      </w:r>
    </w:p>
    <w:p>
      <w:pPr>
        <w:numPr>
          <w:ilvl w:val="0"/>
          <w:numId w:val="41"/>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41"/>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41"/>
        </w:numPr>
        <w:tabs>
          <w:tab w:val="left" w:pos="720"/>
        </w:tabs>
        <w:ind w:left="0" w:firstLine="420"/>
        <w:rPr>
          <w:rFonts w:hint="eastAsia"/>
        </w:rPr>
      </w:pPr>
      <w:r>
        <w:rPr>
          <w:rFonts w:hint="eastAsia"/>
          <w:sz w:val="24"/>
          <w:szCs w:val="24"/>
        </w:rPr>
        <w:t>履约保证金应用本合同货币。</w:t>
      </w:r>
    </w:p>
    <w:p>
      <w:pPr>
        <w:numPr>
          <w:ilvl w:val="0"/>
          <w:numId w:val="39"/>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9"/>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42"/>
        </w:numPr>
        <w:tabs>
          <w:tab w:val="left" w:pos="720"/>
        </w:tabs>
        <w:ind w:left="0" w:firstLine="420"/>
        <w:rPr>
          <w:rFonts w:hint="eastAsia"/>
        </w:rPr>
      </w:pPr>
      <w:r>
        <w:rPr>
          <w:rFonts w:hint="eastAsia"/>
          <w:sz w:val="24"/>
          <w:szCs w:val="24"/>
        </w:rPr>
        <w:t>乙方丧失继续完成本合同的基本条件或能力时；</w:t>
      </w:r>
    </w:p>
    <w:p>
      <w:pPr>
        <w:numPr>
          <w:ilvl w:val="0"/>
          <w:numId w:val="42"/>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42"/>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42"/>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3"/>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3"/>
        </w:numPr>
        <w:ind w:left="0" w:firstLine="480" w:firstLineChars="200"/>
        <w:rPr>
          <w:sz w:val="24"/>
          <w:szCs w:val="24"/>
        </w:rPr>
      </w:pPr>
      <w:bookmarkStart w:id="329" w:name="_Toc150439568"/>
      <w:bookmarkStart w:id="330" w:name="_Toc150434311"/>
      <w:bookmarkStart w:id="331" w:name="_Toc150434215"/>
      <w:bookmarkStart w:id="332" w:name="_Toc150424390"/>
      <w:bookmarkStart w:id="333" w:name="_Toc150439569"/>
      <w:bookmarkEnd w:id="329"/>
      <w:bookmarkEnd w:id="330"/>
      <w:bookmarkEnd w:id="331"/>
      <w:bookmarkEnd w:id="332"/>
      <w:r>
        <w:rPr>
          <w:rFonts w:hint="eastAsia"/>
          <w:sz w:val="24"/>
          <w:szCs w:val="24"/>
        </w:rPr>
        <w:t>项目验收</w:t>
      </w:r>
      <w:bookmarkEnd w:id="333"/>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12"/>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12"/>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12"/>
        </w:numPr>
        <w:ind w:left="0" w:firstLine="420"/>
        <w:rPr>
          <w:rFonts w:hint="eastAsia"/>
          <w:u w:val="single"/>
        </w:rPr>
      </w:pPr>
      <w:r>
        <w:rPr>
          <w:rFonts w:hint="eastAsia"/>
          <w:sz w:val="24"/>
          <w:szCs w:val="24"/>
          <w:u w:val="single"/>
        </w:rPr>
        <w:t xml:space="preserve">全部源代码（电子版）及说明；                                   </w:t>
      </w:r>
    </w:p>
    <w:p>
      <w:pPr>
        <w:numPr>
          <w:ilvl w:val="0"/>
          <w:numId w:val="12"/>
        </w:numPr>
        <w:ind w:left="0" w:firstLine="420"/>
        <w:rPr>
          <w:rFonts w:hint="eastAsia"/>
          <w:u w:val="single"/>
        </w:rPr>
      </w:pPr>
      <w:r>
        <w:rPr>
          <w:rFonts w:hint="eastAsia"/>
          <w:sz w:val="24"/>
          <w:szCs w:val="24"/>
          <w:u w:val="single"/>
        </w:rPr>
        <w:t xml:space="preserve">试运行方案、记录、报告、试运行改进报告                         </w:t>
      </w:r>
    </w:p>
    <w:p>
      <w:pPr>
        <w:numPr>
          <w:ilvl w:val="0"/>
          <w:numId w:val="12"/>
        </w:numPr>
        <w:ind w:left="0" w:firstLine="420"/>
        <w:rPr>
          <w:rFonts w:hint="eastAsia"/>
          <w:u w:val="single"/>
        </w:rPr>
      </w:pPr>
      <w:r>
        <w:rPr>
          <w:rFonts w:hint="eastAsia"/>
          <w:sz w:val="24"/>
          <w:szCs w:val="24"/>
          <w:u w:val="single"/>
        </w:rPr>
        <w:t xml:space="preserve">合同验收文件、开发总结报告、交接清单                           </w:t>
      </w:r>
    </w:p>
    <w:p>
      <w:pPr>
        <w:numPr>
          <w:ilvl w:val="0"/>
          <w:numId w:val="12"/>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3"/>
        </w:numPr>
        <w:ind w:left="0" w:firstLine="480" w:firstLineChars="200"/>
        <w:rPr>
          <w:sz w:val="24"/>
          <w:szCs w:val="24"/>
        </w:rPr>
      </w:pPr>
      <w:bookmarkStart w:id="334" w:name="_Toc150439566"/>
      <w:r>
        <w:rPr>
          <w:rFonts w:hint="eastAsia"/>
          <w:sz w:val="24"/>
          <w:szCs w:val="24"/>
        </w:rPr>
        <w:t>质量保证</w:t>
      </w:r>
      <w:bookmarkEnd w:id="334"/>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3"/>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3"/>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3"/>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3"/>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3"/>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3"/>
        </w:numPr>
        <w:ind w:left="0" w:firstLine="480" w:firstLineChars="200"/>
        <w:rPr>
          <w:sz w:val="24"/>
          <w:szCs w:val="24"/>
        </w:rPr>
      </w:pPr>
      <w:bookmarkStart w:id="335" w:name="_Toc150434250"/>
      <w:bookmarkStart w:id="336" w:name="_Toc150424425"/>
      <w:bookmarkStart w:id="337" w:name="_Toc150439603"/>
      <w:bookmarkStart w:id="338" w:name="_Toc150434346"/>
      <w:bookmarkStart w:id="339" w:name="_Toc150439612"/>
      <w:bookmarkEnd w:id="335"/>
      <w:bookmarkEnd w:id="336"/>
      <w:bookmarkEnd w:id="337"/>
      <w:bookmarkEnd w:id="338"/>
      <w:r>
        <w:rPr>
          <w:rFonts w:hint="eastAsia"/>
          <w:sz w:val="24"/>
          <w:szCs w:val="24"/>
        </w:rPr>
        <w:t>保密条款（保密协议）</w:t>
      </w:r>
      <w:bookmarkEnd w:id="339"/>
    </w:p>
    <w:p>
      <w:pPr>
        <w:ind w:firstLine="480" w:firstLineChars="200"/>
        <w:rPr>
          <w:rFonts w:hint="eastAsia"/>
        </w:rPr>
      </w:pPr>
      <w:r>
        <w:rPr>
          <w:rFonts w:hint="eastAsia"/>
          <w:sz w:val="24"/>
          <w:szCs w:val="24"/>
        </w:rPr>
        <w:t>甲方因履行本合同应遵守的保密义务如下：</w:t>
      </w:r>
    </w:p>
    <w:p>
      <w:pPr>
        <w:numPr>
          <w:ilvl w:val="0"/>
          <w:numId w:val="44"/>
        </w:numPr>
        <w:ind w:left="0" w:firstLine="480" w:firstLineChars="200"/>
        <w:rPr>
          <w:rFonts w:hint="eastAsia"/>
        </w:rPr>
      </w:pPr>
      <w:bookmarkStart w:id="340"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4"/>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4"/>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4"/>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340"/>
      <w:r>
        <w:rPr>
          <w:rFonts w:hint="eastAsia"/>
          <w:sz w:val="24"/>
          <w:szCs w:val="24"/>
        </w:rPr>
        <w:t>乙方因履行本合同应遵守的保密义务如下：</w:t>
      </w:r>
    </w:p>
    <w:p>
      <w:pPr>
        <w:numPr>
          <w:ilvl w:val="0"/>
          <w:numId w:val="45"/>
        </w:numPr>
        <w:ind w:left="0" w:firstLine="480" w:firstLineChars="200"/>
        <w:rPr>
          <w:rFonts w:hint="eastAsia"/>
        </w:rPr>
      </w:pPr>
      <w:r>
        <w:rPr>
          <w:rFonts w:hint="eastAsia"/>
          <w:sz w:val="24"/>
          <w:szCs w:val="24"/>
        </w:rPr>
        <w:t>保密内容（包括技术信息和经营信息）：</w:t>
      </w:r>
    </w:p>
    <w:p>
      <w:pPr>
        <w:numPr>
          <w:ilvl w:val="0"/>
          <w:numId w:val="46"/>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6"/>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6"/>
        </w:numPr>
        <w:ind w:left="0" w:firstLine="420"/>
        <w:rPr>
          <w:u w:val="single"/>
        </w:rPr>
      </w:pPr>
      <w:r>
        <w:rPr>
          <w:rFonts w:hint="eastAsia"/>
          <w:sz w:val="24"/>
          <w:szCs w:val="24"/>
          <w:u w:val="single"/>
        </w:rPr>
        <w:t xml:space="preserve">涉及国家秘密和安全的 ，依照有关保密规定执行。                          </w:t>
      </w:r>
    </w:p>
    <w:p>
      <w:pPr>
        <w:numPr>
          <w:ilvl w:val="0"/>
          <w:numId w:val="45"/>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5"/>
        </w:numPr>
        <w:ind w:left="0" w:firstLine="480" w:firstLineChars="200"/>
        <w:rPr>
          <w:rFonts w:hint="eastAsia"/>
        </w:rPr>
      </w:pPr>
      <w:r>
        <w:rPr>
          <w:rFonts w:hint="eastAsia"/>
          <w:sz w:val="24"/>
          <w:szCs w:val="24"/>
        </w:rPr>
        <w:t>保密期限：</w:t>
      </w:r>
      <w:bookmarkStart w:id="341" w:name="_Hlk150343509"/>
      <w:r>
        <w:rPr>
          <w:rFonts w:hint="eastAsia"/>
          <w:sz w:val="24"/>
          <w:szCs w:val="24"/>
          <w:u w:val="single"/>
        </w:rPr>
        <w:t xml:space="preserve">      本条规定持续有效，不因本合同终止或解除而失效  </w:t>
      </w:r>
      <w:bookmarkEnd w:id="341"/>
    </w:p>
    <w:p>
      <w:pPr>
        <w:numPr>
          <w:ilvl w:val="0"/>
          <w:numId w:val="45"/>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3"/>
        </w:numPr>
        <w:ind w:left="0" w:firstLine="480" w:firstLineChars="200"/>
        <w:rPr>
          <w:sz w:val="24"/>
          <w:szCs w:val="24"/>
        </w:rPr>
      </w:pPr>
      <w:bookmarkStart w:id="342" w:name="_Toc150439618"/>
      <w:r>
        <w:rPr>
          <w:rFonts w:hint="eastAsia"/>
          <w:sz w:val="24"/>
          <w:szCs w:val="24"/>
        </w:rPr>
        <w:t>违约</w:t>
      </w:r>
      <w:r>
        <w:rPr>
          <w:sz w:val="24"/>
          <w:szCs w:val="24"/>
        </w:rPr>
        <w:t>责任及赔偿</w:t>
      </w:r>
      <w:bookmarkEnd w:id="342"/>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7"/>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7"/>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7"/>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7"/>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7"/>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7"/>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7"/>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7"/>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3"/>
        </w:numPr>
        <w:ind w:left="0" w:firstLine="480" w:firstLineChars="200"/>
        <w:rPr>
          <w:sz w:val="24"/>
          <w:szCs w:val="24"/>
        </w:rPr>
      </w:pPr>
      <w:bookmarkStart w:id="343" w:name="_Toc150439619"/>
      <w:r>
        <w:rPr>
          <w:rFonts w:hint="eastAsia"/>
          <w:sz w:val="24"/>
          <w:szCs w:val="24"/>
        </w:rPr>
        <w:t>争议的解决</w:t>
      </w:r>
      <w:bookmarkEnd w:id="343"/>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3"/>
        </w:numPr>
        <w:ind w:left="0" w:firstLine="0"/>
        <w:rPr>
          <w:sz w:val="24"/>
          <w:szCs w:val="24"/>
        </w:rPr>
      </w:pPr>
      <w:bookmarkStart w:id="344" w:name="_Toc150439621"/>
      <w:r>
        <w:rPr>
          <w:rFonts w:hint="eastAsia"/>
          <w:sz w:val="24"/>
          <w:szCs w:val="24"/>
        </w:rPr>
        <w:t>不可抗力</w:t>
      </w:r>
      <w:bookmarkEnd w:id="344"/>
    </w:p>
    <w:p>
      <w:pPr>
        <w:numPr>
          <w:ilvl w:val="0"/>
          <w:numId w:val="48"/>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9"/>
        </w:numPr>
        <w:ind w:hanging="5"/>
        <w:rPr>
          <w:rFonts w:hint="eastAsia"/>
        </w:rPr>
      </w:pPr>
      <w:r>
        <w:rPr>
          <w:rFonts w:hint="eastAsia"/>
          <w:sz w:val="24"/>
          <w:szCs w:val="24"/>
        </w:rPr>
        <w:t>本合同项目在现有技术水平条件下具有足够的难度；</w:t>
      </w:r>
    </w:p>
    <w:p>
      <w:pPr>
        <w:numPr>
          <w:ilvl w:val="0"/>
          <w:numId w:val="49"/>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8"/>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8"/>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50"/>
        </w:numPr>
        <w:ind w:hanging="5"/>
        <w:rPr>
          <w:rFonts w:hint="eastAsia"/>
        </w:rPr>
      </w:pPr>
      <w:r>
        <w:rPr>
          <w:rFonts w:hint="eastAsia"/>
          <w:sz w:val="24"/>
          <w:szCs w:val="24"/>
        </w:rPr>
        <w:t>因发生不可抗力或技术风险；</w:t>
      </w:r>
    </w:p>
    <w:p>
      <w:pPr>
        <w:numPr>
          <w:ilvl w:val="0"/>
          <w:numId w:val="50"/>
        </w:numPr>
        <w:ind w:hanging="5"/>
        <w:rPr>
          <w:rFonts w:hint="eastAsia"/>
        </w:rPr>
      </w:pPr>
      <w:r>
        <w:rPr>
          <w:rFonts w:hint="eastAsia"/>
          <w:sz w:val="24"/>
          <w:szCs w:val="24"/>
        </w:rPr>
        <w:t>因一方未按约定履行合同义务支付款项的；</w:t>
      </w:r>
    </w:p>
    <w:p>
      <w:pPr>
        <w:numPr>
          <w:ilvl w:val="0"/>
          <w:numId w:val="50"/>
        </w:numPr>
        <w:ind w:hanging="5"/>
        <w:rPr>
          <w:rFonts w:hint="eastAsia"/>
        </w:rPr>
      </w:pPr>
      <w:r>
        <w:rPr>
          <w:rFonts w:hint="eastAsia"/>
          <w:sz w:val="24"/>
          <w:szCs w:val="24"/>
        </w:rPr>
        <w:t>因一方未按期完成合同约定的项目开发任务。</w:t>
      </w:r>
    </w:p>
    <w:p>
      <w:pPr>
        <w:pStyle w:val="Heading2"/>
        <w:numPr>
          <w:ilvl w:val="0"/>
          <w:numId w:val="13"/>
        </w:numPr>
        <w:ind w:left="0" w:firstLine="480" w:firstLineChars="200"/>
        <w:rPr>
          <w:rFonts w:hint="eastAsia"/>
          <w:sz w:val="24"/>
          <w:szCs w:val="24"/>
        </w:rPr>
      </w:pPr>
      <w:bookmarkStart w:id="345" w:name="_Toc150439624"/>
      <w:r>
        <w:rPr>
          <w:rFonts w:hint="eastAsia"/>
          <w:sz w:val="24"/>
          <w:szCs w:val="24"/>
        </w:rPr>
        <w:t>本合同的变更</w:t>
      </w:r>
      <w:bookmarkEnd w:id="345"/>
    </w:p>
    <w:p>
      <w:pPr>
        <w:numPr>
          <w:ilvl w:val="0"/>
          <w:numId w:val="51"/>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51"/>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3"/>
        </w:numPr>
        <w:ind w:left="0" w:firstLine="480" w:firstLineChars="200"/>
        <w:rPr>
          <w:sz w:val="24"/>
          <w:szCs w:val="24"/>
        </w:rPr>
      </w:pPr>
      <w:bookmarkStart w:id="346" w:name="_Toc150434362"/>
      <w:bookmarkStart w:id="347" w:name="_Toc150434266"/>
      <w:bookmarkStart w:id="348" w:name="_Toc150424441"/>
      <w:bookmarkStart w:id="349" w:name="_Toc150439622"/>
      <w:bookmarkStart w:id="350" w:name="_Toc150439623"/>
      <w:bookmarkEnd w:id="346"/>
      <w:bookmarkEnd w:id="347"/>
      <w:bookmarkEnd w:id="348"/>
      <w:bookmarkEnd w:id="349"/>
      <w:r>
        <w:rPr>
          <w:rFonts w:hint="eastAsia"/>
          <w:sz w:val="24"/>
          <w:szCs w:val="24"/>
        </w:rPr>
        <w:t>其它</w:t>
      </w:r>
      <w:bookmarkEnd w:id="350"/>
    </w:p>
    <w:p>
      <w:pPr>
        <w:ind w:left="420" w:leftChars="200"/>
      </w:pPr>
      <w:r>
        <w:rPr>
          <w:rFonts w:hint="eastAsia"/>
          <w:sz w:val="24"/>
          <w:szCs w:val="24"/>
        </w:rPr>
        <w:t>本合同未尽事宜，由双方协商后按有关程序办理，并以书面形式进行确定。</w:t>
      </w:r>
    </w:p>
    <w:p>
      <w:pPr>
        <w:pStyle w:val="Heading2"/>
        <w:numPr>
          <w:ilvl w:val="0"/>
          <w:numId w:val="13"/>
        </w:numPr>
        <w:ind w:left="0" w:firstLine="480" w:firstLineChars="200"/>
        <w:rPr>
          <w:rFonts w:hint="eastAsia"/>
          <w:sz w:val="24"/>
          <w:szCs w:val="24"/>
        </w:rPr>
      </w:pPr>
      <w:bookmarkStart w:id="351" w:name="_Toc150439626"/>
      <w:r>
        <w:rPr>
          <w:rFonts w:hint="eastAsia"/>
          <w:sz w:val="24"/>
          <w:szCs w:val="24"/>
        </w:rPr>
        <w:t>合同生效</w:t>
      </w:r>
      <w:bookmarkEnd w:id="351"/>
    </w:p>
    <w:p>
      <w:pPr>
        <w:numPr>
          <w:ilvl w:val="0"/>
          <w:numId w:val="52"/>
        </w:numPr>
        <w:ind w:left="0" w:firstLine="480" w:firstLineChars="200"/>
      </w:pPr>
      <w:r>
        <w:rPr>
          <w:rFonts w:hint="eastAsia"/>
          <w:sz w:val="24"/>
          <w:szCs w:val="24"/>
        </w:rPr>
        <w:t>本合同经双方法定代表人或授权代表签字并加盖公章之日起生效，至质保期结束终止。</w:t>
      </w:r>
    </w:p>
    <w:p>
      <w:pPr>
        <w:numPr>
          <w:ilvl w:val="0"/>
          <w:numId w:val="52"/>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26"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352" w:name="_Hlk99802248"/>
    </w:p>
    <w:p>
      <w:pPr>
        <w:jc w:val="center"/>
        <w:rPr>
          <w:rFonts w:hint="eastAsia"/>
          <w:spacing w:val="-16"/>
          <w:sz w:val="44"/>
          <w:szCs w:val="44"/>
        </w:rPr>
      </w:pPr>
      <w:r>
        <w:rPr>
          <w:rFonts w:hint="eastAsia"/>
          <w:spacing w:val="-16"/>
          <w:sz w:val="44"/>
          <w:szCs w:val="44"/>
        </w:rPr>
        <w:t>安全保密承诺书</w:t>
      </w:r>
      <w:bookmarkEnd w:id="352"/>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3"/>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27"/>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spacing w:line="360" w:lineRule="auto"/>
        <w:ind w:firstLine="3066" w:firstLineChars="1460"/>
        <w:jc w:val="left"/>
        <w:rPr>
          <w:b/>
          <w:bCs/>
          <w:szCs w:val="21"/>
          <w:highlight w:val="none"/>
        </w:rPr>
      </w:pPr>
      <w:bookmarkEnd w:id="308"/>
    </w:p>
    <w:p>
      <w:pPr>
        <w:rPr>
          <w:rFonts w:ascii="Calibri" w:hAnsi="Calibri"/>
          <w:szCs w:val="22"/>
          <w:highlight w:val="none"/>
        </w:rPr>
      </w:pPr>
    </w:p>
    <w:p>
      <w:pPr>
        <w:spacing w:line="360" w:lineRule="auto"/>
        <w:jc w:val="left"/>
        <w:rPr>
          <w:b/>
          <w:bCs/>
          <w:sz w:val="44"/>
          <w:szCs w:val="44"/>
          <w:highlight w:val="none"/>
        </w:rPr>
      </w:pPr>
    </w:p>
    <w:sectPr>
      <w:headerReference w:type="even" r:id="rId28"/>
      <w:headerReference w:type="default" r:id="rId29"/>
      <w:footerReference w:type="default" r:id="rId30"/>
      <w:headerReference w:type="first" r:id="rId3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ZapfDingbats">
    <w:altName w:val="Wingdings"/>
    <w:panose1 w:val="00000000000000000000"/>
    <w:charset w:val="02"/>
    <w:family w:val="decorative"/>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楷体_GB2312">
    <w:panose1 w:val="02010609030101010101"/>
    <w:charset w:val="86"/>
    <w:family w:val="modern"/>
    <w:pitch w:val="default"/>
    <w:sig w:usb0="00000001" w:usb1="080E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細明體">
    <w:altName w:val="Hey Charlie"/>
    <w:panose1 w:val="00000000000000000000"/>
    <w:charset w:val="00"/>
    <w:family w:val="auto"/>
    <w:pitch w:val="default"/>
    <w:sig w:usb0="00000000" w:usb1="00000000" w:usb2="00000000" w:usb3="00000000" w:csb0="00000000" w:csb1="00000000"/>
  </w:font>
  <w:font w:name="PMingLiU">
    <w:altName w:val="Microsoft JhengHei UI"/>
    <w:panose1 w:val="02010601000101010101"/>
    <w:charset w:val="88"/>
    <w:family w:val="roman"/>
    <w:pitch w:val="default"/>
    <w:sig w:usb0="00000000" w:usb1="00000000" w:usb2="00000016" w:usb3="00000000" w:csb0="00100001" w:csb1="00000000"/>
  </w:font>
  <w:font w:name="Garamond">
    <w:panose1 w:val="02020404030301010803"/>
    <w:charset w:val="00"/>
    <w:family w:val="roman"/>
    <w:pitch w:val="default"/>
    <w:sig w:usb0="00000287" w:usb1="00000000" w:usb2="00000000" w:usb3="00000000" w:csb0="0000009F" w:csb1="DFD70000"/>
  </w:font>
  <w:font w:name="宋">
    <w:altName w:val="宋体"/>
    <w:panose1 w:val="00000000000000000000"/>
    <w:charset w:val="86"/>
    <w:family w:val="roma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Times">
    <w:altName w:val="Times New Roman"/>
    <w:panose1 w:val="02020603050405020304"/>
    <w:charset w:val="00"/>
    <w:family w:val="roman"/>
    <w:pitch w:val="default"/>
    <w:sig w:usb0="00000000" w:usb1="00000000" w:usb2="00000009" w:usb3="00000000" w:csb0="000001FF" w:csb1="00000000"/>
  </w:font>
  <w:font w:name="ˎ̥">
    <w:altName w:val="Times New Roman"/>
    <w:panose1 w:val="00000000000000000000"/>
    <w:charset w:val="00"/>
    <w:family w:val="roma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Tms Rmn">
    <w:altName w:val="Tickle Campus"/>
    <w:panose1 w:val="02020603040505020304"/>
    <w:charset w:val="00"/>
    <w:family w:val="roman"/>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PMingLiU-ExtB">
    <w:panose1 w:val="02020500000000000000"/>
    <w:charset w:val="88"/>
    <w:family w:val="auto"/>
    <w:pitch w:val="default"/>
    <w:sig w:usb0="8000002F" w:usb1="02000008" w:usb2="00000000" w:usb3="00000000" w:csb0="00100001" w:csb1="00000000"/>
  </w:font>
  <w:font w:name="Hey Charlie">
    <w:panose1 w:val="02000500000000000000"/>
    <w:charset w:val="00"/>
    <w:family w:val="auto"/>
    <w:pitch w:val="default"/>
    <w:sig w:usb0="00000003" w:usb1="10000000" w:usb2="00000000" w:usb3="00000000" w:csb0="00000001" w:csb1="00000000"/>
  </w:font>
  <w:font w:name="Microsoft JhengHei UI">
    <w:panose1 w:val="020B0604030504040204"/>
    <w:charset w:val="88"/>
    <w:family w:val="auto"/>
    <w:pitch w:val="default"/>
    <w:sig w:usb0="000002A7" w:usb1="28CF4400" w:usb2="00000016" w:usb3="00000000" w:csb0="00100009" w:csb1="00000000"/>
  </w:font>
  <w:font w:name="Tickle Campus">
    <w:panose1 w:val="02000600000000000000"/>
    <w:charset w:val="00"/>
    <w:family w:val="auto"/>
    <w:pitch w:val="default"/>
    <w:sig w:usb0="00000003"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pPr>
    <w:bookmarkStart w:id="62" w:name="_Toc222911616"/>
    <w:bookmarkEnd w:id="62"/>
    <w:bookmarkStart w:id="63" w:name="_Toc240618367"/>
    <w:bookmarkEnd w:id="63"/>
    <w:bookmarkStart w:id="64" w:name="_Toc206217471"/>
    <w:bookmarkEnd w:id="64"/>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fldChar w:fldCharType="begin"/>
                </w:r>
                <w:r>
                  <w:instrText xml:space="preserve"> PAGE  \* MERGEFORMAT </w:instrText>
                </w:r>
                <w:r>
                  <w:fldChar w:fldCharType="separate"/>
                </w:r>
                <w:r>
                  <w:t>I</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59264" filled="f" fillcolor="this" stroked="f" strokeweight="0.5pt">
          <v:textbox style="mso-fit-shape-to-text:t" inset="0,0,0,0">
            <w:txbxContent>
              <w:p>
                <w:pPr>
                  <w:pStyle w:val="Footer"/>
                </w:pPr>
                <w:r>
                  <w:fldChar w:fldCharType="begin"/>
                </w:r>
                <w:r>
                  <w:instrText xml:space="preserve"> PAGE  \* MERGEFORMAT </w:instrText>
                </w:r>
                <w:r>
                  <w:fldChar w:fldCharType="separate"/>
                </w:r>
                <w:r>
                  <w:t>I</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jc w:val="right"/>
    </w:pPr>
    <w: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spacing w:before="120" w:after="120"/>
                  <w:jc w:val="right"/>
                </w:pPr>
                <w:r>
                  <w:rPr>
                    <w:b/>
                    <w:sz w:val="24"/>
                    <w:szCs w:val="24"/>
                  </w:rPr>
                  <w:fldChar w:fldCharType="begin"/>
                </w:r>
                <w:r>
                  <w:rPr>
                    <w:b/>
                  </w:rPr>
                  <w:instrText>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49</w:t>
                </w:r>
                <w:r>
                  <w:rPr>
                    <w:b/>
                    <w:sz w:val="24"/>
                    <w:szCs w:val="24"/>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after="120"/>
      <w:jc w:val="both"/>
    </w:pPr>
    <w:r>
      <w:rPr>
        <w:rFonts w:hint="eastAsia"/>
      </w:rPr>
      <w:t xml:space="preserve">气象信息综合分析处理系统强对流版建设项目                                    </w:t>
    </w:r>
    <w:r>
      <w:t xml:space="preserve">      </w:t>
    </w:r>
    <w:r>
      <w:rPr>
        <w:rFonts w:hint="eastAsia"/>
      </w:rPr>
      <w:t>采购需求书</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after="12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after="12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3"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4"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5"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6"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4589F9"/>
    <w:multiLevelType w:val="singleLevel"/>
    <w:tmpl w:val="914589F9"/>
    <w:lvl w:ilvl="0">
      <w:start w:val="1"/>
      <w:numFmt w:val="decimal"/>
      <w:suff w:val="nothing"/>
      <w:lvlText w:val="（%1）"/>
      <w:lvlJc w:val="left"/>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F3F1685"/>
    <w:multiLevelType w:val="singleLevel"/>
    <w:tmpl w:val="FF3F1685"/>
    <w:lvl w:ilvl="0">
      <w:start w:val="1"/>
      <w:numFmt w:val="decimal"/>
      <w:lvlText w:val="（%1）"/>
      <w:lvlJc w:val="left"/>
      <w:pPr>
        <w:ind w:left="420" w:hanging="420"/>
      </w:p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0367BC6"/>
    <w:multiLevelType w:val="multilevel"/>
    <w:tmpl w:val="20367BC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30B055E"/>
    <w:multiLevelType w:val="multilevel"/>
    <w:tmpl w:val="230B055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nsid w:val="2E2DAA59"/>
    <w:multiLevelType w:val="multilevel"/>
    <w:tmpl w:val="2E2DAA59"/>
    <w:lvl w:ilvl="0">
      <w:start w:val="1"/>
      <w:numFmt w:val="decimal"/>
      <w:suff w:val="space"/>
      <w:lvlText w:val="%1"/>
      <w:lvlJc w:val="left"/>
      <w:pPr>
        <w:ind w:left="432" w:hanging="432"/>
      </w:pPr>
      <w:rPr>
        <w:rFonts w:hint="eastAsia"/>
      </w:rPr>
    </w:lvl>
    <w:lvl w:ilvl="1">
      <w:start w:val="1"/>
      <w:numFmt w:val="decimal"/>
      <w:suff w:val="space"/>
      <w:lvlText w:val="%1.%2"/>
      <w:lvlJc w:val="left"/>
      <w:pPr>
        <w:ind w:left="576" w:hanging="576"/>
      </w:pPr>
      <w:rPr>
        <w:rFonts w:hint="eastAsia"/>
      </w:rPr>
    </w:lvl>
    <w:lvl w:ilvl="2">
      <w:start w:val="1"/>
      <w:numFmt w:val="decimal"/>
      <w:pStyle w:val="Heading3"/>
      <w:suff w:val="space"/>
      <w:lvlText w:val="%1.%2.%3"/>
      <w:lvlJc w:val="left"/>
      <w:pPr>
        <w:ind w:left="720" w:hanging="72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1008" w:hanging="1008"/>
      </w:pPr>
      <w:rPr>
        <w:rFonts w:hint="eastAsia"/>
      </w:rPr>
    </w:lvl>
    <w:lvl w:ilvl="5">
      <w:start w:val="1"/>
      <w:numFmt w:val="decimal"/>
      <w:suff w:val="space"/>
      <w:lvlText w:val="%1.%2.%3.%4.%5.%6"/>
      <w:lvlJc w:val="left"/>
      <w:pPr>
        <w:ind w:left="1152" w:hanging="1152"/>
      </w:pPr>
      <w:rPr>
        <w:rFonts w:hint="eastAsia"/>
      </w:rPr>
    </w:lvl>
    <w:lvl w:ilvl="6">
      <w:start w:val="1"/>
      <w:numFmt w:val="decimal"/>
      <w:suff w:val="space"/>
      <w:lvlText w:val="%1.%2.%3.%4.%5.%6.%7"/>
      <w:lvlJc w:val="left"/>
      <w:pPr>
        <w:ind w:left="1296" w:hanging="1296"/>
      </w:pPr>
      <w:rPr>
        <w:rFonts w:hint="eastAsia"/>
      </w:rPr>
    </w:lvl>
    <w:lvl w:ilvl="7">
      <w:start w:val="1"/>
      <w:numFmt w:val="decimal"/>
      <w:suff w:val="space"/>
      <w:lvlText w:val="%1.%2.%3.%4.%5.%6.%7.%8"/>
      <w:lvlJc w:val="left"/>
      <w:pPr>
        <w:ind w:left="1440" w:hanging="1440"/>
      </w:pPr>
      <w:rPr>
        <w:rFonts w:hint="eastAsia"/>
      </w:rPr>
    </w:lvl>
    <w:lvl w:ilvl="8">
      <w:start w:val="1"/>
      <w:numFmt w:val="decimal"/>
      <w:suff w:val="space"/>
      <w:lvlText w:val="%1.%2.%3.%4.%5.%6.%7.%8.%9"/>
      <w:lvlJc w:val="left"/>
      <w:pPr>
        <w:ind w:left="1584" w:hanging="1584"/>
      </w:pPr>
      <w:rPr>
        <w:rFonts w:hint="eastAsia"/>
      </w:r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307B14B5"/>
    <w:multiLevelType w:val="multilevel"/>
    <w:tmpl w:val="307B14B5"/>
    <w:lvl w:ilvl="0">
      <w:start w:val="1"/>
      <w:numFmt w:val="decimal"/>
      <w:pStyle w:val="Heading1"/>
      <w:lvlText w:val="%1 "/>
      <w:lvlJc w:val="left"/>
      <w:pPr>
        <w:tabs>
          <w:tab w:val="left" w:pos="0"/>
        </w:tabs>
        <w:ind w:left="0" w:firstLine="0"/>
      </w:pPr>
      <w:rPr>
        <w:rFonts w:hint="eastAsia"/>
      </w:rPr>
    </w:lvl>
    <w:lvl w:ilvl="1">
      <w:start w:val="1"/>
      <w:numFmt w:val="decimal"/>
      <w:pStyle w:val="Heading2"/>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pStyle w:val="Heading4"/>
      <w:lvlText w:val="%1.%2.%3.%4"/>
      <w:lvlJc w:val="left"/>
      <w:pPr>
        <w:tabs>
          <w:tab w:val="left" w:pos="864"/>
        </w:tabs>
        <w:ind w:left="864" w:hanging="864"/>
      </w:pPr>
      <w:rPr>
        <w:rFonts w:hint="eastAsia"/>
      </w:rPr>
    </w:lvl>
    <w:lvl w:ilvl="4">
      <w:start w:val="1"/>
      <w:numFmt w:val="decimal"/>
      <w:pStyle w:val="Heading5"/>
      <w:lvlText w:val="%1.%2.%3.%4.%5"/>
      <w:lvlJc w:val="left"/>
      <w:pPr>
        <w:tabs>
          <w:tab w:val="left" w:pos="1008"/>
        </w:tabs>
        <w:ind w:left="1008" w:hanging="1008"/>
      </w:pPr>
      <w:rPr>
        <w:rFonts w:hint="eastAsia"/>
      </w:rPr>
    </w:lvl>
    <w:lvl w:ilvl="5">
      <w:start w:val="1"/>
      <w:numFmt w:val="decimal"/>
      <w:pStyle w:val="Heading6"/>
      <w:lvlText w:val="%1.%2.%3.%4.%5.%6"/>
      <w:lvlJc w:val="left"/>
      <w:pPr>
        <w:tabs>
          <w:tab w:val="left" w:pos="1152"/>
        </w:tabs>
        <w:ind w:left="1152" w:hanging="1152"/>
      </w:pPr>
      <w:rPr>
        <w:rFonts w:hint="eastAsia"/>
      </w:rPr>
    </w:lvl>
    <w:lvl w:ilvl="6">
      <w:start w:val="1"/>
      <w:numFmt w:val="decimal"/>
      <w:pStyle w:val="Heading7"/>
      <w:lvlText w:val="%1.%2.%3.%4.%5.%6.%7"/>
      <w:lvlJc w:val="left"/>
      <w:pPr>
        <w:tabs>
          <w:tab w:val="left" w:pos="1296"/>
        </w:tabs>
        <w:ind w:left="1296" w:hanging="1296"/>
      </w:pPr>
      <w:rPr>
        <w:rFonts w:hint="eastAsia"/>
      </w:rPr>
    </w:lvl>
    <w:lvl w:ilvl="7">
      <w:start w:val="1"/>
      <w:numFmt w:val="decimal"/>
      <w:pStyle w:val="Heading8"/>
      <w:lvlText w:val="%1.%2.%3.%4.%5.%6.%7.%8"/>
      <w:lvlJc w:val="left"/>
      <w:pPr>
        <w:tabs>
          <w:tab w:val="left" w:pos="1440"/>
        </w:tabs>
        <w:ind w:left="1440" w:hanging="1440"/>
      </w:pPr>
      <w:rPr>
        <w:rFonts w:hint="eastAsia"/>
      </w:rPr>
    </w:lvl>
    <w:lvl w:ilvl="8">
      <w:start w:val="1"/>
      <w:numFmt w:val="decimal"/>
      <w:pStyle w:val="Heading9"/>
      <w:lvlText w:val="%1.%2.%3.%4.%5.%6.%7.%8.%9"/>
      <w:lvlJc w:val="left"/>
      <w:pPr>
        <w:tabs>
          <w:tab w:val="left" w:pos="1584"/>
        </w:tabs>
        <w:ind w:left="1584" w:hanging="1584"/>
      </w:pPr>
      <w:rPr>
        <w:rFonts w:hint="eastAsia"/>
      </w:r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10E2BED"/>
    <w:multiLevelType w:val="multilevel"/>
    <w:tmpl w:val="610E2BE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0">
    <w:nsid w:val="64BEBB03"/>
    <w:multiLevelType w:val="singleLevel"/>
    <w:tmpl w:val="64BEBB03"/>
    <w:lvl w:ilvl="0">
      <w:start w:val="4"/>
      <w:numFmt w:val="chineseCounting"/>
      <w:suff w:val="nothing"/>
      <w:lvlText w:val="%1、"/>
      <w:lvlJc w:val="left"/>
      <w:rPr>
        <w:rFonts w:hint="eastAsia"/>
      </w:rPr>
    </w:lvl>
  </w:abstractNum>
  <w:abstractNum w:abstractNumId="41">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9F8DDAB"/>
    <w:multiLevelType w:val="singleLevel"/>
    <w:tmpl w:val="79F8DDAB"/>
    <w:lvl w:ilvl="0">
      <w:start w:val="1"/>
      <w:numFmt w:val="decimal"/>
      <w:lvlText w:val="%1)"/>
      <w:lvlJc w:val="left"/>
      <w:pPr>
        <w:ind w:left="425" w:hanging="425"/>
      </w:pPr>
      <w:rPr>
        <w:rFonts w:hint="default"/>
      </w:rPr>
    </w:lvl>
  </w:abstractNum>
  <w:abstractNum w:abstractNumId="48">
    <w:nsid w:val="7BF79D3F"/>
    <w:multiLevelType w:val="singleLevel"/>
    <w:tmpl w:val="7BF79D3F"/>
    <w:lvl w:ilvl="0">
      <w:start w:val="1"/>
      <w:numFmt w:val="decimal"/>
      <w:lvlText w:val="%1)"/>
      <w:lvlJc w:val="left"/>
      <w:pPr>
        <w:ind w:left="425" w:hanging="425"/>
      </w:pPr>
      <w:rPr>
        <w:rFonts w:hint="default"/>
      </w:rPr>
    </w:lvl>
  </w:abstractNum>
  <w:abstractNum w:abstractNumId="49">
    <w:nsid w:val="7FAFA353"/>
    <w:multiLevelType w:val="singleLevel"/>
    <w:tmpl w:val="7FAFA353"/>
    <w:lvl w:ilvl="0">
      <w:start w:val="1"/>
      <w:numFmt w:val="decimal"/>
      <w:lvlText w:val="%1)"/>
      <w:lvlJc w:val="left"/>
      <w:pPr>
        <w:ind w:left="425" w:hanging="425"/>
      </w:pPr>
      <w:rPr>
        <w:rFonts w:hint="default"/>
      </w:rPr>
    </w:lvl>
  </w:abstractNum>
  <w:abstractNum w:abstractNumId="50">
    <w:nsid w:val="7FDAC479"/>
    <w:multiLevelType w:val="singleLevel"/>
    <w:tmpl w:val="7FDAC479"/>
    <w:lvl w:ilvl="0">
      <w:start w:val="1"/>
      <w:numFmt w:val="decimal"/>
      <w:lvlText w:val="%1)"/>
      <w:lvlJc w:val="left"/>
      <w:pPr>
        <w:ind w:left="425" w:hanging="425"/>
      </w:pPr>
      <w:rPr>
        <w:rFonts w:hint="default"/>
      </w:rPr>
    </w:lvl>
  </w:abstractNum>
  <w:abstractNum w:abstractNumId="51">
    <w:nsid w:val="7FF73EAD"/>
    <w:multiLevelType w:val="singleLevel"/>
    <w:tmpl w:val="7FF73EAD"/>
    <w:lvl w:ilvl="0">
      <w:start w:val="1"/>
      <w:numFmt w:val="decimal"/>
      <w:lvlText w:val="%1)"/>
      <w:lvlJc w:val="left"/>
      <w:pPr>
        <w:ind w:left="425" w:hanging="425"/>
      </w:pPr>
      <w:rPr>
        <w:rFonts w:hint="default"/>
      </w:rPr>
    </w:lvl>
  </w:abstractNum>
  <w:abstractNum w:abstractNumId="52">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8"/>
  </w:num>
  <w:num w:numId="4">
    <w:abstractNumId w:val="29"/>
  </w:num>
  <w:num w:numId="5">
    <w:abstractNumId w:val="26"/>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25"/>
  </w:num>
  <w:num w:numId="9">
    <w:abstractNumId w:val="23"/>
  </w:num>
  <w:num w:numId="10">
    <w:abstractNumId w:val="34"/>
  </w:num>
  <w:num w:numId="11">
    <w:abstractNumId w:val="0"/>
  </w:num>
  <w:num w:numId="12">
    <w:abstractNumId w:val="11"/>
  </w:num>
  <w:num w:numId="13">
    <w:abstractNumId w:val="24"/>
  </w:num>
  <w:num w:numId="14">
    <w:abstractNumId w:val="43"/>
  </w:num>
  <w:num w:numId="15">
    <w:abstractNumId w:val="22"/>
  </w:num>
  <w:num w:numId="16">
    <w:abstractNumId w:val="46"/>
  </w:num>
  <w:num w:numId="17">
    <w:abstractNumId w:val="3"/>
  </w:num>
  <w:num w:numId="18">
    <w:abstractNumId w:val="51"/>
  </w:num>
  <w:num w:numId="19">
    <w:abstractNumId w:val="6"/>
  </w:num>
  <w:num w:numId="20">
    <w:abstractNumId w:val="42"/>
  </w:num>
  <w:num w:numId="21">
    <w:abstractNumId w:val="12"/>
  </w:num>
  <w:num w:numId="22">
    <w:abstractNumId w:val="41"/>
  </w:num>
  <w:num w:numId="23">
    <w:abstractNumId w:val="38"/>
  </w:num>
  <w:num w:numId="24">
    <w:abstractNumId w:val="17"/>
  </w:num>
  <w:num w:numId="25">
    <w:abstractNumId w:val="45"/>
  </w:num>
  <w:num w:numId="26">
    <w:abstractNumId w:val="2"/>
  </w:num>
  <w:num w:numId="27">
    <w:abstractNumId w:val="47"/>
  </w:num>
  <w:num w:numId="28">
    <w:abstractNumId w:val="48"/>
  </w:num>
  <w:num w:numId="29">
    <w:abstractNumId w:val="35"/>
  </w:num>
  <w:num w:numId="30">
    <w:abstractNumId w:val="28"/>
  </w:num>
  <w:num w:numId="31">
    <w:abstractNumId w:val="8"/>
  </w:num>
  <w:num w:numId="32">
    <w:abstractNumId w:val="1"/>
  </w:num>
  <w:num w:numId="33">
    <w:abstractNumId w:val="20"/>
  </w:num>
  <w:num w:numId="34">
    <w:abstractNumId w:val="49"/>
  </w:num>
  <w:num w:numId="35">
    <w:abstractNumId w:val="33"/>
  </w:num>
  <w:num w:numId="36">
    <w:abstractNumId w:val="30"/>
  </w:num>
  <w:num w:numId="37">
    <w:abstractNumId w:val="50"/>
  </w:num>
  <w:num w:numId="38">
    <w:abstractNumId w:val="7"/>
  </w:num>
  <w:num w:numId="39">
    <w:abstractNumId w:val="44"/>
  </w:num>
  <w:num w:numId="40">
    <w:abstractNumId w:val="9"/>
  </w:num>
  <w:num w:numId="41">
    <w:abstractNumId w:val="5"/>
  </w:num>
  <w:num w:numId="42">
    <w:abstractNumId w:val="52"/>
  </w:num>
  <w:num w:numId="43">
    <w:abstractNumId w:val="32"/>
  </w:num>
  <w:num w:numId="44">
    <w:abstractNumId w:val="36"/>
  </w:num>
  <w:num w:numId="45">
    <w:abstractNumId w:val="19"/>
  </w:num>
  <w:num w:numId="46">
    <w:abstractNumId w:val="13"/>
  </w:num>
  <w:num w:numId="47">
    <w:abstractNumId w:val="21"/>
  </w:num>
  <w:num w:numId="48">
    <w:abstractNumId w:val="37"/>
  </w:num>
  <w:num w:numId="49">
    <w:abstractNumId w:val="4"/>
  </w:num>
  <w:num w:numId="50">
    <w:abstractNumId w:val="10"/>
  </w:num>
  <w:num w:numId="51">
    <w:abstractNumId w:val="16"/>
  </w:num>
  <w:num w:numId="52">
    <w:abstractNumId w:val="31"/>
  </w:num>
  <w:num w:numId="53">
    <w:abstractNumId w:val="40"/>
  </w:num>
  <w:num w:numId="5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qFormat/>
    <w:pPr>
      <w:keepNext/>
      <w:keepLines/>
      <w:numPr>
        <w:ilvl w:val="4"/>
        <w:numId w:val="4"/>
      </w:numPr>
      <w:spacing w:before="280" w:beforeLines="50" w:after="290" w:afterLines="50" w:line="376" w:lineRule="auto"/>
      <w:outlineLvl w:val="4"/>
    </w:pPr>
    <w:rPr>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qFormat/>
    <w:pPr>
      <w:keepNext/>
      <w:keepLines/>
      <w:numPr>
        <w:ilvl w:val="6"/>
        <w:numId w:val="4"/>
      </w:numPr>
      <w:spacing w:before="240" w:beforeLines="50" w:after="64" w:afterLines="50" w:line="320" w:lineRule="auto"/>
      <w:outlineLvl w:val="6"/>
    </w:pPr>
    <w:rPr>
      <w:b/>
      <w:bCs/>
      <w:sz w:val="24"/>
      <w:szCs w:val="24"/>
    </w:rPr>
  </w:style>
  <w:style w:type="paragraph" w:styleId="Heading8">
    <w:name w:val="heading 8"/>
    <w:basedOn w:val="Normal"/>
    <w:next w:val="Normal"/>
    <w:link w:val="8"/>
    <w:qFormat/>
    <w:pPr>
      <w:keepNext/>
      <w:keepLines/>
      <w:numPr>
        <w:ilvl w:val="7"/>
        <w:numId w:val="4"/>
      </w:numPr>
      <w:spacing w:before="240" w:beforeLines="50" w:after="64" w:afterLines="50" w:line="320" w:lineRule="auto"/>
      <w:outlineLvl w:val="7"/>
    </w:pPr>
    <w:rPr>
      <w:rFonts w:ascii="Arial" w:eastAsia="黑体" w:hAnsi="Arial"/>
      <w:sz w:val="24"/>
      <w:szCs w:val="24"/>
    </w:rPr>
  </w:style>
  <w:style w:type="paragraph" w:styleId="Heading9">
    <w:name w:val="heading 9"/>
    <w:basedOn w:val="Normal"/>
    <w:next w:val="Normal"/>
    <w:link w:val="9"/>
    <w:qFormat/>
    <w:pPr>
      <w:keepNext/>
      <w:keepLines/>
      <w:numPr>
        <w:ilvl w:val="8"/>
        <w:numId w:val="4"/>
      </w:numPr>
      <w:spacing w:before="240" w:beforeLines="50" w:after="64" w:afterLines="50" w:line="320" w:lineRule="auto"/>
      <w:outlineLvl w:val="8"/>
    </w:pPr>
    <w:rPr>
      <w:rFonts w:ascii="Arial" w:eastAsia="黑体" w:hAnsi="Arial"/>
      <w:sz w:val="24"/>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2">
    <w:name w:val="toc 2"/>
    <w:basedOn w:val="Normal"/>
    <w:next w:val="Normal"/>
    <w:autoRedefine/>
    <w:uiPriority w:val="39"/>
    <w:qFormat/>
    <w:pPr>
      <w:spacing w:beforeLines="50" w:afterLines="50" w:line="360" w:lineRule="auto"/>
      <w:ind w:left="240"/>
      <w:jc w:val="left"/>
    </w:pPr>
    <w:rPr>
      <w:smallCaps/>
      <w:sz w:val="20"/>
    </w:rPr>
  </w:style>
  <w:style w:type="paragraph" w:styleId="TOC3">
    <w:name w:val="toc 3"/>
    <w:basedOn w:val="Normal"/>
    <w:next w:val="Normal"/>
    <w:autoRedefine/>
    <w:uiPriority w:val="39"/>
    <w:qFormat/>
    <w:pPr>
      <w:spacing w:beforeLines="50" w:afterLines="50" w:line="360" w:lineRule="auto"/>
      <w:ind w:left="480"/>
      <w:jc w:val="left"/>
    </w:pPr>
    <w:rPr>
      <w:i/>
      <w:iCs/>
      <w:sz w:val="20"/>
    </w:rPr>
  </w:style>
  <w:style w:type="character" w:customStyle="1" w:styleId="5">
    <w:name w:val="标题 5 字符"/>
    <w:link w:val="Heading5"/>
    <w:qFormat/>
    <w:rPr>
      <w:b/>
      <w:bCs/>
      <w:kern w:val="2"/>
      <w:sz w:val="28"/>
      <w:szCs w:val="28"/>
    </w:rPr>
  </w:style>
  <w:style w:type="character" w:customStyle="1" w:styleId="7">
    <w:name w:val="标题 7 字符"/>
    <w:link w:val="Heading7"/>
    <w:qFormat/>
    <w:rPr>
      <w:b/>
      <w:bCs/>
      <w:kern w:val="2"/>
      <w:sz w:val="24"/>
      <w:szCs w:val="24"/>
    </w:rPr>
  </w:style>
  <w:style w:type="character" w:customStyle="1" w:styleId="8">
    <w:name w:val="标题 8 字符"/>
    <w:link w:val="Heading8"/>
    <w:qFormat/>
    <w:rPr>
      <w:rFonts w:ascii="Arial" w:eastAsia="黑体" w:hAnsi="Arial"/>
      <w:kern w:val="2"/>
      <w:sz w:val="24"/>
      <w:szCs w:val="24"/>
    </w:rPr>
  </w:style>
  <w:style w:type="character" w:customStyle="1" w:styleId="9">
    <w:name w:val="标题 9 字符"/>
    <w:link w:val="Heading9"/>
    <w:qFormat/>
    <w:rPr>
      <w:rFonts w:ascii="Arial" w:eastAsia="黑体" w:hAnsi="Arial"/>
      <w:kern w:val="2"/>
      <w:sz w:val="24"/>
      <w:szCs w:val="21"/>
    </w:rPr>
  </w:style>
  <w:style w:type="paragraph" w:styleId="NormalIndent">
    <w:name w:val="Normal Indent"/>
    <w:basedOn w:val="Normal"/>
    <w:link w:val="a2"/>
    <w:qFormat/>
    <w:pPr>
      <w:spacing w:before="100" w:beforeLines="50" w:beforeAutospacing="1" w:after="100" w:afterLines="50" w:afterAutospacing="1"/>
      <w:ind w:firstLine="200" w:firstLineChars="200"/>
    </w:pPr>
    <w:rPr>
      <w:szCs w:val="24"/>
    </w:rPr>
  </w:style>
  <w:style w:type="character" w:customStyle="1" w:styleId="a2">
    <w:name w:val="正文缩进 字符"/>
    <w:link w:val="NormalIndent"/>
    <w:qFormat/>
    <w:rPr>
      <w:kern w:val="2"/>
      <w:sz w:val="21"/>
      <w:szCs w:val="24"/>
      <w:lang w:eastAsia="zh-CN"/>
    </w:rPr>
  </w:style>
  <w:style w:type="paragraph" w:customStyle="1" w:styleId="Style19">
    <w:name w:val="_Style 19"/>
    <w:basedOn w:val="Normal"/>
    <w:next w:val="ListParagraph"/>
    <w:uiPriority w:val="1"/>
    <w:qFormat/>
    <w:pPr>
      <w:ind w:firstLine="420" w:firstLineChars="200"/>
    </w:pPr>
    <w:rPr>
      <w:rFonts w:ascii="等线" w:eastAsia="等线" w:hAnsi="等线"/>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header" Target="header7.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header" Target="head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header" Target="header10.xml" /><Relationship Id="rId25" Type="http://schemas.openxmlformats.org/officeDocument/2006/relationships/footer" Target="footer12.xml" /><Relationship Id="rId26" Type="http://schemas.openxmlformats.org/officeDocument/2006/relationships/image" Target="media/image1.emf" /><Relationship Id="rId27" Type="http://schemas.openxmlformats.org/officeDocument/2006/relationships/footer" Target="footer13.xml" /><Relationship Id="rId28" Type="http://schemas.openxmlformats.org/officeDocument/2006/relationships/header" Target="head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4.xml" /><Relationship Id="rId31" Type="http://schemas.openxmlformats.org/officeDocument/2006/relationships/header" Target="header13.xm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