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面向全球的气象数据服务能力升级</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ZQCD-26191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国家气象信息中心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面向全球的气象数据服务能力升级</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ZQCD-26191</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合同签订后12个月内完成并具备验收条件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国家气象信息中心</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2026年08月28日 00:00:00</w:t>
      </w:r>
      <w:bookmarkEnd w:id="27"/>
      <w:r>
        <w:rPr>
          <w:rFonts w:ascii="宋体" w:hint="eastAsia"/>
          <w:szCs w:val="21"/>
          <w:highlight w:val="none"/>
        </w:rPr>
        <w:t>至</w:t>
      </w:r>
      <w:bookmarkStart w:id="28" w:name="项目公告_signUpLastTime"/>
      <w:r>
        <w:rPr>
          <w:rFonts w:ascii="宋体" w:hint="eastAsia"/>
          <w:szCs w:val="21"/>
          <w:highlight w:val="none"/>
        </w:rPr>
        <w:t>2026年09月07日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9" w:name="项目公告_openBidTime"/>
      <w:r>
        <w:rPr>
          <w:rFonts w:ascii="宋体" w:hAnsi="宋体" w:hint="eastAsia"/>
          <w:bCs/>
          <w:szCs w:val="21"/>
          <w:highlight w:val="none"/>
        </w:rPr>
        <w:t>2026年09月18日 14:00:00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线上开标</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卢介然</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010-68406642</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国家气象信息中心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邓莉</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010-58993450</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国家气象信息中心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4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4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标的对应的中小企业划分，属于软件和信息技术服务行业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是，代理服务费：2.2万元。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192.000000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192.000000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8"/>
        <w:gridCol w:w="242"/>
        <w:gridCol w:w="1236"/>
        <w:gridCol w:w="242"/>
        <w:gridCol w:w="713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报价分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(8)</w:t>
            </w:r>
          </w:p>
        </w:tc>
        <w:tc>
          <w:tcPr/>
          <w:p>
            <w:r>
              <w:t>评审标准：</w:t>
            </w:r>
          </w:p>
          <w:p>
            <w:r>
              <w:t>1、投标人具有 ISO9000系列或GJB9001B质量管理体系认证；</w:t>
              <w:cr/>
              <w:t>2、投标人具有ISO20000信息技术服务管理体系认证；</w:t>
              <w:cr/>
              <w:t>3、投标人具有ISO27001信息安全管理体系认证；</w:t>
              <w:cr/>
              <w:t>4、知识产权管理体系认证；</w:t>
              <w:cr/>
              <w:t>以上每有一个证书得2分，满分8分。否则不得分。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 （客观分）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(8)</w:t>
            </w:r>
          </w:p>
        </w:tc>
        <w:tc>
          <w:tcPr/>
          <w:p>
            <w:r>
              <w:t>评审标准：</w:t>
            </w:r>
          </w:p>
          <w:p>
            <w:r>
              <w:t>每提供 1份用户满意度证明得2分，最多得8分。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val="restart"/>
          </w:tcPr>
          <w:p>
            <w:r>
              <w:t>服务部分</w:t>
            </w:r>
          </w:p>
        </w:tc>
        <w:tc>
          <w:tcPr/>
          <w:p>
            <w:r>
              <w:t>服务团队（客观分）</w:t>
            </w:r>
          </w:p>
        </w:tc>
        <w:tc>
          <w:tcPr/>
          <w:p>
            <w:r>
              <w:t>区间打分</w:t>
            </w:r>
            <w:r>
              <w:t>(16)</w:t>
            </w:r>
          </w:p>
        </w:tc>
        <w:tc>
          <w:tcPr/>
          <w:p>
            <w:r>
              <w:t>评审标准：</w:t>
            </w:r>
          </w:p>
          <w:p>
            <w:r>
              <w:t>投标人应组成本项目开发服务团队，团队组织结构清晰，应设服务团队负责人（项目经理），人员专业背景齐全。具体如下：</w:t>
              <w:cr/>
              <w:t>1、团队人数至少4人，且驻场人员至少4人的，得4分；</w:t>
              <w:cr/>
              <w:t>2、驻场人员中每有1人具有1年以上软件开发的经验的得1.5分，最多得6分；</w:t>
              <w:cr/>
              <w:t>3、团队负责人应有同类项目开发经验，每提供一个同类项目开发经验得2分，最多得6分。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质保期内需求变更（主观分）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7</w:t>
            </w:r>
          </w:p>
        </w:tc>
        <w:tc>
          <w:tcPr>
            <w:vMerge/>
          </w:tcPr>
          <w:p>
            <w:r>
              <w:t>服务部分</w:t>
            </w:r>
          </w:p>
        </w:tc>
        <w:tc>
          <w:tcPr/>
          <w:p>
            <w:r>
              <w:t>售后服务方案</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建立合理的技术支持机构、明确技术支持的内容，成立专门的技术支持小组，提供完善周到的本地化服务及技术支持能力。售后服务方案内容全面，流程清晰，响应及时。书面承诺服务响应方面提供质保期内的7×24小时电话技术支持和保修，电话支持无法解决的问题必须提供现场技术支持，并应甲方服务保障要求，开展现场保障。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8</w:t>
            </w:r>
          </w:p>
        </w:tc>
        <w:tc>
          <w:tcPr>
            <w:vMerge/>
          </w:tcPr>
          <w:p>
            <w:r>
              <w:t>服务部分</w:t>
            </w:r>
          </w:p>
        </w:tc>
        <w:tc>
          <w:tcPr/>
          <w:p>
            <w:r>
              <w:t>培训方案</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二档：提供培训方案，但培训方案不完整（指缺失培训计划、培训材料（讲义）、培训课表、主要授课教师介绍任意一项）；</w:t>
              <w:cr/>
              <w:t>三档：提供培训方案，培训方案完整，但课程设计重点不突出或针对性不强，基本满足采购文件需求；</w:t>
              <w:cr/>
              <w:t>四档：提供培训方案，培训方案完整，课程设计重点突出、针对性强，完全满足采购文件需求。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质量保障与实施方案</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10</w:t>
            </w:r>
          </w:p>
        </w:tc>
        <w:tc>
          <w:tcPr>
            <w:vMerge w:val="restart"/>
          </w:tcPr>
          <w:p>
            <w:r>
              <w:t>技术部分</w:t>
            </w:r>
          </w:p>
        </w:tc>
        <w:tc>
          <w:tcPr/>
          <w:p>
            <w:r>
              <w:t>软件开发计划</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11</w:t>
            </w:r>
          </w:p>
        </w:tc>
        <w:tc>
          <w:tcPr>
            <w:vMerge/>
          </w:tcPr>
          <w:p>
            <w:r>
              <w:t>技术部分</w:t>
            </w:r>
          </w:p>
        </w:tc>
        <w:tc>
          <w:tcPr/>
          <w:p>
            <w:r>
              <w:t>软件功能开发需求分析（主观分）</w:t>
            </w:r>
          </w:p>
        </w:tc>
        <w:tc>
          <w:tcPr/>
          <w:p>
            <w:r>
              <w:t>勾选打分</w:t>
            </w:r>
            <w:r>
              <w:t>(4)</w:t>
            </w:r>
          </w:p>
        </w:tc>
        <w:tc>
          <w:tcPr/>
          <w:p>
            <w:r>
              <w:t>评审标准：</w:t>
            </w:r>
          </w:p>
          <w:p>
            <w:r>
              <w:t>一档0分</w:t>
              <w:cr/>
              <w:t>二档1分</w:t>
              <w:cr/>
              <w:t>三档2分</w:t>
              <w:cr/>
              <w:t>四档4分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12</w:t>
            </w:r>
          </w:p>
        </w:tc>
        <w:tc>
          <w:tcPr>
            <w:vMerge/>
          </w:tcPr>
          <w:p>
            <w:r>
              <w:t>技术部分</w:t>
            </w:r>
          </w:p>
        </w:tc>
        <w:tc>
          <w:tcPr/>
          <w:p>
            <w:r>
              <w:t>软件非功能需求分析（主观分）</w:t>
            </w:r>
          </w:p>
        </w:tc>
        <w:tc>
          <w:tcPr/>
          <w:p>
            <w:r>
              <w:t>勾选打分</w:t>
            </w:r>
            <w:r>
              <w:t>(4)</w:t>
            </w:r>
          </w:p>
        </w:tc>
        <w:tc>
          <w:tcPr/>
          <w:p>
            <w:r>
              <w:t>评审标准：</w:t>
            </w:r>
          </w:p>
          <w:p>
            <w:r>
              <w:t>一档0分</w:t>
              <w:cr/>
              <w:t>二档1分</w:t>
              <w:cr/>
              <w:t>三档2分</w:t>
              <w:cr/>
              <w:t>四档4分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13</w:t>
            </w:r>
          </w:p>
        </w:tc>
        <w:tc>
          <w:tcPr>
            <w:vMerge/>
          </w:tcPr>
          <w:p>
            <w:r>
              <w:t>技术部分</w:t>
            </w:r>
          </w:p>
        </w:tc>
        <w:tc>
          <w:tcPr/>
          <w:p>
            <w:r>
              <w:t>软件数据需求分析（主观分）</w:t>
            </w:r>
          </w:p>
        </w:tc>
        <w:tc>
          <w:tcPr/>
          <w:p>
            <w:r>
              <w:t>勾选打分</w:t>
            </w:r>
            <w:r>
              <w:t>(4)</w:t>
            </w:r>
          </w:p>
        </w:tc>
        <w:tc>
          <w:tcPr/>
          <w:p>
            <w:r>
              <w:t>评审标准：</w:t>
            </w:r>
          </w:p>
          <w:p>
            <w:r>
              <w:t>一档0分</w:t>
              <w:cr/>
              <w:t>二档1分</w:t>
              <w:cr/>
              <w:t>三档2分</w:t>
              <w:cr/>
              <w:t>四档4分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14</w:t>
            </w:r>
          </w:p>
        </w:tc>
        <w:tc>
          <w:tcPr>
            <w:vMerge/>
          </w:tcPr>
          <w:p>
            <w:r>
              <w:t>技术部分</w:t>
            </w:r>
          </w:p>
        </w:tc>
        <w:tc>
          <w:tcPr/>
          <w:p>
            <w:r>
              <w:t>软件接口需求分析（主观分）</w:t>
            </w:r>
          </w:p>
        </w:tc>
        <w:tc>
          <w:tcPr/>
          <w:p>
            <w:r>
              <w:t>勾选打分</w:t>
            </w:r>
            <w:r>
              <w:t>(4)</w:t>
            </w:r>
          </w:p>
        </w:tc>
        <w:tc>
          <w:tcPr/>
          <w:p>
            <w:r>
              <w:t>评审标准：</w:t>
            </w:r>
          </w:p>
          <w:p>
            <w:r>
              <w:t>一档0分</w:t>
              <w:cr/>
              <w:t>二档1分</w:t>
              <w:cr/>
              <w:t>三档2分</w:t>
              <w:cr/>
              <w:t>四档4分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15</w:t>
            </w:r>
          </w:p>
        </w:tc>
        <w:tc>
          <w:tcPr>
            <w:vMerge/>
          </w:tcPr>
          <w:p>
            <w:r>
              <w:t>技术部分</w:t>
            </w:r>
          </w:p>
        </w:tc>
        <w:tc>
          <w:tcPr/>
          <w:p>
            <w:r>
              <w:t>软件关键技术识别（主观分）</w:t>
            </w:r>
          </w:p>
        </w:tc>
        <w:tc>
          <w:tcPr/>
          <w:p>
            <w:r>
              <w:t>勾选打分</w:t>
            </w:r>
            <w:r>
              <w:t>(4)</w:t>
            </w:r>
          </w:p>
        </w:tc>
        <w:tc>
          <w:tcPr/>
          <w:p>
            <w:r>
              <w:t>评审标准：</w:t>
            </w:r>
          </w:p>
          <w:p>
            <w:r>
              <w:t>一档0分</w:t>
              <w:cr/>
              <w:t>二档1分</w:t>
              <w:cr/>
              <w:t>三档2分</w:t>
              <w:cr/>
              <w:t>四档4分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16</w:t>
            </w:r>
          </w:p>
        </w:tc>
        <w:tc>
          <w:tcPr>
            <w:vMerge/>
          </w:tcPr>
          <w:p>
            <w:r>
              <w:t>技术部分</w:t>
            </w:r>
          </w:p>
        </w:tc>
        <w:tc>
          <w:tcPr/>
          <w:p>
            <w:r>
              <w:t>系统整体架构技术方案（主观分）</w:t>
            </w:r>
          </w:p>
        </w:tc>
        <w:tc>
          <w:tcPr/>
          <w:p>
            <w:r>
              <w:t>勾选打分</w:t>
            </w:r>
            <w:r>
              <w:t>(4)</w:t>
            </w:r>
          </w:p>
        </w:tc>
        <w:tc>
          <w:tcPr/>
          <w:p>
            <w:r>
              <w:t>评审标准：</w:t>
            </w:r>
          </w:p>
          <w:p>
            <w:r>
              <w:t>一档0分</w:t>
              <w:cr/>
              <w:t>二档1分</w:t>
              <w:cr/>
              <w:t>三档2分</w:t>
              <w:cr/>
              <w:t>四档4分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17</w:t>
            </w:r>
          </w:p>
        </w:tc>
        <w:tc>
          <w:tcPr>
            <w:vMerge/>
          </w:tcPr>
          <w:p>
            <w:r>
              <w:t>技术部分</w:t>
            </w:r>
          </w:p>
        </w:tc>
        <w:tc>
          <w:tcPr/>
          <w:p>
            <w:r>
              <w:t>系统接口设计技术方案（主观分）</w:t>
            </w:r>
          </w:p>
        </w:tc>
        <w:tc>
          <w:tcPr/>
          <w:p>
            <w:r>
              <w:t>勾选打分</w:t>
            </w:r>
            <w:r>
              <w:t>(4)</w:t>
            </w:r>
          </w:p>
        </w:tc>
        <w:tc>
          <w:tcPr/>
          <w:p>
            <w:r>
              <w:t>评审标准：</w:t>
            </w:r>
          </w:p>
          <w:p>
            <w:r>
              <w:t>一档0分</w:t>
              <w:cr/>
              <w:t>二档1分</w:t>
              <w:cr/>
              <w:t>三档2分</w:t>
              <w:cr/>
              <w:t>四档4分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模块设计技术方案（主观分）</w:t>
            </w:r>
          </w:p>
        </w:tc>
        <w:tc>
          <w:tcPr/>
          <w:p>
            <w:r>
              <w:t>勾选打分</w:t>
            </w:r>
            <w:r>
              <w:t>(4)</w:t>
            </w:r>
          </w:p>
        </w:tc>
        <w:tc>
          <w:tcPr/>
          <w:p>
            <w:r>
              <w:t>评审标准：</w:t>
            </w:r>
          </w:p>
          <w:p>
            <w:r>
              <w:t>一档0分</w:t>
              <w:cr/>
              <w:t>二档1分</w:t>
              <w:cr/>
              <w:t>三档2分</w:t>
              <w:cr/>
              <w:t>四档4分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19</w:t>
            </w:r>
          </w:p>
        </w:tc>
        <w:tc>
          <w:tcPr>
            <w:vMerge/>
          </w:tcPr>
          <w:p>
            <w:r>
              <w:t>技术部分</w:t>
            </w:r>
          </w:p>
        </w:tc>
        <w:tc>
          <w:tcPr/>
          <w:p>
            <w:r>
              <w:t>项目需求理解（主观分）</w:t>
            </w:r>
          </w:p>
        </w:tc>
        <w:tc>
          <w:tcPr/>
          <w:p>
            <w:r>
              <w:t>勾选打分</w:t>
            </w:r>
            <w:r>
              <w:t>(2)</w:t>
            </w:r>
          </w:p>
        </w:tc>
        <w:tc>
          <w:tcPr/>
          <w:p>
            <w:r>
              <w:t>评审标准：</w:t>
            </w:r>
          </w:p>
          <w:p>
            <w:r>
              <w:t>一档0分</w:t>
              <w:cr/>
              <w:t>二档0.5分</w:t>
              <w:cr/>
              <w:t>三档1分</w:t>
              <w:cr/>
              <w:t>四档2分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20</w:t>
            </w:r>
          </w:p>
        </w:tc>
        <w:tc>
          <w:tcPr>
            <w:vMerge/>
          </w:tcPr>
          <w:p>
            <w:r>
              <w:t>技术部分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rsidR="0095703D" w:rsidP="0095703D">
      <w:pPr>
        <w:spacing w:before="156" w:beforeLines="50"/>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w:t>
      </w:r>
      <w:r>
        <w:rPr>
          <w:rFonts w:ascii="宋体" w:hAnsi="宋体" w:hint="eastAsia"/>
          <w:b/>
          <w:sz w:val="30"/>
          <w:szCs w:val="30"/>
        </w:rPr>
        <w:t>章  采购需求</w:t>
      </w:r>
    </w:p>
    <w:p w:rsidR="0095703D" w:rsidP="0095703D">
      <w:pPr>
        <w:ind w:firstLine="508" w:firstLineChars="242"/>
        <w:jc w:val="left"/>
        <w:rPr>
          <w:rFonts w:ascii="Times New Roman" w:hAnsi="Times New Roman"/>
          <w:b/>
          <w:szCs w:val="21"/>
        </w:rPr>
      </w:pPr>
    </w:p>
    <w:p w:rsidR="0095703D" w:rsidP="0095703D">
      <w:pPr>
        <w:pStyle w:val="Heading1"/>
        <w:keepNext/>
        <w:keepLines/>
        <w:widowControl w:val="0"/>
        <w:numPr>
          <w:numId w:val="4"/>
        </w:numPr>
        <w:tabs>
          <w:tab w:val="left" w:pos="480"/>
        </w:tabs>
        <w:spacing w:before="156" w:beforeLines="50" w:after="156" w:afterLines="50" w:line="360" w:lineRule="auto"/>
        <w:ind w:left="425" w:firstLine="0"/>
        <w:jc w:val="left"/>
      </w:pPr>
      <w:bookmarkStart w:id="61" w:name="_Toc236245457"/>
      <w:r>
        <w:rPr>
          <w:rFonts w:hint="eastAsia"/>
        </w:rPr>
        <w:t>建设目标</w:t>
      </w:r>
      <w:bookmarkEnd w:id="61"/>
    </w:p>
    <w:p w:rsidR="0095703D" w:rsidP="0095703D">
      <w:pPr>
        <w:ind w:firstLine="480"/>
      </w:pPr>
      <w:r>
        <w:rPr>
          <w:rFonts w:hint="eastAsia"/>
        </w:rPr>
        <w:t>围绕面向</w:t>
      </w:r>
      <w:r>
        <w:t>全球的</w:t>
      </w:r>
      <w:r>
        <w:rPr>
          <w:rFonts w:hint="eastAsia"/>
        </w:rPr>
        <w:t>气象数据服务能力提升需求，进一步完善气象科学数据的组织管理、便捷获取、共享发布、应用服务和运行保障体系，增强气象</w:t>
      </w:r>
      <w:r>
        <w:t>数据</w:t>
      </w:r>
      <w:r>
        <w:rPr>
          <w:rFonts w:hint="eastAsia"/>
        </w:rPr>
        <w:t>综合服务能力，提升气象科学数据服务的便捷性、稳定性和安全性。</w:t>
      </w:r>
    </w:p>
    <w:p w:rsidR="0095703D" w:rsidP="0095703D">
      <w:pPr>
        <w:spacing w:before="156" w:beforeLines="50" w:after="156" w:afterLines="50"/>
        <w:ind w:firstLine="480"/>
      </w:pPr>
      <w:r>
        <w:rPr>
          <w:rFonts w:hint="eastAsia"/>
        </w:rPr>
        <w:t>1</w:t>
      </w:r>
      <w:r>
        <w:rPr>
          <w:rFonts w:hint="eastAsia"/>
        </w:rPr>
        <w:t>、提升海量气象科学数据便捷服务能力。优化数据存储组织和处理策略，完善数据预拆分、并发调度与限流、智能缓存与加速等机制，强化数据检索、批量下载、接口调用、在线分析、格式转换、数据发布和权限管理能力，提高数据获取与应用效率。</w:t>
      </w:r>
    </w:p>
    <w:p w:rsidR="0095703D" w:rsidP="0095703D">
      <w:pPr>
        <w:spacing w:before="156" w:beforeLines="50" w:after="156" w:afterLines="50"/>
        <w:ind w:firstLine="480"/>
      </w:pPr>
      <w:r>
        <w:rPr>
          <w:rFonts w:hint="eastAsia"/>
        </w:rPr>
        <w:t>2</w:t>
      </w:r>
      <w:r>
        <w:rPr>
          <w:rFonts w:hint="eastAsia"/>
        </w:rPr>
        <w:t>、提升中国</w:t>
      </w:r>
      <w:r>
        <w:t>气象数据网</w:t>
      </w:r>
      <w:r>
        <w:rPr>
          <w:rFonts w:hint="eastAsia"/>
        </w:rPr>
        <w:t>国际服务能力。优化国际门户的数据检索、产品浏览、数据申请和下载流程，完善海外服务环境、云节点资源管理、数据同步、访问加速和运行监控能力，提高面向国际用户和重点区域的数据服务覆盖范围与访问效率。</w:t>
      </w:r>
    </w:p>
    <w:p w:rsidR="0095703D" w:rsidP="0095703D">
      <w:pPr>
        <w:spacing w:before="156" w:beforeLines="50" w:after="156" w:afterLines="50"/>
        <w:ind w:firstLine="480"/>
      </w:pPr>
      <w:r>
        <w:rPr>
          <w:rFonts w:hint="eastAsia"/>
        </w:rPr>
        <w:t>3</w:t>
      </w:r>
      <w:r>
        <w:rPr>
          <w:rFonts w:hint="eastAsia"/>
        </w:rPr>
        <w:t>、完善科研成果数据汇交管理能力。规范科研项目成果数据汇交流程，完善数据接收登记、完整性检查、格式与元数据校验、分类编目、长期保存、问题反馈和凭证出具等功能，为成果数据规范管理、项目验收和持续共享利用提供支撑。</w:t>
      </w:r>
    </w:p>
    <w:p w:rsidR="0095703D" w:rsidP="0095703D">
      <w:pPr>
        <w:spacing w:before="156" w:beforeLines="50" w:after="156" w:afterLines="50"/>
        <w:ind w:firstLine="480"/>
      </w:pPr>
      <w:r>
        <w:rPr>
          <w:rFonts w:hint="eastAsia"/>
        </w:rPr>
        <w:t>4</w:t>
      </w:r>
      <w:r>
        <w:rPr>
          <w:rFonts w:hint="eastAsia"/>
        </w:rPr>
        <w:t>、增强专题专栏和专项服务支撑能力。围绕不同业务场景，完善专题信息展示、用户身份与权限管理、数据填报与上传、文件下载、成果提交、公告发布和后台管理等通用服务能力，提升专题专项业务的建设效率和服务保障水平。</w:t>
      </w:r>
    </w:p>
    <w:p w:rsidR="0095703D" w:rsidP="0095703D">
      <w:pPr>
        <w:spacing w:before="156" w:beforeLines="50" w:after="156" w:afterLines="50"/>
        <w:ind w:firstLine="480"/>
      </w:pPr>
      <w:r>
        <w:rPr>
          <w:rFonts w:hint="eastAsia"/>
        </w:rPr>
        <w:t>5</w:t>
      </w:r>
      <w:r>
        <w:rPr>
          <w:rFonts w:hint="eastAsia"/>
        </w:rPr>
        <w:t>、强化系统运行维护和安全保障能力。完善服务器、数据库、网络带宽和云资源管理，加强数据接入链路、地图服务、业务接口和数据产品运行监控，健全异常处置、日志记录、故障告警、安全漏洞修复和网络攻击防护机制，保障各项业务安全、稳定、连续运行。</w:t>
      </w:r>
    </w:p>
    <w:p w:rsidR="0095703D" w:rsidRPr="001A60DE" w:rsidP="0095703D">
      <w:pPr>
        <w:spacing w:before="156" w:beforeLines="50" w:after="156" w:afterLines="50"/>
        <w:ind w:firstLine="480"/>
      </w:pPr>
      <w:r>
        <w:rPr>
          <w:rFonts w:hint="eastAsia"/>
        </w:rPr>
        <w:t>6</w:t>
      </w:r>
      <w:r>
        <w:rPr>
          <w:rFonts w:hint="eastAsia"/>
        </w:rPr>
        <w:t>、提升宣传科普和信息服务能力。完善宣传内容策划、视觉设计、专题页面开发、内容更新和发布保障机制，形成涵盖多种载体和应用场景的宣传科普服务体系，提升气象科学数据及相关业务成果的传播和服务能力。</w:t>
      </w:r>
    </w:p>
    <w:p w:rsidR="0095703D" w:rsidP="0095703D">
      <w:pPr>
        <w:pStyle w:val="Heading1"/>
        <w:keepNext/>
        <w:keepLines/>
        <w:widowControl w:val="0"/>
        <w:numPr>
          <w:numId w:val="4"/>
        </w:numPr>
        <w:tabs>
          <w:tab w:val="left" w:pos="480"/>
        </w:tabs>
        <w:spacing w:before="156" w:beforeLines="50" w:after="156" w:afterLines="50" w:line="360" w:lineRule="auto"/>
        <w:ind w:left="425" w:firstLine="0"/>
        <w:jc w:val="left"/>
      </w:pPr>
      <w:bookmarkStart w:id="62" w:name="_Toc236245458"/>
      <w:r>
        <w:rPr>
          <w:rFonts w:hint="eastAsia"/>
        </w:rPr>
        <w:t>功能要求</w:t>
      </w:r>
      <w:bookmarkEnd w:id="62"/>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63" w:name="_Toc236245459"/>
      <w:r>
        <w:t>海量科学数据的便捷服务</w:t>
      </w:r>
      <w:bookmarkEnd w:id="63"/>
    </w:p>
    <w:p w:rsidR="0095703D" w:rsidP="0095703D">
      <w:pPr>
        <w:ind w:firstLine="480"/>
      </w:pPr>
      <w:r>
        <w:rPr>
          <w:rFonts w:hint="eastAsia"/>
        </w:rPr>
        <w:t>（</w:t>
      </w:r>
      <w:r>
        <w:rPr>
          <w:rFonts w:hint="eastAsia"/>
        </w:rPr>
        <w:t>1</w:t>
      </w:r>
      <w:r>
        <w:rPr>
          <w:rFonts w:hint="eastAsia"/>
        </w:rPr>
        <w:t>）格点化数据存储策略优化。设计分块粒度、目录规则、索引字段和元数据映射；调整存储目录与服务读取适配。</w:t>
      </w:r>
    </w:p>
    <w:p w:rsidR="0095703D" w:rsidP="0095703D">
      <w:pPr>
        <w:ind w:firstLine="480"/>
      </w:pPr>
      <w:r>
        <w:rPr>
          <w:rFonts w:hint="eastAsia"/>
        </w:rPr>
        <w:t>（</w:t>
      </w:r>
      <w:r>
        <w:rPr>
          <w:rFonts w:hint="eastAsia"/>
        </w:rPr>
        <w:t>2</w:t>
      </w:r>
      <w:r>
        <w:rPr>
          <w:rFonts w:hint="eastAsia"/>
        </w:rPr>
        <w:t>）格点化数据预拆分机制。设计按时间、区域、要素、层次等维度的预拆分规则；开发预拆分任务调度、状态记录、异常重跑和结果校验功能；完成与下载服务的路径匹配、命中判断和兜底实时处理逻辑。</w:t>
      </w:r>
    </w:p>
    <w:p w:rsidR="0095703D" w:rsidP="0095703D">
      <w:pPr>
        <w:ind w:firstLine="480"/>
      </w:pPr>
      <w:r>
        <w:rPr>
          <w:rFonts w:hint="eastAsia"/>
        </w:rPr>
        <w:t>（</w:t>
      </w:r>
      <w:r>
        <w:rPr>
          <w:rFonts w:hint="eastAsia"/>
        </w:rPr>
        <w:t>3</w:t>
      </w:r>
      <w:r>
        <w:rPr>
          <w:rFonts w:hint="eastAsia"/>
        </w:rPr>
        <w:t>）并发调度与限流优化。完善下载、裁剪、接口调用等高并发任务队列，建设用户级</w:t>
      </w:r>
      <w:r>
        <w:rPr>
          <w:rFonts w:hint="eastAsia"/>
        </w:rPr>
        <w:t>/</w:t>
      </w:r>
      <w:r>
        <w:rPr>
          <w:rFonts w:hint="eastAsia"/>
        </w:rPr>
        <w:t>任务级并发控制、优先级调度、限流阈值和超时释放机制；增加任务状态回写、异常告警、排队提示和后台参数配置。</w:t>
      </w:r>
    </w:p>
    <w:p w:rsidR="0095703D" w:rsidP="0095703D">
      <w:pPr>
        <w:ind w:firstLine="480"/>
      </w:pPr>
      <w:r>
        <w:rPr>
          <w:rFonts w:hint="eastAsia"/>
        </w:rPr>
        <w:t>（</w:t>
      </w:r>
      <w:r>
        <w:rPr>
          <w:rFonts w:hint="eastAsia"/>
        </w:rPr>
        <w:t>4</w:t>
      </w:r>
      <w:r>
        <w:rPr>
          <w:rFonts w:hint="eastAsia"/>
        </w:rPr>
        <w:t>）智能缓存与数据加速。建设热点数据识别、缓存生成、缓存更新、过期清理和命中统计功能；对常用数据产品、常用时间段、常用区域提供缓存加速；同时适配前端下载、接口服务和后台监控统计。</w:t>
      </w:r>
    </w:p>
    <w:p w:rsidR="0095703D" w:rsidP="0095703D">
      <w:pPr>
        <w:ind w:firstLine="480"/>
      </w:pPr>
      <w:r>
        <w:rPr>
          <w:rFonts w:hint="eastAsia"/>
        </w:rPr>
        <w:t>（</w:t>
      </w:r>
      <w:r>
        <w:rPr>
          <w:rFonts w:hint="eastAsia"/>
        </w:rPr>
        <w:t>5</w:t>
      </w:r>
      <w:r>
        <w:rPr>
          <w:rFonts w:hint="eastAsia"/>
        </w:rPr>
        <w:t>）在线分析与工具服务。推出数据在线可视化、动态叠加展示；提供工具包下载，支持针对数据本地化分析处理、格式转换等便捷功能。</w:t>
      </w:r>
    </w:p>
    <w:p w:rsidR="0095703D" w:rsidP="0095703D">
      <w:pPr>
        <w:ind w:firstLine="480"/>
      </w:pPr>
      <w:r>
        <w:rPr>
          <w:rFonts w:hint="eastAsia"/>
        </w:rPr>
        <w:t>（</w:t>
      </w:r>
      <w:r>
        <w:rPr>
          <w:rFonts w:hint="eastAsia"/>
        </w:rPr>
        <w:t>6</w:t>
      </w:r>
      <w:r>
        <w:rPr>
          <w:rFonts w:hint="eastAsia"/>
        </w:rPr>
        <w:t>）多途径数据获取接口。优化数据检索、订单申请、批量下载、接口调用、工具下载等获取链路；开发一键下载、断点续传提示、接口参数示例、下载任务查询和错误提示功能；完善前后台联动和操作日志记录。</w:t>
      </w:r>
    </w:p>
    <w:p w:rsidR="0095703D" w:rsidP="0095703D">
      <w:pPr>
        <w:ind w:firstLine="480"/>
      </w:pPr>
      <w:r>
        <w:rPr>
          <w:rFonts w:hint="eastAsia"/>
        </w:rPr>
        <w:t>（</w:t>
      </w:r>
      <w:r>
        <w:rPr>
          <w:rFonts w:hint="eastAsia"/>
        </w:rPr>
        <w:t>7</w:t>
      </w:r>
      <w:r>
        <w:rPr>
          <w:rFonts w:hint="eastAsia"/>
        </w:rPr>
        <w:t>）数据上新与权限管理。支撑新增再分析批次数据发布；配置不同用户类型的数据访问权限、申请审核、可见范围控制和访问日志统计。</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64" w:name="_Toc236245460"/>
      <w:r>
        <w:t>优化</w:t>
      </w:r>
      <w:r>
        <w:rPr>
          <w:rFonts w:hint="eastAsia"/>
        </w:rPr>
        <w:t>中国</w:t>
      </w:r>
      <w:r>
        <w:t>气象数据网</w:t>
      </w:r>
      <w:r>
        <w:rPr>
          <w:rFonts w:hint="eastAsia"/>
        </w:rPr>
        <w:t>服务</w:t>
      </w:r>
      <w:r>
        <w:t>功能</w:t>
      </w:r>
      <w:bookmarkEnd w:id="64"/>
    </w:p>
    <w:p w:rsidR="0095703D" w:rsidP="0095703D">
      <w:pPr>
        <w:ind w:firstLine="480"/>
      </w:pPr>
      <w:r>
        <w:rPr>
          <w:rFonts w:hint="eastAsia"/>
        </w:rPr>
        <w:t>（</w:t>
      </w:r>
      <w:r>
        <w:rPr>
          <w:rFonts w:hint="eastAsia"/>
        </w:rPr>
        <w:t>1</w:t>
      </w:r>
      <w:r>
        <w:rPr>
          <w:rFonts w:hint="eastAsia"/>
        </w:rPr>
        <w:t>）</w:t>
      </w:r>
      <w:r w:rsidRPr="007537E7">
        <w:t>优化气象科学数据国际门户功能，改造数据检索、产品浏览、数据申请和下载等页面及业务流程，规范英文内容和操作提示，完善页面响应与交互逻辑，提升国际用户使用体验；</w:t>
      </w:r>
    </w:p>
    <w:p w:rsidR="009C15B9" w:rsidRPr="009C15B9" w:rsidP="0095703D">
      <w:pPr>
        <w:ind w:firstLine="480"/>
      </w:pPr>
      <w:r>
        <w:rPr>
          <w:rFonts w:hint="eastAsia"/>
        </w:rPr>
        <w:t>（</w:t>
      </w:r>
      <w:r>
        <w:rPr>
          <w:rFonts w:hint="eastAsia"/>
        </w:rPr>
        <w:t>2</w:t>
      </w:r>
      <w:r>
        <w:rPr>
          <w:rFonts w:hint="eastAsia"/>
        </w:rPr>
        <w:t>）</w:t>
      </w:r>
      <w:r w:rsidRPr="009C15B9">
        <w:rPr>
          <w:rFonts w:hint="eastAsia"/>
        </w:rPr>
        <w:t>基于中国气象数据网中英文版，支撑第二代大气再分析产品针对国内外用户的统一服务。构建安全隔离的服务流程，实现数据高效处理，依托海外云节点探索跨境加速访问</w:t>
      </w:r>
      <w:r>
        <w:rPr>
          <w:rFonts w:hint="eastAsia"/>
        </w:rPr>
        <w:t>。</w:t>
      </w:r>
    </w:p>
    <w:p w:rsidR="0095703D" w:rsidP="0095703D">
      <w:pPr>
        <w:ind w:firstLine="480"/>
      </w:pPr>
      <w:r>
        <w:rPr>
          <w:rFonts w:hint="eastAsia"/>
        </w:rPr>
        <w:t>（</w:t>
      </w:r>
      <w:r w:rsidR="009C15B9">
        <w:rPr>
          <w:rFonts w:hint="eastAsia"/>
        </w:rPr>
        <w:t>3</w:t>
      </w:r>
      <w:r>
        <w:rPr>
          <w:rFonts w:hint="eastAsia"/>
        </w:rPr>
        <w:t>）</w:t>
      </w:r>
      <w:r w:rsidRPr="007537E7">
        <w:t>结合不同国家和地区用户需求，</w:t>
      </w:r>
      <w:bookmarkStart w:id="65" w:name="OLE_LINK1"/>
      <w:r w:rsidRPr="007537E7">
        <w:t>优化数据产品配置、访问路径和服务策略，加强访问权限及安全管理，</w:t>
      </w:r>
      <w:bookmarkEnd w:id="65"/>
      <w:r w:rsidRPr="007537E7">
        <w:t>增强高并发访问条件下的数据服务</w:t>
      </w:r>
      <w:r>
        <w:rPr>
          <w:rFonts w:hint="eastAsia"/>
        </w:rPr>
        <w:t>体验</w:t>
      </w:r>
      <w:r>
        <w:t>，</w:t>
      </w:r>
      <w:r w:rsidRPr="007537E7">
        <w:t>提升重点区域的数据服务覆盖范围和需求匹配能力</w:t>
      </w:r>
      <w:r>
        <w:rPr>
          <w:rFonts w:hint="eastAsia"/>
        </w:rPr>
        <w:t>。</w:t>
      </w:r>
    </w:p>
    <w:p w:rsidR="0095703D" w:rsidP="0095703D">
      <w:pPr>
        <w:ind w:firstLine="480"/>
      </w:pPr>
      <w:r>
        <w:rPr>
          <w:rFonts w:hint="eastAsia"/>
        </w:rPr>
        <w:t>（</w:t>
      </w:r>
      <w:r w:rsidR="009C15B9">
        <w:rPr>
          <w:rFonts w:hint="eastAsia"/>
        </w:rPr>
        <w:t>4</w:t>
      </w:r>
      <w:r>
        <w:rPr>
          <w:rFonts w:hint="eastAsia"/>
        </w:rPr>
        <w:t>）与</w:t>
      </w:r>
      <w:r w:rsidRPr="00412C0A">
        <w:t>MOID</w:t>
      </w:r>
      <w:r w:rsidRPr="00412C0A">
        <w:t>业务</w:t>
      </w:r>
      <w:r>
        <w:rPr>
          <w:rFonts w:hint="eastAsia"/>
        </w:rPr>
        <w:t>对接</w:t>
      </w:r>
      <w:r>
        <w:t>，</w:t>
      </w:r>
      <w:r>
        <w:rPr>
          <w:rFonts w:hint="eastAsia"/>
        </w:rPr>
        <w:t>增加</w:t>
      </w:r>
      <w:r w:rsidRPr="00412C0A">
        <w:t>数据网水印处理流程</w:t>
      </w:r>
      <w:r>
        <w:rPr>
          <w:rFonts w:hint="eastAsia"/>
        </w:rPr>
        <w:t>、</w:t>
      </w:r>
      <w:r w:rsidRPr="00412C0A">
        <w:t>功能改造，保障相关数据处理与服务流程稳定运行。</w:t>
      </w:r>
    </w:p>
    <w:p w:rsidR="0095703D" w:rsidP="0095703D">
      <w:pPr>
        <w:ind w:firstLine="480"/>
      </w:pPr>
      <w:r>
        <w:rPr>
          <w:rFonts w:hint="eastAsia"/>
        </w:rPr>
        <w:t>（</w:t>
      </w:r>
      <w:r w:rsidR="009C15B9">
        <w:rPr>
          <w:rFonts w:hint="eastAsia"/>
        </w:rPr>
        <w:t>5</w:t>
      </w:r>
      <w:r>
        <w:rPr>
          <w:rFonts w:hint="eastAsia"/>
        </w:rPr>
        <w:t>）优化用户</w:t>
      </w:r>
      <w:r>
        <w:t>注册</w:t>
      </w:r>
      <w:r>
        <w:rPr>
          <w:rFonts w:hint="eastAsia"/>
        </w:rPr>
        <w:t>、用户</w:t>
      </w:r>
      <w:r>
        <w:t>审核管理</w:t>
      </w:r>
      <w:r>
        <w:rPr>
          <w:rFonts w:hint="eastAsia"/>
        </w:rPr>
        <w:t>，</w:t>
      </w:r>
      <w:r>
        <w:t>按照</w:t>
      </w:r>
      <w:r>
        <w:rPr>
          <w:rFonts w:hint="eastAsia"/>
        </w:rPr>
        <w:t>安全</w:t>
      </w:r>
      <w:r>
        <w:t>管理要求，</w:t>
      </w:r>
      <w:r>
        <w:rPr>
          <w:rFonts w:hint="eastAsia"/>
        </w:rPr>
        <w:t>改进</w:t>
      </w:r>
      <w:r>
        <w:t>用户</w:t>
      </w:r>
      <w:r>
        <w:rPr>
          <w:rFonts w:hint="eastAsia"/>
        </w:rPr>
        <w:t>验证核查</w:t>
      </w:r>
      <w:r>
        <w:t>功能</w:t>
      </w:r>
      <w:r>
        <w:rPr>
          <w:rFonts w:hint="eastAsia"/>
        </w:rPr>
        <w:t>。</w:t>
      </w:r>
      <w:r>
        <w:t>细化</w:t>
      </w:r>
      <w:r>
        <w:rPr>
          <w:rFonts w:hint="eastAsia"/>
        </w:rPr>
        <w:t>行业</w:t>
      </w:r>
      <w:r>
        <w:t>分类管理。</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66" w:name="_Toc236245461"/>
      <w:r>
        <w:rPr>
          <w:rFonts w:hint="eastAsia"/>
        </w:rPr>
        <w:t>优化</w:t>
      </w:r>
      <w:r>
        <w:t>海外云</w:t>
      </w:r>
      <w:r>
        <w:rPr>
          <w:rFonts w:hint="eastAsia"/>
        </w:rPr>
        <w:t>服务</w:t>
      </w:r>
      <w:r>
        <w:t>节点</w:t>
      </w:r>
      <w:bookmarkEnd w:id="66"/>
    </w:p>
    <w:p w:rsidR="0095703D" w:rsidP="0095703D">
      <w:pPr>
        <w:ind w:firstLine="480"/>
      </w:pPr>
      <w:r>
        <w:rPr>
          <w:rFonts w:hint="eastAsia"/>
        </w:rPr>
        <w:t>（</w:t>
      </w:r>
      <w:r>
        <w:rPr>
          <w:rFonts w:hint="eastAsia"/>
        </w:rPr>
        <w:t>1</w:t>
      </w:r>
      <w:r>
        <w:rPr>
          <w:rFonts w:hint="eastAsia"/>
        </w:rPr>
        <w:t>）优化</w:t>
      </w:r>
      <w:r w:rsidRPr="00335FA4">
        <w:t>海外云服务节点，实现资源配置、运行状态及费用使用情况的集中管理；</w:t>
      </w:r>
    </w:p>
    <w:p w:rsidR="0095703D" w:rsidP="0095703D">
      <w:pPr>
        <w:ind w:firstLine="480"/>
      </w:pPr>
      <w:r>
        <w:rPr>
          <w:rFonts w:hint="eastAsia"/>
        </w:rPr>
        <w:t>（</w:t>
      </w:r>
      <w:r>
        <w:rPr>
          <w:rFonts w:hint="eastAsia"/>
        </w:rPr>
        <w:t>2</w:t>
      </w:r>
      <w:r>
        <w:rPr>
          <w:rFonts w:hint="eastAsia"/>
        </w:rPr>
        <w:t>）</w:t>
      </w:r>
      <w:r w:rsidRPr="00335FA4">
        <w:t>建设跨区域数据同步和访问加速服务，支持智能链路选择、断点续传、失败重试、</w:t>
      </w:r>
      <w:r w:rsidRPr="00335FA4">
        <w:t>CDN</w:t>
      </w:r>
      <w:r w:rsidRPr="00335FA4">
        <w:t>及全球加速，并配合国际数据交换云服务节点建设；</w:t>
      </w:r>
    </w:p>
    <w:p w:rsidR="0095703D" w:rsidP="0095703D">
      <w:pPr>
        <w:ind w:firstLine="480"/>
      </w:pPr>
      <w:r>
        <w:rPr>
          <w:rFonts w:hint="eastAsia"/>
        </w:rPr>
        <w:t>（</w:t>
      </w:r>
      <w:r>
        <w:rPr>
          <w:rFonts w:hint="eastAsia"/>
        </w:rPr>
        <w:t>3</w:t>
      </w:r>
      <w:r>
        <w:rPr>
          <w:rFonts w:hint="eastAsia"/>
        </w:rPr>
        <w:t>）</w:t>
      </w:r>
      <w:r w:rsidRPr="00335FA4">
        <w:t>对接公有云监控和日志接口，统一监测</w:t>
      </w:r>
      <w:r w:rsidRPr="00335FA4">
        <w:t>CPU</w:t>
      </w:r>
      <w:r w:rsidRPr="00335FA4">
        <w:t>、内存、存储、带宽、流量、网络时延、接口状态及运行日志，形成周报、月报和异常预警；</w:t>
      </w:r>
    </w:p>
    <w:p w:rsidR="0095703D" w:rsidRPr="00884612" w:rsidP="0095703D">
      <w:pPr>
        <w:ind w:firstLine="480"/>
      </w:pPr>
      <w:r>
        <w:rPr>
          <w:rFonts w:hint="eastAsia"/>
        </w:rPr>
        <w:t>（</w:t>
      </w:r>
      <w:r>
        <w:rPr>
          <w:rFonts w:hint="eastAsia"/>
        </w:rPr>
        <w:t>4</w:t>
      </w:r>
      <w:r>
        <w:rPr>
          <w:rFonts w:hint="eastAsia"/>
        </w:rPr>
        <w:t>）</w:t>
      </w:r>
      <w:r w:rsidRPr="00335FA4">
        <w:t>完善国际数据服务环境，为东盟及</w:t>
      </w:r>
      <w:r w:rsidRPr="00335FA4">
        <w:t>“</w:t>
      </w:r>
      <w:r w:rsidRPr="00335FA4">
        <w:t>一带一路</w:t>
      </w:r>
      <w:r w:rsidRPr="00335FA4">
        <w:t>”</w:t>
      </w:r>
      <w:r w:rsidRPr="00335FA4">
        <w:t>沿线国家提供数据检索、下载、接口调用和服务统计等功能，并为非洲气象数据共享和处理平台提供支撑</w:t>
      </w:r>
      <w:r w:rsidRPr="00343B28">
        <w:rPr>
          <w:rFonts w:hint="eastAsia"/>
        </w:rPr>
        <w:t>。</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67" w:name="_Toc236245462"/>
      <w:r>
        <w:rPr>
          <w:rFonts w:hint="eastAsia"/>
        </w:rPr>
        <w:t>升级</w:t>
      </w:r>
      <w:r>
        <w:t>气象领域科研项目成果汇交管理</w:t>
      </w:r>
      <w:bookmarkEnd w:id="67"/>
    </w:p>
    <w:p w:rsidR="0095703D" w:rsidP="0095703D">
      <w:pPr>
        <w:ind w:firstLine="480"/>
      </w:pPr>
      <w:r>
        <w:rPr>
          <w:rFonts w:hint="eastAsia"/>
        </w:rPr>
        <w:t>（</w:t>
      </w:r>
      <w:r>
        <w:rPr>
          <w:rFonts w:hint="eastAsia"/>
        </w:rPr>
        <w:t>1</w:t>
      </w:r>
      <w:r>
        <w:rPr>
          <w:rFonts w:hint="eastAsia"/>
        </w:rPr>
        <w:t>）汇交规范流程制定。梳理科研项目成果数据汇交要求，形成数据范围、格式模板、元数据字段、质量检查项和提交材料清单；建设线上流程说明、材料下载、填报指引和问题反馈入口。</w:t>
      </w:r>
    </w:p>
    <w:p w:rsidR="0095703D" w:rsidP="0095703D">
      <w:pPr>
        <w:ind w:firstLine="480"/>
      </w:pPr>
      <w:r>
        <w:rPr>
          <w:rFonts w:hint="eastAsia"/>
        </w:rPr>
        <w:t>（</w:t>
      </w:r>
      <w:r>
        <w:rPr>
          <w:rFonts w:hint="eastAsia"/>
        </w:rPr>
        <w:t>2</w:t>
      </w:r>
      <w:r>
        <w:rPr>
          <w:rFonts w:hint="eastAsia"/>
        </w:rPr>
        <w:t>）数据汇交接收核验。开发并完善汇交数据接收登记、文件完整性检查、格式合规检查、元数据必填校验和问题反馈功能；形成核验记录、整改意见和处理状态跟踪。</w:t>
      </w:r>
    </w:p>
    <w:p w:rsidR="0095703D" w:rsidP="0095703D">
      <w:pPr>
        <w:ind w:firstLine="480"/>
      </w:pPr>
      <w:r>
        <w:rPr>
          <w:rFonts w:hint="eastAsia"/>
        </w:rPr>
        <w:t>（</w:t>
      </w:r>
      <w:r>
        <w:rPr>
          <w:rFonts w:hint="eastAsia"/>
        </w:rPr>
        <w:t>3</w:t>
      </w:r>
      <w:r>
        <w:rPr>
          <w:rFonts w:hint="eastAsia"/>
        </w:rPr>
        <w:t>）成果数据规范管理。对汇交成果进行分类编目、元数据补录、目录挂接、存储路</w:t>
      </w:r>
      <w:r>
        <w:rPr>
          <w:rFonts w:hint="eastAsia"/>
        </w:rPr>
        <w:t>径管理和长期保存配置；建立成果数据版本、状态、责任单位和归档记录管理。</w:t>
      </w:r>
    </w:p>
    <w:p w:rsidR="0095703D" w:rsidP="0095703D">
      <w:pPr>
        <w:ind w:firstLine="480"/>
      </w:pPr>
      <w:r>
        <w:rPr>
          <w:rFonts w:hint="eastAsia"/>
        </w:rPr>
        <w:t>（</w:t>
      </w:r>
      <w:r>
        <w:rPr>
          <w:rFonts w:hint="eastAsia"/>
        </w:rPr>
        <w:t>4</w:t>
      </w:r>
      <w:r>
        <w:rPr>
          <w:rFonts w:hint="eastAsia"/>
        </w:rPr>
        <w:t>）汇交成果凭证出具。建设汇交凭证模板、项目信息自动带入、核验结果关联、凭证编号生成、导出下载和留痕管理功能，支撑验收材料规范出具。</w:t>
      </w:r>
    </w:p>
    <w:p w:rsidR="0095703D" w:rsidP="0095703D">
      <w:pPr>
        <w:ind w:firstLine="480"/>
      </w:pPr>
      <w:r>
        <w:rPr>
          <w:rFonts w:hint="eastAsia"/>
        </w:rPr>
        <w:t>（</w:t>
      </w:r>
      <w:r>
        <w:rPr>
          <w:rFonts w:hint="eastAsia"/>
        </w:rPr>
        <w:t>5</w:t>
      </w:r>
      <w:r>
        <w:rPr>
          <w:rFonts w:hint="eastAsia"/>
        </w:rPr>
        <w:t>）汇交验收服务保障。提供项目方咨询、材料预审、问题流转、进度跟踪和验收支撑；维护常见问题、操作指引、服务记录和反馈闭环，保障汇交流程按期完成。</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68" w:name="_Toc236245463"/>
      <w:r>
        <w:t>第二届人工智能预报示范计划服务</w:t>
      </w:r>
      <w:bookmarkEnd w:id="68"/>
    </w:p>
    <w:p w:rsidR="0095703D" w:rsidP="0095703D">
      <w:pPr>
        <w:ind w:firstLine="480"/>
      </w:pPr>
      <w:r>
        <w:rPr>
          <w:rFonts w:hint="eastAsia"/>
        </w:rPr>
        <w:t>（</w:t>
      </w:r>
      <w:r>
        <w:rPr>
          <w:rFonts w:hint="eastAsia"/>
        </w:rPr>
        <w:t>1</w:t>
      </w:r>
      <w:r>
        <w:rPr>
          <w:rFonts w:hint="eastAsia"/>
        </w:rPr>
        <w:t>）支持</w:t>
      </w:r>
      <w:r w:rsidRPr="00D135BC">
        <w:t>第二届人工智能预报示范计划（</w:t>
      </w:r>
      <w:r w:rsidRPr="00D135BC">
        <w:t>AIM-FDP</w:t>
      </w:r>
      <w:r w:rsidRPr="00D135BC">
        <w:t>），</w:t>
      </w:r>
      <w:r>
        <w:rPr>
          <w:rFonts w:hint="eastAsia"/>
        </w:rPr>
        <w:t>建立基于参赛</w:t>
      </w:r>
      <w:r>
        <w:t>数据的</w:t>
      </w:r>
      <w:r w:rsidRPr="00D135BC">
        <w:t>用户管理</w:t>
      </w:r>
      <w:r>
        <w:rPr>
          <w:rFonts w:hint="eastAsia"/>
        </w:rPr>
        <w:t>和</w:t>
      </w:r>
      <w:r>
        <w:t>数据访问权限管理</w:t>
      </w:r>
      <w:r>
        <w:rPr>
          <w:rFonts w:hint="eastAsia"/>
        </w:rPr>
        <w:t>；</w:t>
      </w:r>
    </w:p>
    <w:p w:rsidR="0095703D" w:rsidP="0095703D">
      <w:pPr>
        <w:ind w:firstLine="480"/>
      </w:pPr>
      <w:r>
        <w:rPr>
          <w:rFonts w:hint="eastAsia"/>
        </w:rPr>
        <w:t>（</w:t>
      </w:r>
      <w:r>
        <w:rPr>
          <w:rFonts w:hint="eastAsia"/>
        </w:rPr>
        <w:t>2</w:t>
      </w:r>
      <w:r>
        <w:rPr>
          <w:rFonts w:hint="eastAsia"/>
        </w:rPr>
        <w:t>）开发</w:t>
      </w:r>
      <w:r>
        <w:t>数据实时更新和</w:t>
      </w:r>
      <w:r>
        <w:rPr>
          <w:rFonts w:hint="eastAsia"/>
        </w:rPr>
        <w:t>下载</w:t>
      </w:r>
      <w:r>
        <w:t>服务</w:t>
      </w:r>
      <w:r w:rsidRPr="00D135BC">
        <w:t>统计分析</w:t>
      </w:r>
      <w:r>
        <w:rPr>
          <w:rFonts w:hint="eastAsia"/>
        </w:rPr>
        <w:t>功能</w:t>
      </w:r>
      <w:r w:rsidRPr="00D135BC">
        <w:t>，</w:t>
      </w:r>
      <w:r>
        <w:rPr>
          <w:rFonts w:hint="eastAsia"/>
        </w:rPr>
        <w:t>提供</w:t>
      </w:r>
      <w:r w:rsidRPr="00D135BC">
        <w:t>稳定的数据服务和运行保障</w:t>
      </w:r>
      <w:r>
        <w:rPr>
          <w:rFonts w:hint="eastAsia"/>
        </w:rPr>
        <w:t>。</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69" w:name="_Toc236245464"/>
      <w:r>
        <w:t>亚澳非季风国际大科学计划</w:t>
      </w:r>
      <w:r>
        <w:rPr>
          <w:rFonts w:hint="eastAsia"/>
        </w:rPr>
        <w:t>服务</w:t>
      </w:r>
      <w:r>
        <w:t>系统</w:t>
      </w:r>
      <w:r>
        <w:rPr>
          <w:rFonts w:hint="eastAsia"/>
        </w:rPr>
        <w:t>建设</w:t>
      </w:r>
      <w:bookmarkEnd w:id="69"/>
    </w:p>
    <w:p w:rsidR="0095703D" w:rsidP="0095703D">
      <w:pPr>
        <w:ind w:firstLine="480"/>
      </w:pPr>
      <w:r>
        <w:rPr>
          <w:rFonts w:hint="eastAsia"/>
        </w:rPr>
        <w:t>（</w:t>
      </w:r>
      <w:r>
        <w:rPr>
          <w:rFonts w:hint="eastAsia"/>
        </w:rPr>
        <w:t>1</w:t>
      </w:r>
      <w:r>
        <w:rPr>
          <w:rFonts w:hint="eastAsia"/>
        </w:rPr>
        <w:t>）对接亚澳非季风国际大科学计划，依托中国气象数据网建设季风计划服务</w:t>
      </w:r>
      <w:r>
        <w:t>系统</w:t>
      </w:r>
      <w:r>
        <w:rPr>
          <w:rFonts w:hint="eastAsia"/>
        </w:rPr>
        <w:t>，提供数据目录、项目信息、成果展示和共享服务功能，建立基础数据存储、管理、检索和下载框架；</w:t>
      </w:r>
    </w:p>
    <w:p w:rsidR="0095703D" w:rsidP="0095703D">
      <w:pPr>
        <w:ind w:firstLine="480"/>
      </w:pPr>
      <w:r>
        <w:rPr>
          <w:rFonts w:hint="eastAsia"/>
        </w:rPr>
        <w:t>（</w:t>
      </w:r>
      <w:r>
        <w:rPr>
          <w:rFonts w:hint="eastAsia"/>
        </w:rPr>
        <w:t>2</w:t>
      </w:r>
      <w:r>
        <w:rPr>
          <w:rFonts w:hint="eastAsia"/>
        </w:rPr>
        <w:t>）开展预试验数据汇交服务，支持数据接收登记、元数据填报、格式规范检查、质量核验和问题反馈，实现汇交批次、数据状态、责任单位及处理记录的统一管理；</w:t>
      </w:r>
    </w:p>
    <w:p w:rsidR="0095703D" w:rsidP="0095703D">
      <w:pPr>
        <w:ind w:firstLine="480"/>
      </w:pPr>
      <w:r>
        <w:rPr>
          <w:rFonts w:hint="eastAsia"/>
        </w:rPr>
        <w:t>（</w:t>
      </w:r>
      <w:r>
        <w:rPr>
          <w:rFonts w:hint="eastAsia"/>
        </w:rPr>
        <w:t>3</w:t>
      </w:r>
      <w:r>
        <w:rPr>
          <w:rFonts w:hint="eastAsia"/>
        </w:rPr>
        <w:t>）建设计划信息发布栏目，及时发布计划动态、项目成果及相关信息，为季风计划的数据汇聚、成果展示和共享应用提供支撑。</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70" w:name="_Toc236245465"/>
      <w:r>
        <w:rPr>
          <w:rFonts w:hint="eastAsia"/>
        </w:rPr>
        <w:t>专题</w:t>
      </w:r>
      <w:r>
        <w:t>专项服务建设</w:t>
      </w:r>
      <w:bookmarkEnd w:id="70"/>
    </w:p>
    <w:p w:rsidR="0095703D" w:rsidP="0095703D">
      <w:pPr>
        <w:ind w:firstLine="482"/>
      </w:pPr>
      <w:r w:rsidRPr="005419DF">
        <w:rPr>
          <w:rFonts w:hint="eastAsia"/>
          <w:b/>
        </w:rPr>
        <w:t>（</w:t>
      </w:r>
      <w:r w:rsidRPr="005419DF">
        <w:rPr>
          <w:rFonts w:hint="eastAsia"/>
          <w:b/>
        </w:rPr>
        <w:t>1</w:t>
      </w:r>
      <w:r w:rsidRPr="005419DF">
        <w:rPr>
          <w:rFonts w:hint="eastAsia"/>
          <w:b/>
        </w:rPr>
        <w:t>）</w:t>
      </w:r>
      <w:r>
        <w:rPr>
          <w:rFonts w:hint="eastAsia"/>
          <w:b/>
        </w:rPr>
        <w:t>开发</w:t>
      </w:r>
      <w:r w:rsidRPr="005419DF">
        <w:rPr>
          <w:b/>
        </w:rPr>
        <w:t>挑战杯</w:t>
      </w:r>
      <w:r w:rsidRPr="005419DF">
        <w:rPr>
          <w:rFonts w:hint="eastAsia"/>
          <w:b/>
        </w:rPr>
        <w:t>全国大学生课外学术科技作品竞赛</w:t>
      </w:r>
      <w:r w:rsidRPr="005419DF">
        <w:rPr>
          <w:b/>
        </w:rPr>
        <w:t>专题</w:t>
      </w:r>
      <w:r>
        <w:rPr>
          <w:rFonts w:hint="eastAsia"/>
        </w:rPr>
        <w:t>：开发</w:t>
      </w:r>
      <w:r w:rsidRPr="007756A5">
        <w:t>挑战杯专题，展示赛事</w:t>
      </w:r>
      <w:r>
        <w:rPr>
          <w:rFonts w:hint="eastAsia"/>
        </w:rPr>
        <w:t>相关</w:t>
      </w:r>
      <w:r w:rsidRPr="007756A5">
        <w:t>信息；提供赛题支撑材料、技术文档及相关参考资源的在线查阅与下载服务，</w:t>
      </w:r>
      <w:r>
        <w:rPr>
          <w:rFonts w:hint="eastAsia"/>
        </w:rPr>
        <w:t>发布</w:t>
      </w:r>
      <w:r w:rsidRPr="007756A5">
        <w:t>赛事支撑单位</w:t>
      </w:r>
      <w:r>
        <w:rPr>
          <w:rFonts w:hint="eastAsia"/>
        </w:rPr>
        <w:t>信息</w:t>
      </w:r>
      <w:r>
        <w:t>，为参赛团队提供完整、便捷的信息服务与技术支持</w:t>
      </w:r>
      <w:r>
        <w:rPr>
          <w:rFonts w:hint="eastAsia"/>
        </w:rPr>
        <w:t>。</w:t>
      </w:r>
    </w:p>
    <w:p w:rsidR="0095703D" w:rsidP="0095703D">
      <w:pPr>
        <w:ind w:firstLine="482"/>
      </w:pPr>
      <w:r>
        <w:rPr>
          <w:rFonts w:hint="eastAsia"/>
          <w:b/>
        </w:rPr>
        <w:t>（</w:t>
      </w:r>
      <w:r>
        <w:rPr>
          <w:rFonts w:hint="eastAsia"/>
          <w:b/>
        </w:rPr>
        <w:t>2</w:t>
      </w:r>
      <w:r>
        <w:rPr>
          <w:rFonts w:hint="eastAsia"/>
          <w:b/>
        </w:rPr>
        <w:t>）开发强对流</w:t>
      </w:r>
      <w:r>
        <w:rPr>
          <w:b/>
        </w:rPr>
        <w:t>天气训练数据集智能应用创新</w:t>
      </w:r>
      <w:r w:rsidRPr="005419DF">
        <w:rPr>
          <w:b/>
        </w:rPr>
        <w:t>竞赛</w:t>
      </w:r>
      <w:r>
        <w:rPr>
          <w:rFonts w:hint="eastAsia"/>
          <w:b/>
        </w:rPr>
        <w:t>专题：</w:t>
      </w:r>
      <w:r w:rsidRPr="00F83A11">
        <w:t>建设气象模型竞赛专题，集中展示活动介绍、参与对象、竞赛任务、活动安排、奖项设置和组织机构等信息；提供用户登录、身份识别和权限控制功能，支持参赛团队按要求上传并提交成果材料；展示活动访问量、参与量等统计信息，设置公告发布功能，及时发布活动通知、竞赛规则和重要时间节点调整等内容；展示主办单位、协办单位、联系方式及官方交流渠道，为竞赛组织、团队参与和沟通交流提供服务支撑</w:t>
      </w:r>
      <w:r>
        <w:rPr>
          <w:rFonts w:hint="eastAsia"/>
        </w:rPr>
        <w:t>。</w:t>
      </w:r>
    </w:p>
    <w:p w:rsidR="0095703D" w:rsidP="0095703D">
      <w:pPr>
        <w:ind w:firstLine="482"/>
      </w:pPr>
      <w:r>
        <w:rPr>
          <w:rFonts w:hint="eastAsia"/>
          <w:b/>
        </w:rPr>
        <w:t>（</w:t>
      </w:r>
      <w:r>
        <w:rPr>
          <w:rFonts w:hint="eastAsia"/>
          <w:b/>
        </w:rPr>
        <w:t>3</w:t>
      </w:r>
      <w:r>
        <w:rPr>
          <w:rFonts w:hint="eastAsia"/>
          <w:b/>
        </w:rPr>
        <w:t>）</w:t>
      </w:r>
      <w:r w:rsidRPr="0098374E">
        <w:rPr>
          <w:rFonts w:hint="eastAsia"/>
          <w:b/>
        </w:rPr>
        <w:t>开发</w:t>
      </w:r>
      <w:r w:rsidRPr="0098374E">
        <w:rPr>
          <w:b/>
        </w:rPr>
        <w:t>风电</w:t>
      </w:r>
      <w:r w:rsidRPr="0098374E">
        <w:rPr>
          <w:rFonts w:hint="eastAsia"/>
          <w:b/>
        </w:rPr>
        <w:t>和</w:t>
      </w:r>
      <w:r w:rsidRPr="0098374E">
        <w:rPr>
          <w:b/>
        </w:rPr>
        <w:t>光伏</w:t>
      </w:r>
      <w:r w:rsidRPr="0098374E">
        <w:rPr>
          <w:rFonts w:hint="eastAsia"/>
          <w:b/>
        </w:rPr>
        <w:t>发电</w:t>
      </w:r>
      <w:r w:rsidRPr="0098374E">
        <w:rPr>
          <w:b/>
        </w:rPr>
        <w:t>资源普查观测管理专题</w:t>
      </w:r>
      <w:r w:rsidRPr="0098374E">
        <w:rPr>
          <w:rFonts w:hint="eastAsia"/>
          <w:b/>
        </w:rPr>
        <w:t>：</w:t>
      </w:r>
      <w:r w:rsidRPr="0098374E">
        <w:t>提供省级用户账户登录和数据填报功能，支持省</w:t>
      </w:r>
      <w:r w:rsidRPr="0098374E">
        <w:rPr>
          <w:rFonts w:hint="eastAsia"/>
        </w:rPr>
        <w:t>级</w:t>
      </w:r>
      <w:r w:rsidRPr="0098374E">
        <w:t>在线填写数据基础信息、说明内容及相关字段并提交；提供</w:t>
      </w:r>
      <w:r w:rsidRPr="0098374E">
        <w:t>FTP</w:t>
      </w:r>
      <w:r w:rsidRPr="0098374E">
        <w:t>、邮箱等数据传输方式，对上传的数据文件进行接收、格式解析、内容处理和统一入库管理；建立数据分类管理和权限控制机制，根据数据类型及用户权限向符合条件的用户提供数据查询、下载和接口服务，实现风电光伏能源数据的规范汇集、统一管理与共享应用。</w:t>
      </w:r>
    </w:p>
    <w:p w:rsidR="0095703D" w:rsidRPr="0098374E" w:rsidP="0095703D">
      <w:pPr>
        <w:ind w:firstLine="482"/>
        <w:rPr>
          <w:highlight w:val="yellow"/>
        </w:rPr>
      </w:pPr>
      <w:r>
        <w:rPr>
          <w:rFonts w:hint="eastAsia"/>
          <w:b/>
        </w:rPr>
        <w:t>（</w:t>
      </w:r>
      <w:r>
        <w:rPr>
          <w:rFonts w:hint="eastAsia"/>
          <w:b/>
        </w:rPr>
        <w:t>4</w:t>
      </w:r>
      <w:r>
        <w:rPr>
          <w:rFonts w:hint="eastAsia"/>
          <w:b/>
        </w:rPr>
        <w:t>）</w:t>
      </w:r>
      <w:r w:rsidRPr="000F3689">
        <w:rPr>
          <w:b/>
        </w:rPr>
        <w:t>中国气象局气候变化</w:t>
      </w:r>
      <w:r>
        <w:rPr>
          <w:rFonts w:hint="eastAsia"/>
          <w:b/>
        </w:rPr>
        <w:t>专题</w:t>
      </w:r>
      <w:r w:rsidRPr="000F3689">
        <w:rPr>
          <w:b/>
        </w:rPr>
        <w:t>建设</w:t>
      </w:r>
      <w:r>
        <w:rPr>
          <w:rFonts w:hint="eastAsia"/>
          <w:b/>
        </w:rPr>
        <w:t>：</w:t>
      </w:r>
      <w:r w:rsidRPr="000F3689">
        <w:rPr>
          <w:rFonts w:hint="eastAsia"/>
        </w:rPr>
        <w:t>围绕</w:t>
      </w:r>
      <w:r w:rsidRPr="000F3689">
        <w:t>中国气象局气候变化</w:t>
      </w:r>
      <w:r w:rsidRPr="000F3689">
        <w:rPr>
          <w:rFonts w:hint="eastAsia"/>
        </w:rPr>
        <w:t>工作</w:t>
      </w:r>
      <w:r w:rsidRPr="000F3689">
        <w:t>，建立</w:t>
      </w:r>
      <w:r w:rsidRPr="000F3689">
        <w:rPr>
          <w:rFonts w:hint="eastAsia"/>
        </w:rPr>
        <w:t>专题</w:t>
      </w:r>
      <w:r w:rsidRPr="000F3689">
        <w:t>专栏，</w:t>
      </w:r>
      <w:r w:rsidRPr="000F3689">
        <w:rPr>
          <w:rFonts w:hint="eastAsia"/>
        </w:rPr>
        <w:t>提供与</w:t>
      </w:r>
      <w:r w:rsidRPr="000F3689">
        <w:t>气候变化</w:t>
      </w:r>
      <w:r w:rsidRPr="000F3689">
        <w:rPr>
          <w:rFonts w:hint="eastAsia"/>
        </w:rPr>
        <w:t>相关</w:t>
      </w:r>
      <w:r w:rsidRPr="000F3689">
        <w:t>工作内容</w:t>
      </w:r>
      <w:r w:rsidRPr="000F3689">
        <w:rPr>
          <w:rFonts w:hint="eastAsia"/>
        </w:rPr>
        <w:t>发布，整合</w:t>
      </w:r>
      <w:r w:rsidRPr="000F3689">
        <w:t>气候变化</w:t>
      </w:r>
      <w:r w:rsidRPr="000F3689">
        <w:rPr>
          <w:rFonts w:hint="eastAsia"/>
        </w:rPr>
        <w:t>数据</w:t>
      </w:r>
      <w:r w:rsidRPr="000F3689">
        <w:t>服务</w:t>
      </w:r>
      <w:r w:rsidRPr="000F3689">
        <w:rPr>
          <w:rFonts w:hint="eastAsia"/>
        </w:rPr>
        <w:t>相关</w:t>
      </w:r>
      <w:r w:rsidRPr="000F3689">
        <w:t>内容。</w:t>
      </w:r>
    </w:p>
    <w:p w:rsidR="0095703D" w:rsidRPr="00FA40D5" w:rsidP="0095703D">
      <w:pPr>
        <w:ind w:firstLine="482"/>
      </w:pPr>
      <w:r>
        <w:rPr>
          <w:rFonts w:hint="eastAsia"/>
          <w:b/>
        </w:rPr>
        <w:t>（</w:t>
      </w:r>
      <w:r>
        <w:rPr>
          <w:rFonts w:hint="eastAsia"/>
          <w:b/>
        </w:rPr>
        <w:t>4</w:t>
      </w:r>
      <w:r>
        <w:rPr>
          <w:rFonts w:hint="eastAsia"/>
          <w:b/>
        </w:rPr>
        <w:t>）</w:t>
      </w:r>
      <w:r w:rsidRPr="00141D7C">
        <w:rPr>
          <w:b/>
        </w:rPr>
        <w:t>宣传</w:t>
      </w:r>
      <w:r>
        <w:rPr>
          <w:rFonts w:hint="eastAsia"/>
          <w:b/>
        </w:rPr>
        <w:t>设计开发</w:t>
      </w:r>
      <w:r w:rsidRPr="00141D7C">
        <w:rPr>
          <w:b/>
        </w:rPr>
        <w:t>工作</w:t>
      </w:r>
      <w:r>
        <w:rPr>
          <w:rFonts w:hint="eastAsia"/>
          <w:b/>
        </w:rPr>
        <w:t>：</w:t>
      </w:r>
      <w:r>
        <w:t>围绕世界气象日、数字中国峰会、全国科普月、数据网周年等重要节点，以及信息中心</w:t>
      </w:r>
      <w:r>
        <w:rPr>
          <w:rFonts w:hint="eastAsia"/>
        </w:rPr>
        <w:t>相关</w:t>
      </w:r>
      <w:r>
        <w:t>工作，</w:t>
      </w:r>
      <w:r>
        <w:rPr>
          <w:rFonts w:hint="eastAsia"/>
        </w:rPr>
        <w:t>负责</w:t>
      </w:r>
      <w:r>
        <w:t>海报、宣传栏、专题宣传页面和小程序等</w:t>
      </w:r>
      <w:r>
        <w:rPr>
          <w:rFonts w:hint="eastAsia"/>
        </w:rPr>
        <w:t>宣传</w:t>
      </w:r>
      <w:r>
        <w:t>载体的</w:t>
      </w:r>
      <w:r>
        <w:rPr>
          <w:rFonts w:hint="eastAsia"/>
        </w:rPr>
        <w:t>内容</w:t>
      </w:r>
      <w:r>
        <w:t>设计</w:t>
      </w:r>
      <w:r>
        <w:rPr>
          <w:rFonts w:hint="eastAsia"/>
        </w:rPr>
        <w:t>、</w:t>
      </w:r>
      <w:r>
        <w:t>页面开发、内容更新与发布保障工作。</w:t>
      </w:r>
    </w:p>
    <w:p w:rsidR="0095703D" w:rsidP="0095703D">
      <w:pPr>
        <w:ind w:firstLine="482"/>
      </w:pPr>
      <w:r>
        <w:rPr>
          <w:rFonts w:hint="eastAsia"/>
          <w:b/>
        </w:rPr>
        <w:t>（</w:t>
      </w:r>
      <w:r>
        <w:rPr>
          <w:rFonts w:hint="eastAsia"/>
          <w:b/>
        </w:rPr>
        <w:t>5</w:t>
      </w:r>
      <w:r>
        <w:rPr>
          <w:rFonts w:hint="eastAsia"/>
          <w:b/>
        </w:rPr>
        <w:t>）开发信息</w:t>
      </w:r>
      <w:r w:rsidRPr="00FA40D5">
        <w:rPr>
          <w:b/>
        </w:rPr>
        <w:t>中心</w:t>
      </w:r>
      <w:r>
        <w:rPr>
          <w:rFonts w:hint="eastAsia"/>
          <w:b/>
        </w:rPr>
        <w:t>考试</w:t>
      </w:r>
      <w:r w:rsidRPr="00FA40D5">
        <w:rPr>
          <w:rFonts w:hint="eastAsia"/>
          <w:b/>
        </w:rPr>
        <w:t>专栏</w:t>
      </w:r>
      <w:r>
        <w:rPr>
          <w:rFonts w:hint="eastAsia"/>
          <w:b/>
        </w:rPr>
        <w:t>：</w:t>
      </w:r>
      <w:r w:rsidRPr="001646FA">
        <w:t>提供用户注册、登录及验证码校验功能，实现用户身份</w:t>
      </w:r>
      <w:r w:rsidRPr="001646FA">
        <w:t>识别和访问控制；按照气象类、计算机类等测试类型及题目编号对考试内容进行分类展示，支持用户选择具体题目并下载对应答题数据；提供答题结果文件上传功能</w:t>
      </w:r>
      <w:r>
        <w:rPr>
          <w:rFonts w:hint="eastAsia"/>
        </w:rPr>
        <w:t>。</w:t>
      </w:r>
    </w:p>
    <w:p w:rsidR="0095703D" w:rsidRPr="0098374E" w:rsidP="0095703D">
      <w:pPr>
        <w:ind w:firstLine="482"/>
      </w:pPr>
      <w:r w:rsidRPr="0098374E">
        <w:rPr>
          <w:rFonts w:hint="eastAsia"/>
          <w:b/>
        </w:rPr>
        <w:t>（</w:t>
      </w:r>
      <w:r w:rsidRPr="0098374E">
        <w:rPr>
          <w:rFonts w:hint="eastAsia"/>
          <w:b/>
        </w:rPr>
        <w:t>6</w:t>
      </w:r>
      <w:r w:rsidRPr="0098374E">
        <w:rPr>
          <w:rFonts w:hint="eastAsia"/>
          <w:b/>
        </w:rPr>
        <w:t>）开发</w:t>
      </w:r>
      <w:r w:rsidRPr="0098374E">
        <w:rPr>
          <w:b/>
        </w:rPr>
        <w:t>局长会</w:t>
      </w:r>
      <w:r w:rsidRPr="0098374E">
        <w:rPr>
          <w:b/>
        </w:rPr>
        <w:t>/</w:t>
      </w:r>
      <w:r w:rsidRPr="0098374E">
        <w:rPr>
          <w:b/>
        </w:rPr>
        <w:t>气象工作研讨会</w:t>
      </w:r>
      <w:r w:rsidRPr="0098374E">
        <w:rPr>
          <w:rFonts w:hint="eastAsia"/>
          <w:b/>
        </w:rPr>
        <w:t>小</w:t>
      </w:r>
      <w:r w:rsidRPr="0098374E">
        <w:rPr>
          <w:b/>
        </w:rPr>
        <w:t>程序</w:t>
      </w:r>
      <w:r w:rsidRPr="0098374E">
        <w:rPr>
          <w:rFonts w:hint="eastAsia"/>
          <w:b/>
        </w:rPr>
        <w:t>：</w:t>
      </w:r>
      <w:r w:rsidRPr="0098374E">
        <w:t>设计开发会务服务页面</w:t>
      </w:r>
      <w:r w:rsidRPr="0098374E">
        <w:rPr>
          <w:rFonts w:hint="eastAsia"/>
        </w:rPr>
        <w:t>，</w:t>
      </w:r>
      <w:r w:rsidRPr="0098374E">
        <w:t>提供文件和材料的上传、更新、版本维护及发布保障，确保会议资料及时、准确、有序展示</w:t>
      </w:r>
      <w:r w:rsidRPr="0098374E">
        <w:rPr>
          <w:rFonts w:hint="eastAsia"/>
        </w:rPr>
        <w:t>。</w:t>
      </w:r>
    </w:p>
    <w:p w:rsidR="0095703D" w:rsidP="0095703D">
      <w:pPr>
        <w:ind w:firstLine="482"/>
      </w:pPr>
      <w:r w:rsidRPr="0098374E">
        <w:rPr>
          <w:rFonts w:hint="eastAsia"/>
          <w:b/>
        </w:rPr>
        <w:t>（</w:t>
      </w:r>
      <w:r w:rsidRPr="0098374E">
        <w:rPr>
          <w:rFonts w:hint="eastAsia"/>
          <w:b/>
        </w:rPr>
        <w:t>7</w:t>
      </w:r>
      <w:r w:rsidRPr="0098374E">
        <w:rPr>
          <w:rFonts w:hint="eastAsia"/>
          <w:b/>
        </w:rPr>
        <w:t>）开发</w:t>
      </w:r>
      <w:r w:rsidRPr="0098374E">
        <w:rPr>
          <w:b/>
        </w:rPr>
        <w:t>码上巡</w:t>
      </w:r>
      <w:r w:rsidRPr="0098374E">
        <w:rPr>
          <w:rFonts w:hint="eastAsia"/>
          <w:b/>
        </w:rPr>
        <w:t>专栏：</w:t>
      </w:r>
      <w:r w:rsidRPr="0098374E">
        <w:rPr>
          <w:rFonts w:hint="eastAsia"/>
        </w:rPr>
        <w:t>开发</w:t>
      </w:r>
      <w:r w:rsidRPr="0098374E">
        <w:t>信息填报</w:t>
      </w:r>
      <w:r w:rsidRPr="0098374E">
        <w:rPr>
          <w:rFonts w:hint="eastAsia"/>
        </w:rPr>
        <w:t>功能、后台内容</w:t>
      </w:r>
      <w:r w:rsidRPr="0098374E">
        <w:t>查看</w:t>
      </w:r>
      <w:r w:rsidRPr="0098374E">
        <w:rPr>
          <w:rFonts w:hint="eastAsia"/>
        </w:rPr>
        <w:t>和</w:t>
      </w:r>
      <w:r w:rsidRPr="0098374E">
        <w:t>管理</w:t>
      </w:r>
      <w:r w:rsidRPr="0098374E">
        <w:rPr>
          <w:rFonts w:hint="eastAsia"/>
        </w:rPr>
        <w:t>功能</w:t>
      </w:r>
      <w:r w:rsidRPr="0098374E">
        <w:t>，</w:t>
      </w:r>
      <w:r w:rsidRPr="0098374E">
        <w:rPr>
          <w:rFonts w:hint="eastAsia"/>
        </w:rPr>
        <w:t>实现</w:t>
      </w:r>
      <w:r w:rsidRPr="0098374E">
        <w:t>网站、数据库、用户权限和数据安全等管理，保障相关信息安全、规范管理</w:t>
      </w:r>
      <w:r w:rsidRPr="0098374E">
        <w:rPr>
          <w:rFonts w:hint="eastAsia"/>
        </w:rPr>
        <w:t>。</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71" w:name="_Toc236245466"/>
      <w:r>
        <w:rPr>
          <w:rFonts w:hint="eastAsia"/>
        </w:rPr>
        <w:t>系统</w:t>
      </w:r>
      <w:r>
        <w:t>运维保障服务</w:t>
      </w:r>
      <w:bookmarkEnd w:id="71"/>
    </w:p>
    <w:p w:rsidR="0095703D" w:rsidP="0095703D">
      <w:pPr>
        <w:ind w:firstLine="480"/>
      </w:pPr>
      <w:r>
        <w:rPr>
          <w:rFonts w:hint="eastAsia"/>
        </w:rPr>
        <w:t>（</w:t>
      </w:r>
      <w:r>
        <w:rPr>
          <w:rFonts w:hint="eastAsia"/>
        </w:rPr>
        <w:t>1</w:t>
      </w:r>
      <w:r>
        <w:rPr>
          <w:rFonts w:hint="eastAsia"/>
        </w:rPr>
        <w:t>）可视化在线分析（实况）专栏运维。负责数据接入链路巡检、地图服务检查、接口异常处理和产品配置更新，完善运行监控和用户反馈处理机制，及时处置业务运行问题，保障在线分析服务连续稳定运行。</w:t>
      </w:r>
    </w:p>
    <w:p w:rsidR="0095703D" w:rsidP="0095703D">
      <w:pPr>
        <w:ind w:firstLine="480"/>
      </w:pPr>
      <w:r>
        <w:rPr>
          <w:rFonts w:hint="eastAsia"/>
        </w:rPr>
        <w:t>（</w:t>
      </w:r>
      <w:r>
        <w:t>2</w:t>
      </w:r>
      <w:r>
        <w:rPr>
          <w:rFonts w:hint="eastAsia"/>
        </w:rPr>
        <w:t>）突发快报系统运维。负责日常台风制图运维</w:t>
      </w:r>
      <w:r>
        <w:t>和</w:t>
      </w:r>
      <w:r>
        <w:rPr>
          <w:rFonts w:hint="eastAsia"/>
        </w:rPr>
        <w:t>业务</w:t>
      </w:r>
      <w:r>
        <w:t>处理稳定</w:t>
      </w:r>
      <w:r>
        <w:rPr>
          <w:rFonts w:hint="eastAsia"/>
        </w:rPr>
        <w:t>；完善实况动图产品，优化重点城市县、乡级区域站模板配置。</w:t>
      </w:r>
    </w:p>
    <w:p w:rsidR="0095703D" w:rsidP="0095703D">
      <w:pPr>
        <w:ind w:firstLine="480"/>
      </w:pPr>
      <w:r>
        <w:rPr>
          <w:rFonts w:hint="eastAsia"/>
        </w:rPr>
        <w:t>（</w:t>
      </w:r>
      <w:r>
        <w:t>3</w:t>
      </w:r>
      <w:r>
        <w:rPr>
          <w:rFonts w:hint="eastAsia"/>
        </w:rPr>
        <w:t>）三维雷达全球云图运维。负责服务器巡检与安全</w:t>
      </w:r>
      <w:r>
        <w:t>漏洞</w:t>
      </w:r>
      <w:r>
        <w:rPr>
          <w:rFonts w:hint="eastAsia"/>
        </w:rPr>
        <w:t>修复，优化葵花</w:t>
      </w:r>
      <w:r>
        <w:rPr>
          <w:rFonts w:hint="eastAsia"/>
        </w:rPr>
        <w:t>9</w:t>
      </w:r>
      <w:r>
        <w:rPr>
          <w:rFonts w:hint="eastAsia"/>
        </w:rPr>
        <w:t>号卫星数据处理程序，完善云图拼接生成能力，保障三维雷达全球云图业务稳定运行。</w:t>
      </w:r>
    </w:p>
    <w:p w:rsidR="0095703D" w:rsidP="0095703D">
      <w:pPr>
        <w:ind w:firstLine="480"/>
      </w:pPr>
      <w:r>
        <w:rPr>
          <w:rFonts w:hint="eastAsia"/>
        </w:rPr>
        <w:t>（</w:t>
      </w:r>
      <w:r>
        <w:t>4</w:t>
      </w:r>
      <w:r>
        <w:rPr>
          <w:rFonts w:hint="eastAsia"/>
        </w:rPr>
        <w:t>）全球雷达图运维。负责</w:t>
      </w:r>
      <w:r>
        <w:t>日常运维和业务稳定运行</w:t>
      </w:r>
      <w:r>
        <w:rPr>
          <w:rFonts w:hint="eastAsia"/>
        </w:rPr>
        <w:t>；改进雷达数据采集监控和告警功能，对接天镜告警系统，实时监视全球雷达数据采集状态，提高故障发现和响应效率，满足用户服务时效要求。</w:t>
      </w:r>
    </w:p>
    <w:p w:rsidR="0095703D" w:rsidP="0095703D">
      <w:pPr>
        <w:ind w:firstLine="480"/>
      </w:pPr>
      <w:r>
        <w:rPr>
          <w:rFonts w:hint="eastAsia"/>
        </w:rPr>
        <w:t>（</w:t>
      </w:r>
      <w:r>
        <w:t>5</w:t>
      </w:r>
      <w:r>
        <w:rPr>
          <w:rFonts w:hint="eastAsia"/>
        </w:rPr>
        <w:t>）气象</w:t>
      </w:r>
      <w:r>
        <w:t>科学专业知识服务系统运维</w:t>
      </w:r>
      <w:r>
        <w:rPr>
          <w:rFonts w:hint="eastAsia"/>
        </w:rPr>
        <w:t>。负责日常运维和数据稳定性保障，及时修复服务器安全漏洞；根据业务调整要求完成相关栏目下架、链接地址更新和服务配置修改；确保业务连续性与高可用性。</w:t>
      </w:r>
    </w:p>
    <w:p w:rsidR="0095703D" w:rsidP="0095703D">
      <w:pPr>
        <w:ind w:firstLine="480"/>
      </w:pPr>
      <w:r>
        <w:rPr>
          <w:rFonts w:hint="eastAsia"/>
        </w:rPr>
        <w:t>（</w:t>
      </w:r>
      <w:r>
        <w:t>6</w:t>
      </w:r>
      <w:r>
        <w:rPr>
          <w:rFonts w:hint="eastAsia"/>
        </w:rPr>
        <w:t>）辽宁数据网。</w:t>
      </w:r>
      <w:r w:rsidRPr="006947A4">
        <w:t>针对现有服务器架构及辽宁天擎系统运行环境，建设独立的数据同步体系，扩充数据接入类型；围绕数据中心成果汇交、数据采集上传、订单水印处理等业务需求开展定制化开发；建设论文成果发布、新闻发布、用户登录及角色权限管理、数据服务元数据管理等功能，并完成系统测试及相关材料编制。</w:t>
      </w:r>
    </w:p>
    <w:p w:rsidR="0095703D" w:rsidP="0095703D">
      <w:pPr>
        <w:ind w:firstLine="480"/>
      </w:pPr>
      <w:r>
        <w:rPr>
          <w:rFonts w:hint="eastAsia"/>
        </w:rPr>
        <w:t>（</w:t>
      </w:r>
      <w:r>
        <w:rPr>
          <w:rFonts w:hint="eastAsia"/>
        </w:rPr>
        <w:t>7</w:t>
      </w:r>
      <w:r>
        <w:rPr>
          <w:rFonts w:hint="eastAsia"/>
        </w:rPr>
        <w:t>）公有云资源及安全保障。开展服务器、数据库、网络带宽等云资源的配置与管理，调整云主机安全策略，做好</w:t>
      </w:r>
      <w:r>
        <w:rPr>
          <w:rFonts w:hint="eastAsia"/>
        </w:rPr>
        <w:t>cma.cn</w:t>
      </w:r>
      <w:r>
        <w:rPr>
          <w:rFonts w:hint="eastAsia"/>
        </w:rPr>
        <w:t>域名证书更新；配合开展网络攻击排查，加强数据网、气象实况、金融指数、碳中和、一张图、知识中心等外网业务的安全保障；定期分析</w:t>
      </w:r>
      <w:r>
        <w:rPr>
          <w:rFonts w:hint="eastAsia"/>
        </w:rPr>
        <w:t>WAF</w:t>
      </w:r>
      <w:r>
        <w:rPr>
          <w:rFonts w:hint="eastAsia"/>
        </w:rPr>
        <w:t>安全防护信息并优化防护策略，提升外网业务运行的安全性和稳定性。</w:t>
      </w:r>
    </w:p>
    <w:p w:rsidR="0095703D" w:rsidRPr="00E84FCB" w:rsidP="0095703D">
      <w:pPr>
        <w:pStyle w:val="Heading1"/>
        <w:keepNext/>
        <w:keepLines/>
        <w:widowControl w:val="0"/>
        <w:numPr>
          <w:numId w:val="4"/>
        </w:numPr>
        <w:tabs>
          <w:tab w:val="left" w:pos="480"/>
        </w:tabs>
        <w:spacing w:before="156" w:beforeLines="50" w:after="156" w:afterLines="50" w:line="360" w:lineRule="auto"/>
        <w:ind w:left="0" w:firstLine="0"/>
        <w:jc w:val="left"/>
      </w:pPr>
      <w:bookmarkStart w:id="72" w:name="_Toc173723971"/>
      <w:bookmarkStart w:id="73" w:name="_Toc140755609"/>
      <w:bookmarkStart w:id="74" w:name="_Toc395794200"/>
      <w:bookmarkStart w:id="75" w:name="_Toc173724504"/>
      <w:bookmarkStart w:id="76" w:name="_Toc8426"/>
      <w:bookmarkStart w:id="77" w:name="_Toc171218560"/>
      <w:bookmarkStart w:id="78" w:name="_Toc173723837"/>
      <w:bookmarkStart w:id="79" w:name="_Toc140468894"/>
      <w:bookmarkStart w:id="80" w:name="_Toc391375334"/>
      <w:bookmarkStart w:id="81" w:name="_Toc173723790"/>
      <w:bookmarkStart w:id="82" w:name="_Toc236245467"/>
      <w:r w:rsidRPr="00E84FCB">
        <w:rPr>
          <w:rFonts w:hint="eastAsia"/>
        </w:rPr>
        <w:t>故障处理要求</w:t>
      </w:r>
      <w:bookmarkEnd w:id="72"/>
      <w:bookmarkEnd w:id="73"/>
      <w:bookmarkEnd w:id="74"/>
      <w:bookmarkEnd w:id="75"/>
      <w:bookmarkEnd w:id="76"/>
      <w:bookmarkEnd w:id="77"/>
      <w:bookmarkEnd w:id="78"/>
      <w:bookmarkEnd w:id="79"/>
      <w:bookmarkEnd w:id="80"/>
      <w:bookmarkEnd w:id="81"/>
      <w:bookmarkEnd w:id="82"/>
    </w:p>
    <w:p w:rsidR="0095703D" w:rsidRPr="00794DD4"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83" w:name="_Toc22208"/>
      <w:bookmarkStart w:id="84" w:name="_Toc391375335"/>
      <w:bookmarkStart w:id="85" w:name="_Toc395794201"/>
      <w:bookmarkStart w:id="86" w:name="_Toc140468895"/>
      <w:bookmarkStart w:id="87" w:name="_Toc140755610"/>
      <w:r>
        <w:t xml:space="preserve"> </w:t>
      </w:r>
      <w:bookmarkStart w:id="88" w:name="_Toc236245468"/>
      <w:r w:rsidRPr="00794DD4">
        <w:rPr>
          <w:rFonts w:hint="eastAsia"/>
        </w:rPr>
        <w:t>软件系统出错处理</w:t>
      </w:r>
      <w:bookmarkEnd w:id="83"/>
      <w:bookmarkEnd w:id="84"/>
      <w:bookmarkEnd w:id="85"/>
      <w:bookmarkEnd w:id="86"/>
      <w:bookmarkEnd w:id="87"/>
      <w:bookmarkEnd w:id="88"/>
    </w:p>
    <w:p w:rsidR="0095703D" w:rsidP="0095703D">
      <w:pPr>
        <w:ind w:firstLine="480"/>
      </w:pPr>
      <w:r>
        <w:rPr>
          <w:rFonts w:hint="eastAsia"/>
        </w:rPr>
        <w:t>用户界面错误：在界面出错后，给出一个友好的错误提示界面，并且记录错误日志，通过监控系统发送告警信息，并提供一段时间的日志复查，为故障处理提供依据。</w:t>
      </w:r>
    </w:p>
    <w:p w:rsidR="0095703D" w:rsidP="0095703D">
      <w:pPr>
        <w:ind w:firstLine="480"/>
      </w:pPr>
      <w:r>
        <w:rPr>
          <w:rFonts w:hint="eastAsia"/>
        </w:rPr>
        <w:t>服务错误：当各类业务处理服务出错后，提供处理状态回滚，记录错误日志，通过监控系统发送告警信息，为故障处理提供依据。可采用人工干预的方式重新启动服务，继续执行尚未完成的作业。</w:t>
      </w:r>
    </w:p>
    <w:p w:rsidR="0095703D" w:rsidRPr="00794DD4"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89" w:name="_Toc395794202"/>
      <w:bookmarkStart w:id="90" w:name="_Toc10717"/>
      <w:bookmarkStart w:id="91" w:name="_Toc391375336"/>
      <w:bookmarkStart w:id="92" w:name="_Toc140755611"/>
      <w:bookmarkStart w:id="93" w:name="_Toc140468896"/>
      <w:bookmarkStart w:id="94" w:name="_Toc236245469"/>
      <w:r w:rsidRPr="00794DD4">
        <w:rPr>
          <w:rFonts w:hint="eastAsia"/>
        </w:rPr>
        <w:t>系统容错与数据备份</w:t>
      </w:r>
      <w:bookmarkEnd w:id="89"/>
      <w:bookmarkEnd w:id="90"/>
      <w:bookmarkEnd w:id="91"/>
      <w:bookmarkEnd w:id="92"/>
      <w:bookmarkEnd w:id="93"/>
      <w:bookmarkEnd w:id="94"/>
    </w:p>
    <w:p w:rsidR="0095703D" w:rsidP="0095703D">
      <w:pPr>
        <w:ind w:firstLine="480"/>
      </w:pPr>
      <w:r>
        <w:rPr>
          <w:rFonts w:hint="eastAsia"/>
        </w:rPr>
        <w:t>除正在运行的设备外，主要设备和易损件要有备份和容错；有备份设备或备件的，做</w:t>
      </w:r>
      <w:r>
        <w:rPr>
          <w:rFonts w:hint="eastAsia"/>
        </w:rPr>
        <w:t>到热备份、自动切换，无法作到的，要作好切换准备；系统软件的备份依托气象专有云和阿里云平台，应用程序要备份当前运行版本，应用数据要按日进行备份。</w:t>
      </w:r>
    </w:p>
    <w:p w:rsidR="0095703D" w:rsidRPr="00794DD4" w:rsidP="0095703D">
      <w:pPr>
        <w:pStyle w:val="Heading5"/>
        <w:numPr>
          <w:ilvl w:val="0"/>
          <w:numId w:val="0"/>
        </w:numPr>
        <w:spacing w:before="156" w:after="156"/>
      </w:pPr>
      <w:bookmarkStart w:id="95" w:name="_Toc391375337"/>
      <w:r>
        <w:rPr>
          <w:rFonts w:hint="eastAsia"/>
        </w:rPr>
        <w:t>3</w:t>
      </w:r>
      <w:r w:rsidRPr="00794DD4">
        <w:t>.2.1</w:t>
      </w:r>
      <w:r>
        <w:t xml:space="preserve"> </w:t>
      </w:r>
      <w:r w:rsidRPr="00794DD4">
        <w:rPr>
          <w:rFonts w:hint="eastAsia"/>
        </w:rPr>
        <w:t>服务器容错技术</w:t>
      </w:r>
      <w:bookmarkEnd w:id="95"/>
    </w:p>
    <w:p w:rsidR="0095703D" w:rsidP="0095703D">
      <w:pPr>
        <w:ind w:firstLine="480"/>
      </w:pPr>
      <w:r>
        <w:rPr>
          <w:rFonts w:hint="eastAsia"/>
        </w:rPr>
        <w:t>由于服务器承担着关键业务，其数据和运行的安全问题显得非常重要。对气象事业来说，利用计算机系统来提供及时可靠的信息和服务实必不可少的；另一方面，计算机硬件与软件都不可避免的会发生故障，这些故障有可能给气象业务带来极大的损失，甚至整个服务终止，网络的瘫痪。本项目</w:t>
      </w:r>
      <w:r>
        <w:t>每天</w:t>
      </w:r>
      <w:r>
        <w:t>24</w:t>
      </w:r>
      <w:r>
        <w:t>小时不间断的自动运行</w:t>
      </w:r>
      <w:r>
        <w:rPr>
          <w:rFonts w:hint="eastAsia"/>
        </w:rPr>
        <w:t>，对系统的高可用性显得更为重要。因此，必须有适当的措施来确保计算机系统提供不间断的服务，以维护系统的可用性。</w:t>
      </w:r>
    </w:p>
    <w:p w:rsidR="0095703D" w:rsidP="0095703D">
      <w:pPr>
        <w:ind w:firstLine="480"/>
      </w:pPr>
      <w:r>
        <w:rPr>
          <w:rFonts w:hint="eastAsia"/>
        </w:rPr>
        <w:t>系统的可用性通常在两种情况下会受到影响，一种是系统宕机、错误操作和管理引起的异常失败，另一种是由于系统维护和升级，需要安装新的硬件或软件而正常关机。高可靠性系统必须为这两种情况提供不间断的系统服务。</w:t>
      </w:r>
    </w:p>
    <w:p w:rsidR="0095703D" w:rsidRPr="00794DD4" w:rsidP="0095703D">
      <w:pPr>
        <w:pStyle w:val="Heading5"/>
        <w:numPr>
          <w:ilvl w:val="0"/>
          <w:numId w:val="0"/>
        </w:numPr>
        <w:spacing w:before="156" w:after="156"/>
      </w:pPr>
      <w:bookmarkStart w:id="96" w:name="_Toc391375339"/>
      <w:r>
        <w:rPr>
          <w:rFonts w:hint="eastAsia"/>
        </w:rPr>
        <w:t>3</w:t>
      </w:r>
      <w:r w:rsidRPr="00794DD4">
        <w:t>.2.2</w:t>
      </w:r>
      <w:r>
        <w:t xml:space="preserve"> </w:t>
      </w:r>
      <w:r w:rsidRPr="00794DD4">
        <w:rPr>
          <w:rFonts w:hint="eastAsia"/>
        </w:rPr>
        <w:t>数据备份</w:t>
      </w:r>
      <w:bookmarkEnd w:id="96"/>
    </w:p>
    <w:p w:rsidR="0095703D" w:rsidP="0095703D">
      <w:pPr>
        <w:ind w:firstLine="480"/>
      </w:pPr>
      <w:r>
        <w:rPr>
          <w:rFonts w:hint="eastAsia"/>
        </w:rPr>
        <w:t>数据备份能将故障引起的后果降低到最低限度。数据的备份是保证数据安全的第一要素。能把数据拷贝到一种存储介质，当数据出现问题时，可以进行还原。当硬盘出现故障时，磁盘的容错功能，可以将数据恢复。</w:t>
      </w:r>
    </w:p>
    <w:p w:rsidR="0095703D" w:rsidP="0095703D">
      <w:pPr>
        <w:ind w:firstLine="480"/>
      </w:pPr>
      <w:r>
        <w:rPr>
          <w:rFonts w:hint="eastAsia"/>
        </w:rPr>
        <w:t>数据备份包括：软件备份和数据库备份。应用程序要备份当前运行版本，应用数据库要按日进行备份。</w:t>
      </w:r>
    </w:p>
    <w:p w:rsidR="0095703D" w:rsidP="0095703D">
      <w:pPr>
        <w:pStyle w:val="Heading1"/>
        <w:keepNext/>
        <w:keepLines/>
        <w:widowControl w:val="0"/>
        <w:numPr>
          <w:numId w:val="4"/>
        </w:numPr>
        <w:tabs>
          <w:tab w:val="left" w:pos="480"/>
        </w:tabs>
        <w:spacing w:before="156" w:beforeLines="50" w:after="156" w:afterLines="50" w:line="360" w:lineRule="auto"/>
        <w:ind w:left="0" w:firstLine="0"/>
        <w:jc w:val="left"/>
      </w:pPr>
      <w:bookmarkStart w:id="97" w:name="_Toc3739"/>
      <w:bookmarkStart w:id="98" w:name="_Toc173723972"/>
      <w:bookmarkStart w:id="99" w:name="_Toc395794203"/>
      <w:bookmarkStart w:id="100" w:name="_Toc171218561"/>
      <w:bookmarkStart w:id="101" w:name="_Toc173723791"/>
      <w:bookmarkStart w:id="102" w:name="_Toc173723838"/>
      <w:bookmarkStart w:id="103" w:name="_Toc173724505"/>
      <w:bookmarkStart w:id="104" w:name="_Toc140468897"/>
      <w:bookmarkStart w:id="105" w:name="_Toc391375340"/>
      <w:bookmarkStart w:id="106" w:name="_Toc140755612"/>
      <w:r>
        <w:t xml:space="preserve"> </w:t>
      </w:r>
      <w:bookmarkStart w:id="107" w:name="_Toc236245470"/>
      <w:r>
        <w:rPr>
          <w:rFonts w:hint="eastAsia"/>
        </w:rPr>
        <w:t>其他专门要求</w:t>
      </w:r>
      <w:bookmarkEnd w:id="97"/>
      <w:bookmarkEnd w:id="98"/>
      <w:bookmarkEnd w:id="99"/>
      <w:bookmarkEnd w:id="100"/>
      <w:bookmarkEnd w:id="101"/>
      <w:bookmarkEnd w:id="102"/>
      <w:bookmarkEnd w:id="103"/>
      <w:bookmarkEnd w:id="104"/>
      <w:bookmarkEnd w:id="105"/>
      <w:bookmarkEnd w:id="106"/>
      <w:bookmarkEnd w:id="107"/>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108" w:name="_Toc90990258"/>
      <w:bookmarkStart w:id="109" w:name="_Toc140468898"/>
      <w:bookmarkStart w:id="110" w:name="_Toc395794204"/>
      <w:bookmarkStart w:id="111" w:name="_Toc391375341"/>
      <w:bookmarkStart w:id="112" w:name="_Toc86812813"/>
      <w:bookmarkStart w:id="113" w:name="_Toc140755613"/>
      <w:bookmarkStart w:id="114" w:name="_Toc21073"/>
      <w:bookmarkStart w:id="115" w:name="_Toc236245471"/>
      <w:r>
        <w:rPr>
          <w:rFonts w:hint="eastAsia"/>
        </w:rPr>
        <w:t>稳定性要求</w:t>
      </w:r>
      <w:bookmarkEnd w:id="108"/>
      <w:bookmarkEnd w:id="109"/>
      <w:bookmarkEnd w:id="110"/>
      <w:bookmarkEnd w:id="111"/>
      <w:bookmarkEnd w:id="112"/>
      <w:bookmarkEnd w:id="113"/>
      <w:bookmarkEnd w:id="114"/>
      <w:bookmarkEnd w:id="115"/>
    </w:p>
    <w:p w:rsidR="0095703D" w:rsidP="0095703D">
      <w:pPr>
        <w:ind w:firstLine="480"/>
      </w:pPr>
      <w:r>
        <w:rPr>
          <w:rFonts w:hint="eastAsia"/>
        </w:rPr>
        <w:t>本系统</w:t>
      </w:r>
      <w:r>
        <w:t>是一个重要的业务运行系统，在软硬件的设计实现上要考虑系统长期运行的稳定性和可靠性。软件在运行期间，针对任何一个重要操作，都必须具有判断错误的能力，必要时可以进行恢复性操作，否则要发出报警消息，以便于人工干预。</w:t>
      </w:r>
    </w:p>
    <w:p w:rsidR="0095703D" w:rsidP="0095703D">
      <w:pPr>
        <w:ind w:firstLine="480"/>
      </w:pPr>
      <w:r>
        <w:rPr>
          <w:rFonts w:hint="eastAsia"/>
        </w:rPr>
        <w:t>本系统需要提供</w:t>
      </w:r>
      <w:r>
        <w:rPr>
          <w:rFonts w:hint="eastAsia"/>
        </w:rPr>
        <w:t>7</w:t>
      </w:r>
      <w:r>
        <w:rPr>
          <w:rFonts w:hint="eastAsia"/>
        </w:rPr>
        <w:t>×</w:t>
      </w:r>
      <w:r>
        <w:rPr>
          <w:rFonts w:hint="eastAsia"/>
        </w:rPr>
        <w:t>24</w:t>
      </w:r>
      <w:r>
        <w:rPr>
          <w:rFonts w:hint="eastAsia"/>
        </w:rPr>
        <w:t>小时不间断服务，因此，</w:t>
      </w:r>
      <w:r>
        <w:t>无论是计算机硬件系统还是软件系统都必须具有较高的可靠性和故障后快速恢复的能力。具体要求如下：</w:t>
      </w:r>
    </w:p>
    <w:p w:rsidR="0095703D" w:rsidP="0095703D">
      <w:pPr>
        <w:tabs>
          <w:tab w:val="left" w:pos="420"/>
        </w:tabs>
        <w:ind w:left="420" w:firstLine="480"/>
      </w:pPr>
      <w:r>
        <w:rPr>
          <w:rFonts w:hint="eastAsia"/>
        </w:rPr>
        <w:t>（</w:t>
      </w:r>
      <w:r>
        <w:rPr>
          <w:rFonts w:hint="eastAsia"/>
        </w:rPr>
        <w:t>1</w:t>
      </w:r>
      <w:r>
        <w:rPr>
          <w:rFonts w:hint="eastAsia"/>
        </w:rPr>
        <w:t>）</w:t>
      </w:r>
      <w:r>
        <w:t>应用软件开发中严格遵循软件工程国标的开发、测试和集成规范。</w:t>
      </w:r>
    </w:p>
    <w:p w:rsidR="0095703D" w:rsidP="0095703D">
      <w:pPr>
        <w:tabs>
          <w:tab w:val="left" w:pos="420"/>
        </w:tabs>
        <w:ind w:left="420" w:firstLine="480"/>
      </w:pPr>
      <w:r>
        <w:rPr>
          <w:rFonts w:hint="eastAsia"/>
        </w:rPr>
        <w:t>（</w:t>
      </w:r>
      <w:r>
        <w:rPr>
          <w:rFonts w:hint="eastAsia"/>
        </w:rPr>
        <w:t>2</w:t>
      </w:r>
      <w:r>
        <w:rPr>
          <w:rFonts w:hint="eastAsia"/>
        </w:rPr>
        <w:t>）</w:t>
      </w:r>
      <w:r>
        <w:t>在支撑平台可靠性的保证下，关键高可用业务系统在</w:t>
      </w:r>
      <w:r>
        <w:t>1</w:t>
      </w:r>
      <w:r>
        <w:rPr>
          <w:rFonts w:hint="eastAsia"/>
        </w:rPr>
        <w:t>小时</w:t>
      </w:r>
      <w:r>
        <w:t>内恢复运行状态。</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116" w:name="_Toc140468899"/>
      <w:bookmarkStart w:id="117" w:name="_Toc395794206"/>
      <w:bookmarkStart w:id="118" w:name="_Toc140755614"/>
      <w:bookmarkStart w:id="119" w:name="_Toc19663"/>
      <w:bookmarkStart w:id="120" w:name="_Toc236245472"/>
      <w:bookmarkStart w:id="121" w:name="_Toc391375343"/>
      <w:bookmarkStart w:id="122" w:name="_Toc86812814"/>
      <w:bookmarkStart w:id="123" w:name="_Toc90990259"/>
      <w:r>
        <w:rPr>
          <w:rFonts w:hint="eastAsia"/>
        </w:rPr>
        <w:t>灵活性要求</w:t>
      </w:r>
      <w:bookmarkEnd w:id="116"/>
      <w:bookmarkEnd w:id="117"/>
      <w:bookmarkEnd w:id="118"/>
      <w:bookmarkEnd w:id="119"/>
      <w:bookmarkEnd w:id="120"/>
    </w:p>
    <w:p w:rsidR="0095703D" w:rsidP="0095703D">
      <w:pPr>
        <w:ind w:firstLine="480"/>
      </w:pPr>
      <w:r>
        <w:rPr>
          <w:rFonts w:hint="eastAsia"/>
        </w:rPr>
        <w:t>在操作方式、运行环境、与其他软件的接口以及开发计划等发生变化时，应具有相应的适应能力。</w:t>
      </w:r>
    </w:p>
    <w:p w:rsidR="0095703D" w:rsidP="0095703D">
      <w:pPr>
        <w:ind w:firstLine="480"/>
      </w:pPr>
      <w:r>
        <w:rPr>
          <w:rFonts w:hint="eastAsia"/>
        </w:rPr>
        <w:t>系统遵循开放的标准和技术、标准的软件接口开发。</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124" w:name="_Toc236245473"/>
      <w:r>
        <w:rPr>
          <w:rFonts w:hint="eastAsia"/>
        </w:rPr>
        <w:t>可靠性要求</w:t>
      </w:r>
      <w:bookmarkEnd w:id="124"/>
    </w:p>
    <w:p w:rsidR="0095703D" w:rsidP="0095703D">
      <w:pPr>
        <w:ind w:firstLine="480"/>
      </w:pPr>
      <w:r>
        <w:rPr>
          <w:rFonts w:hint="eastAsia"/>
        </w:rPr>
        <w:t>系统响应时间、实时绘图等前台程序的响应时间需要达到预设要求，且在高并发数条件下不出现性能下降情况。具体要求如下：</w:t>
      </w:r>
    </w:p>
    <w:p w:rsidR="0095703D" w:rsidP="0095703D">
      <w:pPr>
        <w:ind w:firstLine="480"/>
      </w:pPr>
      <w:r>
        <w:rPr>
          <w:rFonts w:hint="eastAsia"/>
        </w:rPr>
        <w:t>（</w:t>
      </w:r>
      <w:r>
        <w:rPr>
          <w:rFonts w:hint="eastAsia"/>
        </w:rPr>
        <w:t>1</w:t>
      </w:r>
      <w:r>
        <w:rPr>
          <w:rFonts w:hint="eastAsia"/>
        </w:rPr>
        <w:t>）系统需要进行必要的测速测试，控制单个操作的响应时间在</w:t>
      </w:r>
      <w:r>
        <w:rPr>
          <w:rFonts w:hint="eastAsia"/>
        </w:rPr>
        <w:t>5</w:t>
      </w:r>
      <w:r>
        <w:rPr>
          <w:rFonts w:hint="eastAsia"/>
        </w:rPr>
        <w:t>秒以内。</w:t>
      </w:r>
    </w:p>
    <w:p w:rsidR="0095703D" w:rsidRPr="00343B28" w:rsidP="0095703D">
      <w:pPr>
        <w:ind w:firstLine="480"/>
      </w:pPr>
      <w:r>
        <w:rPr>
          <w:rFonts w:hint="eastAsia"/>
        </w:rPr>
        <w:t>（</w:t>
      </w:r>
      <w:r>
        <w:rPr>
          <w:rFonts w:hint="eastAsia"/>
        </w:rPr>
        <w:t>2</w:t>
      </w:r>
      <w:r>
        <w:rPr>
          <w:rFonts w:hint="eastAsia"/>
        </w:rPr>
        <w:t>）进行高并发数下的压力测试，并形成高压情境下的系统运行效率评估。</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125" w:name="_Toc140755615"/>
      <w:bookmarkStart w:id="126" w:name="_Toc31268"/>
      <w:bookmarkStart w:id="127" w:name="_Toc236245474"/>
      <w:r>
        <w:rPr>
          <w:rFonts w:hint="eastAsia"/>
        </w:rPr>
        <w:t>安全性要求</w:t>
      </w:r>
      <w:bookmarkEnd w:id="125"/>
      <w:bookmarkEnd w:id="126"/>
      <w:bookmarkEnd w:id="127"/>
    </w:p>
    <w:p w:rsidR="0095703D" w:rsidP="0095703D">
      <w:pPr>
        <w:ind w:firstLine="480"/>
      </w:pPr>
      <w:r>
        <w:rPr>
          <w:rFonts w:hint="eastAsia"/>
        </w:rPr>
        <w:t>必须考虑到数据安全，提供可信的授权管理服务，保护数据不被非法</w:t>
      </w:r>
      <w:r>
        <w:rPr>
          <w:rFonts w:hint="eastAsia"/>
        </w:rPr>
        <w:t>/</w:t>
      </w:r>
      <w:r>
        <w:rPr>
          <w:rFonts w:hint="eastAsia"/>
        </w:rPr>
        <w:t>越权访问和篡改。提供全流程的运行日志及安全管理功能，可追踪数据的历史使用情况。提供数据备份恢复策略、监测运维、数据故障处理等手段，实现对数据出现异常、崩溃性灾难时快速恢复能力，确保数据安全稳定。满足气象信息化系统工程安全评估要求，软件代码中无中、高危漏洞。</w:t>
      </w:r>
      <w:r w:rsidRPr="00343B28">
        <w:rPr>
          <w:rFonts w:hint="eastAsia"/>
        </w:rPr>
        <w:t>面对威胁数据安全情景设置快速响应机制，及时对恶意访问</w:t>
      </w:r>
      <w:r w:rsidRPr="00343B28">
        <w:rPr>
          <w:rFonts w:hint="eastAsia"/>
        </w:rPr>
        <w:t>IP</w:t>
      </w:r>
      <w:r w:rsidRPr="00343B28">
        <w:rPr>
          <w:rFonts w:hint="eastAsia"/>
        </w:rPr>
        <w:t>进行封禁处理并完成漏洞修复，并进行日志记录。</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128" w:name="_Toc140755616"/>
      <w:bookmarkStart w:id="129" w:name="_Toc4770"/>
      <w:bookmarkStart w:id="130" w:name="_Toc140468900"/>
      <w:bookmarkStart w:id="131" w:name="_Toc395794207"/>
      <w:bookmarkStart w:id="132" w:name="_Toc236245475"/>
      <w:r>
        <w:rPr>
          <w:rFonts w:hint="eastAsia"/>
        </w:rPr>
        <w:t>易用性要求</w:t>
      </w:r>
      <w:bookmarkEnd w:id="121"/>
      <w:bookmarkEnd w:id="122"/>
      <w:bookmarkEnd w:id="123"/>
      <w:bookmarkEnd w:id="128"/>
      <w:bookmarkEnd w:id="129"/>
      <w:bookmarkEnd w:id="130"/>
      <w:bookmarkEnd w:id="131"/>
      <w:bookmarkEnd w:id="132"/>
    </w:p>
    <w:p w:rsidR="0095703D" w:rsidP="0095703D">
      <w:pPr>
        <w:ind w:firstLine="480"/>
      </w:pPr>
      <w:r>
        <w:t>在日常的业务运行中，每天</w:t>
      </w:r>
      <w:r>
        <w:t>24</w:t>
      </w:r>
      <w:r>
        <w:t>小时不间断的自动运行，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rsidR="0095703D" w:rsidP="0095703D">
      <w:pPr>
        <w:tabs>
          <w:tab w:val="left" w:pos="420"/>
        </w:tabs>
        <w:ind w:left="420" w:firstLine="480"/>
      </w:pPr>
      <w:r>
        <w:rPr>
          <w:rFonts w:hint="eastAsia"/>
        </w:rPr>
        <w:t>（</w:t>
      </w:r>
      <w:r>
        <w:rPr>
          <w:rFonts w:hint="eastAsia"/>
        </w:rPr>
        <w:t>1</w:t>
      </w:r>
      <w:r>
        <w:rPr>
          <w:rFonts w:hint="eastAsia"/>
        </w:rPr>
        <w:t>）易理解性标准：</w:t>
      </w:r>
    </w:p>
    <w:p w:rsidR="0095703D" w:rsidP="0095703D">
      <w:pPr>
        <w:numPr>
          <w:ilvl w:val="1"/>
          <w:numId w:val="0"/>
        </w:numPr>
        <w:tabs>
          <w:tab w:val="left" w:pos="1260"/>
        </w:tabs>
        <w:ind w:firstLine="420" w:firstLineChars="200"/>
      </w:pPr>
      <w:r>
        <w:rPr>
          <w:rFonts w:hint="eastAsia"/>
        </w:rPr>
        <w:t>为开发引入的逻辑概念（例如，软件的体系结构、软件的层次划分与成分定义、软件及其输入输出项的命名和标识、操作员命令的命名等等）都是自然的和易于理解的，其指代的实体或事务及其适用范围也是明确的和无歧义的；</w:t>
      </w:r>
    </w:p>
    <w:p w:rsidR="0095703D" w:rsidP="0095703D">
      <w:pPr>
        <w:numPr>
          <w:ilvl w:val="1"/>
          <w:numId w:val="0"/>
        </w:numPr>
        <w:tabs>
          <w:tab w:val="left" w:pos="1260"/>
        </w:tabs>
        <w:ind w:firstLine="420" w:firstLineChars="200"/>
      </w:pPr>
      <w:r>
        <w:rPr>
          <w:rFonts w:hint="eastAsia"/>
        </w:rPr>
        <w:t>软件运行期内的各种监视显示信息是自描述的和图形、图像化的，与软件的逻辑概念和业务的物理概念是一致的和易于理解的。</w:t>
      </w:r>
    </w:p>
    <w:p w:rsidR="0095703D" w:rsidP="0095703D">
      <w:pPr>
        <w:tabs>
          <w:tab w:val="left" w:pos="420"/>
        </w:tabs>
        <w:ind w:left="420" w:firstLine="480"/>
      </w:pPr>
      <w:r>
        <w:rPr>
          <w:rFonts w:hint="eastAsia"/>
        </w:rPr>
        <w:t>（</w:t>
      </w:r>
      <w:r>
        <w:rPr>
          <w:rFonts w:hint="eastAsia"/>
        </w:rPr>
        <w:t>2</w:t>
      </w:r>
      <w:r>
        <w:rPr>
          <w:rFonts w:hint="eastAsia"/>
        </w:rPr>
        <w:t>）易学性标准：</w:t>
      </w:r>
    </w:p>
    <w:p w:rsidR="0095703D" w:rsidP="0095703D">
      <w:pPr>
        <w:numPr>
          <w:ilvl w:val="1"/>
          <w:numId w:val="0"/>
        </w:numPr>
        <w:tabs>
          <w:tab w:val="left" w:pos="1260"/>
        </w:tabs>
        <w:ind w:firstLine="420" w:firstLineChars="200"/>
      </w:pPr>
      <w:r>
        <w:rPr>
          <w:rFonts w:hint="eastAsia"/>
        </w:rPr>
        <w:t>用户手册准确无误、易读易懂，能够帮助一般用户很快地了解和使用系统。</w:t>
      </w:r>
    </w:p>
    <w:p w:rsidR="0095703D" w:rsidP="0095703D">
      <w:pPr>
        <w:tabs>
          <w:tab w:val="left" w:pos="420"/>
        </w:tabs>
        <w:ind w:left="420" w:firstLine="480"/>
      </w:pPr>
      <w:r>
        <w:rPr>
          <w:rFonts w:hint="eastAsia"/>
        </w:rPr>
        <w:t>（</w:t>
      </w:r>
      <w:r>
        <w:rPr>
          <w:rFonts w:hint="eastAsia"/>
        </w:rPr>
        <w:t>3</w:t>
      </w:r>
      <w:r>
        <w:rPr>
          <w:rFonts w:hint="eastAsia"/>
        </w:rPr>
        <w:t>）易操作性标准：</w:t>
      </w:r>
    </w:p>
    <w:p w:rsidR="0095703D" w:rsidP="0095703D">
      <w:pPr>
        <w:numPr>
          <w:ilvl w:val="1"/>
          <w:numId w:val="0"/>
        </w:numPr>
        <w:tabs>
          <w:tab w:val="left" w:pos="1260"/>
        </w:tabs>
        <w:ind w:firstLine="420" w:firstLineChars="200"/>
      </w:pPr>
      <w:r>
        <w:rPr>
          <w:rFonts w:hint="eastAsia"/>
        </w:rPr>
        <w:t>操作界面是图形化的，且具有菜单和快捷键等多种方式；</w:t>
      </w:r>
    </w:p>
    <w:p w:rsidR="0095703D" w:rsidP="0095703D">
      <w:pPr>
        <w:numPr>
          <w:ilvl w:val="1"/>
          <w:numId w:val="0"/>
        </w:numPr>
        <w:tabs>
          <w:tab w:val="left" w:pos="1260"/>
        </w:tabs>
        <w:ind w:firstLine="420" w:firstLineChars="200"/>
      </w:pPr>
      <w:r>
        <w:rPr>
          <w:rFonts w:hint="eastAsia"/>
        </w:rPr>
        <w:t>操作命令或菜单选择是可导引的，即可引导用户输入正确、完整的命令或完成正确的菜单选择。</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133" w:name="_Toc140755617"/>
      <w:bookmarkStart w:id="134" w:name="_Toc17121"/>
      <w:bookmarkStart w:id="135" w:name="_Toc395794208"/>
      <w:bookmarkStart w:id="136" w:name="_Toc86812816"/>
      <w:bookmarkStart w:id="137" w:name="_Toc391375344"/>
      <w:bookmarkStart w:id="138" w:name="_Toc90990261"/>
      <w:bookmarkStart w:id="139" w:name="_Toc140468901"/>
      <w:bookmarkStart w:id="140" w:name="_Toc236245476"/>
      <w:r>
        <w:rPr>
          <w:rFonts w:hint="eastAsia"/>
        </w:rPr>
        <w:t>维护性要求</w:t>
      </w:r>
      <w:bookmarkEnd w:id="133"/>
      <w:bookmarkEnd w:id="134"/>
      <w:bookmarkEnd w:id="135"/>
      <w:bookmarkEnd w:id="136"/>
      <w:bookmarkEnd w:id="137"/>
      <w:bookmarkEnd w:id="138"/>
      <w:bookmarkEnd w:id="139"/>
      <w:bookmarkEnd w:id="140"/>
    </w:p>
    <w:p w:rsidR="0095703D" w:rsidP="0095703D">
      <w:pPr>
        <w:ind w:firstLine="480"/>
      </w:pPr>
      <w:r>
        <w:t>应具有较好的可扩展性，为进一步的扩充和改造提供方便。除了要求软件本身具有良好的维护性外，还应当拥有离线的维护环境，以便在不影响正常业务的情况下进行软件的维护工作。对软件设计的要求应包括软件的易分析性、</w:t>
      </w:r>
      <w:r>
        <w:rPr>
          <w:rFonts w:hint="eastAsia"/>
        </w:rPr>
        <w:t>易改变性、</w:t>
      </w:r>
      <w:r>
        <w:t>稳定性和易测试性</w:t>
      </w:r>
      <w:r>
        <w:rPr>
          <w:rFonts w:hint="eastAsia"/>
        </w:rPr>
        <w:t>。</w:t>
      </w:r>
    </w:p>
    <w:p w:rsidR="0095703D" w:rsidP="0095703D">
      <w:pPr>
        <w:numPr>
          <w:ilvl w:val="1"/>
          <w:numId w:val="0"/>
        </w:numPr>
        <w:tabs>
          <w:tab w:val="left" w:pos="1260"/>
        </w:tabs>
        <w:ind w:firstLine="420" w:firstLineChars="200"/>
      </w:pPr>
      <w:r>
        <w:rPr>
          <w:rFonts w:hint="eastAsia"/>
        </w:rPr>
        <w:t>（</w:t>
      </w:r>
      <w:r>
        <w:rPr>
          <w:rFonts w:hint="eastAsia"/>
        </w:rPr>
        <w:t>1</w:t>
      </w:r>
      <w:r>
        <w:rPr>
          <w:rFonts w:hint="eastAsia"/>
        </w:rPr>
        <w:t>）易分析性标准：</w:t>
      </w:r>
    </w:p>
    <w:p w:rsidR="0095703D" w:rsidP="0095703D">
      <w:pPr>
        <w:numPr>
          <w:ilvl w:val="1"/>
          <w:numId w:val="0"/>
        </w:numPr>
        <w:tabs>
          <w:tab w:val="left" w:pos="1260"/>
        </w:tabs>
        <w:ind w:firstLine="420" w:firstLineChars="200"/>
      </w:pPr>
      <w:r>
        <w:rPr>
          <w:rFonts w:hint="eastAsia"/>
        </w:rPr>
        <w:t>所有应用软件能够捕获到的计算机系统故障或应用软件错误都应在尽可能低的级别上探查和捕获并以适当的形式记录或向操作员发送错误状态与报告；</w:t>
      </w:r>
    </w:p>
    <w:p w:rsidR="0095703D" w:rsidP="0095703D">
      <w:pPr>
        <w:numPr>
          <w:ilvl w:val="1"/>
          <w:numId w:val="0"/>
        </w:numPr>
        <w:tabs>
          <w:tab w:val="left" w:pos="1260"/>
        </w:tabs>
        <w:ind w:firstLine="420" w:firstLineChars="200"/>
      </w:pPr>
      <w:r>
        <w:rPr>
          <w:rFonts w:hint="eastAsia"/>
        </w:rPr>
        <w:t>错误状态和报告（或消息）应是统一编码、结构化和自描述的。即从错误状态码和错误消息正文串即可判断软件捕获到的错误的位置、类型和可能的原因；</w:t>
      </w:r>
    </w:p>
    <w:p w:rsidR="0095703D" w:rsidP="0095703D">
      <w:pPr>
        <w:numPr>
          <w:ilvl w:val="1"/>
          <w:numId w:val="0"/>
        </w:numPr>
        <w:tabs>
          <w:tab w:val="left" w:pos="1260"/>
        </w:tabs>
        <w:ind w:firstLine="420" w:firstLineChars="200"/>
      </w:pPr>
      <w:r>
        <w:rPr>
          <w:rFonts w:hint="eastAsia"/>
        </w:rPr>
        <w:t>错误报告（或消息）对于可预知（即可与程序的控制流程同步捕获到）的错误应能定位到独立的处理步骤或函数，不可预知（即不可与程序的控制流程同步捕获到）的错误应能定位到模块或进程。</w:t>
      </w:r>
    </w:p>
    <w:p w:rsidR="0095703D" w:rsidP="0095703D">
      <w:pPr>
        <w:numPr>
          <w:ilvl w:val="1"/>
          <w:numId w:val="0"/>
        </w:numPr>
        <w:tabs>
          <w:tab w:val="left" w:pos="1260"/>
        </w:tabs>
        <w:ind w:firstLine="420" w:firstLineChars="200"/>
      </w:pPr>
      <w:r>
        <w:rPr>
          <w:rFonts w:hint="eastAsia"/>
        </w:rPr>
        <w:t>（</w:t>
      </w:r>
      <w:r>
        <w:rPr>
          <w:rFonts w:hint="eastAsia"/>
        </w:rPr>
        <w:t>2</w:t>
      </w:r>
      <w:r>
        <w:rPr>
          <w:rFonts w:hint="eastAsia"/>
        </w:rPr>
        <w:t>）易改变性标准：</w:t>
      </w:r>
    </w:p>
    <w:p w:rsidR="0095703D" w:rsidP="0095703D">
      <w:pPr>
        <w:numPr>
          <w:ilvl w:val="1"/>
          <w:numId w:val="0"/>
        </w:numPr>
        <w:tabs>
          <w:tab w:val="left" w:pos="1260"/>
        </w:tabs>
        <w:ind w:firstLine="420" w:firstLineChars="200"/>
      </w:pPr>
      <w:r>
        <w:rPr>
          <w:rFonts w:hint="eastAsia"/>
        </w:rPr>
        <w:t>处理软件的任务及其任务环境参数可从外部配置和修改，并可从数据库中自动生成；</w:t>
      </w:r>
    </w:p>
    <w:p w:rsidR="0095703D" w:rsidP="0095703D">
      <w:pPr>
        <w:numPr>
          <w:ilvl w:val="1"/>
          <w:numId w:val="0"/>
        </w:numPr>
        <w:tabs>
          <w:tab w:val="left" w:pos="1260"/>
        </w:tabs>
        <w:ind w:firstLine="420" w:firstLineChars="200"/>
      </w:pPr>
      <w:r>
        <w:rPr>
          <w:rFonts w:hint="eastAsia"/>
        </w:rPr>
        <w:t>公用接口（包括错误状态码、常数等）结构应统一说明，所有对这些接口说明的引用都应当指向同一个说明实体。</w:t>
      </w:r>
    </w:p>
    <w:p w:rsidR="0095703D" w:rsidP="0095703D">
      <w:pPr>
        <w:numPr>
          <w:ilvl w:val="1"/>
          <w:numId w:val="0"/>
        </w:numPr>
        <w:tabs>
          <w:tab w:val="left" w:pos="1260"/>
        </w:tabs>
        <w:ind w:firstLine="420" w:firstLineChars="200"/>
      </w:pPr>
      <w:r>
        <w:rPr>
          <w:rFonts w:hint="eastAsia"/>
        </w:rPr>
        <w:t>（</w:t>
      </w:r>
      <w:r>
        <w:rPr>
          <w:rFonts w:hint="eastAsia"/>
        </w:rPr>
        <w:t>3</w:t>
      </w:r>
      <w:r>
        <w:rPr>
          <w:rFonts w:hint="eastAsia"/>
        </w:rPr>
        <w:t>）稳定性标准：</w:t>
      </w:r>
    </w:p>
    <w:p w:rsidR="0095703D" w:rsidP="0095703D">
      <w:pPr>
        <w:numPr>
          <w:ilvl w:val="1"/>
          <w:numId w:val="0"/>
        </w:numPr>
        <w:tabs>
          <w:tab w:val="left" w:pos="1260"/>
        </w:tabs>
        <w:ind w:firstLine="420" w:firstLineChars="200"/>
      </w:pPr>
      <w:r>
        <w:rPr>
          <w:rFonts w:hint="eastAsia"/>
        </w:rPr>
        <w:t>软件模块整体上应是结构化、层次化和功能单一的；</w:t>
      </w:r>
    </w:p>
    <w:p w:rsidR="0095703D" w:rsidP="0095703D">
      <w:pPr>
        <w:numPr>
          <w:ilvl w:val="1"/>
          <w:numId w:val="0"/>
        </w:numPr>
        <w:tabs>
          <w:tab w:val="left" w:pos="1260"/>
        </w:tabs>
        <w:ind w:firstLine="420" w:firstLineChars="200"/>
      </w:pPr>
      <w:r>
        <w:rPr>
          <w:rFonts w:hint="eastAsia"/>
        </w:rPr>
        <w:t>软件模块的处理和接口应是封装的。即处理的改变仅影响其所在的模块，接口的改变仅影响使用该接口的模块。</w:t>
      </w:r>
    </w:p>
    <w:p w:rsidR="0095703D" w:rsidP="0095703D">
      <w:pPr>
        <w:numPr>
          <w:ilvl w:val="1"/>
          <w:numId w:val="0"/>
        </w:numPr>
        <w:tabs>
          <w:tab w:val="left" w:pos="1260"/>
        </w:tabs>
        <w:ind w:firstLine="420" w:firstLineChars="200"/>
      </w:pPr>
      <w:r>
        <w:rPr>
          <w:rFonts w:hint="eastAsia"/>
        </w:rPr>
        <w:t>（</w:t>
      </w:r>
      <w:r>
        <w:rPr>
          <w:rFonts w:hint="eastAsia"/>
        </w:rPr>
        <w:t>4</w:t>
      </w:r>
      <w:r>
        <w:rPr>
          <w:rFonts w:hint="eastAsia"/>
        </w:rPr>
        <w:t>）易测试性标准：</w:t>
      </w:r>
    </w:p>
    <w:p w:rsidR="0095703D" w:rsidP="0095703D">
      <w:pPr>
        <w:numPr>
          <w:ilvl w:val="1"/>
          <w:numId w:val="0"/>
        </w:numPr>
        <w:tabs>
          <w:tab w:val="left" w:pos="1260"/>
        </w:tabs>
        <w:ind w:firstLine="420" w:firstLineChars="200"/>
      </w:pPr>
      <w:r>
        <w:rPr>
          <w:rFonts w:hint="eastAsia"/>
        </w:rPr>
        <w:t>软件接口是标准化的；</w:t>
      </w:r>
    </w:p>
    <w:p w:rsidR="0095703D" w:rsidP="0095703D">
      <w:pPr>
        <w:numPr>
          <w:ilvl w:val="1"/>
          <w:numId w:val="0"/>
        </w:numPr>
        <w:tabs>
          <w:tab w:val="left" w:pos="1260"/>
        </w:tabs>
        <w:ind w:firstLine="420" w:firstLineChars="200"/>
      </w:pPr>
      <w:r>
        <w:rPr>
          <w:rFonts w:hint="eastAsia"/>
        </w:rPr>
        <w:t>测试程序有测试模拟和工具软件支持，可自动或半自动执行；</w:t>
      </w:r>
    </w:p>
    <w:p w:rsidR="0095703D" w:rsidP="0095703D">
      <w:pPr>
        <w:numPr>
          <w:ilvl w:val="1"/>
          <w:numId w:val="0"/>
        </w:numPr>
        <w:tabs>
          <w:tab w:val="left" w:pos="1260"/>
        </w:tabs>
        <w:ind w:firstLine="420" w:firstLineChars="200"/>
      </w:pPr>
      <w:r>
        <w:rPr>
          <w:rFonts w:hint="eastAsia"/>
        </w:rPr>
        <w:t>测试程序是可固化和可重复的。</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141" w:name="_Toc86812817"/>
      <w:bookmarkStart w:id="142" w:name="_Toc29546"/>
      <w:bookmarkStart w:id="143" w:name="_Toc391375345"/>
      <w:bookmarkStart w:id="144" w:name="_Toc140468902"/>
      <w:bookmarkStart w:id="145" w:name="_Toc395794209"/>
      <w:bookmarkStart w:id="146" w:name="_Toc140755618"/>
      <w:bookmarkStart w:id="147" w:name="_Toc90990262"/>
      <w:bookmarkStart w:id="148" w:name="_Toc236245477"/>
      <w:r>
        <w:rPr>
          <w:rFonts w:hint="eastAsia"/>
        </w:rPr>
        <w:t>可移植性要求</w:t>
      </w:r>
      <w:bookmarkEnd w:id="141"/>
      <w:bookmarkEnd w:id="142"/>
      <w:bookmarkEnd w:id="143"/>
      <w:bookmarkEnd w:id="144"/>
      <w:bookmarkEnd w:id="145"/>
      <w:bookmarkEnd w:id="146"/>
      <w:bookmarkEnd w:id="147"/>
      <w:bookmarkEnd w:id="148"/>
    </w:p>
    <w:p w:rsidR="0095703D" w:rsidP="0095703D">
      <w:pPr>
        <w:numPr>
          <w:ilvl w:val="1"/>
          <w:numId w:val="0"/>
        </w:numPr>
        <w:tabs>
          <w:tab w:val="left" w:pos="1260"/>
        </w:tabs>
        <w:ind w:firstLine="420" w:firstLineChars="200"/>
      </w:pPr>
      <w:r>
        <w:rPr>
          <w:rFonts w:hint="eastAsia"/>
        </w:rPr>
        <w:t>（</w:t>
      </w:r>
      <w:r>
        <w:rPr>
          <w:rFonts w:hint="eastAsia"/>
        </w:rPr>
        <w:t>1</w:t>
      </w:r>
      <w:r>
        <w:rPr>
          <w:rFonts w:hint="eastAsia"/>
        </w:rPr>
        <w:t>）适应性标准：</w:t>
      </w:r>
    </w:p>
    <w:p w:rsidR="0095703D" w:rsidP="0095703D">
      <w:pPr>
        <w:numPr>
          <w:ilvl w:val="1"/>
          <w:numId w:val="0"/>
        </w:numPr>
        <w:tabs>
          <w:tab w:val="left" w:pos="1260"/>
        </w:tabs>
        <w:ind w:firstLine="420" w:firstLineChars="200"/>
      </w:pPr>
      <w:r>
        <w:rPr>
          <w:rFonts w:hint="eastAsia"/>
        </w:rPr>
        <w:t>功能、模块也是外部可配置的，以适应不同的应用环境。</w:t>
      </w:r>
    </w:p>
    <w:p w:rsidR="0095703D" w:rsidP="0095703D">
      <w:pPr>
        <w:numPr>
          <w:ilvl w:val="1"/>
          <w:numId w:val="0"/>
        </w:numPr>
        <w:tabs>
          <w:tab w:val="left" w:pos="1260"/>
        </w:tabs>
        <w:ind w:firstLine="420" w:firstLineChars="200"/>
      </w:pPr>
      <w:r>
        <w:rPr>
          <w:rFonts w:hint="eastAsia"/>
        </w:rPr>
        <w:t>（</w:t>
      </w:r>
      <w:r>
        <w:rPr>
          <w:rFonts w:hint="eastAsia"/>
        </w:rPr>
        <w:t>2</w:t>
      </w:r>
      <w:r>
        <w:rPr>
          <w:rFonts w:hint="eastAsia"/>
        </w:rPr>
        <w:t>）易安装性标准：</w:t>
      </w:r>
    </w:p>
    <w:p w:rsidR="0095703D" w:rsidP="0095703D">
      <w:pPr>
        <w:numPr>
          <w:ilvl w:val="1"/>
          <w:numId w:val="0"/>
        </w:numPr>
        <w:tabs>
          <w:tab w:val="left" w:pos="1260"/>
        </w:tabs>
        <w:ind w:firstLine="420" w:firstLineChars="200"/>
      </w:pPr>
      <w:r>
        <w:rPr>
          <w:rFonts w:hint="eastAsia"/>
        </w:rPr>
        <w:t>通过简单配置实现软件的安装和升级过程。</w:t>
      </w:r>
    </w:p>
    <w:p w:rsidR="0095703D" w:rsidP="0095703D">
      <w:pPr>
        <w:numPr>
          <w:ilvl w:val="1"/>
          <w:numId w:val="0"/>
        </w:numPr>
        <w:tabs>
          <w:tab w:val="left" w:pos="1260"/>
        </w:tabs>
        <w:ind w:firstLine="420" w:firstLineChars="200"/>
      </w:pPr>
      <w:r>
        <w:rPr>
          <w:rFonts w:hint="eastAsia"/>
        </w:rPr>
        <w:t>（</w:t>
      </w:r>
      <w:r>
        <w:rPr>
          <w:rFonts w:hint="eastAsia"/>
        </w:rPr>
        <w:t>3</w:t>
      </w:r>
      <w:r>
        <w:rPr>
          <w:rFonts w:hint="eastAsia"/>
        </w:rPr>
        <w:t>）易替换性标准：</w:t>
      </w:r>
    </w:p>
    <w:p w:rsidR="0095703D" w:rsidP="0095703D">
      <w:pPr>
        <w:numPr>
          <w:ilvl w:val="1"/>
          <w:numId w:val="0"/>
        </w:numPr>
        <w:tabs>
          <w:tab w:val="left" w:pos="1260"/>
        </w:tabs>
        <w:ind w:firstLine="420" w:firstLineChars="200"/>
      </w:pPr>
      <w:r>
        <w:rPr>
          <w:rFonts w:hint="eastAsia"/>
        </w:rPr>
        <w:t>软件单元（计算机软部件设计中确定的能单独测试的一部分软件）是静态可替换的；</w:t>
      </w:r>
    </w:p>
    <w:p w:rsidR="0095703D" w:rsidP="0095703D">
      <w:pPr>
        <w:numPr>
          <w:ilvl w:val="1"/>
          <w:numId w:val="0"/>
        </w:numPr>
        <w:tabs>
          <w:tab w:val="left" w:pos="1260"/>
        </w:tabs>
        <w:ind w:firstLine="420" w:firstLineChars="200"/>
      </w:pPr>
      <w:r>
        <w:rPr>
          <w:rFonts w:hint="eastAsia"/>
        </w:rPr>
        <w:t>关键进程是动态可替换的。</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149" w:name="_Toc391375346"/>
      <w:bookmarkStart w:id="150" w:name="_Toc395794210"/>
      <w:bookmarkStart w:id="151" w:name="_Toc140468903"/>
      <w:bookmarkStart w:id="152" w:name="_Toc21167"/>
      <w:bookmarkStart w:id="153" w:name="_Toc140755619"/>
      <w:bookmarkStart w:id="154" w:name="_Toc236245478"/>
      <w:r>
        <w:rPr>
          <w:rFonts w:hint="eastAsia"/>
        </w:rPr>
        <w:t>可扩展性要求</w:t>
      </w:r>
      <w:bookmarkEnd w:id="149"/>
      <w:bookmarkEnd w:id="150"/>
      <w:bookmarkEnd w:id="151"/>
      <w:bookmarkEnd w:id="152"/>
      <w:bookmarkEnd w:id="153"/>
      <w:bookmarkEnd w:id="154"/>
    </w:p>
    <w:p w:rsidR="0095703D" w:rsidP="0095703D">
      <w:pPr>
        <w:ind w:firstLine="480"/>
      </w:pPr>
      <w:r>
        <w:rPr>
          <w:rFonts w:hint="eastAsia"/>
        </w:rPr>
        <w:t>本系统应具有较好的可扩展性，为系统的进一步扩充和改造提供方便。</w:t>
      </w:r>
    </w:p>
    <w:p w:rsidR="0095703D" w:rsidP="0095703D">
      <w:pPr>
        <w:ind w:firstLine="480"/>
      </w:pPr>
      <w:r>
        <w:rPr>
          <w:rFonts w:hint="eastAsia"/>
        </w:rPr>
        <w:t>本期项目建设要兼顾后续的系统维护与升级。系统应能通过快速的配置，实现对各种气象资料的链接和显示支持。系统以参数化设计，建立完善的系统配置参数表以支持数据类型、属性结构的扩充，达到对未来</w:t>
      </w:r>
      <w:r>
        <w:t>气象数据服务的扩展</w:t>
      </w:r>
      <w:r>
        <w:rPr>
          <w:rFonts w:hint="eastAsia"/>
        </w:rPr>
        <w:t>要求。系统同时以参数化的形式设置数据的安全级别和可访问性，实行服务管理的动态控制。</w:t>
      </w:r>
    </w:p>
    <w:p w:rsidR="0095703D" w:rsidP="0095703D">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155" w:name="_Toc236245479"/>
      <w:r>
        <w:rPr>
          <w:rFonts w:hint="eastAsia"/>
        </w:rPr>
        <w:t>国产适配性要求</w:t>
      </w:r>
      <w:bookmarkEnd w:id="155"/>
    </w:p>
    <w:p w:rsidR="0095703D" w:rsidP="0095703D">
      <w:pPr>
        <w:ind w:firstLine="480"/>
      </w:pPr>
      <w:r>
        <w:rPr>
          <w:rFonts w:hint="eastAsia"/>
        </w:rPr>
        <w:t>本系统应具备国产适配能力，应对未来国产化趋势</w:t>
      </w:r>
      <w:r>
        <w:rPr>
          <w:rFonts w:hint="eastAsia"/>
        </w:rPr>
        <w:t>.</w:t>
      </w:r>
    </w:p>
    <w:p w:rsidR="0095703D" w:rsidP="0095703D">
      <w:pPr>
        <w:ind w:firstLine="480"/>
      </w:pPr>
      <w:r>
        <w:rPr>
          <w:rFonts w:hint="eastAsia"/>
        </w:rPr>
        <w:t>本期项目建设要兼顾后续的系统国产化进程。当服务器或者其他硬件组件替换为国产化产品后，不应出现系统反应速度大幅下降、系统崩溃等重大事故。为此，系统需要在国产化软硬件环境下进行充分的性能测试，并提供针对国产化环境的详细技术支持服务、配置手册、安装指南等，快速响应国产化过程中出现的用户问题。</w:t>
      </w:r>
    </w:p>
    <w:p w:rsidR="0095703D" w:rsidP="0095703D">
      <w:pPr>
        <w:pStyle w:val="Heading1"/>
        <w:keepNext/>
        <w:keepLines/>
        <w:widowControl w:val="0"/>
        <w:numPr>
          <w:numId w:val="4"/>
        </w:numPr>
        <w:tabs>
          <w:tab w:val="left" w:pos="480"/>
        </w:tabs>
        <w:spacing w:before="156" w:beforeLines="50" w:after="156" w:afterLines="50" w:line="360" w:lineRule="auto"/>
        <w:ind w:left="0" w:firstLine="0"/>
        <w:jc w:val="left"/>
      </w:pPr>
      <w:bookmarkStart w:id="156" w:name="_Toc176757447"/>
      <w:bookmarkStart w:id="157" w:name="_Toc140468904"/>
      <w:bookmarkStart w:id="158" w:name="_Toc140755620"/>
      <w:bookmarkStart w:id="159" w:name="_Toc176762294"/>
      <w:bookmarkStart w:id="160" w:name="_Toc1073"/>
      <w:bookmarkStart w:id="161" w:name="_Toc138148071"/>
      <w:bookmarkStart w:id="162" w:name="_Toc161475271"/>
      <w:bookmarkStart w:id="163" w:name="_Toc176762809"/>
      <w:r>
        <w:t xml:space="preserve"> </w:t>
      </w:r>
      <w:bookmarkStart w:id="164" w:name="_Toc236245480"/>
      <w:r>
        <w:t>设计约束与要求</w:t>
      </w:r>
      <w:bookmarkEnd w:id="156"/>
      <w:bookmarkEnd w:id="157"/>
      <w:bookmarkEnd w:id="158"/>
      <w:bookmarkEnd w:id="159"/>
      <w:bookmarkEnd w:id="160"/>
      <w:bookmarkEnd w:id="161"/>
      <w:bookmarkEnd w:id="162"/>
      <w:bookmarkEnd w:id="163"/>
      <w:bookmarkEnd w:id="164"/>
    </w:p>
    <w:p w:rsidR="0095703D" w:rsidP="0095703D">
      <w:pPr>
        <w:numPr>
          <w:ilvl w:val="1"/>
          <w:numId w:val="0"/>
        </w:numPr>
        <w:tabs>
          <w:tab w:val="left" w:pos="1260"/>
        </w:tabs>
        <w:ind w:firstLine="420" w:firstLineChars="200"/>
      </w:pPr>
      <w:r>
        <w:rPr>
          <w:rFonts w:hint="eastAsia"/>
        </w:rPr>
        <w:t>（</w:t>
      </w:r>
      <w:r>
        <w:rPr>
          <w:rFonts w:hint="eastAsia"/>
        </w:rPr>
        <w:t>1</w:t>
      </w:r>
      <w:r>
        <w:rPr>
          <w:rFonts w:hint="eastAsia"/>
        </w:rPr>
        <w:t>）所有资源建设，应来自于“天擎”大数据云平台资源池。</w:t>
      </w:r>
    </w:p>
    <w:p w:rsidR="0095703D" w:rsidP="0095703D">
      <w:pPr>
        <w:numPr>
          <w:ilvl w:val="1"/>
          <w:numId w:val="0"/>
        </w:numPr>
        <w:tabs>
          <w:tab w:val="left" w:pos="1260"/>
        </w:tabs>
        <w:ind w:firstLine="420" w:firstLineChars="200"/>
      </w:pPr>
      <w:r>
        <w:rPr>
          <w:rFonts w:hint="eastAsia"/>
        </w:rPr>
        <w:t>（</w:t>
      </w:r>
      <w:r>
        <w:rPr>
          <w:rFonts w:hint="eastAsia"/>
        </w:rPr>
        <w:t>2</w:t>
      </w:r>
      <w:r>
        <w:rPr>
          <w:rFonts w:hint="eastAsia"/>
        </w:rPr>
        <w:t>）所有服务产品及元数据，应来自“天擎”气象大数据云平台存储。</w:t>
      </w:r>
    </w:p>
    <w:p w:rsidR="0095703D" w:rsidP="0095703D">
      <w:pPr>
        <w:numPr>
          <w:ilvl w:val="1"/>
          <w:numId w:val="0"/>
        </w:numPr>
        <w:tabs>
          <w:tab w:val="left" w:pos="1260"/>
        </w:tabs>
        <w:ind w:firstLine="420" w:firstLineChars="200"/>
      </w:pPr>
      <w:r>
        <w:rPr>
          <w:rFonts w:hint="eastAsia"/>
        </w:rPr>
        <w:t>（</w:t>
      </w:r>
      <w:r>
        <w:rPr>
          <w:rFonts w:hint="eastAsia"/>
        </w:rPr>
        <w:t>3</w:t>
      </w:r>
      <w:r>
        <w:rPr>
          <w:rFonts w:hint="eastAsia"/>
        </w:rPr>
        <w:t>）采用成熟可靠的技术、遵循通用开放的标准，构建安全、可靠、实时、易用的服</w:t>
      </w:r>
      <w:r>
        <w:rPr>
          <w:rFonts w:hint="eastAsia"/>
        </w:rPr>
        <w:t>务平台；</w:t>
      </w:r>
    </w:p>
    <w:p w:rsidR="0095703D" w:rsidP="0095703D">
      <w:pPr>
        <w:numPr>
          <w:ilvl w:val="1"/>
          <w:numId w:val="0"/>
        </w:numPr>
        <w:tabs>
          <w:tab w:val="left" w:pos="1260"/>
        </w:tabs>
        <w:ind w:firstLine="420" w:firstLineChars="200"/>
      </w:pPr>
      <w:r>
        <w:rPr>
          <w:rFonts w:hint="eastAsia"/>
        </w:rPr>
        <w:t>（</w:t>
      </w:r>
      <w:r>
        <w:rPr>
          <w:rFonts w:hint="eastAsia"/>
        </w:rPr>
        <w:t>4</w:t>
      </w:r>
      <w:r>
        <w:rPr>
          <w:rFonts w:hint="eastAsia"/>
        </w:rPr>
        <w:t>）</w:t>
      </w:r>
      <w:r>
        <w:rPr>
          <w:rFonts w:hint="eastAsia"/>
        </w:rPr>
        <w:t>B/S</w:t>
      </w:r>
      <w:r>
        <w:rPr>
          <w:rFonts w:hint="eastAsia"/>
        </w:rPr>
        <w:t>系统采用</w:t>
      </w:r>
      <w:r>
        <w:rPr>
          <w:rFonts w:hint="eastAsia"/>
        </w:rPr>
        <w:t>JAVAEE</w:t>
      </w:r>
      <w:r>
        <w:rPr>
          <w:rFonts w:hint="eastAsia"/>
        </w:rPr>
        <w:t>（</w:t>
      </w:r>
      <w:r>
        <w:rPr>
          <w:rFonts w:hint="eastAsia"/>
        </w:rPr>
        <w:t>J2EE</w:t>
      </w:r>
      <w:r>
        <w:rPr>
          <w:rFonts w:hint="eastAsia"/>
        </w:rPr>
        <w:t>）技术架构，系统界面采用浏览器方式；</w:t>
      </w:r>
    </w:p>
    <w:p w:rsidR="0095703D" w:rsidP="0095703D">
      <w:pPr>
        <w:numPr>
          <w:ilvl w:val="1"/>
          <w:numId w:val="0"/>
        </w:numPr>
        <w:tabs>
          <w:tab w:val="left" w:pos="1260"/>
        </w:tabs>
        <w:ind w:firstLine="420" w:firstLineChars="200"/>
      </w:pPr>
      <w:r>
        <w:rPr>
          <w:rFonts w:hint="eastAsia"/>
        </w:rPr>
        <w:t>（</w:t>
      </w:r>
      <w:r>
        <w:rPr>
          <w:rFonts w:hint="eastAsia"/>
        </w:rPr>
        <w:t>5</w:t>
      </w:r>
      <w:r>
        <w:rPr>
          <w:rFonts w:hint="eastAsia"/>
        </w:rPr>
        <w:t>）在技术实现上要满足系统后台运行环境支持</w:t>
      </w:r>
      <w:r>
        <w:rPr>
          <w:rFonts w:hint="eastAsia"/>
        </w:rPr>
        <w:t>Linux</w:t>
      </w:r>
      <w:r>
        <w:rPr>
          <w:rFonts w:hint="eastAsia"/>
        </w:rPr>
        <w:t>、</w:t>
      </w:r>
      <w:r>
        <w:rPr>
          <w:rFonts w:hint="eastAsia"/>
        </w:rPr>
        <w:t>Windows</w:t>
      </w:r>
      <w:r>
        <w:rPr>
          <w:rFonts w:hint="eastAsia"/>
        </w:rPr>
        <w:t>等主流操作系统，部署环境支持云平台；服务器、存储和虚拟化软件技术产品与现有云平台软硬件环境完全兼容、无缝整合、协同工作，不影响原有业务运行。</w:t>
      </w:r>
    </w:p>
    <w:p w:rsidR="0095703D" w:rsidP="0095703D">
      <w:pPr>
        <w:numPr>
          <w:ilvl w:val="1"/>
          <w:numId w:val="0"/>
        </w:numPr>
        <w:tabs>
          <w:tab w:val="left" w:pos="1260"/>
        </w:tabs>
        <w:ind w:firstLine="420" w:firstLineChars="200"/>
      </w:pPr>
      <w:r>
        <w:rPr>
          <w:rFonts w:hint="eastAsia"/>
        </w:rPr>
        <w:t>（</w:t>
      </w:r>
      <w:r>
        <w:rPr>
          <w:rFonts w:hint="eastAsia"/>
        </w:rPr>
        <w:t>6</w:t>
      </w:r>
      <w:r>
        <w:rPr>
          <w:rFonts w:hint="eastAsia"/>
        </w:rPr>
        <w:t>）支持并兼容</w:t>
      </w:r>
      <w:r>
        <w:rPr>
          <w:rFonts w:hint="eastAsia"/>
        </w:rPr>
        <w:t>Chrome</w:t>
      </w:r>
      <w:r>
        <w:rPr>
          <w:rFonts w:hint="eastAsia"/>
        </w:rPr>
        <w:t>、</w:t>
      </w:r>
      <w:r>
        <w:rPr>
          <w:rFonts w:hint="eastAsia"/>
        </w:rPr>
        <w:t>Firefox</w:t>
      </w:r>
      <w:r>
        <w:rPr>
          <w:rFonts w:hint="eastAsia"/>
        </w:rPr>
        <w:t>等主流浏览器的最新版本。</w:t>
      </w:r>
    </w:p>
    <w:p w:rsidR="0095703D" w:rsidRPr="00343B28" w:rsidP="0095703D">
      <w:pPr>
        <w:ind w:firstLine="480"/>
      </w:pPr>
    </w:p>
    <w:p w:rsidR="0095703D" w:rsidRPr="00282B45" w:rsidP="0095703D">
      <w:pPr>
        <w:ind w:firstLine="480"/>
      </w:pPr>
    </w:p>
    <w:p w:rsidR="0095703D" w:rsidRPr="000E46AE" w:rsidP="0095703D">
      <w:pPr>
        <w:pStyle w:val="Heading1"/>
        <w:keepNext/>
        <w:keepLines/>
        <w:widowControl w:val="0"/>
        <w:numPr>
          <w:numId w:val="4"/>
        </w:numPr>
        <w:tabs>
          <w:tab w:val="left" w:pos="480"/>
        </w:tabs>
        <w:spacing w:before="156" w:beforeLines="50" w:after="156" w:afterLines="50" w:line="360" w:lineRule="auto"/>
        <w:ind w:left="425" w:firstLine="0"/>
        <w:jc w:val="left"/>
      </w:pPr>
      <w:bookmarkStart w:id="165" w:name="_Toc236245481"/>
      <w:r>
        <w:rPr>
          <w:rFonts w:hint="eastAsia"/>
        </w:rPr>
        <w:t>项目实施要求</w:t>
      </w:r>
      <w:bookmarkEnd w:id="165"/>
    </w:p>
    <w:p w:rsidR="0095703D" w:rsidP="0095703D">
      <w:pPr>
        <w:pStyle w:val="Heading2"/>
        <w:keepNext/>
        <w:keepLines/>
        <w:widowControl w:val="0"/>
        <w:numPr>
          <w:ilvl w:val="1"/>
          <w:numId w:val="4"/>
        </w:numPr>
        <w:tabs>
          <w:tab w:val="left" w:pos="480"/>
        </w:tabs>
        <w:spacing w:before="156" w:beforeLines="50" w:after="156" w:afterLines="50" w:line="360" w:lineRule="auto"/>
        <w:ind w:left="425" w:firstLine="0"/>
        <w:jc w:val="left"/>
      </w:pPr>
      <w:bookmarkStart w:id="166" w:name="_Toc236245482"/>
      <w:r>
        <w:rPr>
          <w:rFonts w:hint="eastAsia"/>
        </w:rPr>
        <w:t>项目进度要求</w:t>
      </w:r>
      <w:bookmarkEnd w:id="166"/>
    </w:p>
    <w:p w:rsidR="0095703D" w:rsidP="0095703D">
      <w:pPr>
        <w:ind w:firstLine="480"/>
      </w:pPr>
      <w:r w:rsidRPr="00E07CFC">
        <w:t>本项目要求完全按软件工程的方法和过程实施，其研制过程主要包括需求分析、概要设计、详细设计与编码调试、测试与系统集成、试运行、系统验收六个阶段，研制周期为</w:t>
      </w:r>
      <w:r w:rsidRPr="00E07CFC">
        <w:t>12</w:t>
      </w:r>
      <w:r w:rsidRPr="00E07CFC">
        <w:t>个月，下表给出了任务各阶段的进度要求：</w:t>
      </w:r>
    </w:p>
    <w:tbl>
      <w:tblPr>
        <w:tblStyle w:val="TableNormal"/>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96"/>
        <w:gridCol w:w="1418"/>
        <w:gridCol w:w="5599"/>
      </w:tblGrid>
      <w:tr w:rsidTr="00B74594">
        <w:tblPrEx>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696" w:type="dxa"/>
            <w:shd w:val="clear" w:color="auto" w:fill="D0CECE"/>
            <w:vAlign w:val="center"/>
          </w:tcPr>
          <w:p w:rsidR="0095703D" w:rsidRPr="004F6AC2" w:rsidP="00B74594">
            <w:pPr>
              <w:pStyle w:val="HXLC-"/>
              <w:jc w:val="center"/>
              <w:rPr>
                <w:b/>
                <w:bCs/>
              </w:rPr>
            </w:pPr>
            <w:r w:rsidRPr="004F6AC2">
              <w:rPr>
                <w:b/>
                <w:bCs/>
              </w:rPr>
              <w:t>软件研发过程</w:t>
            </w:r>
          </w:p>
        </w:tc>
        <w:tc>
          <w:tcPr>
            <w:tcW w:w="1418" w:type="dxa"/>
            <w:shd w:val="clear" w:color="auto" w:fill="D0CECE"/>
            <w:vAlign w:val="center"/>
          </w:tcPr>
          <w:p w:rsidR="0095703D" w:rsidRPr="004F6AC2" w:rsidP="00B74594">
            <w:pPr>
              <w:pStyle w:val="HXLC-"/>
              <w:jc w:val="center"/>
              <w:rPr>
                <w:b/>
                <w:bCs/>
              </w:rPr>
            </w:pPr>
            <w:r w:rsidRPr="004F6AC2">
              <w:rPr>
                <w:b/>
                <w:bCs/>
              </w:rPr>
              <w:t>进度要求</w:t>
            </w:r>
          </w:p>
        </w:tc>
        <w:tc>
          <w:tcPr>
            <w:tcW w:w="5599" w:type="dxa"/>
            <w:shd w:val="clear" w:color="auto" w:fill="D0CECE"/>
            <w:vAlign w:val="center"/>
          </w:tcPr>
          <w:p w:rsidR="0095703D" w:rsidRPr="004F6AC2" w:rsidP="00B74594">
            <w:pPr>
              <w:pStyle w:val="HXLC-"/>
              <w:jc w:val="center"/>
              <w:rPr>
                <w:b/>
                <w:bCs/>
              </w:rPr>
            </w:pPr>
            <w:r w:rsidRPr="004F6AC2">
              <w:rPr>
                <w:b/>
                <w:bCs/>
              </w:rPr>
              <w:t>基本要求</w:t>
            </w:r>
          </w:p>
        </w:tc>
      </w:tr>
      <w:tr w:rsidTr="00B74594">
        <w:tblPrEx>
          <w:tblW w:w="8713" w:type="dxa"/>
          <w:jc w:val="center"/>
          <w:tblLook w:val="0000"/>
        </w:tblPrEx>
        <w:trPr>
          <w:jc w:val="center"/>
        </w:trPr>
        <w:tc>
          <w:tcPr>
            <w:tcW w:w="1696" w:type="dxa"/>
            <w:vAlign w:val="center"/>
          </w:tcPr>
          <w:p w:rsidR="0095703D" w:rsidP="00B74594">
            <w:pPr>
              <w:pStyle w:val="HXLC-"/>
            </w:pPr>
            <w:r w:rsidRPr="00C23A89">
              <w:rPr>
                <w:szCs w:val="21"/>
              </w:rPr>
              <w:t>需求分析</w:t>
            </w:r>
          </w:p>
        </w:tc>
        <w:tc>
          <w:tcPr>
            <w:tcW w:w="1418" w:type="dxa"/>
            <w:vAlign w:val="center"/>
          </w:tcPr>
          <w:p w:rsidR="0095703D" w:rsidP="00B74594">
            <w:pPr>
              <w:pStyle w:val="HXLC-"/>
            </w:pPr>
            <w:r>
              <w:rPr>
                <w:rFonts w:hint="eastAsia"/>
                <w:szCs w:val="21"/>
              </w:rPr>
              <w:t>1</w:t>
            </w:r>
          </w:p>
        </w:tc>
        <w:tc>
          <w:tcPr>
            <w:tcW w:w="5599" w:type="dxa"/>
            <w:vAlign w:val="center"/>
          </w:tcPr>
          <w:p w:rsidR="0095703D" w:rsidP="00B74594">
            <w:pPr>
              <w:pStyle w:val="HXLC-"/>
            </w:pPr>
            <w:r w:rsidRPr="00C23A89">
              <w:rPr>
                <w:rFonts w:hint="eastAsia"/>
                <w:szCs w:val="21"/>
              </w:rPr>
              <w:t>完成任务书中</w:t>
            </w:r>
            <w:r w:rsidRPr="00C23A89">
              <w:rPr>
                <w:szCs w:val="21"/>
              </w:rPr>
              <w:t>所有软件功能的分析</w:t>
            </w:r>
            <w:r w:rsidRPr="00C23A89">
              <w:rPr>
                <w:rFonts w:hint="eastAsia"/>
                <w:szCs w:val="21"/>
              </w:rPr>
              <w:t>，</w:t>
            </w:r>
            <w:r w:rsidRPr="00C23A89">
              <w:rPr>
                <w:szCs w:val="21"/>
              </w:rPr>
              <w:t>提交软件需求阶段应提交的各类文档，通过</w:t>
            </w:r>
            <w:r w:rsidRPr="00C23A89">
              <w:rPr>
                <w:rFonts w:hint="eastAsia"/>
                <w:szCs w:val="21"/>
              </w:rPr>
              <w:t>甲方组织的评审</w:t>
            </w:r>
          </w:p>
        </w:tc>
      </w:tr>
      <w:tr w:rsidTr="00B74594">
        <w:tblPrEx>
          <w:tblW w:w="8713" w:type="dxa"/>
          <w:jc w:val="center"/>
          <w:tblLook w:val="0000"/>
        </w:tblPrEx>
        <w:trPr>
          <w:jc w:val="center"/>
        </w:trPr>
        <w:tc>
          <w:tcPr>
            <w:tcW w:w="1696" w:type="dxa"/>
            <w:vAlign w:val="center"/>
          </w:tcPr>
          <w:p w:rsidR="0095703D" w:rsidP="00B74594">
            <w:pPr>
              <w:pStyle w:val="HXLC-"/>
            </w:pPr>
            <w:r w:rsidRPr="00C23A89">
              <w:rPr>
                <w:szCs w:val="21"/>
              </w:rPr>
              <w:t>概要设计</w:t>
            </w:r>
          </w:p>
        </w:tc>
        <w:tc>
          <w:tcPr>
            <w:tcW w:w="1418" w:type="dxa"/>
            <w:vAlign w:val="center"/>
          </w:tcPr>
          <w:p w:rsidR="0095703D" w:rsidP="00B74594">
            <w:pPr>
              <w:pStyle w:val="HXLC-"/>
            </w:pPr>
            <w:r w:rsidRPr="00C23A89">
              <w:rPr>
                <w:rFonts w:hint="eastAsia"/>
                <w:szCs w:val="21"/>
              </w:rPr>
              <w:t>1</w:t>
            </w:r>
          </w:p>
        </w:tc>
        <w:tc>
          <w:tcPr>
            <w:tcW w:w="5599" w:type="dxa"/>
            <w:vAlign w:val="center"/>
          </w:tcPr>
          <w:p w:rsidR="0095703D" w:rsidP="00B74594">
            <w:pPr>
              <w:pStyle w:val="HXLC-"/>
            </w:pPr>
            <w:r w:rsidRPr="00C23A89">
              <w:rPr>
                <w:rFonts w:hint="eastAsia"/>
                <w:szCs w:val="21"/>
              </w:rPr>
              <w:t>完成任务书中</w:t>
            </w:r>
            <w:r w:rsidRPr="00C23A89">
              <w:rPr>
                <w:szCs w:val="21"/>
              </w:rPr>
              <w:t>所有软件功能的</w:t>
            </w:r>
            <w:r w:rsidRPr="00C23A89">
              <w:rPr>
                <w:rFonts w:hint="eastAsia"/>
                <w:szCs w:val="21"/>
              </w:rPr>
              <w:t>设计，</w:t>
            </w:r>
            <w:r w:rsidRPr="00C23A89">
              <w:rPr>
                <w:szCs w:val="21"/>
              </w:rPr>
              <w:t>提交概要设计阶段应提交的各类文档，提供客户端原型设计，通过</w:t>
            </w:r>
            <w:r w:rsidRPr="00C23A89">
              <w:rPr>
                <w:rFonts w:hint="eastAsia"/>
                <w:szCs w:val="21"/>
              </w:rPr>
              <w:t>甲方组织的评审</w:t>
            </w:r>
          </w:p>
        </w:tc>
      </w:tr>
      <w:tr w:rsidTr="00B74594">
        <w:tblPrEx>
          <w:tblW w:w="8713" w:type="dxa"/>
          <w:jc w:val="center"/>
          <w:tblLook w:val="0000"/>
        </w:tblPrEx>
        <w:trPr>
          <w:jc w:val="center"/>
        </w:trPr>
        <w:tc>
          <w:tcPr>
            <w:tcW w:w="1696" w:type="dxa"/>
            <w:vAlign w:val="center"/>
          </w:tcPr>
          <w:p w:rsidR="0095703D" w:rsidP="00B74594">
            <w:pPr>
              <w:pStyle w:val="HXLC-"/>
            </w:pPr>
            <w:r w:rsidRPr="00C23A89">
              <w:rPr>
                <w:szCs w:val="21"/>
              </w:rPr>
              <w:t>详细设计与编码调试</w:t>
            </w:r>
          </w:p>
        </w:tc>
        <w:tc>
          <w:tcPr>
            <w:tcW w:w="1418" w:type="dxa"/>
            <w:vAlign w:val="center"/>
          </w:tcPr>
          <w:p w:rsidR="0095703D" w:rsidP="00B74594">
            <w:pPr>
              <w:pStyle w:val="HXLC-"/>
            </w:pPr>
            <w:r w:rsidRPr="00C23A89">
              <w:rPr>
                <w:szCs w:val="21"/>
              </w:rPr>
              <w:t>7</w:t>
            </w:r>
          </w:p>
        </w:tc>
        <w:tc>
          <w:tcPr>
            <w:tcW w:w="5599" w:type="dxa"/>
            <w:vAlign w:val="center"/>
          </w:tcPr>
          <w:p w:rsidR="0095703D" w:rsidP="00B74594">
            <w:pPr>
              <w:pStyle w:val="HXLC-"/>
            </w:pPr>
            <w:r w:rsidRPr="00C23A89">
              <w:rPr>
                <w:szCs w:val="21"/>
              </w:rPr>
              <w:t>完成详细设计、程序编码、调试和单元测试</w:t>
            </w:r>
          </w:p>
        </w:tc>
      </w:tr>
      <w:tr w:rsidTr="00B74594">
        <w:tblPrEx>
          <w:tblW w:w="8713" w:type="dxa"/>
          <w:jc w:val="center"/>
          <w:tblLook w:val="0000"/>
        </w:tblPrEx>
        <w:trPr>
          <w:jc w:val="center"/>
        </w:trPr>
        <w:tc>
          <w:tcPr>
            <w:tcW w:w="1696" w:type="dxa"/>
            <w:vAlign w:val="center"/>
          </w:tcPr>
          <w:p w:rsidR="0095703D" w:rsidP="00B74594">
            <w:pPr>
              <w:pStyle w:val="HXLC-"/>
            </w:pPr>
            <w:r w:rsidRPr="00C23A89">
              <w:rPr>
                <w:rFonts w:hint="eastAsia"/>
                <w:szCs w:val="21"/>
              </w:rPr>
              <w:t>系统</w:t>
            </w:r>
            <w:r>
              <w:rPr>
                <w:rFonts w:hint="eastAsia"/>
                <w:szCs w:val="21"/>
              </w:rPr>
              <w:t>测试</w:t>
            </w:r>
            <w:r w:rsidRPr="00C23A89">
              <w:rPr>
                <w:rFonts w:hint="eastAsia"/>
                <w:szCs w:val="21"/>
              </w:rPr>
              <w:t>部署</w:t>
            </w:r>
          </w:p>
        </w:tc>
        <w:tc>
          <w:tcPr>
            <w:tcW w:w="1418" w:type="dxa"/>
            <w:vAlign w:val="center"/>
          </w:tcPr>
          <w:p w:rsidR="0095703D" w:rsidP="00B74594">
            <w:pPr>
              <w:pStyle w:val="HXLC-"/>
            </w:pPr>
            <w:r>
              <w:rPr>
                <w:rFonts w:hint="eastAsia"/>
                <w:szCs w:val="21"/>
              </w:rPr>
              <w:t>1</w:t>
            </w:r>
          </w:p>
        </w:tc>
        <w:tc>
          <w:tcPr>
            <w:tcW w:w="5599" w:type="dxa"/>
            <w:vAlign w:val="center"/>
          </w:tcPr>
          <w:p w:rsidR="0095703D" w:rsidP="00B74594">
            <w:pPr>
              <w:pStyle w:val="HXLC-"/>
            </w:pPr>
            <w:r w:rsidRPr="00C23A89">
              <w:rPr>
                <w:szCs w:val="21"/>
              </w:rPr>
              <w:t>完成系统功能确认测试、</w:t>
            </w:r>
            <w:r w:rsidRPr="00C23A89">
              <w:rPr>
                <w:rFonts w:hint="eastAsia"/>
                <w:szCs w:val="21"/>
              </w:rPr>
              <w:t>运行环境配置、</w:t>
            </w:r>
            <w:r w:rsidRPr="00C23A89">
              <w:rPr>
                <w:szCs w:val="21"/>
              </w:rPr>
              <w:t>系统应用集成</w:t>
            </w:r>
            <w:r w:rsidRPr="00C23A89">
              <w:rPr>
                <w:rFonts w:hint="eastAsia"/>
                <w:szCs w:val="21"/>
              </w:rPr>
              <w:t>与部署</w:t>
            </w:r>
          </w:p>
        </w:tc>
      </w:tr>
      <w:tr w:rsidTr="00B74594">
        <w:tblPrEx>
          <w:tblW w:w="8713" w:type="dxa"/>
          <w:jc w:val="center"/>
          <w:tblLook w:val="0000"/>
        </w:tblPrEx>
        <w:trPr>
          <w:jc w:val="center"/>
        </w:trPr>
        <w:tc>
          <w:tcPr>
            <w:tcW w:w="1696" w:type="dxa"/>
            <w:vAlign w:val="center"/>
          </w:tcPr>
          <w:p w:rsidR="0095703D" w:rsidP="00B74594">
            <w:pPr>
              <w:pStyle w:val="HXLC-"/>
            </w:pPr>
            <w:r w:rsidRPr="00C23A89">
              <w:rPr>
                <w:rFonts w:hint="eastAsia"/>
                <w:szCs w:val="21"/>
              </w:rPr>
              <w:t>试运行</w:t>
            </w:r>
          </w:p>
        </w:tc>
        <w:tc>
          <w:tcPr>
            <w:tcW w:w="1418" w:type="dxa"/>
            <w:vAlign w:val="center"/>
          </w:tcPr>
          <w:p w:rsidR="0095703D" w:rsidP="00B74594">
            <w:pPr>
              <w:pStyle w:val="HXLC-"/>
            </w:pPr>
            <w:r w:rsidRPr="00C23A89">
              <w:rPr>
                <w:rFonts w:hint="eastAsia"/>
                <w:szCs w:val="21"/>
              </w:rPr>
              <w:t>1</w:t>
            </w:r>
          </w:p>
        </w:tc>
        <w:tc>
          <w:tcPr>
            <w:tcW w:w="5599" w:type="dxa"/>
            <w:vAlign w:val="center"/>
          </w:tcPr>
          <w:p w:rsidR="0095703D" w:rsidP="00B74594">
            <w:pPr>
              <w:pStyle w:val="HXLC-"/>
            </w:pPr>
            <w:r w:rsidRPr="00C23A89">
              <w:rPr>
                <w:rFonts w:hint="eastAsia"/>
                <w:szCs w:val="21"/>
              </w:rPr>
              <w:t>完成业务试运行</w:t>
            </w:r>
          </w:p>
        </w:tc>
      </w:tr>
      <w:tr w:rsidTr="00B74594">
        <w:tblPrEx>
          <w:tblW w:w="8713" w:type="dxa"/>
          <w:jc w:val="center"/>
          <w:tblLook w:val="0000"/>
        </w:tblPrEx>
        <w:trPr>
          <w:jc w:val="center"/>
        </w:trPr>
        <w:tc>
          <w:tcPr>
            <w:tcW w:w="1696" w:type="dxa"/>
            <w:vAlign w:val="center"/>
          </w:tcPr>
          <w:p w:rsidR="0095703D" w:rsidP="00B74594">
            <w:pPr>
              <w:pStyle w:val="HXLC-"/>
            </w:pPr>
            <w:r w:rsidRPr="00C23A89">
              <w:rPr>
                <w:rFonts w:hint="eastAsia"/>
                <w:szCs w:val="21"/>
              </w:rPr>
              <w:t>系统验收</w:t>
            </w:r>
          </w:p>
        </w:tc>
        <w:tc>
          <w:tcPr>
            <w:tcW w:w="1418" w:type="dxa"/>
            <w:vAlign w:val="center"/>
          </w:tcPr>
          <w:p w:rsidR="0095703D" w:rsidP="00B74594">
            <w:pPr>
              <w:pStyle w:val="HXLC-"/>
            </w:pPr>
            <w:r>
              <w:rPr>
                <w:rFonts w:hint="eastAsia"/>
                <w:szCs w:val="21"/>
              </w:rPr>
              <w:t>1</w:t>
            </w:r>
          </w:p>
        </w:tc>
        <w:tc>
          <w:tcPr>
            <w:tcW w:w="5599" w:type="dxa"/>
            <w:vAlign w:val="center"/>
          </w:tcPr>
          <w:p w:rsidR="0095703D" w:rsidP="00B74594">
            <w:pPr>
              <w:pStyle w:val="HXLC-"/>
            </w:pPr>
            <w:r w:rsidRPr="00C23A89">
              <w:rPr>
                <w:szCs w:val="21"/>
              </w:rPr>
              <w:t>完成</w:t>
            </w:r>
            <w:r w:rsidRPr="00C23A89">
              <w:rPr>
                <w:rFonts w:hint="eastAsia"/>
                <w:szCs w:val="21"/>
              </w:rPr>
              <w:t>系统最终验收并移交</w:t>
            </w:r>
          </w:p>
        </w:tc>
      </w:tr>
    </w:tbl>
    <w:p w:rsidR="0095703D" w:rsidP="0095703D">
      <w:pPr>
        <w:pStyle w:val="Heading2"/>
        <w:keepNext/>
        <w:keepLines/>
        <w:widowControl w:val="0"/>
        <w:numPr>
          <w:ilvl w:val="1"/>
          <w:numId w:val="4"/>
        </w:numPr>
        <w:tabs>
          <w:tab w:val="left" w:pos="480"/>
        </w:tabs>
        <w:spacing w:before="156" w:beforeLines="50" w:after="156" w:afterLines="50" w:line="360" w:lineRule="auto"/>
        <w:ind w:left="425" w:firstLine="0"/>
        <w:jc w:val="left"/>
      </w:pPr>
      <w:bookmarkStart w:id="167" w:name="_Toc236245483"/>
      <w:r>
        <w:rPr>
          <w:rFonts w:hint="eastAsia"/>
        </w:rPr>
        <w:t>软件交付要求</w:t>
      </w:r>
      <w:bookmarkEnd w:id="167"/>
    </w:p>
    <w:p w:rsidR="0095703D" w:rsidP="0095703D">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168" w:name="_Toc236245484"/>
      <w:r>
        <w:rPr>
          <w:rFonts w:hint="eastAsia"/>
        </w:rPr>
        <w:t>产品交付物</w:t>
      </w:r>
      <w:bookmarkEnd w:id="168"/>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400"/>
        <w:gridCol w:w="7122"/>
      </w:tblGrid>
      <w:tr w:rsidTr="00B74594">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jc w:val="center"/>
        </w:trPr>
        <w:tc>
          <w:tcPr>
            <w:tcW w:w="1421" w:type="dxa"/>
            <w:shd w:val="pct10" w:color="auto" w:fill="auto"/>
          </w:tcPr>
          <w:p w:rsidR="0095703D" w:rsidRPr="00677C4C" w:rsidP="00B74594">
            <w:pPr>
              <w:pStyle w:val="HXLC-"/>
              <w:jc w:val="center"/>
              <w:rPr>
                <w:b/>
                <w:bCs/>
              </w:rPr>
            </w:pPr>
            <w:r w:rsidRPr="00677C4C">
              <w:rPr>
                <w:rFonts w:hint="eastAsia"/>
                <w:b/>
                <w:bCs/>
              </w:rPr>
              <w:t>序号</w:t>
            </w:r>
          </w:p>
        </w:tc>
        <w:tc>
          <w:tcPr>
            <w:tcW w:w="7260" w:type="dxa"/>
            <w:shd w:val="pct10" w:color="auto" w:fill="auto"/>
          </w:tcPr>
          <w:p w:rsidR="0095703D" w:rsidRPr="00677C4C" w:rsidP="00B74594">
            <w:pPr>
              <w:pStyle w:val="HXLC-"/>
              <w:jc w:val="center"/>
              <w:rPr>
                <w:b/>
                <w:bCs/>
              </w:rPr>
            </w:pPr>
            <w:r w:rsidRPr="00677C4C">
              <w:rPr>
                <w:rFonts w:hint="eastAsia"/>
                <w:b/>
                <w:bCs/>
              </w:rPr>
              <w:t>产品名称</w:t>
            </w:r>
          </w:p>
        </w:tc>
      </w:tr>
      <w:tr w:rsidTr="00B74594">
        <w:tblPrEx>
          <w:tblW w:w="0" w:type="auto"/>
          <w:jc w:val="center"/>
          <w:tblLook w:val="0000"/>
        </w:tblPrEx>
        <w:trPr>
          <w:jc w:val="center"/>
        </w:trPr>
        <w:tc>
          <w:tcPr>
            <w:tcW w:w="1421" w:type="dxa"/>
          </w:tcPr>
          <w:p w:rsidR="0095703D" w:rsidP="00B74594">
            <w:pPr>
              <w:pStyle w:val="HXLC-"/>
            </w:pPr>
            <w:r>
              <w:rPr>
                <w:rFonts w:hint="eastAsia"/>
              </w:rPr>
              <w:t>1</w:t>
            </w:r>
          </w:p>
        </w:tc>
        <w:tc>
          <w:tcPr>
            <w:tcW w:w="7260" w:type="dxa"/>
          </w:tcPr>
          <w:p w:rsidR="0095703D" w:rsidP="00B74594">
            <w:pPr>
              <w:pStyle w:val="HXLC-"/>
            </w:pPr>
            <w:r>
              <w:rPr>
                <w:rFonts w:hint="eastAsia"/>
              </w:rPr>
              <w:t>应用软件安装包</w:t>
            </w:r>
          </w:p>
        </w:tc>
      </w:tr>
      <w:tr w:rsidTr="00B74594">
        <w:tblPrEx>
          <w:tblW w:w="0" w:type="auto"/>
          <w:jc w:val="center"/>
          <w:tblLook w:val="0000"/>
        </w:tblPrEx>
        <w:trPr>
          <w:jc w:val="center"/>
        </w:trPr>
        <w:tc>
          <w:tcPr>
            <w:tcW w:w="1421" w:type="dxa"/>
          </w:tcPr>
          <w:p w:rsidR="0095703D" w:rsidP="00B74594">
            <w:pPr>
              <w:pStyle w:val="HXLC-"/>
            </w:pPr>
            <w:r>
              <w:rPr>
                <w:rFonts w:hint="eastAsia"/>
              </w:rPr>
              <w:t>2</w:t>
            </w:r>
          </w:p>
        </w:tc>
        <w:tc>
          <w:tcPr>
            <w:tcW w:w="7260" w:type="dxa"/>
          </w:tcPr>
          <w:p w:rsidR="0095703D" w:rsidP="00B74594">
            <w:pPr>
              <w:pStyle w:val="HXLC-"/>
            </w:pPr>
            <w:r>
              <w:rPr>
                <w:rFonts w:hint="eastAsia"/>
              </w:rPr>
              <w:t>源代码、工程文件及程序说明</w:t>
            </w:r>
          </w:p>
        </w:tc>
      </w:tr>
    </w:tbl>
    <w:p w:rsidR="0095703D" w:rsidRPr="00677C4C" w:rsidP="0095703D"/>
    <w:p w:rsidR="0095703D" w:rsidP="0095703D">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169" w:name="_Toc236245485"/>
      <w:r>
        <w:rPr>
          <w:rFonts w:hint="eastAsia"/>
        </w:rPr>
        <w:t>文档交付物</w:t>
      </w:r>
      <w:bookmarkEnd w:id="169"/>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2840"/>
        <w:gridCol w:w="2841"/>
        <w:gridCol w:w="2841"/>
      </w:tblGrid>
      <w:tr w:rsidTr="00B74594">
        <w:tblPrEx>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jc w:val="center"/>
        </w:trPr>
        <w:tc>
          <w:tcPr>
            <w:tcW w:w="1666" w:type="pct"/>
            <w:shd w:val="pct10" w:color="auto" w:fill="auto"/>
            <w:vAlign w:val="center"/>
          </w:tcPr>
          <w:p w:rsidR="0095703D" w:rsidRPr="00CD6133" w:rsidP="00B74594">
            <w:pPr>
              <w:pStyle w:val="HXLC-"/>
              <w:jc w:val="center"/>
              <w:rPr>
                <w:b/>
                <w:bCs/>
              </w:rPr>
            </w:pPr>
            <w:r w:rsidRPr="00CD6133">
              <w:rPr>
                <w:rFonts w:hint="eastAsia"/>
                <w:b/>
                <w:bCs/>
              </w:rPr>
              <w:t>工作内容</w:t>
            </w:r>
          </w:p>
        </w:tc>
        <w:tc>
          <w:tcPr>
            <w:tcW w:w="1667" w:type="pct"/>
            <w:shd w:val="pct10" w:color="auto" w:fill="auto"/>
            <w:vAlign w:val="center"/>
          </w:tcPr>
          <w:p w:rsidR="0095703D" w:rsidRPr="00CD6133" w:rsidP="00B74594">
            <w:pPr>
              <w:pStyle w:val="HXLC-"/>
              <w:jc w:val="center"/>
              <w:rPr>
                <w:b/>
                <w:bCs/>
              </w:rPr>
            </w:pPr>
            <w:r w:rsidRPr="00CD6133">
              <w:rPr>
                <w:rFonts w:hint="eastAsia"/>
                <w:b/>
                <w:bCs/>
              </w:rPr>
              <w:t>技术文档</w:t>
            </w:r>
          </w:p>
        </w:tc>
        <w:tc>
          <w:tcPr>
            <w:tcW w:w="1667" w:type="pct"/>
            <w:shd w:val="pct10" w:color="auto" w:fill="auto"/>
            <w:vAlign w:val="center"/>
          </w:tcPr>
          <w:p w:rsidR="0095703D" w:rsidRPr="00CD6133" w:rsidP="00B74594">
            <w:pPr>
              <w:pStyle w:val="HXLC-"/>
              <w:jc w:val="center"/>
              <w:rPr>
                <w:b/>
                <w:bCs/>
              </w:rPr>
            </w:pPr>
            <w:r w:rsidRPr="00CD6133">
              <w:rPr>
                <w:rFonts w:hint="eastAsia"/>
                <w:b/>
                <w:bCs/>
              </w:rPr>
              <w:t>管理文档</w:t>
            </w:r>
          </w:p>
        </w:tc>
      </w:tr>
      <w:tr w:rsidTr="00B74594">
        <w:tblPrEx>
          <w:tblW w:w="5000" w:type="pct"/>
          <w:jc w:val="center"/>
          <w:tblLook w:val="0000"/>
        </w:tblPrEx>
        <w:trPr>
          <w:jc w:val="center"/>
        </w:trPr>
        <w:tc>
          <w:tcPr>
            <w:tcW w:w="1666" w:type="pct"/>
            <w:vAlign w:val="center"/>
          </w:tcPr>
          <w:p w:rsidR="0095703D" w:rsidP="00B74594">
            <w:pPr>
              <w:pStyle w:val="HXLC-"/>
            </w:pPr>
            <w:r>
              <w:rPr>
                <w:rFonts w:hint="eastAsia"/>
              </w:rPr>
              <w:t>需求分析</w:t>
            </w:r>
          </w:p>
        </w:tc>
        <w:tc>
          <w:tcPr>
            <w:tcW w:w="1667" w:type="pct"/>
            <w:vAlign w:val="center"/>
          </w:tcPr>
          <w:p w:rsidR="0095703D" w:rsidP="00B74594">
            <w:pPr>
              <w:pStyle w:val="HXLC-"/>
            </w:pPr>
            <w:r>
              <w:rPr>
                <w:rFonts w:hint="eastAsia"/>
              </w:rPr>
              <w:t>需求规格说明书</w:t>
            </w:r>
          </w:p>
        </w:tc>
        <w:tc>
          <w:tcPr>
            <w:tcW w:w="1667" w:type="pct"/>
            <w:vAlign w:val="center"/>
          </w:tcPr>
          <w:p w:rsidR="0095703D" w:rsidP="00B74594">
            <w:pPr>
              <w:pStyle w:val="HXLC-"/>
            </w:pPr>
          </w:p>
        </w:tc>
      </w:tr>
      <w:tr w:rsidTr="00B74594">
        <w:tblPrEx>
          <w:tblW w:w="5000" w:type="pct"/>
          <w:jc w:val="center"/>
          <w:tblLook w:val="0000"/>
        </w:tblPrEx>
        <w:trPr>
          <w:jc w:val="center"/>
        </w:trPr>
        <w:tc>
          <w:tcPr>
            <w:tcW w:w="1666" w:type="pct"/>
            <w:vAlign w:val="center"/>
          </w:tcPr>
          <w:p w:rsidR="0095703D" w:rsidP="00B74594">
            <w:pPr>
              <w:pStyle w:val="HXLC-"/>
            </w:pPr>
            <w:r>
              <w:rPr>
                <w:rFonts w:hint="eastAsia"/>
              </w:rPr>
              <w:t>设计开发</w:t>
            </w:r>
          </w:p>
        </w:tc>
        <w:tc>
          <w:tcPr>
            <w:tcW w:w="1667" w:type="pct"/>
            <w:vAlign w:val="center"/>
          </w:tcPr>
          <w:p w:rsidR="0095703D" w:rsidP="00B74594">
            <w:pPr>
              <w:pStyle w:val="HXLC-"/>
            </w:pPr>
            <w:r>
              <w:rPr>
                <w:rFonts w:hint="eastAsia"/>
              </w:rPr>
              <w:t>概要设计说明书</w:t>
            </w:r>
          </w:p>
        </w:tc>
        <w:tc>
          <w:tcPr>
            <w:tcW w:w="1667" w:type="pct"/>
            <w:vAlign w:val="center"/>
          </w:tcPr>
          <w:p w:rsidR="0095703D" w:rsidP="00B74594">
            <w:pPr>
              <w:pStyle w:val="HXLC-"/>
            </w:pPr>
          </w:p>
        </w:tc>
      </w:tr>
      <w:tr w:rsidTr="00B74594">
        <w:tblPrEx>
          <w:tblW w:w="5000" w:type="pct"/>
          <w:jc w:val="center"/>
          <w:tblLook w:val="0000"/>
        </w:tblPrEx>
        <w:trPr>
          <w:jc w:val="center"/>
        </w:trPr>
        <w:tc>
          <w:tcPr>
            <w:tcW w:w="1666" w:type="pct"/>
            <w:vMerge w:val="restart"/>
            <w:vAlign w:val="center"/>
          </w:tcPr>
          <w:p w:rsidR="0095703D" w:rsidP="00B74594">
            <w:pPr>
              <w:pStyle w:val="HXLC-"/>
            </w:pPr>
            <w:r>
              <w:rPr>
                <w:rFonts w:hint="eastAsia"/>
              </w:rPr>
              <w:t>测试部署</w:t>
            </w:r>
          </w:p>
        </w:tc>
        <w:tc>
          <w:tcPr>
            <w:tcW w:w="1667" w:type="pct"/>
            <w:vAlign w:val="center"/>
          </w:tcPr>
          <w:p w:rsidR="0095703D" w:rsidP="00B74594">
            <w:pPr>
              <w:pStyle w:val="HXLC-"/>
            </w:pPr>
            <w:r>
              <w:rPr>
                <w:rFonts w:hint="eastAsia"/>
              </w:rPr>
              <w:t>系统测试方案</w:t>
            </w:r>
          </w:p>
        </w:tc>
        <w:tc>
          <w:tcPr>
            <w:tcW w:w="1667" w:type="pct"/>
            <w:vMerge w:val="restart"/>
            <w:vAlign w:val="center"/>
          </w:tcPr>
          <w:p w:rsidR="0095703D" w:rsidP="00B74594">
            <w:pPr>
              <w:pStyle w:val="HXLC-"/>
            </w:pPr>
          </w:p>
        </w:tc>
      </w:tr>
      <w:tr w:rsidTr="00B74594">
        <w:tblPrEx>
          <w:tblW w:w="5000" w:type="pct"/>
          <w:jc w:val="center"/>
          <w:tblLook w:val="0000"/>
        </w:tblPrEx>
        <w:trPr>
          <w:jc w:val="center"/>
        </w:trPr>
        <w:tc>
          <w:tcPr>
            <w:tcW w:w="1666" w:type="pct"/>
            <w:vMerge/>
            <w:vAlign w:val="center"/>
          </w:tcPr>
          <w:p w:rsidR="0095703D" w:rsidP="00B74594">
            <w:pPr>
              <w:pStyle w:val="HXLC-"/>
            </w:pPr>
          </w:p>
        </w:tc>
        <w:tc>
          <w:tcPr>
            <w:tcW w:w="1667" w:type="pct"/>
            <w:vAlign w:val="center"/>
          </w:tcPr>
          <w:p w:rsidR="0095703D" w:rsidP="00B74594">
            <w:pPr>
              <w:pStyle w:val="HXLC-"/>
            </w:pPr>
            <w:r>
              <w:rPr>
                <w:rFonts w:hint="eastAsia"/>
              </w:rPr>
              <w:t>系统测试报告</w:t>
            </w:r>
          </w:p>
        </w:tc>
        <w:tc>
          <w:tcPr>
            <w:tcW w:w="1667" w:type="pct"/>
            <w:vMerge/>
            <w:vAlign w:val="center"/>
          </w:tcPr>
          <w:p w:rsidR="0095703D" w:rsidP="00B74594">
            <w:pPr>
              <w:pStyle w:val="HXLC-"/>
            </w:pPr>
          </w:p>
        </w:tc>
      </w:tr>
      <w:tr w:rsidTr="00B74594">
        <w:tblPrEx>
          <w:tblW w:w="5000" w:type="pct"/>
          <w:jc w:val="center"/>
          <w:tblLook w:val="0000"/>
        </w:tblPrEx>
        <w:trPr>
          <w:jc w:val="center"/>
        </w:trPr>
        <w:tc>
          <w:tcPr>
            <w:tcW w:w="1666" w:type="pct"/>
            <w:vMerge w:val="restart"/>
            <w:vAlign w:val="center"/>
          </w:tcPr>
          <w:p w:rsidR="0095703D" w:rsidP="00B74594">
            <w:pPr>
              <w:pStyle w:val="HXLC-"/>
            </w:pPr>
            <w:r>
              <w:rPr>
                <w:rFonts w:hint="eastAsia"/>
              </w:rPr>
              <w:t>系统试运行</w:t>
            </w:r>
          </w:p>
        </w:tc>
        <w:tc>
          <w:tcPr>
            <w:tcW w:w="1667" w:type="pct"/>
            <w:vAlign w:val="center"/>
          </w:tcPr>
          <w:p w:rsidR="0095703D" w:rsidP="00B74594">
            <w:pPr>
              <w:pStyle w:val="HXLC-"/>
            </w:pPr>
            <w:r>
              <w:rPr>
                <w:rFonts w:hint="eastAsia"/>
              </w:rPr>
              <w:t>用户使用手册</w:t>
            </w:r>
          </w:p>
        </w:tc>
        <w:tc>
          <w:tcPr>
            <w:tcW w:w="1667" w:type="pct"/>
            <w:vMerge w:val="restart"/>
            <w:vAlign w:val="center"/>
          </w:tcPr>
          <w:p w:rsidR="0095703D" w:rsidP="00B74594">
            <w:pPr>
              <w:pStyle w:val="HXLC-"/>
            </w:pPr>
          </w:p>
        </w:tc>
      </w:tr>
      <w:tr w:rsidTr="00B74594">
        <w:tblPrEx>
          <w:tblW w:w="5000" w:type="pct"/>
          <w:jc w:val="center"/>
          <w:tblLook w:val="0000"/>
        </w:tblPrEx>
        <w:trPr>
          <w:jc w:val="center"/>
        </w:trPr>
        <w:tc>
          <w:tcPr>
            <w:tcW w:w="1666" w:type="pct"/>
            <w:vMerge/>
            <w:vAlign w:val="center"/>
          </w:tcPr>
          <w:p w:rsidR="0095703D" w:rsidP="00B74594">
            <w:pPr>
              <w:pStyle w:val="HXLC-"/>
            </w:pPr>
          </w:p>
        </w:tc>
        <w:tc>
          <w:tcPr>
            <w:tcW w:w="1667" w:type="pct"/>
            <w:vAlign w:val="center"/>
          </w:tcPr>
          <w:p w:rsidR="0095703D" w:rsidP="00B74594">
            <w:pPr>
              <w:pStyle w:val="HXLC-"/>
            </w:pPr>
            <w:r>
              <w:rPr>
                <w:rFonts w:hint="eastAsia"/>
              </w:rPr>
              <w:t>程序及模块清单</w:t>
            </w:r>
          </w:p>
        </w:tc>
        <w:tc>
          <w:tcPr>
            <w:tcW w:w="1667" w:type="pct"/>
            <w:vMerge/>
            <w:vAlign w:val="center"/>
          </w:tcPr>
          <w:p w:rsidR="0095703D" w:rsidP="00B74594">
            <w:pPr>
              <w:pStyle w:val="HXLC-"/>
            </w:pPr>
          </w:p>
        </w:tc>
      </w:tr>
      <w:tr w:rsidTr="00B74594">
        <w:tblPrEx>
          <w:tblW w:w="5000" w:type="pct"/>
          <w:jc w:val="center"/>
          <w:tblLook w:val="0000"/>
        </w:tblPrEx>
        <w:trPr>
          <w:jc w:val="center"/>
        </w:trPr>
        <w:tc>
          <w:tcPr>
            <w:tcW w:w="1666" w:type="pct"/>
            <w:vMerge/>
            <w:vAlign w:val="center"/>
          </w:tcPr>
          <w:p w:rsidR="0095703D" w:rsidP="00B74594">
            <w:pPr>
              <w:pStyle w:val="HXLC-"/>
            </w:pPr>
          </w:p>
        </w:tc>
        <w:tc>
          <w:tcPr>
            <w:tcW w:w="1667" w:type="pct"/>
            <w:vAlign w:val="center"/>
          </w:tcPr>
          <w:p w:rsidR="0095703D" w:rsidP="00B74594">
            <w:pPr>
              <w:pStyle w:val="HXLC-"/>
            </w:pPr>
            <w:r>
              <w:rPr>
                <w:rFonts w:hint="eastAsia"/>
              </w:rPr>
              <w:t>试运行评估报告</w:t>
            </w:r>
          </w:p>
        </w:tc>
        <w:tc>
          <w:tcPr>
            <w:tcW w:w="1667" w:type="pct"/>
            <w:vAlign w:val="center"/>
          </w:tcPr>
          <w:p w:rsidR="0095703D" w:rsidP="00B74594">
            <w:pPr>
              <w:pStyle w:val="HXLC-"/>
            </w:pPr>
          </w:p>
        </w:tc>
      </w:tr>
      <w:tr w:rsidTr="00B74594">
        <w:tblPrEx>
          <w:tblW w:w="5000" w:type="pct"/>
          <w:jc w:val="center"/>
          <w:tblLook w:val="0000"/>
        </w:tblPrEx>
        <w:trPr>
          <w:jc w:val="center"/>
        </w:trPr>
        <w:tc>
          <w:tcPr>
            <w:tcW w:w="1666" w:type="pct"/>
            <w:vMerge w:val="restart"/>
            <w:vAlign w:val="center"/>
          </w:tcPr>
          <w:p w:rsidR="0095703D" w:rsidP="00B74594">
            <w:pPr>
              <w:pStyle w:val="HXLC-"/>
            </w:pPr>
            <w:r>
              <w:rPr>
                <w:rFonts w:hint="eastAsia"/>
              </w:rPr>
              <w:t>系统培训</w:t>
            </w:r>
          </w:p>
        </w:tc>
        <w:tc>
          <w:tcPr>
            <w:tcW w:w="1667" w:type="pct"/>
            <w:vMerge w:val="restart"/>
            <w:vAlign w:val="center"/>
          </w:tcPr>
          <w:p w:rsidR="0095703D" w:rsidP="00B74594">
            <w:pPr>
              <w:pStyle w:val="HXLC-"/>
            </w:pPr>
            <w:r>
              <w:rPr>
                <w:rFonts w:hint="eastAsia"/>
              </w:rPr>
              <w:t>培训教程</w:t>
            </w:r>
          </w:p>
        </w:tc>
        <w:tc>
          <w:tcPr>
            <w:tcW w:w="1667" w:type="pct"/>
            <w:vAlign w:val="center"/>
          </w:tcPr>
          <w:p w:rsidR="0095703D" w:rsidP="00B74594">
            <w:pPr>
              <w:pStyle w:val="HXLC-"/>
            </w:pPr>
            <w:r>
              <w:rPr>
                <w:rFonts w:hint="eastAsia"/>
              </w:rPr>
              <w:t>培训计划</w:t>
            </w:r>
          </w:p>
        </w:tc>
      </w:tr>
      <w:tr w:rsidTr="00B74594">
        <w:tblPrEx>
          <w:tblW w:w="5000" w:type="pct"/>
          <w:jc w:val="center"/>
          <w:tblLook w:val="0000"/>
        </w:tblPrEx>
        <w:trPr>
          <w:jc w:val="center"/>
        </w:trPr>
        <w:tc>
          <w:tcPr>
            <w:tcW w:w="1666" w:type="pct"/>
            <w:vMerge/>
            <w:vAlign w:val="center"/>
          </w:tcPr>
          <w:p w:rsidR="0095703D" w:rsidP="00B74594">
            <w:pPr>
              <w:pStyle w:val="HXLC-"/>
            </w:pPr>
          </w:p>
        </w:tc>
        <w:tc>
          <w:tcPr>
            <w:tcW w:w="1667" w:type="pct"/>
            <w:vMerge/>
            <w:vAlign w:val="center"/>
          </w:tcPr>
          <w:p w:rsidR="0095703D" w:rsidP="00B74594">
            <w:pPr>
              <w:pStyle w:val="HXLC-"/>
            </w:pPr>
          </w:p>
        </w:tc>
        <w:tc>
          <w:tcPr>
            <w:tcW w:w="1667" w:type="pct"/>
            <w:vAlign w:val="center"/>
          </w:tcPr>
          <w:p w:rsidR="0095703D" w:rsidP="00B74594">
            <w:pPr>
              <w:pStyle w:val="HXLC-"/>
            </w:pPr>
            <w:r>
              <w:rPr>
                <w:rFonts w:hint="eastAsia"/>
              </w:rPr>
              <w:t>培训记录</w:t>
            </w:r>
          </w:p>
        </w:tc>
      </w:tr>
      <w:tr w:rsidTr="00B74594">
        <w:tblPrEx>
          <w:tblW w:w="5000" w:type="pct"/>
          <w:jc w:val="center"/>
          <w:tblLook w:val="0000"/>
        </w:tblPrEx>
        <w:trPr>
          <w:jc w:val="center"/>
        </w:trPr>
        <w:tc>
          <w:tcPr>
            <w:tcW w:w="1666" w:type="pct"/>
            <w:vMerge w:val="restart"/>
            <w:vAlign w:val="center"/>
          </w:tcPr>
          <w:p w:rsidR="0095703D" w:rsidP="00B74594">
            <w:pPr>
              <w:pStyle w:val="HXLC-"/>
            </w:pPr>
            <w:r>
              <w:rPr>
                <w:rFonts w:hint="eastAsia"/>
              </w:rPr>
              <w:t>系统终验</w:t>
            </w:r>
          </w:p>
        </w:tc>
        <w:tc>
          <w:tcPr>
            <w:tcW w:w="1667" w:type="pct"/>
            <w:vMerge w:val="restart"/>
            <w:vAlign w:val="center"/>
          </w:tcPr>
          <w:p w:rsidR="0095703D" w:rsidP="00B74594">
            <w:pPr>
              <w:pStyle w:val="HXLC-"/>
            </w:pPr>
            <w:r>
              <w:rPr>
                <w:rFonts w:hint="eastAsia"/>
              </w:rPr>
              <w:t>终验报告</w:t>
            </w:r>
          </w:p>
        </w:tc>
        <w:tc>
          <w:tcPr>
            <w:tcW w:w="1667" w:type="pct"/>
            <w:vAlign w:val="center"/>
          </w:tcPr>
          <w:p w:rsidR="0095703D" w:rsidP="00B74594">
            <w:pPr>
              <w:pStyle w:val="HXLC-"/>
            </w:pPr>
            <w:bookmarkStart w:id="170" w:name="OLE_LINK4"/>
            <w:r>
              <w:rPr>
                <w:rFonts w:hint="eastAsia"/>
              </w:rPr>
              <w:t>终验申请</w:t>
            </w:r>
            <w:bookmarkEnd w:id="170"/>
          </w:p>
        </w:tc>
      </w:tr>
      <w:tr w:rsidTr="00B74594">
        <w:tblPrEx>
          <w:tblW w:w="5000" w:type="pct"/>
          <w:jc w:val="center"/>
          <w:tblLook w:val="0000"/>
        </w:tblPrEx>
        <w:trPr>
          <w:jc w:val="center"/>
        </w:trPr>
        <w:tc>
          <w:tcPr>
            <w:tcW w:w="1666" w:type="pct"/>
            <w:vMerge/>
            <w:vAlign w:val="center"/>
          </w:tcPr>
          <w:p w:rsidR="0095703D" w:rsidP="00B74594">
            <w:pPr>
              <w:pStyle w:val="HXLC-"/>
            </w:pPr>
          </w:p>
        </w:tc>
        <w:tc>
          <w:tcPr>
            <w:tcW w:w="1667" w:type="pct"/>
            <w:vMerge/>
            <w:vAlign w:val="center"/>
          </w:tcPr>
          <w:p w:rsidR="0095703D" w:rsidP="00B74594">
            <w:pPr>
              <w:pStyle w:val="HXLC-"/>
            </w:pPr>
          </w:p>
        </w:tc>
        <w:tc>
          <w:tcPr>
            <w:tcW w:w="1667" w:type="pct"/>
            <w:vAlign w:val="center"/>
          </w:tcPr>
          <w:p w:rsidR="0095703D" w:rsidP="00B74594">
            <w:pPr>
              <w:pStyle w:val="HXLC-"/>
            </w:pPr>
            <w:r>
              <w:rPr>
                <w:rFonts w:hint="eastAsia"/>
              </w:rPr>
              <w:t>终验计划</w:t>
            </w:r>
          </w:p>
        </w:tc>
      </w:tr>
    </w:tbl>
    <w:p w:rsidR="0095703D" w:rsidP="0095703D">
      <w:pPr>
        <w:pStyle w:val="Heading1"/>
        <w:keepNext/>
        <w:keepLines/>
        <w:widowControl w:val="0"/>
        <w:numPr>
          <w:numId w:val="4"/>
        </w:numPr>
        <w:tabs>
          <w:tab w:val="left" w:pos="480"/>
        </w:tabs>
        <w:spacing w:before="156" w:beforeLines="50" w:after="156" w:afterLines="50" w:line="360" w:lineRule="auto"/>
        <w:ind w:left="425" w:firstLine="0"/>
        <w:jc w:val="left"/>
      </w:pPr>
      <w:bookmarkStart w:id="171" w:name="_Toc140468907"/>
      <w:bookmarkStart w:id="172" w:name="_Toc140755623"/>
      <w:bookmarkStart w:id="173" w:name="_Toc30304"/>
      <w:r>
        <w:t xml:space="preserve"> </w:t>
      </w:r>
      <w:bookmarkStart w:id="174" w:name="_Toc236245486"/>
      <w:r>
        <w:rPr>
          <w:rFonts w:hint="eastAsia"/>
        </w:rPr>
        <w:t>项目组织与管理要求</w:t>
      </w:r>
      <w:bookmarkEnd w:id="171"/>
      <w:bookmarkEnd w:id="172"/>
      <w:bookmarkEnd w:id="173"/>
      <w:bookmarkEnd w:id="174"/>
    </w:p>
    <w:p w:rsidR="0095703D" w:rsidP="0095703D">
      <w:pPr>
        <w:pStyle w:val="Heading4"/>
        <w:numPr>
          <w:ilvl w:val="0"/>
          <w:numId w:val="0"/>
        </w:numPr>
        <w:spacing w:before="156" w:after="156"/>
      </w:pPr>
      <w:bookmarkStart w:id="175" w:name="_Toc140755624"/>
      <w:bookmarkStart w:id="176" w:name="_Toc140468908"/>
      <w:bookmarkStart w:id="177" w:name="_Toc25583"/>
      <w:r>
        <w:rPr>
          <w:rFonts w:hint="eastAsia"/>
        </w:rPr>
        <w:t>7.1</w:t>
      </w:r>
      <w:r>
        <w:t xml:space="preserve"> </w:t>
      </w:r>
      <w:r>
        <w:rPr>
          <w:rFonts w:hint="eastAsia"/>
        </w:rPr>
        <w:t>编制软件开发实施进度计划并组织实施</w:t>
      </w:r>
      <w:bookmarkEnd w:id="175"/>
      <w:bookmarkEnd w:id="176"/>
      <w:bookmarkEnd w:id="177"/>
    </w:p>
    <w:p w:rsidR="0095703D" w:rsidP="0095703D">
      <w:pPr>
        <w:ind w:firstLine="480"/>
      </w:pPr>
      <w:r>
        <w:rPr>
          <w:rFonts w:hint="eastAsia"/>
        </w:rPr>
        <w:t>提供软件开发实施计划。</w:t>
      </w:r>
    </w:p>
    <w:p w:rsidR="0095703D" w:rsidP="0095703D">
      <w:pPr>
        <w:ind w:firstLine="480"/>
      </w:pPr>
      <w:r>
        <w:rPr>
          <w:rFonts w:hint="eastAsia"/>
        </w:rPr>
        <w:t>每周向甲方提供工作实施进展情况，并提出相关建议。</w:t>
      </w:r>
    </w:p>
    <w:p w:rsidR="0095703D" w:rsidP="0095703D">
      <w:pPr>
        <w:ind w:firstLine="480"/>
      </w:pPr>
      <w:r>
        <w:rPr>
          <w:rFonts w:hint="eastAsia"/>
        </w:rPr>
        <w:t>解决软件开发实施过程中出现的各种技术问题。</w:t>
      </w:r>
    </w:p>
    <w:p w:rsidR="0095703D" w:rsidP="0095703D">
      <w:pPr>
        <w:ind w:firstLine="480"/>
      </w:pPr>
      <w:r>
        <w:rPr>
          <w:rFonts w:hint="eastAsia"/>
        </w:rPr>
        <w:t>协助甲方处理实施过程中出现的质量事故。</w:t>
      </w:r>
    </w:p>
    <w:p w:rsidR="0095703D" w:rsidP="0095703D">
      <w:pPr>
        <w:ind w:firstLine="480"/>
      </w:pPr>
      <w:r>
        <w:rPr>
          <w:rFonts w:hint="eastAsia"/>
        </w:rPr>
        <w:t>计划周密，当项目建设过程中出现变化时，要能及时做出调整。</w:t>
      </w:r>
    </w:p>
    <w:p w:rsidR="0095703D" w:rsidP="0095703D">
      <w:pPr>
        <w:ind w:firstLine="480"/>
      </w:pPr>
      <w:r>
        <w:rPr>
          <w:rFonts w:hint="eastAsia"/>
        </w:rPr>
        <w:t>要有规范的进度管理机制。</w:t>
      </w:r>
    </w:p>
    <w:p w:rsidR="0095703D" w:rsidP="0095703D">
      <w:pPr>
        <w:pStyle w:val="Heading4"/>
        <w:numPr>
          <w:ilvl w:val="0"/>
          <w:numId w:val="0"/>
        </w:numPr>
        <w:spacing w:before="156" w:after="156"/>
      </w:pPr>
      <w:bookmarkStart w:id="178" w:name="_Toc140755625"/>
      <w:bookmarkStart w:id="179" w:name="_Toc32638"/>
      <w:bookmarkStart w:id="180" w:name="_Toc140468909"/>
      <w:r>
        <w:rPr>
          <w:rFonts w:hint="eastAsia"/>
        </w:rPr>
        <w:t>7.2</w:t>
      </w:r>
      <w:r>
        <w:rPr>
          <w:rFonts w:hint="eastAsia"/>
        </w:rPr>
        <w:t>进行项目开发的日常组织、管理、协调</w:t>
      </w:r>
      <w:bookmarkEnd w:id="178"/>
      <w:bookmarkEnd w:id="179"/>
      <w:bookmarkEnd w:id="180"/>
    </w:p>
    <w:p w:rsidR="0095703D" w:rsidP="0095703D">
      <w:pPr>
        <w:ind w:firstLine="480"/>
      </w:pPr>
      <w:r>
        <w:rPr>
          <w:rFonts w:hint="eastAsia"/>
        </w:rPr>
        <w:t>参加甲方组织与项目建设有关的各类会议。</w:t>
      </w:r>
    </w:p>
    <w:p w:rsidR="0095703D" w:rsidP="0095703D">
      <w:pPr>
        <w:ind w:firstLine="480"/>
      </w:pPr>
      <w:r>
        <w:rPr>
          <w:rFonts w:hint="eastAsia"/>
        </w:rPr>
        <w:t>要遵循相应的项目管理规范，并有相应的项目管理文档。</w:t>
      </w:r>
    </w:p>
    <w:p w:rsidR="0095703D" w:rsidP="0095703D">
      <w:pPr>
        <w:ind w:firstLine="480"/>
      </w:pPr>
      <w:r>
        <w:rPr>
          <w:rFonts w:hint="eastAsia"/>
        </w:rPr>
        <w:t>对项目建设任务中出现的调整，要及时做出安排，并尊重甲方的安排。</w:t>
      </w:r>
    </w:p>
    <w:p w:rsidR="0095703D" w:rsidP="0095703D">
      <w:pPr>
        <w:pStyle w:val="Heading1"/>
        <w:keepNext/>
        <w:keepLines/>
        <w:widowControl w:val="0"/>
        <w:numPr>
          <w:numId w:val="4"/>
        </w:numPr>
        <w:tabs>
          <w:tab w:val="left" w:pos="480"/>
        </w:tabs>
        <w:spacing w:before="156" w:beforeLines="50" w:after="156" w:afterLines="50" w:line="360" w:lineRule="auto"/>
        <w:ind w:left="425" w:firstLine="0"/>
        <w:jc w:val="left"/>
      </w:pPr>
      <w:bookmarkStart w:id="181" w:name="_Toc9351"/>
      <w:bookmarkStart w:id="182" w:name="_Toc140755626"/>
      <w:bookmarkStart w:id="183" w:name="_Toc140468910"/>
      <w:r>
        <w:t xml:space="preserve"> </w:t>
      </w:r>
      <w:bookmarkStart w:id="184" w:name="_Toc236245487"/>
      <w:r>
        <w:rPr>
          <w:rFonts w:hint="eastAsia"/>
        </w:rPr>
        <w:t>项目的人员及组织机构要求</w:t>
      </w:r>
      <w:bookmarkEnd w:id="181"/>
      <w:bookmarkEnd w:id="182"/>
      <w:bookmarkEnd w:id="183"/>
      <w:bookmarkEnd w:id="184"/>
    </w:p>
    <w:p w:rsidR="0095703D" w:rsidP="0095703D">
      <w:pPr>
        <w:ind w:firstLine="480"/>
      </w:pPr>
      <w:r>
        <w:rPr>
          <w:rFonts w:hint="eastAsia"/>
        </w:rPr>
        <w:t>乙方必须成立合理的组织机构，建立健全保障设计、开发工作顺利实施的各项管理制度和质量保证体系，安排好足够的</w:t>
      </w:r>
      <w:r w:rsidRPr="009554CF" w:rsidR="009554CF">
        <w:rPr>
          <w:rFonts w:hint="eastAsia"/>
          <w:highlight w:val="yellow"/>
        </w:rPr>
        <w:t>具有一定软件</w:t>
      </w:r>
      <w:r w:rsidRPr="009554CF" w:rsidR="009554CF">
        <w:rPr>
          <w:highlight w:val="yellow"/>
        </w:rPr>
        <w:t>开发经验的</w:t>
      </w:r>
      <w:r>
        <w:rPr>
          <w:rFonts w:hint="eastAsia"/>
        </w:rPr>
        <w:t>高素质人才参加本项目工作。</w:t>
      </w:r>
    </w:p>
    <w:p w:rsidR="0095703D" w:rsidP="0095703D">
      <w:pPr>
        <w:ind w:firstLine="480"/>
      </w:pPr>
      <w:r>
        <w:rPr>
          <w:rFonts w:hint="eastAsia"/>
        </w:rPr>
        <w:t>在组织机构中应明确各岗位的职责、任职资格及成果，确保项目顺利实施，应分别配</w:t>
      </w:r>
      <w:r>
        <w:rPr>
          <w:rFonts w:hint="eastAsia"/>
        </w:rPr>
        <w:t>备有项目经理、技术负责人承担本项目工作。</w:t>
      </w:r>
    </w:p>
    <w:p w:rsidR="0095703D" w:rsidP="0095703D">
      <w:pPr>
        <w:ind w:firstLine="480"/>
      </w:pPr>
      <w:r>
        <w:rPr>
          <w:rFonts w:hint="eastAsia"/>
        </w:rPr>
        <w:t>乙方应确保服务于本项目的核心技术人员及主要开发人员稳定，团队人数不少于</w:t>
      </w:r>
      <w:r>
        <w:rPr>
          <w:rFonts w:hint="eastAsia"/>
        </w:rPr>
        <w:t>4</w:t>
      </w:r>
      <w:r>
        <w:rPr>
          <w:rFonts w:hint="eastAsia"/>
        </w:rPr>
        <w:t>人，</w:t>
      </w:r>
      <w:r w:rsidRPr="009554CF" w:rsidR="009554CF">
        <w:rPr>
          <w:rFonts w:hint="eastAsia"/>
          <w:highlight w:val="yellow"/>
        </w:rPr>
        <w:t>其中：驻场人员不少于</w:t>
      </w:r>
      <w:r w:rsidRPr="009554CF" w:rsidR="009554CF">
        <w:rPr>
          <w:rFonts w:hint="eastAsia"/>
          <w:highlight w:val="yellow"/>
        </w:rPr>
        <w:t>4</w:t>
      </w:r>
      <w:r w:rsidRPr="009554CF" w:rsidR="009554CF">
        <w:rPr>
          <w:rFonts w:hint="eastAsia"/>
          <w:highlight w:val="yellow"/>
        </w:rPr>
        <w:t>人。</w:t>
      </w:r>
      <w:r>
        <w:rPr>
          <w:rFonts w:hint="eastAsia"/>
        </w:rPr>
        <w:t>未经甲方允许不得调整</w:t>
      </w:r>
      <w:r w:rsidR="004E3CE3">
        <w:rPr>
          <w:rFonts w:hint="eastAsia"/>
        </w:rPr>
        <w:t>核心</w:t>
      </w:r>
      <w:r>
        <w:rPr>
          <w:rFonts w:hint="eastAsia"/>
        </w:rPr>
        <w:t>团队成员，甲方有权要求更换乙方项目团队成员。</w:t>
      </w:r>
    </w:p>
    <w:p w:rsidR="0095703D" w:rsidP="0095703D">
      <w:pPr>
        <w:pStyle w:val="Heading1"/>
        <w:keepNext/>
        <w:keepLines/>
        <w:widowControl w:val="0"/>
        <w:numPr>
          <w:numId w:val="4"/>
        </w:numPr>
        <w:tabs>
          <w:tab w:val="left" w:pos="480"/>
        </w:tabs>
        <w:spacing w:before="156" w:beforeLines="50" w:after="156" w:afterLines="50" w:line="360" w:lineRule="auto"/>
        <w:ind w:left="425" w:firstLine="0"/>
        <w:jc w:val="left"/>
      </w:pPr>
      <w:bookmarkStart w:id="185" w:name="_Toc8446"/>
      <w:bookmarkStart w:id="186" w:name="_Toc456802898"/>
      <w:bookmarkStart w:id="187" w:name="_Toc137546234"/>
      <w:bookmarkStart w:id="188" w:name="_Toc140755627"/>
      <w:bookmarkStart w:id="189" w:name="_Toc236245488"/>
      <w:r>
        <w:rPr>
          <w:rFonts w:hint="eastAsia"/>
        </w:rPr>
        <w:t>项目评审验收要求</w:t>
      </w:r>
      <w:bookmarkEnd w:id="185"/>
      <w:bookmarkEnd w:id="186"/>
      <w:bookmarkEnd w:id="187"/>
      <w:bookmarkEnd w:id="188"/>
      <w:bookmarkEnd w:id="189"/>
    </w:p>
    <w:p w:rsidR="0095703D" w:rsidP="0095703D">
      <w:pPr>
        <w:ind w:firstLine="480"/>
      </w:pPr>
      <w:r>
        <w:rPr>
          <w:rFonts w:hint="eastAsia"/>
        </w:rPr>
        <w:t>通过甲方组织的需求评审后形成项目评审验收方案，制订出一套明确的可操作性的评价指标，作为甲方评价开发工作的标准，用于本项目的评审和验收。</w:t>
      </w:r>
    </w:p>
    <w:p w:rsidR="0095703D" w:rsidP="0095703D">
      <w:pPr>
        <w:pStyle w:val="Heading1"/>
        <w:keepNext/>
        <w:keepLines/>
        <w:widowControl w:val="0"/>
        <w:numPr>
          <w:numId w:val="4"/>
        </w:numPr>
        <w:tabs>
          <w:tab w:val="left" w:pos="480"/>
        </w:tabs>
        <w:spacing w:before="156" w:beforeLines="50" w:after="156" w:afterLines="50" w:line="360" w:lineRule="auto"/>
        <w:ind w:left="425" w:firstLine="0"/>
        <w:jc w:val="left"/>
      </w:pPr>
      <w:bookmarkStart w:id="190" w:name="_Toc12502"/>
      <w:bookmarkStart w:id="191" w:name="_Toc140468911"/>
      <w:bookmarkStart w:id="192" w:name="_Toc140755628"/>
      <w:bookmarkStart w:id="193" w:name="_Toc236245489"/>
      <w:r>
        <w:rPr>
          <w:rFonts w:hint="eastAsia"/>
        </w:rPr>
        <w:t>培训要求</w:t>
      </w:r>
      <w:bookmarkEnd w:id="190"/>
      <w:bookmarkEnd w:id="191"/>
      <w:bookmarkEnd w:id="192"/>
      <w:bookmarkEnd w:id="193"/>
    </w:p>
    <w:p w:rsidR="0095703D" w:rsidP="0095703D">
      <w:pPr>
        <w:ind w:firstLine="480"/>
      </w:pPr>
      <w:r>
        <w:rPr>
          <w:rFonts w:hint="eastAsia"/>
        </w:rPr>
        <w:t>（</w:t>
      </w:r>
      <w:r>
        <w:rPr>
          <w:rFonts w:hint="eastAsia"/>
        </w:rPr>
        <w:t>1</w:t>
      </w:r>
      <w:r>
        <w:rPr>
          <w:rFonts w:hint="eastAsia"/>
        </w:rPr>
        <w:t>）培训方式应包括现场培训和集中培训，并应在进行培训之前向甲方提交一份详细的培训计划。</w:t>
      </w:r>
    </w:p>
    <w:p w:rsidR="0095703D" w:rsidP="0095703D">
      <w:pPr>
        <w:ind w:firstLine="480"/>
      </w:pPr>
      <w:r>
        <w:rPr>
          <w:rFonts w:hint="eastAsia"/>
        </w:rPr>
        <w:t>（</w:t>
      </w:r>
      <w:r>
        <w:rPr>
          <w:rFonts w:hint="eastAsia"/>
        </w:rPr>
        <w:t>2</w:t>
      </w:r>
      <w:r>
        <w:rPr>
          <w:rFonts w:hint="eastAsia"/>
        </w:rPr>
        <w:t>）乙方应以培训目标的实现为目的组织培训，确保每一位系统使用人员能够独立、熟练地完成操作，保证系统用户能够独立处理软件系统故障和进行简单的功能调整。</w:t>
      </w:r>
    </w:p>
    <w:p w:rsidR="0095703D" w:rsidP="0095703D">
      <w:pPr>
        <w:ind w:firstLine="480"/>
      </w:pPr>
      <w:r>
        <w:rPr>
          <w:rFonts w:hint="eastAsia"/>
        </w:rPr>
        <w:t>（</w:t>
      </w:r>
      <w:r>
        <w:rPr>
          <w:rFonts w:hint="eastAsia"/>
        </w:rPr>
        <w:t>3</w:t>
      </w:r>
      <w:r>
        <w:rPr>
          <w:rFonts w:hint="eastAsia"/>
        </w:rPr>
        <w:t>）集中培训地点由甲方根据本项目实际情况确定，具体培训时间由甲方与乙方根据项目进展情况协商确定。</w:t>
      </w:r>
    </w:p>
    <w:p w:rsidR="0095703D" w:rsidP="0095703D">
      <w:pPr>
        <w:ind w:firstLine="480"/>
      </w:pPr>
      <w:r>
        <w:rPr>
          <w:rFonts w:hint="eastAsia"/>
        </w:rPr>
        <w:t>（</w:t>
      </w:r>
      <w:r>
        <w:rPr>
          <w:rFonts w:hint="eastAsia"/>
        </w:rPr>
        <w:t>4</w:t>
      </w:r>
      <w:r>
        <w:rPr>
          <w:rFonts w:hint="eastAsia"/>
        </w:rPr>
        <w:t>）乙方负责为培训搭建所需的环境，并提供培训教材等相关用品。</w:t>
      </w:r>
    </w:p>
    <w:p w:rsidR="0095703D" w:rsidP="0095703D">
      <w:pPr>
        <w:ind w:firstLine="480"/>
      </w:pPr>
      <w:r>
        <w:rPr>
          <w:rFonts w:hint="eastAsia"/>
        </w:rPr>
        <w:t>（</w:t>
      </w:r>
      <w:r>
        <w:rPr>
          <w:rFonts w:hint="eastAsia"/>
        </w:rPr>
        <w:t>5</w:t>
      </w:r>
      <w:r>
        <w:rPr>
          <w:rFonts w:hint="eastAsia"/>
        </w:rPr>
        <w:t>）乙方人承担培训产生的食宿、场地、教师等一切费用。</w:t>
      </w:r>
    </w:p>
    <w:p w:rsidR="0095703D" w:rsidP="0095703D">
      <w:pPr>
        <w:pStyle w:val="Heading1"/>
        <w:keepNext/>
        <w:keepLines/>
        <w:widowControl w:val="0"/>
        <w:numPr>
          <w:numId w:val="4"/>
        </w:numPr>
        <w:tabs>
          <w:tab w:val="left" w:pos="480"/>
        </w:tabs>
        <w:spacing w:before="156" w:beforeLines="50" w:after="156" w:afterLines="50" w:line="360" w:lineRule="auto"/>
        <w:ind w:left="425" w:firstLine="0"/>
        <w:jc w:val="left"/>
      </w:pPr>
      <w:bookmarkStart w:id="194" w:name="_Toc140468912"/>
      <w:bookmarkStart w:id="195" w:name="_Toc140755629"/>
      <w:bookmarkStart w:id="196" w:name="_Toc22984"/>
      <w:bookmarkStart w:id="197" w:name="_Toc236245490"/>
      <w:r>
        <w:rPr>
          <w:rFonts w:hint="eastAsia"/>
        </w:rPr>
        <w:t>安全保密要求</w:t>
      </w:r>
      <w:bookmarkEnd w:id="194"/>
      <w:bookmarkEnd w:id="195"/>
      <w:bookmarkEnd w:id="196"/>
      <w:bookmarkEnd w:id="197"/>
    </w:p>
    <w:p w:rsidR="0095703D" w:rsidP="0095703D">
      <w:pPr>
        <w:ind w:firstLine="480"/>
      </w:pPr>
      <w:r>
        <w:rPr>
          <w:rFonts w:hint="eastAsia"/>
        </w:rPr>
        <w:t>乙方要承诺在项目执行过程中严格遵守《中华人民共和国网络安全法》和《中华人民共和国数据安全法》，确保项目涉及的气象数据安全；承诺在国家气象信息中心驻场期间按照《国家气象信息中心外协单位驻场管理办法（试行）》的要求开展相关工作，签订相关安全协议书。项目所涉气象数据（或气象资料）仅供项目建设使用，乙方在项目执行过程中如发生气象数据丢失、转让或交易等行为，甲方将根据合同和相关法规要求乙方赔偿并追究法律责任。</w:t>
      </w:r>
    </w:p>
    <w:p w:rsidR="0095703D" w:rsidP="0095703D">
      <w:pPr>
        <w:ind w:firstLine="480"/>
      </w:pPr>
      <w:r>
        <w:rPr>
          <w:rFonts w:hint="eastAsia"/>
        </w:rPr>
        <w:t>乙方必须对项目技术文件以及由甲方提供的所有内部材料、技术文档和信息予以保密。乙方必须遵守与甲方签订的保密协议，未经甲方书面许可，乙方不得以任何形式向第三方透露本项目的任何内容。</w:t>
      </w:r>
    </w:p>
    <w:p w:rsidR="0095703D" w:rsidP="0095703D">
      <w:pPr>
        <w:pStyle w:val="Heading1"/>
        <w:keepNext/>
        <w:keepLines/>
        <w:widowControl w:val="0"/>
        <w:numPr>
          <w:numId w:val="4"/>
        </w:numPr>
        <w:tabs>
          <w:tab w:val="left" w:pos="480"/>
        </w:tabs>
        <w:spacing w:before="156" w:beforeLines="50" w:after="156" w:afterLines="50" w:line="360" w:lineRule="auto"/>
        <w:ind w:left="425" w:firstLine="0"/>
        <w:jc w:val="left"/>
      </w:pPr>
      <w:bookmarkStart w:id="198" w:name="_Toc23792"/>
      <w:bookmarkStart w:id="199" w:name="_Toc140468913"/>
      <w:bookmarkStart w:id="200" w:name="_Toc140755630"/>
      <w:bookmarkStart w:id="201" w:name="_Toc236245491"/>
      <w:r>
        <w:rPr>
          <w:rFonts w:hint="eastAsia"/>
        </w:rPr>
        <w:t>售后服务要求</w:t>
      </w:r>
      <w:bookmarkEnd w:id="198"/>
      <w:bookmarkEnd w:id="199"/>
      <w:bookmarkEnd w:id="200"/>
      <w:bookmarkEnd w:id="201"/>
    </w:p>
    <w:p w:rsidR="0095703D" w:rsidP="0095703D">
      <w:pPr>
        <w:ind w:firstLine="480"/>
      </w:pPr>
      <w:r>
        <w:rPr>
          <w:rFonts w:hint="eastAsia"/>
        </w:rPr>
        <w:t>本项目要求乙方能够提供从系统终验之日起</w:t>
      </w:r>
      <w:r>
        <w:rPr>
          <w:rFonts w:hint="eastAsia"/>
        </w:rPr>
        <w:t>1</w:t>
      </w:r>
      <w:r>
        <w:rPr>
          <w:rFonts w:hint="eastAsia"/>
        </w:rPr>
        <w:t>年免费技术支持服务，期间需有免费驻场（主要技术人员至少</w:t>
      </w:r>
      <w:r>
        <w:rPr>
          <w:rFonts w:hint="eastAsia"/>
        </w:rPr>
        <w:t>1</w:t>
      </w:r>
      <w:r>
        <w:rPr>
          <w:rFonts w:hint="eastAsia"/>
        </w:rPr>
        <w:t>人），期间产生的费用有投标人承担。</w:t>
      </w:r>
    </w:p>
    <w:p w:rsidR="0095703D" w:rsidP="0095703D">
      <w:pPr>
        <w:ind w:firstLine="480"/>
      </w:pPr>
      <w:r>
        <w:t>系统发生异常情况，在接到</w:t>
      </w:r>
      <w:r>
        <w:rPr>
          <w:rFonts w:hint="eastAsia"/>
        </w:rPr>
        <w:t>甲方</w:t>
      </w:r>
      <w:r>
        <w:t>的通知后，</w:t>
      </w:r>
      <w:r>
        <w:rPr>
          <w:rFonts w:hint="eastAsia"/>
        </w:rPr>
        <w:t>乙方</w:t>
      </w:r>
      <w:r>
        <w:t>技术人员应提供</w:t>
      </w:r>
      <w:r>
        <w:t>7*24</w:t>
      </w:r>
      <w:r>
        <w:t>小时的服务响应，</w:t>
      </w:r>
      <w:r>
        <w:rPr>
          <w:rFonts w:hint="eastAsia"/>
        </w:rPr>
        <w:t>随时进行</w:t>
      </w:r>
      <w:r>
        <w:t>电话应答；</w:t>
      </w:r>
      <w:r>
        <w:rPr>
          <w:rFonts w:hint="eastAsia"/>
        </w:rPr>
        <w:t>30</w:t>
      </w:r>
      <w:r>
        <w:rPr>
          <w:rFonts w:hint="eastAsia"/>
        </w:rPr>
        <w:t>分钟</w:t>
      </w:r>
      <w:r>
        <w:t>内完成远程登录诊断；在</w:t>
      </w:r>
      <w:r>
        <w:rPr>
          <w:rFonts w:hint="eastAsia"/>
        </w:rPr>
        <w:t>1</w:t>
      </w:r>
      <w:r>
        <w:t>小时内到达现场解决疑难。</w:t>
      </w:r>
    </w:p>
    <w:p w:rsidR="0095703D" w:rsidP="0095703D">
      <w:pPr>
        <w:ind w:firstLine="480"/>
      </w:pPr>
      <w:r>
        <w:rPr>
          <w:rFonts w:hint="eastAsia"/>
        </w:rPr>
        <w:t>质量</w:t>
      </w:r>
      <w:r>
        <w:t>保证期后，</w:t>
      </w:r>
      <w:r>
        <w:rPr>
          <w:rFonts w:hint="eastAsia"/>
        </w:rPr>
        <w:t>乙方</w:t>
      </w:r>
      <w:r>
        <w:t>仍应根据合同要求向</w:t>
      </w:r>
      <w:r>
        <w:rPr>
          <w:rFonts w:hint="eastAsia"/>
        </w:rPr>
        <w:t>甲方</w:t>
      </w:r>
      <w:r>
        <w:t>提供技术服务，以合理价格提供软件功能改进技术服务。</w:t>
      </w:r>
    </w:p>
    <w:p w:rsidR="0095703D" w:rsidP="0095703D">
      <w:pPr>
        <w:ind w:firstLine="480"/>
      </w:pPr>
      <w:r>
        <w:rPr>
          <w:rFonts w:hint="eastAsia"/>
        </w:rPr>
        <w:t>质量</w:t>
      </w:r>
      <w:r>
        <w:t>保证期</w:t>
      </w:r>
      <w:r>
        <w:rPr>
          <w:rFonts w:hint="eastAsia"/>
        </w:rPr>
        <w:t>间</w:t>
      </w:r>
      <w:r>
        <w:t>的维护服务不收取任何额外费用，</w:t>
      </w:r>
      <w:r>
        <w:rPr>
          <w:rFonts w:hint="eastAsia"/>
        </w:rPr>
        <w:t>质量</w:t>
      </w:r>
      <w:r>
        <w:t>保证期后</w:t>
      </w:r>
      <w:r>
        <w:rPr>
          <w:rFonts w:hint="eastAsia"/>
        </w:rPr>
        <w:t>按合同约定进行维护。</w:t>
      </w:r>
    </w:p>
    <w:p w:rsidR="0095703D" w:rsidP="0095703D">
      <w:pPr>
        <w:pStyle w:val="Heading1"/>
        <w:keepNext/>
        <w:keepLines/>
        <w:widowControl w:val="0"/>
        <w:numPr>
          <w:numId w:val="4"/>
        </w:numPr>
        <w:tabs>
          <w:tab w:val="left" w:pos="480"/>
        </w:tabs>
        <w:spacing w:before="156" w:beforeLines="50" w:after="156" w:afterLines="50" w:line="360" w:lineRule="auto"/>
        <w:ind w:left="425" w:firstLine="0"/>
        <w:jc w:val="left"/>
      </w:pPr>
      <w:bookmarkStart w:id="202" w:name="_Toc140755631"/>
      <w:bookmarkStart w:id="203" w:name="_Toc140468914"/>
      <w:bookmarkStart w:id="204" w:name="_Toc812"/>
      <w:bookmarkStart w:id="205" w:name="_Toc236245492"/>
      <w:r>
        <w:rPr>
          <w:rFonts w:hint="eastAsia"/>
        </w:rPr>
        <w:t>知识产权要求</w:t>
      </w:r>
      <w:bookmarkEnd w:id="202"/>
      <w:bookmarkEnd w:id="203"/>
      <w:bookmarkEnd w:id="204"/>
      <w:bookmarkEnd w:id="205"/>
    </w:p>
    <w:p w:rsidR="0095703D" w:rsidP="0095703D">
      <w:pPr>
        <w:ind w:firstLine="480"/>
      </w:pPr>
      <w:r>
        <w:rPr>
          <w:rFonts w:hint="eastAsia"/>
        </w:rPr>
        <w:t>项目建设中，承建方按甲方要求进行源代码和项目相关文档的规范化管理，不得向第三方提供或泄露。项目结束后，承建方向甲方提交完整的源代码和相关说明材料，不得以任何形式保存项目的源代码。全部及</w:t>
      </w:r>
      <w:r>
        <w:rPr>
          <w:rFonts w:hint="eastAsia"/>
        </w:rPr>
        <w:t>/</w:t>
      </w:r>
      <w:r>
        <w:rPr>
          <w:rFonts w:hint="eastAsia"/>
        </w:rPr>
        <w:t>或任何部分的相关知识产权，包括相关权益，归甲方所有。乙方有不可争议的义务确保采购人依据本次采购所获得的知识产权不存在任何瑕疵并且可以不受限制地行使相关权利，包括各项延伸权利。若因此发生任何争议均应当由乙方独自承担全部及</w:t>
      </w:r>
      <w:r>
        <w:rPr>
          <w:rFonts w:hint="eastAsia"/>
        </w:rPr>
        <w:t>/</w:t>
      </w:r>
      <w:r>
        <w:rPr>
          <w:rFonts w:hint="eastAsia"/>
        </w:rPr>
        <w:t>或任何责任，包括但不限于应当承担其自身及采购方为排除任何争议或瑕疵所应当或所需支付的一切相关</w:t>
      </w:r>
      <w:r>
        <w:rPr>
          <w:rFonts w:hint="eastAsia"/>
        </w:rPr>
        <w:t>/</w:t>
      </w:r>
      <w:r>
        <w:rPr>
          <w:rFonts w:hint="eastAsia"/>
        </w:rPr>
        <w:t>或由此引起的费用。</w:t>
      </w:r>
    </w:p>
    <w:p w:rsidR="0095703D" w:rsidP="0095703D">
      <w:pPr>
        <w:ind w:firstLine="480"/>
      </w:pPr>
      <w:r>
        <w:rPr>
          <w:rFonts w:hint="eastAsia"/>
        </w:rPr>
        <w:t>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w:t>
      </w:r>
      <w:r>
        <w:rPr>
          <w:rFonts w:hint="eastAsia"/>
        </w:rPr>
        <w:t>/</w:t>
      </w:r>
      <w:r>
        <w:rPr>
          <w:rFonts w:hint="eastAsia"/>
        </w:rPr>
        <w:t>或任何责任，包括但不限于应当承担其自身及采购中心为排除任何争议及</w:t>
      </w:r>
      <w:r>
        <w:rPr>
          <w:rFonts w:hint="eastAsia"/>
        </w:rPr>
        <w:t>/</w:t>
      </w:r>
      <w:r>
        <w:rPr>
          <w:rFonts w:hint="eastAsia"/>
        </w:rPr>
        <w:t>或赔偿侵权所应当或所需支付的一切相关及</w:t>
      </w:r>
      <w:r>
        <w:rPr>
          <w:rFonts w:hint="eastAsia"/>
        </w:rPr>
        <w:t>/</w:t>
      </w:r>
      <w:r>
        <w:rPr>
          <w:rFonts w:hint="eastAsia"/>
        </w:rPr>
        <w:t>或由此引起的费用。</w:t>
      </w:r>
    </w:p>
    <w:p w:rsidR="0095703D" w:rsidP="0095703D">
      <w:pPr>
        <w:ind w:firstLine="480"/>
      </w:pPr>
      <w:r>
        <w:rPr>
          <w:rFonts w:hint="eastAsia"/>
        </w:rPr>
        <w:t>为甲方提供与本项目设计、开发和集成有关的各类技术咨询服务。</w:t>
      </w:r>
    </w:p>
    <w:p w:rsidR="0095703D" w:rsidP="0095703D">
      <w:pPr>
        <w:ind w:firstLine="480"/>
      </w:pPr>
      <w:r>
        <w:rPr>
          <w:rFonts w:hint="eastAsia"/>
        </w:rPr>
        <w:t>协助甲方预见本项目设计、开发和系统集成工作中和项目其他建设工作中可能发生的问题和困难，并向甲方提出解决的办法或建议。</w:t>
      </w:r>
    </w:p>
    <w:p w:rsidR="0095703D" w:rsidP="0095703D">
      <w:pPr>
        <w:ind w:firstLine="480"/>
      </w:pPr>
      <w:r>
        <w:rPr>
          <w:rFonts w:hint="eastAsia"/>
        </w:rPr>
        <w:t>在系统的运行维护阶段提供技术支持。对运行过程中出现的新问题提供建议和解决方案。</w:t>
      </w:r>
    </w:p>
    <w:p w:rsidR="0095703D" w:rsidP="0095703D">
      <w:pPr>
        <w:ind w:firstLine="480"/>
      </w:pPr>
      <w:r>
        <w:rPr>
          <w:rFonts w:hint="eastAsia"/>
        </w:rPr>
        <w:t>提供其他与项目相关的服务。</w:t>
      </w:r>
    </w:p>
    <w:p w:rsidR="0095703D" w:rsidP="0095703D">
      <w:pPr>
        <w:ind w:firstLine="480"/>
      </w:pPr>
      <w:r>
        <w:rPr>
          <w:rFonts w:hint="eastAsia"/>
        </w:rPr>
        <w:t>积极协助配合甲方开展与项目有关的工作。</w:t>
      </w:r>
    </w:p>
    <w:p w:rsidR="0095703D" w:rsidP="0095703D">
      <w:pPr>
        <w:ind w:firstLine="480"/>
      </w:pPr>
      <w:r>
        <w:rPr>
          <w:rFonts w:hint="eastAsia"/>
        </w:rPr>
        <w:t>技术支持工作需要及时、有效，充分满足项目建设的需求。</w:t>
      </w:r>
    </w:p>
    <w:p w:rsidR="00B83E4D" w:rsidRPr="0095703D">
      <w:pPr>
        <w:spacing w:line="360" w:lineRule="auto"/>
        <w:ind w:firstLine="420" w:firstLineChars="200"/>
        <w:rPr>
          <w:rFonts w:ascii="宋体" w:eastAsia="宋体" w:hAnsi="宋体" w:cs="Times New Roman"/>
          <w:szCs w:val="21"/>
        </w:rPr>
      </w:pPr>
    </w:p>
    <w:p w:rsidR="00A77B3E"/>
    <w:p>
      <w:pPr>
        <w:adjustRightInd w:val="0"/>
        <w:snapToGrid w:val="0"/>
        <w:spacing w:line="360" w:lineRule="auto"/>
        <w:jc w:val="center"/>
        <w:rPr>
          <w:rFonts w:ascii="宋体" w:hAnsi="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206"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cs="Times New Roman" w:hint="eastAsia"/>
                <w:sz w:val="18"/>
                <w:szCs w:val="18"/>
                <w:highlight w:val="none"/>
                <w:lang w:val="en-US" w:eastAsia="zh-CN"/>
              </w:rPr>
              <w:t>-</w:t>
            </w:r>
          </w:p>
        </w:tc>
        <w:tc>
          <w:tcPr>
            <w:tcW w:w="7347" w:type="dxa"/>
            <w:noWrap w:val="0"/>
            <w:vAlign w:val="top"/>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cs="Times New Roman" w:hint="eastAsia"/>
                <w:sz w:val="18"/>
                <w:szCs w:val="18"/>
                <w:highlight w:val="none"/>
                <w:lang w:val="en-US" w:eastAsia="zh-CN"/>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Times New Roman" w:hint="eastAsia"/>
                <w:sz w:val="18"/>
                <w:szCs w:val="18"/>
                <w:highlight w:val="none"/>
                <w:lang w:val="en-US" w:eastAsia="zh-CN"/>
              </w:rPr>
              <w:t>-</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206"/>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adjustRightInd w:val="0"/>
        <w:snapToGrid w:val="0"/>
        <w:ind w:firstLine="560"/>
        <w:jc w:val="center"/>
        <w:rPr>
          <w:rFonts w:cs="宋体"/>
          <w:bCs/>
          <w:kern w:val="0"/>
          <w:sz w:val="28"/>
        </w:rPr>
      </w:pPr>
      <w:bookmarkStart w:id="207" w:name="采购公告合同部分_ZBGGHT"/>
      <w:r>
        <w:rPr>
          <w:rFonts w:cs="宋体" w:hint="eastAsia"/>
          <w:bCs/>
          <w:kern w:val="0"/>
          <w:sz w:val="28"/>
        </w:rPr>
        <w:t>（本合同模板仅供参考，最终合同文本以双方签订为准）</w:t>
      </w:r>
    </w:p>
    <w:p>
      <w:pPr>
        <w:adjustRightInd w:val="0"/>
        <w:snapToGrid w:val="0"/>
        <w:ind w:firstLine="562"/>
        <w:jc w:val="center"/>
        <w:rPr>
          <w:rFonts w:cs="宋体"/>
          <w:b/>
          <w:bCs/>
          <w:kern w:val="0"/>
          <w:sz w:val="28"/>
        </w:rPr>
      </w:pPr>
    </w:p>
    <w:p>
      <w:pPr>
        <w:snapToGrid w:val="0"/>
        <w:ind w:firstLine="480"/>
        <w:rPr>
          <w:rFonts w:ascii="宋体" w:hAnsi="宋体"/>
          <w:szCs w:val="21"/>
        </w:rPr>
      </w:pPr>
      <w:r>
        <w:rPr>
          <w:rFonts w:ascii="宋体" w:hAnsi="宋体" w:hint="eastAsia"/>
          <w:szCs w:val="21"/>
        </w:rPr>
        <w:t>甲方（采购人）：</w:t>
      </w:r>
      <w:r>
        <w:rPr>
          <w:rFonts w:hint="eastAsia"/>
          <w:szCs w:val="21"/>
          <w:u w:val="single"/>
        </w:rPr>
        <w:t xml:space="preserve">   国家气象信息中心                               </w:t>
      </w:r>
    </w:p>
    <w:p>
      <w:pPr>
        <w:snapToGrid w:val="0"/>
        <w:ind w:firstLine="480"/>
        <w:rPr>
          <w:rFonts w:ascii="宋体" w:hAnsi="宋体"/>
          <w:szCs w:val="21"/>
        </w:rPr>
      </w:pPr>
      <w:r>
        <w:rPr>
          <w:rFonts w:ascii="宋体" w:hAnsi="宋体" w:hint="eastAsia"/>
          <w:szCs w:val="21"/>
        </w:rPr>
        <w:t>乙方（中标人）：</w:t>
      </w:r>
      <w:r>
        <w:rPr>
          <w:rFonts w:hint="eastAsia"/>
          <w:szCs w:val="21"/>
          <w:u w:val="single"/>
        </w:rPr>
        <w:t xml:space="preserve">                         </w:t>
      </w:r>
      <w:r>
        <w:rPr>
          <w:szCs w:val="21"/>
          <w:u w:val="single"/>
        </w:rPr>
        <w:t xml:space="preserve">                </w:t>
      </w:r>
      <w:r>
        <w:rPr>
          <w:rFonts w:hint="eastAsia"/>
          <w:szCs w:val="21"/>
          <w:u w:val="single"/>
        </w:rPr>
        <w:t xml:space="preserve">         </w:t>
      </w:r>
    </w:p>
    <w:p>
      <w:pPr>
        <w:snapToGrid w:val="0"/>
        <w:ind w:firstLine="480"/>
        <w:rPr>
          <w:rFonts w:ascii="宋体" w:hAnsi="宋体"/>
          <w:szCs w:val="21"/>
        </w:rPr>
      </w:pPr>
      <w:r>
        <w:rPr>
          <w:rFonts w:ascii="宋体" w:hAnsi="宋体" w:hint="eastAsia"/>
          <w:szCs w:val="21"/>
        </w:rPr>
        <w:t>甲乙双方</w:t>
      </w:r>
      <w:r>
        <w:rPr>
          <w:rFonts w:hint="eastAsia"/>
          <w:szCs w:val="21"/>
        </w:rPr>
        <w:t>根据《中华人民共和国政府采购法》、《民法典》等相关法律法规以及本项目招标文件的规定，经平等协商达成合同如下：</w:t>
      </w:r>
    </w:p>
    <w:p>
      <w:pPr>
        <w:adjustRightInd w:val="0"/>
        <w:snapToGrid w:val="0"/>
        <w:ind w:firstLine="412" w:firstLineChars="196"/>
        <w:rPr>
          <w:b/>
        </w:rPr>
      </w:pPr>
      <w:r>
        <w:rPr>
          <w:rFonts w:hint="eastAsia"/>
          <w:b/>
        </w:rPr>
        <w:t>一、项目</w:t>
      </w:r>
    </w:p>
    <w:p>
      <w:pPr>
        <w:adjustRightInd w:val="0"/>
        <w:snapToGrid w:val="0"/>
        <w:ind w:firstLine="420" w:firstLineChars="200"/>
        <w:rPr>
          <w:szCs w:val="21"/>
          <w:u w:val="single"/>
        </w:rPr>
      </w:pPr>
      <w:r>
        <w:rPr>
          <w:rFonts w:hint="eastAsia"/>
          <w:szCs w:val="21"/>
        </w:rPr>
        <w:t>项目名称：</w:t>
      </w:r>
      <w:r>
        <w:rPr>
          <w:rFonts w:hint="eastAsia"/>
          <w:szCs w:val="21"/>
          <w:u w:val="thick"/>
        </w:rPr>
        <w:t xml:space="preserve"> </w:t>
      </w:r>
      <w:r>
        <w:rPr>
          <w:szCs w:val="21"/>
          <w:u w:val="thick"/>
        </w:rPr>
        <w:t xml:space="preserve">     </w:t>
      </w:r>
      <w:r>
        <w:rPr>
          <w:rFonts w:hint="eastAsia"/>
          <w:szCs w:val="21"/>
          <w:u w:val="thick"/>
        </w:rPr>
        <w:t>面向</w:t>
      </w:r>
      <w:r>
        <w:rPr>
          <w:szCs w:val="21"/>
          <w:u w:val="thick"/>
        </w:rPr>
        <w:t>全球的</w:t>
      </w:r>
      <w:r>
        <w:rPr>
          <w:rFonts w:hint="eastAsia"/>
          <w:szCs w:val="21"/>
          <w:u w:val="thick"/>
        </w:rPr>
        <w:t>气象</w:t>
      </w:r>
      <w:r>
        <w:rPr>
          <w:szCs w:val="21"/>
          <w:u w:val="thick"/>
        </w:rPr>
        <w:t>数据</w:t>
      </w:r>
      <w:r>
        <w:rPr>
          <w:rFonts w:hint="eastAsia"/>
          <w:szCs w:val="21"/>
          <w:u w:val="thick"/>
        </w:rPr>
        <w:t>服务能力提升（202</w:t>
      </w:r>
      <w:r>
        <w:rPr>
          <w:szCs w:val="21"/>
          <w:u w:val="thick"/>
        </w:rPr>
        <w:t>6</w:t>
      </w:r>
      <w:r>
        <w:rPr>
          <w:rFonts w:hint="eastAsia"/>
          <w:szCs w:val="21"/>
          <w:u w:val="thick"/>
        </w:rPr>
        <w:t xml:space="preserve">年）              </w:t>
      </w:r>
    </w:p>
    <w:p>
      <w:pPr>
        <w:adjustRightInd w:val="0"/>
        <w:snapToGrid w:val="0"/>
        <w:ind w:firstLine="420" w:firstLineChars="200"/>
        <w:rPr>
          <w:szCs w:val="21"/>
          <w:u w:val="single"/>
        </w:rPr>
      </w:pPr>
      <w:r>
        <w:rPr>
          <w:rFonts w:hint="eastAsia"/>
          <w:szCs w:val="21"/>
        </w:rPr>
        <w:t>项目编号和分包号：</w:t>
      </w:r>
      <w:r>
        <w:rPr>
          <w:rFonts w:hint="eastAsia"/>
          <w:szCs w:val="21"/>
          <w:u w:val="single"/>
        </w:rPr>
        <w:t xml:space="preserve">               </w:t>
      </w:r>
      <w:r>
        <w:rPr>
          <w:szCs w:val="21"/>
          <w:u w:val="single"/>
        </w:rPr>
        <w:t xml:space="preserve">                  </w:t>
      </w:r>
      <w:r>
        <w:rPr>
          <w:rFonts w:hint="eastAsia"/>
          <w:szCs w:val="21"/>
          <w:u w:val="single"/>
        </w:rPr>
        <w:t xml:space="preserve">             </w:t>
      </w:r>
    </w:p>
    <w:p>
      <w:pPr>
        <w:adjustRightInd w:val="0"/>
        <w:snapToGrid w:val="0"/>
        <w:ind w:firstLine="420" w:firstLineChars="200"/>
        <w:rPr>
          <w:rFonts w:ascii="宋体" w:hAnsi="宋体"/>
          <w:b/>
          <w:szCs w:val="28"/>
        </w:rPr>
      </w:pPr>
      <w:r>
        <w:rPr>
          <w:rFonts w:hint="eastAsia"/>
          <w:szCs w:val="21"/>
        </w:rPr>
        <w:t>二、</w:t>
      </w:r>
      <w:r>
        <w:rPr>
          <w:rFonts w:ascii="宋体" w:hAnsi="宋体" w:hint="eastAsia"/>
          <w:b/>
          <w:szCs w:val="28"/>
        </w:rPr>
        <w:t>合同标的</w:t>
      </w:r>
    </w:p>
    <w:p>
      <w:pPr>
        <w:adjustRightInd w:val="0"/>
        <w:snapToGrid w:val="0"/>
        <w:ind w:firstLine="420" w:firstLineChars="200"/>
        <w:rPr>
          <w:rFonts w:ascii="宋体" w:hAnsi="宋体"/>
          <w:szCs w:val="21"/>
        </w:rPr>
      </w:pPr>
      <w:r>
        <w:rPr>
          <w:rFonts w:ascii="宋体" w:hAnsi="宋体"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18"/>
        <w:gridCol w:w="2619"/>
        <w:gridCol w:w="850"/>
        <w:gridCol w:w="1276"/>
        <w:gridCol w:w="1368"/>
        <w:gridCol w:w="135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3"/>
          <w:jc w:val="center"/>
        </w:trPr>
        <w:tc>
          <w:tcPr>
            <w:tcW w:w="818" w:type="dxa"/>
            <w:vAlign w:val="center"/>
          </w:tcPr>
          <w:p>
            <w:pPr>
              <w:tabs>
                <w:tab w:val="left" w:pos="1573"/>
              </w:tabs>
              <w:autoSpaceDE w:val="0"/>
              <w:autoSpaceDN w:val="0"/>
              <w:adjustRightInd w:val="0"/>
              <w:snapToGrid w:val="0"/>
              <w:rPr>
                <w:szCs w:val="21"/>
              </w:rPr>
            </w:pPr>
            <w:r>
              <w:rPr>
                <w:rFonts w:ascii="宋体" w:hAnsi="宋体" w:hint="eastAsia"/>
                <w:szCs w:val="21"/>
              </w:rPr>
              <w:t>序号</w:t>
            </w:r>
          </w:p>
        </w:tc>
        <w:tc>
          <w:tcPr>
            <w:tcW w:w="2619" w:type="dxa"/>
            <w:vAlign w:val="center"/>
          </w:tcPr>
          <w:p>
            <w:pPr>
              <w:tabs>
                <w:tab w:val="left" w:pos="1573"/>
              </w:tabs>
              <w:autoSpaceDE w:val="0"/>
              <w:autoSpaceDN w:val="0"/>
              <w:adjustRightInd w:val="0"/>
              <w:snapToGrid w:val="0"/>
              <w:jc w:val="center"/>
              <w:rPr>
                <w:szCs w:val="21"/>
              </w:rPr>
            </w:pPr>
            <w:r>
              <w:rPr>
                <w:rFonts w:ascii="宋体" w:hAnsi="宋体" w:hint="eastAsia"/>
                <w:szCs w:val="21"/>
              </w:rPr>
              <w:t>服务产品名称</w:t>
            </w:r>
          </w:p>
        </w:tc>
        <w:tc>
          <w:tcPr>
            <w:tcW w:w="850" w:type="dxa"/>
            <w:vAlign w:val="center"/>
          </w:tcPr>
          <w:p>
            <w:pPr>
              <w:tabs>
                <w:tab w:val="left" w:pos="1573"/>
              </w:tabs>
              <w:autoSpaceDE w:val="0"/>
              <w:autoSpaceDN w:val="0"/>
              <w:adjustRightInd w:val="0"/>
              <w:snapToGrid w:val="0"/>
              <w:rPr>
                <w:szCs w:val="21"/>
              </w:rPr>
            </w:pPr>
            <w:r>
              <w:rPr>
                <w:rFonts w:ascii="宋体" w:hAnsi="宋体" w:hint="eastAsia"/>
                <w:szCs w:val="21"/>
              </w:rPr>
              <w:t>数量</w:t>
            </w:r>
          </w:p>
        </w:tc>
        <w:tc>
          <w:tcPr>
            <w:tcW w:w="1276" w:type="dxa"/>
            <w:vAlign w:val="center"/>
          </w:tcPr>
          <w:p>
            <w:pPr>
              <w:tabs>
                <w:tab w:val="left" w:pos="1573"/>
              </w:tabs>
              <w:autoSpaceDE w:val="0"/>
              <w:autoSpaceDN w:val="0"/>
              <w:adjustRightInd w:val="0"/>
              <w:snapToGrid w:val="0"/>
              <w:rPr>
                <w:szCs w:val="21"/>
              </w:rPr>
            </w:pPr>
            <w:r>
              <w:rPr>
                <w:rFonts w:ascii="宋体" w:hAnsi="宋体" w:hint="eastAsia"/>
                <w:szCs w:val="21"/>
              </w:rPr>
              <w:t>质量说明</w:t>
            </w:r>
          </w:p>
        </w:tc>
        <w:tc>
          <w:tcPr>
            <w:tcW w:w="1368" w:type="dxa"/>
            <w:vAlign w:val="center"/>
          </w:tcPr>
          <w:p>
            <w:pPr>
              <w:tabs>
                <w:tab w:val="left" w:pos="1573"/>
              </w:tabs>
              <w:autoSpaceDE w:val="0"/>
              <w:autoSpaceDN w:val="0"/>
              <w:adjustRightInd w:val="0"/>
              <w:snapToGrid w:val="0"/>
              <w:rPr>
                <w:szCs w:val="21"/>
              </w:rPr>
            </w:pPr>
            <w:r>
              <w:rPr>
                <w:rFonts w:ascii="宋体" w:hAnsi="宋体" w:hint="eastAsia"/>
                <w:szCs w:val="21"/>
              </w:rPr>
              <w:t>价格</w:t>
            </w:r>
          </w:p>
        </w:tc>
        <w:tc>
          <w:tcPr>
            <w:tcW w:w="1358" w:type="dxa"/>
            <w:vAlign w:val="center"/>
          </w:tcPr>
          <w:p>
            <w:pPr>
              <w:tabs>
                <w:tab w:val="left" w:pos="1573"/>
              </w:tabs>
              <w:autoSpaceDE w:val="0"/>
              <w:autoSpaceDN w:val="0"/>
              <w:adjustRightInd w:val="0"/>
              <w:snapToGrid w:val="0"/>
              <w:rPr>
                <w:rFonts w:ascii="宋体" w:hAnsi="宋体"/>
                <w:szCs w:val="21"/>
              </w:rPr>
            </w:pPr>
            <w:r>
              <w:rPr>
                <w:rFonts w:ascii="宋体" w:hAnsi="宋体" w:hint="eastAsia"/>
                <w:szCs w:val="21"/>
              </w:rPr>
              <w:t>交付时间</w:t>
            </w:r>
          </w:p>
        </w:tc>
      </w:tr>
      <w:tr>
        <w:tblPrEx>
          <w:tblW w:w="0" w:type="auto"/>
          <w:jc w:val="center"/>
          <w:tblLayout w:type="fixed"/>
          <w:tblCellMar>
            <w:top w:w="0" w:type="dxa"/>
            <w:left w:w="108" w:type="dxa"/>
            <w:bottom w:w="0" w:type="dxa"/>
            <w:right w:w="108" w:type="dxa"/>
          </w:tblCellMar>
          <w:tblLook w:val="0000"/>
        </w:tblPrEx>
        <w:trPr>
          <w:trHeight w:val="1450"/>
          <w:jc w:val="center"/>
        </w:trPr>
        <w:tc>
          <w:tcPr>
            <w:tcW w:w="818" w:type="dxa"/>
            <w:vAlign w:val="center"/>
          </w:tcPr>
          <w:p>
            <w:pPr>
              <w:tabs>
                <w:tab w:val="left" w:pos="1573"/>
              </w:tabs>
              <w:autoSpaceDE w:val="0"/>
              <w:autoSpaceDN w:val="0"/>
              <w:adjustRightInd w:val="0"/>
              <w:snapToGrid w:val="0"/>
              <w:rPr>
                <w:rFonts w:ascii="宋体" w:hAnsi="宋体"/>
                <w:szCs w:val="21"/>
              </w:rPr>
            </w:pPr>
            <w:r>
              <w:rPr>
                <w:rFonts w:ascii="宋体" w:hAnsi="宋体" w:hint="eastAsia"/>
                <w:szCs w:val="21"/>
              </w:rPr>
              <w:t>1</w:t>
            </w:r>
          </w:p>
        </w:tc>
        <w:tc>
          <w:tcPr>
            <w:tcW w:w="2619" w:type="dxa"/>
            <w:vAlign w:val="center"/>
          </w:tcPr>
          <w:p>
            <w:pPr>
              <w:tabs>
                <w:tab w:val="left" w:pos="1573"/>
              </w:tabs>
              <w:autoSpaceDE w:val="0"/>
              <w:autoSpaceDN w:val="0"/>
              <w:adjustRightInd w:val="0"/>
              <w:snapToGrid w:val="0"/>
              <w:rPr>
                <w:rFonts w:ascii="宋体" w:hAnsi="宋体"/>
                <w:szCs w:val="21"/>
              </w:rPr>
            </w:pPr>
            <w:r>
              <w:rPr>
                <w:rFonts w:ascii="宋体" w:hAnsi="宋体" w:hint="eastAsia"/>
                <w:szCs w:val="21"/>
              </w:rPr>
              <w:t>面向</w:t>
            </w:r>
            <w:r>
              <w:rPr>
                <w:rFonts w:ascii="宋体" w:hAnsi="宋体"/>
                <w:szCs w:val="21"/>
              </w:rPr>
              <w:t>全球的气象数据</w:t>
            </w:r>
            <w:r>
              <w:rPr>
                <w:rFonts w:ascii="宋体" w:hAnsi="宋体" w:hint="eastAsia"/>
                <w:szCs w:val="21"/>
              </w:rPr>
              <w:t>服务能力提升（2026年）</w:t>
            </w:r>
          </w:p>
        </w:tc>
        <w:tc>
          <w:tcPr>
            <w:tcW w:w="850" w:type="dxa"/>
            <w:vAlign w:val="center"/>
          </w:tcPr>
          <w:p>
            <w:pPr>
              <w:tabs>
                <w:tab w:val="left" w:pos="1573"/>
              </w:tabs>
              <w:autoSpaceDE w:val="0"/>
              <w:autoSpaceDN w:val="0"/>
              <w:adjustRightInd w:val="0"/>
              <w:snapToGrid w:val="0"/>
              <w:rPr>
                <w:rFonts w:ascii="宋体" w:hAnsi="宋体"/>
                <w:szCs w:val="21"/>
              </w:rPr>
            </w:pPr>
            <w:r>
              <w:rPr>
                <w:rFonts w:ascii="宋体" w:hAnsi="宋体" w:hint="eastAsia"/>
                <w:szCs w:val="21"/>
              </w:rPr>
              <w:t>1</w:t>
            </w:r>
          </w:p>
        </w:tc>
        <w:tc>
          <w:tcPr>
            <w:tcW w:w="1276" w:type="dxa"/>
            <w:vAlign w:val="center"/>
          </w:tcPr>
          <w:p>
            <w:pPr>
              <w:tabs>
                <w:tab w:val="left" w:pos="1573"/>
              </w:tabs>
              <w:autoSpaceDE w:val="0"/>
              <w:autoSpaceDN w:val="0"/>
              <w:adjustRightInd w:val="0"/>
              <w:snapToGrid w:val="0"/>
              <w:rPr>
                <w:rFonts w:ascii="宋体" w:hAnsi="宋体"/>
                <w:szCs w:val="21"/>
              </w:rPr>
            </w:pPr>
          </w:p>
        </w:tc>
        <w:tc>
          <w:tcPr>
            <w:tcW w:w="1368" w:type="dxa"/>
            <w:vAlign w:val="center"/>
          </w:tcPr>
          <w:p>
            <w:pPr>
              <w:tabs>
                <w:tab w:val="left" w:pos="1573"/>
              </w:tabs>
              <w:autoSpaceDE w:val="0"/>
              <w:autoSpaceDN w:val="0"/>
              <w:adjustRightInd w:val="0"/>
              <w:snapToGrid w:val="0"/>
              <w:rPr>
                <w:rFonts w:ascii="宋体" w:hAnsi="宋体" w:hint="eastAsia"/>
                <w:szCs w:val="21"/>
              </w:rPr>
            </w:pPr>
            <w:r>
              <w:rPr>
                <w:rFonts w:ascii="宋体" w:hAnsi="宋体" w:hint="eastAsia"/>
                <w:szCs w:val="21"/>
              </w:rPr>
              <w:t>192万元</w:t>
            </w:r>
          </w:p>
        </w:tc>
        <w:tc>
          <w:tcPr>
            <w:tcW w:w="1358" w:type="dxa"/>
            <w:vAlign w:val="center"/>
          </w:tcPr>
          <w:p>
            <w:pPr>
              <w:tabs>
                <w:tab w:val="left" w:pos="1573"/>
              </w:tabs>
              <w:autoSpaceDE w:val="0"/>
              <w:autoSpaceDN w:val="0"/>
              <w:adjustRightInd w:val="0"/>
              <w:snapToGrid w:val="0"/>
              <w:rPr>
                <w:rFonts w:ascii="宋体" w:hAnsi="宋体" w:hint="eastAsia"/>
                <w:szCs w:val="21"/>
              </w:rPr>
            </w:pPr>
            <w:r>
              <w:rPr>
                <w:rFonts w:ascii="宋体" w:hAnsi="宋体" w:hint="eastAsia"/>
                <w:szCs w:val="21"/>
              </w:rPr>
              <w:t>合同签订后12个月内完成项目终验</w:t>
            </w:r>
          </w:p>
        </w:tc>
      </w:tr>
    </w:tbl>
    <w:p>
      <w:pPr>
        <w:tabs>
          <w:tab w:val="left" w:pos="1573"/>
        </w:tabs>
        <w:adjustRightInd w:val="0"/>
        <w:snapToGrid w:val="0"/>
        <w:ind w:firstLine="420" w:firstLineChars="200"/>
        <w:jc w:val="left"/>
        <w:rPr>
          <w:rFonts w:ascii="宋体" w:hAnsi="宋体"/>
          <w:b/>
          <w:szCs w:val="28"/>
        </w:rPr>
      </w:pPr>
      <w:r>
        <w:rPr>
          <w:rFonts w:ascii="宋体" w:hAnsi="宋体" w:hint="eastAsia"/>
          <w:b/>
          <w:szCs w:val="28"/>
        </w:rPr>
        <w:t>三</w:t>
      </w:r>
      <w:r>
        <w:rPr>
          <w:rFonts w:hAnsi="宋体" w:hint="eastAsia"/>
          <w:b/>
        </w:rPr>
        <w:t>、合同价格及</w:t>
      </w:r>
      <w:r>
        <w:rPr>
          <w:rFonts w:ascii="宋体" w:hAnsi="宋体" w:hint="eastAsia"/>
          <w:b/>
          <w:szCs w:val="28"/>
        </w:rPr>
        <w:t>付款方式</w:t>
      </w:r>
    </w:p>
    <w:p>
      <w:pPr>
        <w:snapToGrid w:val="0"/>
        <w:ind w:firstLine="420" w:firstLineChars="200"/>
        <w:rPr>
          <w:rFonts w:ascii="宋体" w:hAnsi="宋体"/>
          <w:szCs w:val="21"/>
        </w:rPr>
      </w:pPr>
      <w:r>
        <w:rPr>
          <w:rFonts w:ascii="宋体" w:hAnsi="宋体" w:hint="eastAsia"/>
          <w:szCs w:val="21"/>
        </w:rPr>
        <w:t>根据上述合同文件要求，合同的总金额为人民币：___________元 (大写)，___________元（小写），分项价格详见合同货物清单（附件一）。</w:t>
      </w:r>
    </w:p>
    <w:p>
      <w:pPr>
        <w:snapToGrid w:val="0"/>
        <w:ind w:firstLine="420" w:firstLineChars="200"/>
        <w:rPr>
          <w:rFonts w:ascii="宋体" w:hAnsi="宋体"/>
          <w:szCs w:val="21"/>
        </w:rPr>
      </w:pPr>
      <w:bookmarkStart w:id="208" w:name="OLE_LINK47"/>
      <w:r>
        <w:rPr>
          <w:rFonts w:ascii="宋体" w:hAnsi="宋体" w:hint="eastAsia"/>
          <w:szCs w:val="21"/>
        </w:rPr>
        <w:t>签订本</w:t>
      </w:r>
      <w:r>
        <w:rPr>
          <w:rFonts w:ascii="宋体" w:hAnsi="宋体"/>
          <w:szCs w:val="21"/>
        </w:rPr>
        <w:t>合同后</w:t>
      </w:r>
      <w:r>
        <w:rPr>
          <w:rFonts w:ascii="宋体" w:hAnsi="宋体"/>
          <w:szCs w:val="21"/>
          <w:u w:val="single"/>
        </w:rPr>
        <w:t>10</w:t>
      </w:r>
      <w:r>
        <w:rPr>
          <w:rFonts w:ascii="宋体" w:hAnsi="宋体" w:hint="eastAsia"/>
          <w:szCs w:val="21"/>
        </w:rPr>
        <w:t>个工作日内，乙方向甲方提供</w:t>
      </w:r>
      <w:bookmarkStart w:id="209" w:name="OLE_LINK30"/>
      <w:bookmarkStart w:id="210" w:name="OLE_LINK29"/>
      <w:r>
        <w:rPr>
          <w:rFonts w:ascii="宋体" w:hAnsi="宋体" w:hint="eastAsia"/>
          <w:szCs w:val="21"/>
        </w:rPr>
        <w:t>合同总金额</w:t>
      </w:r>
      <w:r>
        <w:rPr>
          <w:rFonts w:ascii="宋体" w:hAnsi="宋体"/>
          <w:szCs w:val="21"/>
          <w:u w:val="single"/>
        </w:rPr>
        <w:t>50%</w:t>
      </w:r>
      <w:r>
        <w:rPr>
          <w:rFonts w:ascii="宋体" w:hAnsi="宋体" w:hint="eastAsia"/>
          <w:szCs w:val="21"/>
        </w:rPr>
        <w:t>的预付款保函</w:t>
      </w:r>
      <w:bookmarkEnd w:id="209"/>
      <w:bookmarkEnd w:id="210"/>
      <w:r>
        <w:rPr>
          <w:rFonts w:ascii="宋体" w:hAnsi="宋体" w:hint="eastAsia"/>
          <w:szCs w:val="21"/>
        </w:rPr>
        <w:t>，即人民币</w:t>
      </w:r>
      <w:r>
        <w:rPr>
          <w:rFonts w:ascii="宋体" w:hAnsi="宋体"/>
          <w:szCs w:val="21"/>
          <w:u w:val="single"/>
        </w:rPr>
        <w:t xml:space="preserve">        </w:t>
      </w:r>
      <w:r>
        <w:rPr>
          <w:rFonts w:ascii="宋体" w:hAnsi="宋体"/>
          <w:szCs w:val="21"/>
        </w:rPr>
        <w:t>(大写)，</w:t>
      </w:r>
      <w:r>
        <w:rPr>
          <w:rFonts w:ascii="宋体" w:hAnsi="宋体"/>
          <w:szCs w:val="21"/>
          <w:u w:val="single"/>
        </w:rPr>
        <w:t xml:space="preserve">        </w:t>
      </w:r>
      <w:r>
        <w:rPr>
          <w:rFonts w:ascii="宋体" w:hAnsi="宋体" w:hint="eastAsia"/>
          <w:szCs w:val="21"/>
        </w:rPr>
        <w:t>元</w:t>
      </w:r>
      <w:r>
        <w:rPr>
          <w:rFonts w:ascii="宋体" w:hAnsi="宋体"/>
          <w:szCs w:val="21"/>
        </w:rPr>
        <w:t>(小写)，</w:t>
      </w:r>
      <w:bookmarkStart w:id="211" w:name="OLE_LINK14"/>
      <w:bookmarkStart w:id="212" w:name="OLE_LINK13"/>
      <w:r>
        <w:rPr>
          <w:rFonts w:ascii="宋体" w:hAnsi="宋体" w:hint="eastAsia"/>
          <w:szCs w:val="21"/>
        </w:rPr>
        <w:t>有效期截止</w:t>
      </w:r>
      <w:r>
        <w:rPr>
          <w:rFonts w:ascii="宋体" w:hAnsi="宋体"/>
          <w:szCs w:val="21"/>
          <w:u w:val="single"/>
        </w:rPr>
        <w:t xml:space="preserve">_  </w:t>
      </w:r>
      <w:r>
        <w:rPr>
          <w:rFonts w:ascii="宋体" w:hAnsi="宋体"/>
          <w:szCs w:val="21"/>
        </w:rPr>
        <w:t>_年_</w:t>
      </w:r>
      <w:r>
        <w:rPr>
          <w:rFonts w:ascii="宋体" w:hAnsi="宋体"/>
          <w:szCs w:val="21"/>
          <w:u w:val="single"/>
        </w:rPr>
        <w:t xml:space="preserve">  </w:t>
      </w:r>
      <w:r>
        <w:rPr>
          <w:rFonts w:ascii="宋体" w:hAnsi="宋体"/>
          <w:szCs w:val="21"/>
        </w:rPr>
        <w:t>_月_</w:t>
      </w:r>
      <w:r>
        <w:rPr>
          <w:rFonts w:ascii="宋体" w:hAnsi="宋体"/>
          <w:szCs w:val="21"/>
          <w:u w:val="single"/>
        </w:rPr>
        <w:t xml:space="preserve">   </w:t>
      </w:r>
      <w:r>
        <w:rPr>
          <w:rFonts w:ascii="宋体" w:hAnsi="宋体" w:hint="eastAsia"/>
          <w:szCs w:val="21"/>
        </w:rPr>
        <w:t>日。</w:t>
      </w:r>
      <w:bookmarkEnd w:id="211"/>
      <w:bookmarkEnd w:id="212"/>
      <w:r>
        <w:rPr>
          <w:rFonts w:ascii="宋体" w:hAnsi="宋体" w:hint="eastAsia"/>
          <w:szCs w:val="21"/>
        </w:rPr>
        <w:t>甲方收到上述预付款保函后</w:t>
      </w:r>
      <w:r>
        <w:rPr>
          <w:rFonts w:ascii="宋体" w:hAnsi="宋体"/>
          <w:szCs w:val="21"/>
          <w:u w:val="single"/>
        </w:rPr>
        <w:t>10</w:t>
      </w:r>
      <w:r>
        <w:rPr>
          <w:rFonts w:ascii="宋体" w:hAnsi="宋体" w:hint="eastAsia"/>
          <w:szCs w:val="21"/>
        </w:rPr>
        <w:t>个工作日内向乙方支付合同总金额的</w:t>
      </w:r>
      <w:r>
        <w:rPr>
          <w:rFonts w:ascii="宋体" w:hAnsi="宋体"/>
          <w:szCs w:val="21"/>
          <w:u w:val="single"/>
        </w:rPr>
        <w:t>90%</w:t>
      </w:r>
      <w:r>
        <w:rPr>
          <w:rFonts w:ascii="宋体" w:hAnsi="宋体" w:hint="eastAsia"/>
          <w:szCs w:val="21"/>
        </w:rPr>
        <w:t>，即人民币</w:t>
      </w:r>
      <w:r>
        <w:rPr>
          <w:rFonts w:ascii="宋体" w:hAnsi="宋体"/>
          <w:szCs w:val="21"/>
          <w:u w:val="single"/>
        </w:rPr>
        <w:t xml:space="preserve"> </w:t>
      </w:r>
      <w:r>
        <w:rPr>
          <w:rFonts w:ascii="宋体" w:hAnsi="宋体" w:hint="eastAsia"/>
          <w:szCs w:val="21"/>
          <w:u w:val="single"/>
        </w:rPr>
        <w:t xml:space="preserve">    </w:t>
      </w:r>
      <w:r>
        <w:rPr>
          <w:rFonts w:ascii="宋体" w:hAnsi="宋体"/>
          <w:szCs w:val="21"/>
        </w:rPr>
        <w:t>(大写),</w:t>
      </w:r>
      <w:r>
        <w:rPr>
          <w:rFonts w:ascii="宋体" w:hAnsi="宋体"/>
          <w:szCs w:val="21"/>
          <w:u w:val="single"/>
        </w:rPr>
        <w:t xml:space="preserve">          </w:t>
      </w:r>
      <w:r>
        <w:rPr>
          <w:rFonts w:ascii="宋体" w:hAnsi="宋体" w:hint="eastAsia"/>
          <w:szCs w:val="21"/>
        </w:rPr>
        <w:t>元</w:t>
      </w:r>
      <w:r>
        <w:rPr>
          <w:rFonts w:ascii="宋体" w:hAnsi="宋体"/>
          <w:szCs w:val="21"/>
        </w:rPr>
        <w:t>(小写)。</w:t>
      </w:r>
    </w:p>
    <w:p>
      <w:pPr>
        <w:ind w:firstLine="420" w:firstLineChars="200"/>
        <w:jc w:val="left"/>
        <w:rPr>
          <w:rFonts w:ascii="Times New Roman" w:hAnsi="Times New Roman"/>
          <w:szCs w:val="21"/>
        </w:rPr>
      </w:pPr>
      <w:bookmarkStart w:id="213" w:name="OLE_LINK11"/>
      <w:bookmarkStart w:id="214" w:name="OLE_LINK12"/>
      <w:r>
        <w:rPr>
          <w:rFonts w:ascii="宋体" w:hAnsi="宋体" w:hint="eastAsia"/>
          <w:szCs w:val="21"/>
        </w:rPr>
        <w:t>项目初验合格且收到初验合格证明后</w:t>
      </w:r>
      <w:r>
        <w:rPr>
          <w:rFonts w:ascii="宋体" w:hAnsi="宋体"/>
          <w:szCs w:val="21"/>
          <w:u w:val="single"/>
        </w:rPr>
        <w:t>10</w:t>
      </w:r>
      <w:r>
        <w:rPr>
          <w:rFonts w:ascii="宋体" w:hAnsi="宋体" w:hint="eastAsia"/>
          <w:szCs w:val="21"/>
        </w:rPr>
        <w:t>个工作日内</w:t>
      </w:r>
      <w:bookmarkEnd w:id="213"/>
      <w:bookmarkEnd w:id="214"/>
      <w:r>
        <w:rPr>
          <w:rFonts w:ascii="宋体" w:hAnsi="宋体" w:hint="eastAsia"/>
          <w:szCs w:val="21"/>
        </w:rPr>
        <w:t>，</w:t>
      </w:r>
      <w:bookmarkStart w:id="215" w:name="OLE_LINK26"/>
      <w:bookmarkStart w:id="216" w:name="OLE_LINK25"/>
      <w:r>
        <w:rPr>
          <w:rFonts w:hint="eastAsia"/>
          <w:szCs w:val="21"/>
        </w:rPr>
        <w:t>甲方退还乙方该预付款保函。</w:t>
      </w:r>
      <w:bookmarkEnd w:id="215"/>
      <w:bookmarkEnd w:id="216"/>
      <w:r>
        <w:rPr>
          <w:rFonts w:hint="eastAsia"/>
          <w:szCs w:val="21"/>
        </w:rPr>
        <w:t>同时，乙方向甲方提供合同总金额</w:t>
      </w:r>
      <w:r>
        <w:rPr>
          <w:rFonts w:hint="eastAsia"/>
          <w:szCs w:val="21"/>
          <w:u w:val="single"/>
        </w:rPr>
        <w:t>10%</w:t>
      </w:r>
      <w:r>
        <w:rPr>
          <w:rFonts w:hint="eastAsia"/>
          <w:szCs w:val="21"/>
        </w:rPr>
        <w:t>的履约保函，即人民币</w:t>
      </w:r>
      <w:r>
        <w:rPr>
          <w:rFonts w:hint="eastAsia"/>
          <w:szCs w:val="21"/>
          <w:u w:val="single"/>
        </w:rPr>
        <w:t xml:space="preserve">         </w:t>
      </w:r>
      <w:r>
        <w:rPr>
          <w:rFonts w:hint="eastAsia"/>
          <w:szCs w:val="21"/>
        </w:rPr>
        <w:t>元（大写）：</w:t>
      </w:r>
      <w:r>
        <w:rPr>
          <w:rFonts w:hint="eastAsia"/>
          <w:szCs w:val="21"/>
          <w:u w:val="single"/>
        </w:rPr>
        <w:t xml:space="preserve">          </w:t>
      </w:r>
      <w:r>
        <w:rPr>
          <w:rFonts w:hint="eastAsia"/>
          <w:szCs w:val="21"/>
        </w:rPr>
        <w:t>元（小写），</w:t>
      </w:r>
      <w:r>
        <w:rPr>
          <w:rFonts w:ascii="宋体" w:hAnsi="宋体" w:hint="eastAsia"/>
          <w:szCs w:val="21"/>
        </w:rPr>
        <w:t>有效期截止</w:t>
      </w:r>
      <w:r>
        <w:rPr>
          <w:rFonts w:ascii="宋体" w:hAnsi="宋体" w:hint="eastAsia"/>
          <w:szCs w:val="21"/>
          <w:u w:val="single"/>
        </w:rPr>
        <w:t xml:space="preserve">_  </w:t>
      </w:r>
      <w:r>
        <w:rPr>
          <w:rFonts w:ascii="宋体" w:hAnsi="宋体" w:hint="eastAsia"/>
          <w:szCs w:val="21"/>
        </w:rPr>
        <w:t>_年_</w:t>
      </w:r>
      <w:r>
        <w:rPr>
          <w:rFonts w:ascii="宋体" w:hAnsi="宋体" w:hint="eastAsia"/>
          <w:szCs w:val="21"/>
          <w:u w:val="single"/>
        </w:rPr>
        <w:t xml:space="preserve">  </w:t>
      </w:r>
      <w:r>
        <w:rPr>
          <w:rFonts w:ascii="宋体" w:hAnsi="宋体" w:hint="eastAsia"/>
          <w:szCs w:val="21"/>
        </w:rPr>
        <w:t>_月_</w:t>
      </w:r>
      <w:r>
        <w:rPr>
          <w:rFonts w:ascii="宋体" w:hAnsi="宋体" w:hint="eastAsia"/>
          <w:szCs w:val="21"/>
          <w:u w:val="single"/>
        </w:rPr>
        <w:t xml:space="preserve">   </w:t>
      </w:r>
      <w:r>
        <w:rPr>
          <w:rFonts w:ascii="宋体" w:hAnsi="宋体" w:hint="eastAsia"/>
          <w:szCs w:val="21"/>
        </w:rPr>
        <w:t>日</w:t>
      </w:r>
      <w:r>
        <w:rPr>
          <w:rFonts w:hint="eastAsia"/>
          <w:szCs w:val="21"/>
        </w:rPr>
        <w:t>。甲方收到上述履约保函后</w:t>
      </w:r>
      <w:r>
        <w:rPr>
          <w:rFonts w:hint="eastAsia"/>
          <w:szCs w:val="21"/>
          <w:u w:val="single"/>
        </w:rPr>
        <w:t>10</w:t>
      </w:r>
      <w:r>
        <w:rPr>
          <w:rFonts w:hint="eastAsia"/>
          <w:szCs w:val="21"/>
        </w:rPr>
        <w:t>个工作日内向</w:t>
      </w:r>
      <w:r>
        <w:rPr>
          <w:rFonts w:ascii="等线" w:hAnsi="等线" w:hint="eastAsia"/>
          <w:szCs w:val="21"/>
        </w:rPr>
        <w:t>乙方支付合同总金额的</w:t>
      </w:r>
      <w:r>
        <w:rPr>
          <w:rFonts w:hint="eastAsia"/>
          <w:szCs w:val="21"/>
          <w:u w:val="single"/>
        </w:rPr>
        <w:t>10</w:t>
      </w:r>
      <w:r>
        <w:rPr>
          <w:rFonts w:ascii="等线" w:hAnsi="等线" w:hint="eastAsia"/>
          <w:szCs w:val="21"/>
          <w:u w:val="single"/>
        </w:rPr>
        <w:t xml:space="preserve"> %</w:t>
      </w:r>
      <w:r>
        <w:rPr>
          <w:rFonts w:ascii="等线" w:hAnsi="等线" w:hint="eastAsia"/>
          <w:szCs w:val="21"/>
        </w:rPr>
        <w:t>，即人民币：</w:t>
      </w:r>
      <w:r>
        <w:rPr>
          <w:rFonts w:hint="eastAsia"/>
          <w:szCs w:val="21"/>
          <w:u w:val="single"/>
        </w:rPr>
        <w:t xml:space="preserve">         </w:t>
      </w:r>
      <w:r>
        <w:rPr>
          <w:rFonts w:ascii="等线" w:hAnsi="等线" w:hint="eastAsia"/>
          <w:szCs w:val="21"/>
        </w:rPr>
        <w:t>元（大写）：</w:t>
      </w:r>
      <w:r>
        <w:rPr>
          <w:rFonts w:hint="eastAsia"/>
          <w:szCs w:val="21"/>
          <w:u w:val="single"/>
        </w:rPr>
        <w:t xml:space="preserve">           </w:t>
      </w:r>
      <w:r>
        <w:rPr>
          <w:rFonts w:ascii="等线" w:hAnsi="等线" w:hint="eastAsia"/>
          <w:szCs w:val="21"/>
        </w:rPr>
        <w:t>元（小写）；</w:t>
      </w:r>
    </w:p>
    <w:p>
      <w:pPr>
        <w:snapToGrid w:val="0"/>
        <w:ind w:firstLine="420" w:firstLineChars="200"/>
        <w:rPr>
          <w:rFonts w:ascii="宋体" w:hAnsi="宋体"/>
          <w:szCs w:val="21"/>
        </w:rPr>
      </w:pPr>
      <w:r>
        <w:rPr>
          <w:rFonts w:ascii="宋体" w:hAnsi="宋体"/>
          <w:szCs w:val="21"/>
        </w:rPr>
        <w:t>项目</w:t>
      </w:r>
      <w:bookmarkStart w:id="217" w:name="OLE_LINK7"/>
      <w:bookmarkStart w:id="218" w:name="OLE_LINK8"/>
      <w:r>
        <w:rPr>
          <w:rFonts w:ascii="宋体" w:hAnsi="宋体" w:hint="eastAsia"/>
          <w:szCs w:val="21"/>
        </w:rPr>
        <w:t>终验</w:t>
      </w:r>
      <w:bookmarkEnd w:id="217"/>
      <w:bookmarkEnd w:id="218"/>
      <w:r>
        <w:rPr>
          <w:rFonts w:ascii="宋体" w:hAnsi="宋体"/>
          <w:szCs w:val="21"/>
        </w:rPr>
        <w:t>合格且收到</w:t>
      </w:r>
      <w:r>
        <w:rPr>
          <w:rFonts w:ascii="宋体" w:hAnsi="宋体" w:hint="eastAsia"/>
          <w:szCs w:val="21"/>
        </w:rPr>
        <w:t>终验</w:t>
      </w:r>
      <w:r>
        <w:rPr>
          <w:rFonts w:ascii="宋体" w:hAnsi="宋体"/>
          <w:szCs w:val="21"/>
        </w:rPr>
        <w:t>合格证明</w:t>
      </w:r>
      <w:r>
        <w:rPr>
          <w:rFonts w:ascii="宋体" w:hAnsi="宋体"/>
          <w:szCs w:val="21"/>
          <w:u w:val="single"/>
        </w:rPr>
        <w:t>10</w:t>
      </w:r>
      <w:r>
        <w:rPr>
          <w:rFonts w:ascii="宋体" w:hAnsi="宋体" w:hint="eastAsia"/>
          <w:szCs w:val="21"/>
        </w:rPr>
        <w:t>个工作日内，</w:t>
      </w:r>
      <w:bookmarkStart w:id="219" w:name="OLE_LINK37"/>
      <w:bookmarkStart w:id="220" w:name="OLE_LINK38"/>
      <w:r>
        <w:rPr>
          <w:rFonts w:ascii="宋体" w:hAnsi="宋体" w:hint="eastAsia"/>
          <w:szCs w:val="21"/>
        </w:rPr>
        <w:t>甲方向乙方退还该履约保函。</w:t>
      </w:r>
      <w:bookmarkEnd w:id="219"/>
      <w:bookmarkEnd w:id="220"/>
    </w:p>
    <w:p>
      <w:pPr>
        <w:snapToGrid w:val="0"/>
        <w:ind w:firstLine="420" w:firstLineChars="200"/>
        <w:rPr>
          <w:rFonts w:ascii="宋体" w:hAnsi="宋体"/>
          <w:szCs w:val="21"/>
        </w:rPr>
      </w:pPr>
      <w:r>
        <w:rPr>
          <w:rFonts w:ascii="宋体" w:hAnsi="宋体"/>
          <w:szCs w:val="21"/>
        </w:rPr>
        <w:t>上述付款条件满足，但项目资金未完全下达，则付款时间延后为资金下达后</w:t>
      </w:r>
      <w:r>
        <w:rPr>
          <w:rFonts w:ascii="宋体" w:hAnsi="宋体"/>
          <w:szCs w:val="21"/>
          <w:u w:val="single"/>
        </w:rPr>
        <w:t>15</w:t>
      </w:r>
      <w:r>
        <w:rPr>
          <w:rFonts w:ascii="宋体" w:hAnsi="宋体" w:hint="eastAsia"/>
          <w:szCs w:val="21"/>
        </w:rPr>
        <w:t>个工作日内。</w:t>
      </w:r>
    </w:p>
    <w:p>
      <w:pPr>
        <w:tabs>
          <w:tab w:val="left" w:pos="1573"/>
        </w:tabs>
        <w:adjustRightInd w:val="0"/>
        <w:snapToGrid w:val="0"/>
        <w:ind w:firstLine="420" w:firstLineChars="200"/>
        <w:jc w:val="left"/>
        <w:rPr>
          <w:rFonts w:ascii="微软雅黑" w:hAnsi="微软雅黑"/>
          <w:color w:val="0000FF"/>
        </w:rPr>
      </w:pPr>
      <w:bookmarkEnd w:id="208"/>
    </w:p>
    <w:p>
      <w:pPr>
        <w:tabs>
          <w:tab w:val="left" w:pos="1573"/>
        </w:tabs>
        <w:adjustRightInd w:val="0"/>
        <w:snapToGrid w:val="0"/>
        <w:ind w:firstLine="412" w:firstLineChars="196"/>
        <w:jc w:val="left"/>
        <w:rPr>
          <w:rFonts w:ascii="宋体" w:hAnsi="宋体"/>
          <w:b/>
          <w:szCs w:val="28"/>
        </w:rPr>
      </w:pPr>
      <w:r>
        <w:rPr>
          <w:rFonts w:ascii="宋体" w:hAnsi="宋体" w:hint="eastAsia"/>
          <w:b/>
          <w:szCs w:val="28"/>
        </w:rPr>
        <w:t>四、甲方应向乙方提供的资料</w:t>
      </w:r>
    </w:p>
    <w:p>
      <w:pPr>
        <w:tabs>
          <w:tab w:val="left" w:pos="1573"/>
        </w:tabs>
        <w:adjustRightInd w:val="0"/>
        <w:snapToGrid w:val="0"/>
        <w:ind w:firstLine="412" w:firstLineChars="196"/>
        <w:jc w:val="left"/>
        <w:rPr>
          <w:rFonts w:ascii="宋体" w:hAnsi="宋体"/>
          <w:szCs w:val="28"/>
        </w:rPr>
      </w:pPr>
      <w:r>
        <w:rPr>
          <w:rFonts w:ascii="宋体" w:hAnsi="宋体" w:hint="eastAsia"/>
          <w:szCs w:val="28"/>
        </w:rPr>
        <w:t>甲方提供该乙方履行合同所需的资料清单如下：</w:t>
      </w:r>
      <w:r>
        <w:rPr>
          <w:rFonts w:ascii="宋体" w:hAnsi="宋体"/>
          <w:szCs w:val="21"/>
          <w:u w:val="single"/>
        </w:rPr>
        <w:t>需求分析报</w:t>
      </w:r>
      <w:r>
        <w:rPr>
          <w:rFonts w:ascii="宋体" w:hAnsi="宋体" w:hint="eastAsia"/>
          <w:szCs w:val="21"/>
          <w:u w:val="single"/>
        </w:rPr>
        <w:t>告，概要设计报告，详细设计报告，技术规格说明书，技术开发文档（含源代码），测试报告，验收文档，使用操作说明手册，安装维护手册 （根据具体项目罗列）</w:t>
      </w:r>
    </w:p>
    <w:p>
      <w:pPr>
        <w:tabs>
          <w:tab w:val="left" w:pos="1573"/>
        </w:tabs>
        <w:adjustRightInd w:val="0"/>
        <w:snapToGrid w:val="0"/>
        <w:ind w:firstLine="412" w:firstLineChars="196"/>
        <w:jc w:val="left"/>
        <w:rPr>
          <w:rFonts w:ascii="宋体" w:hAnsi="宋体"/>
          <w:szCs w:val="28"/>
        </w:rPr>
      </w:pPr>
    </w:p>
    <w:p>
      <w:pPr>
        <w:tabs>
          <w:tab w:val="left" w:pos="1573"/>
        </w:tabs>
        <w:adjustRightInd w:val="0"/>
        <w:snapToGrid w:val="0"/>
        <w:ind w:firstLine="412" w:firstLineChars="196"/>
        <w:jc w:val="left"/>
        <w:rPr>
          <w:rFonts w:ascii="宋体" w:hAnsi="宋体"/>
          <w:b/>
          <w:szCs w:val="28"/>
        </w:rPr>
      </w:pPr>
      <w:r>
        <w:rPr>
          <w:rFonts w:ascii="宋体" w:hAnsi="宋体" w:hint="eastAsia"/>
          <w:b/>
          <w:szCs w:val="28"/>
        </w:rPr>
        <w:t>五、进度要求及交付</w:t>
      </w:r>
    </w:p>
    <w:p>
      <w:pPr>
        <w:tabs>
          <w:tab w:val="left" w:pos="1573"/>
        </w:tabs>
        <w:adjustRightInd w:val="0"/>
        <w:snapToGrid w:val="0"/>
        <w:ind w:firstLine="420" w:firstLineChars="200"/>
        <w:jc w:val="left"/>
        <w:rPr>
          <w:rFonts w:ascii="宋体" w:hAnsi="宋体"/>
          <w:szCs w:val="21"/>
        </w:rPr>
      </w:pPr>
      <w:r>
        <w:rPr>
          <w:rFonts w:ascii="宋体" w:hAnsi="宋体" w:hint="eastAsia"/>
          <w:szCs w:val="21"/>
        </w:rPr>
        <w:t>1、交付日期：</w:t>
      </w:r>
      <w:r>
        <w:rPr>
          <w:rFonts w:ascii="宋体" w:hAnsi="宋体" w:hint="eastAsia"/>
          <w:szCs w:val="21"/>
          <w:u w:val="single"/>
        </w:rPr>
        <w:tab/>
      </w:r>
      <w:r>
        <w:rPr>
          <w:rFonts w:ascii="宋体" w:hAnsi="宋体" w:hint="eastAsia"/>
          <w:szCs w:val="21"/>
          <w:u w:val="single"/>
        </w:rPr>
        <w:t xml:space="preserve">   签订合同后12个月完成验收        </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w:t>
      </w:r>
    </w:p>
    <w:p>
      <w:pPr>
        <w:tabs>
          <w:tab w:val="left" w:pos="1573"/>
        </w:tabs>
        <w:adjustRightInd w:val="0"/>
        <w:snapToGrid w:val="0"/>
        <w:ind w:firstLine="420" w:firstLineChars="200"/>
        <w:jc w:val="left"/>
        <w:rPr>
          <w:rFonts w:ascii="宋体" w:hAnsi="宋体"/>
          <w:szCs w:val="21"/>
        </w:rPr>
      </w:pPr>
      <w:r>
        <w:rPr>
          <w:rFonts w:ascii="宋体" w:hAnsi="宋体" w:hint="eastAsia"/>
          <w:szCs w:val="21"/>
        </w:rPr>
        <w:t>2、交付地点：</w:t>
      </w:r>
      <w:r>
        <w:rPr>
          <w:rFonts w:ascii="宋体" w:hAnsi="宋体" w:hint="eastAsia"/>
          <w:szCs w:val="21"/>
          <w:u w:val="single"/>
        </w:rPr>
        <w:tab/>
      </w:r>
      <w:r>
        <w:rPr>
          <w:rFonts w:ascii="宋体" w:hAnsi="宋体" w:hint="eastAsia"/>
          <w:szCs w:val="21"/>
          <w:u w:val="single"/>
        </w:rPr>
        <w:t xml:space="preserve">    国家气象信息中心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w:t>
      </w:r>
    </w:p>
    <w:p>
      <w:pPr>
        <w:tabs>
          <w:tab w:val="left" w:pos="1573"/>
        </w:tabs>
        <w:adjustRightInd w:val="0"/>
        <w:snapToGrid w:val="0"/>
        <w:ind w:firstLine="420" w:firstLineChars="200"/>
        <w:jc w:val="left"/>
        <w:rPr>
          <w:rFonts w:ascii="宋体" w:hAnsi="宋体"/>
          <w:szCs w:val="21"/>
        </w:rPr>
      </w:pPr>
      <w:r>
        <w:rPr>
          <w:rFonts w:ascii="宋体" w:hAnsi="宋体" w:hint="eastAsia"/>
          <w:szCs w:val="21"/>
        </w:rPr>
        <w:t>3、其他约定事项：</w:t>
      </w:r>
      <w:r>
        <w:rPr>
          <w:rFonts w:ascii="宋体" w:hAnsi="宋体" w:hint="eastAsia"/>
          <w:szCs w:val="21"/>
          <w:u w:val="single"/>
        </w:rPr>
        <w:t xml:space="preserve">                                                     </w:t>
      </w:r>
      <w:r>
        <w:rPr>
          <w:rFonts w:ascii="宋体" w:hAnsi="宋体" w:hint="eastAsia"/>
          <w:szCs w:val="21"/>
        </w:rPr>
        <w:t>。</w:t>
      </w:r>
    </w:p>
    <w:p>
      <w:pPr>
        <w:tabs>
          <w:tab w:val="left" w:pos="1573"/>
        </w:tabs>
        <w:adjustRightInd w:val="0"/>
        <w:snapToGrid w:val="0"/>
        <w:ind w:left="420" w:firstLine="482" w:leftChars="200"/>
        <w:rPr>
          <w:b/>
          <w:szCs w:val="21"/>
        </w:rPr>
      </w:pPr>
      <w:r>
        <w:rPr>
          <w:rFonts w:ascii="宋体" w:hAnsi="宋体" w:hint="eastAsia"/>
          <w:b/>
          <w:szCs w:val="21"/>
        </w:rPr>
        <w:t>六、</w:t>
      </w:r>
      <w:r>
        <w:rPr>
          <w:rFonts w:hint="eastAsia"/>
          <w:b/>
          <w:szCs w:val="21"/>
        </w:rPr>
        <w:t>技术服务和保修责任</w:t>
      </w:r>
    </w:p>
    <w:p>
      <w:pPr>
        <w:tabs>
          <w:tab w:val="left" w:pos="1573"/>
        </w:tabs>
        <w:adjustRightInd w:val="0"/>
        <w:snapToGrid w:val="0"/>
        <w:ind w:firstLine="412" w:firstLineChars="196"/>
        <w:jc w:val="left"/>
        <w:rPr>
          <w:rFonts w:ascii="宋体" w:hAnsi="宋体"/>
          <w:szCs w:val="21"/>
        </w:rPr>
      </w:pPr>
      <w:r>
        <w:rPr>
          <w:rFonts w:ascii="宋体" w:hAnsi="宋体" w:hint="eastAsia"/>
          <w:szCs w:val="21"/>
        </w:rPr>
        <w:t>乙方对合同服务的质量保修期为验收证书签署之日起</w:t>
      </w:r>
      <w:r>
        <w:rPr>
          <w:rFonts w:ascii="宋体" w:hAnsi="宋体" w:hint="eastAsia"/>
          <w:szCs w:val="21"/>
          <w:u w:val="single"/>
        </w:rPr>
        <w:t xml:space="preserve">    12      </w:t>
      </w:r>
      <w:r>
        <w:rPr>
          <w:rFonts w:ascii="宋体" w:hAnsi="宋体" w:hint="eastAsia"/>
          <w:szCs w:val="21"/>
        </w:rPr>
        <w:t>个月。</w:t>
      </w:r>
    </w:p>
    <w:p>
      <w:pPr>
        <w:tabs>
          <w:tab w:val="left" w:pos="1573"/>
        </w:tabs>
        <w:adjustRightInd w:val="0"/>
        <w:snapToGrid w:val="0"/>
        <w:ind w:firstLine="412" w:firstLineChars="196"/>
        <w:jc w:val="left"/>
        <w:rPr>
          <w:rFonts w:ascii="宋体" w:hAnsi="宋体"/>
          <w:b/>
          <w:szCs w:val="28"/>
        </w:rPr>
      </w:pPr>
      <w:r>
        <w:rPr>
          <w:rFonts w:ascii="宋体" w:hAnsi="宋体" w:hint="eastAsia"/>
          <w:b/>
          <w:szCs w:val="28"/>
        </w:rPr>
        <w:t>七、违约责任</w:t>
      </w:r>
    </w:p>
    <w:p>
      <w:pPr>
        <w:tabs>
          <w:tab w:val="left" w:pos="1573"/>
        </w:tabs>
        <w:adjustRightInd w:val="0"/>
        <w:snapToGrid w:val="0"/>
        <w:ind w:firstLine="412" w:firstLineChars="196"/>
        <w:jc w:val="left"/>
        <w:rPr>
          <w:rFonts w:ascii="宋体" w:hAnsi="宋体"/>
          <w:szCs w:val="21"/>
        </w:rPr>
      </w:pPr>
      <w:r>
        <w:rPr>
          <w:rFonts w:ascii="宋体" w:hAnsi="宋体" w:hint="eastAsia"/>
          <w:szCs w:val="28"/>
        </w:rPr>
        <w:t>1、</w:t>
      </w:r>
      <w:r>
        <w:rPr>
          <w:rFonts w:ascii="宋体" w:hAnsi="宋体" w:hint="eastAsia"/>
          <w:szCs w:val="21"/>
        </w:rPr>
        <w:t>延期交付或延期付款的违约责任：如乙方延期交付或甲方延期付款，每逾期一天，违约方应按延期交货所折合的金额或延期付款金额每天</w:t>
      </w:r>
      <w:r>
        <w:rPr>
          <w:rFonts w:ascii="宋体" w:hAnsi="宋体" w:hint="eastAsia"/>
          <w:szCs w:val="21"/>
          <w:u w:val="single"/>
        </w:rPr>
        <w:t xml:space="preserve">      </w:t>
      </w:r>
      <w:r>
        <w:rPr>
          <w:rFonts w:ascii="宋体" w:hAnsi="宋体" w:hint="eastAsia"/>
          <w:szCs w:val="21"/>
        </w:rPr>
        <w:t>‰</w:t>
      </w:r>
      <w:r>
        <w:rPr>
          <w:rFonts w:ascii="宋体" w:hAnsi="宋体" w:hint="eastAsia"/>
          <w:szCs w:val="21"/>
        </w:rPr>
        <w:t xml:space="preserve"> 的比例向对方支付违约金，但该违约金累计不得超过合同总金额的</w:t>
      </w:r>
      <w:r>
        <w:rPr>
          <w:rFonts w:ascii="宋体" w:hAnsi="宋体" w:hint="eastAsia"/>
          <w:szCs w:val="21"/>
          <w:u w:val="single"/>
        </w:rPr>
        <w:t xml:space="preserve">   </w:t>
      </w:r>
      <w:r>
        <w:rPr>
          <w:rFonts w:ascii="宋体" w:hAnsi="宋体" w:hint="eastAsia"/>
          <w:szCs w:val="21"/>
        </w:rPr>
        <w:t>%；上述逾期超过</w:t>
      </w:r>
      <w:r>
        <w:rPr>
          <w:rFonts w:ascii="宋体" w:hAnsi="宋体" w:hint="eastAsia"/>
          <w:szCs w:val="21"/>
          <w:u w:val="single"/>
        </w:rPr>
        <w:t xml:space="preserve">  60    </w:t>
      </w:r>
      <w:r>
        <w:rPr>
          <w:rFonts w:ascii="宋体" w:hAnsi="宋体" w:hint="eastAsia"/>
          <w:szCs w:val="21"/>
        </w:rPr>
        <w:t>天，守约方有权解除合同，并要求违约方赔偿由此造成的损失。</w:t>
      </w:r>
    </w:p>
    <w:p>
      <w:pPr>
        <w:tabs>
          <w:tab w:val="left" w:pos="1573"/>
        </w:tabs>
        <w:adjustRightInd w:val="0"/>
        <w:snapToGrid w:val="0"/>
        <w:ind w:firstLine="412" w:firstLineChars="196"/>
        <w:jc w:val="left"/>
        <w:rPr>
          <w:rFonts w:ascii="宋体" w:hAnsi="宋体"/>
          <w:szCs w:val="21"/>
        </w:rPr>
      </w:pPr>
      <w:r>
        <w:rPr>
          <w:rFonts w:ascii="宋体" w:hAnsi="宋体" w:hint="eastAsia"/>
          <w:szCs w:val="21"/>
        </w:rPr>
        <w:t>2、其它违约责任</w:t>
      </w:r>
    </w:p>
    <w:p>
      <w:pPr>
        <w:tabs>
          <w:tab w:val="left" w:pos="1573"/>
        </w:tabs>
        <w:adjustRightInd w:val="0"/>
        <w:snapToGrid w:val="0"/>
        <w:ind w:firstLine="420" w:firstLineChars="200"/>
        <w:jc w:val="left"/>
        <w:rPr>
          <w:rFonts w:ascii="宋体" w:hAnsi="宋体"/>
          <w:szCs w:val="21"/>
        </w:rPr>
      </w:pPr>
      <w:r>
        <w:rPr>
          <w:rFonts w:ascii="宋体" w:hAnsi="宋体" w:hint="eastAsia"/>
          <w:szCs w:val="21"/>
        </w:rPr>
        <w:t>违约方应就每一单项违约向对方支付合同总金额</w:t>
      </w:r>
      <w:r>
        <w:rPr>
          <w:rFonts w:ascii="宋体" w:hAnsi="宋体" w:hint="eastAsia"/>
          <w:szCs w:val="21"/>
          <w:u w:val="single"/>
        </w:rPr>
        <w:t xml:space="preserve">     </w:t>
      </w:r>
      <w:r>
        <w:rPr>
          <w:rFonts w:ascii="宋体" w:hAnsi="宋体" w:hint="eastAsia"/>
          <w:szCs w:val="21"/>
        </w:rPr>
        <w:t>%的违约金。</w:t>
      </w:r>
    </w:p>
    <w:p>
      <w:pPr>
        <w:tabs>
          <w:tab w:val="left" w:pos="1573"/>
        </w:tabs>
        <w:adjustRightInd w:val="0"/>
        <w:snapToGrid w:val="0"/>
        <w:ind w:firstLine="420" w:firstLineChars="200"/>
        <w:jc w:val="left"/>
        <w:rPr>
          <w:rFonts w:ascii="宋体" w:hAnsi="宋体"/>
          <w:b/>
          <w:szCs w:val="28"/>
        </w:rPr>
      </w:pPr>
      <w:r>
        <w:rPr>
          <w:rFonts w:hint="eastAsia"/>
          <w:b/>
          <w:szCs w:val="21"/>
        </w:rPr>
        <w:t>八、</w:t>
      </w:r>
      <w:r>
        <w:rPr>
          <w:rFonts w:ascii="宋体" w:hAnsi="宋体" w:hint="eastAsia"/>
          <w:b/>
          <w:szCs w:val="28"/>
        </w:rPr>
        <w:t>履约保证金</w:t>
      </w:r>
    </w:p>
    <w:p>
      <w:pPr>
        <w:tabs>
          <w:tab w:val="left" w:pos="1573"/>
        </w:tabs>
        <w:adjustRightInd w:val="0"/>
        <w:snapToGrid w:val="0"/>
        <w:ind w:firstLine="420" w:firstLineChars="200"/>
        <w:jc w:val="left"/>
        <w:rPr>
          <w:rFonts w:ascii="宋体" w:hAnsi="宋体"/>
          <w:szCs w:val="21"/>
        </w:rPr>
      </w:pPr>
      <w:r>
        <w:rPr>
          <w:rFonts w:ascii="宋体" w:hAnsi="宋体" w:hint="eastAsia"/>
          <w:szCs w:val="21"/>
        </w:rPr>
        <w:t>中标人在收到中标通知书后</w:t>
      </w:r>
      <w:r>
        <w:rPr>
          <w:rFonts w:ascii="宋体" w:hAnsi="宋体" w:hint="eastAsia"/>
          <w:szCs w:val="21"/>
          <w:u w:val="single"/>
        </w:rPr>
        <w:t xml:space="preserve"> 15  </w:t>
      </w:r>
      <w:r>
        <w:rPr>
          <w:rFonts w:ascii="宋体" w:hAnsi="宋体" w:hint="eastAsia"/>
          <w:szCs w:val="21"/>
        </w:rPr>
        <w:t>个工作日内，向甲方提供相当于合同总价</w:t>
      </w:r>
      <w:r>
        <w:rPr>
          <w:rFonts w:ascii="宋体" w:hAnsi="宋体" w:hint="eastAsia"/>
          <w:szCs w:val="21"/>
          <w:u w:val="single"/>
        </w:rPr>
        <w:t xml:space="preserve"> 10  </w:t>
      </w:r>
      <w:r>
        <w:rPr>
          <w:rFonts w:ascii="宋体" w:hAnsi="宋体" w:hint="eastAsia"/>
          <w:szCs w:val="21"/>
        </w:rPr>
        <w:t xml:space="preserve">%的履约保证金。 </w:t>
      </w:r>
    </w:p>
    <w:p>
      <w:pPr>
        <w:tabs>
          <w:tab w:val="left" w:pos="1573"/>
        </w:tabs>
        <w:adjustRightInd w:val="0"/>
        <w:snapToGrid w:val="0"/>
        <w:ind w:firstLine="412" w:firstLineChars="196"/>
        <w:jc w:val="left"/>
        <w:rPr>
          <w:rFonts w:ascii="宋体" w:hAnsi="宋体"/>
          <w:b/>
          <w:szCs w:val="28"/>
        </w:rPr>
      </w:pPr>
    </w:p>
    <w:p>
      <w:pPr>
        <w:snapToGrid w:val="0"/>
        <w:ind w:firstLine="309" w:firstLineChars="147"/>
        <w:rPr>
          <w:rFonts w:ascii="宋体" w:hAnsi="宋体"/>
          <w:b/>
          <w:szCs w:val="21"/>
        </w:rPr>
      </w:pPr>
      <w:r>
        <w:rPr>
          <w:rFonts w:ascii="宋体" w:hAnsi="宋体" w:hint="eastAsia"/>
          <w:b/>
          <w:szCs w:val="21"/>
        </w:rPr>
        <w:t>甲方：                                   乙方：</w:t>
      </w:r>
    </w:p>
    <w:p>
      <w:pPr>
        <w:snapToGrid w:val="0"/>
        <w:ind w:firstLine="309" w:firstLineChars="147"/>
        <w:rPr>
          <w:rFonts w:ascii="宋体" w:hAnsi="宋体"/>
          <w:b/>
          <w:szCs w:val="21"/>
        </w:rPr>
      </w:pPr>
      <w:r>
        <w:rPr>
          <w:rFonts w:ascii="宋体" w:hAnsi="宋体" w:hint="eastAsia"/>
          <w:b/>
          <w:szCs w:val="21"/>
        </w:rPr>
        <w:t>单位名称：（公章）                        单位名称：（公章）</w:t>
      </w:r>
    </w:p>
    <w:p>
      <w:pPr>
        <w:snapToGrid w:val="0"/>
        <w:ind w:firstLine="309" w:firstLineChars="147"/>
        <w:rPr>
          <w:rFonts w:ascii="宋体" w:hAnsi="宋体"/>
          <w:b/>
          <w:szCs w:val="21"/>
        </w:rPr>
      </w:pPr>
      <w:r>
        <w:rPr>
          <w:rFonts w:ascii="宋体" w:hAnsi="宋体" w:hint="eastAsia"/>
          <w:b/>
          <w:szCs w:val="21"/>
        </w:rPr>
        <w:t>地址：                                   地址：</w:t>
      </w:r>
    </w:p>
    <w:p>
      <w:pPr>
        <w:tabs>
          <w:tab w:val="left" w:pos="1573"/>
        </w:tabs>
        <w:adjustRightInd w:val="0"/>
        <w:snapToGrid w:val="0"/>
        <w:ind w:firstLine="315" w:firstLineChars="150"/>
        <w:jc w:val="left"/>
        <w:rPr>
          <w:rFonts w:ascii="宋体" w:hAnsi="宋体"/>
          <w:b/>
          <w:szCs w:val="21"/>
        </w:rPr>
      </w:pPr>
      <w:r>
        <w:rPr>
          <w:rFonts w:ascii="宋体" w:hAnsi="宋体" w:hint="eastAsia"/>
          <w:b/>
          <w:szCs w:val="21"/>
        </w:rPr>
        <w:t xml:space="preserve">电话：                       </w:t>
      </w:r>
      <w:r>
        <w:rPr>
          <w:rFonts w:ascii="宋体" w:hAnsi="宋体" w:hint="eastAsia"/>
          <w:b/>
          <w:szCs w:val="21"/>
        </w:rPr>
        <w:tab/>
      </w:r>
      <w:r>
        <w:rPr>
          <w:rFonts w:ascii="宋体" w:hAnsi="宋体" w:hint="eastAsia"/>
          <w:b/>
          <w:szCs w:val="21"/>
        </w:rPr>
        <w:t xml:space="preserve">        电话：     </w:t>
      </w:r>
    </w:p>
    <w:p>
      <w:pPr>
        <w:tabs>
          <w:tab w:val="left" w:pos="1573"/>
        </w:tabs>
        <w:adjustRightInd w:val="0"/>
        <w:snapToGrid w:val="0"/>
        <w:ind w:firstLine="315" w:firstLineChars="150"/>
        <w:jc w:val="left"/>
        <w:rPr>
          <w:rFonts w:ascii="宋体" w:hAnsi="宋体"/>
          <w:b/>
          <w:szCs w:val="21"/>
        </w:rPr>
      </w:pPr>
      <w:r>
        <w:rPr>
          <w:rFonts w:ascii="宋体" w:hAnsi="宋体" w:hint="eastAsia"/>
          <w:b/>
          <w:szCs w:val="21"/>
        </w:rPr>
        <w:t>传真：                                   传真：</w:t>
      </w:r>
    </w:p>
    <w:p>
      <w:pPr>
        <w:tabs>
          <w:tab w:val="left" w:pos="1573"/>
        </w:tabs>
        <w:adjustRightInd w:val="0"/>
        <w:snapToGrid w:val="0"/>
        <w:ind w:firstLine="315" w:firstLineChars="150"/>
        <w:jc w:val="left"/>
        <w:rPr>
          <w:rFonts w:ascii="宋体" w:hAnsi="宋体"/>
          <w:b/>
          <w:szCs w:val="21"/>
        </w:rPr>
      </w:pPr>
      <w:r>
        <w:rPr>
          <w:rFonts w:ascii="宋体" w:hAnsi="宋体" w:hint="eastAsia"/>
          <w:b/>
          <w:szCs w:val="21"/>
        </w:rPr>
        <w:t>开户银行及帐号：                        开户银行及帐号：</w:t>
      </w:r>
    </w:p>
    <w:p>
      <w:pPr>
        <w:tabs>
          <w:tab w:val="left" w:pos="1573"/>
        </w:tabs>
        <w:adjustRightInd w:val="0"/>
        <w:snapToGrid w:val="0"/>
        <w:ind w:firstLine="315" w:firstLineChars="150"/>
        <w:jc w:val="left"/>
        <w:rPr>
          <w:rFonts w:ascii="宋体" w:hAnsi="宋体"/>
          <w:b/>
          <w:szCs w:val="21"/>
        </w:rPr>
      </w:pPr>
    </w:p>
    <w:p>
      <w:pPr>
        <w:snapToGrid w:val="0"/>
        <w:ind w:firstLine="309" w:firstLineChars="147"/>
        <w:rPr>
          <w:rFonts w:ascii="宋体" w:hAnsi="宋体"/>
          <w:b/>
          <w:szCs w:val="21"/>
        </w:rPr>
      </w:pPr>
      <w:r>
        <w:rPr>
          <w:rFonts w:ascii="宋体" w:hAnsi="宋体" w:hint="eastAsia"/>
          <w:b/>
          <w:szCs w:val="21"/>
        </w:rPr>
        <w:t>法定代表人：                             法定代表人：</w:t>
      </w:r>
    </w:p>
    <w:p>
      <w:pPr>
        <w:snapToGrid w:val="0"/>
        <w:ind w:firstLine="309" w:firstLineChars="147"/>
        <w:rPr>
          <w:rFonts w:ascii="宋体" w:hAnsi="宋体"/>
          <w:b/>
          <w:szCs w:val="21"/>
        </w:rPr>
      </w:pPr>
      <w:r>
        <w:rPr>
          <w:rFonts w:ascii="宋体" w:hAnsi="宋体" w:hint="eastAsia"/>
          <w:b/>
          <w:szCs w:val="21"/>
        </w:rPr>
        <w:t>授权代表：                               授权代表：</w:t>
      </w:r>
    </w:p>
    <w:p>
      <w:pPr>
        <w:snapToGrid w:val="0"/>
        <w:ind w:firstLine="309" w:firstLineChars="147"/>
        <w:rPr>
          <w:rFonts w:ascii="宋体" w:hAnsi="宋体" w:hint="eastAsia"/>
          <w:b/>
          <w:szCs w:val="21"/>
        </w:rPr>
      </w:pPr>
      <w:r>
        <w:rPr>
          <w:rFonts w:ascii="宋体" w:hAnsi="宋体" w:hint="eastAsia"/>
          <w:b/>
          <w:szCs w:val="21"/>
        </w:rPr>
        <w:t>签约日期：                               签约日期：</w:t>
      </w:r>
    </w:p>
    <w:p>
      <w:pPr>
        <w:ind w:firstLine="602"/>
        <w:rPr>
          <w:rFonts w:ascii="宋体" w:hAnsi="宋体"/>
          <w:b/>
          <w:sz w:val="30"/>
          <w:szCs w:val="30"/>
        </w:rPr>
      </w:pPr>
      <w:r>
        <w:rPr>
          <w:rFonts w:ascii="宋体" w:hAnsi="宋体"/>
          <w:b/>
          <w:sz w:val="30"/>
          <w:szCs w:val="30"/>
        </w:rPr>
        <w:br w:type="page"/>
      </w:r>
    </w:p>
    <w:p w:rsidR="00A77B3E"/>
    <w:p>
      <w:pPr>
        <w:spacing w:line="360" w:lineRule="auto"/>
        <w:ind w:firstLine="3066" w:firstLineChars="1460"/>
        <w:jc w:val="left"/>
        <w:rPr>
          <w:b/>
          <w:bCs/>
          <w:szCs w:val="21"/>
          <w:highlight w:val="none"/>
        </w:rPr>
      </w:pPr>
      <w:bookmarkEnd w:id="207"/>
    </w:p>
    <w:p>
      <w:pPr>
        <w:rPr>
          <w:rFonts w:ascii="Calibri" w:hAnsi="Calibri"/>
          <w:szCs w:val="22"/>
          <w:highlight w:val="none"/>
        </w:rPr>
      </w:pPr>
    </w:p>
    <w:p>
      <w:pPr>
        <w:spacing w:line="360" w:lineRule="auto"/>
        <w:jc w:val="left"/>
        <w:rPr>
          <w:b/>
          <w:bCs/>
          <w:sz w:val="44"/>
          <w:szCs w:val="44"/>
          <w:highlight w:val="none"/>
        </w:rPr>
      </w:pPr>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altName w:val="DejaVu Sans"/>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DejaVu Sans"/>
    <w:panose1 w:val="020B0604020202020204"/>
    <w:charset w:val="01"/>
    <w:family w:val="swiss"/>
    <w:pitch w:val="variable"/>
    <w:sig w:usb0="E0002EFF" w:usb1="C000785B" w:usb2="00000009" w:usb3="00000000" w:csb0="400001FF" w:csb1="FFFF0000"/>
  </w:font>
  <w:font w:name="黑体">
    <w:altName w:val="方正黑体_GBK"/>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altName w:val="方正黑体_GBK"/>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variable"/>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altName w:val="DejaVu Sans"/>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Times New Roman (标题 CS)">
    <w:altName w:val="汉仪中黑 197"/>
    <w:charset w:val="86"/>
    <w:family w:val="roman"/>
    <w:pitch w:val="default"/>
  </w:font>
  <w:font w:name="Times New Roman (正文 CS 字体)">
    <w:altName w:val="汉仪中黑 197"/>
    <w:charset w:val="86"/>
    <w:family w:val="roman"/>
    <w:pitch w:val="default"/>
  </w:font>
  <w:font w:name="Microsoft YaHei UI">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等线 Light">
    <w:altName w:val="国标仿宋"/>
    <w:panose1 w:val="00000000000000000000"/>
    <w:charset w:val="00"/>
    <w:family w:val="auto"/>
    <w:pitch w:val="default"/>
    <w:sig w:usb0="A00002BF" w:usb1="38CF7CFA" w:usb2="00000016" w:usb3="00000000" w:csb0="0004000F" w:csb1="00000000"/>
  </w:font>
  <w:font w:name="等线">
    <w:altName w:val="汉仪中宋简"/>
    <w:panose1 w:val="02010600030101010101"/>
    <w:charset w:val="00"/>
    <w:family w:val="auto"/>
    <w:pitch w:val="default"/>
    <w:sig w:usb0="A00002BF" w:usb1="38CF7CFA" w:usb2="00000016" w:usb3="00000000" w:csb0="0004000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82D077E"/>
    <w:multiLevelType w:val="multilevel"/>
    <w:tmpl w:val="2EC8F3BE"/>
    <w:lvl w:ilvl="0">
      <w:start w:val="1"/>
      <w:numFmt w:val="decimal"/>
      <w:pStyle w:val="Heading1"/>
      <w:suff w:val="space"/>
      <w:lvlText w:val="%1"/>
      <w:lvlJc w:val="left"/>
      <w:pPr>
        <w:ind w:left="425" w:hanging="425"/>
      </w:pPr>
      <w:rPr>
        <w:rFonts w:hint="eastAsia"/>
      </w:rPr>
    </w:lvl>
    <w:lvl w:ilvl="1">
      <w:start w:val="1"/>
      <w:numFmt w:val="decimal"/>
      <w:pStyle w:val="Heading2"/>
      <w:suff w:val="space"/>
      <w:lvlText w:val="%1.%2"/>
      <w:lvlJc w:val="left"/>
      <w:pPr>
        <w:ind w:left="425" w:hanging="425"/>
      </w:pPr>
      <w:rPr>
        <w:rFonts w:hint="eastAsia"/>
      </w:rPr>
    </w:lvl>
    <w:lvl w:ilvl="2">
      <w:start w:val="1"/>
      <w:numFmt w:val="decimal"/>
      <w:pStyle w:val="Heading3"/>
      <w:suff w:val="space"/>
      <w:lvlText w:val="%1.%2.%3"/>
      <w:lvlJc w:val="left"/>
      <w:pPr>
        <w:ind w:left="425" w:hanging="425"/>
      </w:pPr>
      <w:rPr>
        <w:rFonts w:hint="eastAsia"/>
      </w:rPr>
    </w:lvl>
    <w:lvl w:ilvl="3">
      <w:start w:val="1"/>
      <w:numFmt w:val="decimal"/>
      <w:pStyle w:val="Heading4"/>
      <w:suff w:val="space"/>
      <w:lvlText w:val="%1.%2.%3.%4"/>
      <w:lvlJc w:val="left"/>
      <w:pPr>
        <w:ind w:left="425" w:hanging="425"/>
      </w:pPr>
      <w:rPr>
        <w:rFonts w:hint="eastAsia"/>
      </w:rPr>
    </w:lvl>
    <w:lvl w:ilvl="4">
      <w:start w:val="1"/>
      <w:numFmt w:val="decimal"/>
      <w:pStyle w:val="Heading5"/>
      <w:suff w:val="space"/>
      <w:lvlText w:val="%1.%2.%3.%4.%5"/>
      <w:lvlJc w:val="left"/>
      <w:pPr>
        <w:ind w:left="425" w:hanging="425"/>
      </w:pPr>
      <w:rPr>
        <w:rFonts w:hint="eastAsia"/>
      </w:rPr>
    </w:lvl>
    <w:lvl w:ilvl="5">
      <w:start w:val="1"/>
      <w:numFmt w:val="decimal"/>
      <w:pStyle w:val="Heading6"/>
      <w:suff w:val="space"/>
      <w:lvlText w:val="%1.%2.%3.%4.%5.%6"/>
      <w:lvlJc w:val="left"/>
      <w:pPr>
        <w:ind w:left="425" w:hanging="425"/>
      </w:pPr>
      <w:rPr>
        <w:rFonts w:hint="eastAsia"/>
      </w:rPr>
    </w:lvl>
    <w:lvl w:ilvl="6">
      <w:start w:val="1"/>
      <w:numFmt w:val="decimal"/>
      <w:pStyle w:val="Heading7"/>
      <w:suff w:val="space"/>
      <w:lvlText w:val="%1.%2.%3.%4.%5.%6.%7"/>
      <w:lvlJc w:val="left"/>
      <w:pPr>
        <w:ind w:left="425" w:hanging="425"/>
      </w:pPr>
      <w:rPr>
        <w:rFonts w:hint="eastAsia"/>
      </w:rPr>
    </w:lvl>
    <w:lvl w:ilvl="7">
      <w:start w:val="1"/>
      <w:numFmt w:val="decimal"/>
      <w:pStyle w:val="Heading8"/>
      <w:suff w:val="space"/>
      <w:lvlText w:val="%1.%2.%3.%4.%5.%6.%7.%8"/>
      <w:lvlJc w:val="left"/>
      <w:pPr>
        <w:ind w:left="425" w:hanging="425"/>
      </w:pPr>
      <w:rPr>
        <w:rFonts w:hint="eastAsia"/>
      </w:rPr>
    </w:lvl>
    <w:lvl w:ilvl="8">
      <w:start w:val="1"/>
      <w:numFmt w:val="decimal"/>
      <w:pStyle w:val="Heading9"/>
      <w:suff w:val="space"/>
      <w:lvlText w:val="%1.%2.%3.%4.%5.%6.%7.%8.%9"/>
      <w:lvlJc w:val="left"/>
      <w:pPr>
        <w:ind w:left="425" w:hanging="425"/>
      </w:pPr>
      <w:rPr>
        <w:rFonts w:hint="eastAsia"/>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46AE"/>
    <w:rsid w:val="000E6D58"/>
    <w:rsid w:val="000E72D7"/>
    <w:rsid w:val="000F1BC9"/>
    <w:rsid w:val="000F1DF5"/>
    <w:rsid w:val="000F3689"/>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1D7C"/>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46FA"/>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0DE"/>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2B45"/>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5FA4"/>
    <w:rsid w:val="003372D2"/>
    <w:rsid w:val="00337666"/>
    <w:rsid w:val="0034156A"/>
    <w:rsid w:val="00343B28"/>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0A"/>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E3CE3"/>
    <w:rsid w:val="004F0237"/>
    <w:rsid w:val="004F14D3"/>
    <w:rsid w:val="004F1C42"/>
    <w:rsid w:val="004F3AC6"/>
    <w:rsid w:val="004F3B4F"/>
    <w:rsid w:val="004F4357"/>
    <w:rsid w:val="004F6AC2"/>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19DF"/>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77C4C"/>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47A4"/>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37E7"/>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56A5"/>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4DD4"/>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612"/>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4CF"/>
    <w:rsid w:val="00955F83"/>
    <w:rsid w:val="009569EB"/>
    <w:rsid w:val="0095703D"/>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74E"/>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15B9"/>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4594"/>
    <w:rsid w:val="00B7554B"/>
    <w:rsid w:val="00B77648"/>
    <w:rsid w:val="00B77A18"/>
    <w:rsid w:val="00B80661"/>
    <w:rsid w:val="00B80DCE"/>
    <w:rsid w:val="00B812E0"/>
    <w:rsid w:val="00B817DB"/>
    <w:rsid w:val="00B82A15"/>
    <w:rsid w:val="00B83E4D"/>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3A89"/>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33"/>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5BC"/>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07CFC"/>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4FCB"/>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A11"/>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0D5"/>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2736383"/>
    <w:rsid w:val="291772FD"/>
    <w:rsid w:val="2DD27016"/>
    <w:rsid w:val="35AB39C2"/>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
    <w:link w:val="5"/>
    <w:uiPriority w:val="9"/>
    <w:unhideWhenUsed/>
    <w:qFormat/>
    <w:rsid w:val="0095703D"/>
    <w:pPr>
      <w:keepNext/>
      <w:keepLines/>
      <w:numPr>
        <w:ilvl w:val="4"/>
        <w:numId w:val="4"/>
      </w:numPr>
      <w:tabs>
        <w:tab w:val="left" w:pos="480"/>
      </w:tabs>
      <w:spacing w:before="50" w:beforeLines="50" w:after="50" w:afterLines="50" w:line="360" w:lineRule="auto"/>
      <w:ind w:left="0" w:firstLine="0"/>
      <w:jc w:val="left"/>
      <w:outlineLvl w:val="4"/>
    </w:pPr>
    <w:rPr>
      <w:rFonts w:cs="Times New Roman (标题 CS)"/>
      <w:b/>
      <w:color w:val="000000" w:themeColor="text1"/>
      <w:sz w:val="28"/>
      <w:szCs w:val="24"/>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unhideWhenUsed/>
    <w:qFormat/>
    <w:rsid w:val="0095703D"/>
    <w:pPr>
      <w:keepNext/>
      <w:keepLines/>
      <w:numPr>
        <w:ilvl w:val="6"/>
        <w:numId w:val="4"/>
      </w:numPr>
      <w:tabs>
        <w:tab w:val="left" w:pos="480"/>
      </w:tabs>
      <w:spacing w:before="50" w:beforeLines="50" w:after="50" w:afterLines="50" w:line="360" w:lineRule="auto"/>
      <w:ind w:left="0" w:firstLine="0"/>
      <w:jc w:val="left"/>
      <w:outlineLvl w:val="6"/>
    </w:pPr>
    <w:rPr>
      <w:rFonts w:cstheme="majorBidi"/>
      <w:b/>
      <w:bCs/>
      <w:color w:val="000000" w:themeColor="text1"/>
      <w:sz w:val="28"/>
      <w:szCs w:val="24"/>
    </w:rPr>
  </w:style>
  <w:style w:type="paragraph" w:styleId="Heading8">
    <w:name w:val="heading 8"/>
    <w:basedOn w:val="Normal"/>
    <w:next w:val="Normal"/>
    <w:link w:val="8"/>
    <w:uiPriority w:val="9"/>
    <w:unhideWhenUsed/>
    <w:rsid w:val="0095703D"/>
    <w:pPr>
      <w:keepNext/>
      <w:keepLines/>
      <w:numPr>
        <w:ilvl w:val="7"/>
        <w:numId w:val="4"/>
      </w:numPr>
      <w:tabs>
        <w:tab w:val="left" w:pos="480"/>
      </w:tabs>
      <w:spacing w:line="360" w:lineRule="auto"/>
      <w:ind w:firstLine="200" w:firstLineChars="200"/>
      <w:jc w:val="left"/>
      <w:outlineLvl w:val="7"/>
    </w:pPr>
    <w:rPr>
      <w:rFonts w:cstheme="majorBidi"/>
      <w:color w:val="595959" w:themeColor="text1" w:themeTint="A6"/>
      <w:sz w:val="24"/>
      <w:szCs w:val="24"/>
    </w:rPr>
  </w:style>
  <w:style w:type="paragraph" w:styleId="Heading9">
    <w:name w:val="heading 9"/>
    <w:basedOn w:val="Normal"/>
    <w:next w:val="Normal"/>
    <w:link w:val="9"/>
    <w:uiPriority w:val="9"/>
    <w:unhideWhenUsed/>
    <w:rsid w:val="0095703D"/>
    <w:pPr>
      <w:keepNext/>
      <w:keepLines/>
      <w:numPr>
        <w:ilvl w:val="8"/>
        <w:numId w:val="4"/>
      </w:numPr>
      <w:tabs>
        <w:tab w:val="left" w:pos="480"/>
      </w:tabs>
      <w:spacing w:line="360" w:lineRule="auto"/>
      <w:ind w:firstLine="200" w:firstLineChars="200"/>
      <w:jc w:val="left"/>
      <w:outlineLvl w:val="8"/>
    </w:pPr>
    <w:rPr>
      <w:rFonts w:eastAsiaTheme="majorEastAsia" w:cstheme="majorBidi"/>
      <w:color w:val="595959" w:themeColor="text1" w:themeTint="A6"/>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character" w:customStyle="1" w:styleId="5">
    <w:name w:val="标题 5 字符"/>
    <w:basedOn w:val="DefaultParagraphFont"/>
    <w:link w:val="Heading5"/>
    <w:uiPriority w:val="9"/>
    <w:rsid w:val="0095703D"/>
    <w:rPr>
      <w:rFonts w:cs="Times New Roman (标题 CS)"/>
      <w:b/>
      <w:color w:val="000000" w:themeColor="text1"/>
      <w:kern w:val="2"/>
      <w:sz w:val="28"/>
      <w:szCs w:val="24"/>
      <w:lang w:eastAsia="zh-CN"/>
    </w:rPr>
  </w:style>
  <w:style w:type="character" w:customStyle="1" w:styleId="7">
    <w:name w:val="标题 7 字符"/>
    <w:basedOn w:val="DefaultParagraphFont"/>
    <w:link w:val="Heading7"/>
    <w:uiPriority w:val="9"/>
    <w:rsid w:val="0095703D"/>
    <w:rPr>
      <w:rFonts w:cstheme="majorBidi"/>
      <w:b/>
      <w:bCs/>
      <w:color w:val="000000" w:themeColor="text1"/>
      <w:kern w:val="2"/>
      <w:sz w:val="28"/>
      <w:szCs w:val="24"/>
      <w:lang w:eastAsia="zh-CN"/>
    </w:rPr>
  </w:style>
  <w:style w:type="character" w:customStyle="1" w:styleId="8">
    <w:name w:val="标题 8 字符"/>
    <w:basedOn w:val="DefaultParagraphFont"/>
    <w:link w:val="Heading8"/>
    <w:uiPriority w:val="9"/>
    <w:rsid w:val="0095703D"/>
    <w:rPr>
      <w:rFonts w:cstheme="majorBidi"/>
      <w:color w:val="595959" w:themeColor="text1" w:themeTint="A6"/>
      <w:kern w:val="2"/>
      <w:sz w:val="24"/>
      <w:szCs w:val="24"/>
      <w:lang w:eastAsia="zh-CN"/>
    </w:rPr>
  </w:style>
  <w:style w:type="character" w:customStyle="1" w:styleId="9">
    <w:name w:val="标题 9 字符"/>
    <w:basedOn w:val="DefaultParagraphFont"/>
    <w:link w:val="Heading9"/>
    <w:uiPriority w:val="9"/>
    <w:rsid w:val="0095703D"/>
    <w:rPr>
      <w:rFonts w:eastAsiaTheme="majorEastAsia" w:cstheme="majorBidi"/>
      <w:color w:val="595959" w:themeColor="text1" w:themeTint="A6"/>
      <w:kern w:val="2"/>
      <w:sz w:val="24"/>
      <w:szCs w:val="24"/>
      <w:lang w:eastAsia="zh-CN"/>
    </w:rPr>
  </w:style>
  <w:style w:type="paragraph" w:customStyle="1" w:styleId="HXLC-">
    <w:name w:val="HXLC-表格正文"/>
    <w:basedOn w:val="Normal"/>
    <w:next w:val="Normal"/>
    <w:qFormat/>
    <w:rsid w:val="0095703D"/>
    <w:pPr>
      <w:widowControl/>
      <w:tabs>
        <w:tab w:val="left" w:pos="480"/>
      </w:tabs>
      <w:spacing w:line="360" w:lineRule="auto"/>
      <w:jc w:val="left"/>
    </w:pPr>
    <w:rPr>
      <w:rFonts w:cs="Times New Roman (正文 CS 字体)"/>
      <w:color w:val="000000" w:themeColor="text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21915</Words>
  <Characters>23114</Characters>
  <Application>Microsoft Office Word</Application>
  <DocSecurity>0</DocSecurity>
  <Lines>231</Lines>
  <Paragraphs>65</Paragraphs>
  <ScaleCrop>false</ScaleCrop>
  <Company>中国气象局</Company>
  <LinksUpToDate>false</LinksUpToDate>
  <CharactersWithSpaces>23227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2026-07-20T07:58:37Z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