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国家气象信息中心机房场地环境系统运维服务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国家气象信息中心机房场地环境系统运维服务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ZQCD-26196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合同签订起1年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2026年09月04日 00:00:00</w:t>
      </w:r>
      <w:bookmarkEnd w:id="26"/>
      <w:r>
        <w:rPr>
          <w:rFonts w:ascii="宋体" w:hint="eastAsia"/>
          <w:szCs w:val="21"/>
          <w:highlight w:val="none"/>
        </w:rPr>
        <w:t>至</w:t>
      </w:r>
      <w:bookmarkStart w:id="27" w:name="项目公告_signUpLastTime"/>
      <w:r>
        <w:rPr>
          <w:rFonts w:ascii="宋体" w:hint="eastAsia"/>
          <w:szCs w:val="21"/>
          <w:highlight w:val="none"/>
        </w:rPr>
        <w:t>2026年09月11日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孔令军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010-68408624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1、承装（修、试）电力设施许可证三级及以上；2、在社会消防技术服务信息系统备案且备案内容至少包含消防设施维护保养检测。</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13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13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不允许进口产品</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软件和信息技术服务业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是，代理服务费：3.0万元。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是（时间：2026-09-14 09:00:00 地点：北京市海淀区中关村南大街56号北区2号楼 联系人：孔令军 联系方式：13651132091）</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288.000000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288.000000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投标人具有环境管理体系认证证书、职业健康安全管理体系认证证书、ISO9001质量管理体系认证证书和安全生产许可证。每提供1个得1分，最高得4分。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投标人提供电力设施、消防设施运行维护服务项目业绩。</w:t>
              <w:cr/>
              <w:t>1、每提供1份电力设施运行维护服务项目的合同得1分，最多得5分。</w:t>
              <w:cr/>
              <w:t>2、每提供1份消防设施运行维护服务项目的合同得1分，最多得5分。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(4)</w:t>
            </w:r>
          </w:p>
        </w:tc>
        <w:tc>
          <w:tcPr/>
          <w:p>
            <w:r>
              <w:t>评审标准：</w:t>
            </w:r>
          </w:p>
          <w:p>
            <w:r>
              <w:t>投标人同时提供电力设施、消防设施运维服务项目用户满意度证明。</w:t>
              <w:cr/>
              <w:t>1、每提供1份电力设施维护服务项目的用户满意度证明得1分，最多得2分。</w:t>
              <w:cr/>
              <w:t>2、每提供1份消防设施运行维护服务项目的用户满意度证明得1分，最多得2分。</w:t>
            </w:r>
          </w:p>
          <w:p>
            <w:r>
              <w:t>评审标准说明：</w:t>
            </w:r>
          </w:p>
          <w:p>
            <w:r>
              <w:t>投标人提供投标截止日前三年内客户单位出具类似项目评价良好的证明文件，并加盖投标人公章。否则不得分。</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(26)</w:t>
            </w:r>
          </w:p>
        </w:tc>
        <w:tc>
          <w:tcPr/>
          <w:p>
            <w:r>
              <w:t>评审标准：</w:t>
            </w:r>
          </w:p>
          <w:p>
            <w:r>
              <w:t>投标人应组成本项目服务团队，服务团队包括管理团队、值守团队和运维团队三类。管理团队包括项目经理和技术负责人各1人，值守团队人员数量应能够满足消防中控室、低压电气设施维护维修和暖通设施维护维修24小时值守相关要求。服务团队组织结构清晰，所有人员均为投标人自有员工，提供自有员工承诺函（格式自定）和特种作业证证书，具体如下：</w:t>
              <w:cr/>
              <w:t>1、管理团队项目经理和技术负责人均具有电力设施或消防设施运维服务工作背景，得4分；拥有5年以上同类项目工作经验，得4分。本项共计8分。</w:t>
              <w:cr/>
              <w:t>2、值守团队应包括消防设施操作员中级或以上，以及低压电工、暖通两类特种作业证人员，每具备一个专业得2分，最多得6分。</w:t>
              <w:cr/>
              <w:t>3、值守团队成员中，至少1人具有3年以上消防中控室值守工作经历得2分，至少1人具有3年以上低压电气设施维护维修工作经历得2分，至少1人具有3年以上暖通设施维护维修工作经历得2分，最多得6分。</w:t>
              <w:cr/>
              <w:t>4、运维团队成员涵盖电气、暖通、弱电、消防专业技术人员，每具备一个专业得0.5分，最高得2分。</w:t>
              <w:cr/>
              <w:t>5、运维团队人员具有电气、暖通、弱电、消防专业运维经验，每具有一个专业运维经验得1分，最高得4分。</w:t>
              <w:cr/>
              <w:t>对于以上2-5项，同一人具有不同专业技术资质、工作经历/运维经验的，视为一个。</w:t>
            </w:r>
          </w:p>
          <w:p>
            <w:r>
              <w:t>评审标准说明：</w:t>
            </w:r>
          </w:p>
          <w:p>
            <w:r>
              <w:t>须提供团队人员名单及相关证明材料（证书复印件、技术能力证书、从业及相关专业运维经验证明材料等），同时提供投标截止日前6个月内任意1个月团队人员在投标人所在公司的社保缴纳证明（投标人为新成立公司，可提供劳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一档0分</w:t>
              <w:cr/>
              <w:t>二档1分</w:t>
              <w:cr/>
              <w:t>三档2分</w:t>
              <w:cr/>
              <w:t>四档4分</w:t>
            </w:r>
          </w:p>
          <w:p>
            <w:r>
              <w:t>评审标准说明：</w:t>
            </w:r>
          </w:p>
          <w:p>
            <w:r>
              <w:t>提供质量保障与实施方案，提出合理的项目全过程质量保证措施，过程检查有明确依据，质量保证工作量化。</w:t>
              <w:cr/>
              <w:t>一档：未提供方案；</w:t>
              <w:cr/>
              <w:t>二档：方案内容不全（指未完全覆盖采购需求全部专业）；或者无针对性，合理性、可行性差；</w:t>
              <w:cr/>
              <w:t>三档：方案内容完整，详细程度一般，进度控制保证措施针对性、合理性、可行性一般。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w:t>
              <w:cr/>
              <w:t>二档：方案不完整（指未全部涵盖服务内容）；或者无针对性，合理性、可行性差；</w:t>
              <w:cr/>
              <w:t>三档：方案完整，详细程度一般，依据招标人提供的服务标准约束条件，提出的服务方法和服务措施合理性、可行性、针对性一般，基本满足招标文件需求。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具体服务方案（主观分）</w:t>
            </w:r>
          </w:p>
        </w:tc>
        <w:tc>
          <w:tcPr/>
          <w:p>
            <w:r>
              <w:t>区间打分</w:t>
            </w:r>
            <w:r>
              <w:t>(24)</w:t>
            </w:r>
          </w:p>
        </w:tc>
        <w:tc>
          <w:tcPr/>
          <w:p>
            <w:r>
              <w:t>评审标准：</w:t>
            </w:r>
          </w:p>
          <w:p>
            <w:r>
              <w:t>针对以下每项服务内容提交具体服务方案：</w:t>
              <w:cr/>
              <w:t>1、24小时现场值守人员排班计划；</w:t>
              <w:cr/>
              <w:t>2、24小时现场值守巡检服务（至少包括巡检内容、巡检频次、巡检记录表等）；</w:t>
              <w:cr/>
              <w:t>3、重大故障处置（至少包括包括响应方式、响应时间及技术支持队伍等）；</w:t>
              <w:cr/>
              <w:t>4、重大气象服务期间应急服务保障；</w:t>
              <w:cr/>
              <w:t>5、备品备件清单及提供方式（现场、集中备品备件库等）；</w:t>
              <w:cr/>
              <w:t>6、周、月服务报告、故障报告等模板</w:t>
              <w:cr/>
              <w:t>以上每项服务内容：</w:t>
              <w:cr/>
              <w:t>一档0分</w:t>
              <w:cr/>
              <w:t>二档1分</w:t>
              <w:cr/>
              <w:t>三档2分</w:t>
              <w:cr/>
              <w:t>四档4分</w:t>
              <w:cr/>
              <w:t>以上共计6项服务内容，满分24分。</w:t>
            </w:r>
          </w:p>
          <w:p>
            <w:r>
              <w:t>评审标准说明：</w:t>
            </w:r>
          </w:p>
          <w:p>
            <w:r>
              <w:t>根据投标人提供具体服务方案进行评分。具体评分标准如下：</w:t>
              <w:cr/>
              <w:t>一档：未提供方案</w:t>
              <w:cr/>
              <w:t>二档：方案不完整（指未全部涵盖对应采购需求），或者无针对性，合理性、可行性差，不能满足招标文件要求。</w:t>
              <w:cr/>
              <w:t>三档：方案完整但简单，合理性、针对性一般，基本满足招标文件要求。</w:t>
              <w:cr/>
              <w:t>四档：方案完整详细具体，合理性、针对性强，完全满足招标文件要求。</w:t>
            </w:r>
          </w:p>
          <w:p/>
        </w:tc>
      </w:tr>
      <w:tr>
        <w:tblPrEx>
          <w:tblW w:w="5000" w:type="pct"/>
          <w:tblCellMar>
            <w:left w:w="108" w:type="dxa"/>
            <w:right w:w="108" w:type="dxa"/>
          </w:tblCellMar>
        </w:tblPrEx>
        <w:tc>
          <w:tcPr/>
          <w:p>
            <w:r>
              <w:t>9</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每提供一条合理化建议得1分，最高得2分。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符合项目实际需要可采纳于后续工作中（不包含响应方案中已描述的建议和意见）。</w:t>
            </w:r>
          </w:p>
          <w:p/>
        </w:tc>
      </w:tr>
      <w:tr>
        <w:tblPrEx>
          <w:tblW w:w="5000" w:type="pct"/>
          <w:tblCellMar>
            <w:left w:w="108" w:type="dxa"/>
            <w:right w:w="108" w:type="dxa"/>
          </w:tblCellMar>
        </w:tblPrEx>
        <w:tc>
          <w:tcPr/>
          <w:p>
            <w:r>
              <w:t>10</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对项目重点难点问题及可能存在的风险进行针对性分析，并针对性提出解决方案。</w:t>
              <w:cr/>
              <w:t>一档：未提供方案</w:t>
              <w:cr/>
              <w:t>二档：方案简单，无针对性。</w:t>
              <w:cr/>
              <w:t>三档：重点难点问题及风险分析比较全面，解决方案内容不全，详细程度一般，措施针对性可行性一般。</w:t>
              <w:cr/>
              <w:t>四档：重点难点问题及风险分析全面，解决方案详细合理、措施针对性强，切实可行。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0"/>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一、项目概况</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项目名称：</w:t>
      </w:r>
      <w:r>
        <w:rPr>
          <w:rFonts w:ascii="宋体" w:eastAsia="宋体" w:hAnsi="宋体" w:cs="宋体" w:hint="eastAsia"/>
          <w:sz w:val="24"/>
          <w:szCs w:val="24"/>
        </w:rPr>
        <w:t>国家气象信息中心机房场地环境运维服务采购项目</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项目地点：</w:t>
      </w:r>
      <w:r>
        <w:rPr>
          <w:rFonts w:ascii="宋体" w:eastAsia="宋体" w:hAnsi="宋体" w:cs="宋体" w:hint="eastAsia"/>
          <w:sz w:val="24"/>
          <w:szCs w:val="24"/>
        </w:rPr>
        <w:t>北京市海淀区中关村南大街46号</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主要服务内容：</w:t>
      </w:r>
      <w:r>
        <w:rPr>
          <w:rFonts w:ascii="宋体" w:eastAsia="宋体" w:hAnsi="宋体" w:cs="宋体" w:hint="eastAsia"/>
          <w:sz w:val="24"/>
          <w:szCs w:val="24"/>
        </w:rPr>
        <w:t>国家气象信息中心位于中国气象局大院北区2号楼、北区1号楼、北区3号楼、北区15号楼等范围内，所属相关机房场地、电气、暖通空调、消防、门禁、视频安防、动力环境监控等机房场地环境设施的24小时现场值守、日常巡检、日常维护、应急处置、故障维修、性能试验等。</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服务方式：</w:t>
      </w:r>
      <w:r>
        <w:rPr>
          <w:rFonts w:ascii="宋体" w:eastAsia="宋体" w:hAnsi="宋体" w:cs="宋体" w:hint="eastAsia"/>
          <w:sz w:val="24"/>
          <w:szCs w:val="24"/>
        </w:rPr>
        <w:t>现场服务。</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服务周期：</w:t>
      </w:r>
      <w:r>
        <w:rPr>
          <w:rFonts w:ascii="宋体" w:eastAsia="宋体" w:hAnsi="宋体" w:cs="宋体" w:hint="eastAsia"/>
          <w:sz w:val="24"/>
          <w:szCs w:val="24"/>
        </w:rPr>
        <w:t>自合同签订之日起1年。其中，合同签订后</w:t>
      </w:r>
      <w:r>
        <w:rPr>
          <w:rFonts w:ascii="宋体" w:eastAsia="宋体" w:hAnsi="宋体" w:cs="宋体" w:hint="eastAsia"/>
          <w:sz w:val="24"/>
          <w:szCs w:val="24"/>
          <w:lang w:val="en-US" w:eastAsia="zh-CN"/>
        </w:rPr>
        <w:t>2</w:t>
      </w:r>
      <w:r>
        <w:rPr>
          <w:rFonts w:ascii="宋体" w:eastAsia="宋体" w:hAnsi="宋体" w:cs="宋体" w:hint="eastAsia"/>
          <w:sz w:val="24"/>
          <w:szCs w:val="24"/>
        </w:rPr>
        <w:t>个月为试用期，试用期满后招标人对投标人进行考核，如考核合格合同正式生效，如考核不合格合同自动解除。</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二、服务标准</w:t>
      </w:r>
    </w:p>
    <w:p>
      <w:pPr>
        <w:snapToGrid w:val="0"/>
        <w:spacing w:line="360" w:lineRule="auto"/>
        <w:ind w:firstLine="480" w:firstLineChars="200"/>
        <w:jc w:val="left"/>
        <w:rPr>
          <w:rFonts w:ascii="楷体_GB2312" w:eastAsia="楷体_GB2312" w:hAnsi="楷体_GB2312" w:cs="楷体_GB2312"/>
        </w:rPr>
      </w:pPr>
      <w:r>
        <w:rPr>
          <w:rFonts w:ascii="楷体_GB2312" w:eastAsia="楷体_GB2312" w:hAnsi="楷体_GB2312" w:cs="楷体_GB2312" w:hint="eastAsia"/>
          <w:sz w:val="24"/>
          <w:szCs w:val="24"/>
        </w:rPr>
        <w:t>（一）遵循标准</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本项目运维服务应符合以下标准：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数据中心设计规范                      GB 50174-2017</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数据中心基础设施运维标准              GB/T 51314-2018</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建筑消防设施的维护管理                GB 25201-2010</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社会消防技术服务管理规定              应急管理部令第7号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承装（修、试）电力设施许可证管理办法  国家发改委令第30号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数据中心运维管理人才标准              CIET-2019-0504</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建筑消防设施维护保养技术规范          DB11/T 3035—2023</w:t>
      </w:r>
    </w:p>
    <w:p>
      <w:pPr>
        <w:numPr>
          <w:ilvl w:val="0"/>
          <w:numId w:val="5"/>
        </w:numPr>
        <w:snapToGrid w:val="0"/>
        <w:spacing w:line="360" w:lineRule="auto"/>
        <w:ind w:left="0" w:firstLine="480" w:firstLineChars="200"/>
        <w:jc w:val="left"/>
        <w:rPr>
          <w:rFonts w:ascii="宋体" w:eastAsia="宋体" w:hAnsi="宋体" w:cs="宋体" w:hint="eastAsia"/>
        </w:rPr>
      </w:pPr>
      <w:r>
        <w:rPr>
          <w:rFonts w:ascii="宋体" w:eastAsia="宋体" w:hAnsi="宋体" w:cs="宋体" w:hint="eastAsia"/>
          <w:sz w:val="24"/>
          <w:szCs w:val="24"/>
          <w:lang w:eastAsia="zh-CN"/>
        </w:rPr>
        <w:t>北京市安全生产监督管理局关于地下有限空间作业现场监护人员必须持证上岗的通告</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eastAsia="zh-CN"/>
        </w:rPr>
        <w:t>京安监发〔2010〕68号</w:t>
      </w:r>
    </w:p>
    <w:p>
      <w:pPr>
        <w:numPr>
          <w:ilvl w:val="0"/>
          <w:numId w:val="5"/>
        </w:numPr>
        <w:snapToGrid w:val="0"/>
        <w:spacing w:line="360" w:lineRule="auto"/>
        <w:ind w:left="0" w:firstLine="480" w:firstLineChars="200"/>
        <w:jc w:val="left"/>
        <w:rPr>
          <w:rFonts w:ascii="宋体" w:eastAsia="宋体" w:hAnsi="宋体" w:cs="宋体" w:hint="eastAsia"/>
        </w:rPr>
      </w:pPr>
      <w:r>
        <w:rPr>
          <w:rFonts w:ascii="宋体" w:eastAsia="宋体" w:hAnsi="宋体" w:cs="宋体" w:hint="eastAsia"/>
          <w:sz w:val="24"/>
          <w:szCs w:val="24"/>
          <w:lang w:eastAsia="zh-CN"/>
        </w:rPr>
        <w:t>有限空间作业安全技术规范</w:t>
      </w:r>
      <w:r>
        <w:rPr>
          <w:rFonts w:ascii="宋体" w:eastAsia="宋体" w:hAnsi="宋体" w:cs="宋体" w:hint="eastAsia"/>
          <w:sz w:val="24"/>
          <w:szCs w:val="24"/>
          <w:lang w:val="en-US" w:eastAsia="zh-CN"/>
        </w:rPr>
        <w:t xml:space="preserve">              </w:t>
      </w:r>
      <w:r>
        <w:rPr>
          <w:rFonts w:ascii="宋体" w:eastAsia="宋体" w:hAnsi="宋体" w:cs="宋体" w:hint="eastAsia"/>
          <w:sz w:val="24"/>
          <w:szCs w:val="24"/>
          <w:lang w:eastAsia="zh-CN"/>
        </w:rPr>
        <w:t>DB11</w:t>
      </w:r>
      <w:r>
        <w:rPr>
          <w:rFonts w:ascii="宋体" w:eastAsia="宋体" w:hAnsi="宋体" w:cs="宋体" w:hint="eastAsia"/>
          <w:sz w:val="24"/>
          <w:szCs w:val="24"/>
          <w:lang w:val="en-US" w:eastAsia="zh-CN"/>
        </w:rPr>
        <w:t>-</w:t>
      </w:r>
      <w:r>
        <w:rPr>
          <w:rFonts w:ascii="宋体" w:eastAsia="宋体" w:hAnsi="宋体" w:cs="宋体" w:hint="eastAsia"/>
          <w:sz w:val="24"/>
          <w:szCs w:val="24"/>
          <w:lang w:eastAsia="zh-CN"/>
        </w:rPr>
        <w:t>T 852-2019</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以上标准，如有版本更新应以最新版本为准。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其它与履行本项目服务相关的电气、暖通、消防、弱电、智能化等相关规范。</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三、服务范围</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的服务范围为国家气象信息中心位于中国气象局大院北区2号楼、北区1号楼、北区3号楼、北区15号楼等范围内的机房场地、电气、暖通空调、消防、门禁、视频安防、动力环境监控等机房场地环境设施，具体如下：</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（一）机房场地</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机房场地是指国家气象信息中心北区2号楼全部，北区15号楼、北区1号楼内国家气象信息中心所属机房区、辅助机房区内的地面、墙壁、吊顶、门、照明、插座、应急照明、防雷接地、线槽等设施，具体明细如下：</w:t>
      </w:r>
    </w:p>
    <w:p>
      <w:pPr>
        <w:snapToGrid w:val="0"/>
        <w:spacing w:line="360" w:lineRule="auto"/>
        <w:jc w:val="center"/>
        <w:rPr>
          <w:rFonts w:ascii="宋体" w:eastAsia="宋体" w:hAnsi="宋体" w:cs="宋体"/>
          <w:szCs w:val="21"/>
        </w:rPr>
      </w:pPr>
      <w:r>
        <w:rPr>
          <w:rFonts w:ascii="宋体" w:eastAsia="宋体" w:hAnsi="宋体" w:cs="宋体" w:hint="eastAsia"/>
          <w:szCs w:val="21"/>
        </w:rPr>
        <w:t>表3-1 国家气象信息中心场地设施明细表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7"/>
        <w:gridCol w:w="1770"/>
        <w:gridCol w:w="810"/>
        <w:gridCol w:w="930"/>
        <w:gridCol w:w="41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编号</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机房地点</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单位</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数量</w:t>
            </w:r>
          </w:p>
        </w:tc>
        <w:tc>
          <w:tcPr>
            <w:tcW w:w="4155"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设施明细</w:t>
            </w: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1</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北区2号楼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3840</w:t>
            </w:r>
          </w:p>
        </w:tc>
        <w:tc>
          <w:tcPr>
            <w:tcW w:w="4155" w:type="dxa"/>
            <w:vMerge w:val="restart"/>
            <w:vAlign w:val="center"/>
          </w:tcPr>
          <w:p>
            <w:pPr>
              <w:adjustRightInd w:val="0"/>
              <w:snapToGrid w:val="0"/>
              <w:jc w:val="left"/>
              <w:rPr>
                <w:rFonts w:ascii="宋体" w:eastAsia="宋体" w:hAnsi="宋体" w:cs="宋体"/>
                <w:szCs w:val="21"/>
              </w:rPr>
            </w:pPr>
            <w:r>
              <w:rPr>
                <w:rFonts w:ascii="宋体" w:eastAsia="宋体" w:hAnsi="宋体" w:cs="宋体" w:hint="eastAsia"/>
                <w:szCs w:val="21"/>
              </w:rPr>
              <w:t>地板、墙壁、吊顶、门、照明、插座、应急照明、防雷接地、线槽等</w:t>
            </w: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2</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北区1号楼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300</w:t>
            </w:r>
          </w:p>
        </w:tc>
        <w:tc>
          <w:tcPr>
            <w:tcW w:w="4155" w:type="dxa"/>
            <w:vMerge/>
            <w:vAlign w:val="center"/>
          </w:tcPr>
          <w:p>
            <w:pPr>
              <w:adjustRightInd w:val="0"/>
              <w:snapToGrid w:val="0"/>
              <w:jc w:val="left"/>
              <w:rPr>
                <w:rFonts w:ascii="宋体" w:eastAsia="宋体" w:hAnsi="宋体" w:cs="宋体"/>
                <w:szCs w:val="21"/>
              </w:rPr>
            </w:pP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3</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北区15号楼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6400</w:t>
            </w:r>
          </w:p>
        </w:tc>
        <w:tc>
          <w:tcPr>
            <w:tcW w:w="4155" w:type="dxa"/>
            <w:vMerge/>
            <w:vAlign w:val="center"/>
          </w:tcPr>
          <w:p>
            <w:pPr>
              <w:adjustRightInd w:val="0"/>
              <w:snapToGrid w:val="0"/>
              <w:jc w:val="left"/>
              <w:rPr>
                <w:rFonts w:ascii="宋体" w:eastAsia="宋体" w:hAnsi="宋体" w:cs="宋体"/>
                <w:szCs w:val="21"/>
              </w:rPr>
            </w:pPr>
          </w:p>
        </w:tc>
      </w:tr>
      <w:tr>
        <w:tblPrEx>
          <w:tblW w:w="0" w:type="auto"/>
          <w:jc w:val="center"/>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4</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北区3号楼</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szCs w:val="21"/>
              </w:rPr>
              <w:t>1000</w:t>
            </w:r>
          </w:p>
        </w:tc>
        <w:tc>
          <w:tcPr>
            <w:tcW w:w="4155" w:type="dxa"/>
            <w:vMerge/>
            <w:vAlign w:val="center"/>
          </w:tcPr>
          <w:p>
            <w:pPr>
              <w:adjustRightInd w:val="0"/>
              <w:snapToGrid w:val="0"/>
              <w:jc w:val="left"/>
              <w:rPr>
                <w:rFonts w:ascii="宋体" w:eastAsia="宋体" w:hAnsi="宋体" w:cs="宋体"/>
                <w:szCs w:val="21"/>
              </w:rPr>
            </w:pPr>
          </w:p>
        </w:tc>
      </w:tr>
    </w:tbl>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（二）电气设施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本项目中的电气设施包括但不限于低压配电柜、UPS、蓄电池、列头柜、PDU、电线电缆等，以及相关楼层办公用电气设施，具体包括：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北区2号楼整体业务、办公电气设施；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北区1号楼一层UPS机房、二层园区电讯机房及各楼层弱电间业务、办公电气设施；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北区15号楼二层派超算机房北侧2排机柜、大屏机房、视频会商机房及各楼层弱电间电气设施。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（三）暖通设施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暖通设施是指国家气象信息中心北区2号楼、北区1号楼、北区3号楼内所属的机房精密空调、中央空调、VRV空调、新风等设施，以及北区15号楼二层派超算机房北侧2排机柜和九层卫星主站机房内机房空调，天镜厅内的VRV空调、新风等暖通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北区2号楼整体机房精密空调、VRV空调、中央空调等暖通设施；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北区1号楼一层UPS机房、二层园区电讯机房内机房精密空调及新风设施；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北区3号楼三层气象档案库房（科技楼库区）所属中央空调；</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北区15号楼二层派超算机房北侧2排机柜、九层卫星主站机房内机房空调，大屏机房、视频会商机房内空调设施。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（四）消防设施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本项目中的消防设施是指国家气象信息中心北区1号楼、北区1</w:t>
      </w:r>
      <w:r>
        <w:rPr>
          <w:rFonts w:ascii="宋体" w:eastAsia="宋体" w:hAnsi="宋体" w:cs="宋体"/>
          <w:sz w:val="24"/>
          <w:szCs w:val="24"/>
        </w:rPr>
        <w:t>5</w:t>
      </w:r>
      <w:r>
        <w:rPr>
          <w:rFonts w:ascii="宋体" w:eastAsia="宋体" w:hAnsi="宋体" w:cs="宋体" w:hint="eastAsia"/>
          <w:sz w:val="24"/>
          <w:szCs w:val="24"/>
        </w:rPr>
        <w:t>号楼、北区2号楼、北区3号楼内</w:t>
      </w:r>
      <w:r>
        <w:rPr>
          <w:rFonts w:ascii="宋体" w:hAnsi="宋体" w:cs="宋体" w:hint="eastAsia"/>
          <w:sz w:val="24"/>
          <w:szCs w:val="24"/>
          <w:lang w:eastAsia="zh-CN"/>
        </w:rPr>
        <w:t>以</w:t>
      </w:r>
      <w:r>
        <w:rPr>
          <w:rFonts w:ascii="宋体" w:eastAsia="宋体" w:hAnsi="宋体" w:cs="宋体" w:hint="eastAsia"/>
          <w:sz w:val="24"/>
          <w:szCs w:val="24"/>
          <w:lang w:eastAsia="zh-CN"/>
        </w:rPr>
        <w:t>及中国气象局大院内信息中心所属强弱电缆夹层、弱电通信管沟</w:t>
      </w:r>
      <w:r>
        <w:rPr>
          <w:rFonts w:ascii="宋体" w:eastAsia="宋体" w:hAnsi="宋体" w:cs="宋体" w:hint="eastAsia"/>
          <w:sz w:val="24"/>
          <w:szCs w:val="24"/>
        </w:rPr>
        <w:t>所属的消防自动报警、气体灭火等设施，具体包括：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北区2号楼整体消防设施；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北区1号楼二层园区电讯机房、一层UPS机房消防设施；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北区3号楼三层气象档案库房（科技楼库区）所属消防设施；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北区15号B1层、一层、二层、九层卫星主站等机房以及二层裙房楼顶的水泵间、空调隔音间内消防设施</w:t>
      </w:r>
      <w:r>
        <w:rPr>
          <w:rFonts w:ascii="宋体" w:hAnsi="宋体" w:cs="宋体" w:hint="eastAsia"/>
          <w:sz w:val="24"/>
          <w:szCs w:val="24"/>
          <w:lang w:eastAsia="zh-CN"/>
        </w:rPr>
        <w:t>；</w:t>
      </w:r>
    </w:p>
    <w:p>
      <w:pPr>
        <w:numPr>
          <w:ilvl w:val="0"/>
          <w:numId w:val="5"/>
        </w:numPr>
        <w:snapToGrid w:val="0"/>
        <w:spacing w:line="360" w:lineRule="auto"/>
        <w:ind w:left="0" w:firstLine="480" w:firstLineChars="200"/>
        <w:jc w:val="left"/>
        <w:rPr>
          <w:rFonts w:ascii="宋体" w:eastAsia="宋体" w:hAnsi="宋体" w:cs="宋体" w:hint="eastAsia"/>
        </w:rPr>
      </w:pPr>
      <w:r>
        <w:rPr>
          <w:rFonts w:ascii="宋体" w:eastAsia="宋体" w:hAnsi="宋体" w:cs="宋体" w:hint="eastAsia"/>
          <w:sz w:val="24"/>
          <w:szCs w:val="24"/>
          <w:lang w:eastAsia="zh-CN"/>
        </w:rPr>
        <w:t>中国气象局大院内弱电通信管沟内所属消防设施。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（五）门禁设施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本项目中的门禁设施是指国家气象信息中心北区2号楼及周边、北区15号楼、北区1号楼、北区3号楼内所属的门禁系统主机、控制器、读卡器，人脸识别系统主机、终端，以及配套线缆、交换机等设施，具体包括：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北区2号楼及周边整体门禁设施；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北区1号楼一层UPS机房、二层园区电讯机房及其门前过道门禁设施；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北区3号楼三层气象档案库房（科技楼库区）所属门禁设施；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北区15号楼整体门禁设施。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（六）视频安防监控设施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本项目中的视频安防监控设施是指国家气象信息中心北区2号楼、北区1号楼、北区15号楼、北区3号楼及周边所属的视频监控主机、视频监控终端、网络硬盘录像机、视频摄像机及配套网络设施，具体包括：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北区2号楼室内外全部视频安防监控设施；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北区15号楼B1层、一层、二层、九层卫星主站等机房，以及楼顶、二层裙房顶等国家气象信息中心所属视频安防监控设施。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（七）动力环境监控设施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动力环境监控设施是指国家气象信息中心北区2号楼、北区1号楼、北区15号楼、北区3号楼内所属的动环监控主机、动环监控终端、串口服务器、嵌入式服务器、前端采集装置及配套网络设施等，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北区2号楼整体动力环境监控设施；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北区1号楼一层UPS机房、二层园区电讯机房动力环境监控设施；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北区3号楼三层气象档案库房（科技楼库区）动力环境监控设施；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北区15号楼B1层、一层、二层、九层卫星主站等机房，以及楼顶、二层裙房顶等动力环境监控设施。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四、组织要求</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（一）总体要求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1.投标人应为招标人所在地企业或在当地具备独立法人的分支机构。</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2.投标人应按照招标人要求组建本项目专职运维服务团队，负责服务范围内全部机房场地环境设施的24小时现场值守、日常巡检、应急处置、日常维护、故障维修、性能试验等运维服务，按照工作职责分别划分为管理团队、值守团队和运维团队，分别标定人员资质要求和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（二）管理团队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管理团队包括本项目专职的项目经理以及具有丰富机房场地环境设施运维服务技术水平的技术负责人，具体人员资质和岗位要求如下：</w:t>
      </w:r>
    </w:p>
    <w:p>
      <w:pPr>
        <w:numPr>
          <w:ilvl w:val="12"/>
          <w:numId w:val="0"/>
        </w:num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1.项目经理</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1</w:t>
      </w:r>
      <w:r>
        <w:rPr>
          <w:rFonts w:ascii="宋体" w:eastAsia="宋体" w:hAnsi="宋体" w:cs="宋体" w:hint="eastAsia"/>
          <w:sz w:val="24"/>
          <w:szCs w:val="24"/>
        </w:rPr>
        <w:t>）负责值守团队和运维团队的日常组织管理、与采购人的沟通协调、运维服务统计总结及服务报告编制等工作。</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2</w:t>
      </w:r>
      <w:r>
        <w:rPr>
          <w:rFonts w:ascii="宋体" w:eastAsia="宋体" w:hAnsi="宋体" w:cs="宋体" w:hint="eastAsia"/>
          <w:sz w:val="24"/>
          <w:szCs w:val="24"/>
        </w:rPr>
        <w:t>）工作时间内常驻现场，非工作时间根据现场实际需要到岗。</w:t>
      </w:r>
    </w:p>
    <w:p>
      <w:p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2.技术负责人</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（1）负责巡检制度、运维规程、操作手册、应急预案等文档的编制和修订，负责突发情况的应急处置指挥调度，负责重大故障的分析排查。</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w:t>
      </w:r>
      <w:r>
        <w:rPr>
          <w:rFonts w:ascii="宋体" w:eastAsia="宋体" w:hAnsi="宋体" w:cs="宋体" w:hint="eastAsia"/>
          <w:sz w:val="24"/>
          <w:szCs w:val="24"/>
          <w:lang w:val="en-US" w:eastAsia="zh-CN"/>
        </w:rPr>
        <w:t>2</w:t>
      </w:r>
      <w:r>
        <w:rPr>
          <w:rFonts w:ascii="宋体" w:eastAsia="宋体" w:hAnsi="宋体" w:cs="宋体" w:hint="eastAsia"/>
          <w:sz w:val="24"/>
          <w:szCs w:val="24"/>
        </w:rPr>
        <w:t>）根据现场实际需要到岗。</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（二）值守团队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职的值守团队。值守团队主要负责机房场地环境系统的24小时现场值守及突发状况的应急处置工作。值守团队人员应具有电气、暖通、消防等设施的值守操作资质，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（1）消防值守：具有消防设施操作员证书（中级及以上）（消防证）。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（2）电气值守：具有低压电工作业特种作业操作证（低压证）。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（3）暖通值守：具有制冷与空调作业特种作业操作证（暖通证）。</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投标人应按照运维服务内容安排符合资质要求的人员现场值守，其中：</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同时在岗值守人员中，具有消防证人员不少于2人，具有低压证人员不少于2人，具有暖通证人员不少于1人。</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如一人同时具有消防、电气、暖通等多个资质证书，值守时可以按照多个岗位重复计算，但同时在岗值守人数不应少于3人，且满足消防证2人、低压证2人和暖通证1人的在岗值守人员岗位要求。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（三）运维团队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业的运维团队。运维团队主要负责机房场地环境系统的日常维护、故障维修、性能测试等工作，根据招标人采购需求及国家相关标准规范要求，定期到现场开展机房场地、电气设施、暖通设施、消防设施、门禁设施、视频安防监控设施和动力环境监控设施的定期/不定期维护保养、故障排查修复及定期检测服务。运维团队人员应具有电气、暖通、消防、弱电等设施的维护、操作、检测等相关资质，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消防运维：具有开展消防设施维护保养检测的资质和能力</w:t>
      </w:r>
      <w:r>
        <w:rPr>
          <w:rFonts w:ascii="宋体" w:eastAsia="宋体" w:hAnsi="宋体" w:cs="宋体" w:hint="eastAsia"/>
          <w:sz w:val="24"/>
          <w:szCs w:val="24"/>
          <w:lang w:eastAsia="zh-CN"/>
        </w:rPr>
        <w:t>，</w:t>
      </w:r>
      <w:r>
        <w:rPr>
          <w:rFonts w:ascii="宋体" w:hAnsi="宋体" w:cs="宋体" w:hint="eastAsia"/>
          <w:sz w:val="24"/>
          <w:szCs w:val="24"/>
          <w:lang w:eastAsia="zh-CN"/>
        </w:rPr>
        <w:t>具有地下有限空间监护作业特种作业证</w:t>
      </w:r>
      <w:r>
        <w:rPr>
          <w:rFonts w:ascii="宋体" w:eastAsia="宋体" w:hAnsi="宋体" w:cs="宋体" w:hint="eastAsia"/>
          <w:sz w:val="24"/>
          <w:szCs w:val="24"/>
        </w:rPr>
        <w:t>。</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电气运维：具有开展低压配电柜、UPS、蓄电池等电气设施安装、维修、试验的资质和能力。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暖通运维：具有开展机房精密空调、新风机组、VRV空调等暖通设施安装、维护、维修、检测服务能力。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门禁、视频安防监控、动力环境监控等设施运维：具有开展弱电设施维护、维修、检测服务能力。</w:t>
      </w:r>
    </w:p>
    <w:p>
      <w:pPr>
        <w:numPr>
          <w:ilvl w:val="0"/>
          <w:numId w:val="7"/>
        </w:numPr>
        <w:adjustRightInd w:val="0"/>
        <w:snapToGrid w:val="0"/>
        <w:spacing w:line="360" w:lineRule="auto"/>
        <w:ind w:firstLine="480" w:firstLineChars="200"/>
        <w:rPr>
          <w:rFonts w:ascii="宋体" w:eastAsia="宋体" w:hAnsi="宋体" w:cs="宋体" w:hint="eastAsia"/>
        </w:rPr>
      </w:pPr>
      <w:r>
        <w:rPr>
          <w:rFonts w:ascii="宋体" w:eastAsia="宋体" w:hAnsi="宋体" w:cs="宋体" w:hint="eastAsia"/>
          <w:sz w:val="24"/>
          <w:szCs w:val="24"/>
          <w:lang w:val="en-US" w:eastAsia="zh-CN"/>
        </w:rPr>
        <w:t>中国气象局大院弱电通信管沟运维：具有开展有限空间作业维护资质和能力。</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投标人应按照运维服务内容安排符合资质要求的人员组成运维团队，定期或根据实际需求到现场对相关机房场地环境设施进行维护保养、故障排查修复及性能试验等工作，具体工作内容见服务要求部分。</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运维团队人员具有电气、暖通、弱电、消防</w:t>
      </w:r>
      <w:r>
        <w:rPr>
          <w:rFonts w:ascii="宋体" w:hAnsi="宋体" w:cs="宋体" w:hint="eastAsia"/>
          <w:sz w:val="24"/>
          <w:szCs w:val="24"/>
          <w:lang w:eastAsia="zh-CN"/>
        </w:rPr>
        <w:t>、地下有限空间</w:t>
      </w:r>
      <w:r>
        <w:rPr>
          <w:rFonts w:ascii="宋体" w:eastAsia="宋体" w:hAnsi="宋体" w:cs="宋体" w:hint="eastAsia"/>
          <w:sz w:val="24"/>
          <w:szCs w:val="24"/>
        </w:rPr>
        <w:t>等设施的维护、维修、试验等操作资质、技术能力和运维经验。</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（四）其它要求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1.投标人应根据招标人机房场地环境设施实际情况合理制定运行值班、日常巡检、应急处置、故障维修、性能试验等方案计划并严格执行，招标人同步监督、管理投标人执行情况并定期考核。</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2.投标人严格按《保障农民工工资支付条例》（中华人民共和国国务院令第724号）执行，投标人不得拖欠维护人员的工资及劳动报酬。投标人违反此约定的，自行承担全部责任。</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投标人与维护人员发生工资及劳动报酬争议或纠纷时，投标人应负责约束其维护人员，不得向招标人索取，也不得做出干扰招标人工作秩序的其他行为；招标人不直接对投标人的人员承担工资及劳动报酬方面的责任或义务。</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五、服务要求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（一）24小时值守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每班次至少配置2名消防值班岗人员，并按照国家和地方相关规定履行相应的工作职责。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个电气值班岗位人员，负责通过动力环境监控系统实时监视电气设施运行情况，每天四次巡视电气设施，重点检查低压配电、UPS、蓄电池、机房配电、电缆、PDU等运行情况，按照要求填写巡视记录本，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1个暖通值班岗位人员，负责通过动力环境监控系统实时监视暖通空调设施运行情况，每天四次巡视暖通设施运行情况，重点检查机房空调、新风、辅助机房区VRV空调等运行情况以及各机房区温湿度，按照要求填写巡视记录本，如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各岗位值班人员均应熟悉所负责相关系统（消防、电气、暖通、弱电等）的设施现状、操作规程、应急预案等要求。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现场值班人员同时负责门禁、视频安防监控等设施值守。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值守期间，如发生机房场地环境设施报警信息，值守人员应按照国家、地方相关法律法规及招标人相关管理规定进行处置，包括但不限于第一时间到达现场查看情况、按照相关流程上报、按照相关应急预案第一时间采取应急处置措施、配合招标人及运维团队进行故障排查维修等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如招标人与重大事件需要加强现场值守，投标人应按照招标人要求在增加运维团队人员在现场24小时值守，具体情况招标人根据实际需求提前通知投标人。</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（二）日常维护</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1.机房场地设施</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投标人应每年安排技术人员对所属机房场地设施进行一次全面维护，维护内容包括地板平整度检查及调整、门及把手牢固度等。</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2.电气设施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投标人应安排技术人员定期对电气设施进行专项维护，维护内容包括：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（1）低压配电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每月对低压配电系统进行红外检测，重点检测开关接线端子、母排、电缆接头等；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每年对低压配电系统仪表进行校核；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每年对低压配电柜进行在线清洁；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每年对低压配电系统绝缘情况进行检测。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（2）UPS</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每月对UPS进行外观检查；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每月对UPS进风口进行在线清洁；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每年对UPS主机进行电脑检查，确认各部件运行状况良好；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每年对UPS主机进行停机深度检查，重点检查风扇、电容等。</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（3）蓄电池</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每月清扫蓄电池组表面灰尘；</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每季度对蓄电池进行内阻专项检测；</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每季度对所有蓄电池组进行在线放电测试；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每年对蓄电池进行深度放电测试。</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（4）列头柜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每月对列头柜进行红外检测，重点检测开关接线端子、母排、电缆接头等；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每年对列头柜仪表进行校核；</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宋体" w:hint="eastAsia"/>
          <w:sz w:val="24"/>
          <w:szCs w:val="24"/>
        </w:rPr>
        <w:t>每年对列头柜进行在线清洁。</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（5）PDU</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每月对PDU进行红外检测。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（6）电线电缆</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每年对电缆进行红外温度检测，每根电缆检测位置至少包括两端及中间位置。</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3.暖通设施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投标人应安排技术人员定期对暖通设施进行专项维护，维护内容包括：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（1）机房精密空调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每月测量空调蒸发冷凝压力，如压力有偏差及时调整；</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每季度更换所有空调过滤器；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每季度更换空调室内风机皮带；</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每半年对所有空调进行全方位检查并出具检查报告；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每半年对空调冷凝器进行一次停机深度清洁；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每半年检查一次空调冷凝水管道，确保畅通；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每半年更换一次空调加湿罐；</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每年春季在空调冷凝器进风侧加装防絮网，飞絮季节结束后撤除；</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（2）中央空调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根据实际需求不定期冲洗中央空调冷凝器。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（3）VRV空调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每月清洁空调送风口；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（4）新风</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每月更换新风过滤器；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每年对新风系统进行全方位检查；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根据实际需求不定期冲洗新风冷凝器。</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4.消防设施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投标人应安排技术人员定期对消防设施进行专项维护，维护内容包括：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按照国家及省、市有关消防维保法规、规范性文件要求制定维护方案，按照方案进行消防设备设施周、月、季、年度维护工作；</w:t>
      </w:r>
    </w:p>
    <w:p>
      <w:pPr>
        <w:numPr>
          <w:ilvl w:val="0"/>
          <w:numId w:val="9"/>
        </w:numPr>
        <w:adjustRightInd w:val="0"/>
        <w:snapToGrid w:val="0"/>
        <w:spacing w:line="360" w:lineRule="auto"/>
        <w:ind w:left="0" w:firstLine="480" w:firstLineChars="200"/>
        <w:rPr>
          <w:rFonts w:ascii="宋体" w:eastAsia="宋体" w:hAnsi="宋体" w:cs="宋体" w:hint="eastAsia"/>
        </w:rPr>
      </w:pPr>
      <w:r>
        <w:rPr>
          <w:rFonts w:ascii="宋体" w:eastAsia="宋体" w:hAnsi="宋体" w:cs="宋体" w:hint="eastAsia"/>
          <w:sz w:val="24"/>
          <w:szCs w:val="24"/>
          <w:lang w:val="en-US" w:eastAsia="zh-CN"/>
        </w:rPr>
        <w:t>6月至8月</w:t>
      </w:r>
      <w:r>
        <w:rPr>
          <w:rFonts w:ascii="宋体" w:eastAsia="宋体" w:hAnsi="宋体" w:cs="宋体" w:hint="eastAsia"/>
          <w:sz w:val="24"/>
          <w:szCs w:val="24"/>
          <w:lang w:eastAsia="zh-CN"/>
        </w:rPr>
        <w:t>每月现场巡检中国气象局大院内信息中心所属强弱电缆夹层、弱电通信管沟</w:t>
      </w:r>
      <w:r>
        <w:rPr>
          <w:rFonts w:ascii="宋体" w:eastAsia="宋体" w:hAnsi="宋体" w:cs="宋体" w:hint="eastAsia"/>
          <w:sz w:val="24"/>
          <w:szCs w:val="24"/>
          <w:lang w:val="en-US" w:eastAsia="zh-CN"/>
        </w:rPr>
        <w:t>2次，其余月份每月</w:t>
      </w:r>
      <w:r>
        <w:rPr>
          <w:rFonts w:ascii="宋体" w:eastAsia="宋体" w:hAnsi="宋体" w:cs="宋体" w:hint="eastAsia"/>
          <w:sz w:val="24"/>
          <w:szCs w:val="24"/>
          <w:lang w:eastAsia="zh-CN"/>
        </w:rPr>
        <w:t>现场巡检中国气象局大院内强弱电缆夹层、弱电通信管沟</w:t>
      </w:r>
      <w:r>
        <w:rPr>
          <w:rFonts w:ascii="宋体" w:eastAsia="宋体" w:hAnsi="宋体" w:cs="宋体" w:hint="eastAsia"/>
          <w:sz w:val="24"/>
          <w:szCs w:val="24"/>
          <w:lang w:val="en-US" w:eastAsia="zh-CN"/>
        </w:rPr>
        <w:t>1次，及时清理强弱电缆夹层、弱电通信管沟内部积水并处置其他安全隐患。</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5.门禁设施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投标人应安排技术人员定期对门禁设施进行专项维护，维护内容包括：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负责门禁系统日常授权并做好授权记录；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每月检查一次门禁读卡器运行状态；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每季度对门禁授权数据进行备份；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每半年对门禁授权情况进行梳理统计并报招标人核实确认；</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每年对门禁系统进行一次全方位检查并出具检查报告；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不定期对门禁控制系统进行软件升级及漏洞修复，满足招标人的各项安全要求。</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6.视频安防监控设施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投标人应安排技术人员定期对视频安防监控设施进行专项维护，维护内容包括：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每月检查一次视频安防监控设施运行情况；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每季度对室外视频安防监控设施运行情况进行专项检查，重点检查管路密闭、线路老化、设施防水等；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不定期对视频安防监控系统进行软件升级和漏洞修复，满足招标人的各项安全要求。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每年对视频安防监控系统进行一次全方位检查并出具检查报告。</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7.动力环境监控设施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投标人应安排技术人员定期对动力环境监控设施进行专项维护，维护内容包括：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每月检查一次动力环境监控设施运行情况；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每月对动力环境监控系统报警功能进行抽检；</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每月对能耗、能效等指标进行梳理统计；</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每半年对动力环境监控设施进行精度校核；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不定期对动力环境监控系统进行软件升级和漏洞修复，满足招标人的各项安全要求。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每年对动力环境监控系统进行一次全方位检查并出具检查报告。</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（三）应急处置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投标人负责服务范围内所有设施突发紧急情况时的应急处置工作，包括但不限于应急操作、故障排查、故障分析、故障修复等工作，故障处置流程应符合国家、地方及招标人相关规定。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24小时值班人员具备突发紧急情况的处置资质和能力，可以直接按照相关规定和流程开展各类突发情况的应急处置工作；如24小时值守人员无法满足突发紧急情况的处置要求或能力，投标人应第一时间安排技术力量到现场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突发紧急情况采取分级管理模式，分为一级、二级、三级。三级为1天内不会影响招标人实时业务系统正常运行的突发紧急情况，投标人应及时向招标人报备，并合理安排人员和物资尽快处置；二级为30分钟内不会影响招标人实时业务系统正常运行的突发紧急情况，投标人应第一时间通知招标人并在招标人确认后开展处置工作；一级为30分钟内或已经影响实时业务系统正常运行的突发紧急情况，投标人应第一时间通知招标人并立即开展处置工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如突发紧急情况短时间内即会影响招标人实时业务系统正常运行，投标人应在第一时间组织人员和物资进行突发紧急情况处置。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投标人应确保服务范围内所有机房场地环境设施的100%可用性，以不应影响招标人实时业务系统正常运行作为评判标准。</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（四）故障维修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投标人负责服务范围内所有机房场地环境设施故障维修工作，包括各类易耗品（包括但不限于空调过滤器、空调加湿罐、维护保养消耗品等）、备品备件、技术服务、设备部件更换等全部费用。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投标人承担的机房精密空调、新风机组、VRV空调等故障部件更换硬件费用单次不超过设备单价（以招标人采购价格为准）的20%，超过部分招标人承担相关费用。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电气设施备品备件及部件更换相关硬件费用由招标人负责。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服务范围内机房场地环境设施发生故障后，投标人应在30分钟完成故障应急处置，48小时内完成维修。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投标人应根据服务范围内机房场地环境设施情况在现场提前配置各类易耗品和备品备件，易耗品及备品备件明细在投标文件中提供清单。</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（五）其它要求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运维服务过程中，如有其它未尽事宜，投标人应按照招标人要求实施并承担相关费用。如因此产生额外费用，费用总额未超过投标报价总额的10%投标人承担相关费用；如费用总额超过投标报价总额的10%，超出部分由招标人承担相关费用。</w:t>
      </w:r>
    </w:p>
    <w:p>
      <w:pPr>
        <w:numPr>
          <w:ilvl w:val="12"/>
          <w:numId w:val="0"/>
        </w:numPr>
        <w:adjustRightInd w:val="0"/>
        <w:snapToGrid w:val="0"/>
        <w:spacing w:line="360" w:lineRule="auto"/>
        <w:jc w:val="left"/>
        <w:rPr>
          <w:rFonts w:ascii="宋体" w:eastAsia="宋体" w:hAnsi="宋体" w:cs="宋体"/>
        </w:rPr>
      </w:pPr>
      <w:bookmarkStart w:id="59" w:name="_Toc42706990"/>
      <w:bookmarkEnd w:id="59"/>
      <w:bookmarkStart w:id="60" w:name="_Toc42706995"/>
      <w:bookmarkEnd w:id="60"/>
      <w:bookmarkStart w:id="61" w:name="_Toc42706643"/>
      <w:bookmarkEnd w:id="61"/>
      <w:bookmarkStart w:id="62" w:name="_Toc42707457"/>
      <w:bookmarkEnd w:id="62"/>
      <w:bookmarkStart w:id="63" w:name="_Toc42757671"/>
      <w:bookmarkEnd w:id="63"/>
      <w:bookmarkStart w:id="64" w:name="_Toc42757666"/>
      <w:bookmarkEnd w:id="64"/>
      <w:bookmarkStart w:id="65" w:name="_Toc42707452"/>
      <w:bookmarkEnd w:id="65"/>
      <w:bookmarkStart w:id="66" w:name="_Toc42706648"/>
      <w:bookmarkEnd w:id="66"/>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rPr>
      </w:pPr>
      <w:bookmarkStart w:id="67" w:name="投标被拒绝条款专用部分_JJTK"/>
      <w:r>
        <w:rPr>
          <w:rFonts w:ascii="宋体" w:hAnsi="宋体" w:cs="Times New Roman" w:hint="eastAsia"/>
          <w:b/>
          <w:sz w:val="30"/>
          <w:szCs w:val="30"/>
        </w:rPr>
        <w:t>第八章  投标被拒绝条款专用部分</w:t>
      </w:r>
    </w:p>
    <w:p>
      <w:pPr>
        <w:adjustRightInd w:val="0"/>
        <w:snapToGrid w:val="0"/>
        <w:spacing w:before="156" w:beforeLines="50" w:line="360" w:lineRule="auto"/>
        <w:rPr>
          <w:rFonts w:ascii="宋体" w:hAnsi="宋体"/>
          <w:szCs w:val="21"/>
        </w:rPr>
      </w:pPr>
    </w:p>
    <w:p>
      <w:pPr>
        <w:adjustRightInd w:val="0"/>
        <w:snapToGrid w:val="0"/>
        <w:spacing w:before="156" w:beforeLines="50" w:line="360" w:lineRule="auto"/>
        <w:ind w:firstLine="420" w:firstLineChars="200"/>
        <w:rPr>
          <w:rFonts w:ascii="宋体" w:hAnsi="宋体"/>
          <w:szCs w:val="21"/>
        </w:rPr>
      </w:pPr>
      <w:r>
        <w:rPr>
          <w:rFonts w:ascii="宋体" w:hAnsi="宋体" w:cs="Times New Roman" w:hint="eastAsia"/>
          <w:szCs w:val="21"/>
        </w:rPr>
        <w:t>本项目投标被拒绝专用条款详见下表。除下表及</w:t>
      </w:r>
      <w:r>
        <w:rPr>
          <w:rFonts w:ascii="黑体" w:eastAsia="黑体" w:hAnsi="黑体" w:cs="Times New Roman" w:hint="eastAsia"/>
          <w:b/>
          <w:bCs/>
          <w:szCs w:val="21"/>
        </w:rPr>
        <w:t>第三章投标被拒绝条款通用部分</w:t>
      </w:r>
      <w:r>
        <w:rPr>
          <w:rFonts w:ascii="宋体" w:hAnsi="宋体" w:cs="Times New Roman"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rPr>
            </w:pPr>
            <w:r>
              <w:rPr>
                <w:rFonts w:ascii="Times New Roman" w:hAnsi="Times New Roman" w:cs="Times New Roman" w:hint="eastAsia"/>
                <w:sz w:val="18"/>
                <w:szCs w:val="18"/>
              </w:rPr>
              <w:t>序号</w:t>
            </w:r>
          </w:p>
        </w:tc>
        <w:tc>
          <w:tcPr>
            <w:tcW w:w="898" w:type="dxa"/>
            <w:noWrap w:val="0"/>
            <w:vAlign w:val="center"/>
          </w:tcPr>
          <w:p>
            <w:pPr>
              <w:jc w:val="center"/>
              <w:rPr>
                <w:sz w:val="18"/>
                <w:szCs w:val="18"/>
              </w:rPr>
            </w:pPr>
            <w:r>
              <w:rPr>
                <w:rFonts w:ascii="Times New Roman" w:hAnsi="Times New Roman" w:cs="Times New Roman" w:hint="eastAsia"/>
                <w:sz w:val="18"/>
                <w:szCs w:val="18"/>
              </w:rPr>
              <w:t>对应</w:t>
            </w:r>
          </w:p>
          <w:p>
            <w:pPr>
              <w:jc w:val="center"/>
              <w:rPr>
                <w:sz w:val="18"/>
                <w:szCs w:val="18"/>
              </w:rPr>
            </w:pPr>
            <w:r>
              <w:rPr>
                <w:rFonts w:ascii="Times New Roman" w:hAnsi="Times New Roman" w:cs="Times New Roman" w:hint="eastAsia"/>
                <w:sz w:val="18"/>
                <w:szCs w:val="18"/>
              </w:rPr>
              <w:t>条款号</w:t>
            </w:r>
          </w:p>
        </w:tc>
        <w:tc>
          <w:tcPr>
            <w:tcW w:w="7347" w:type="dxa"/>
            <w:noWrap w:val="0"/>
            <w:vAlign w:val="center"/>
          </w:tcPr>
          <w:p>
            <w:pPr>
              <w:jc w:val="center"/>
              <w:rPr>
                <w:sz w:val="18"/>
                <w:szCs w:val="18"/>
              </w:rPr>
            </w:pPr>
            <w:r>
              <w:rPr>
                <w:rFonts w:ascii="Times New Roman" w:hAnsi="Times New Roman" w:cs="Times New Roman"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rPr>
            </w:pPr>
            <w:r>
              <w:rPr>
                <w:rFonts w:ascii="Times New Roman" w:hAnsi="Times New Roman" w:cs="Times New Roman"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sz w:val="18"/>
                <w:szCs w:val="18"/>
              </w:rPr>
            </w:pPr>
          </w:p>
        </w:tc>
        <w:tc>
          <w:tcPr>
            <w:tcW w:w="898" w:type="dxa"/>
            <w:noWrap w:val="0"/>
            <w:vAlign w:val="center"/>
          </w:tcPr>
          <w:p>
            <w:pPr>
              <w:jc w:val="center"/>
              <w:rPr>
                <w:rFonts w:ascii="宋体" w:hAnsi="宋体"/>
                <w:sz w:val="18"/>
                <w:szCs w:val="18"/>
              </w:rPr>
            </w:pPr>
            <w:r>
              <w:rPr>
                <w:rFonts w:ascii="宋体" w:hAnsi="宋体" w:cs="Times New Roman" w:hint="eastAsia"/>
                <w:sz w:val="18"/>
                <w:szCs w:val="18"/>
              </w:rPr>
              <w:t>5</w:t>
            </w:r>
            <w:r>
              <w:rPr>
                <w:rFonts w:ascii="宋体" w:hAnsi="宋体" w:cs="Times New Roman"/>
                <w:sz w:val="18"/>
                <w:szCs w:val="18"/>
              </w:rPr>
              <w:t>.2</w:t>
            </w:r>
          </w:p>
        </w:tc>
        <w:tc>
          <w:tcPr>
            <w:tcW w:w="7347" w:type="dxa"/>
            <w:noWrap w:val="0"/>
            <w:vAlign w:val="top"/>
          </w:tcPr>
          <w:p>
            <w:pPr>
              <w:tabs>
                <w:tab w:val="left" w:pos="709"/>
              </w:tabs>
              <w:spacing w:line="360" w:lineRule="auto"/>
              <w:jc w:val="left"/>
              <w:rPr>
                <w:rFonts w:ascii="宋体" w:hAnsi="宋体"/>
                <w:sz w:val="18"/>
                <w:szCs w:val="18"/>
              </w:rPr>
            </w:pPr>
            <w:r>
              <w:rPr>
                <w:rFonts w:ascii="宋体" w:eastAsia="宋体" w:hAnsi="宋体" w:cs="微软雅黑" w:hint="eastAsia"/>
                <w:kern w:val="0"/>
                <w:szCs w:val="21"/>
              </w:rPr>
              <w:t>投标人应具有以下有效期超过投标截止日的</w:t>
            </w:r>
            <w:r>
              <w:rPr>
                <w:rFonts w:ascii="宋体" w:hAnsi="宋体" w:cs="微软雅黑" w:hint="eastAsia"/>
                <w:kern w:val="0"/>
                <w:szCs w:val="21"/>
                <w:lang w:eastAsia="zh-CN"/>
              </w:rPr>
              <w:t>资质或要求</w:t>
            </w:r>
            <w:r>
              <w:rPr>
                <w:rFonts w:ascii="宋体" w:eastAsia="宋体" w:hAnsi="宋体" w:cs="微软雅黑" w:hint="eastAsia"/>
                <w:kern w:val="0"/>
                <w:szCs w:val="21"/>
              </w:rPr>
              <w:t>：</w:t>
            </w:r>
            <w:r>
              <w:rPr>
                <w:rFonts w:ascii="宋体" w:eastAsia="宋体" w:hAnsi="宋体" w:cs="微软雅黑" w:hint="eastAsia"/>
                <w:kern w:val="0"/>
                <w:szCs w:val="21"/>
                <w:lang w:val="en-US" w:eastAsia="zh-CN"/>
              </w:rPr>
              <w:t>1、</w:t>
            </w:r>
            <w:r>
              <w:rPr>
                <w:rFonts w:ascii="宋体" w:eastAsia="宋体" w:hAnsi="宋体" w:cs="微软雅黑" w:hint="eastAsia"/>
                <w:kern w:val="0"/>
                <w:szCs w:val="21"/>
              </w:rPr>
              <w:t>承装（修、试）</w:t>
            </w:r>
            <w:r>
              <w:rPr>
                <w:rFonts w:ascii="宋体" w:hAnsi="宋体" w:cs="微软雅黑" w:hint="eastAsia"/>
                <w:kern w:val="0"/>
                <w:szCs w:val="21"/>
                <w:lang w:eastAsia="zh-CN"/>
              </w:rPr>
              <w:t>电</w:t>
            </w:r>
            <w:r>
              <w:rPr>
                <w:rFonts w:ascii="宋体" w:eastAsia="宋体" w:hAnsi="宋体" w:cs="微软雅黑" w:hint="eastAsia"/>
                <w:kern w:val="0"/>
                <w:szCs w:val="21"/>
              </w:rPr>
              <w:t>力设施</w:t>
            </w:r>
            <w:r>
              <w:rPr>
                <w:rFonts w:ascii="宋体" w:eastAsia="宋体" w:hAnsi="宋体" w:cs="微软雅黑" w:hint="eastAsia"/>
                <w:kern w:val="0"/>
                <w:szCs w:val="21"/>
                <w:lang w:eastAsia="zh-CN"/>
              </w:rPr>
              <w:t>许可证</w:t>
            </w:r>
            <w:r>
              <w:rPr>
                <w:rFonts w:ascii="宋体" w:hAnsi="宋体" w:cs="微软雅黑" w:hint="eastAsia"/>
                <w:kern w:val="0"/>
                <w:szCs w:val="21"/>
                <w:lang w:eastAsia="zh-CN"/>
              </w:rPr>
              <w:t>三</w:t>
            </w:r>
            <w:r>
              <w:rPr>
                <w:rFonts w:ascii="宋体" w:eastAsia="宋体" w:hAnsi="宋体" w:cs="微软雅黑" w:hint="eastAsia"/>
                <w:kern w:val="0"/>
                <w:szCs w:val="21"/>
                <w:lang w:eastAsia="zh-CN"/>
              </w:rPr>
              <w:t>级及以上</w:t>
            </w:r>
            <w:r>
              <w:rPr>
                <w:rFonts w:ascii="宋体" w:eastAsia="宋体" w:hAnsi="宋体" w:cs="微软雅黑" w:hint="eastAsia"/>
                <w:kern w:val="0"/>
                <w:szCs w:val="21"/>
                <w:lang w:eastAsia="zh-CN"/>
              </w:rPr>
              <w:t>。</w:t>
            </w:r>
            <w:r>
              <w:rPr>
                <w:rFonts w:ascii="宋体" w:eastAsia="宋体" w:hAnsi="宋体" w:cs="微软雅黑" w:hint="eastAsia"/>
                <w:kern w:val="0"/>
                <w:szCs w:val="21"/>
                <w:lang w:val="en-US" w:eastAsia="zh-CN"/>
              </w:rPr>
              <w:t>2、</w:t>
            </w:r>
            <w:r>
              <w:rPr>
                <w:rFonts w:ascii="宋体" w:hAnsi="宋体" w:cs="微软雅黑" w:hint="eastAsia"/>
                <w:kern w:val="0"/>
                <w:szCs w:val="21"/>
                <w:lang w:val="en-US" w:eastAsia="zh-CN"/>
              </w:rPr>
              <w:t>在社会消防技术服务信息系统备案，备案内容至少包含消防设施维护保养检测</w:t>
            </w:r>
            <w:r>
              <w:rPr>
                <w:rFonts w:ascii="宋体" w:eastAsia="宋体" w:hAnsi="宋体" w:cs="微软雅黑" w:hint="eastAsia"/>
                <w:kern w:val="0"/>
                <w:szCs w:val="21"/>
                <w:lang w:eastAsia="zh-CN"/>
              </w:rPr>
              <w:t>。</w:t>
            </w:r>
          </w:p>
        </w:tc>
      </w:tr>
    </w:tbl>
    <w:p>
      <w:pPr>
        <w:spacing w:before="156" w:beforeLines="50" w:line="360" w:lineRule="auto"/>
        <w:rPr>
          <w:rFonts w:ascii="宋体" w:hAnsi="宋体"/>
          <w:szCs w:val="21"/>
        </w:rPr>
      </w:pPr>
      <w:r>
        <w:rPr>
          <w:rFonts w:ascii="宋体" w:hAnsi="宋体" w:cs="Times New Roman" w:hint="eastAsia"/>
          <w:szCs w:val="21"/>
        </w:rPr>
        <w:t>注：根据项目具体情况，对投标人有具体要求，且</w:t>
      </w:r>
      <w:r>
        <w:rPr>
          <w:rFonts w:ascii="宋体" w:hAnsi="宋体" w:cs="Times New Roman" w:hint="eastAsia"/>
          <w:szCs w:val="21"/>
          <w:highlight w:val="yellow"/>
        </w:rPr>
        <w:t>投标人必须遵守的，逐条列出</w:t>
      </w:r>
      <w:r>
        <w:rPr>
          <w:rFonts w:ascii="宋体" w:hAnsi="宋体" w:cs="Times New Roman" w:hint="eastAsia"/>
          <w:szCs w:val="21"/>
        </w:rPr>
        <w:t>。</w:t>
      </w:r>
    </w:p>
    <w:p>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napToGrid w:val="0"/>
        <w:spacing w:line="360" w:lineRule="auto"/>
        <w:ind w:right="560"/>
        <w:jc w:val="left"/>
        <w:rPr>
          <w:rFonts w:hint="eastAsia"/>
          <w:b/>
          <w:color w:val="BFBFBF" w:themeColor="background1" w:themeShade="BF"/>
          <w:sz w:val="28"/>
          <w:szCs w:val="28"/>
        </w:rPr>
      </w:pPr>
      <w:bookmarkStart w:id="68" w:name="采购公告合同部分_ZBGGHT"/>
    </w:p>
    <w:p>
      <w:pPr>
        <w:snapToGrid w:val="0"/>
        <w:spacing w:line="360" w:lineRule="auto"/>
        <w:jc w:val="left"/>
        <w:rPr>
          <w:b/>
          <w:color w:val="BFBFBF" w:themeColor="background1" w:themeShade="BF"/>
          <w:sz w:val="28"/>
          <w:szCs w:val="28"/>
        </w:rPr>
      </w:pPr>
    </w:p>
    <w:p>
      <w:pPr>
        <w:snapToGrid w:val="0"/>
        <w:spacing w:line="360" w:lineRule="auto"/>
        <w:jc w:val="center"/>
        <w:rPr>
          <w:b/>
          <w:sz w:val="28"/>
          <w:szCs w:val="28"/>
        </w:rPr>
      </w:pP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jc w:val="center"/>
        <w:rPr>
          <w:b/>
          <w:bCs/>
          <w:sz w:val="36"/>
          <w:szCs w:val="36"/>
        </w:rPr>
      </w:pPr>
      <w:r>
        <w:rPr>
          <w:rFonts w:hint="eastAsia"/>
          <w:b/>
          <w:bCs/>
          <w:sz w:val="36"/>
          <w:szCs w:val="36"/>
        </w:rPr>
        <w:t>合同协议书</w:t>
      </w:r>
    </w:p>
    <w:p>
      <w:pPr>
        <w:snapToGrid w:val="0"/>
        <w:spacing w:line="360" w:lineRule="auto"/>
        <w:rPr>
          <w:sz w:val="28"/>
          <w:szCs w:val="28"/>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 w:val="28"/>
          <w:szCs w:val="28"/>
        </w:rPr>
      </w:pPr>
      <w:r>
        <w:rPr>
          <w:rFonts w:hint="eastAsia"/>
          <w:sz w:val="28"/>
          <w:szCs w:val="28"/>
        </w:rPr>
        <w:t>项目名称：________________________________________</w:t>
      </w:r>
    </w:p>
    <w:p>
      <w:pPr>
        <w:snapToGrid w:val="0"/>
        <w:spacing w:line="360" w:lineRule="auto"/>
        <w:rPr>
          <w:sz w:val="28"/>
          <w:szCs w:val="28"/>
        </w:rPr>
      </w:pPr>
      <w:r>
        <w:rPr>
          <w:rFonts w:hint="eastAsia"/>
          <w:sz w:val="28"/>
          <w:szCs w:val="28"/>
        </w:rPr>
        <w:t>项目编号：________________________________________</w:t>
      </w:r>
    </w:p>
    <w:p>
      <w:pPr>
        <w:snapToGrid w:val="0"/>
        <w:spacing w:line="360" w:lineRule="auto"/>
        <w:rPr>
          <w:sz w:val="28"/>
          <w:szCs w:val="28"/>
        </w:rPr>
      </w:pPr>
      <w:r>
        <w:rPr>
          <w:rFonts w:hint="eastAsia"/>
          <w:sz w:val="28"/>
          <w:szCs w:val="28"/>
        </w:rPr>
        <w:t>合同编号：________________________________________</w:t>
      </w:r>
    </w:p>
    <w:p>
      <w:pPr>
        <w:snapToGrid w:val="0"/>
        <w:spacing w:line="360" w:lineRule="auto"/>
        <w:rPr>
          <w:szCs w:val="21"/>
        </w:rPr>
      </w:pPr>
      <w:r>
        <w:rPr>
          <w:szCs w:val="21"/>
        </w:rPr>
        <w:t xml:space="preserve">    </w:t>
      </w:r>
    </w:p>
    <w:p>
      <w:pPr>
        <w:snapToGrid w:val="0"/>
        <w:spacing w:line="360" w:lineRule="auto"/>
        <w:rPr>
          <w:szCs w:val="21"/>
        </w:rPr>
      </w:pPr>
    </w:p>
    <w:p>
      <w:pPr>
        <w:snapToGrid w:val="0"/>
        <w:spacing w:line="360" w:lineRule="auto"/>
        <w:rPr>
          <w:sz w:val="28"/>
          <w:szCs w:val="28"/>
        </w:rPr>
      </w:pPr>
      <w:r>
        <w:rPr>
          <w:rFonts w:hint="eastAsia"/>
          <w:sz w:val="28"/>
          <w:szCs w:val="28"/>
        </w:rPr>
        <w:t>甲方：_</w:t>
      </w:r>
      <w:r>
        <w:rPr>
          <w:rFonts w:hint="eastAsia"/>
          <w:sz w:val="28"/>
          <w:szCs w:val="28"/>
          <w:u w:val="single"/>
        </w:rPr>
        <w:t>国家气象信息</w:t>
      </w:r>
      <w:r>
        <w:rPr>
          <w:sz w:val="28"/>
          <w:szCs w:val="28"/>
          <w:u w:val="single"/>
        </w:rPr>
        <w:t>中心</w:t>
      </w:r>
      <w:r>
        <w:rPr>
          <w:rFonts w:hint="eastAsia"/>
          <w:sz w:val="28"/>
          <w:szCs w:val="28"/>
        </w:rPr>
        <w:t>_________________</w:t>
      </w:r>
    </w:p>
    <w:p>
      <w:pPr>
        <w:snapToGrid w:val="0"/>
        <w:spacing w:line="360" w:lineRule="auto"/>
        <w:rPr>
          <w:sz w:val="28"/>
          <w:szCs w:val="28"/>
        </w:rPr>
      </w:pPr>
      <w:r>
        <w:rPr>
          <w:rFonts w:hint="eastAsia"/>
          <w:sz w:val="28"/>
          <w:szCs w:val="28"/>
        </w:rPr>
        <w:t>乙方：______________________________________</w:t>
      </w:r>
    </w:p>
    <w:p>
      <w:pPr>
        <w:snapToGrid w:val="0"/>
        <w:spacing w:line="360" w:lineRule="auto"/>
        <w:jc w:val="center"/>
        <w:outlineLvl w:val="2"/>
        <w:rPr>
          <w:rFonts w:ascii="宋体" w:hAnsi="宋体"/>
          <w:szCs w:val="21"/>
        </w:rPr>
      </w:pPr>
      <w:r>
        <w:rPr>
          <w:b/>
          <w:sz w:val="28"/>
          <w:szCs w:val="28"/>
        </w:rPr>
        <w:br w:type="page"/>
      </w:r>
    </w:p>
    <w:p>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pPr>
        <w:tabs>
          <w:tab w:val="left" w:pos="1573"/>
        </w:tabs>
        <w:adjustRightInd w:val="0"/>
        <w:snapToGrid w:val="0"/>
        <w:spacing w:line="360" w:lineRule="auto"/>
        <w:rPr>
          <w:rFonts w:ascii="宋体" w:hAnsi="宋体"/>
          <w:szCs w:val="21"/>
        </w:rPr>
      </w:pP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____(以下简称“甲方”)在本项目中所需货物和服务由</w:t>
      </w:r>
      <w:r>
        <w:rPr>
          <w:rFonts w:ascii="宋体" w:hAnsi="宋体" w:hint="eastAsia"/>
          <w:szCs w:val="21"/>
          <w:u w:val="single"/>
        </w:rPr>
        <w:t>中国气象局政府采购中心</w:t>
      </w:r>
      <w:r>
        <w:rPr>
          <w:rFonts w:ascii="宋体" w:hAnsi="宋体" w:hint="eastAsia"/>
          <w:szCs w:val="21"/>
        </w:rPr>
        <w:t>在境内进行公开招标，经评审委员会评定，确定________________________(以下简称“乙方”)为中标人。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Pr>
          <w:rFonts w:hint="eastAsia"/>
          <w:szCs w:val="21"/>
        </w:rPr>
        <w:t>根据《中华人民共和国民法典》、《中华人民共和国政府采购法》、和《中华人民共和国招标投标法》等相关法律法规以及本项目招标文件的规定，经平等协商，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pPr>
        <w:adjustRightInd w:val="0"/>
        <w:snapToGrid w:val="0"/>
        <w:spacing w:line="360" w:lineRule="auto"/>
        <w:ind w:firstLine="420" w:firstLineChars="200"/>
        <w:rPr>
          <w:rFonts w:ascii="宋体" w:hAnsi="宋体"/>
          <w:szCs w:val="21"/>
        </w:rPr>
      </w:pPr>
      <w:r>
        <w:rPr>
          <w:rFonts w:ascii="宋体" w:hAnsi="宋体" w:hint="eastAsia"/>
          <w:szCs w:val="21"/>
        </w:rPr>
        <w:t>2、“合同价”系指根据合同规定乙方在正确地完全履行合同义务后甲方应支付给乙方的价格。</w:t>
      </w:r>
    </w:p>
    <w:p>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、“附件”是指与本合同的订立、履行有关的，经甲乙双方认可的，对本合同约定的内容进行细化、补充、修改、变更的文件、图纸、音像制品等资料。</w:t>
      </w:r>
    </w:p>
    <w:p>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、“招标文件”指采购机构发布的本项目招标文件。</w:t>
      </w:r>
    </w:p>
    <w:p>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 编制和投递，并最终被采购机构接受的投标文件。</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w:t>
      </w:r>
      <w:bookmarkStart w:id="69" w:name="OLE_LINK26"/>
      <w:bookmarkStart w:id="70" w:name="OLE_LINK25"/>
      <w:r>
        <w:rPr>
          <w:rFonts w:ascii="宋体" w:hAnsi="宋体" w:hint="eastAsia"/>
          <w:szCs w:val="21"/>
        </w:rPr>
        <w:t>“履约保函”指由银行向甲方开具的履约保函，有效期截止时间不得早于合同最终验收时间。</w:t>
      </w:r>
      <w:bookmarkEnd w:id="69"/>
      <w:bookmarkEnd w:id="70"/>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14、“预付款保函”指由银行向甲方开具的预付款保函，有效期截止时间不得早于合同最终验收时间。</w:t>
      </w:r>
    </w:p>
    <w:p>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pPr>
        <w:snapToGrid w:val="0"/>
        <w:spacing w:line="360" w:lineRule="auto"/>
        <w:ind w:firstLine="315" w:firstLineChars="150"/>
        <w:rPr>
          <w:rFonts w:ascii="宋体" w:hAnsi="宋体"/>
          <w:szCs w:val="21"/>
        </w:rPr>
      </w:pPr>
      <w:r>
        <w:rPr>
          <w:rFonts w:ascii="宋体" w:hAnsi="宋体" w:hint="eastAsia"/>
          <w:szCs w:val="21"/>
        </w:rPr>
        <w:t>（三）服务产品质量及报价表</w:t>
      </w:r>
    </w:p>
    <w:p>
      <w:pPr>
        <w:snapToGrid w:val="0"/>
        <w:spacing w:line="360" w:lineRule="auto"/>
        <w:ind w:firstLine="315" w:firstLineChars="150"/>
        <w:rPr>
          <w:rFonts w:ascii="宋体" w:hAnsi="宋体"/>
          <w:szCs w:val="21"/>
        </w:rPr>
      </w:pPr>
      <w:r>
        <w:rPr>
          <w:rFonts w:ascii="宋体" w:hAnsi="宋体" w:hint="eastAsia"/>
          <w:szCs w:val="21"/>
        </w:rPr>
        <w:t>（四）项目实施方案</w:t>
      </w:r>
    </w:p>
    <w:p>
      <w:pPr>
        <w:snapToGrid w:val="0"/>
        <w:spacing w:line="360" w:lineRule="auto"/>
        <w:ind w:firstLine="315" w:firstLineChars="150"/>
        <w:rPr>
          <w:rFonts w:ascii="宋体" w:hAnsi="宋体"/>
          <w:szCs w:val="21"/>
        </w:rPr>
      </w:pPr>
      <w:r>
        <w:rPr>
          <w:rFonts w:ascii="宋体" w:hAnsi="宋体" w:hint="eastAsia"/>
          <w:szCs w:val="21"/>
        </w:rPr>
        <w:t>（五）验收办法</w:t>
      </w:r>
    </w:p>
    <w:p>
      <w:pPr>
        <w:snapToGrid w:val="0"/>
        <w:spacing w:line="360" w:lineRule="auto"/>
        <w:ind w:firstLine="315" w:firstLineChars="150"/>
        <w:rPr>
          <w:rFonts w:ascii="宋体" w:hAnsi="宋体"/>
          <w:szCs w:val="21"/>
        </w:rPr>
      </w:pPr>
      <w:r>
        <w:rPr>
          <w:rFonts w:ascii="宋体" w:hAnsi="宋体" w:hint="eastAsia"/>
          <w:szCs w:val="21"/>
        </w:rPr>
        <w:t>（六）中标通知书</w:t>
      </w:r>
    </w:p>
    <w:p>
      <w:pPr>
        <w:snapToGrid w:val="0"/>
        <w:spacing w:line="360" w:lineRule="auto"/>
        <w:ind w:firstLine="315" w:firstLineChars="150"/>
        <w:rPr>
          <w:rFonts w:ascii="宋体" w:hAnsi="宋体"/>
          <w:szCs w:val="21"/>
        </w:rPr>
      </w:pPr>
      <w:r>
        <w:rPr>
          <w:rFonts w:ascii="宋体" w:hAnsi="宋体" w:hint="eastAsia"/>
          <w:szCs w:val="21"/>
        </w:rPr>
        <w:t>（七）服务产品提供方式</w:t>
      </w:r>
    </w:p>
    <w:p>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价格（元）</w:t>
            </w:r>
          </w:p>
        </w:tc>
        <w:tc>
          <w:tcPr>
            <w:tcW w:w="1275" w:type="dxa"/>
            <w:vAlign w:val="center"/>
          </w:tcPr>
          <w:p>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合同最终验收时间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bl>
    <w:p>
      <w:pPr>
        <w:tabs>
          <w:tab w:val="left" w:pos="1480"/>
        </w:tabs>
        <w:adjustRightInd w:val="0"/>
        <w:snapToGrid w:val="0"/>
        <w:spacing w:line="360" w:lineRule="auto"/>
        <w:ind w:firstLine="420" w:firstLineChars="200"/>
        <w:jc w:val="left"/>
        <w:rPr>
          <w:rFonts w:ascii="宋体" w:hAnsi="宋体"/>
          <w:szCs w:val="21"/>
        </w:rPr>
      </w:pPr>
    </w:p>
    <w:p>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w:t>
      </w:r>
    </w:p>
    <w:p>
      <w:pPr>
        <w:pStyle w:val="NormalIndent"/>
        <w:adjustRightInd w:val="0"/>
        <w:snapToGrid w:val="0"/>
        <w:spacing w:line="360" w:lineRule="auto"/>
        <w:outlineLvl w:val="0"/>
        <w:rPr>
          <w:rFonts w:ascii="宋体" w:hAnsi="宋体"/>
          <w:b/>
          <w:szCs w:val="21"/>
        </w:rPr>
      </w:pPr>
      <w:bookmarkStart w:id="71" w:name="OLE_LINK2"/>
      <w:bookmarkStart w:id="72" w:name="OLE_LINK1"/>
      <w:r>
        <w:rPr>
          <w:rFonts w:ascii="宋体" w:hAnsi="宋体" w:hint="eastAsia"/>
          <w:b/>
          <w:szCs w:val="21"/>
        </w:rPr>
        <w:t>五、</w:t>
      </w:r>
      <w:bookmarkStart w:id="73" w:name="_Toc86202595"/>
      <w:r>
        <w:rPr>
          <w:rFonts w:ascii="宋体" w:hAnsi="宋体" w:hint="eastAsia"/>
          <w:b/>
          <w:szCs w:val="21"/>
        </w:rPr>
        <w:t>合同</w:t>
      </w:r>
      <w:bookmarkEnd w:id="73"/>
      <w:r>
        <w:rPr>
          <w:rFonts w:ascii="宋体" w:hAnsi="宋体" w:hint="eastAsia"/>
          <w:b/>
          <w:szCs w:val="21"/>
        </w:rPr>
        <w:t>金额</w:t>
      </w:r>
      <w:r>
        <w:rPr>
          <w:rFonts w:ascii="宋体" w:hAnsi="宋体"/>
          <w:b/>
          <w:szCs w:val="21"/>
        </w:rPr>
        <w:t>及付款方式</w:t>
      </w:r>
    </w:p>
    <w:p>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1、根据上述合同文件要求，合同的总金额为人民币：________元 (大写)，_______元（小写），分项价格详见合同服务产品清单。</w:t>
      </w:r>
    </w:p>
    <w:p>
      <w:pPr>
        <w:pStyle w:val="NormalWeb"/>
        <w:widowControl/>
        <w:spacing w:beforeAutospacing="0" w:afterAutospacing="0" w:line="360" w:lineRule="auto"/>
        <w:ind w:firstLine="420" w:firstLineChars="200"/>
        <w:rPr>
          <w:rFonts w:ascii="宋体" w:hAnsi="宋体" w:hint="eastAsia"/>
          <w:kern w:val="2"/>
          <w:sz w:val="21"/>
          <w:szCs w:val="21"/>
        </w:rPr>
      </w:pPr>
      <w:r>
        <w:rPr>
          <w:rFonts w:ascii="宋体" w:hAnsi="宋体" w:hint="eastAsia"/>
          <w:kern w:val="2"/>
          <w:sz w:val="21"/>
          <w:szCs w:val="21"/>
        </w:rPr>
        <w:t>2、</w:t>
      </w:r>
      <w:bookmarkStart w:id="74" w:name="OLE_LINK14"/>
      <w:bookmarkStart w:id="75" w:name="OLE_LINK13"/>
      <w:r>
        <w:rPr>
          <w:rFonts w:ascii="宋体" w:hAnsi="宋体" w:hint="eastAsia"/>
          <w:kern w:val="2"/>
          <w:sz w:val="21"/>
          <w:szCs w:val="21"/>
        </w:rPr>
        <w:t>甲乙双方签署合同后</w:t>
      </w:r>
      <w:r>
        <w:rPr>
          <w:rFonts w:ascii="宋体" w:hAnsi="宋体" w:hint="eastAsia"/>
          <w:kern w:val="2"/>
          <w:sz w:val="21"/>
          <w:szCs w:val="21"/>
          <w:u w:val="single"/>
        </w:rPr>
        <w:t>10</w:t>
      </w:r>
      <w:bookmarkStart w:id="76" w:name="OLE_LINK6"/>
      <w:bookmarkStart w:id="77" w:name="OLE_LINK5"/>
      <w:r>
        <w:rPr>
          <w:rFonts w:ascii="宋体" w:hAnsi="宋体" w:hint="eastAsia"/>
          <w:kern w:val="2"/>
          <w:sz w:val="21"/>
          <w:szCs w:val="21"/>
        </w:rPr>
        <w:t>个工作日内</w:t>
      </w:r>
      <w:bookmarkEnd w:id="76"/>
      <w:bookmarkEnd w:id="77"/>
      <w:r>
        <w:rPr>
          <w:rFonts w:ascii="宋体" w:hAnsi="宋体" w:hint="eastAsia"/>
          <w:kern w:val="2"/>
          <w:sz w:val="21"/>
          <w:szCs w:val="21"/>
        </w:rPr>
        <w:t>，</w:t>
      </w:r>
      <w:bookmarkEnd w:id="74"/>
      <w:bookmarkEnd w:id="75"/>
      <w:bookmarkStart w:id="78" w:name="OLE_LINK16"/>
      <w:bookmarkStart w:id="79" w:name="OLE_LINK15"/>
      <w:r>
        <w:rPr>
          <w:rFonts w:ascii="宋体" w:hAnsi="宋体" w:hint="eastAsia"/>
          <w:kern w:val="2"/>
          <w:sz w:val="21"/>
          <w:szCs w:val="21"/>
        </w:rPr>
        <w:t>乙方向甲方提供</w:t>
      </w:r>
      <w:bookmarkStart w:id="80" w:name="OLE_LINK24"/>
      <w:bookmarkStart w:id="81" w:name="OLE_LINK23"/>
      <w:r>
        <w:rPr>
          <w:rFonts w:ascii="宋体" w:hAnsi="宋体" w:hint="eastAsia"/>
          <w:kern w:val="2"/>
          <w:sz w:val="21"/>
          <w:szCs w:val="21"/>
        </w:rPr>
        <w:t>合同总金额</w:t>
      </w:r>
      <w:bookmarkEnd w:id="78"/>
      <w:bookmarkEnd w:id="79"/>
      <w:bookmarkStart w:id="82" w:name="OLE_LINK17"/>
      <w:bookmarkStart w:id="83" w:name="OLE_LINK18"/>
      <w:r>
        <w:rPr>
          <w:rFonts w:ascii="宋体" w:hAnsi="宋体" w:hint="eastAsia"/>
          <w:kern w:val="2"/>
          <w:sz w:val="21"/>
          <w:szCs w:val="21"/>
          <w:u w:val="single"/>
        </w:rPr>
        <w:t>10%</w:t>
      </w:r>
      <w:bookmarkEnd w:id="82"/>
      <w:bookmarkEnd w:id="83"/>
      <w:r>
        <w:rPr>
          <w:rFonts w:ascii="宋体" w:hAnsi="宋体" w:hint="eastAsia"/>
          <w:kern w:val="2"/>
          <w:sz w:val="21"/>
          <w:szCs w:val="21"/>
        </w:rPr>
        <w:t>的履约保函，</w:t>
      </w:r>
      <w:bookmarkStart w:id="84" w:name="OLE_LINK20"/>
      <w:bookmarkStart w:id="85" w:name="OLE_LINK19"/>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 xml:space="preserve"> 元（小写），有效期截止</w:t>
      </w:r>
      <w:r>
        <w:rPr>
          <w:rFonts w:ascii="宋体" w:hAnsi="宋体" w:hint="eastAsia"/>
          <w:kern w:val="2"/>
          <w:sz w:val="21"/>
          <w:szCs w:val="21"/>
          <w:u w:val="single"/>
        </w:rPr>
        <w:t xml:space="preserve">     </w:t>
      </w:r>
      <w:r>
        <w:rPr>
          <w:rFonts w:ascii="宋体" w:hAnsi="宋体" w:hint="eastAsia"/>
          <w:kern w:val="2"/>
          <w:sz w:val="21"/>
          <w:szCs w:val="21"/>
        </w:rPr>
        <w:t>年</w:t>
      </w:r>
      <w:r>
        <w:rPr>
          <w:rFonts w:ascii="宋体" w:hAnsi="宋体" w:hint="eastAsia"/>
          <w:kern w:val="2"/>
          <w:sz w:val="21"/>
          <w:szCs w:val="21"/>
          <w:u w:val="single"/>
        </w:rPr>
        <w:t xml:space="preserve">   </w:t>
      </w:r>
      <w:r>
        <w:rPr>
          <w:rFonts w:ascii="宋体" w:hAnsi="宋体" w:hint="eastAsia"/>
          <w:kern w:val="2"/>
          <w:sz w:val="21"/>
          <w:szCs w:val="21"/>
        </w:rPr>
        <w:t>月</w:t>
      </w:r>
      <w:r>
        <w:rPr>
          <w:rFonts w:ascii="宋体" w:hAnsi="宋体" w:hint="eastAsia"/>
          <w:kern w:val="2"/>
          <w:sz w:val="21"/>
          <w:szCs w:val="21"/>
          <w:u w:val="single"/>
        </w:rPr>
        <w:t xml:space="preserve">   </w:t>
      </w:r>
      <w:r>
        <w:rPr>
          <w:rFonts w:ascii="宋体" w:hAnsi="宋体" w:hint="eastAsia"/>
          <w:kern w:val="2"/>
          <w:sz w:val="21"/>
          <w:szCs w:val="21"/>
        </w:rPr>
        <w:t>日。</w:t>
      </w:r>
      <w:bookmarkEnd w:id="80"/>
      <w:bookmarkEnd w:id="81"/>
      <w:bookmarkEnd w:id="84"/>
      <w:bookmarkEnd w:id="85"/>
      <w:bookmarkStart w:id="86" w:name="OLE_LINK21"/>
      <w:bookmarkStart w:id="87" w:name="OLE_LINK22"/>
      <w:r>
        <w:rPr>
          <w:rFonts w:ascii="宋体" w:hAnsi="宋体" w:hint="eastAsia"/>
          <w:kern w:val="2"/>
          <w:sz w:val="21"/>
          <w:szCs w:val="21"/>
        </w:rPr>
        <w:t>甲方收到乙方提供的履约保函后</w:t>
      </w:r>
      <w:r>
        <w:rPr>
          <w:rFonts w:ascii="宋体" w:hAnsi="宋体" w:hint="eastAsia"/>
          <w:kern w:val="2"/>
          <w:sz w:val="21"/>
          <w:szCs w:val="21"/>
          <w:u w:val="single"/>
        </w:rPr>
        <w:t xml:space="preserve"> 10</w:t>
      </w:r>
      <w:bookmarkStart w:id="88" w:name="OLE_LINK7"/>
      <w:bookmarkStart w:id="89" w:name="OLE_LINK8"/>
      <w:r>
        <w:rPr>
          <w:rFonts w:ascii="宋体" w:hAnsi="宋体" w:hint="eastAsia"/>
          <w:sz w:val="21"/>
          <w:szCs w:val="21"/>
        </w:rPr>
        <w:t>个工作日</w:t>
      </w:r>
      <w:bookmarkEnd w:id="88"/>
      <w:bookmarkEnd w:id="89"/>
      <w:r>
        <w:rPr>
          <w:rFonts w:ascii="宋体" w:hAnsi="宋体" w:hint="eastAsia"/>
          <w:sz w:val="21"/>
          <w:szCs w:val="21"/>
        </w:rPr>
        <w:t>内，</w:t>
      </w:r>
      <w:r>
        <w:rPr>
          <w:rFonts w:ascii="宋体" w:hAnsi="宋体" w:hint="eastAsia"/>
          <w:kern w:val="2"/>
          <w:sz w:val="21"/>
          <w:szCs w:val="21"/>
        </w:rPr>
        <w:t>向乙方支付合同总金额的</w:t>
      </w:r>
      <w:r>
        <w:rPr>
          <w:rFonts w:ascii="宋体" w:hAnsi="宋体" w:hint="eastAsia"/>
          <w:kern w:val="2"/>
          <w:sz w:val="21"/>
          <w:szCs w:val="21"/>
          <w:u w:val="single"/>
        </w:rPr>
        <w:t>100%</w:t>
      </w:r>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元（小写）。</w:t>
      </w:r>
      <w:bookmarkEnd w:id="86"/>
      <w:bookmarkEnd w:id="87"/>
    </w:p>
    <w:p>
      <w:pPr>
        <w:pStyle w:val="NormalWeb"/>
        <w:widowControl/>
        <w:spacing w:beforeAutospacing="0" w:afterAutospacing="0" w:line="360" w:lineRule="auto"/>
        <w:ind w:firstLine="420" w:firstLineChars="200"/>
        <w:rPr>
          <w:rFonts w:ascii="宋体" w:hAnsi="宋体" w:hint="eastAsia"/>
          <w:i/>
          <w:kern w:val="2"/>
          <w:sz w:val="21"/>
          <w:szCs w:val="21"/>
          <w:shd w:val="pct10" w:color="auto" w:fill="FFFFFF"/>
        </w:rPr>
      </w:pPr>
      <w:r>
        <w:rPr>
          <w:rFonts w:ascii="宋体" w:hAnsi="宋体" w:hint="eastAsia"/>
          <w:kern w:val="2"/>
          <w:sz w:val="21"/>
          <w:szCs w:val="21"/>
          <w:shd w:val="pct10" w:color="auto" w:fill="FFFFFF"/>
        </w:rPr>
        <w:t>（</w:t>
      </w:r>
      <w:r>
        <w:rPr>
          <w:rFonts w:ascii="宋体" w:hAnsi="宋体" w:hint="eastAsia"/>
          <w:i/>
          <w:kern w:val="2"/>
          <w:sz w:val="21"/>
          <w:szCs w:val="21"/>
          <w:shd w:val="pct10" w:color="auto" w:fill="FFFFFF"/>
        </w:rPr>
        <w:t>如合同涉及的技术复杂，</w:t>
      </w:r>
      <w:r>
        <w:rPr>
          <w:rFonts w:ascii="宋体" w:hAnsi="宋体" w:hint="eastAsia"/>
          <w:i/>
          <w:kern w:val="2"/>
          <w:sz w:val="21"/>
          <w:szCs w:val="21"/>
          <w:shd w:val="pct10" w:color="auto" w:fill="FFFFFF"/>
          <w:lang w:val="en-US" w:eastAsia="zh-CN"/>
        </w:rPr>
        <w:t>请选择下述付款方式</w:t>
      </w:r>
      <w:r>
        <w:rPr>
          <w:rFonts w:ascii="宋体" w:hAnsi="宋体" w:hint="eastAsia"/>
          <w:i/>
          <w:kern w:val="2"/>
          <w:sz w:val="21"/>
          <w:szCs w:val="21"/>
          <w:shd w:val="pct10" w:color="auto" w:fill="FFFFFF"/>
        </w:rPr>
        <w:t>：</w:t>
      </w:r>
      <w:r>
        <w:rPr>
          <w:rFonts w:ascii="宋体" w:hAnsi="宋体" w:hint="eastAsia"/>
          <w:i/>
          <w:kern w:val="2"/>
          <w:sz w:val="21"/>
          <w:szCs w:val="21"/>
          <w:shd w:val="pct10" w:color="auto" w:fill="FFFFFF"/>
          <w:lang w:eastAsia="zh-CN"/>
        </w:rPr>
        <w:t>）</w:t>
      </w:r>
    </w:p>
    <w:p>
      <w:pPr>
        <w:pStyle w:val="NormalWeb"/>
        <w:widowControl/>
        <w:spacing w:beforeAutospacing="0" w:afterAutospacing="0" w:line="360" w:lineRule="auto"/>
        <w:ind w:firstLine="420" w:firstLineChars="200"/>
        <w:rPr>
          <w:rFonts w:ascii="宋体" w:hAnsi="宋体"/>
          <w:kern w:val="2"/>
          <w:sz w:val="21"/>
          <w:szCs w:val="21"/>
          <w:shd w:val="pct10" w:color="auto" w:fill="FFFFFF"/>
        </w:rPr>
      </w:pPr>
      <w:r>
        <w:rPr>
          <w:rFonts w:ascii="宋体" w:hAnsi="宋体" w:hint="eastAsia"/>
          <w:kern w:val="2"/>
          <w:sz w:val="21"/>
          <w:szCs w:val="21"/>
          <w:shd w:val="pct10" w:color="auto" w:fill="FFFFFF"/>
        </w:rPr>
        <w:t>甲乙双方签署合同后</w:t>
      </w:r>
      <w:r>
        <w:rPr>
          <w:rFonts w:ascii="宋体" w:hAnsi="宋体" w:hint="eastAsia"/>
          <w:kern w:val="2"/>
          <w:sz w:val="21"/>
          <w:szCs w:val="21"/>
          <w:u w:val="single"/>
          <w:shd w:val="pct10" w:color="auto" w:fill="FFFFFF"/>
        </w:rPr>
        <w:t>10</w:t>
      </w:r>
      <w:r>
        <w:rPr>
          <w:rFonts w:ascii="宋体" w:hAnsi="宋体" w:hint="eastAsia"/>
          <w:kern w:val="2"/>
          <w:sz w:val="21"/>
          <w:szCs w:val="21"/>
          <w:shd w:val="pct10" w:color="auto" w:fill="FFFFFF"/>
        </w:rPr>
        <w:t>个工作日内，乙方向甲方提供合同总金额</w:t>
      </w:r>
      <w:r>
        <w:rPr>
          <w:rFonts w:ascii="宋体" w:hAnsi="宋体" w:hint="eastAsia"/>
          <w:kern w:val="2"/>
          <w:sz w:val="21"/>
          <w:szCs w:val="21"/>
          <w:u w:val="single"/>
          <w:shd w:val="pct10" w:color="auto" w:fill="FFFFFF"/>
        </w:rPr>
        <w:t xml:space="preserve">30% </w:t>
      </w:r>
      <w:r>
        <w:rPr>
          <w:rFonts w:ascii="宋体" w:hAnsi="宋体" w:hint="eastAsia"/>
          <w:kern w:val="2"/>
          <w:sz w:val="21"/>
          <w:szCs w:val="21"/>
          <w:shd w:val="pct10" w:color="auto" w:fill="FFFFFF"/>
        </w:rPr>
        <w:t>的预付款保函，即人民币：</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元(大写)：</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 xml:space="preserve"> 元（小写），有效期截止</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年</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月</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日。甲方收到乙方提供的预付款保函后</w:t>
      </w:r>
      <w:r>
        <w:rPr>
          <w:rFonts w:ascii="宋体" w:hAnsi="宋体" w:hint="eastAsia"/>
          <w:kern w:val="2"/>
          <w:sz w:val="21"/>
          <w:szCs w:val="21"/>
          <w:u w:val="single"/>
          <w:shd w:val="pct10" w:color="auto" w:fill="FFFFFF"/>
        </w:rPr>
        <w:t xml:space="preserve"> 10</w:t>
      </w:r>
      <w:r>
        <w:rPr>
          <w:rFonts w:ascii="宋体" w:hAnsi="宋体" w:hint="eastAsia"/>
          <w:sz w:val="21"/>
          <w:szCs w:val="21"/>
          <w:shd w:val="pct10" w:color="auto" w:fill="FFFFFF"/>
        </w:rPr>
        <w:t>个工作日内，</w:t>
      </w:r>
      <w:r>
        <w:rPr>
          <w:rFonts w:ascii="宋体" w:hAnsi="宋体" w:hint="eastAsia"/>
          <w:kern w:val="2"/>
          <w:sz w:val="21"/>
          <w:szCs w:val="21"/>
          <w:shd w:val="pct10" w:color="auto" w:fill="FFFFFF"/>
        </w:rPr>
        <w:t>向乙方支付合同总金额的</w:t>
      </w:r>
      <w:r>
        <w:rPr>
          <w:rFonts w:ascii="宋体" w:hAnsi="宋体" w:hint="eastAsia"/>
          <w:kern w:val="2"/>
          <w:sz w:val="21"/>
          <w:szCs w:val="21"/>
          <w:u w:val="single"/>
          <w:shd w:val="pct10" w:color="auto" w:fill="FFFFFF"/>
        </w:rPr>
        <w:t>100%</w:t>
      </w:r>
      <w:r>
        <w:rPr>
          <w:rFonts w:ascii="宋体" w:hAnsi="宋体" w:hint="eastAsia"/>
          <w:kern w:val="2"/>
          <w:sz w:val="21"/>
          <w:szCs w:val="21"/>
          <w:shd w:val="pct10" w:color="auto" w:fill="FFFFFF"/>
        </w:rPr>
        <w:t>，即人民币</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元(大写)：</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元（小写）。甲方组织完成本服务合同履约情况评审且评审通过后，将退还乙方前述预付款保函；同时乙方向甲方提供合同总金额</w:t>
      </w:r>
      <w:r>
        <w:rPr>
          <w:rFonts w:ascii="宋体" w:hAnsi="宋体" w:hint="eastAsia"/>
          <w:kern w:val="2"/>
          <w:sz w:val="21"/>
          <w:szCs w:val="21"/>
          <w:u w:val="single"/>
          <w:shd w:val="pct10" w:color="auto" w:fill="FFFFFF"/>
        </w:rPr>
        <w:t>10%</w:t>
      </w:r>
      <w:r>
        <w:rPr>
          <w:rFonts w:ascii="宋体" w:hAnsi="宋体" w:hint="eastAsia"/>
          <w:kern w:val="2"/>
          <w:sz w:val="21"/>
          <w:szCs w:val="21"/>
          <w:shd w:val="pct10" w:color="auto" w:fill="FFFFFF"/>
        </w:rPr>
        <w:t>的履约保函，即人民币：</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元(大写)：</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 xml:space="preserve"> 元（小写），有效期截止</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年</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月</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日。</w:t>
      </w:r>
    </w:p>
    <w:p>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3、项目终验合格且收到终验合格证明</w:t>
      </w:r>
      <w:r>
        <w:rPr>
          <w:rFonts w:ascii="宋体" w:hAnsi="宋体" w:hint="eastAsia"/>
          <w:kern w:val="2"/>
          <w:sz w:val="21"/>
          <w:szCs w:val="21"/>
          <w:u w:val="single"/>
        </w:rPr>
        <w:t>10</w:t>
      </w:r>
      <w:r>
        <w:rPr>
          <w:rFonts w:ascii="宋体" w:hAnsi="宋体" w:hint="eastAsia"/>
          <w:sz w:val="21"/>
          <w:szCs w:val="21"/>
        </w:rPr>
        <w:t>个工作</w:t>
      </w:r>
      <w:r>
        <w:rPr>
          <w:rFonts w:ascii="宋体" w:hAnsi="宋体" w:hint="eastAsia"/>
          <w:kern w:val="2"/>
          <w:sz w:val="21"/>
          <w:szCs w:val="21"/>
        </w:rPr>
        <w:t>日内，甲方退还乙方履约保函。</w:t>
      </w:r>
    </w:p>
    <w:p>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4、本合同价格包括服务产品金额，是在项目交付前、交付时所发生或引起的本合同相关的全部成本、费用等，且为完税后价格。</w:t>
      </w:r>
    </w:p>
    <w:p>
      <w:pPr>
        <w:tabs>
          <w:tab w:val="left" w:pos="1573"/>
        </w:tabs>
        <w:adjustRightInd w:val="0"/>
        <w:snapToGrid w:val="0"/>
        <w:spacing w:line="360" w:lineRule="auto"/>
        <w:ind w:firstLine="420" w:firstLineChars="200"/>
        <w:rPr>
          <w:rFonts w:asciiTheme="minorHAnsi" w:hAnsiTheme="minorHAnsi"/>
          <w:szCs w:val="21"/>
        </w:rPr>
      </w:pPr>
      <w:r>
        <w:rPr>
          <w:rFonts w:asciiTheme="minorEastAsia" w:eastAsiaTheme="minorEastAsia" w:hAnsiTheme="minorEastAsia" w:hint="eastAsia"/>
          <w:szCs w:val="21"/>
        </w:rPr>
        <w:t>5、</w:t>
      </w:r>
      <w:r>
        <w:rPr>
          <w:rFonts w:asciiTheme="minorHAnsi" w:hAnsiTheme="minorHAnsi" w:hint="eastAsia"/>
          <w:szCs w:val="21"/>
        </w:rPr>
        <w:t>如付款条件满足，但项目资金未完全下达，则付款时间延后为资金下</w:t>
      </w:r>
      <w:r>
        <w:rPr>
          <w:rFonts w:asciiTheme="minorEastAsia" w:eastAsiaTheme="minorEastAsia" w:hAnsiTheme="minorEastAsia" w:hint="eastAsia"/>
          <w:szCs w:val="21"/>
        </w:rPr>
        <w:t>达后</w:t>
      </w:r>
      <w:r>
        <w:rPr>
          <w:rFonts w:asciiTheme="minorEastAsia" w:eastAsiaTheme="minorEastAsia" w:hAnsiTheme="minorEastAsia" w:hint="eastAsia"/>
          <w:szCs w:val="21"/>
          <w:u w:val="single"/>
        </w:rPr>
        <w:t xml:space="preserve"> 15</w:t>
      </w:r>
      <w:r>
        <w:rPr>
          <w:rFonts w:asciiTheme="minorEastAsia" w:eastAsiaTheme="minorEastAsia" w:hAnsiTheme="minorEastAsia" w:hint="eastAsia"/>
          <w:szCs w:val="21"/>
        </w:rPr>
        <w:t>个工</w:t>
      </w:r>
      <w:r>
        <w:rPr>
          <w:rFonts w:asciiTheme="minorHAnsi" w:hAnsiTheme="minorHAnsi" w:hint="eastAsia"/>
          <w:szCs w:val="21"/>
        </w:rPr>
        <w:t>作日内。</w:t>
      </w:r>
    </w:p>
    <w:bookmarkEnd w:id="71"/>
    <w:bookmarkEnd w:id="72"/>
    <w:p>
      <w:pPr>
        <w:pStyle w:val="NormalIndent"/>
        <w:adjustRightInd w:val="0"/>
        <w:snapToGrid w:val="0"/>
        <w:spacing w:line="360" w:lineRule="auto"/>
        <w:outlineLvl w:val="0"/>
        <w:rPr>
          <w:rFonts w:ascii="宋体" w:hAnsi="宋体"/>
          <w:b/>
          <w:szCs w:val="21"/>
        </w:rPr>
      </w:pPr>
      <w:bookmarkStart w:id="90" w:name="_Toc86202596"/>
      <w:r>
        <w:rPr>
          <w:rFonts w:ascii="宋体" w:hAnsi="宋体" w:hint="eastAsia"/>
          <w:b/>
          <w:szCs w:val="21"/>
        </w:rPr>
        <w:t>六、支付和结算方式</w:t>
      </w:r>
      <w:bookmarkEnd w:id="90"/>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w:t>
      </w:r>
      <w:bookmarkStart w:id="91" w:name="OLE_LINK12"/>
      <w:bookmarkStart w:id="92" w:name="OLE_LINK11"/>
      <w:r>
        <w:rPr>
          <w:rFonts w:ascii="宋体" w:hAnsi="宋体" w:hint="eastAsia"/>
          <w:szCs w:val="21"/>
        </w:rPr>
        <w:t>账</w:t>
      </w:r>
      <w:bookmarkEnd w:id="91"/>
      <w:bookmarkEnd w:id="92"/>
      <w:r>
        <w:rPr>
          <w:rFonts w:ascii="宋体" w:hAnsi="宋体" w:hint="eastAsia"/>
          <w:szCs w:val="21"/>
        </w:rPr>
        <w:t>户名称、开户银行及账号以本合同提供的为准。</w:t>
      </w:r>
    </w:p>
    <w:p>
      <w:pPr>
        <w:tabs>
          <w:tab w:val="left" w:pos="1573"/>
        </w:tabs>
        <w:adjustRightInd w:val="0"/>
        <w:snapToGrid w:val="0"/>
        <w:spacing w:line="360" w:lineRule="auto"/>
        <w:ind w:firstLine="420" w:firstLineChars="200"/>
        <w:rPr>
          <w:rFonts w:ascii="宋体" w:hAnsi="宋体"/>
          <w:szCs w:val="21"/>
        </w:rPr>
      </w:pPr>
      <w:bookmarkStart w:id="93" w:name="_Toc86202597"/>
      <w:r>
        <w:rPr>
          <w:rFonts w:ascii="宋体" w:hAnsi="宋体"/>
          <w:szCs w:val="21"/>
        </w:rPr>
        <w:t>3</w:t>
      </w:r>
      <w:r>
        <w:rPr>
          <w:rFonts w:ascii="宋体" w:hAnsi="宋体" w:hint="eastAsia"/>
          <w:szCs w:val="21"/>
        </w:rPr>
        <w:t>、乙方在收到甲方每一笔付款的同时，应向甲方开具相应金额的商业发票。</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、甲方可对乙方的组织实施工作进行检查。</w:t>
      </w:r>
    </w:p>
    <w:p>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、甲方如对乙方工作有任何异议，应于服务产品提交后15日内以书面形式向乙方提出，对经乙方确认的异议，乙方应根据行业要求做出合理处理。逾期未提出书面异议，视同无异议。</w:t>
      </w:r>
    </w:p>
    <w:p>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pPr>
        <w:adjustRightInd w:val="0"/>
        <w:snapToGrid w:val="0"/>
        <w:spacing w:line="360" w:lineRule="auto"/>
        <w:ind w:firstLine="420" w:firstLineChars="200"/>
        <w:rPr>
          <w:rFonts w:ascii="宋体" w:hAnsi="宋体"/>
          <w:szCs w:val="21"/>
        </w:rPr>
      </w:pPr>
      <w:r>
        <w:rPr>
          <w:rFonts w:ascii="宋体" w:hAnsi="宋体" w:hint="eastAsia"/>
          <w:szCs w:val="21"/>
        </w:rPr>
        <w:t>4.……</w:t>
      </w:r>
    </w:p>
    <w:p>
      <w:pPr>
        <w:adjustRightInd w:val="0"/>
        <w:snapToGrid w:val="0"/>
        <w:spacing w:line="360" w:lineRule="auto"/>
        <w:ind w:firstLine="420" w:firstLineChars="200"/>
        <w:rPr>
          <w:rFonts w:ascii="宋体" w:hAnsi="宋体"/>
          <w:szCs w:val="21"/>
        </w:rPr>
      </w:pP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pPr>
        <w:adjustRightInd w:val="0"/>
        <w:snapToGrid w:val="0"/>
        <w:spacing w:line="360" w:lineRule="auto"/>
        <w:ind w:firstLine="420" w:firstLineChars="200"/>
        <w:rPr>
          <w:rFonts w:ascii="宋体" w:hAnsi="宋体"/>
          <w:szCs w:val="21"/>
        </w:rPr>
      </w:pPr>
      <w:r>
        <w:rPr>
          <w:rFonts w:ascii="宋体" w:hAnsi="宋体" w:hint="eastAsia"/>
          <w:szCs w:val="21"/>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九、质量标准和检验方式</w:t>
      </w:r>
    </w:p>
    <w:p>
      <w:pPr>
        <w:pStyle w:val="NormalIndent"/>
        <w:numPr>
          <w:ilvl w:val="6"/>
          <w:numId w:val="0"/>
        </w:numPr>
        <w:adjustRightInd w:val="0"/>
        <w:snapToGrid w:val="0"/>
        <w:spacing w:line="360" w:lineRule="auto"/>
        <w:ind w:firstLine="420" w:firstLineChars="200"/>
        <w:rPr>
          <w:rFonts w:ascii="宋体" w:hAnsi="宋体"/>
          <w:szCs w:val="21"/>
          <w:lang w:val="en-US"/>
        </w:rPr>
      </w:pPr>
    </w:p>
    <w:p>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甲方提供该乙方履行合同所需的资料清单如下</w:t>
      </w:r>
      <w:r>
        <w:rPr>
          <w:rFonts w:ascii="宋体" w:hAnsi="宋体"/>
          <w:szCs w:val="21"/>
        </w:rPr>
        <w:t>：</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hint="eastAsia"/>
          <w:szCs w:val="21"/>
        </w:rPr>
        <w:t>1）</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2</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3</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4</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bookmarkEnd w:id="93"/>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3、服务期：</w:t>
      </w:r>
      <w:r>
        <w:rPr>
          <w:rFonts w:ascii="宋体" w:hAnsi="宋体" w:hint="eastAsia"/>
          <w:szCs w:val="21"/>
          <w:u w:val="single"/>
        </w:rPr>
        <w:tab/>
      </w:r>
      <w:r>
        <w:rPr>
          <w:rFonts w:ascii="宋体" w:hAnsi="宋体"/>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4、其他约定事项：</w:t>
      </w:r>
      <w:r>
        <w:rPr>
          <w:rFonts w:ascii="宋体" w:hAnsi="宋体" w:hint="eastAsia"/>
          <w:szCs w:val="21"/>
          <w:u w:val="single"/>
        </w:rPr>
        <w:t xml:space="preserve">     </w:t>
      </w: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十三、</w:t>
      </w:r>
      <w:bookmarkStart w:id="94" w:name="_Toc86202602"/>
      <w:r>
        <w:rPr>
          <w:rFonts w:ascii="宋体" w:hAnsi="宋体" w:hint="eastAsia"/>
          <w:b/>
          <w:szCs w:val="21"/>
        </w:rPr>
        <w:t>预付款保函及履约保函</w:t>
      </w:r>
    </w:p>
    <w:p>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pPr>
        <w:pStyle w:val="NormalIndent"/>
        <w:adjustRightInd w:val="0"/>
        <w:snapToGrid w:val="0"/>
        <w:spacing w:line="360" w:lineRule="auto"/>
        <w:outlineLvl w:val="0"/>
        <w:rPr>
          <w:rFonts w:ascii="宋体" w:hAnsi="宋体"/>
          <w:b/>
          <w:szCs w:val="21"/>
        </w:rPr>
      </w:pPr>
      <w:r>
        <w:rPr>
          <w:rFonts w:ascii="宋体" w:hAnsi="宋体" w:hint="eastAsia"/>
          <w:b/>
          <w:szCs w:val="21"/>
        </w:rPr>
        <w:t>十四、审计及检查</w:t>
      </w:r>
    </w:p>
    <w:p>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十五、违约责任</w:t>
      </w:r>
      <w:bookmarkEnd w:id="94"/>
    </w:p>
    <w:p>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hAnsi="宋体"/>
          <w:szCs w:val="21"/>
        </w:rPr>
      </w:pPr>
      <w:r>
        <w:rPr>
          <w:rFonts w:ascii="宋体" w:hAnsi="宋体" w:hint="eastAsia"/>
          <w:szCs w:val="21"/>
        </w:rPr>
        <w:t>4、延期交付或延期付款的违约责任：如乙方延期交付或甲方延期付款，每逾期一天，违约方应按延期交货所折合的金额</w:t>
      </w:r>
      <w:r>
        <w:rPr>
          <w:rFonts w:ascii="宋体" w:hAnsi="宋体" w:hint="eastAsia"/>
          <w:szCs w:val="21"/>
          <w:u w:val="single"/>
        </w:rPr>
        <w:t xml:space="preserve">    </w:t>
      </w:r>
      <w:r>
        <w:rPr>
          <w:rFonts w:ascii="宋体" w:hAnsi="宋体" w:hint="eastAsia"/>
          <w:szCs w:val="21"/>
        </w:rPr>
        <w:t>%或延期付款金额每天</w:t>
      </w:r>
      <w:r>
        <w:rPr>
          <w:rFonts w:ascii="宋体" w:hAnsi="宋体"/>
          <w:szCs w:val="21"/>
          <w:u w:val="single"/>
        </w:rPr>
        <w:t xml:space="preserve">       </w:t>
      </w:r>
      <w:r>
        <w:rPr>
          <w:rFonts w:ascii="宋体" w:hAnsi="宋体" w:hint="eastAsia"/>
          <w:szCs w:val="21"/>
        </w:rPr>
        <w:t>‰ 的比例向对方支付违约金。上述逾期超过</w:t>
      </w:r>
      <w:r>
        <w:rPr>
          <w:rFonts w:ascii="宋体" w:hAnsi="宋体" w:hint="eastAsia"/>
          <w:szCs w:val="21"/>
          <w:u w:val="single"/>
        </w:rPr>
        <w:t xml:space="preserve">      天</w:t>
      </w:r>
      <w:r>
        <w:rPr>
          <w:rFonts w:ascii="宋体" w:hAnsi="宋体" w:hint="eastAsia"/>
          <w:szCs w:val="21"/>
        </w:rPr>
        <w:t>，守约方有权解除合同，违约方应按本合同总金额的20%向守约方支付违约金，如违约金不足以弥补损失的，应赔偿由此造成的所有损失。</w:t>
      </w:r>
    </w:p>
    <w:p>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bookmarkStart w:id="95" w:name="_Toc86202603"/>
    </w:p>
    <w:p>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2）未经甲方许可使用项目资料的；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95"/>
    <w:p>
      <w:pPr>
        <w:pStyle w:val="NormalIndent"/>
        <w:adjustRightInd w:val="0"/>
        <w:snapToGrid w:val="0"/>
        <w:spacing w:line="360" w:lineRule="auto"/>
        <w:outlineLvl w:val="0"/>
        <w:rPr>
          <w:rFonts w:ascii="宋体" w:hAnsi="宋体"/>
          <w:b/>
          <w:szCs w:val="21"/>
        </w:rPr>
      </w:pPr>
      <w:r>
        <w:rPr>
          <w:rFonts w:ascii="宋体" w:hAnsi="宋体" w:hint="eastAsia"/>
          <w:b/>
          <w:szCs w:val="21"/>
        </w:rPr>
        <w:t>十六、</w:t>
      </w:r>
      <w:bookmarkStart w:id="96" w:name="_Toc86202604"/>
      <w:r>
        <w:rPr>
          <w:rFonts w:ascii="宋体" w:hAnsi="宋体" w:hint="eastAsia"/>
          <w:b/>
          <w:szCs w:val="21"/>
        </w:rPr>
        <w:t>联系方式</w:t>
      </w:r>
      <w:bookmarkEnd w:id="96"/>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r>
        <w:rPr>
          <w:rFonts w:ascii="宋体" w:hAnsi="宋体" w:hint="eastAsia"/>
          <w:szCs w:val="21"/>
        </w:rPr>
        <w:t xml:space="preserve">            </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pPr>
        <w:pStyle w:val="NormalIndent"/>
        <w:adjustRightInd w:val="0"/>
        <w:snapToGrid w:val="0"/>
        <w:spacing w:line="360" w:lineRule="auto"/>
        <w:outlineLvl w:val="0"/>
        <w:rPr>
          <w:rFonts w:ascii="宋体" w:hAnsi="宋体"/>
          <w:b/>
          <w:szCs w:val="21"/>
        </w:rPr>
      </w:pPr>
      <w:bookmarkStart w:id="97" w:name="_Toc86202606"/>
      <w:r>
        <w:rPr>
          <w:rFonts w:ascii="宋体" w:hAnsi="宋体" w:hint="eastAsia"/>
          <w:b/>
          <w:szCs w:val="21"/>
        </w:rPr>
        <w:t>十七、保密条款</w:t>
      </w:r>
    </w:p>
    <w:p>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firstLine="420" w:firstLineChars="200"/>
        <w:rPr>
          <w:rFonts w:ascii="宋体" w:hAnsi="宋体"/>
          <w:szCs w:val="21"/>
        </w:rPr>
      </w:pPr>
      <w:r>
        <w:rPr>
          <w:rFonts w:ascii="宋体" w:hAnsi="宋体"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pPr>
        <w:pStyle w:val="NormalIndent"/>
        <w:adjustRightInd w:val="0"/>
        <w:snapToGrid w:val="0"/>
        <w:spacing w:line="360" w:lineRule="auto"/>
        <w:outlineLvl w:val="0"/>
        <w:rPr>
          <w:rFonts w:ascii="宋体" w:hAnsi="宋体"/>
          <w:b/>
          <w:szCs w:val="21"/>
        </w:rPr>
      </w:pPr>
      <w:r>
        <w:rPr>
          <w:rFonts w:ascii="宋体" w:hAnsi="宋体" w:hint="eastAsia"/>
          <w:b/>
          <w:szCs w:val="21"/>
        </w:rPr>
        <w:t>十八、合同的解释和法律适用</w:t>
      </w:r>
      <w:bookmarkEnd w:id="97"/>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pPr>
        <w:pStyle w:val="NormalIndent"/>
        <w:adjustRightInd w:val="0"/>
        <w:snapToGrid w:val="0"/>
        <w:spacing w:line="360" w:lineRule="auto"/>
        <w:outlineLvl w:val="0"/>
        <w:rPr>
          <w:rFonts w:ascii="宋体" w:hAnsi="宋体"/>
          <w:b/>
          <w:szCs w:val="21"/>
        </w:rPr>
      </w:pPr>
      <w:bookmarkStart w:id="98" w:name="_Toc86202608"/>
      <w:r>
        <w:rPr>
          <w:rFonts w:ascii="宋体" w:hAnsi="宋体" w:hint="eastAsia"/>
          <w:b/>
          <w:szCs w:val="21"/>
        </w:rPr>
        <w:t>十九、权利的保留</w:t>
      </w:r>
      <w:bookmarkEnd w:id="98"/>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二十、不可抗力</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二十一、</w:t>
      </w:r>
      <w:bookmarkStart w:id="99" w:name="_Toc86202609"/>
      <w:r>
        <w:rPr>
          <w:rFonts w:ascii="宋体" w:hAnsi="宋体" w:hint="eastAsia"/>
          <w:b/>
          <w:szCs w:val="21"/>
        </w:rPr>
        <w:t>争议的解决</w:t>
      </w:r>
      <w:bookmarkEnd w:id="99"/>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pPr>
        <w:pStyle w:val="NormalIndent"/>
        <w:adjustRightInd w:val="0"/>
        <w:snapToGrid w:val="0"/>
        <w:spacing w:line="360" w:lineRule="auto"/>
        <w:outlineLvl w:val="0"/>
        <w:rPr>
          <w:rFonts w:ascii="宋体" w:hAnsi="宋体"/>
          <w:b/>
          <w:szCs w:val="21"/>
        </w:rPr>
      </w:pPr>
      <w:bookmarkStart w:id="100" w:name="_Toc86202611"/>
      <w:r>
        <w:rPr>
          <w:rFonts w:ascii="宋体" w:hAnsi="宋体" w:hint="eastAsia"/>
          <w:b/>
          <w:szCs w:val="21"/>
        </w:rPr>
        <w:t>二十二、合同的补充、修改和变更</w:t>
      </w:r>
    </w:p>
    <w:p>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firstLine="424" w:firstLineChars="202"/>
        <w:rPr>
          <w:rFonts w:ascii="宋体" w:hAnsi="宋体"/>
          <w:szCs w:val="21"/>
        </w:rPr>
      </w:pPr>
      <w:r>
        <w:rPr>
          <w:rFonts w:ascii="宋体" w:hAnsi="宋体" w:hint="eastAsia"/>
          <w:szCs w:val="21"/>
        </w:rPr>
        <w:t>7、任何对合同条件的变更或修改均须双方签订书面的修改书，并由乙方自签订补充合同之日起五日内报采购中心备案。</w:t>
      </w:r>
    </w:p>
    <w:p>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二十三、转包与分包</w:t>
      </w:r>
    </w:p>
    <w:p>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pPr>
        <w:pStyle w:val="NormalIndent"/>
        <w:adjustRightInd w:val="0"/>
        <w:snapToGrid w:val="0"/>
        <w:spacing w:line="360" w:lineRule="auto"/>
        <w:outlineLvl w:val="0"/>
        <w:rPr>
          <w:rFonts w:ascii="宋体" w:hAnsi="宋体"/>
          <w:b/>
          <w:szCs w:val="21"/>
        </w:rPr>
      </w:pPr>
      <w:bookmarkStart w:id="101" w:name="_Toc86202607"/>
      <w:r>
        <w:rPr>
          <w:rFonts w:ascii="宋体" w:hAnsi="宋体" w:hint="eastAsia"/>
          <w:b/>
          <w:szCs w:val="21"/>
        </w:rPr>
        <w:t>二十四、合同的终止</w:t>
      </w:r>
      <w:bookmarkEnd w:id="101"/>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二十五、合同的生效</w:t>
      </w:r>
      <w:bookmarkEnd w:id="100"/>
    </w:p>
    <w:p>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二十六、</w:t>
      </w:r>
      <w:bookmarkStart w:id="102" w:name="_Toc86202612"/>
      <w:r>
        <w:rPr>
          <w:rFonts w:ascii="宋体" w:hAnsi="宋体" w:hint="eastAsia"/>
          <w:b/>
          <w:szCs w:val="21"/>
        </w:rPr>
        <w:t>其它约定事项</w:t>
      </w:r>
      <w:bookmarkEnd w:id="102"/>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（1）合同服务产品清单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、本合同正本一式四份，甲、乙双方各执两份，每份正本具有同等法律效力，副本报财政部备案。</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 xml:space="preserve">、双方约定本合同其他相关事项为：               </w:t>
      </w:r>
    </w:p>
    <w:p>
      <w:pPr>
        <w:tabs>
          <w:tab w:val="left" w:pos="1573"/>
        </w:tabs>
        <w:adjustRightInd w:val="0"/>
        <w:snapToGrid w:val="0"/>
        <w:spacing w:line="360" w:lineRule="auto"/>
        <w:ind w:firstLine="420" w:firstLineChars="200"/>
        <w:rPr>
          <w:rFonts w:ascii="宋体" w:hAnsi="宋体"/>
          <w:szCs w:val="21"/>
        </w:rPr>
      </w:pPr>
    </w:p>
    <w:p>
      <w:pPr>
        <w:snapToGrid w:val="0"/>
        <w:spacing w:line="360" w:lineRule="auto"/>
        <w:rPr>
          <w:rFonts w:ascii="宋体" w:hAnsi="宋体"/>
          <w:szCs w:val="21"/>
        </w:rPr>
      </w:pPr>
    </w:p>
    <w:p>
      <w:pPr>
        <w:snapToGrid w:val="0"/>
        <w:spacing w:line="360" w:lineRule="auto"/>
        <w:ind w:firstLine="309" w:firstLineChars="147"/>
        <w:rPr>
          <w:rFonts w:ascii="宋体" w:hAnsi="宋体"/>
          <w:b/>
          <w:szCs w:val="21"/>
        </w:rPr>
      </w:pPr>
      <w:bookmarkStart w:id="103" w:name="OLE_LINK9"/>
      <w:bookmarkStart w:id="104" w:name="OLE_LINK10"/>
      <w:r>
        <w:rPr>
          <w:rFonts w:ascii="宋体" w:hAnsi="宋体" w:hint="eastAsia"/>
          <w:b/>
          <w:szCs w:val="21"/>
        </w:rPr>
        <w:t>甲方：                                   乙方：</w:t>
      </w:r>
    </w:p>
    <w:p>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pPr>
        <w:snapToGrid w:val="0"/>
        <w:spacing w:line="360" w:lineRule="auto"/>
        <w:ind w:firstLine="309" w:firstLineChars="147"/>
        <w:rPr>
          <w:rFonts w:ascii="宋体" w:hAnsi="宋体"/>
          <w:b/>
          <w:szCs w:val="21"/>
        </w:rPr>
      </w:pPr>
      <w:r>
        <w:rPr>
          <w:rFonts w:ascii="宋体" w:hAnsi="宋体" w:hint="eastAsia"/>
          <w:b/>
          <w:szCs w:val="21"/>
        </w:rPr>
        <w:t>法定代表人</w:t>
      </w:r>
      <w:bookmarkStart w:id="105" w:name="OLE_LINK4"/>
      <w:bookmarkStart w:id="106" w:name="OLE_LINK3"/>
      <w:r>
        <w:rPr>
          <w:rFonts w:ascii="宋体" w:hAnsi="宋体" w:hint="eastAsia"/>
          <w:b/>
          <w:szCs w:val="21"/>
        </w:rPr>
        <w:t>/授权代表</w:t>
      </w:r>
      <w:bookmarkEnd w:id="105"/>
      <w:bookmarkEnd w:id="106"/>
      <w:r>
        <w:rPr>
          <w:rFonts w:ascii="宋体" w:hAnsi="宋体" w:hint="eastAsia"/>
          <w:b/>
          <w:szCs w:val="21"/>
        </w:rPr>
        <w:t>：                    法定代表人/授权代表：</w:t>
      </w:r>
    </w:p>
    <w:p>
      <w:pPr>
        <w:snapToGrid w:val="0"/>
        <w:spacing w:line="360" w:lineRule="auto"/>
        <w:ind w:firstLine="309" w:firstLineChars="147"/>
        <w:rPr>
          <w:rFonts w:ascii="宋体" w:hAnsi="宋体"/>
          <w:b/>
          <w:szCs w:val="21"/>
        </w:rPr>
      </w:pPr>
      <w:r>
        <w:rPr>
          <w:rFonts w:ascii="宋体" w:hAnsi="宋体" w:hint="eastAsia"/>
          <w:b/>
          <w:szCs w:val="21"/>
        </w:rPr>
        <w:t>经办人：                                 经办人：</w:t>
      </w:r>
    </w:p>
    <w:p>
      <w:pPr>
        <w:snapToGrid w:val="0"/>
        <w:spacing w:line="360" w:lineRule="auto"/>
        <w:ind w:firstLine="309" w:firstLineChars="147"/>
        <w:rPr>
          <w:rFonts w:ascii="宋体" w:hAnsi="宋体"/>
          <w:b/>
          <w:szCs w:val="21"/>
        </w:rPr>
      </w:pPr>
      <w:r>
        <w:rPr>
          <w:rFonts w:ascii="宋体" w:hAnsi="宋体" w:hint="eastAsia"/>
          <w:b/>
          <w:szCs w:val="21"/>
        </w:rPr>
        <w:t>签约日期：                               签约日期：</w:t>
      </w:r>
      <w:bookmarkEnd w:id="103"/>
      <w:bookmarkEnd w:id="104"/>
    </w:p>
    <w:p>
      <w:pPr>
        <w:snapToGrid w:val="0"/>
        <w:spacing w:line="360" w:lineRule="auto"/>
        <w:rPr>
          <w:b/>
          <w:sz w:val="28"/>
          <w:szCs w:val="28"/>
        </w:rPr>
      </w:pPr>
      <w:r>
        <w:rPr>
          <w:rFonts w:hint="eastAsia"/>
          <w:b/>
          <w:sz w:val="28"/>
          <w:szCs w:val="28"/>
        </w:rPr>
        <w:t xml:space="preserve">   </w:t>
      </w:r>
    </w:p>
    <w:p>
      <w:pPr>
        <w:tabs>
          <w:tab w:val="left" w:pos="1573"/>
        </w:tabs>
        <w:adjustRightInd w:val="0"/>
        <w:snapToGrid w:val="0"/>
        <w:spacing w:line="360" w:lineRule="auto"/>
        <w:ind w:firstLine="420" w:firstLineChars="200"/>
        <w:rPr>
          <w:rFonts w:ascii="宋体" w:hAnsi="宋体"/>
          <w:szCs w:val="21"/>
        </w:rPr>
      </w:pPr>
    </w:p>
    <w:p>
      <w:pPr>
        <w:adjustRightInd w:val="0"/>
        <w:snapToGrid w:val="0"/>
        <w:spacing w:line="360" w:lineRule="auto"/>
        <w:ind w:firstLine="420" w:firstLineChars="200"/>
        <w:rPr>
          <w:szCs w:val="21"/>
        </w:rPr>
      </w:pPr>
      <w:r>
        <w:rPr>
          <w:rFonts w:hint="eastAsia"/>
          <w:szCs w:val="21"/>
        </w:rPr>
        <w:t xml:space="preserve">                            </w:t>
      </w: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rPr>
          <w:rFonts w:ascii="黑体" w:eastAsia="黑体" w:hAnsi="黑体" w:cs="黑体" w:hint="eastAsia"/>
          <w:sz w:val="32"/>
          <w:szCs w:val="32"/>
        </w:rPr>
      </w:pPr>
      <w:r>
        <w:rPr>
          <w:rFonts w:ascii="黑体" w:eastAsia="黑体" w:hAnsi="黑体" w:cs="黑体" w:hint="eastAsia"/>
          <w:sz w:val="32"/>
          <w:szCs w:val="32"/>
        </w:rPr>
        <w:br w:type="page"/>
      </w:r>
    </w:p>
    <w:p>
      <w:pPr>
        <w:pStyle w:val="10"/>
        <w:numPr>
          <w:ilvl w:val="0"/>
          <w:numId w:val="0"/>
        </w:numPr>
        <w:tabs>
          <w:tab w:val="left" w:pos="1573"/>
        </w:tabs>
        <w:adjustRightInd w:val="0"/>
        <w:snapToGrid w:val="0"/>
        <w:spacing w:line="560" w:lineRule="exact"/>
        <w:rPr>
          <w:rFonts w:ascii="黑体" w:eastAsia="黑体" w:hAnsi="黑体" w:cs="黑体"/>
          <w:sz w:val="32"/>
          <w:szCs w:val="32"/>
        </w:rPr>
      </w:pPr>
      <w:r>
        <w:rPr>
          <w:rFonts w:ascii="黑体" w:eastAsia="黑体" w:hAnsi="黑体" w:cs="黑体" w:hint="eastAsia"/>
          <w:sz w:val="32"/>
          <w:szCs w:val="32"/>
        </w:rPr>
        <w:t>附件</w:t>
      </w:r>
    </w:p>
    <w:p>
      <w:pPr>
        <w:snapToGrid w:val="0"/>
        <w:spacing w:line="560" w:lineRule="exact"/>
        <w:jc w:val="center"/>
        <w:rPr>
          <w:b/>
          <w:sz w:val="28"/>
          <w:szCs w:val="28"/>
        </w:rPr>
      </w:pPr>
    </w:p>
    <w:p>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  洁  协  议</w:t>
      </w:r>
    </w:p>
    <w:p>
      <w:pPr>
        <w:snapToGrid w:val="0"/>
        <w:spacing w:line="560" w:lineRule="exact"/>
        <w:rPr>
          <w:szCs w:val="21"/>
        </w:rPr>
      </w:pPr>
    </w:p>
    <w:p>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（二）甲方及其工作人员不得索要或接受乙方及其工作人员的钱物(现金、有价证券、信用卡、礼金、奖金、补贴、物品等)，不得在乙方报销任何应由甲方或个人支付的费用。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pPr>
        <w:numPr>
          <w:ilvl w:val="0"/>
          <w:numId w:val="10"/>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（二）乙方不得以任何理由向甲方、甲方工作人员及其关联亲属馈赠钱物(现金、有价证券、信用卡、礼金、奖金、补贴、物品等)。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（二）由甲/乙方及所属人员违规造成对方损失的，由双方依据实际情况协调赔偿方式。</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pPr>
        <w:widowControl/>
        <w:numPr>
          <w:ilvl w:val="0"/>
          <w:numId w:val="11"/>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1.甲方：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监督部门：国家气象信息中心纪委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 系 人：杨根录</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举报电话：010-68406214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举报邮箱：yanggl@cma.gov.cn</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2.乙方：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联 系 人：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举报邮箱：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3.对举报人的资料，双方应予以保密。</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pPr>
        <w:adjustRightInd w:val="0"/>
        <w:snapToGrid w:val="0"/>
        <w:spacing w:line="360" w:lineRule="auto"/>
        <w:ind w:firstLine="420" w:firstLineChars="200"/>
        <w:rPr>
          <w:szCs w:val="21"/>
        </w:rPr>
      </w:pPr>
    </w:p>
    <w:p w:rsidR="00A77B3E"/>
    <w:p>
      <w:pPr>
        <w:spacing w:line="360" w:lineRule="auto"/>
        <w:ind w:firstLine="3066" w:firstLineChars="1460"/>
        <w:jc w:val="left"/>
        <w:rPr>
          <w:b/>
          <w:bCs/>
          <w:szCs w:val="21"/>
          <w:highlight w:val="none"/>
        </w:rPr>
      </w:pPr>
      <w:bookmarkEnd w:id="68"/>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default"/>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altName w:val="黑体"/>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DejaVu Sans"/>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方正小标宋简体"/>
    <w:panose1 w:val="00000000000000000000"/>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anumGothic">
    <w:panose1 w:val="020D0604000000000000"/>
    <w:charset w:val="81"/>
    <w:family w:val="auto"/>
    <w:pitch w:val="default"/>
    <w:sig w:usb0="900002A7" w:usb1="29D7FCFB" w:usb2="00000010"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DEEE959"/>
    <w:multiLevelType w:val="singleLevel"/>
    <w:tmpl w:val="DDEEE959"/>
    <w:lvl w:ilvl="0">
      <w:start w:val="1"/>
      <w:numFmt w:val="decimal"/>
      <w:suff w:val="nothing"/>
      <w:lvlText w:val="（%1）"/>
      <w:lvlJc w:val="left"/>
    </w:lvl>
  </w:abstractNum>
  <w:abstractNum w:abstractNumId="1">
    <w:nsid w:val="F677FC82"/>
    <w:multiLevelType w:val="singleLevel"/>
    <w:tmpl w:val="F677FC82"/>
    <w:lvl w:ilvl="0">
      <w:start w:val="1"/>
      <w:numFmt w:val="bullet"/>
      <w:lvlText w:val=""/>
      <w:lvlJc w:val="left"/>
      <w:pPr>
        <w:ind w:left="420" w:hanging="420"/>
      </w:pPr>
      <w:rPr>
        <w:rFonts w:ascii="Wingdings" w:hAnsi="Wingdings" w:hint="default"/>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AA4E4C1"/>
    <w:multiLevelType w:val="singleLevel"/>
    <w:tmpl w:val="5AA4E4C1"/>
    <w:lvl w:ilvl="0">
      <w:start w:val="1"/>
      <w:numFmt w:val="chineseCounting"/>
      <w:suff w:val="nothing"/>
      <w:lvlText w:val="（%1）"/>
      <w:lvlJc w:val="left"/>
      <w:pPr>
        <w:ind w:left="0" w:firstLine="0"/>
      </w:pPr>
    </w:lvl>
  </w:abstractNum>
  <w:abstractNum w:abstractNumId="7">
    <w:nsid w:val="5FF24B22"/>
    <w:multiLevelType w:val="singleLevel"/>
    <w:tmpl w:val="5FF24B22"/>
    <w:lvl w:ilvl="0">
      <w:start w:val="1"/>
      <w:numFmt w:val="decimal"/>
      <w:suff w:val="nothing"/>
      <w:lvlText w:val="（%1）"/>
      <w:lvlJc w:val="left"/>
    </w:lvl>
  </w:abstractNum>
  <w:abstractNum w:abstractNumId="8">
    <w:nsid w:val="7A8FF37D"/>
    <w:multiLevelType w:val="singleLevel"/>
    <w:tmpl w:val="7A8FF37D"/>
    <w:lvl w:ilvl="0">
      <w:start w:val="1"/>
      <w:numFmt w:val="decimal"/>
      <w:lvlText w:val="(%1)"/>
      <w:lvlJc w:val="left"/>
      <w:pPr>
        <w:ind w:left="425" w:hanging="425"/>
      </w:pPr>
      <w:rPr>
        <w:rFonts w:hint="default"/>
      </w:rPr>
    </w:lvl>
  </w:abstractNum>
  <w:abstractNum w:abstractNumId="9">
    <w:nsid w:val="7DF7CD28"/>
    <w:multiLevelType w:val="singleLevel"/>
    <w:tmpl w:val="7DF7CD28"/>
    <w:lvl w:ilvl="0">
      <w:start w:val="1"/>
      <w:numFmt w:val="chineseCounting"/>
      <w:suff w:val="nothing"/>
      <w:lvlText w:val="（%1）"/>
      <w:lvlJc w:val="left"/>
      <w:pPr>
        <w:ind w:left="0" w:firstLine="0"/>
      </w:pPr>
    </w:lvl>
  </w:abstractNum>
  <w:abstractNum w:abstractNumId="10">
    <w:nsid w:val="7EB88DB4"/>
    <w:multiLevelType w:val="singleLevel"/>
    <w:tmpl w:val="7EB88DB4"/>
    <w:lvl w:ilvl="0">
      <w:start w:val="1"/>
      <w:numFmt w:val="bullet"/>
      <w:lvlText w:val=""/>
      <w:lvlJc w:val="left"/>
      <w:pPr>
        <w:ind w:left="420" w:hanging="420"/>
      </w:pPr>
      <w:rPr>
        <w:rFonts w:ascii="Wingdings" w:hAnsi="Wingdings" w:hint="default"/>
      </w:rPr>
    </w:lvl>
  </w:abstractNum>
  <w:abstractNum w:abstractNumId="11">
    <w:nsid w:val="7F7F48C5"/>
    <w:multiLevelType w:val="singleLevel"/>
    <w:tmpl w:val="7F7F48C5"/>
    <w:lvl w:ilvl="0">
      <w:start w:val="1"/>
      <w:numFmt w:val="decimal"/>
      <w:suff w:val="nothing"/>
      <w:lvlText w:val="（%1）"/>
      <w:lvlJc w:val="left"/>
    </w:lvl>
  </w:abstractNum>
  <w:num w:numId="1">
    <w:abstractNumId w:val="3"/>
  </w:num>
  <w:num w:numId="2">
    <w:abstractNumId w:val="2"/>
  </w:num>
  <w:num w:numId="3">
    <w:abstractNumId w:val="4"/>
  </w:num>
  <w:num w:numId="4">
    <w:abstractNumId w:val="8"/>
  </w:num>
  <w:num w:numId="5">
    <w:abstractNumId w:val="10"/>
  </w:num>
  <w:num w:numId="6">
    <w:abstractNumId w:val="11"/>
  </w:num>
  <w:num w:numId="7">
    <w:abstractNumId w:val="7"/>
  </w:num>
  <w:num w:numId="8">
    <w:abstractNumId w:val="0"/>
  </w:num>
  <w:num w:numId="9">
    <w:abstractNumId w:val="1"/>
  </w:num>
  <w:num w:numId="10">
    <w:abstractNumId w:val="9"/>
    <w:lvlOverride w:ilvl="0">
      <w:startOverride w:val="1"/>
    </w:lvlOverride>
  </w:num>
  <w:num w:numId="11">
    <w:abstractNumId w:val="6"/>
    <w:lvlOverride w:ilvl="0">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link w:val="Char12"/>
    <w:qFormat/>
    <w:pPr>
      <w:ind w:firstLine="420"/>
    </w:pPr>
    <w:rPr>
      <w:lang w:val="zh-CN"/>
    </w:rPr>
  </w:style>
  <w:style w:type="character" w:customStyle="1" w:styleId="Char12">
    <w:name w:val="正文缩进 Char"/>
    <w:link w:val="NormalIndent"/>
    <w:qFormat/>
    <w:rPr>
      <w:lang w:val="zh-CN" w:eastAsia="zh-CN"/>
    </w:rPr>
  </w:style>
  <w:style w:type="paragraph" w:customStyle="1" w:styleId="20">
    <w:name w:val="正文字缩2字"/>
    <w:basedOn w:val="Normal"/>
    <w:link w:val="2Char"/>
    <w:qFormat/>
    <w:pPr>
      <w:spacing w:before="60" w:after="60" w:line="360" w:lineRule="auto"/>
      <w:ind w:left="200" w:firstLine="200" w:leftChars="200" w:firstLineChars="200"/>
    </w:pPr>
    <w:rPr>
      <w:sz w:val="24"/>
      <w:szCs w:val="24"/>
      <w:lang w:val="zh-CN"/>
    </w:rPr>
  </w:style>
  <w:style w:type="character" w:customStyle="1" w:styleId="2Char">
    <w:name w:val="正文字缩2字 Char"/>
    <w:link w:val="20"/>
    <w:qFormat/>
    <w:rPr>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