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福建省人工影响天气水资源保障工程之漳州分项目（一期）</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ZQCD-25415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福建省漳州市气象局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福建省人工影响天气水资源保障工程之漳州分项目（一期）</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ZQCD-25415</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合同签订后180天内完成交货、安装调试并具备验收条件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福建省漳州市内用户指定地点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2025年11月21日 00:00:00</w:t>
      </w:r>
      <w:bookmarkEnd w:id="26"/>
      <w:r>
        <w:rPr>
          <w:rFonts w:ascii="宋体" w:hint="eastAsia"/>
          <w:szCs w:val="21"/>
          <w:highlight w:val="none"/>
        </w:rPr>
        <w:t>至</w:t>
      </w:r>
      <w:bookmarkStart w:id="27" w:name="项目公告_signUpLastTime"/>
      <w:r>
        <w:rPr>
          <w:rFonts w:ascii="宋体" w:hint="eastAsia"/>
          <w:szCs w:val="21"/>
          <w:highlight w:val="none"/>
        </w:rPr>
        <w:t>2025年11月28日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2025年12月12日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福建省漳州市气象局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杨锡琼</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0596-2050277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福建省漳州市芗城区西湖路78号漳州新一代天气雷达系统信息处理中心</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福建省漳州市气象局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允许（仅针对以下产品：所有投标产品允许代理商投标）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设有，核心产品为智能化烟炉、作业监控设施（移动布控球）</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（1）标的：福建省人工影响天气水资源保障工程之漳州分项目（一期），属于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是，中标服务费：5.7万元。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716.350000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716.350000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9"/>
        <w:gridCol w:w="244"/>
        <w:gridCol w:w="1194"/>
        <w:gridCol w:w="244"/>
        <w:gridCol w:w="717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cr/>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w:t>
            </w:r>
          </w:p>
        </w:tc>
        <w:tc>
          <w:tcPr/>
          <w:p>
            <w:r>
              <w:t>勾选打分</w:t>
            </w:r>
            <w:r>
              <w:t>(4.5)</w:t>
            </w:r>
          </w:p>
        </w:tc>
        <w:tc>
          <w:tcPr/>
          <w:p>
            <w:r>
              <w:t>评审标准：</w:t>
            </w:r>
          </w:p>
          <w:p>
            <w:r>
              <w:t>1、投标人具有 ISO9001质量管理体系认证；</w:t>
              <w:cr/>
              <w:t>2、投标人具有ISO20000信息技术服务管理体系认证；</w:t>
              <w:cr/>
              <w:t>3、投标人具有ISO27001信息安全管理体系认证；</w:t>
              <w:cr/>
              <w:t>以上具有1项得1.5分，最多得4.5分。否则不得分。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w:t>
            </w:r>
          </w:p>
        </w:tc>
        <w:tc>
          <w:tcPr/>
          <w:p>
            <w:r>
              <w:t>勾选打分</w:t>
            </w:r>
            <w:r>
              <w:t>(3)</w:t>
            </w:r>
          </w:p>
        </w:tc>
        <w:tc>
          <w:tcPr/>
          <w:p>
            <w:r>
              <w:t>评审标准：</w:t>
            </w:r>
          </w:p>
          <w:p>
            <w:r>
              <w:t>销售合同必须包括地面烟炉装置、作业监控设施（移动布控球）、自动化火箭发射系统三类产品，每提供1类产品合同得1分，最多得3分。否则不得分。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服务团队</w:t>
            </w:r>
          </w:p>
        </w:tc>
        <w:tc>
          <w:tcPr/>
          <w:p>
            <w:r>
              <w:t>区间打分</w:t>
            </w:r>
            <w:r>
              <w:t>(13.5)</w:t>
            </w:r>
          </w:p>
        </w:tc>
        <w:tc>
          <w:tcPr/>
          <w:p>
            <w:r>
              <w:t>评审标准：</w:t>
            </w:r>
          </w:p>
          <w:p>
            <w:r>
              <w:t>1.投标人提供的项目管理组成员中，成员具备系统集成项目管理工程师证书的，得1.5分；成员具备信息系统集成管理证书的，得1.5分。</w:t>
              <w:cr/>
              <w:t>2.投标人提供的项目实施组成员中，成员具备中级及以上安防系统集成项目经理证书的，得1.5分；成员具备中级及以上网络工程师证书的，得1.5分。</w:t>
              <w:cr/>
              <w:t>3.投标人提供的软件开发组成员中，成员具备中级及以上软件工程师证书的，得1.5分； 具备中级及以上人工智能应用工程师证书的，得1.5分；</w:t>
              <w:cr/>
              <w:t>4.投标人提供的项目运维组成员中，成员具备中级及以上网络工程师证书的，得1.5分； 成员具备中级及以上软件工程师证书的，得1.5分；具备中级及以上IT运维工程师证书的，得1.5分。</w:t>
              <w:cr/>
              <w:t>同一人具有以上多种证书的，仅得一次分，不重复计算。</w:t>
            </w:r>
          </w:p>
          <w:p>
            <w:r>
              <w:t>评审标准说明：</w:t>
            </w:r>
          </w:p>
          <w:p>
            <w:r>
              <w:t>须提供团队人员名单及背景材料（证书证明材料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交货期保证</w:t>
            </w:r>
          </w:p>
        </w:tc>
        <w:tc>
          <w:tcPr/>
          <w:p>
            <w:r>
              <w:t>勾选打分</w:t>
            </w:r>
            <w:r>
              <w:t>(1.6)</w:t>
            </w:r>
          </w:p>
        </w:tc>
        <w:tc>
          <w:tcPr/>
          <w:p>
            <w:r>
              <w:t>评审标准：</w:t>
            </w:r>
          </w:p>
          <w:p>
            <w:r>
              <w:t>针对本项目采购的各项产品，承诺每提前20天交货的得1.6分，最多得1.6分。否则不得分。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6</w:t>
            </w:r>
          </w:p>
        </w:tc>
        <w:tc>
          <w:tcPr>
            <w:vMerge w:val="restart"/>
          </w:tcPr>
          <w:p>
            <w:r>
              <w:t>技术部分</w:t>
            </w:r>
          </w:p>
        </w:tc>
        <w:tc>
          <w:tcPr/>
          <w:p>
            <w:r>
              <w:t>投标产品重要技术指标</w:t>
            </w:r>
          </w:p>
        </w:tc>
        <w:tc>
          <w:tcPr/>
          <w:p>
            <w:r>
              <w:t>区间打分</w:t>
            </w:r>
            <w:r>
              <w:t>(32.4)</w:t>
            </w:r>
          </w:p>
        </w:tc>
        <w:tc>
          <w:tcPr/>
          <w:p>
            <w:r>
              <w:t>评审标准：</w:t>
            </w:r>
          </w:p>
          <w:p>
            <w:r>
              <w:t>标注▲的重要指标共27项，每满足1项得1.2分（如有多个下级指标，则每个下级指标均应满足）。</w:t>
            </w:r>
          </w:p>
          <w:p>
            <w:r>
              <w:t>评审标准说明：</w:t>
            </w:r>
          </w:p>
          <w:p>
            <w:r>
              <w:t>响应且满足招标文件第七章详细技术指标要求，标注▲的重要指标需提供第三方测试报告作为证明材料。其余指标需提供相关指标的技术设计方案。</w:t>
            </w:r>
          </w:p>
          <w:p/>
        </w:tc>
      </w:tr>
      <w:tr>
        <w:tblPrEx>
          <w:tblW w:w="5000" w:type="pct"/>
          <w:tblCellMar>
            <w:left w:w="108" w:type="dxa"/>
            <w:right w:w="108" w:type="dxa"/>
          </w:tblCellMar>
        </w:tblPrEx>
        <w:tc>
          <w:tcPr/>
          <w:p>
            <w:r>
              <w:t>7</w:t>
            </w:r>
          </w:p>
        </w:tc>
        <w:tc>
          <w:tcPr>
            <w:vMerge/>
          </w:tcPr>
          <w:p>
            <w:r>
              <w:t>技术部分</w:t>
            </w:r>
          </w:p>
        </w:tc>
        <w:tc>
          <w:tcPr/>
          <w:p>
            <w:r>
              <w:t>需求分析方案</w:t>
            </w:r>
          </w:p>
        </w:tc>
        <w:tc>
          <w:tcPr/>
          <w:p>
            <w:r>
              <w:t>勾选打分</w:t>
            </w:r>
            <w:r>
              <w:t>(3)</w:t>
            </w:r>
          </w:p>
        </w:tc>
        <w:tc>
          <w:tcPr/>
          <w:p>
            <w:r>
              <w:t>评审标准：</w:t>
            </w:r>
          </w:p>
          <w:p>
            <w:r>
              <w:t>一档0分</w:t>
              <w:cr/>
              <w:t>二档1分</w:t>
              <w:cr/>
              <w:t>三档2分</w:t>
              <w:cr/>
              <w:t>四档3分</w:t>
            </w:r>
          </w:p>
          <w:p>
            <w:r>
              <w:t>评审标准说明：</w:t>
            </w:r>
          </w:p>
          <w:p>
            <w:r>
              <w:t>根据投标人提供的本项目相关业务背景、业务现状和重难点分析方案进行评分，具体评分标准如下：</w:t>
              <w:cr/>
              <w:t xml:space="preserve">一档：未提供任何方案，或提供的方案与本次采购内容完全无关，无法满足基本要求。  </w:t>
              <w:cr/>
              <w:t xml:space="preserve">二档：提供的方案较为简略，内容不全面或不完整，未能覆盖核心需求，缺乏必要的细节支撑。  </w:t>
              <w:cr/>
              <w:t xml:space="preserve">三档：提供的方案基本完整、全面，对业务背景和现状有一定描述，但针对性一般，未能充分体现对具体问题的深入思考。  </w:t>
              <w:cr/>
              <w:t>四档：提供的方案完整、全面，对业务背景、现状及重难点分析深入透彻，能够充分结合漳州市人工影响天气业务的实际现状，体现出较高的专业性和针对性。</w:t>
            </w:r>
          </w:p>
          <w:p/>
        </w:tc>
      </w:tr>
      <w:tr>
        <w:tblPrEx>
          <w:tblW w:w="5000" w:type="pct"/>
          <w:tblCellMar>
            <w:left w:w="108" w:type="dxa"/>
            <w:right w:w="108" w:type="dxa"/>
          </w:tblCellMar>
        </w:tblPrEx>
        <w:tc>
          <w:tcPr/>
          <w:p>
            <w:r>
              <w:t>8</w:t>
            </w:r>
          </w:p>
        </w:tc>
        <w:tc>
          <w:tcPr>
            <w:vMerge/>
          </w:tcPr>
          <w:p>
            <w:r>
              <w:t>技术部分</w:t>
            </w:r>
          </w:p>
        </w:tc>
        <w:tc>
          <w:tcPr/>
          <w:p>
            <w:r>
              <w:t>投标产品技术方案及综合性能</w:t>
            </w:r>
          </w:p>
        </w:tc>
        <w:tc>
          <w:tcPr/>
          <w:p>
            <w:r>
              <w:t>勾选打分</w:t>
            </w:r>
            <w:r>
              <w:t>(4)</w:t>
            </w:r>
          </w:p>
        </w:tc>
        <w:tc>
          <w:tcPr/>
          <w:p>
            <w:r>
              <w:t>评审标准：</w:t>
            </w:r>
          </w:p>
          <w:p>
            <w:r>
              <w:t>一档0分</w:t>
              <w:cr/>
              <w:t>二档1分</w:t>
              <w:cr/>
              <w:t>三档2分</w:t>
              <w:cr/>
              <w:t>四档4分</w:t>
            </w:r>
          </w:p>
          <w:p>
            <w:r>
              <w:t>评审标准说明：</w:t>
            </w:r>
          </w:p>
          <w:p>
            <w:r>
              <w:t>根据投标人提供的技术方案进行评分，具体评分标准如下：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三档：技术方案基本能按照招标文件的要求进行响应，有一定针对性，基本满足采购文件的需求，投标产品综合技术性能基本满足采购文件要求。 </w:t>
              <w:cr/>
              <w:t>四档：技术方案能按照招标文件的要求进行响应，详细具体，针对性强，与项目实际情况相契合，完全满足采购文件的需求，投标产品综合技术性能完全满足或优于采购文件要求。</w:t>
              <w:cr/>
              <w:t>注：综合技术性能由评审委员会根据技术性能指标，主观综合评判。</w:t>
            </w:r>
          </w:p>
          <w:p/>
        </w:tc>
      </w:tr>
      <w:tr>
        <w:tblPrEx>
          <w:tblW w:w="5000" w:type="pct"/>
          <w:tblCellMar>
            <w:left w:w="108" w:type="dxa"/>
            <w:right w:w="108" w:type="dxa"/>
          </w:tblCellMar>
        </w:tblPrEx>
        <w:tc>
          <w:tcPr/>
          <w:p>
            <w:r>
              <w:t>9</w:t>
            </w:r>
          </w:p>
        </w:tc>
        <w:tc>
          <w:tcPr>
            <w:vMerge/>
          </w:tcPr>
          <w:p>
            <w:r>
              <w:t>技术部分</w:t>
            </w:r>
          </w:p>
        </w:tc>
        <w:tc>
          <w:tcPr/>
          <w:p>
            <w:r>
              <w:t>实施方案</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 xml:space="preserve">一档：未提供任何形式的实施方案文件，或所提供的资料完全不涉及实施方案，无法判断其项目执行能力与规划水平。  </w:t>
              <w:cr/>
              <w:t xml:space="preserve">二档：提供了部分实施方案，但内容不完整，存在明显缺失，例如缺少对投标产品的生产流程、运输安排、安装步骤、调试方法或试运行计划中的任意一项或多项关键环节，导致方案整体不具备可操作性。  </w:t>
              <w:cr/>
              <w:t xml:space="preserve">三档：虽提交了结构完整的实施方案，覆盖了生产、运输、安装、调试及试运行等基本环节，但未结合本项目具体特点制定专门措施，或所提措施缺乏针对性、合理性、可行性，内容较为笼统，未能体现对本项目实际需求的深入理解。  </w:t>
              <w:cr/>
              <w:t>四档：提交的实施方案系统完整、条理清晰，全面涵盖从生产到试运行的各阶段，并专门针对本项目提出了合理、可行、具体且详实的执行措施，充分响应采购文件中的各项要求，体现出较强的项目管理能力和风险控制水平。</w:t>
            </w:r>
          </w:p>
          <w:p/>
        </w:tc>
      </w:tr>
      <w:tr>
        <w:tblPrEx>
          <w:tblW w:w="5000" w:type="pct"/>
          <w:tblCellMar>
            <w:left w:w="108" w:type="dxa"/>
            <w:right w:w="108" w:type="dxa"/>
          </w:tblCellMar>
        </w:tblPrEx>
        <w:tc>
          <w:tcPr/>
          <w:p>
            <w:r>
              <w:t>10</w:t>
            </w:r>
          </w:p>
        </w:tc>
        <w:tc>
          <w:tcPr>
            <w:vMerge/>
          </w:tcPr>
          <w:p>
            <w:r>
              <w:t>技术部分</w:t>
            </w:r>
          </w:p>
        </w:tc>
        <w:tc>
          <w:tcPr/>
          <w:p>
            <w:r>
              <w:t>国省一体化人影综合业务平台（天工福建版）对接方案</w:t>
            </w:r>
          </w:p>
        </w:tc>
        <w:tc>
          <w:tcPr/>
          <w:p>
            <w:r>
              <w:t>勾选打分</w:t>
            </w:r>
            <w:r>
              <w:t>(4)</w:t>
            </w:r>
          </w:p>
        </w:tc>
        <w:tc>
          <w:tcPr/>
          <w:p>
            <w:r>
              <w:t>评审标准：</w:t>
            </w:r>
          </w:p>
          <w:p>
            <w:r>
              <w:t>一档0分</w:t>
              <w:cr/>
              <w:t>二档1分</w:t>
              <w:cr/>
              <w:t>三档2分</w:t>
              <w:cr/>
              <w:t>四档4分</w:t>
            </w:r>
          </w:p>
          <w:p>
            <w:r>
              <w:t>评审标准说明：</w:t>
            </w:r>
          </w:p>
          <w:p>
            <w:r>
              <w:t>根据投标人针对本项目提供的相关设备与国省一体化人影综合业务平台（天工福建版）的对接方案，重点说明本项目相关硬件设备按照《天工平台数据交互接口技术指南》对接国省一体化人影综合业务平台（天工福建版）的适配能力，包含数据接口与通信适配能力、状态监控与物联管理能力、业务流程与作业执行适配能力，以及按照《中国气象人工影响天气中心天工平台组件化技术指南》的组件开发能力进行评分。具体如下：</w:t>
              <w:cr/>
              <w:t>一档：未提供对接方案，或提供的方案不满足与国省一体化人影综合业务平台（天工福建版）的对接要求。</w:t>
              <w:cr/>
              <w:t>二档：提供的对接方案简略，或不全面、不完整。</w:t>
              <w:cr/>
              <w:t>三档：提供的对接方案基本完整、全面，基本与国省一体化人影综合业务平台（天工福建版）的对接要求。</w:t>
              <w:cr/>
              <w:t>四档：提供的对接方案完整、全面，完全满足与国省一体化人影综合业务平台（天工福建版）的对接要求。</w:t>
            </w:r>
          </w:p>
          <w:p/>
        </w:tc>
      </w:tr>
    </w:tbl>
    <w:p w:rsidR="00A77B3E">
      <w:r>
        <w:t xml:space="preserve">      </w:t>
      </w:r>
    </w:p>
    <w:p w:rsidR="00A77B3E"/>
    <w:p w:rsidR="00A77B3E">
      <w:bookmarkEnd w:id="58"/>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b/>
          <w:bCs/>
          <w:szCs w:val="21"/>
        </w:rPr>
      </w:pPr>
      <w:r>
        <w:rPr>
          <w:rFonts w:ascii="宋体" w:hAnsi="宋体" w:hint="eastAsia"/>
          <w:b/>
          <w:bCs/>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福建省人工影响天气水资源保障工程之漳州分项目（一期）</w:t>
      </w:r>
      <w:r>
        <w:rPr>
          <w:rFonts w:ascii="宋体" w:hAnsi="宋体" w:hint="eastAsia"/>
          <w:szCs w:val="21"/>
          <w:lang w:eastAsia="zh-CN"/>
        </w:rPr>
        <w:t>采购内容主要包括</w:t>
      </w:r>
      <w:r>
        <w:rPr>
          <w:rFonts w:ascii="宋体" w:hAnsi="宋体" w:hint="eastAsia"/>
          <w:szCs w:val="21"/>
        </w:rPr>
        <w:t>作业装备升级改造、地面作业安全能力提升改造两个部分</w:t>
      </w:r>
      <w:r>
        <w:rPr>
          <w:rFonts w:ascii="宋体" w:hAnsi="宋体" w:hint="eastAsia"/>
          <w:szCs w:val="21"/>
          <w:lang w:eastAsia="zh-CN"/>
        </w:rPr>
        <w:t>，具体如下</w:t>
      </w:r>
      <w:r>
        <w:rPr>
          <w:rFonts w:ascii="宋体" w:hAnsi="宋体" w:hint="eastAsia"/>
          <w:szCs w:val="21"/>
        </w:rPr>
        <w:t>：</w:t>
      </w:r>
    </w:p>
    <w:p>
      <w:pPr>
        <w:spacing w:line="360" w:lineRule="auto"/>
        <w:ind w:firstLine="420" w:firstLineChars="200"/>
        <w:rPr>
          <w:rFonts w:ascii="宋体" w:hAnsi="宋体" w:hint="eastAsia"/>
          <w:szCs w:val="21"/>
        </w:rPr>
      </w:pPr>
      <w:r>
        <w:rPr>
          <w:rFonts w:ascii="宋体" w:hAnsi="宋体" w:hint="eastAsia"/>
          <w:szCs w:val="21"/>
        </w:rPr>
        <w:t>（1）作业装备升级改造</w:t>
      </w:r>
      <w:r>
        <w:rPr>
          <w:rFonts w:ascii="宋体" w:hAnsi="宋体" w:hint="eastAsia"/>
          <w:szCs w:val="21"/>
          <w:lang w:eastAsia="zh-CN"/>
        </w:rPr>
        <w:t>拟采购</w:t>
      </w:r>
      <w:r>
        <w:rPr>
          <w:rFonts w:ascii="宋体" w:hAnsi="宋体" w:hint="eastAsia"/>
          <w:szCs w:val="21"/>
        </w:rPr>
        <w:t>1部火箭发射装置自动化改造</w:t>
      </w:r>
      <w:r>
        <w:rPr>
          <w:rFonts w:ascii="宋体" w:hAnsi="宋体" w:hint="default"/>
          <w:szCs w:val="21"/>
          <w:lang w:val="en-US"/>
        </w:rPr>
        <w:t>(</w:t>
      </w:r>
      <w:r>
        <w:rPr>
          <w:rFonts w:ascii="宋体" w:hAnsi="宋体" w:hint="eastAsia"/>
          <w:szCs w:val="21"/>
          <w:lang w:val="en-US" w:eastAsia="zh-CN"/>
        </w:rPr>
        <w:t>含</w:t>
      </w:r>
      <w:r>
        <w:rPr>
          <w:rFonts w:ascii="宋体" w:hAnsi="宋体" w:hint="eastAsia"/>
          <w:szCs w:val="21"/>
        </w:rPr>
        <w:t>作业安全监控终端</w:t>
      </w:r>
      <w:r>
        <w:rPr>
          <w:rFonts w:ascii="宋体" w:hAnsi="宋体" w:hint="eastAsia"/>
          <w:szCs w:val="21"/>
          <w:lang w:eastAsia="zh-CN"/>
        </w:rPr>
        <w:t>和</w:t>
      </w:r>
      <w:r>
        <w:rPr>
          <w:rFonts w:ascii="宋体" w:hAnsi="宋体" w:hint="eastAsia"/>
          <w:szCs w:val="21"/>
        </w:rPr>
        <w:t>基于三码绑定的人影火箭发射安全锁控系统</w:t>
      </w:r>
      <w:r>
        <w:rPr>
          <w:rFonts w:ascii="宋体" w:hAnsi="宋体" w:hint="eastAsia"/>
          <w:szCs w:val="21"/>
          <w:lang w:eastAsia="zh-CN"/>
        </w:rPr>
        <w:t>）</w:t>
      </w:r>
      <w:r>
        <w:rPr>
          <w:rFonts w:ascii="宋体" w:hAnsi="宋体" w:hint="eastAsia"/>
          <w:szCs w:val="21"/>
        </w:rPr>
        <w:t>，2部火箭发射装置作业安全监控终端，13部基于三码绑定的人影火箭发射安全锁控系统，22套地面烟炉作业监控终端</w:t>
      </w:r>
      <w:r>
        <w:rPr>
          <w:rFonts w:ascii="宋体" w:hAnsi="宋体" w:hint="eastAsia"/>
          <w:szCs w:val="21"/>
          <w:lang w:eastAsia="zh-CN"/>
        </w:rPr>
        <w:t>，</w:t>
      </w:r>
      <w:r>
        <w:rPr>
          <w:rFonts w:ascii="宋体" w:hAnsi="宋体" w:hint="eastAsia"/>
          <w:szCs w:val="21"/>
        </w:rPr>
        <w:t>10套智能化烟炉。</w:t>
      </w:r>
    </w:p>
    <w:p>
      <w:pPr>
        <w:spacing w:line="360" w:lineRule="auto"/>
        <w:ind w:firstLine="420" w:firstLineChars="200"/>
        <w:rPr>
          <w:rFonts w:ascii="宋体" w:hAnsi="宋体" w:hint="eastAsia"/>
          <w:szCs w:val="21"/>
        </w:rPr>
      </w:pPr>
      <w:r>
        <w:rPr>
          <w:rFonts w:ascii="宋体" w:hAnsi="宋体" w:hint="eastAsia"/>
          <w:szCs w:val="21"/>
        </w:rPr>
        <w:t>（2）地面作业安全能力提升改造</w:t>
      </w:r>
      <w:r>
        <w:rPr>
          <w:rFonts w:ascii="宋体" w:hAnsi="宋体" w:hint="eastAsia"/>
          <w:szCs w:val="21"/>
          <w:lang w:eastAsia="zh-CN"/>
        </w:rPr>
        <w:t>包括</w:t>
      </w:r>
      <w:r>
        <w:rPr>
          <w:rFonts w:ascii="宋体" w:hAnsi="宋体" w:hint="eastAsia"/>
          <w:szCs w:val="21"/>
        </w:rPr>
        <w:t>升级改造21个流动作业点（包括升级改造21个作业平台，配备13套作业监控设施（移动布控球）、21套对讲机），购置作业人员安全防护装备91套、视频记录仪6套、应急通讯13套。</w:t>
      </w:r>
    </w:p>
    <w:p>
      <w:pPr>
        <w:spacing w:line="360" w:lineRule="auto"/>
        <w:ind w:firstLine="420" w:firstLineChars="200"/>
        <w:rPr>
          <w:rFonts w:ascii="宋体" w:hAnsi="宋体" w:hint="eastAsia"/>
          <w:szCs w:val="21"/>
        </w:rPr>
      </w:pPr>
      <w:r>
        <w:rPr>
          <w:rFonts w:ascii="宋体" w:hAnsi="宋体" w:hint="eastAsia"/>
          <w:szCs w:val="21"/>
          <w:lang w:eastAsia="zh-CN"/>
        </w:rPr>
        <w:t>项目</w:t>
      </w:r>
      <w:r>
        <w:rPr>
          <w:rFonts w:ascii="宋体" w:hAnsi="宋体" w:hint="eastAsia"/>
          <w:szCs w:val="21"/>
        </w:rPr>
        <w:t xml:space="preserve">建设地点覆盖芗城、龙文、华安、南靖、平和、诏安、云霄、东山、漳浦、龙海、长泰、古雷经济开发区等12个县区。 </w:t>
      </w:r>
    </w:p>
    <w:p>
      <w:pPr>
        <w:spacing w:line="360" w:lineRule="auto"/>
        <w:ind w:firstLine="420" w:firstLineChars="200"/>
        <w:rPr>
          <w:rFonts w:ascii="宋体" w:hAnsi="宋体" w:hint="eastAsia"/>
          <w:szCs w:val="21"/>
        </w:rPr>
      </w:pPr>
      <w:r>
        <w:rPr>
          <w:rFonts w:ascii="宋体" w:hAnsi="宋体" w:hint="eastAsia"/>
          <w:b/>
          <w:bCs/>
          <w:szCs w:val="21"/>
        </w:rPr>
        <w:t>二、采购内容与设备需求一览表</w:t>
      </w:r>
      <w:r>
        <w:rPr>
          <w:rFonts w:ascii="宋体" w:hAnsi="宋体" w:hint="eastAsia"/>
          <w:szCs w:val="21"/>
        </w:rPr>
        <w:t>（见第七章 采购需求 附表）</w:t>
      </w:r>
    </w:p>
    <w:p>
      <w:pPr>
        <w:spacing w:line="360" w:lineRule="auto"/>
        <w:ind w:firstLine="420" w:firstLineChars="200"/>
        <w:rPr>
          <w:rFonts w:ascii="宋体" w:hAnsi="宋体" w:hint="eastAsia"/>
          <w:b/>
          <w:bCs/>
          <w:szCs w:val="21"/>
        </w:rPr>
      </w:pPr>
      <w:r>
        <w:rPr>
          <w:rFonts w:ascii="宋体" w:hAnsi="宋体" w:hint="eastAsia"/>
          <w:b/>
          <w:bCs/>
          <w:szCs w:val="21"/>
        </w:rPr>
        <w:t>三、技术性能指标</w:t>
      </w:r>
    </w:p>
    <w:p>
      <w:pPr>
        <w:spacing w:line="360" w:lineRule="auto"/>
        <w:ind w:firstLine="420" w:firstLineChars="200"/>
        <w:rPr>
          <w:rFonts w:ascii="宋体" w:hAnsi="宋体" w:hint="eastAsia"/>
          <w:b/>
          <w:bCs/>
          <w:szCs w:val="21"/>
        </w:rPr>
      </w:pPr>
      <w:r>
        <w:rPr>
          <w:rFonts w:ascii="宋体" w:hAnsi="宋体" w:hint="eastAsia"/>
          <w:b/>
          <w:bCs/>
          <w:szCs w:val="21"/>
        </w:rPr>
        <w:t>（一）总体要求</w:t>
      </w:r>
    </w:p>
    <w:p>
      <w:pPr>
        <w:spacing w:line="360" w:lineRule="auto"/>
        <w:ind w:firstLine="420" w:firstLineChars="200"/>
        <w:rPr>
          <w:rFonts w:ascii="宋体" w:hAnsi="宋体" w:hint="eastAsia"/>
          <w:b w:val="0"/>
          <w:bCs w:val="0"/>
          <w:szCs w:val="21"/>
        </w:rPr>
      </w:pPr>
      <w:r>
        <w:rPr>
          <w:rFonts w:ascii="宋体" w:hAnsi="宋体" w:hint="eastAsia"/>
          <w:b w:val="0"/>
          <w:bCs w:val="0"/>
          <w:szCs w:val="21"/>
        </w:rPr>
        <w:t>1</w:t>
      </w:r>
      <w:r>
        <w:rPr>
          <w:rFonts w:ascii="宋体" w:hAnsi="宋体" w:hint="eastAsia"/>
          <w:b w:val="0"/>
          <w:bCs w:val="0"/>
          <w:szCs w:val="21"/>
          <w:lang w:val="en-US" w:eastAsia="zh-CN"/>
        </w:rPr>
        <w:t>.</w:t>
      </w:r>
      <w:r>
        <w:rPr>
          <w:rFonts w:ascii="宋体" w:hAnsi="宋体" w:hint="eastAsia"/>
          <w:b w:val="0"/>
          <w:bCs w:val="0"/>
          <w:szCs w:val="21"/>
        </w:rPr>
        <w:t>投标人提供的各类设备与软件必须满足标书提出的功能和规格描述。</w:t>
      </w:r>
    </w:p>
    <w:p>
      <w:pPr>
        <w:spacing w:line="360" w:lineRule="auto"/>
        <w:ind w:firstLine="420" w:firstLineChars="200"/>
        <w:rPr>
          <w:rFonts w:ascii="宋体" w:hAnsi="宋体" w:hint="eastAsia"/>
          <w:b w:val="0"/>
          <w:bCs w:val="0"/>
          <w:szCs w:val="21"/>
        </w:rPr>
      </w:pPr>
      <w:r>
        <w:rPr>
          <w:rFonts w:ascii="宋体" w:hAnsi="宋体" w:hint="eastAsia"/>
          <w:b w:val="0"/>
          <w:bCs w:val="0"/>
          <w:szCs w:val="21"/>
        </w:rPr>
        <w:t>2</w:t>
      </w:r>
      <w:r>
        <w:rPr>
          <w:rFonts w:ascii="宋体" w:hAnsi="宋体" w:hint="eastAsia"/>
          <w:b w:val="0"/>
          <w:bCs w:val="0"/>
          <w:szCs w:val="21"/>
          <w:lang w:val="en-US" w:eastAsia="zh-CN"/>
        </w:rPr>
        <w:t>.</w:t>
      </w:r>
      <w:r>
        <w:rPr>
          <w:rFonts w:ascii="宋体" w:hAnsi="宋体" w:hint="eastAsia"/>
          <w:b w:val="0"/>
          <w:bCs w:val="0"/>
          <w:szCs w:val="21"/>
        </w:rPr>
        <w:t>投标人提供的系统软、硬件的性能应达到或超过招标书所列技术指标。投标人在响应建议中必须就有关技术指标列出具体数值，否则将视为不符合技术性能需求。</w:t>
      </w:r>
    </w:p>
    <w:p>
      <w:pPr>
        <w:spacing w:line="360" w:lineRule="auto"/>
        <w:ind w:firstLine="420" w:firstLineChars="200"/>
        <w:rPr>
          <w:rFonts w:ascii="宋体" w:hAnsi="宋体" w:hint="eastAsia"/>
          <w:b w:val="0"/>
          <w:bCs w:val="0"/>
          <w:szCs w:val="21"/>
        </w:rPr>
      </w:pPr>
      <w:r>
        <w:rPr>
          <w:rFonts w:ascii="宋体" w:hAnsi="宋体" w:hint="eastAsia"/>
          <w:b w:val="0"/>
          <w:bCs w:val="0"/>
          <w:szCs w:val="21"/>
        </w:rPr>
        <w:t>3</w:t>
      </w:r>
      <w:r>
        <w:rPr>
          <w:rFonts w:ascii="宋体" w:hAnsi="宋体" w:hint="eastAsia"/>
          <w:b w:val="0"/>
          <w:bCs w:val="0"/>
          <w:szCs w:val="21"/>
          <w:lang w:val="en-US" w:eastAsia="zh-CN"/>
        </w:rPr>
        <w:t>.</w:t>
      </w:r>
      <w:r>
        <w:rPr>
          <w:rFonts w:ascii="宋体" w:hAnsi="宋体" w:hint="eastAsia"/>
          <w:b w:val="0"/>
          <w:bCs w:val="0"/>
          <w:szCs w:val="21"/>
        </w:rPr>
        <w:t>投标人的设备报价表应尽量具体详细，报价表中要明确设备厂家、型号和价格等。</w:t>
      </w:r>
    </w:p>
    <w:p>
      <w:pPr>
        <w:spacing w:line="360" w:lineRule="auto"/>
        <w:ind w:firstLine="420" w:firstLineChars="200"/>
        <w:rPr>
          <w:rFonts w:ascii="宋体" w:hAnsi="宋体" w:hint="eastAsia"/>
          <w:b w:val="0"/>
          <w:bCs w:val="0"/>
          <w:szCs w:val="21"/>
        </w:rPr>
      </w:pPr>
      <w:r>
        <w:rPr>
          <w:rFonts w:ascii="宋体" w:hAnsi="宋体" w:hint="eastAsia"/>
          <w:b w:val="0"/>
          <w:bCs w:val="0"/>
          <w:szCs w:val="21"/>
        </w:rPr>
        <w:t>4</w:t>
      </w:r>
      <w:r>
        <w:rPr>
          <w:rFonts w:ascii="宋体" w:hAnsi="宋体" w:hint="eastAsia"/>
          <w:b w:val="0"/>
          <w:bCs w:val="0"/>
          <w:szCs w:val="21"/>
          <w:lang w:val="en-US" w:eastAsia="zh-CN"/>
        </w:rPr>
        <w:t>.</w:t>
      </w:r>
      <w:r>
        <w:rPr>
          <w:rFonts w:ascii="宋体" w:hAnsi="宋体" w:hint="eastAsia"/>
          <w:b w:val="0"/>
          <w:bCs w:val="0"/>
          <w:szCs w:val="21"/>
        </w:rPr>
        <w:t>所列性能指标要求只是最低标准，还需要考察性能高低和方案（包括技术和售后服务）优劣以及设备价格，选择性价比最优者选用。</w:t>
      </w:r>
    </w:p>
    <w:p>
      <w:pPr>
        <w:spacing w:line="360" w:lineRule="auto"/>
        <w:ind w:firstLine="420" w:firstLineChars="200"/>
        <w:rPr>
          <w:rFonts w:ascii="宋体" w:hAnsi="宋体" w:hint="eastAsia"/>
          <w:b w:val="0"/>
          <w:bCs w:val="0"/>
          <w:szCs w:val="21"/>
        </w:rPr>
      </w:pPr>
      <w:r>
        <w:rPr>
          <w:rFonts w:ascii="宋体" w:hAnsi="宋体" w:hint="eastAsia"/>
          <w:b w:val="0"/>
          <w:bCs w:val="0"/>
          <w:szCs w:val="21"/>
        </w:rPr>
        <w:t>5</w:t>
      </w:r>
      <w:r>
        <w:rPr>
          <w:rFonts w:ascii="宋体" w:hAnsi="宋体" w:hint="eastAsia"/>
          <w:b w:val="0"/>
          <w:bCs w:val="0"/>
          <w:szCs w:val="21"/>
          <w:lang w:val="en-US" w:eastAsia="zh-CN"/>
        </w:rPr>
        <w:t>.</w:t>
      </w:r>
      <w:r>
        <w:rPr>
          <w:rFonts w:ascii="宋体" w:hAnsi="宋体" w:hint="eastAsia"/>
          <w:b w:val="0"/>
          <w:bCs w:val="0"/>
          <w:szCs w:val="21"/>
        </w:rPr>
        <w:t>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pPr>
        <w:spacing w:line="360" w:lineRule="auto"/>
        <w:ind w:firstLine="420" w:firstLineChars="200"/>
        <w:rPr>
          <w:rFonts w:ascii="宋体" w:hAnsi="宋体" w:hint="eastAsia"/>
          <w:b w:val="0"/>
          <w:bCs w:val="0"/>
          <w:szCs w:val="21"/>
        </w:rPr>
      </w:pPr>
      <w:r>
        <w:rPr>
          <w:rFonts w:ascii="宋体" w:hAnsi="宋体" w:hint="eastAsia"/>
          <w:b w:val="0"/>
          <w:bCs w:val="0"/>
          <w:szCs w:val="21"/>
        </w:rPr>
        <w:t>6</w:t>
      </w:r>
      <w:r>
        <w:rPr>
          <w:rFonts w:ascii="宋体" w:hAnsi="宋体" w:hint="eastAsia"/>
          <w:b w:val="0"/>
          <w:bCs w:val="0"/>
          <w:szCs w:val="21"/>
          <w:lang w:val="en-US" w:eastAsia="zh-CN"/>
        </w:rPr>
        <w:t>.</w:t>
      </w:r>
      <w:r>
        <w:rPr>
          <w:rFonts w:ascii="宋体" w:hAnsi="宋体" w:hint="eastAsia"/>
          <w:b w:val="0"/>
          <w:bCs w:val="0"/>
          <w:szCs w:val="21"/>
        </w:rPr>
        <w:t xml:space="preserve">设备及相应的配套设施，应具有良好的防潮、防锈和防腐蚀能力，适应强降水工作环境。 </w:t>
      </w:r>
    </w:p>
    <w:p>
      <w:pPr>
        <w:spacing w:line="360" w:lineRule="auto"/>
        <w:ind w:firstLine="420" w:firstLineChars="200"/>
        <w:rPr>
          <w:rFonts w:ascii="宋体" w:hAnsi="宋体" w:hint="eastAsia"/>
          <w:b w:val="0"/>
          <w:bCs w:val="0"/>
          <w:szCs w:val="21"/>
        </w:rPr>
      </w:pPr>
      <w:r>
        <w:rPr>
          <w:rFonts w:ascii="宋体" w:hAnsi="宋体" w:hint="eastAsia"/>
          <w:b w:val="0"/>
          <w:bCs w:val="0"/>
          <w:szCs w:val="21"/>
        </w:rPr>
        <w:t>7</w:t>
      </w:r>
      <w:r>
        <w:rPr>
          <w:rFonts w:ascii="宋体" w:hAnsi="宋体" w:hint="eastAsia"/>
          <w:b w:val="0"/>
          <w:bCs w:val="0"/>
          <w:szCs w:val="21"/>
          <w:lang w:val="en-US" w:eastAsia="zh-CN"/>
        </w:rPr>
        <w:t>.</w:t>
      </w:r>
      <w:r>
        <w:rPr>
          <w:rFonts w:ascii="宋体" w:hAnsi="宋体" w:hint="eastAsia"/>
          <w:b w:val="0"/>
          <w:bCs w:val="0"/>
          <w:szCs w:val="21"/>
        </w:rPr>
        <w:t>投标产品为国产设备。</w:t>
      </w:r>
    </w:p>
    <w:p>
      <w:pPr>
        <w:spacing w:line="360" w:lineRule="auto"/>
        <w:ind w:firstLine="420" w:firstLineChars="200"/>
        <w:rPr>
          <w:rFonts w:ascii="宋体" w:hAnsi="宋体" w:hint="eastAsia"/>
          <w:b/>
          <w:bCs/>
          <w:szCs w:val="21"/>
        </w:rPr>
      </w:pPr>
      <w:r>
        <w:rPr>
          <w:rFonts w:ascii="宋体" w:hAnsi="宋体" w:hint="eastAsia"/>
          <w:szCs w:val="21"/>
        </w:rPr>
        <w:t>（二）总体性能指标</w:t>
      </w:r>
    </w:p>
    <w:p>
      <w:pPr>
        <w:spacing w:line="360" w:lineRule="auto"/>
        <w:ind w:firstLine="420" w:firstLineChars="200"/>
        <w:jc w:val="left"/>
        <w:rPr>
          <w:rFonts w:ascii="宋体" w:hAnsi="宋体" w:hint="eastAsia"/>
          <w:b/>
          <w:szCs w:val="21"/>
        </w:rPr>
      </w:pPr>
      <w:r>
        <w:rPr>
          <w:rFonts w:ascii="宋体" w:hAnsi="宋体" w:hint="eastAsia"/>
          <w:b/>
          <w:szCs w:val="21"/>
          <w:lang w:val="en-US" w:eastAsia="zh-CN"/>
        </w:rPr>
        <w:t>1.</w:t>
      </w:r>
      <w:r>
        <w:rPr>
          <w:rFonts w:ascii="宋体" w:hAnsi="宋体" w:hint="eastAsia"/>
          <w:b/>
          <w:szCs w:val="21"/>
        </w:rPr>
        <w:t>作业装备升级改造</w:t>
      </w:r>
    </w:p>
    <w:p>
      <w:pPr>
        <w:spacing w:line="360" w:lineRule="auto"/>
        <w:ind w:firstLine="412" w:firstLineChars="196"/>
        <w:jc w:val="left"/>
        <w:rPr>
          <w:rFonts w:ascii="宋体" w:hAnsi="宋体" w:hint="eastAsia"/>
          <w:b/>
          <w:szCs w:val="21"/>
        </w:rPr>
      </w:pPr>
      <w:r>
        <w:rPr>
          <w:rFonts w:ascii="宋体" w:hAnsi="宋体" w:hint="eastAsia"/>
          <w:b/>
          <w:szCs w:val="21"/>
          <w:lang w:eastAsia="zh-CN"/>
        </w:rPr>
        <w:t>（</w:t>
      </w:r>
      <w:r>
        <w:rPr>
          <w:rFonts w:ascii="宋体" w:hAnsi="宋体" w:hint="eastAsia"/>
          <w:b/>
          <w:szCs w:val="21"/>
          <w:lang w:val="en-US" w:eastAsia="zh-CN"/>
        </w:rPr>
        <w:t>1</w:t>
      </w:r>
      <w:r>
        <w:rPr>
          <w:rFonts w:ascii="宋体" w:hAnsi="宋体" w:hint="eastAsia"/>
          <w:b/>
          <w:szCs w:val="21"/>
          <w:lang w:eastAsia="zh-CN"/>
        </w:rPr>
        <w:t>）</w:t>
      </w:r>
      <w:r>
        <w:rPr>
          <w:rFonts w:ascii="宋体" w:hAnsi="宋体" w:hint="eastAsia"/>
          <w:b/>
          <w:szCs w:val="21"/>
        </w:rPr>
        <w:t>人工影响天气火箭发射装置升级改造</w:t>
      </w:r>
    </w:p>
    <w:p>
      <w:pPr>
        <w:spacing w:line="360" w:lineRule="auto"/>
        <w:ind w:firstLine="412" w:firstLineChars="196"/>
        <w:jc w:val="left"/>
        <w:rPr>
          <w:rFonts w:ascii="宋体" w:hAnsi="宋体" w:hint="eastAsia"/>
          <w:szCs w:val="21"/>
        </w:rPr>
      </w:pPr>
      <w:r>
        <w:rPr>
          <w:rFonts w:ascii="宋体" w:hAnsi="宋体" w:hint="eastAsia"/>
          <w:szCs w:val="21"/>
        </w:rPr>
        <w:t>火箭发射装置升级改造建设包括对1部火箭发射装置进行自动化改造</w:t>
      </w:r>
      <w:r>
        <w:rPr>
          <w:rFonts w:ascii="宋体" w:hAnsi="宋体" w:hint="default"/>
          <w:szCs w:val="21"/>
          <w:lang w:val="en-US"/>
        </w:rPr>
        <w:t>(</w:t>
      </w:r>
      <w:r>
        <w:rPr>
          <w:rFonts w:ascii="宋体" w:hAnsi="宋体" w:hint="eastAsia"/>
          <w:szCs w:val="21"/>
          <w:lang w:val="en-US" w:eastAsia="zh-CN"/>
        </w:rPr>
        <w:t>含</w:t>
      </w:r>
      <w:r>
        <w:rPr>
          <w:rFonts w:ascii="宋体" w:hAnsi="宋体" w:hint="eastAsia"/>
          <w:szCs w:val="21"/>
        </w:rPr>
        <w:t>作业安全监控终端</w:t>
      </w:r>
      <w:r>
        <w:rPr>
          <w:rFonts w:ascii="宋体" w:hAnsi="宋体" w:hint="eastAsia"/>
          <w:szCs w:val="21"/>
          <w:lang w:eastAsia="zh-CN"/>
        </w:rPr>
        <w:t>和</w:t>
      </w:r>
      <w:r>
        <w:rPr>
          <w:rFonts w:ascii="宋体" w:hAnsi="宋体" w:hint="eastAsia"/>
          <w:szCs w:val="21"/>
        </w:rPr>
        <w:t>基于三码绑定的人影火箭发射安全锁控系统</w:t>
      </w:r>
      <w:r>
        <w:rPr>
          <w:rFonts w:ascii="宋体" w:hAnsi="宋体" w:hint="eastAsia"/>
          <w:szCs w:val="21"/>
          <w:lang w:eastAsia="zh-CN"/>
        </w:rPr>
        <w:t>）</w:t>
      </w:r>
      <w:r>
        <w:rPr>
          <w:rFonts w:ascii="宋体" w:hAnsi="宋体" w:hint="eastAsia"/>
          <w:szCs w:val="21"/>
        </w:rPr>
        <w:t>，对2部火箭发射装置增加作业安全监控终端，对13部火箭发射装置升级基于三码绑定的人影火箭发射安全锁控系统三大内容。通过对火箭发射系统进行自动化升级，配备火箭作业安全监控终端，实现火箭作业信息（发射仰角、方位、发射数量及弹药属性）自动采集，实时上传至“天工”平台。配备基于三码绑定的火箭发射安全锁控系统，提升作业安全性。</w:t>
      </w:r>
    </w:p>
    <w:p>
      <w:pPr>
        <w:spacing w:line="360" w:lineRule="auto"/>
        <w:ind w:firstLine="412" w:firstLineChars="196"/>
        <w:jc w:val="left"/>
        <w:rPr>
          <w:rFonts w:ascii="宋体" w:hAnsi="宋体" w:hint="eastAsia"/>
          <w:szCs w:val="21"/>
          <w:highlight w:val="green"/>
        </w:rPr>
      </w:pPr>
      <w:r>
        <w:rPr>
          <w:rFonts w:ascii="宋体" w:hAnsi="宋体" w:hint="eastAsia"/>
          <w:szCs w:val="21"/>
          <w:highlight w:val="none"/>
        </w:rPr>
        <w:t>基于天工平台组件化架构开发火箭作业指挥组件，实现以下功能：</w:t>
      </w:r>
    </w:p>
    <w:p>
      <w:pPr>
        <w:spacing w:line="360" w:lineRule="auto"/>
        <w:ind w:firstLine="412" w:firstLineChars="196"/>
        <w:jc w:val="left"/>
        <w:rPr>
          <w:rFonts w:ascii="宋体" w:hAnsi="宋体" w:hint="eastAsia"/>
          <w:szCs w:val="21"/>
        </w:rPr>
      </w:pPr>
      <w:r>
        <w:rPr>
          <w:rFonts w:ascii="仿宋_GB2312" w:eastAsia="仿宋_GB2312" w:hAnsi="仿宋_GB2312" w:cs="仿宋_GB2312" w:hint="eastAsia"/>
          <w:szCs w:val="21"/>
        </w:rPr>
        <w:t>①</w:t>
      </w:r>
      <w:r>
        <w:rPr>
          <w:rFonts w:ascii="宋体" w:hAnsi="宋体" w:hint="eastAsia"/>
          <w:szCs w:val="21"/>
        </w:rPr>
        <w:t>基于本地天气</w:t>
      </w:r>
      <w:r>
        <w:rPr>
          <w:rFonts w:ascii="宋体" w:hAnsi="宋体" w:hint="eastAsia"/>
          <w:szCs w:val="21"/>
          <w:lang w:eastAsia="zh-CN"/>
        </w:rPr>
        <w:t>雷</w:t>
      </w:r>
      <w:r>
        <w:rPr>
          <w:rFonts w:ascii="宋体" w:hAnsi="宋体" w:hint="eastAsia"/>
          <w:szCs w:val="21"/>
        </w:rPr>
        <w:t>达产品进行火箭作业条件的监测预警</w:t>
      </w:r>
      <w:r>
        <w:rPr>
          <w:rFonts w:ascii="宋体" w:hAnsi="宋体" w:hint="eastAsia"/>
          <w:szCs w:val="21"/>
          <w:highlight w:val="none"/>
        </w:rPr>
        <w:t>，能够</w:t>
      </w:r>
      <w:r>
        <w:rPr>
          <w:rFonts w:ascii="宋体" w:hAnsi="宋体" w:hint="eastAsia"/>
          <w:szCs w:val="21"/>
          <w:highlight w:val="none"/>
          <w:lang w:eastAsia="zh-CN"/>
        </w:rPr>
        <w:t>基于</w:t>
      </w:r>
      <w:r>
        <w:rPr>
          <w:rFonts w:ascii="宋体" w:hAnsi="宋体" w:hint="eastAsia"/>
          <w:szCs w:val="21"/>
          <w:highlight w:val="none"/>
        </w:rPr>
        <w:t>雷达产品设计预警阈值</w:t>
      </w:r>
      <w:r>
        <w:rPr>
          <w:rFonts w:ascii="宋体" w:hAnsi="宋体" w:hint="eastAsia"/>
          <w:szCs w:val="21"/>
        </w:rPr>
        <w:t>，对达到预警阈值的作业条件进行预警</w:t>
      </w:r>
      <w:r>
        <w:rPr>
          <w:rFonts w:ascii="宋体" w:hAnsi="宋体" w:hint="eastAsia"/>
          <w:szCs w:val="21"/>
        </w:rPr>
        <w:t>；</w:t>
      </w:r>
    </w:p>
    <w:p>
      <w:pPr>
        <w:spacing w:line="360" w:lineRule="auto"/>
        <w:ind w:firstLine="412" w:firstLineChars="196"/>
        <w:jc w:val="left"/>
        <w:rPr>
          <w:rFonts w:ascii="宋体" w:hAnsi="宋体" w:hint="eastAsia"/>
          <w:szCs w:val="21"/>
        </w:rPr>
      </w:pPr>
      <w:r>
        <w:rPr>
          <w:rFonts w:ascii="宋体" w:eastAsia="宋体" w:hAnsi="宋体" w:cs="宋体" w:hint="eastAsia"/>
          <w:szCs w:val="21"/>
        </w:rPr>
        <w:t>②</w:t>
      </w:r>
      <w:r>
        <w:rPr>
          <w:rFonts w:ascii="宋体" w:hAnsi="宋体" w:hint="eastAsia"/>
          <w:szCs w:val="21"/>
        </w:rPr>
        <w:t>基于三维雷达的火箭作业方案设计，能够基于三维雷达进行火箭作业方案的设计，包括方位角、仰</w:t>
      </w:r>
      <w:r>
        <w:rPr>
          <w:rFonts w:ascii="宋体" w:hAnsi="宋体" w:hint="eastAsia"/>
          <w:szCs w:val="21"/>
          <w:highlight w:val="none"/>
        </w:rPr>
        <w:t>角、用</w:t>
      </w:r>
      <w:r>
        <w:rPr>
          <w:rFonts w:ascii="宋体" w:hAnsi="宋体" w:hint="eastAsia"/>
          <w:szCs w:val="21"/>
          <w:highlight w:val="none"/>
          <w:lang w:eastAsia="zh-CN"/>
        </w:rPr>
        <w:t>弹</w:t>
      </w:r>
      <w:r>
        <w:rPr>
          <w:rFonts w:ascii="宋体" w:hAnsi="宋体" w:hint="eastAsia"/>
          <w:szCs w:val="21"/>
          <w:highlight w:val="none"/>
        </w:rPr>
        <w:t>量等</w:t>
      </w:r>
      <w:r>
        <w:rPr>
          <w:rFonts w:ascii="宋体" w:hAnsi="宋体" w:hint="eastAsia"/>
          <w:szCs w:val="21"/>
        </w:rPr>
        <w:t>作业参数的设计；</w:t>
      </w:r>
    </w:p>
    <w:p>
      <w:pPr>
        <w:spacing w:line="360" w:lineRule="auto"/>
        <w:ind w:firstLine="412" w:firstLineChars="196"/>
        <w:jc w:val="left"/>
        <w:rPr>
          <w:rFonts w:ascii="宋体" w:hAnsi="宋体" w:hint="eastAsia"/>
          <w:szCs w:val="21"/>
        </w:rPr>
      </w:pPr>
      <w:r>
        <w:rPr>
          <w:rFonts w:ascii="仿宋_GB2312" w:eastAsia="仿宋_GB2312" w:hAnsi="仿宋_GB2312" w:cs="仿宋_GB2312" w:hint="eastAsia"/>
          <w:szCs w:val="21"/>
        </w:rPr>
        <w:t>③</w:t>
      </w:r>
      <w:r>
        <w:rPr>
          <w:rFonts w:ascii="宋体" w:hAnsi="宋体" w:hint="eastAsia"/>
          <w:szCs w:val="21"/>
        </w:rPr>
        <w:t>具备实时作业指挥功能，能够针对火箭作业实时进行作业参数的发送；</w:t>
      </w:r>
    </w:p>
    <w:p>
      <w:pPr>
        <w:spacing w:line="360" w:lineRule="auto"/>
        <w:ind w:firstLine="412" w:firstLineChars="196"/>
        <w:jc w:val="left"/>
        <w:rPr>
          <w:rFonts w:ascii="宋体" w:hAnsi="宋体" w:hint="eastAsia"/>
          <w:szCs w:val="21"/>
        </w:rPr>
      </w:pPr>
      <w:r>
        <w:rPr>
          <w:rFonts w:ascii="汉仪书宋二S" w:hAnsi="汉仪书宋二S" w:cs="汉仪书宋二S" w:hint="default"/>
          <w:szCs w:val="21"/>
        </w:rPr>
        <w:t>④</w:t>
      </w:r>
      <w:r>
        <w:rPr>
          <w:rFonts w:ascii="宋体" w:hAnsi="宋体" w:hint="eastAsia"/>
          <w:szCs w:val="21"/>
        </w:rPr>
        <w:t>具备火箭作业状态监控功能，能够对火箭作业状态，包括作业装备中、作业中、作业完成等状态进行实时状态监控；</w:t>
      </w:r>
    </w:p>
    <w:p>
      <w:pPr>
        <w:spacing w:line="360" w:lineRule="auto"/>
        <w:ind w:firstLine="412" w:firstLineChars="196"/>
        <w:jc w:val="left"/>
        <w:rPr>
          <w:rFonts w:ascii="宋体" w:hAnsi="宋体"/>
          <w:szCs w:val="21"/>
        </w:rPr>
      </w:pPr>
      <w:r>
        <w:rPr>
          <w:rFonts w:ascii="华文仿宋" w:eastAsia="华文仿宋" w:hAnsi="华文仿宋" w:cs="华文仿宋" w:hint="eastAsia"/>
          <w:szCs w:val="21"/>
        </w:rPr>
        <w:t>⑤</w:t>
      </w:r>
      <w:r>
        <w:rPr>
          <w:rFonts w:ascii="宋体" w:hAnsi="宋体" w:hint="eastAsia"/>
          <w:szCs w:val="21"/>
        </w:rPr>
        <w:t>通过与作业安全监控终端对接实现火箭作业信息自动上报功能，能够在系统中对自动上报的火箭作业信息进行查询、统计。</w:t>
      </w:r>
    </w:p>
    <w:p>
      <w:pPr>
        <w:spacing w:line="360" w:lineRule="auto"/>
        <w:ind w:firstLine="412" w:firstLineChars="196"/>
        <w:jc w:val="left"/>
        <w:rPr>
          <w:rFonts w:ascii="宋体" w:hAnsi="宋体" w:hint="eastAsia"/>
          <w:szCs w:val="21"/>
        </w:rPr>
      </w:pPr>
      <w:r>
        <w:rPr>
          <w:rFonts w:ascii="宋体" w:hAnsi="宋体" w:hint="eastAsia"/>
          <w:szCs w:val="21"/>
        </w:rPr>
        <w:t>设备参数规格具体要求如下：</w:t>
      </w:r>
    </w:p>
    <w:p>
      <w:pPr>
        <w:numPr>
          <w:ilvl w:val="12"/>
          <w:numId w:val="0"/>
        </w:numPr>
        <w:spacing w:line="240" w:lineRule="auto"/>
        <w:ind w:firstLine="0" w:firstLineChars="0"/>
        <w:jc w:val="center"/>
        <w:rPr>
          <w:rFonts w:eastAsia="宋体" w:hint="eastAsia"/>
        </w:rPr>
      </w:pPr>
      <w:r>
        <w:rPr>
          <w:rFonts w:hint="eastAsia"/>
          <w:lang w:eastAsia="zh-CN"/>
        </w:rPr>
        <w:t>表</w:t>
      </w:r>
      <w:r>
        <w:rPr>
          <w:rFonts w:hint="eastAsia"/>
          <w:lang w:val="en-US" w:eastAsia="zh-CN"/>
        </w:rPr>
        <w:t xml:space="preserve">1  </w:t>
      </w:r>
      <w:r>
        <w:rPr>
          <w:rFonts w:ascii="Times New Roman" w:hAnsi="Times New Roman" w:hint="eastAsia"/>
          <w:b w:val="0"/>
          <w:szCs w:val="21"/>
        </w:rPr>
        <w:t>火箭发射装置自动化改造</w:t>
      </w:r>
      <w:r>
        <w:rPr>
          <w:rFonts w:hint="eastAsia"/>
          <w:b w:val="0"/>
          <w:szCs w:val="21"/>
          <w:lang w:eastAsia="zh-CN"/>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17"/>
        <w:gridCol w:w="1418"/>
        <w:gridCol w:w="6768"/>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54"/>
          <w:jc w:val="center"/>
        </w:trPr>
        <w:tc>
          <w:tcPr>
            <w:tcW w:w="817" w:type="dxa"/>
            <w:shd w:val="clear" w:color="auto" w:fill="FFFFFF" w:themeFill="background1"/>
            <w:vAlign w:val="center"/>
          </w:tcPr>
          <w:p>
            <w:pPr>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序号</w:t>
            </w:r>
          </w:p>
        </w:tc>
        <w:tc>
          <w:tcPr>
            <w:tcW w:w="1418" w:type="dxa"/>
            <w:shd w:val="clear" w:color="auto" w:fill="FFFFFF" w:themeFill="background1"/>
            <w:vAlign w:val="center"/>
          </w:tcPr>
          <w:p>
            <w:pPr>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组成</w:t>
            </w:r>
          </w:p>
        </w:tc>
        <w:tc>
          <w:tcPr>
            <w:tcW w:w="6768" w:type="dxa"/>
            <w:vAlign w:val="center"/>
          </w:tcPr>
          <w:p>
            <w:pPr>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规格描述</w:t>
            </w:r>
          </w:p>
        </w:tc>
      </w:tr>
      <w:tr>
        <w:tblPrEx>
          <w:tblW w:w="5000" w:type="pct"/>
          <w:jc w:val="center"/>
          <w:tblLayout w:type="fixed"/>
          <w:tblCellMar>
            <w:top w:w="0" w:type="dxa"/>
            <w:left w:w="108" w:type="dxa"/>
            <w:bottom w:w="0" w:type="dxa"/>
            <w:right w:w="108" w:type="dxa"/>
          </w:tblCellMar>
        </w:tblPrEx>
        <w:trPr>
          <w:trHeight w:val="454"/>
          <w:jc w:val="center"/>
        </w:trPr>
        <w:tc>
          <w:tcPr>
            <w:tcW w:w="817" w:type="dxa"/>
            <w:vAlign w:val="center"/>
          </w:tcPr>
          <w:p>
            <w:pPr>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p>
        </w:tc>
        <w:tc>
          <w:tcPr>
            <w:tcW w:w="1418" w:type="dxa"/>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自动式方位高低机</w:t>
            </w:r>
          </w:p>
        </w:tc>
        <w:tc>
          <w:tcPr>
            <w:tcW w:w="6768" w:type="dxa"/>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1、方位角：0～360°；</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2、仰射角调整范围：22°～85°；</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3、仰射角调整速度：≥8 mm/s；方位角调整速度：</w:t>
            </w:r>
            <w:r>
              <w:rPr>
                <w:rFonts w:asciiTheme="minorEastAsia" w:eastAsiaTheme="minorEastAsia" w:hAnsiTheme="minorEastAsia" w:cstheme="minorEastAsia" w:hint="eastAsia"/>
                <w:bCs/>
                <w:sz w:val="22"/>
                <w:szCs w:val="22"/>
              </w:rPr>
              <w:t>≥5°</w:t>
            </w:r>
            <w:r>
              <w:rPr>
                <w:rFonts w:asciiTheme="minorEastAsia" w:eastAsiaTheme="minorEastAsia" w:hAnsiTheme="minorEastAsia" w:cstheme="minorEastAsia" w:hint="eastAsia"/>
                <w:sz w:val="22"/>
                <w:szCs w:val="22"/>
              </w:rPr>
              <w:t>/s；</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4、供电电源：直流12V；</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w:t>
            </w:r>
            <w:r>
              <w:rPr>
                <w:rFonts w:asciiTheme="minorEastAsia" w:eastAsia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发射方式：无线遥控点火发射、有线应急发射、通讯距离：≥50m；</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6、定位方式：GPS/北斗定位；</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7、工作环境温度：-20 ℃～50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8、工作环境湿度：10% RH～100% RH；</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9、防护等级：不低于IP65；</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lang w:val="en-US" w:eastAsia="zh-CN"/>
              </w:rPr>
              <w:t>10、适用原有发射导轨；</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r>
              <w:rPr>
                <w:rFonts w:asciiTheme="minorEastAsia" w:eastAsiaTheme="minorEastAsia" w:hAnsiTheme="minorEastAsia" w:cstheme="minorEastAsia" w:hint="eastAsia"/>
                <w:sz w:val="22"/>
                <w:szCs w:val="22"/>
                <w:lang w:val="en-US" w:eastAsia="zh-CN"/>
              </w:rPr>
              <w:t>1</w:t>
            </w:r>
            <w:r>
              <w:rPr>
                <w:rFonts w:asciiTheme="minorEastAsia" w:eastAsiaTheme="minorEastAsia" w:hAnsiTheme="minorEastAsia" w:cstheme="minorEastAsia" w:hint="eastAsia"/>
                <w:sz w:val="22"/>
                <w:szCs w:val="22"/>
              </w:rPr>
              <w:t>、质保：8年。</w:t>
            </w:r>
          </w:p>
        </w:tc>
      </w:tr>
      <w:tr>
        <w:tblPrEx>
          <w:tblW w:w="5000" w:type="pct"/>
          <w:jc w:val="center"/>
          <w:tblLayout w:type="fixed"/>
          <w:tblCellMar>
            <w:top w:w="0" w:type="dxa"/>
            <w:left w:w="108" w:type="dxa"/>
            <w:bottom w:w="0" w:type="dxa"/>
            <w:right w:w="108" w:type="dxa"/>
          </w:tblCellMar>
        </w:tblPrEx>
        <w:trPr>
          <w:trHeight w:val="454"/>
          <w:jc w:val="center"/>
        </w:trPr>
        <w:tc>
          <w:tcPr>
            <w:tcW w:w="817" w:type="dxa"/>
            <w:vAlign w:val="center"/>
          </w:tcPr>
          <w:p>
            <w:pPr>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w:t>
            </w:r>
          </w:p>
        </w:tc>
        <w:tc>
          <w:tcPr>
            <w:tcW w:w="1418" w:type="dxa"/>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BKCF8-1无线安全锁定器</w:t>
            </w:r>
          </w:p>
        </w:tc>
        <w:tc>
          <w:tcPr>
            <w:tcW w:w="6768" w:type="dxa"/>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1、通讯距离：≥50 m；</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2、内部电源：3.7 V5200 mAh锂电池；</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3、密码元素组成：锁定器的输入键盘由0～9阿拉伯数字和*、#组成，实现密码输入；</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4、密码组成：锁定器可存储不少于20组以上的密码（操作员不少于17组，管理员不少于3组），密码由0～9阿拉伯数字和*、#组成，6位的纯数字型密码（操作员使用）；6位的数字加字符混合密码（管理员使用）；</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5、火箭控制接口数量： ≥8个；</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开机密码设置：2人及以上操作员采用双密码/多密码（由管理员选择设置“双密/多密码”）在1分钟内完成成组输入后，验证其有效性。若成组输入密码超时，需重新成组输入双密码/多密码。成组输入密码连续输入错误6次，数字型密码身份识别器自动关闭密码输入功能，并提示只有在管理员输入管理密码后，才能再次开启密码输入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7、指纹识别存储容量：≥20人（每人10枚，共200枚指纹）；</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8、指纹识别认假率：＜0.001 %；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 指纹识别拒真率：＜1.0 %；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10、指纹识别搜索时间：＜3 s；</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11、连续工作时间：≥8 h；</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12、 正弦稳态振动试验:在位移1.5 mm，加速度5 m/s</w:t>
            </w:r>
            <w:r>
              <w:rPr>
                <w:rFonts w:asciiTheme="minorEastAsia" w:eastAsiaTheme="minorEastAsia" w:hAnsiTheme="minorEastAsia" w:cstheme="minorEastAsia" w:hint="eastAsia"/>
                <w:sz w:val="22"/>
                <w:szCs w:val="22"/>
                <w:vertAlign w:val="superscript"/>
              </w:rPr>
              <w:t>2</w:t>
            </w:r>
            <w:r>
              <w:rPr>
                <w:rFonts w:asciiTheme="minorEastAsia" w:eastAsiaTheme="minorEastAsia" w:hAnsiTheme="minorEastAsia" w:cstheme="minorEastAsia" w:hint="eastAsia"/>
                <w:sz w:val="22"/>
                <w:szCs w:val="22"/>
              </w:rPr>
              <w:t>，频率2 Hz～9 Hz，9 Hz～200 Hz的条件下持续时间40分钟；</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13、非稳态振动试验</w:t>
            </w:r>
            <w:r>
              <w:rPr>
                <w:rFonts w:asciiTheme="minorEastAsia" w:eastAsia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在峰值加速度40 m/s</w:t>
            </w:r>
            <w:r>
              <w:rPr>
                <w:rFonts w:asciiTheme="minorEastAsia" w:eastAsiaTheme="minorEastAsia" w:hAnsiTheme="minorEastAsia" w:cstheme="minorEastAsia" w:hint="eastAsia"/>
                <w:sz w:val="22"/>
                <w:szCs w:val="22"/>
                <w:vertAlign w:val="superscript"/>
              </w:rPr>
              <w:t>2</w:t>
            </w:r>
            <w:r>
              <w:rPr>
                <w:rFonts w:asciiTheme="minorEastAsia" w:eastAsiaTheme="minorEastAsia" w:hAnsiTheme="minorEastAsia" w:cstheme="minorEastAsia" w:hint="eastAsia"/>
                <w:sz w:val="22"/>
                <w:szCs w:val="22"/>
              </w:rPr>
              <w:t>的下，持续时间11 ms的冲击台上连续冲击三次；</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14、防水等级：5级；</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15、防尘等级：6级；</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16、耐腐蚀等级：其金属零部件应进行表面防腐处理，经中性盐雾腐蚀（NSS法）48小时后，保护评级达到6级；</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17、工作环境温度：-20 ℃～50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18、工作环境湿度：10% RH～100% RH；</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19、质保8年。</w:t>
            </w:r>
          </w:p>
        </w:tc>
      </w:tr>
      <w:tr>
        <w:tblPrEx>
          <w:tblW w:w="5000" w:type="pct"/>
          <w:jc w:val="center"/>
          <w:tblLayout w:type="fixed"/>
          <w:tblCellMar>
            <w:top w:w="0" w:type="dxa"/>
            <w:left w:w="108" w:type="dxa"/>
            <w:bottom w:w="0" w:type="dxa"/>
            <w:right w:w="108" w:type="dxa"/>
          </w:tblCellMar>
        </w:tblPrEx>
        <w:trPr>
          <w:trHeight w:val="454"/>
          <w:jc w:val="center"/>
        </w:trPr>
        <w:tc>
          <w:tcPr>
            <w:tcW w:w="817" w:type="dxa"/>
            <w:vAlign w:val="center"/>
          </w:tcPr>
          <w:p>
            <w:pPr>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w:t>
            </w:r>
          </w:p>
        </w:tc>
        <w:tc>
          <w:tcPr>
            <w:tcW w:w="1418" w:type="dxa"/>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RTK双天线定方位罗盘</w:t>
            </w:r>
          </w:p>
        </w:tc>
        <w:tc>
          <w:tcPr>
            <w:tcW w:w="6768" w:type="dxa"/>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1、方位定位精度：1°，测量精度1°；</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2、定位角度范围：0～360°；</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3、定位时间：≤60s；</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4、功率：≤5w；</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5、可收纳；</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6、使用范围：空旷户外，无遮挡物；</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7、质保8年。</w:t>
            </w:r>
          </w:p>
        </w:tc>
      </w:tr>
      <w:tr>
        <w:tblPrEx>
          <w:tblW w:w="5000" w:type="pct"/>
          <w:jc w:val="center"/>
          <w:tblLayout w:type="fixed"/>
          <w:tblCellMar>
            <w:top w:w="0" w:type="dxa"/>
            <w:left w:w="108" w:type="dxa"/>
            <w:bottom w:w="0" w:type="dxa"/>
            <w:right w:w="108" w:type="dxa"/>
          </w:tblCellMar>
        </w:tblPrEx>
        <w:trPr>
          <w:trHeight w:val="454"/>
          <w:jc w:val="center"/>
        </w:trPr>
        <w:tc>
          <w:tcPr>
            <w:tcW w:w="817" w:type="dxa"/>
            <w:vAlign w:val="center"/>
          </w:tcPr>
          <w:p>
            <w:pPr>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lang w:val="en-US" w:eastAsia="zh-CN"/>
              </w:rPr>
              <w:t>4</w:t>
            </w:r>
          </w:p>
        </w:tc>
        <w:tc>
          <w:tcPr>
            <w:tcW w:w="1418" w:type="dxa"/>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质量保证</w:t>
            </w:r>
          </w:p>
        </w:tc>
        <w:tc>
          <w:tcPr>
            <w:tcW w:w="6768" w:type="dxa"/>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对旧发射架存在的适配问题进行解决和升级。</w:t>
            </w:r>
          </w:p>
        </w:tc>
      </w:tr>
    </w:tbl>
    <w:p>
      <w:pPr>
        <w:spacing w:line="240" w:lineRule="auto"/>
        <w:ind w:firstLine="420" w:firstLineChars="200"/>
        <w:jc w:val="both"/>
        <w:rPr>
          <w:rFonts w:ascii="宋体" w:hAnsi="宋体" w:hint="eastAsia"/>
          <w:szCs w:val="21"/>
          <w:highlight w:val="none"/>
        </w:rPr>
      </w:pPr>
    </w:p>
    <w:p>
      <w:pPr>
        <w:spacing w:line="240" w:lineRule="auto"/>
        <w:ind w:firstLine="0" w:firstLineChars="0"/>
        <w:jc w:val="both"/>
        <w:rPr>
          <w:rFonts w:ascii="宋体" w:hAnsi="宋体" w:hint="eastAsia"/>
          <w:szCs w:val="21"/>
          <w:highlight w:val="none"/>
        </w:rPr>
      </w:pPr>
    </w:p>
    <w:p>
      <w:pPr>
        <w:spacing w:line="240" w:lineRule="auto"/>
        <w:ind w:firstLine="0" w:firstLineChars="0"/>
        <w:jc w:val="center"/>
        <w:rPr>
          <w:rFonts w:ascii="宋体" w:hAnsi="宋体" w:hint="eastAsia"/>
          <w:szCs w:val="21"/>
          <w:highlight w:val="none"/>
        </w:rPr>
      </w:pPr>
      <w:r>
        <w:rPr>
          <w:rFonts w:ascii="宋体" w:hAnsi="宋体" w:hint="eastAsia"/>
          <w:szCs w:val="21"/>
          <w:highlight w:val="none"/>
          <w:lang w:eastAsia="zh-CN"/>
        </w:rPr>
        <w:t>表</w:t>
      </w:r>
      <w:r>
        <w:rPr>
          <w:rFonts w:ascii="宋体" w:hAnsi="宋体" w:hint="eastAsia"/>
          <w:szCs w:val="21"/>
          <w:highlight w:val="none"/>
          <w:lang w:val="en-US" w:eastAsia="zh-CN"/>
        </w:rPr>
        <w:t xml:space="preserve">2  </w:t>
      </w:r>
      <w:r>
        <w:rPr>
          <w:rFonts w:ascii="宋体" w:hAnsi="宋体" w:hint="eastAsia"/>
          <w:szCs w:val="21"/>
          <w:highlight w:val="none"/>
        </w:rPr>
        <w:t>火箭作业安全监控终端</w:t>
      </w:r>
      <w:r>
        <w:rPr>
          <w:rFonts w:hint="eastAsia"/>
          <w:b w:val="0"/>
          <w:szCs w:val="21"/>
          <w:lang w:eastAsia="zh-CN"/>
        </w:rPr>
        <w:t>技术性能指标</w:t>
      </w:r>
    </w:p>
    <w:tbl>
      <w:tblPr>
        <w:tblStyle w:val="TableNormal"/>
        <w:tblW w:w="4999"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Grid>
        <w:gridCol w:w="823"/>
        <w:gridCol w:w="1265"/>
        <w:gridCol w:w="6432"/>
      </w:tblGrid>
      <w:tr>
        <w:tblPrEx>
          <w:tblW w:w="4999"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Ex>
        <w:trPr>
          <w:trHeight w:val="454"/>
          <w:jc w:val="center"/>
        </w:trPr>
        <w:tc>
          <w:tcPr>
            <w:tcW w:w="483" w:type="pct"/>
            <w:tcBorders>
              <w:tl2br w:val="nil"/>
              <w:tr2bl w:val="nil"/>
            </w:tcBorders>
            <w:shd w:val="clear" w:color="auto" w:fill="BFBFBF" w:themeFill="background1" w:themeFillShade="BF"/>
            <w:noWrap w:val="0"/>
            <w:vAlign w:val="center"/>
          </w:tcPr>
          <w:p>
            <w:pPr>
              <w:pStyle w:val="a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序号</w:t>
            </w:r>
          </w:p>
        </w:tc>
        <w:tc>
          <w:tcPr>
            <w:tcW w:w="742" w:type="pct"/>
            <w:tcBorders>
              <w:tl2br w:val="nil"/>
              <w:tr2bl w:val="nil"/>
            </w:tcBorders>
            <w:shd w:val="clear" w:color="auto" w:fill="BFBFBF" w:themeFill="background1" w:themeFillShade="BF"/>
            <w:noWrap w:val="0"/>
            <w:vAlign w:val="center"/>
          </w:tcPr>
          <w:p>
            <w:pPr>
              <w:pStyle w:val="a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组成</w:t>
            </w:r>
          </w:p>
        </w:tc>
        <w:tc>
          <w:tcPr>
            <w:tcW w:w="3773" w:type="pct"/>
            <w:tcBorders>
              <w:tl2br w:val="nil"/>
              <w:tr2bl w:val="nil"/>
            </w:tcBorders>
            <w:shd w:val="clear" w:color="auto" w:fill="BFBFBF" w:themeFill="background1" w:themeFillShade="BF"/>
            <w:noWrap w:val="0"/>
            <w:vAlign w:val="center"/>
          </w:tcPr>
          <w:p>
            <w:pPr>
              <w:pStyle w:val="a1"/>
              <w:keepNext w:val="0"/>
              <w:keepLines w:val="0"/>
              <w:pageBreakBefore w:val="0"/>
              <w:widowControl w:val="0"/>
              <w:kinsoku/>
              <w:wordWrap/>
              <w:overflowPunct/>
              <w:topLinePunct w:val="0"/>
              <w:autoSpaceDE/>
              <w:autoSpaceDN/>
              <w:bidi w:val="0"/>
              <w:adjustRightInd/>
              <w:snapToGrid/>
              <w:spacing w:line="360" w:lineRule="exact"/>
              <w:ind w:firstLine="0" w:firstLineChars="0"/>
              <w:jc w:val="center"/>
              <w:textAlignment w:val="auto"/>
              <w:rPr>
                <w:rFonts w:asciiTheme="minorEastAsia" w:eastAsiaTheme="minorEastAsia" w:hAnsiTheme="minorEastAsia" w:cstheme="minorEastAsia" w:hint="eastAsia"/>
                <w:b/>
                <w:sz w:val="22"/>
                <w:szCs w:val="22"/>
              </w:rPr>
            </w:pPr>
            <w:r>
              <w:rPr>
                <w:rFonts w:asciiTheme="minorEastAsia" w:eastAsiaTheme="minorEastAsia" w:hAnsiTheme="minorEastAsia" w:cstheme="minorEastAsia" w:hint="eastAsia"/>
                <w:b/>
                <w:sz w:val="22"/>
                <w:szCs w:val="22"/>
              </w:rPr>
              <w:t>规格描述</w:t>
            </w:r>
          </w:p>
        </w:tc>
      </w:tr>
      <w:tr>
        <w:tblPrEx>
          <w:tblW w:w="4999" w:type="pct"/>
          <w:jc w:val="center"/>
          <w:tblCellMar>
            <w:top w:w="0" w:type="dxa"/>
            <w:left w:w="108" w:type="dxa"/>
            <w:bottom w:w="0" w:type="dxa"/>
            <w:right w:w="108" w:type="dxa"/>
          </w:tblCellMar>
        </w:tblPrEx>
        <w:trPr>
          <w:trHeight w:val="454"/>
          <w:jc w:val="center"/>
        </w:trPr>
        <w:tc>
          <w:tcPr>
            <w:tcW w:w="483" w:type="pct"/>
            <w:vMerge w:val="restart"/>
            <w:tcBorders>
              <w:tl2br w:val="nil"/>
              <w:tr2bl w:val="nil"/>
            </w:tcBorders>
            <w:noWrap w:val="0"/>
            <w:vAlign w:val="center"/>
          </w:tcPr>
          <w:p>
            <w:pPr>
              <w:widowControl/>
              <w:ind w:firstLine="0" w:firstLineChars="0"/>
              <w:jc w:val="center"/>
              <w:rPr>
                <w:rFonts w:asciiTheme="minorEastAsia" w:hAnsiTheme="minorEastAsia" w:cstheme="minorEastAsia" w:hint="eastAsia"/>
                <w:kern w:val="0"/>
                <w:sz w:val="22"/>
              </w:rPr>
            </w:pPr>
            <w:r>
              <w:rPr>
                <w:rFonts w:asciiTheme="minorEastAsia" w:eastAsiaTheme="minorEastAsia" w:hAnsiTheme="minorEastAsia" w:cstheme="minorEastAsia" w:hint="eastAsia"/>
                <w:kern w:val="0"/>
                <w:sz w:val="22"/>
                <w:szCs w:val="22"/>
              </w:rPr>
              <w:t>1</w:t>
            </w:r>
          </w:p>
        </w:tc>
        <w:tc>
          <w:tcPr>
            <w:tcW w:w="742" w:type="pct"/>
            <w:vMerge w:val="restar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接口参数</w:t>
            </w: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供电电压范围：9V～32V；</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终端数据接口：默认RS485；</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具备WIFI通信接口。</w:t>
            </w:r>
          </w:p>
        </w:tc>
      </w:tr>
      <w:tr>
        <w:tblPrEx>
          <w:tblW w:w="4999" w:type="pct"/>
          <w:jc w:val="center"/>
          <w:tblCellMar>
            <w:top w:w="0" w:type="dxa"/>
            <w:left w:w="108" w:type="dxa"/>
            <w:bottom w:w="0" w:type="dxa"/>
            <w:right w:w="108" w:type="dxa"/>
          </w:tblCellMar>
        </w:tblPrEx>
        <w:trPr>
          <w:trHeight w:val="454"/>
          <w:jc w:val="center"/>
        </w:trPr>
        <w:tc>
          <w:tcPr>
            <w:tcW w:w="483" w:type="pct"/>
            <w:vMerge w:val="restart"/>
            <w:tcBorders>
              <w:tl2br w:val="nil"/>
              <w:tr2bl w:val="nil"/>
            </w:tcBorders>
            <w:noWrap w:val="0"/>
            <w:vAlign w:val="center"/>
          </w:tcPr>
          <w:p>
            <w:pPr>
              <w:widowControl/>
              <w:ind w:firstLine="0" w:firstLineChars="0"/>
              <w:jc w:val="center"/>
              <w:rPr>
                <w:rFonts w:asciiTheme="minorEastAsia" w:hAnsiTheme="minorEastAsia" w:cstheme="minorEastAsia" w:hint="eastAsia"/>
                <w:kern w:val="0"/>
                <w:sz w:val="22"/>
              </w:rPr>
            </w:pPr>
            <w:r>
              <w:rPr>
                <w:rFonts w:asciiTheme="minorEastAsia" w:eastAsiaTheme="minorEastAsia" w:hAnsiTheme="minorEastAsia" w:cstheme="minorEastAsia" w:hint="eastAsia"/>
                <w:kern w:val="0"/>
                <w:sz w:val="22"/>
                <w:szCs w:val="22"/>
              </w:rPr>
              <w:t>2</w:t>
            </w:r>
          </w:p>
        </w:tc>
        <w:tc>
          <w:tcPr>
            <w:tcW w:w="742" w:type="pct"/>
            <w:vMerge w:val="restar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性能指标</w:t>
            </w: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连续工作时间：≥8 h；</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0" w:firstLineChars="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0" w:firstLineChars="0"/>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防护等级：不小于IP65；</w:t>
            </w:r>
          </w:p>
        </w:tc>
      </w:tr>
      <w:tr>
        <w:tblPrEx>
          <w:tblW w:w="4999" w:type="pct"/>
          <w:jc w:val="center"/>
          <w:tblCellMar>
            <w:top w:w="0" w:type="dxa"/>
            <w:left w:w="108" w:type="dxa"/>
            <w:bottom w:w="0" w:type="dxa"/>
            <w:right w:w="108" w:type="dxa"/>
          </w:tblCellMar>
        </w:tblPrEx>
        <w:trPr>
          <w:trHeight w:val="90"/>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工作温度：-30°C～70°C；</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尺寸：直径≤120mm，高度≤90mm；</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重量：≤500g。</w:t>
            </w:r>
          </w:p>
        </w:tc>
      </w:tr>
      <w:tr>
        <w:tblPrEx>
          <w:tblW w:w="4999" w:type="pct"/>
          <w:jc w:val="center"/>
          <w:tblCellMar>
            <w:top w:w="0" w:type="dxa"/>
            <w:left w:w="108" w:type="dxa"/>
            <w:bottom w:w="0" w:type="dxa"/>
            <w:right w:w="108" w:type="dxa"/>
          </w:tblCellMar>
        </w:tblPrEx>
        <w:trPr>
          <w:trHeight w:val="454"/>
          <w:jc w:val="center"/>
        </w:trPr>
        <w:tc>
          <w:tcPr>
            <w:tcW w:w="483" w:type="pct"/>
            <w:vMerge w:val="restart"/>
            <w:tcBorders>
              <w:tl2br w:val="nil"/>
              <w:tr2bl w:val="nil"/>
            </w:tcBorders>
            <w:noWrap w:val="0"/>
            <w:vAlign w:val="center"/>
          </w:tcPr>
          <w:p>
            <w:pPr>
              <w:widowControl/>
              <w:ind w:firstLine="0" w:firstLineChars="0"/>
              <w:jc w:val="center"/>
              <w:rPr>
                <w:rFonts w:asciiTheme="minorEastAsia" w:hAnsiTheme="minorEastAsia" w:cstheme="minorEastAsia" w:hint="eastAsia"/>
                <w:kern w:val="0"/>
                <w:sz w:val="22"/>
              </w:rPr>
            </w:pPr>
            <w:r>
              <w:rPr>
                <w:rFonts w:asciiTheme="minorEastAsia" w:eastAsiaTheme="minorEastAsia" w:hAnsiTheme="minorEastAsia" w:cstheme="minorEastAsia" w:hint="eastAsia"/>
                <w:kern w:val="0"/>
                <w:sz w:val="22"/>
                <w:szCs w:val="22"/>
              </w:rPr>
              <w:t>3</w:t>
            </w:r>
          </w:p>
        </w:tc>
        <w:tc>
          <w:tcPr>
            <w:tcW w:w="742" w:type="pct"/>
            <w:vMerge w:val="restar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color w:val="auto"/>
                <w:sz w:val="22"/>
                <w:szCs w:val="22"/>
              </w:rPr>
              <w:t>卫星通信</w:t>
            </w:r>
          </w:p>
        </w:tc>
        <w:tc>
          <w:tcPr>
            <w:tcW w:w="3773" w:type="pct"/>
            <w:tcBorders>
              <w:tl2br w:val="nil"/>
              <w:tr2bl w:val="nil"/>
            </w:tcBorders>
            <w:noWrap w:val="0"/>
            <w:vAlign w:val="center"/>
          </w:tcPr>
          <w:p>
            <w:pPr>
              <w:widowControl/>
              <w:kinsoku w:val="0"/>
              <w:autoSpaceDE w:val="0"/>
              <w:autoSpaceDN w:val="0"/>
              <w:adjustRightInd w:val="0"/>
              <w:snapToGrid w:val="0"/>
              <w:spacing w:line="240" w:lineRule="auto"/>
              <w:ind w:firstLine="0" w:firstLineChars="0"/>
              <w:textAlignment w:val="baseline"/>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接收灵敏度：-130dBm（8Kbps）、-127.5dBm（16Kbps）、-123.8dBm（24Kbps）；</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color w:val="000000"/>
                <w:kern w:val="0"/>
                <w:sz w:val="22"/>
                <w:lang w:bidi="ar"/>
              </w:rPr>
            </w:pPr>
            <w:r>
              <w:rPr>
                <w:rFonts w:asciiTheme="minorEastAsia" w:eastAsiaTheme="minorEastAsia" w:hAnsiTheme="minorEastAsia" w:cstheme="minorEastAsia" w:hint="eastAsia"/>
                <w:color w:val="000000"/>
                <w:kern w:val="0"/>
                <w:sz w:val="22"/>
                <w:szCs w:val="22"/>
                <w:lang w:bidi="ar"/>
              </w:rPr>
              <w:t>发射功率：37.0dBm±0.5dB；</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color w:val="000000"/>
                <w:kern w:val="0"/>
                <w:sz w:val="22"/>
                <w:lang w:bidi="ar"/>
              </w:rPr>
            </w:pPr>
            <w:r>
              <w:rPr>
                <w:rFonts w:asciiTheme="minorEastAsia" w:eastAsiaTheme="minorEastAsia" w:hAnsiTheme="minorEastAsia" w:cstheme="minorEastAsia" w:hint="eastAsia"/>
                <w:color w:val="000000"/>
                <w:kern w:val="0"/>
                <w:sz w:val="22"/>
                <w:szCs w:val="22"/>
                <w:lang w:bidi="ar"/>
              </w:rPr>
              <w:t>双向零值：均值1ms±10ns；</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color w:val="000000"/>
                <w:kern w:val="0"/>
                <w:sz w:val="22"/>
                <w:lang w:bidi="ar"/>
              </w:rPr>
            </w:pPr>
            <w:r>
              <w:rPr>
                <w:rFonts w:asciiTheme="minorEastAsia" w:eastAsiaTheme="minorEastAsia" w:hAnsiTheme="minorEastAsia" w:cstheme="minorEastAsia" w:hint="eastAsia"/>
                <w:color w:val="000000"/>
                <w:kern w:val="0"/>
                <w:sz w:val="22"/>
                <w:szCs w:val="22"/>
                <w:lang w:bidi="ar"/>
              </w:rPr>
              <w:t>双通道时差测量误差：方差＜5ns；</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widowControl/>
              <w:ind w:firstLine="420"/>
              <w:jc w:val="center"/>
              <w:rPr>
                <w:rFonts w:asciiTheme="minorEastAsia" w:hAnsiTheme="minorEastAsia" w:cstheme="minorEastAsia" w:hint="eastAsia"/>
                <w:kern w:val="0"/>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color w:val="000000"/>
                <w:kern w:val="0"/>
                <w:sz w:val="22"/>
                <w:lang w:bidi="ar"/>
              </w:rPr>
            </w:pPr>
            <w:r>
              <w:rPr>
                <w:rFonts w:asciiTheme="minorEastAsia" w:eastAsiaTheme="minorEastAsia" w:hAnsiTheme="minorEastAsia" w:cstheme="minorEastAsia" w:hint="eastAsia"/>
                <w:color w:val="000000"/>
                <w:kern w:val="0"/>
                <w:sz w:val="22"/>
                <w:szCs w:val="22"/>
                <w:lang w:bidi="ar"/>
              </w:rPr>
              <w:t>发射频率准确度：优于5×10</w:t>
            </w:r>
            <w:r>
              <w:rPr>
                <w:rFonts w:asciiTheme="minorEastAsia" w:eastAsiaTheme="minorEastAsia" w:hAnsiTheme="minorEastAsia" w:cstheme="minorEastAsia" w:hint="eastAsia"/>
                <w:color w:val="000000"/>
                <w:kern w:val="0"/>
                <w:sz w:val="22"/>
                <w:szCs w:val="22"/>
                <w:vertAlign w:val="superscript"/>
                <w:lang w:bidi="ar"/>
              </w:rPr>
              <w:t>-7</w:t>
            </w:r>
            <w:r>
              <w:rPr>
                <w:rFonts w:asciiTheme="minorEastAsia" w:eastAsiaTheme="minorEastAsia" w:hAnsiTheme="minorEastAsia" w:cstheme="minorEastAsia" w:hint="eastAsia"/>
                <w:color w:val="000000"/>
                <w:kern w:val="0"/>
                <w:sz w:val="22"/>
                <w:szCs w:val="22"/>
                <w:lang w:bidi="ar"/>
              </w:rPr>
              <w:t>。</w:t>
            </w:r>
          </w:p>
        </w:tc>
      </w:tr>
      <w:tr>
        <w:tblPrEx>
          <w:tblW w:w="4999" w:type="pct"/>
          <w:jc w:val="center"/>
          <w:tblCellMar>
            <w:top w:w="0" w:type="dxa"/>
            <w:left w:w="108" w:type="dxa"/>
            <w:bottom w:w="0" w:type="dxa"/>
            <w:right w:w="108" w:type="dxa"/>
          </w:tblCellMar>
        </w:tblPrEx>
        <w:trPr>
          <w:trHeight w:val="454"/>
          <w:jc w:val="center"/>
        </w:trPr>
        <w:tc>
          <w:tcPr>
            <w:tcW w:w="483" w:type="pct"/>
            <w:vMerge w:val="restart"/>
            <w:tcBorders>
              <w:tl2br w:val="nil"/>
              <w:tr2bl w:val="nil"/>
            </w:tcBorders>
            <w:noWrap w:val="0"/>
            <w:vAlign w:val="center"/>
          </w:tcPr>
          <w:p>
            <w:pPr>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w:t>
            </w:r>
          </w:p>
        </w:tc>
        <w:tc>
          <w:tcPr>
            <w:tcW w:w="742" w:type="pct"/>
            <w:vMerge w:val="restar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定位</w:t>
            </w: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接收频率：BDS B1I，B1C；</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协议版本：NMEA0183，兼容北斗；</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通道数目：32通道及以上；</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冷启动时间：≤40s；</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热启动时间：≤3s；</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捕获灵敏度：-148dBm；</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定位精度：&lt;10m。</w:t>
            </w:r>
          </w:p>
        </w:tc>
      </w:tr>
      <w:tr>
        <w:tblPrEx>
          <w:tblW w:w="4999" w:type="pct"/>
          <w:jc w:val="center"/>
          <w:tblCellMar>
            <w:top w:w="0" w:type="dxa"/>
            <w:left w:w="108" w:type="dxa"/>
            <w:bottom w:w="0" w:type="dxa"/>
            <w:right w:w="108" w:type="dxa"/>
          </w:tblCellMar>
        </w:tblPrEx>
        <w:trPr>
          <w:trHeight w:val="454"/>
          <w:jc w:val="center"/>
        </w:trPr>
        <w:tc>
          <w:tcPr>
            <w:tcW w:w="483" w:type="pct"/>
            <w:vMerge w:val="restart"/>
            <w:tcBorders>
              <w:tl2br w:val="nil"/>
              <w:tr2bl w:val="nil"/>
            </w:tcBorders>
            <w:noWrap w:val="0"/>
            <w:vAlign w:val="center"/>
          </w:tcPr>
          <w:p>
            <w:pPr>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w:t>
            </w:r>
          </w:p>
        </w:tc>
        <w:tc>
          <w:tcPr>
            <w:tcW w:w="742" w:type="pct"/>
            <w:vMerge w:val="restar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加密</w:t>
            </w: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支持加密方式：DES/TDES/AES/SHA1/SHA256/RSA/；</w:t>
            </w:r>
          </w:p>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国密SM1/2/3/4/7；</w:t>
            </w:r>
          </w:p>
        </w:tc>
      </w:tr>
      <w:tr>
        <w:tblPrEx>
          <w:tblW w:w="4999" w:type="pct"/>
          <w:jc w:val="center"/>
          <w:tblCellMar>
            <w:top w:w="0" w:type="dxa"/>
            <w:left w:w="108" w:type="dxa"/>
            <w:bottom w:w="0" w:type="dxa"/>
            <w:right w:w="108" w:type="dxa"/>
          </w:tblCellMar>
        </w:tblPrEx>
        <w:trPr>
          <w:trHeight w:val="454"/>
          <w:jc w:val="center"/>
        </w:trPr>
        <w:tc>
          <w:tcPr>
            <w:tcW w:w="483"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742" w:type="pct"/>
            <w:vMerge/>
            <w:tcBorders>
              <w:tl2br w:val="nil"/>
              <w:tr2bl w:val="nil"/>
            </w:tcBorders>
            <w:noWrap w:val="0"/>
            <w:vAlign w:val="center"/>
          </w:tcPr>
          <w:p>
            <w:pPr>
              <w:ind w:firstLine="420"/>
              <w:jc w:val="center"/>
              <w:rPr>
                <w:rFonts w:asciiTheme="minorEastAsia" w:hAnsiTheme="minorEastAsia" w:cstheme="minorEastAsia" w:hint="eastAsia"/>
                <w:sz w:val="22"/>
              </w:rPr>
            </w:pP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算法移植：支持，具备算法下载更新</w:t>
            </w:r>
            <w:r>
              <w:rPr>
                <w:rFonts w:asciiTheme="minorEastAsia" w:eastAsiaTheme="minorEastAsia" w:hAnsiTheme="minorEastAsia" w:cstheme="minorEastAsia" w:hint="eastAsia"/>
                <w:sz w:val="22"/>
                <w:szCs w:val="22"/>
                <w:lang w:eastAsia="zh-CN"/>
              </w:rPr>
              <w:t>。</w:t>
            </w:r>
          </w:p>
        </w:tc>
      </w:tr>
      <w:tr>
        <w:tblPrEx>
          <w:tblW w:w="4999" w:type="pct"/>
          <w:jc w:val="center"/>
          <w:tblCellMar>
            <w:top w:w="0" w:type="dxa"/>
            <w:left w:w="108" w:type="dxa"/>
            <w:bottom w:w="0" w:type="dxa"/>
            <w:right w:w="108" w:type="dxa"/>
          </w:tblCellMar>
        </w:tblPrEx>
        <w:trPr>
          <w:trHeight w:val="454"/>
          <w:jc w:val="center"/>
        </w:trPr>
        <w:tc>
          <w:tcPr>
            <w:tcW w:w="483" w:type="pct"/>
            <w:tcBorders>
              <w:tl2br w:val="nil"/>
              <w:tr2bl w:val="nil"/>
            </w:tcBorders>
            <w:noWrap w:val="0"/>
            <w:vAlign w:val="center"/>
          </w:tcPr>
          <w:p>
            <w:pPr>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w:t>
            </w:r>
          </w:p>
        </w:tc>
        <w:tc>
          <w:tcPr>
            <w:tcW w:w="742" w:type="pc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4G</w:t>
            </w: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网络制式：LTE FDD: B1/B3/B5/B8；</w:t>
            </w:r>
          </w:p>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LTE TDD: B34/B38/B39/B40/B41</w:t>
            </w:r>
            <w:r>
              <w:rPr>
                <w:rFonts w:asciiTheme="minorEastAsia" w:eastAsiaTheme="minorEastAsia" w:hAnsiTheme="minorEastAsia" w:cstheme="minorEastAsia" w:hint="eastAsia"/>
                <w:sz w:val="22"/>
                <w:szCs w:val="22"/>
                <w:lang w:eastAsia="zh-CN"/>
              </w:rPr>
              <w:t>。</w:t>
            </w:r>
          </w:p>
        </w:tc>
      </w:tr>
      <w:tr>
        <w:tblPrEx>
          <w:tblW w:w="4999" w:type="pct"/>
          <w:jc w:val="center"/>
          <w:tblCellMar>
            <w:top w:w="0" w:type="dxa"/>
            <w:left w:w="108" w:type="dxa"/>
            <w:bottom w:w="0" w:type="dxa"/>
            <w:right w:w="108" w:type="dxa"/>
          </w:tblCellMar>
        </w:tblPrEx>
        <w:trPr>
          <w:trHeight w:val="454"/>
          <w:jc w:val="center"/>
        </w:trPr>
        <w:tc>
          <w:tcPr>
            <w:tcW w:w="483" w:type="pct"/>
            <w:tcBorders>
              <w:tl2br w:val="nil"/>
              <w:tr2bl w:val="nil"/>
            </w:tcBorders>
            <w:noWrap w:val="0"/>
            <w:vAlign w:val="center"/>
          </w:tcPr>
          <w:p>
            <w:pPr>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w:t>
            </w:r>
          </w:p>
        </w:tc>
        <w:tc>
          <w:tcPr>
            <w:tcW w:w="742" w:type="pc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WIFI</w:t>
            </w: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网络制式：802.11 b/g/n</w:t>
            </w:r>
            <w:r>
              <w:rPr>
                <w:rFonts w:asciiTheme="minorEastAsia" w:eastAsiaTheme="minorEastAsia" w:hAnsiTheme="minorEastAsia" w:cstheme="minorEastAsia" w:hint="eastAsia"/>
                <w:sz w:val="22"/>
                <w:szCs w:val="22"/>
                <w:lang w:eastAsia="zh-CN"/>
              </w:rPr>
              <w:t>。</w:t>
            </w:r>
          </w:p>
        </w:tc>
      </w:tr>
      <w:tr>
        <w:tblPrEx>
          <w:tblW w:w="4999" w:type="pct"/>
          <w:jc w:val="center"/>
          <w:tblCellMar>
            <w:top w:w="0" w:type="dxa"/>
            <w:left w:w="108" w:type="dxa"/>
            <w:bottom w:w="0" w:type="dxa"/>
            <w:right w:w="108" w:type="dxa"/>
          </w:tblCellMar>
        </w:tblPrEx>
        <w:trPr>
          <w:trHeight w:val="454"/>
          <w:jc w:val="center"/>
        </w:trPr>
        <w:tc>
          <w:tcPr>
            <w:tcW w:w="483" w:type="pct"/>
            <w:tcBorders>
              <w:tl2br w:val="nil"/>
              <w:tr2bl w:val="nil"/>
            </w:tcBorders>
            <w:noWrap w:val="0"/>
            <w:vAlign w:val="center"/>
          </w:tcPr>
          <w:p>
            <w:pPr>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w:t>
            </w:r>
          </w:p>
        </w:tc>
        <w:tc>
          <w:tcPr>
            <w:tcW w:w="742" w:type="pc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有线</w:t>
            </w: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RS485：默认参数：115200 8N1</w:t>
            </w:r>
            <w:r>
              <w:rPr>
                <w:rFonts w:asciiTheme="minorEastAsia" w:eastAsiaTheme="minorEastAsia" w:hAnsiTheme="minorEastAsia" w:cstheme="minorEastAsia" w:hint="eastAsia"/>
                <w:sz w:val="22"/>
                <w:szCs w:val="22"/>
                <w:lang w:eastAsia="zh-CN"/>
              </w:rPr>
              <w:t>。</w:t>
            </w:r>
          </w:p>
        </w:tc>
      </w:tr>
      <w:tr>
        <w:tblPrEx>
          <w:tblW w:w="4999" w:type="pct"/>
          <w:jc w:val="center"/>
          <w:tblCellMar>
            <w:top w:w="0" w:type="dxa"/>
            <w:left w:w="108" w:type="dxa"/>
            <w:bottom w:w="0" w:type="dxa"/>
            <w:right w:w="108" w:type="dxa"/>
          </w:tblCellMar>
        </w:tblPrEx>
        <w:trPr>
          <w:trHeight w:val="454"/>
          <w:jc w:val="center"/>
        </w:trPr>
        <w:tc>
          <w:tcPr>
            <w:tcW w:w="483" w:type="pct"/>
            <w:tcBorders>
              <w:tl2br w:val="nil"/>
              <w:tr2bl w:val="nil"/>
            </w:tcBorders>
            <w:noWrap w:val="0"/>
            <w:vAlign w:val="center"/>
          </w:tcPr>
          <w:p>
            <w:pPr>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w:t>
            </w:r>
          </w:p>
        </w:tc>
        <w:tc>
          <w:tcPr>
            <w:tcW w:w="742" w:type="pct"/>
            <w:tcBorders>
              <w:tl2br w:val="nil"/>
              <w:tr2bl w:val="nil"/>
            </w:tcBorders>
            <w:noWrap w:val="0"/>
            <w:vAlign w:val="center"/>
          </w:tcPr>
          <w:p>
            <w:pPr>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质保</w:t>
            </w:r>
          </w:p>
        </w:tc>
        <w:tc>
          <w:tcPr>
            <w:tcW w:w="3773" w:type="pct"/>
            <w:tcBorders>
              <w:tl2br w:val="nil"/>
              <w:tr2bl w:val="nil"/>
            </w:tcBorders>
            <w:noWrap w:val="0"/>
            <w:vAlign w:val="center"/>
          </w:tcPr>
          <w:p>
            <w:pPr>
              <w:ind w:firstLine="0" w:firstLineChars="0"/>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质保8年。</w:t>
            </w:r>
          </w:p>
        </w:tc>
      </w:tr>
    </w:tbl>
    <w:p>
      <w:pPr>
        <w:numPr>
          <w:ilvl w:val="12"/>
          <w:numId w:val="0"/>
        </w:numPr>
        <w:spacing w:line="360" w:lineRule="auto"/>
        <w:ind w:firstLine="0" w:firstLineChars="0"/>
        <w:jc w:val="left"/>
        <w:rPr>
          <w:rFonts w:ascii="宋体" w:hAnsi="宋体" w:hint="eastAsia"/>
          <w:szCs w:val="21"/>
          <w:highlight w:val="green"/>
        </w:rPr>
      </w:pPr>
    </w:p>
    <w:p>
      <w:pPr>
        <w:spacing w:line="360" w:lineRule="auto"/>
        <w:ind w:firstLine="0" w:firstLineChars="0"/>
        <w:jc w:val="center"/>
        <w:rPr>
          <w:rFonts w:ascii="宋体" w:hAnsi="宋体" w:hint="eastAsia"/>
          <w:szCs w:val="21"/>
        </w:rPr>
      </w:pPr>
      <w:r>
        <w:rPr>
          <w:rFonts w:ascii="宋体" w:hAnsi="宋体" w:hint="eastAsia"/>
          <w:szCs w:val="21"/>
          <w:lang w:eastAsia="zh-CN"/>
        </w:rPr>
        <w:t>表</w:t>
      </w:r>
      <w:r>
        <w:rPr>
          <w:rFonts w:ascii="宋体" w:hAnsi="宋体" w:hint="eastAsia"/>
          <w:szCs w:val="21"/>
          <w:lang w:val="en-US" w:eastAsia="zh-CN"/>
        </w:rPr>
        <w:t xml:space="preserve">3  </w:t>
      </w:r>
      <w:r>
        <w:rPr>
          <w:rFonts w:ascii="宋体" w:hAnsi="宋体" w:hint="eastAsia"/>
          <w:szCs w:val="21"/>
        </w:rPr>
        <w:t>基于三码绑定的火箭发射安全锁控系统</w:t>
      </w:r>
      <w:r>
        <w:rPr>
          <w:rFonts w:hint="eastAsia"/>
          <w:b w:val="0"/>
          <w:szCs w:val="21"/>
          <w:lang w:eastAsia="zh-CN"/>
        </w:rPr>
        <w:t>技术性能指标</w:t>
      </w:r>
    </w:p>
    <w:tbl>
      <w:tblPr>
        <w:tblStyle w:val="TableNormal"/>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82"/>
        <w:gridCol w:w="1769"/>
        <w:gridCol w:w="5869"/>
      </w:tblGrid>
      <w:tr>
        <w:tblPrEx>
          <w:tblW w:w="49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54"/>
          <w:jc w:val="center"/>
        </w:trPr>
        <w:tc>
          <w:tcPr>
            <w:tcW w:w="518" w:type="pct"/>
            <w:shd w:val="clear" w:color="auto" w:fill="FFFFFF" w:themeFill="background1"/>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序号</w:t>
            </w:r>
          </w:p>
        </w:tc>
        <w:tc>
          <w:tcPr>
            <w:tcW w:w="1038" w:type="pct"/>
            <w:shd w:val="clear" w:color="auto" w:fill="FFFFFF" w:themeFill="background1"/>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项目内容</w:t>
            </w:r>
          </w:p>
        </w:tc>
        <w:tc>
          <w:tcPr>
            <w:tcW w:w="3444" w:type="pct"/>
            <w:shd w:val="clear" w:color="auto" w:fill="FFFFFF" w:themeFill="background1"/>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性能参数</w:t>
            </w:r>
          </w:p>
        </w:tc>
      </w:tr>
      <w:tr>
        <w:tblPrEx>
          <w:tblW w:w="4999" w:type="pct"/>
          <w:jc w:val="center"/>
          <w:tblCellMar>
            <w:top w:w="0" w:type="dxa"/>
            <w:left w:w="108" w:type="dxa"/>
            <w:bottom w:w="0" w:type="dxa"/>
            <w:right w:w="108" w:type="dxa"/>
          </w:tblCellMar>
        </w:tblPrEx>
        <w:trPr>
          <w:trHeight w:val="454"/>
          <w:jc w:val="center"/>
        </w:trPr>
        <w:tc>
          <w:tcPr>
            <w:tcW w:w="518" w:type="pct"/>
            <w:vMerge w:val="restar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p>
        </w:tc>
        <w:tc>
          <w:tcPr>
            <w:tcW w:w="1038" w:type="pct"/>
            <w:vMerge w:val="restar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解锁控制器</w:t>
            </w: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每通道输出最大电流≤3mA；</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读UID指令执行时间</w:t>
            </w:r>
            <w:bookmarkStart w:id="60" w:name="OLE_LINK6"/>
            <w:r>
              <w:rPr>
                <w:rFonts w:asciiTheme="minorEastAsia" w:eastAsiaTheme="minorEastAsia" w:hAnsiTheme="minorEastAsia" w:cstheme="minorEastAsia" w:hint="eastAsia"/>
                <w:sz w:val="22"/>
                <w:szCs w:val="22"/>
              </w:rPr>
              <w:t>＜</w:t>
            </w:r>
            <w:bookmarkEnd w:id="60"/>
            <w:r>
              <w:rPr>
                <w:rFonts w:asciiTheme="minorEastAsia" w:eastAsiaTheme="minorEastAsia" w:hAnsiTheme="minorEastAsia" w:cstheme="minorEastAsia" w:hint="eastAsia"/>
                <w:sz w:val="22"/>
                <w:szCs w:val="22"/>
              </w:rPr>
              <w:t>1秒；</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弹药解锁指令执行时间＜3秒；</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通道数不小于12个；</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工作温度：-40℃～+75℃；</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输入电源电压范围：12V～48V；</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RS485和RS232接口。</w:t>
            </w:r>
          </w:p>
        </w:tc>
      </w:tr>
      <w:tr>
        <w:tblPrEx>
          <w:tblW w:w="4999" w:type="pct"/>
          <w:jc w:val="center"/>
          <w:tblCellMar>
            <w:top w:w="0" w:type="dxa"/>
            <w:left w:w="108" w:type="dxa"/>
            <w:bottom w:w="0" w:type="dxa"/>
            <w:right w:w="108" w:type="dxa"/>
          </w:tblCellMar>
        </w:tblPrEx>
        <w:trPr>
          <w:trHeight w:val="454"/>
          <w:jc w:val="center"/>
        </w:trPr>
        <w:tc>
          <w:tcPr>
            <w:tcW w:w="518" w:type="pct"/>
            <w:vMerge w:val="restar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w:t>
            </w:r>
          </w:p>
        </w:tc>
        <w:tc>
          <w:tcPr>
            <w:tcW w:w="1038" w:type="pct"/>
            <w:vMerge w:val="restar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数码模块</w:t>
            </w: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工作电压：5V～80V；</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待机电流：＜0.2mA；</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解锁后插入电阻：＜0.5Ω；</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通信方式：双向无极性；</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解锁保持时间：≤300秒；</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保持时间设定范围：0～300秒，步长1秒；</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操作温度：-40℃～+75℃；</w:t>
            </w:r>
          </w:p>
        </w:tc>
      </w:tr>
      <w:tr>
        <w:tblPrEx>
          <w:tblW w:w="4999" w:type="pct"/>
          <w:jc w:val="center"/>
          <w:tblCellMar>
            <w:top w:w="0" w:type="dxa"/>
            <w:left w:w="108" w:type="dxa"/>
            <w:bottom w:w="0" w:type="dxa"/>
            <w:right w:w="108" w:type="dxa"/>
          </w:tblCellMar>
        </w:tblPrEx>
        <w:trPr>
          <w:trHeight w:val="459"/>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存储温度：-55℃～+65℃；</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抗交流：380VAC；</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抗高压脉冲：2000V@100μF；</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抗静电：25kV@500pF/5kΩ。</w:t>
            </w:r>
          </w:p>
        </w:tc>
      </w:tr>
      <w:tr>
        <w:tblPrEx>
          <w:tblW w:w="4999" w:type="pct"/>
          <w:jc w:val="center"/>
          <w:tblCellMar>
            <w:top w:w="0" w:type="dxa"/>
            <w:left w:w="108" w:type="dxa"/>
            <w:bottom w:w="0" w:type="dxa"/>
            <w:right w:w="108" w:type="dxa"/>
          </w:tblCellMar>
        </w:tblPrEx>
        <w:trPr>
          <w:trHeight w:val="454"/>
          <w:jc w:val="center"/>
        </w:trPr>
        <w:tc>
          <w:tcPr>
            <w:tcW w:w="518" w:type="pct"/>
            <w:vMerge w:val="restar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w:t>
            </w:r>
          </w:p>
        </w:tc>
        <w:tc>
          <w:tcPr>
            <w:tcW w:w="1038" w:type="pct"/>
            <w:vMerge w:val="restar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注码设备</w:t>
            </w: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输出短路电流＜3mA；</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开路电压＜510V。</w:t>
            </w:r>
          </w:p>
        </w:tc>
      </w:tr>
      <w:tr>
        <w:tblPrEx>
          <w:tblW w:w="4999" w:type="pct"/>
          <w:jc w:val="center"/>
          <w:tblCellMar>
            <w:top w:w="0" w:type="dxa"/>
            <w:left w:w="108" w:type="dxa"/>
            <w:bottom w:w="0" w:type="dxa"/>
            <w:right w:w="108" w:type="dxa"/>
          </w:tblCellMar>
        </w:tblPrEx>
        <w:trPr>
          <w:trHeight w:val="454"/>
          <w:jc w:val="center"/>
        </w:trPr>
        <w:tc>
          <w:tcPr>
            <w:tcW w:w="518"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w:t>
            </w:r>
          </w:p>
        </w:tc>
        <w:tc>
          <w:tcPr>
            <w:tcW w:w="1038"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供电要求</w:t>
            </w:r>
          </w:p>
        </w:tc>
        <w:tc>
          <w:tcPr>
            <w:tcW w:w="3444" w:type="pct"/>
            <w:vAlign w:val="center"/>
          </w:tcPr>
          <w:p>
            <w:pPr>
              <w:jc w:val="left"/>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12V～48V宽电压输入；</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连续工作时间：≥8 h。</w:t>
            </w:r>
          </w:p>
        </w:tc>
      </w:tr>
      <w:tr>
        <w:tblPrEx>
          <w:tblW w:w="4999" w:type="pct"/>
          <w:jc w:val="center"/>
          <w:tblCellMar>
            <w:top w:w="0" w:type="dxa"/>
            <w:left w:w="108" w:type="dxa"/>
            <w:bottom w:w="0" w:type="dxa"/>
            <w:right w:w="108" w:type="dxa"/>
          </w:tblCellMar>
        </w:tblPrEx>
        <w:trPr>
          <w:trHeight w:val="454"/>
          <w:jc w:val="center"/>
        </w:trPr>
        <w:tc>
          <w:tcPr>
            <w:tcW w:w="518" w:type="pct"/>
            <w:vMerge w:val="restar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w:t>
            </w:r>
          </w:p>
        </w:tc>
        <w:tc>
          <w:tcPr>
            <w:tcW w:w="1038" w:type="pct"/>
            <w:vMerge w:val="restar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环境要求</w:t>
            </w: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操作温度：-40℃～+60℃（电气部分）；</w:t>
            </w:r>
          </w:p>
        </w:tc>
      </w:tr>
      <w:tr>
        <w:tblPrEx>
          <w:tblW w:w="4999" w:type="pct"/>
          <w:jc w:val="center"/>
          <w:tblCellMar>
            <w:top w:w="0" w:type="dxa"/>
            <w:left w:w="108" w:type="dxa"/>
            <w:bottom w:w="0" w:type="dxa"/>
            <w:right w:w="108" w:type="dxa"/>
          </w:tblCellMar>
        </w:tblPrEx>
        <w:trPr>
          <w:trHeight w:val="454"/>
          <w:jc w:val="center"/>
        </w:trPr>
        <w:tc>
          <w:tcPr>
            <w:tcW w:w="518" w:type="pct"/>
            <w:vMerge/>
            <w:vAlign w:val="center"/>
          </w:tcPr>
          <w:p>
            <w:pPr>
              <w:rPr>
                <w:rFonts w:asciiTheme="minorEastAsia" w:hAnsiTheme="minorEastAsia" w:cstheme="minorEastAsia" w:hint="eastAsia"/>
                <w:sz w:val="22"/>
              </w:rPr>
            </w:pPr>
          </w:p>
        </w:tc>
        <w:tc>
          <w:tcPr>
            <w:tcW w:w="1038" w:type="pct"/>
            <w:vMerge/>
            <w:vAlign w:val="center"/>
          </w:tcPr>
          <w:p>
            <w:pPr>
              <w:rPr>
                <w:rFonts w:asciiTheme="minorEastAsia" w:hAnsiTheme="minorEastAsia" w:cstheme="minorEastAsia" w:hint="eastAsia"/>
                <w:sz w:val="22"/>
              </w:rPr>
            </w:pP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湿度：5%～100%RH（无冷凝）。</w:t>
            </w:r>
          </w:p>
        </w:tc>
      </w:tr>
      <w:tr>
        <w:tblPrEx>
          <w:tblW w:w="4999" w:type="pct"/>
          <w:jc w:val="center"/>
          <w:tblCellMar>
            <w:top w:w="0" w:type="dxa"/>
            <w:left w:w="108" w:type="dxa"/>
            <w:bottom w:w="0" w:type="dxa"/>
            <w:right w:w="108" w:type="dxa"/>
          </w:tblCellMar>
        </w:tblPrEx>
        <w:trPr>
          <w:trHeight w:val="454"/>
          <w:jc w:val="center"/>
        </w:trPr>
        <w:tc>
          <w:tcPr>
            <w:tcW w:w="518"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w:t>
            </w:r>
          </w:p>
        </w:tc>
        <w:tc>
          <w:tcPr>
            <w:tcW w:w="1038"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质保</w:t>
            </w:r>
          </w:p>
        </w:tc>
        <w:tc>
          <w:tcPr>
            <w:tcW w:w="344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质保8年。</w:t>
            </w:r>
          </w:p>
        </w:tc>
      </w:tr>
    </w:tbl>
    <w:p>
      <w:pPr>
        <w:numPr>
          <w:ilvl w:val="12"/>
          <w:numId w:val="0"/>
        </w:numPr>
        <w:spacing w:line="360" w:lineRule="auto"/>
        <w:ind w:firstLine="420" w:firstLineChars="200"/>
        <w:rPr>
          <w:rFonts w:ascii="宋体" w:hAnsi="宋体" w:hint="eastAsia"/>
          <w:b/>
          <w:bCs/>
          <w:szCs w:val="21"/>
        </w:rPr>
      </w:pPr>
      <w:r>
        <w:rPr>
          <w:rFonts w:ascii="宋体" w:hAnsi="宋体" w:hint="eastAsia"/>
          <w:b/>
          <w:bCs/>
          <w:szCs w:val="21"/>
          <w:lang w:val="en-US" w:eastAsia="zh-CN"/>
        </w:rPr>
        <w:t>（2）</w:t>
      </w:r>
      <w:r>
        <w:rPr>
          <w:rFonts w:ascii="宋体" w:hAnsi="宋体" w:hint="eastAsia"/>
          <w:b/>
          <w:bCs/>
          <w:szCs w:val="21"/>
        </w:rPr>
        <w:t>智能化烟炉建设</w:t>
      </w:r>
    </w:p>
    <w:p>
      <w:pPr>
        <w:numPr>
          <w:ilvl w:val="12"/>
          <w:numId w:val="0"/>
        </w:numPr>
        <w:spacing w:line="360" w:lineRule="auto"/>
        <w:ind w:firstLine="420" w:firstLineChars="200"/>
        <w:rPr>
          <w:rFonts w:ascii="宋体" w:hAnsi="宋体" w:hint="eastAsia"/>
          <w:szCs w:val="21"/>
        </w:rPr>
      </w:pPr>
      <w:r>
        <w:rPr>
          <w:rFonts w:ascii="仿宋_GB2312" w:eastAsia="仿宋_GB2312" w:hAnsi="仿宋_GB2312" w:cs="仿宋_GB2312" w:hint="eastAsia"/>
          <w:b w:val="0"/>
          <w:bCs w:val="0"/>
          <w:szCs w:val="21"/>
        </w:rPr>
        <w:t>①</w:t>
      </w:r>
      <w:r>
        <w:rPr>
          <w:rFonts w:ascii="宋体" w:hAnsi="宋体"/>
          <w:szCs w:val="21"/>
        </w:rPr>
        <w:t>地面烟炉</w:t>
      </w:r>
      <w:r>
        <w:rPr>
          <w:rFonts w:ascii="宋体" w:hAnsi="宋体" w:hint="eastAsia"/>
          <w:szCs w:val="21"/>
        </w:rPr>
        <w:t>作业监控终端升级</w:t>
      </w:r>
    </w:p>
    <w:p>
      <w:pPr>
        <w:spacing w:line="360" w:lineRule="auto"/>
        <w:ind w:firstLine="420" w:firstLineChars="200"/>
        <w:rPr>
          <w:rFonts w:ascii="宋体" w:hAnsi="宋体" w:hint="eastAsia"/>
          <w:szCs w:val="21"/>
        </w:rPr>
      </w:pPr>
      <w:r>
        <w:rPr>
          <w:rFonts w:ascii="宋体" w:hAnsi="宋体" w:hint="eastAsia"/>
          <w:szCs w:val="21"/>
        </w:rPr>
        <w:t>为现有烟炉加装烟炉作业安全监控终端，终端内置硬件级SM1/2/3/4加密协议，实现与“天工”平台接口之间指令信息的加密传输。作业安全监控终端与天工平台接口之间的指令信息通讯在硬件级SM1加密协议下进行传输，具备装备状态上报、作业指令接收、作业信息自动采集、SM1芯片级加解密、作业现场视频传输功能。支持4G/5G和北斗两种通讯方式。</w:t>
      </w:r>
    </w:p>
    <w:p>
      <w:pPr>
        <w:spacing w:line="360" w:lineRule="auto"/>
        <w:ind w:firstLine="0" w:firstLineChars="0"/>
        <w:jc w:val="center"/>
        <w:rPr>
          <w:rFonts w:ascii="宋体" w:hAnsi="宋体" w:hint="eastAsia"/>
          <w:szCs w:val="21"/>
        </w:rPr>
      </w:pPr>
      <w:r>
        <w:rPr>
          <w:rFonts w:ascii="宋体" w:hAnsi="宋体" w:hint="eastAsia"/>
          <w:szCs w:val="21"/>
          <w:lang w:eastAsia="zh-CN"/>
        </w:rPr>
        <w:t>表</w:t>
      </w:r>
      <w:r>
        <w:rPr>
          <w:rFonts w:ascii="宋体" w:hAnsi="宋体" w:hint="eastAsia"/>
          <w:szCs w:val="21"/>
          <w:lang w:val="en-US" w:eastAsia="zh-CN"/>
        </w:rPr>
        <w:t xml:space="preserve">4  </w:t>
      </w:r>
      <w:r>
        <w:rPr>
          <w:rFonts w:ascii="宋体" w:hAnsi="宋体" w:hint="eastAsia"/>
          <w:szCs w:val="21"/>
        </w:rPr>
        <w:t>智能烟炉作业安全监控终端技术</w:t>
      </w:r>
      <w:r>
        <w:rPr>
          <w:rFonts w:ascii="宋体" w:hAnsi="宋体" w:hint="eastAsia"/>
          <w:szCs w:val="21"/>
          <w:lang w:eastAsia="zh-CN"/>
        </w:rPr>
        <w:t>性能</w:t>
      </w:r>
      <w:r>
        <w:rPr>
          <w:rFonts w:ascii="宋体" w:hAnsi="宋体" w:hint="eastAsia"/>
          <w:szCs w:val="21"/>
        </w:rPr>
        <w:t>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48"/>
        <w:gridCol w:w="1279"/>
        <w:gridCol w:w="6395"/>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882" w:type="dxa"/>
            <w:shd w:val="clear" w:color="auto" w:fill="FFFFFF" w:themeFill="background1"/>
            <w:vAlign w:val="center"/>
          </w:tcPr>
          <w:p>
            <w:pPr>
              <w:spacing w:line="240" w:lineRule="auto"/>
              <w:ind w:firstLine="0" w:firstLineChars="0"/>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序号</w:t>
            </w:r>
          </w:p>
        </w:tc>
        <w:tc>
          <w:tcPr>
            <w:tcW w:w="1349" w:type="dxa"/>
            <w:shd w:val="clear" w:color="auto" w:fill="FFFFFF" w:themeFill="background1"/>
            <w:vAlign w:val="center"/>
          </w:tcPr>
          <w:p>
            <w:pPr>
              <w:spacing w:line="240" w:lineRule="auto"/>
              <w:ind w:firstLine="0" w:firstLineChars="0"/>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设备名称</w:t>
            </w:r>
          </w:p>
        </w:tc>
        <w:tc>
          <w:tcPr>
            <w:tcW w:w="6772" w:type="dxa"/>
            <w:shd w:val="clear" w:color="auto" w:fill="FFFFFF" w:themeFill="background1"/>
            <w:vAlign w:val="center"/>
          </w:tcPr>
          <w:p>
            <w:pPr>
              <w:spacing w:line="240" w:lineRule="auto"/>
              <w:ind w:firstLine="0" w:firstLineChars="0"/>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规格参数</w:t>
            </w:r>
          </w:p>
        </w:tc>
      </w:tr>
      <w:tr>
        <w:tblPrEx>
          <w:tblW w:w="5000" w:type="pct"/>
          <w:jc w:val="center"/>
          <w:tblCellMar>
            <w:top w:w="0" w:type="dxa"/>
            <w:left w:w="108" w:type="dxa"/>
            <w:bottom w:w="0" w:type="dxa"/>
            <w:right w:w="108" w:type="dxa"/>
          </w:tblCellMar>
        </w:tblPrEx>
        <w:trPr>
          <w:jc w:val="center"/>
        </w:trPr>
        <w:tc>
          <w:tcPr>
            <w:tcW w:w="882" w:type="dxa"/>
            <w:vAlign w:val="center"/>
          </w:tcPr>
          <w:p>
            <w:pPr>
              <w:spacing w:line="240" w:lineRule="auto"/>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lang w:val="en-US" w:eastAsia="zh-CN"/>
              </w:rPr>
              <w:t>1</w:t>
            </w:r>
          </w:p>
        </w:tc>
        <w:tc>
          <w:tcPr>
            <w:tcW w:w="1349" w:type="dxa"/>
            <w:vAlign w:val="center"/>
          </w:tcPr>
          <w:p>
            <w:pPr>
              <w:spacing w:line="240" w:lineRule="auto"/>
              <w:ind w:firstLine="0" w:firstLineChars="0"/>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烟炉作业安全监控终端</w:t>
            </w:r>
          </w:p>
        </w:tc>
        <w:tc>
          <w:tcPr>
            <w:tcW w:w="6772" w:type="dxa"/>
            <w:vAlign w:val="center"/>
          </w:tcPr>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1、MCU 性能： 国产,八核，两核 2.0 GHz+六核 1.8 GHz；</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2、运行内存：LPDDR4X，2 GB；</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3、存储空间：eMMC，16 GB；</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4、系统：安卓Android 12/14,支持更换为linux；</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5、开机时间：上电开机完成，不大于 35S；</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6、首次定位时间：上电到首次定位输出，不大于 32S；</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7、信息收集：支持输入电源电压检测,精度不大于0.2V，支持</w:t>
            </w:r>
            <w:r>
              <w:rPr>
                <w:rFonts w:asciiTheme="minorEastAsia" w:eastAsiaTheme="minorEastAsia" w:hAnsiTheme="minorEastAsia" w:cstheme="minorEastAsia" w:hint="eastAsia"/>
                <w:color w:val="auto"/>
                <w:sz w:val="22"/>
                <w:szCs w:val="22"/>
                <w:highlight w:val="none"/>
              </w:rPr>
              <w:t>4G/5G</w:t>
            </w:r>
            <w:r>
              <w:rPr>
                <w:rFonts w:asciiTheme="minorEastAsia" w:eastAsiaTheme="minorEastAsia" w:hAnsiTheme="minorEastAsia" w:cstheme="minorEastAsia" w:hint="eastAsia"/>
                <w:sz w:val="22"/>
                <w:szCs w:val="22"/>
                <w:highlight w:val="none"/>
              </w:rPr>
              <w:t>信息获取上报；</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8、人机交互：电源灯、定位灯支持长亮；信号 LED 灯≥ 3 档信号强度指示；通信灯闪烁时，指示与平台通信；功能灯指示装备连接状态，绿灯在线，灯灭离线；</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9、通信：串行通信口 1：RS485，最大波特率≥115200bps 且可设置；串行通信口 2：RS485/RS232 可选，最大波特率≥115200bp 且可设置；以太网接口：10/100M BASE - T，上/下行速率≥10Mbps，支持路由功能；蜂窝通信：4G CAT4 以上，上/下行速率≥10Mbps；WIFI：2.4G，支持 AP 和 STA 模式，AP 模式下支持路由功能；北斗短报文：支持北斗三代 RDSS，单包最大支持 1000 个汉字；</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10、加密：支持SM1,SM2,SM3,SM4 加密；</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11、整机特性：SMA 内孔4G天线采用 SMA 内孔接头,配置外部增益天线；供电电压：DC,9～50V；待机功耗&lt;3W；最大峰值功耗≤15W，12V 供电时最大峰值电流≤ 2A；尺寸直径≤120mm,高度≤90mm；工作温度 -30°C～70°C；工作湿度 &lt;95%,无凝露；存储温度 -40°C～+80°C；平均无故障时间5000 小时，使用寿命 &gt;5 年；</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12、软件功能：①支持本地写入人影装备编码并上报；②支持 4G 信息获取和上报；③支持与天工平台对接，实现作业状态上报、指令接收、自动信息采集、多要素条件判别和视频传输；④提供出厂测试工具，用于查看北斗卡号、4G卡号、固件版本、终端序列号、装备编码，以及进行模块功能测试和结果显示；</w:t>
            </w:r>
          </w:p>
          <w:p>
            <w:pPr>
              <w:spacing w:line="240" w:lineRule="auto"/>
              <w:ind w:firstLine="0" w:firstLineChars="0"/>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13、质保8年。</w:t>
            </w:r>
          </w:p>
        </w:tc>
      </w:tr>
    </w:tbl>
    <w:p>
      <w:pPr>
        <w:spacing w:line="360" w:lineRule="auto"/>
        <w:ind w:firstLine="420" w:firstLineChars="200"/>
        <w:rPr>
          <w:rFonts w:ascii="宋体" w:hAnsi="宋体" w:hint="eastAsia"/>
          <w:szCs w:val="21"/>
        </w:rPr>
      </w:pPr>
    </w:p>
    <w:p>
      <w:pPr>
        <w:spacing w:line="360" w:lineRule="auto"/>
        <w:ind w:firstLine="420" w:firstLineChars="200"/>
        <w:rPr>
          <w:rFonts w:ascii="宋体" w:hAnsi="宋体" w:hint="eastAsia"/>
          <w:szCs w:val="21"/>
        </w:rPr>
      </w:pPr>
      <w:r>
        <w:rPr>
          <w:rFonts w:ascii="宋体" w:eastAsia="宋体" w:hAnsi="宋体" w:cs="宋体" w:hint="eastAsia"/>
          <w:szCs w:val="21"/>
        </w:rPr>
        <w:t>②</w:t>
      </w:r>
      <w:r>
        <w:rPr>
          <w:rFonts w:ascii="宋体" w:hAnsi="宋体" w:hint="eastAsia"/>
          <w:szCs w:val="21"/>
        </w:rPr>
        <w:t>新建智能化烟炉</w:t>
      </w:r>
    </w:p>
    <w:p>
      <w:pPr>
        <w:spacing w:line="360" w:lineRule="auto"/>
        <w:ind w:firstLine="420" w:firstLineChars="200"/>
        <w:rPr>
          <w:rFonts w:ascii="宋体" w:hAnsi="宋体" w:hint="eastAsia"/>
          <w:szCs w:val="21"/>
        </w:rPr>
      </w:pPr>
      <w:r>
        <w:rPr>
          <w:rFonts w:ascii="宋体" w:hAnsi="宋体" w:hint="eastAsia"/>
          <w:szCs w:val="21"/>
        </w:rPr>
        <w:t>建设10个智能化烟炉，主要包括智能烟炉作业系统、烟炉作业安全监控终端和集成多要素作业条件判别系统，并配备烟炉作业指挥组件。</w:t>
      </w:r>
    </w:p>
    <w:p>
      <w:pPr>
        <w:spacing w:line="360" w:lineRule="auto"/>
        <w:ind w:firstLine="0" w:firstLineChars="0"/>
        <w:jc w:val="center"/>
        <w:rPr>
          <w:rFonts w:ascii="宋体" w:hAnsi="宋体" w:hint="eastAsia"/>
          <w:szCs w:val="21"/>
        </w:rPr>
      </w:pPr>
      <w:r>
        <w:rPr>
          <w:rFonts w:ascii="宋体" w:hAnsi="宋体" w:hint="eastAsia"/>
          <w:szCs w:val="21"/>
        </w:rPr>
        <w:t>表</w:t>
      </w:r>
      <w:r>
        <w:rPr>
          <w:rFonts w:ascii="宋体" w:hAnsi="宋体" w:hint="eastAsia"/>
          <w:szCs w:val="21"/>
          <w:lang w:eastAsia="zh-CN"/>
        </w:rPr>
        <w:t>5</w:t>
      </w:r>
      <w:r>
        <w:rPr>
          <w:rFonts w:ascii="宋体" w:hAnsi="宋体" w:hint="eastAsia"/>
          <w:szCs w:val="21"/>
          <w:lang w:val="en-US" w:eastAsia="zh-CN"/>
        </w:rPr>
        <w:t xml:space="preserve">  </w:t>
      </w:r>
      <w:r>
        <w:rPr>
          <w:rFonts w:ascii="宋体" w:hAnsi="宋体" w:hint="eastAsia"/>
          <w:szCs w:val="21"/>
        </w:rPr>
        <w:t>智能化烟炉设备配置及技术性能指标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848"/>
        <w:gridCol w:w="1279"/>
        <w:gridCol w:w="6395"/>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jc w:val="center"/>
        </w:trPr>
        <w:tc>
          <w:tcPr>
            <w:tcW w:w="882" w:type="dxa"/>
            <w:shd w:val="clear" w:color="auto" w:fill="FFFFFF" w:themeFill="background1"/>
            <w:vAlign w:val="center"/>
          </w:tcPr>
          <w:p>
            <w:pPr>
              <w:spacing w:line="240" w:lineRule="auto"/>
              <w:ind w:firstLine="0" w:firstLineChars="0"/>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序号</w:t>
            </w:r>
          </w:p>
        </w:tc>
        <w:tc>
          <w:tcPr>
            <w:tcW w:w="1349" w:type="dxa"/>
            <w:shd w:val="clear" w:color="auto" w:fill="FFFFFF" w:themeFill="background1"/>
            <w:vAlign w:val="center"/>
          </w:tcPr>
          <w:p>
            <w:pPr>
              <w:spacing w:line="240" w:lineRule="auto"/>
              <w:ind w:firstLine="0" w:firstLineChars="0"/>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设备名称</w:t>
            </w:r>
          </w:p>
        </w:tc>
        <w:tc>
          <w:tcPr>
            <w:tcW w:w="6772" w:type="dxa"/>
            <w:shd w:val="clear" w:color="auto" w:fill="FFFFFF" w:themeFill="background1"/>
            <w:vAlign w:val="center"/>
          </w:tcPr>
          <w:p>
            <w:pPr>
              <w:spacing w:line="240" w:lineRule="auto"/>
              <w:ind w:firstLine="0" w:firstLineChars="0"/>
              <w:jc w:val="center"/>
              <w:rPr>
                <w:rFonts w:asciiTheme="minorEastAsia" w:hAnsiTheme="minorEastAsia" w:cstheme="minorEastAsia" w:hint="eastAsia"/>
                <w:b/>
                <w:sz w:val="22"/>
              </w:rPr>
            </w:pPr>
            <w:r>
              <w:rPr>
                <w:rFonts w:asciiTheme="minorEastAsia" w:eastAsiaTheme="minorEastAsia" w:hAnsiTheme="minorEastAsia" w:cstheme="minorEastAsia" w:hint="eastAsia"/>
                <w:b/>
                <w:sz w:val="22"/>
                <w:szCs w:val="22"/>
              </w:rPr>
              <w:t>规格参数</w:t>
            </w:r>
          </w:p>
        </w:tc>
      </w:tr>
      <w:tr>
        <w:tblPrEx>
          <w:tblW w:w="5000" w:type="pct"/>
          <w:jc w:val="center"/>
          <w:tblCellMar>
            <w:top w:w="0" w:type="dxa"/>
            <w:left w:w="108" w:type="dxa"/>
            <w:bottom w:w="0" w:type="dxa"/>
            <w:right w:w="108" w:type="dxa"/>
          </w:tblCellMar>
        </w:tblPrEx>
        <w:trPr>
          <w:jc w:val="center"/>
        </w:trPr>
        <w:tc>
          <w:tcPr>
            <w:tcW w:w="882" w:type="dxa"/>
            <w:vAlign w:val="center"/>
          </w:tcPr>
          <w:p>
            <w:pPr>
              <w:spacing w:line="240" w:lineRule="auto"/>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p>
        </w:tc>
        <w:tc>
          <w:tcPr>
            <w:tcW w:w="1349" w:type="dxa"/>
            <w:vAlign w:val="center"/>
          </w:tcPr>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智能烟炉作业系统</w:t>
            </w:r>
          </w:p>
        </w:tc>
        <w:tc>
          <w:tcPr>
            <w:tcW w:w="6772" w:type="dxa"/>
            <w:vAlign w:val="center"/>
          </w:tcPr>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炉体规格指标：</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1、支持实时监控烟炉作业状态；</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▲2、通过烟炉的控制器能够查看各通道的状态。状态至少包括有烟条、无烟条、点火作业三种；</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▲3、具备本地点火功能，能够通过控制器直接进行点火操作；</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4、支持冷暖云烟条，具备远程操控、作业状态判断监控、作业信息收集功能；</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▲5、炉体材质：304不锈钢；</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▲6、耐腐蚀工艺：炉体自身采用304不锈钢材质，表面采用烤漆工艺，燃烧室采用隔离方式，减少作业产生的烟气和残渣对设备的腐蚀</w:t>
            </w:r>
            <w:r>
              <w:rPr>
                <w:rFonts w:asciiTheme="minorEastAsia" w:hAnsiTheme="minorEastAsia" w:cstheme="minorEastAsia" w:hint="eastAsia"/>
                <w:sz w:val="22"/>
                <w:szCs w:val="22"/>
                <w:lang w:eastAsia="zh-CN"/>
              </w:rPr>
              <w:t>；</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7、远程方式：GSM/GPRS或北斗；</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▲8、烟条装载量：≥48支；</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9、烟条同时燃烧数量：≤3支；</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▲10、单次点火数量：≤3支；</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11、最大同时作业通道数：≤3通道；</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▲12、可适配烟条型号：兼容ZBZ-DFL系列、YD-1系列、60/700系列、DT-46系列、TDRZ-YT系列烟条，支持混装点火使用；</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▲13、点火接口方式：兼容引线、环形电极；</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14、烟条隔离方式：双段复合陶瓷管结构；</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▲15、视频监控方式：</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机型：工业4G/5G网络球机，</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分辨率：≥200W像素，</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夜视：红外≥50m；</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▲16、抗风等级：8级；</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17、工作环境：</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工作温度：-40℃～+70℃，</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工作湿度：RH 20%～100%；</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▲18、供电方式：太阳能供电</w:t>
            </w:r>
            <w:r>
              <w:rPr>
                <w:rFonts w:asciiTheme="minorEastAsia" w:hAnsiTheme="minorEastAsia" w:cstheme="minorEastAsia" w:hint="eastAsia"/>
                <w:sz w:val="22"/>
                <w:szCs w:val="22"/>
                <w:lang w:eastAsia="zh-CN"/>
              </w:rPr>
              <w:t>，</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电池能量：7个连续阴雨天可靠工作，</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电池寿命：&gt;3年；</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▲19、充电保护单元：为防止蓄电池出现过充、过放，需配备充电保护单元，可大大提高蓄电池的使用寿命；</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20、指示灯：1个电源指示灯；48个通道指示灯；</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21、控制器按键：控制器配备物理按键，至少具有上、下，查询、装填、点火五个按键；</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22、支持对接烟炉作业安全监控终端，实现作业信息上报“天工”平台和接收并执行“天工”平台下发的作业指令；</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23、基础平台建设：对新建烟炉作业点进行土地平整和地面硬化，建设防护围栏，符合烟炉作业点的相关要求，防雷要求应符合《人工影响天气作业点防雷技术规范》；</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▲24、烟炉炉体结构采用分体安装的方式，单件货物质量&lt;50kg,在交通不便的地区，可采用人工搬运的方式进行安装前的准备工作。</w:t>
            </w:r>
          </w:p>
        </w:tc>
      </w:tr>
      <w:tr>
        <w:tblPrEx>
          <w:tblW w:w="5000" w:type="pct"/>
          <w:jc w:val="center"/>
          <w:tblCellMar>
            <w:top w:w="0" w:type="dxa"/>
            <w:left w:w="108" w:type="dxa"/>
            <w:bottom w:w="0" w:type="dxa"/>
            <w:right w:w="108" w:type="dxa"/>
          </w:tblCellMar>
        </w:tblPrEx>
        <w:trPr>
          <w:jc w:val="center"/>
        </w:trPr>
        <w:tc>
          <w:tcPr>
            <w:tcW w:w="882" w:type="dxa"/>
            <w:vAlign w:val="center"/>
          </w:tcPr>
          <w:p>
            <w:pPr>
              <w:spacing w:line="240" w:lineRule="auto"/>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w:t>
            </w:r>
          </w:p>
        </w:tc>
        <w:tc>
          <w:tcPr>
            <w:tcW w:w="1349" w:type="dxa"/>
            <w:vAlign w:val="center"/>
          </w:tcPr>
          <w:p>
            <w:pPr>
              <w:spacing w:line="240" w:lineRule="auto"/>
              <w:ind w:firstLine="0" w:firstLineChars="0"/>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烟炉作业安全监控终端</w:t>
            </w:r>
          </w:p>
        </w:tc>
        <w:tc>
          <w:tcPr>
            <w:tcW w:w="6772" w:type="dxa"/>
            <w:vAlign w:val="center"/>
          </w:tcPr>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1、MCU 性能： 国产,八核，两核 2.0 GHz+六核 1.8 GHz；</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2、运行内存：LPDDR4X，2 GB；</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3、存储空间：eMMC，16 GB；</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4、系统：安卓Android 12/14,支持更换为linux；</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5、开机时间：上电开机完成，不大于 35S；</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6、首次定位时间：上电到首次定位输出，不大于 32S；</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7、信息收集：支持输入电源电压检测,精度不大于0.2V，支持4G/5G信息获取上报；</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8、人机交互：电源灯、定位灯支持长亮；信号 LED 灯≥ 3 档信号强度指示；通信灯闪烁时，指示与平台通信；功能灯指示装备连接状态，绿灯在线，灯灭离线；</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9、通信：串行通信口 1：RS485，最大波特率≥115200bps 且可设置；串行通信口 2：RS485/RS232 可选，最大波特率≥115200bp 且可设置；以太网接口：10/100M BASE - T，上/下行速率≥10Mbps，支持路由功能；蜂窝通信：4G CAT4 以上，上/下行速率≥10Mbps；WIFI：2.4G，支持 AP 和 STA 模式，AP 模式下支持路由功能；北斗短报文：支持北斗三代 RDSS，单包最大支持 1000 个汉字；</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10、加密：支持SM1,SM2,SM3,SM4 加密；</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11、整机特性：SMA 内孔4G天线采用 SMA 内孔接头,配置外部增益天线；供电电压：DC,9～50V；待机功耗&lt;3W；最大峰值功耗≤15W，12V 供电时最大峰值电流≤ 2A；尺寸直径≤120mm,高度≤90mm；工作温度 -30°C～70°C；工作湿度 &lt;95%,无凝露；存储温度 -40°C～+80°C；平均无故障时间5000 小时，使用寿命 &gt;5 年；</w:t>
            </w:r>
          </w:p>
          <w:p>
            <w:pPr>
              <w:spacing w:line="240" w:lineRule="auto"/>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12、软件功能：①支持本地写入人影装备编码并上报；②支持 4G 信息获取和上报；③支持与天工平台对接，实现作业状态上报、指令接收、自动信息采集、多要素条件判别和视频传输；④提供出厂测试工具，用于查看北斗卡号、4G卡号、固件版本、终端序列号、装备编码，以及进行模块功能测试和结果显示；</w:t>
            </w:r>
          </w:p>
          <w:p>
            <w:pPr>
              <w:spacing w:line="240" w:lineRule="auto"/>
              <w:ind w:firstLine="0" w:firstLineChars="0"/>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13、质保8年。</w:t>
            </w:r>
          </w:p>
        </w:tc>
      </w:tr>
      <w:tr>
        <w:tblPrEx>
          <w:tblW w:w="5000" w:type="pct"/>
          <w:jc w:val="center"/>
          <w:tblCellMar>
            <w:top w:w="0" w:type="dxa"/>
            <w:left w:w="108" w:type="dxa"/>
            <w:bottom w:w="0" w:type="dxa"/>
            <w:right w:w="108" w:type="dxa"/>
          </w:tblCellMar>
        </w:tblPrEx>
        <w:trPr>
          <w:jc w:val="center"/>
        </w:trPr>
        <w:tc>
          <w:tcPr>
            <w:tcW w:w="882" w:type="dxa"/>
            <w:vAlign w:val="center"/>
          </w:tcPr>
          <w:p>
            <w:pPr>
              <w:spacing w:line="240" w:lineRule="auto"/>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w:t>
            </w:r>
          </w:p>
        </w:tc>
        <w:tc>
          <w:tcPr>
            <w:tcW w:w="1349" w:type="dxa"/>
            <w:vAlign w:val="center"/>
          </w:tcPr>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集成多要素作业条件判别系统</w:t>
            </w:r>
          </w:p>
        </w:tc>
        <w:tc>
          <w:tcPr>
            <w:tcW w:w="6772" w:type="dxa"/>
            <w:vAlign w:val="center"/>
          </w:tcPr>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具备实时测量的UVW三个维度的风向、风速，结合空气温度、湿度、天空云量、太阳辐射观测等数据，实时判别烟炉作业条件并上传到天工系统，技术指标:</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▲1、温度：测量范围-40℃～+70℃</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分辨率0.1℃</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精度±0.5℃；</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▲2、湿度：测量范围0%～100%</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分辨率0.1%</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精度±5%；</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▲3、风速：测量范围0～60m/s</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分辨率0.1m/s</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精度±3%(&gt;30m/s)，±2%(≤30m/s)；</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▲4、风向：水平测量范围0～360°</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垂直测量范围0～180°</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分辨率0.1°</w:t>
            </w:r>
            <w:r>
              <w:rPr>
                <w:rFonts w:ascii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精度±2%；</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▲5、太阳辐射辐照度：0～2000W/㎡ ，光谱范围(20%点)：210～3600nm，光谱范围(50% 点)：250～3500nm，灵敏度：7～14uV/W/㎡；</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▲6、天空云量：测量范围0～100%；</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▲7、输出：作业条件分析是否适合作业，以及为作业后的效果评估提供参考；</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▲8、可识别上升气流、估算大气稳定度，得出有利于催化剂扩散的条件。</w:t>
            </w:r>
          </w:p>
        </w:tc>
      </w:tr>
      <w:tr>
        <w:tblPrEx>
          <w:tblW w:w="5000" w:type="pct"/>
          <w:jc w:val="center"/>
          <w:tblCellMar>
            <w:top w:w="0" w:type="dxa"/>
            <w:left w:w="108" w:type="dxa"/>
            <w:bottom w:w="0" w:type="dxa"/>
            <w:right w:w="108" w:type="dxa"/>
          </w:tblCellMar>
        </w:tblPrEx>
        <w:trPr>
          <w:jc w:val="center"/>
        </w:trPr>
        <w:tc>
          <w:tcPr>
            <w:tcW w:w="882" w:type="dxa"/>
            <w:vAlign w:val="center"/>
          </w:tcPr>
          <w:p>
            <w:pPr>
              <w:spacing w:line="240" w:lineRule="auto"/>
              <w:ind w:firstLine="0" w:firstLineChars="0"/>
              <w:jc w:val="cente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w:t>
            </w:r>
          </w:p>
        </w:tc>
        <w:tc>
          <w:tcPr>
            <w:tcW w:w="1349" w:type="dxa"/>
            <w:vAlign w:val="center"/>
          </w:tcPr>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烟炉作业指挥组件</w:t>
            </w:r>
          </w:p>
        </w:tc>
        <w:tc>
          <w:tcPr>
            <w:tcW w:w="6772" w:type="dxa"/>
            <w:vAlign w:val="center"/>
          </w:tcPr>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按照《“天工”平台组件化开发指南》开发“天工”烟炉作业指挥组件，遵循天工平台的“云+端”架构和组件化要求。支持将新建和升级改造的烟炉接入指挥组件</w:t>
            </w:r>
            <w:r>
              <w:rPr>
                <w:rFonts w:asciiTheme="minorEastAsia" w:eastAsiaTheme="minorEastAsia" w:hAnsiTheme="minorEastAsia" w:cstheme="minorEastAsia" w:hint="eastAsia"/>
                <w:sz w:val="22"/>
                <w:szCs w:val="22"/>
                <w:highlight w:val="none"/>
              </w:rPr>
              <w:t>，实现全</w:t>
            </w:r>
            <w:r>
              <w:rPr>
                <w:rFonts w:asciiTheme="minorEastAsia" w:eastAsiaTheme="minorEastAsia" w:hAnsiTheme="minorEastAsia" w:cstheme="minorEastAsia" w:hint="eastAsia"/>
                <w:sz w:val="22"/>
                <w:szCs w:val="22"/>
                <w:highlight w:val="none"/>
                <w:lang w:eastAsia="zh-CN"/>
              </w:rPr>
              <w:t>市</w:t>
            </w:r>
            <w:r>
              <w:rPr>
                <w:rFonts w:asciiTheme="minorEastAsia" w:eastAsiaTheme="minorEastAsia" w:hAnsiTheme="minorEastAsia" w:cstheme="minorEastAsia" w:hint="eastAsia"/>
                <w:sz w:val="22"/>
                <w:szCs w:val="22"/>
                <w:highlight w:val="none"/>
              </w:rPr>
              <w:t>烟炉的智能化指挥。</w:t>
            </w:r>
            <w:r>
              <w:rPr>
                <w:rFonts w:asciiTheme="minorEastAsia" w:eastAsiaTheme="minorEastAsia" w:hAnsiTheme="minorEastAsia" w:cstheme="minorEastAsia" w:hint="eastAsia"/>
                <w:sz w:val="22"/>
                <w:szCs w:val="22"/>
              </w:rPr>
              <w:t>组件实现烟炉作业条件监测预警、地面烟炉远程控制，烟炉多要素观测数据的展示分析，以及作业状态、实时视频监控、炉内状态的监测等，并在作业完成后根据作业信息和观测资料进行快速效果评估，从而实现基于天工平台的人影地面增雨烟炉的智能化作业指挥业务。</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（1）作业指挥调度模块</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实现人工影响天气智能烟炉指挥，即基于智能识别的人影作业条件，依据气象监测预警数据及阈值智能生成烟炉作业指令，通过烟炉作业安全监控终端下发烟炉作业指令，在组件内展示烟炉作业状态，烟炉作业结束后自动收集烟炉作业安全监控终端上报的作业信息。</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①手动作业控制</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手动作业控制功能。通过系统中的“作业控制”菜单，系统能够进入作业控制界面，并通过作业点选择、操作控制等操作完成手动作业控制。作业点控制界面主要展示作业点列表、烟炉中烟条状态、作业点视频拍照图片及视频监控展示以及作业点气象信息。</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②智能化作业控制</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根据集成多要素作业条件判别系统输出的实时观测数据，结合本地天气雷达数据，利用烟炉增雨作业条件指标算法对每个烟炉作业点进行作业条件适宜程度的自动判别，分别非常适宜、适宜、较为适宜、不适宜、非常不适宜5个等级。在系统中设计作业条件监控页面，对各作业点作业条件自动判别结果进行实时展示。</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A.“一键式”快速作业</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系统根据作业条件自动判断结果，对烟炉作业条件进行分等级预警，以光斑闪烁的方式在GIS地图上进行预警，同时按照预警等级给出“适宜开展作业”的作业点清单，并显示烟炉状态、</w:t>
            </w:r>
            <w:r>
              <w:rPr>
                <w:rFonts w:asciiTheme="minorEastAsia" w:eastAsiaTheme="minorEastAsia" w:hAnsiTheme="minorEastAsia" w:cstheme="minorEastAsia" w:hint="eastAsia"/>
                <w:sz w:val="22"/>
                <w:szCs w:val="22"/>
                <w:lang w:eastAsia="zh-CN"/>
              </w:rPr>
              <w:t>烟条</w:t>
            </w:r>
            <w:r>
              <w:rPr>
                <w:rFonts w:asciiTheme="minorEastAsia" w:eastAsiaTheme="minorEastAsia" w:hAnsiTheme="minorEastAsia" w:cstheme="minorEastAsia" w:hint="eastAsia"/>
                <w:sz w:val="22"/>
                <w:szCs w:val="22"/>
              </w:rPr>
              <w:t>余量等信息。作业指挥人员能够快速勾选要作业的作业点，点击“点火”按钮，系统能够自动生成烟炉作业指令信息，并通过作业安全监控终端发送至烟炉控制系统，并开始作业。最终实现“一键式”快速作业。</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B.自动点火控制</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当作业条件判别为非常适宜时，根据集成多要素观测数据，自动生成作业指令，并通过烟炉作业安全监控终端将作业指令发送到烟炉远程控制系统，通过远程检测技术，对参与作业的相关烟炉增雨作业点的烟炉装置及烟条的工作状态进行安全检测，检测烟炉装置工作状态和催化剂属性与数量。通过“安全检测”后，根据作业参数自动进行点火作业，最终实现烟炉的自动化点火作业。</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③作业状态实时监控</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系统通过前端界面对自动点火作业状态进行监控。根据回传的作业状态信息，对烟炉自动化作业状态展示模块分为“装备正常”、“作业条件监测”、“作业中”、“作业结束”4种状态，展示在地图上，右侧可视化显示每个烟炉已使用烟条催化剂类型、烟条数量、剩余烟条数量。</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④炉内状态监控</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获取炉内的温度和烟雾传感器数据，人影作业时，能够实时监控炉内温度和烟雾浓度的监测。</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⑤现场监控和抓拍图片显示</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监控画面查看功能，根据实际需要可以将监控画面/照片排放，预设一屏显示4、6、8个或更多烟炉现场抓拍照片，根据需要可以在多余显示屏上显示，烟炉作业控制画面，天气实况监控画面等，预留视频监控接口。</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（2）监测分析模块</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①本地雷达资料展示</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具备本地雷达观测资料接入和展示功能，可通过地图直观地查看当前雷达实况，至少展示基本反射率、组合反射率、回波顶高、径向速度。</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②地面观测站数据展示</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具备现有的地面观测站数据接入功能，包括国家站和区域站观测数据，实时显示雨量，温度，风速风向，能见度等信息。</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③集成多要素观测数据展示</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集成多要素观测数据展示功能，可在作业点控制界面中选择需要显示的集成多要素观测系统的观测要素，对实时观测数据进行可视化展示，要素包括水平风向风速、垂直风向风速、温度、湿度、云量（包括可见光云量、红外云量和总云量）、太阳总辐射、大气稳定度等级。数据分辨率为逐分钟，展示方式包括数值、折线图、图片等。</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（3）快速效果评估模块</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对已开展作业的烟炉，能够快速生成效果评估报告，并可预览烟炉效果评估报告详情。可预览的烟炉效果评估报告内容包括作业目标区概况、作业情况统计、作业后降水分析、物理检验、自动点评等内容。</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（4）历史数据查询模块</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①监控抓拍管理</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能够对抓拍的监控信息进行管理操作。用户可通过选择抓拍时间范围，对指定时间范围内的抓拍信息进行查询检索和预览。通过管理操作按钮，能够对抓拍的监控信息进行下载或删除操作。</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②点火信息查询</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能够对历史点火信息进行查询检索。用户可通过操作员、点火时间等检索条件对历史点火信息进行查询检索，对检索到的信息以表单的方式进行显示。</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③气象信息查询显示</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历史气象信息查询检索功能。用户能够通过选择观测设备、观测要素和时间，对需要查看的气象信息进行检索，并以图标的方式进行显示。在图表中滚动鼠标滑轮可放大或缩小所展示的时间尺度；滑动时间轴下方滑块可查看指定时间段的图表。</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④烟条消耗查询统计</w:t>
            </w:r>
          </w:p>
          <w:p>
            <w:pPr>
              <w:spacing w:line="240" w:lineRule="auto"/>
              <w:ind w:firstLine="0" w:firstLineChars="0"/>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具备历史烟条消耗情况查询统计功能。用户可通过部门、作业点、查询类型（年逐月、月逐日、自定义）和时间范围等信息，查询检索对应时间段的烟条消耗数据，并对统计数据以为柱状图的方式进行展示。</w:t>
            </w:r>
          </w:p>
        </w:tc>
      </w:tr>
    </w:tbl>
    <w:p>
      <w:pPr>
        <w:spacing w:line="360" w:lineRule="auto"/>
        <w:ind w:firstLine="420" w:firstLineChars="200"/>
        <w:rPr>
          <w:rFonts w:ascii="宋体" w:hAnsi="宋体" w:hint="eastAsia"/>
          <w:szCs w:val="21"/>
        </w:rPr>
      </w:pPr>
    </w:p>
    <w:p>
      <w:pPr>
        <w:spacing w:line="360" w:lineRule="auto"/>
        <w:ind w:firstLine="420" w:firstLineChars="200"/>
        <w:jc w:val="left"/>
        <w:rPr>
          <w:rFonts w:ascii="宋体" w:hAnsi="宋体" w:hint="eastAsia"/>
          <w:b/>
          <w:bCs/>
          <w:szCs w:val="21"/>
        </w:rPr>
      </w:pPr>
      <w:r>
        <w:rPr>
          <w:rFonts w:ascii="宋体" w:hAnsi="宋体" w:hint="eastAsia"/>
          <w:b/>
          <w:bCs/>
          <w:szCs w:val="21"/>
          <w:lang w:val="en-US" w:eastAsia="zh-CN"/>
        </w:rPr>
        <w:t>2.</w:t>
      </w:r>
      <w:r>
        <w:rPr>
          <w:rFonts w:ascii="宋体" w:hAnsi="宋体" w:hint="eastAsia"/>
          <w:b/>
          <w:bCs/>
          <w:szCs w:val="21"/>
        </w:rPr>
        <w:t>流动作业点安全能力提升改造</w:t>
      </w:r>
    </w:p>
    <w:p>
      <w:pPr>
        <w:spacing w:line="360" w:lineRule="auto"/>
        <w:ind w:firstLine="412" w:firstLineChars="196"/>
        <w:jc w:val="left"/>
        <w:rPr>
          <w:rFonts w:ascii="宋体" w:hAnsi="宋体" w:hint="eastAsia"/>
          <w:b/>
          <w:bCs/>
          <w:szCs w:val="21"/>
          <w:highlight w:val="none"/>
        </w:rPr>
      </w:pPr>
      <w:r>
        <w:rPr>
          <w:rFonts w:ascii="宋体" w:hAnsi="宋体" w:hint="eastAsia"/>
          <w:b/>
          <w:bCs/>
          <w:szCs w:val="21"/>
          <w:highlight w:val="none"/>
          <w:lang w:eastAsia="zh-CN"/>
        </w:rPr>
        <w:t>（</w:t>
      </w:r>
      <w:r>
        <w:rPr>
          <w:rFonts w:ascii="宋体" w:hAnsi="宋体" w:hint="eastAsia"/>
          <w:b/>
          <w:bCs/>
          <w:szCs w:val="21"/>
          <w:highlight w:val="none"/>
          <w:lang w:val="en-US" w:eastAsia="zh-CN"/>
        </w:rPr>
        <w:t>1</w:t>
      </w:r>
      <w:r>
        <w:rPr>
          <w:rFonts w:ascii="宋体" w:hAnsi="宋体" w:hint="eastAsia"/>
          <w:b/>
          <w:bCs/>
          <w:szCs w:val="21"/>
          <w:highlight w:val="none"/>
          <w:lang w:eastAsia="zh-CN"/>
        </w:rPr>
        <w:t>）</w:t>
      </w:r>
      <w:r>
        <w:rPr>
          <w:rFonts w:ascii="宋体" w:hAnsi="宋体" w:hint="eastAsia"/>
          <w:b/>
          <w:bCs/>
          <w:szCs w:val="21"/>
          <w:highlight w:val="none"/>
        </w:rPr>
        <w:t>流动作业点</w:t>
      </w:r>
      <w:r>
        <w:rPr>
          <w:rFonts w:ascii="宋体" w:hAnsi="宋体" w:hint="eastAsia"/>
          <w:b/>
          <w:bCs/>
          <w:szCs w:val="21"/>
          <w:highlight w:val="none"/>
          <w:lang w:eastAsia="zh-CN"/>
        </w:rPr>
        <w:t>升级改造工程（基础设施改造）</w:t>
      </w:r>
    </w:p>
    <w:p>
      <w:pPr>
        <w:spacing w:line="360" w:lineRule="auto"/>
        <w:ind w:firstLine="412" w:firstLineChars="196"/>
        <w:jc w:val="left"/>
        <w:rPr>
          <w:rFonts w:ascii="宋体" w:hAnsi="宋体" w:hint="eastAsia"/>
          <w:szCs w:val="21"/>
        </w:rPr>
      </w:pPr>
      <w:r>
        <w:rPr>
          <w:rFonts w:ascii="宋体" w:hAnsi="宋体" w:hint="eastAsia"/>
          <w:szCs w:val="21"/>
        </w:rPr>
        <w:t>对21个流动作业点的作业平台进行升级改造，安装防雷设施，统一标识。</w:t>
      </w:r>
    </w:p>
    <w:p>
      <w:pPr>
        <w:spacing w:line="360" w:lineRule="auto"/>
        <w:ind w:firstLine="412" w:firstLineChars="196"/>
        <w:jc w:val="left"/>
        <w:rPr>
          <w:rFonts w:ascii="宋体" w:hAnsi="宋体" w:hint="eastAsia"/>
          <w:szCs w:val="21"/>
        </w:rPr>
      </w:pPr>
      <w:r>
        <w:rPr>
          <w:rFonts w:ascii="仿宋_GB2312" w:eastAsia="仿宋_GB2312" w:hAnsi="仿宋_GB2312" w:cs="仿宋_GB2312" w:hint="eastAsia"/>
          <w:szCs w:val="21"/>
        </w:rPr>
        <w:t>①</w:t>
      </w:r>
      <w:r>
        <w:rPr>
          <w:rFonts w:ascii="宋体" w:hAnsi="宋体" w:hint="eastAsia"/>
          <w:szCs w:val="21"/>
        </w:rPr>
        <w:t>作业平台升级改造</w:t>
      </w:r>
    </w:p>
    <w:p>
      <w:pPr>
        <w:spacing w:line="360" w:lineRule="auto"/>
        <w:ind w:firstLine="412" w:firstLineChars="196"/>
        <w:jc w:val="left"/>
        <w:rPr>
          <w:rFonts w:ascii="宋体" w:hAnsi="宋体" w:hint="eastAsia"/>
          <w:szCs w:val="21"/>
        </w:rPr>
      </w:pPr>
      <w:r>
        <w:rPr>
          <w:rFonts w:ascii="宋体" w:hAnsi="宋体" w:hint="eastAsia"/>
          <w:szCs w:val="21"/>
        </w:rPr>
        <w:t>对流动作业站点的射击平台实施升级，通过平整、夯实及硬化处理，提升平台基础稳定性；单部装备对应的平台半径需不小于3.5米，重新调整平台布设位置，确保与周边建筑物保持符合安全规范的距离。</w:t>
      </w:r>
    </w:p>
    <w:p>
      <w:pPr>
        <w:spacing w:line="360" w:lineRule="auto"/>
        <w:ind w:firstLine="412" w:firstLineChars="196"/>
        <w:jc w:val="left"/>
        <w:rPr>
          <w:rFonts w:ascii="宋体" w:hAnsi="宋体" w:hint="eastAsia"/>
          <w:szCs w:val="21"/>
        </w:rPr>
      </w:pPr>
      <w:r>
        <w:rPr>
          <w:rFonts w:ascii="宋体" w:eastAsia="宋体" w:hAnsi="宋体" w:cs="宋体" w:hint="eastAsia"/>
          <w:szCs w:val="21"/>
        </w:rPr>
        <w:t>②</w:t>
      </w:r>
      <w:r>
        <w:rPr>
          <w:rFonts w:ascii="宋体" w:hAnsi="宋体" w:hint="eastAsia"/>
          <w:szCs w:val="21"/>
        </w:rPr>
        <w:t>防雷设施规范完善</w:t>
      </w:r>
    </w:p>
    <w:p>
      <w:pPr>
        <w:spacing w:line="360" w:lineRule="auto"/>
        <w:ind w:firstLine="412" w:firstLineChars="196"/>
        <w:jc w:val="left"/>
        <w:rPr>
          <w:rFonts w:ascii="宋体" w:hAnsi="宋体" w:hint="eastAsia"/>
          <w:szCs w:val="21"/>
        </w:rPr>
      </w:pPr>
      <w:r>
        <w:rPr>
          <w:rFonts w:ascii="宋体" w:hAnsi="宋体" w:hint="eastAsia"/>
          <w:szCs w:val="21"/>
        </w:rPr>
        <w:t>针对21个流动作业站点的防雷设施开展完善，结合各站点实际地理环境、周边地形及气候条件，依照标准《人工影响天气作业点防雷技术规范》（GB-T 44957-2024），为每个站点精准配备必要的防雷设备，构建适配站点需求的防雷保护体系，保障作业期间设备与人员安全。</w:t>
      </w:r>
    </w:p>
    <w:p>
      <w:pPr>
        <w:spacing w:line="360" w:lineRule="auto"/>
        <w:ind w:firstLine="412" w:firstLineChars="196"/>
        <w:jc w:val="left"/>
        <w:rPr>
          <w:rFonts w:ascii="宋体" w:hAnsi="宋体" w:hint="eastAsia"/>
          <w:szCs w:val="21"/>
        </w:rPr>
      </w:pPr>
      <w:r>
        <w:rPr>
          <w:rFonts w:ascii="仿宋_GB2312" w:eastAsia="仿宋_GB2312" w:hAnsi="仿宋_GB2312" w:cs="仿宋_GB2312" w:hint="eastAsia"/>
          <w:szCs w:val="21"/>
        </w:rPr>
        <w:t>③</w:t>
      </w:r>
      <w:r>
        <w:rPr>
          <w:rFonts w:ascii="宋体" w:hAnsi="宋体" w:hint="eastAsia"/>
          <w:szCs w:val="21"/>
        </w:rPr>
        <w:t>统一标识体系建设</w:t>
      </w:r>
    </w:p>
    <w:p>
      <w:pPr>
        <w:spacing w:line="360" w:lineRule="auto"/>
        <w:ind w:firstLine="412" w:firstLineChars="196"/>
        <w:jc w:val="left"/>
        <w:rPr>
          <w:rFonts w:ascii="宋体" w:hAnsi="宋体" w:hint="eastAsia"/>
          <w:szCs w:val="21"/>
        </w:rPr>
      </w:pPr>
      <w:r>
        <w:rPr>
          <w:rFonts w:ascii="宋体" w:hAnsi="宋体" w:hint="eastAsia"/>
          <w:szCs w:val="21"/>
        </w:rPr>
        <w:t>对作业站点标识进行全面更新与标准化设计，涵盖安全射界图、禁射标识喷涂、各类提示标识及公告牌等；融入气象元素与自然色彩，从应用功能出发，明确设施设备、作业站点、人员装备等多场景的标识使用标准，增强标识辨识度的同时凸显行业特性，实现全场景视觉统一。</w:t>
      </w:r>
    </w:p>
    <w:p>
      <w:pPr>
        <w:spacing w:line="360" w:lineRule="auto"/>
        <w:ind w:firstLine="0" w:firstLineChars="0"/>
        <w:jc w:val="center"/>
        <w:rPr>
          <w:rFonts w:ascii="宋体" w:hAnsi="宋体" w:hint="eastAsia"/>
          <w:szCs w:val="21"/>
        </w:rPr>
      </w:pPr>
      <w:r>
        <w:rPr>
          <w:rFonts w:ascii="宋体" w:hAnsi="宋体" w:hint="eastAsia"/>
          <w:szCs w:val="21"/>
        </w:rPr>
        <w:t>表</w:t>
      </w:r>
      <w:r>
        <w:rPr>
          <w:rFonts w:ascii="宋体" w:hAnsi="宋体" w:hint="eastAsia"/>
          <w:szCs w:val="21"/>
          <w:lang w:val="en-US" w:eastAsia="zh-CN"/>
        </w:rPr>
        <w:t>6   流动作业点升级改造工程（基础设施改造）</w:t>
      </w:r>
      <w:r>
        <w:rPr>
          <w:rFonts w:ascii="宋体" w:hAnsi="宋体" w:hint="eastAsia"/>
          <w:szCs w:val="21"/>
        </w:rPr>
        <w:t>技术性能指标</w:t>
      </w:r>
    </w:p>
    <w:tbl>
      <w:tblPr>
        <w:tblStyle w:val="FC"/>
        <w:tblW w:w="502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Grid>
        <w:gridCol w:w="1082"/>
        <w:gridCol w:w="1354"/>
        <w:gridCol w:w="6120"/>
      </w:tblGrid>
      <w:tr>
        <w:tblPrEx>
          <w:tblW w:w="5020"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Ex>
        <w:trPr>
          <w:trHeight w:val="456"/>
          <w:jc w:val="center"/>
        </w:trPr>
        <w:tc>
          <w:tcPr>
            <w:tcW w:w="1141" w:type="dxa"/>
            <w:tcBorders>
              <w:top w:val="double" w:sz="4" w:space="0" w:color="auto"/>
              <w:left w:val="double" w:sz="4" w:space="0" w:color="auto"/>
              <w:bottom w:val="single" w:sz="4" w:space="0" w:color="auto"/>
              <w:right w:val="single" w:sz="4" w:space="0" w:color="auto"/>
              <w:insideH w:val="single" w:sz="4" w:space="0" w:color="auto"/>
              <w:insideV w:val="single" w:sz="4" w:space="0" w:color="auto"/>
              <w:tl2br w:val="nil"/>
              <w:tr2bl w:val="nil"/>
            </w:tcBorders>
            <w:shd w:val="clear" w:color="auto" w:fill="BFBFBF" w:themeFill="background1" w:themeFillShade="BF"/>
            <w:vAlign w:val="center"/>
          </w:tcPr>
          <w:p>
            <w:pPr>
              <w:widowControl/>
              <w:wordWrap/>
              <w:jc w:val="center"/>
              <w:rPr>
                <w:rFonts w:asciiTheme="minorEastAsia" w:hAnsiTheme="minorEastAsia" w:cstheme="minorEastAsia" w:hint="eastAsia"/>
                <w:b/>
                <w:color w:val="000000" w:themeColor="text1"/>
                <w:kern w:val="0"/>
                <w:sz w:val="22"/>
              </w:rPr>
            </w:pPr>
            <w:r>
              <w:rPr>
                <w:rFonts w:asciiTheme="minorEastAsia" w:eastAsiaTheme="minorEastAsia" w:hAnsiTheme="minorEastAsia" w:cstheme="minorEastAsia" w:hint="eastAsia"/>
                <w:b/>
                <w:color w:val="000000" w:themeColor="text1"/>
                <w:kern w:val="0"/>
                <w:sz w:val="22"/>
                <w:szCs w:val="22"/>
              </w:rPr>
              <w:t>序号</w:t>
            </w:r>
          </w:p>
        </w:tc>
        <w:tc>
          <w:tcPr>
            <w:tcW w:w="1438" w:type="dxa"/>
            <w:tcBorders>
              <w:top w:val="double" w:sz="4" w:space="0" w:color="auto"/>
              <w:bottom w:val="single" w:sz="4" w:space="0" w:color="auto"/>
              <w:right w:val="single" w:sz="4" w:space="0" w:color="auto"/>
              <w:insideH w:val="single" w:sz="4" w:space="0" w:color="auto"/>
              <w:insideV w:val="single" w:sz="4" w:space="0" w:color="auto"/>
              <w:tl2br w:val="nil"/>
              <w:tr2bl w:val="nil"/>
            </w:tcBorders>
            <w:shd w:val="clear" w:color="auto" w:fill="BFBFBF" w:themeFill="background1" w:themeFillShade="BF"/>
            <w:vAlign w:val="center"/>
          </w:tcPr>
          <w:p>
            <w:pPr>
              <w:widowControl/>
              <w:wordWrap/>
              <w:jc w:val="center"/>
              <w:rPr>
                <w:rFonts w:asciiTheme="minorEastAsia" w:hAnsiTheme="minorEastAsia" w:cstheme="minorEastAsia" w:hint="eastAsia"/>
                <w:b/>
                <w:color w:val="000000" w:themeColor="text1"/>
                <w:kern w:val="0"/>
                <w:sz w:val="22"/>
              </w:rPr>
            </w:pPr>
            <w:r>
              <w:rPr>
                <w:rFonts w:asciiTheme="minorEastAsia" w:eastAsiaTheme="minorEastAsia" w:hAnsiTheme="minorEastAsia" w:cstheme="minorEastAsia" w:hint="eastAsia"/>
                <w:b/>
                <w:color w:val="000000" w:themeColor="text1"/>
                <w:kern w:val="0"/>
                <w:sz w:val="22"/>
                <w:szCs w:val="22"/>
              </w:rPr>
              <w:t>组成</w:t>
            </w:r>
          </w:p>
        </w:tc>
        <w:tc>
          <w:tcPr>
            <w:tcW w:w="6519" w:type="dxa"/>
            <w:tcBorders>
              <w:top w:val="double" w:sz="4" w:space="0" w:color="auto"/>
              <w:bottom w:val="single" w:sz="4" w:space="0" w:color="auto"/>
              <w:right w:val="double" w:sz="4" w:space="0" w:color="auto"/>
              <w:insideH w:val="single" w:sz="4" w:space="0" w:color="auto"/>
              <w:insideV w:val="single" w:sz="4" w:space="0" w:color="auto"/>
              <w:tl2br w:val="nil"/>
              <w:tr2bl w:val="nil"/>
            </w:tcBorders>
            <w:shd w:val="clear" w:color="auto" w:fill="BFBFBF" w:themeFill="background1" w:themeFillShade="BF"/>
            <w:vAlign w:val="center"/>
          </w:tcPr>
          <w:p>
            <w:pPr>
              <w:widowControl/>
              <w:wordWrap/>
              <w:jc w:val="center"/>
              <w:rPr>
                <w:rFonts w:asciiTheme="minorEastAsia" w:hAnsiTheme="minorEastAsia" w:cstheme="minorEastAsia" w:hint="eastAsia"/>
                <w:b/>
                <w:color w:val="000000" w:themeColor="text1"/>
                <w:kern w:val="0"/>
                <w:sz w:val="22"/>
              </w:rPr>
            </w:pPr>
            <w:r>
              <w:rPr>
                <w:rFonts w:asciiTheme="minorEastAsia" w:eastAsiaTheme="minorEastAsia" w:hAnsiTheme="minorEastAsia" w:cstheme="minorEastAsia" w:hint="eastAsia"/>
                <w:b/>
                <w:color w:val="000000" w:themeColor="text1"/>
                <w:kern w:val="0"/>
                <w:sz w:val="22"/>
                <w:szCs w:val="22"/>
              </w:rPr>
              <w:t>技术参数</w:t>
            </w:r>
          </w:p>
        </w:tc>
      </w:tr>
      <w:tr>
        <w:tblPrEx>
          <w:tblW w:w="5020" w:type="pct"/>
          <w:jc w:val="center"/>
          <w:tblCellMar>
            <w:top w:w="0" w:type="dxa"/>
            <w:left w:w="108" w:type="dxa"/>
            <w:bottom w:w="0" w:type="dxa"/>
            <w:right w:w="108" w:type="dxa"/>
          </w:tblCellMar>
        </w:tblPrEx>
        <w:trPr>
          <w:trHeight w:val="1181"/>
          <w:jc w:val="center"/>
        </w:trPr>
        <w:tc>
          <w:tcPr>
            <w:tcW w:w="1141" w:type="dxa"/>
            <w:vAlign w:val="center"/>
          </w:tcPr>
          <w:p>
            <w:pPr>
              <w:widowControl/>
              <w:jc w:val="center"/>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rPr>
              <w:t>1</w:t>
            </w:r>
          </w:p>
        </w:tc>
        <w:tc>
          <w:tcPr>
            <w:tcW w:w="1438" w:type="dxa"/>
            <w:vAlign w:val="center"/>
          </w:tcPr>
          <w:p>
            <w:pPr>
              <w:widowControl/>
              <w:jc w:val="center"/>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rPr>
              <w:t>作业平台</w:t>
            </w:r>
          </w:p>
        </w:tc>
        <w:tc>
          <w:tcPr>
            <w:tcW w:w="6519" w:type="dxa"/>
            <w:vAlign w:val="center"/>
          </w:tcPr>
          <w:p>
            <w:pPr>
              <w:widowControl/>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rPr>
              <w:t>对流动作业站点的射击平台进行升级改造，使作业点射击平台平整、夯实硬化。单部装备平台半径不小于3.5m；调整平台位置，与周边建筑物保持适当距离，以减少潜在的安全风险。</w:t>
            </w:r>
          </w:p>
        </w:tc>
      </w:tr>
      <w:tr>
        <w:tblPrEx>
          <w:tblW w:w="5020" w:type="pct"/>
          <w:jc w:val="center"/>
          <w:tblCellMar>
            <w:top w:w="0" w:type="dxa"/>
            <w:left w:w="108" w:type="dxa"/>
            <w:bottom w:w="0" w:type="dxa"/>
            <w:right w:w="108" w:type="dxa"/>
          </w:tblCellMar>
        </w:tblPrEx>
        <w:trPr>
          <w:trHeight w:val="795"/>
          <w:jc w:val="center"/>
        </w:trPr>
        <w:tc>
          <w:tcPr>
            <w:tcW w:w="1141" w:type="dxa"/>
            <w:vAlign w:val="center"/>
          </w:tcPr>
          <w:p>
            <w:pPr>
              <w:widowControl/>
              <w:jc w:val="center"/>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rPr>
              <w:t>2</w:t>
            </w:r>
          </w:p>
        </w:tc>
        <w:tc>
          <w:tcPr>
            <w:tcW w:w="1438" w:type="dxa"/>
            <w:vAlign w:val="center"/>
          </w:tcPr>
          <w:p>
            <w:pPr>
              <w:widowControl/>
              <w:jc w:val="center"/>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rPr>
              <w:t>防雷设施</w:t>
            </w:r>
          </w:p>
        </w:tc>
        <w:tc>
          <w:tcPr>
            <w:tcW w:w="6519" w:type="dxa"/>
            <w:vAlign w:val="center"/>
          </w:tcPr>
          <w:p>
            <w:pPr>
              <w:widowControl/>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lang w:eastAsia="zh-CN"/>
              </w:rPr>
              <w:t>根据实际情况</w:t>
            </w:r>
            <w:r>
              <w:rPr>
                <w:rFonts w:asciiTheme="minorEastAsia" w:eastAsiaTheme="minorEastAsia" w:hAnsiTheme="minorEastAsia" w:cstheme="minorEastAsia" w:hint="eastAsia"/>
                <w:color w:val="000000" w:themeColor="text1"/>
                <w:kern w:val="0"/>
                <w:sz w:val="22"/>
                <w:szCs w:val="22"/>
              </w:rPr>
              <w:t>配备防雷设施，依照标准《人工影响天气作业点防雷技术规范》</w:t>
            </w:r>
            <w:r>
              <w:rPr>
                <w:rFonts w:asciiTheme="minorEastAsia" w:eastAsiaTheme="minorEastAsia" w:hAnsiTheme="minorEastAsia" w:cstheme="minorEastAsia" w:hint="eastAsia"/>
                <w:color w:val="000000" w:themeColor="text1"/>
                <w:kern w:val="0"/>
                <w:sz w:val="22"/>
                <w:szCs w:val="22"/>
                <w:highlight w:val="none"/>
              </w:rPr>
              <w:t>（</w:t>
            </w:r>
            <w:r>
              <w:rPr>
                <w:rFonts w:asciiTheme="minorEastAsia" w:eastAsiaTheme="minorEastAsia" w:hAnsiTheme="minorEastAsia" w:cstheme="minorEastAsia" w:hint="eastAsia"/>
                <w:color w:val="000000" w:themeColor="text1"/>
                <w:kern w:val="0"/>
                <w:sz w:val="22"/>
                <w:szCs w:val="22"/>
                <w:highlight w:val="none"/>
                <w:lang w:val="en-US" w:eastAsia="zh-CN"/>
              </w:rPr>
              <w:t>GB-T 44957-2024</w:t>
            </w:r>
            <w:r>
              <w:rPr>
                <w:rFonts w:asciiTheme="minorEastAsia" w:eastAsiaTheme="minorEastAsia" w:hAnsiTheme="minorEastAsia" w:cstheme="minorEastAsia" w:hint="eastAsia"/>
                <w:color w:val="000000" w:themeColor="text1"/>
                <w:kern w:val="0"/>
                <w:sz w:val="22"/>
                <w:szCs w:val="22"/>
                <w:highlight w:val="none"/>
              </w:rPr>
              <w:t>）。</w:t>
            </w:r>
          </w:p>
        </w:tc>
      </w:tr>
      <w:tr>
        <w:tblPrEx>
          <w:tblW w:w="5020" w:type="pct"/>
          <w:jc w:val="center"/>
          <w:tblCellMar>
            <w:top w:w="0" w:type="dxa"/>
            <w:left w:w="108" w:type="dxa"/>
            <w:bottom w:w="0" w:type="dxa"/>
            <w:right w:w="108" w:type="dxa"/>
          </w:tblCellMar>
        </w:tblPrEx>
        <w:trPr>
          <w:trHeight w:val="479"/>
          <w:jc w:val="center"/>
        </w:trPr>
        <w:tc>
          <w:tcPr>
            <w:tcW w:w="1141" w:type="dxa"/>
            <w:vAlign w:val="center"/>
          </w:tcPr>
          <w:p>
            <w:pPr>
              <w:widowControl/>
              <w:jc w:val="center"/>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rPr>
              <w:t>3</w:t>
            </w:r>
          </w:p>
        </w:tc>
        <w:tc>
          <w:tcPr>
            <w:tcW w:w="1438" w:type="dxa"/>
            <w:vAlign w:val="center"/>
          </w:tcPr>
          <w:p>
            <w:pPr>
              <w:widowControl/>
              <w:jc w:val="center"/>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rPr>
              <w:t>统一标识</w:t>
            </w:r>
          </w:p>
        </w:tc>
        <w:tc>
          <w:tcPr>
            <w:tcW w:w="6519" w:type="dxa"/>
            <w:vAlign w:val="center"/>
          </w:tcPr>
          <w:p>
            <w:pPr>
              <w:widowControl/>
              <w:rPr>
                <w:rFonts w:asciiTheme="minorEastAsia" w:hAnsiTheme="minorEastAsia" w:cstheme="minorEastAsia" w:hint="eastAsia"/>
                <w:color w:val="000000" w:themeColor="text1"/>
                <w:kern w:val="0"/>
                <w:sz w:val="22"/>
              </w:rPr>
            </w:pPr>
            <w:r>
              <w:rPr>
                <w:rFonts w:asciiTheme="minorEastAsia" w:eastAsiaTheme="minorEastAsia" w:hAnsiTheme="minorEastAsia" w:cstheme="minorEastAsia" w:hint="eastAsia"/>
                <w:color w:val="000000" w:themeColor="text1"/>
                <w:kern w:val="0"/>
                <w:sz w:val="22"/>
                <w:szCs w:val="22"/>
              </w:rPr>
              <w:t>更新安全射界图、禁射标识喷涂、标识、公告牌等标牌。</w:t>
            </w:r>
          </w:p>
        </w:tc>
      </w:tr>
    </w:tbl>
    <w:p>
      <w:pPr>
        <w:spacing w:line="360" w:lineRule="auto"/>
        <w:ind w:firstLine="412" w:firstLineChars="196"/>
        <w:jc w:val="left"/>
        <w:rPr>
          <w:rFonts w:ascii="宋体" w:hAnsi="宋体" w:hint="eastAsia"/>
          <w:b/>
          <w:bCs/>
          <w:szCs w:val="21"/>
        </w:rPr>
      </w:pPr>
      <w:r>
        <w:rPr>
          <w:rFonts w:ascii="宋体" w:hAnsi="宋体" w:hint="eastAsia"/>
          <w:b/>
          <w:szCs w:val="21"/>
          <w:lang w:eastAsia="zh-CN"/>
        </w:rPr>
        <w:t>（</w:t>
      </w:r>
      <w:r>
        <w:rPr>
          <w:rFonts w:ascii="宋体" w:hAnsi="宋体" w:hint="eastAsia"/>
          <w:b/>
          <w:szCs w:val="21"/>
          <w:lang w:val="en-US" w:eastAsia="zh-CN"/>
        </w:rPr>
        <w:t>2</w:t>
      </w:r>
      <w:r>
        <w:rPr>
          <w:rFonts w:ascii="宋体" w:hAnsi="宋体" w:hint="eastAsia"/>
          <w:b/>
          <w:szCs w:val="21"/>
          <w:lang w:eastAsia="zh-CN"/>
        </w:rPr>
        <w:t>）</w:t>
      </w:r>
      <w:r>
        <w:rPr>
          <w:rFonts w:ascii="宋体" w:hAnsi="宋体" w:hint="eastAsia"/>
          <w:b/>
          <w:bCs/>
          <w:szCs w:val="21"/>
        </w:rPr>
        <w:t>流动作业点升级改造设备及作业人员安全防护装备</w:t>
      </w:r>
    </w:p>
    <w:p>
      <w:pPr>
        <w:spacing w:line="360" w:lineRule="auto"/>
        <w:ind w:firstLine="412" w:firstLineChars="196"/>
        <w:jc w:val="left"/>
        <w:rPr>
          <w:rFonts w:ascii="宋体" w:hAnsi="宋体" w:hint="eastAsia"/>
          <w:szCs w:val="21"/>
        </w:rPr>
      </w:pPr>
      <w:r>
        <w:rPr>
          <w:rFonts w:ascii="宋体" w:hAnsi="宋体" w:hint="eastAsia"/>
          <w:szCs w:val="21"/>
        </w:rPr>
        <w:t>为流动作业点配备13套作业监控设施（移动布控球）、21套对讲机、13部应急通讯设备、6套视频记录仪。配发作业人员安全防护装备91套（其中，流动作业点人员安全防护装备63套，固定作业点人员安全防护装备28套）。</w:t>
      </w:r>
    </w:p>
    <w:p>
      <w:pPr>
        <w:spacing w:line="360" w:lineRule="auto"/>
        <w:ind w:firstLine="412" w:firstLineChars="196"/>
        <w:jc w:val="left"/>
        <w:rPr>
          <w:rFonts w:ascii="宋体" w:hAnsi="宋体" w:hint="eastAsia"/>
          <w:szCs w:val="21"/>
        </w:rPr>
      </w:pPr>
      <w:r>
        <w:rPr>
          <w:rFonts w:ascii="汉仪书宋二S" w:hAnsi="汉仪书宋二S" w:cs="汉仪书宋二S" w:hint="default"/>
          <w:szCs w:val="21"/>
        </w:rPr>
        <w:t>①</w:t>
      </w:r>
      <w:r>
        <w:rPr>
          <w:rFonts w:ascii="宋体" w:hAnsi="宋体" w:hint="eastAsia"/>
          <w:szCs w:val="21"/>
        </w:rPr>
        <w:t>作业监控设施（移动布控球）</w:t>
      </w:r>
      <w:r>
        <w:rPr>
          <w:rFonts w:ascii="宋体" w:hAnsi="宋体" w:hint="default"/>
          <w:szCs w:val="21"/>
          <w:lang w:val="en-US"/>
        </w:rPr>
        <w:t>13</w:t>
      </w:r>
      <w:r>
        <w:rPr>
          <w:rFonts w:ascii="宋体" w:hAnsi="宋体" w:hint="eastAsia"/>
          <w:szCs w:val="21"/>
          <w:lang w:val="en-US" w:eastAsia="zh-CN"/>
        </w:rPr>
        <w:t>套</w:t>
      </w:r>
    </w:p>
    <w:p>
      <w:pPr>
        <w:spacing w:line="360" w:lineRule="auto"/>
        <w:ind w:firstLine="412" w:firstLineChars="196"/>
        <w:jc w:val="left"/>
        <w:rPr>
          <w:rFonts w:ascii="宋体" w:hAnsi="宋体" w:hint="eastAsia"/>
          <w:szCs w:val="21"/>
        </w:rPr>
      </w:pPr>
      <w:r>
        <w:rPr>
          <w:rFonts w:ascii="宋体" w:hAnsi="宋体" w:hint="eastAsia"/>
          <w:szCs w:val="21"/>
        </w:rPr>
        <w:t>利用移动布控球等智能化远程监控设备，结合国省一体化人影综合业务平台（以下简称“天工平台”）国省市县一体架构、信息共享的业务体系，具备远程可视、双向语音、风险告警等多种功能。布控球内置违规行为识别芯片，对作业现场违规行为进行识别、记录和上报。</w:t>
      </w:r>
    </w:p>
    <w:p>
      <w:pPr>
        <w:spacing w:line="360" w:lineRule="auto"/>
        <w:jc w:val="center"/>
        <w:rPr>
          <w:rFonts w:ascii="宋体" w:hAnsi="宋体" w:hint="eastAsia"/>
          <w:szCs w:val="21"/>
        </w:rPr>
      </w:pPr>
      <w:r>
        <w:rPr>
          <w:rFonts w:ascii="宋体" w:hAnsi="宋体" w:cs="Times New Roman" w:hint="eastAsia"/>
          <w:szCs w:val="21"/>
          <w:lang w:eastAsia="zh-CN"/>
        </w:rPr>
        <w:t>表</w:t>
      </w:r>
      <w:r>
        <w:rPr>
          <w:rFonts w:ascii="宋体" w:hAnsi="宋体" w:cs="Times New Roman" w:hint="eastAsia"/>
          <w:szCs w:val="21"/>
          <w:lang w:val="en-US" w:eastAsia="zh-CN"/>
        </w:rPr>
        <w:t xml:space="preserve">7  </w:t>
      </w:r>
      <w:r>
        <w:rPr>
          <w:rFonts w:ascii="宋体" w:hAnsi="宋体" w:hint="eastAsia"/>
          <w:szCs w:val="21"/>
        </w:rPr>
        <w:t>作业监控设施</w:t>
      </w:r>
      <w:r>
        <w:rPr>
          <w:rFonts w:ascii="宋体" w:hAnsi="宋体" w:cs="Times New Roman" w:hint="eastAsia"/>
          <w:szCs w:val="21"/>
          <w:lang w:eastAsia="zh-CN"/>
        </w:rPr>
        <w:t>（</w:t>
      </w:r>
      <w:r>
        <w:rPr>
          <w:rFonts w:ascii="宋体" w:hAnsi="宋体" w:hint="eastAsia"/>
          <w:szCs w:val="21"/>
        </w:rPr>
        <w:t>移动布控球</w:t>
      </w:r>
      <w:r>
        <w:rPr>
          <w:rFonts w:ascii="宋体" w:hAnsi="宋体" w:cs="Times New Roman" w:hint="eastAsia"/>
          <w:szCs w:val="21"/>
          <w:lang w:eastAsia="zh-CN"/>
        </w:rPr>
        <w:t>）</w:t>
      </w:r>
      <w:r>
        <w:rPr>
          <w:rFonts w:ascii="宋体" w:hAnsi="宋体" w:hint="eastAsia"/>
          <w:szCs w:val="21"/>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8"/>
        <w:gridCol w:w="1132"/>
        <w:gridCol w:w="675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374"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序号</w:t>
            </w:r>
          </w:p>
        </w:tc>
        <w:tc>
          <w:tcPr>
            <w:tcW w:w="664"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产品名称</w:t>
            </w:r>
          </w:p>
        </w:tc>
        <w:tc>
          <w:tcPr>
            <w:tcW w:w="3960"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技术性能指标</w:t>
            </w:r>
          </w:p>
        </w:tc>
      </w:tr>
      <w:tr>
        <w:tblPrEx>
          <w:tblW w:w="5000" w:type="pct"/>
          <w:jc w:val="center"/>
          <w:tblCellMar>
            <w:top w:w="0" w:type="dxa"/>
            <w:left w:w="108" w:type="dxa"/>
            <w:bottom w:w="0" w:type="dxa"/>
            <w:right w:w="108" w:type="dxa"/>
          </w:tblCellMar>
        </w:tblPrEx>
        <w:trPr>
          <w:trHeight w:val="9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p>
        </w:tc>
        <w:tc>
          <w:tcPr>
            <w:tcW w:w="66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移动布控球</w:t>
            </w:r>
          </w:p>
          <w:p>
            <w:pPr>
              <w:rPr>
                <w:rFonts w:asciiTheme="minorEastAsia" w:hAnsiTheme="minorEastAsia" w:cstheme="minorEastAsia" w:hint="eastAsia"/>
                <w:sz w:val="22"/>
              </w:rPr>
            </w:pPr>
          </w:p>
        </w:tc>
        <w:tc>
          <w:tcPr>
            <w:tcW w:w="3960" w:type="pct"/>
          </w:tcPr>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1、分辨率：移动布控球摄像头像素≥400万，水平中心分辨力≥1400TVL。具有1个全景摄像头和1个特写摄像头，支持两个摄像头同时预览。特写镜头配置≥1/1.8" CMOS传感器，最大分辨率≥2560*1440，水平分辨力≥1400 TVL，支持≥30倍光学变倍；全景镜头配置≥1/1.8" CMOS传感器，分辨率≥2160×3840；</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2、夜视能力：彩色模式最低照度≤0.0001Lux ，黑白模式最低照度≤0.00005Lux；</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lang w:val="en-US" w:eastAsia="zh-CN"/>
              </w:rPr>
              <w:t>▲</w:t>
            </w:r>
            <w:r>
              <w:rPr>
                <w:rFonts w:asciiTheme="minorEastAsia" w:eastAsiaTheme="minorEastAsia" w:hAnsiTheme="minorEastAsia" w:cstheme="minorEastAsia" w:hint="eastAsia"/>
                <w:sz w:val="22"/>
                <w:szCs w:val="22"/>
                <w:highlight w:val="none"/>
              </w:rPr>
              <w:t>3、补光：支持红外补光，补光距离≥60米；</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4、云台控制：支持水平 360°连续旋转，垂直-25°～90°；</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5、显示屏：自带显示屏，支持触摸，支持视频预览、功能设置、系统参数设置，支持控制云台进行转动、变焦命令，支持智能功能选择等，可显示当前电池电量、卫星定位状态、3G/4G/5G状态、录像状态、存储容量、蓝牙状态、平台连接状态、Wi-Fi状态、智能算法模式等；</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lang w:val="en-US" w:eastAsia="zh-CN"/>
              </w:rPr>
              <w:t>▲</w:t>
            </w:r>
            <w:r>
              <w:rPr>
                <w:rFonts w:asciiTheme="minorEastAsia" w:eastAsiaTheme="minorEastAsia" w:hAnsiTheme="minorEastAsia" w:cstheme="minorEastAsia" w:hint="eastAsia"/>
                <w:sz w:val="22"/>
                <w:szCs w:val="22"/>
                <w:highlight w:val="none"/>
              </w:rPr>
              <w:t>6、AI智能算法：内置算力芯片，支持人脸识别、吸烟、区域入侵、安全帽识别、反光衣识别、侧方位装弹、警戒区内是否遗留弹药箱等功能，将作业现场的图像视频数据和识别获取的违规行为图片传输给本地人影安全平台和天工平台；</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7、语音交互：移动布控球内置高分贝喇叭，支持双向对讲，语音喊话和语音通知等功能；</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 xml:space="preserve">8、数据传输：支持 H.265 和 H.264 视频编码方式，支持视频双码流传输； </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 xml:space="preserve">9、本地存储：支持双TF卡存储，单卡支持≥1T的本地存储，支持存储至少3个月的监控画面，支持加密存储； </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lang w:val="en-US" w:eastAsia="zh-CN"/>
              </w:rPr>
              <w:t>▲</w:t>
            </w:r>
            <w:r>
              <w:rPr>
                <w:rFonts w:asciiTheme="minorEastAsia" w:eastAsiaTheme="minorEastAsia" w:hAnsiTheme="minorEastAsia" w:cstheme="minorEastAsia" w:hint="eastAsia"/>
                <w:sz w:val="22"/>
                <w:szCs w:val="22"/>
                <w:highlight w:val="none"/>
              </w:rPr>
              <w:t xml:space="preserve">10、卫星定位：支持内置北斗定位模块； </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lang w:val="en-US" w:eastAsia="zh-CN"/>
              </w:rPr>
              <w:t>▲</w:t>
            </w:r>
            <w:r>
              <w:rPr>
                <w:rFonts w:asciiTheme="minorEastAsia" w:eastAsiaTheme="minorEastAsia" w:hAnsiTheme="minorEastAsia" w:cstheme="minorEastAsia" w:hint="eastAsia"/>
                <w:sz w:val="22"/>
                <w:szCs w:val="22"/>
                <w:highlight w:val="none"/>
              </w:rPr>
              <w:t>11、网络要求：支持4G/5G 全网通；</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12、无线连接：内置 Wi-Fi 模块，支持 802.11b/g/n，支持蓝牙4.0及以上；</w:t>
            </w:r>
          </w:p>
          <w:p>
            <w:pPr>
              <w:rPr>
                <w:rFonts w:asciiTheme="minorEastAsia" w:hAnsiTheme="minorEastAsia" w:cstheme="minorEastAsia" w:hint="eastAsia"/>
                <w:sz w:val="22"/>
                <w:highlight w:val="none"/>
              </w:rPr>
            </w:pPr>
            <w:r>
              <w:rPr>
                <w:rFonts w:asciiTheme="minorEastAsia" w:eastAsiaTheme="minorEastAsia" w:hAnsiTheme="minorEastAsia" w:cstheme="minorEastAsia" w:hint="eastAsia"/>
                <w:sz w:val="22"/>
                <w:szCs w:val="22"/>
                <w:highlight w:val="none"/>
              </w:rPr>
              <w:t>13、供电：支持电池供电和外接电源供电；</w:t>
            </w:r>
          </w:p>
          <w:p>
            <w:pPr>
              <w:rPr>
                <w:rFonts w:asciiTheme="minorEastAsia" w:hAnsiTheme="minorEastAsia" w:cstheme="minorEastAsia" w:hint="eastAsia"/>
                <w:sz w:val="22"/>
                <w:highlight w:val="green"/>
              </w:rPr>
            </w:pPr>
            <w:r>
              <w:rPr>
                <w:rFonts w:asciiTheme="minorEastAsia" w:eastAsiaTheme="minorEastAsia" w:hAnsiTheme="minorEastAsia" w:cstheme="minorEastAsia" w:hint="eastAsia"/>
                <w:sz w:val="22"/>
                <w:szCs w:val="22"/>
                <w:lang w:val="en-US" w:eastAsia="zh-CN"/>
              </w:rPr>
              <w:t>▲</w:t>
            </w:r>
            <w:r>
              <w:rPr>
                <w:rFonts w:asciiTheme="minorEastAsia" w:eastAsiaTheme="minorEastAsia" w:hAnsiTheme="minorEastAsia" w:cstheme="minorEastAsia" w:hint="eastAsia"/>
                <w:sz w:val="22"/>
                <w:szCs w:val="22"/>
                <w:highlight w:val="none"/>
              </w:rPr>
              <w:t>1</w:t>
            </w:r>
            <w:r>
              <w:rPr>
                <w:rFonts w:asciiTheme="minorEastAsia" w:eastAsiaTheme="minorEastAsia" w:hAnsiTheme="minorEastAsia" w:cstheme="minorEastAsia" w:hint="eastAsia"/>
                <w:sz w:val="22"/>
                <w:szCs w:val="22"/>
                <w:highlight w:val="none"/>
                <w:lang w:val="en-US" w:eastAsia="zh-CN"/>
              </w:rPr>
              <w:t>4</w:t>
            </w:r>
            <w:r>
              <w:rPr>
                <w:rFonts w:asciiTheme="minorEastAsia" w:eastAsiaTheme="minorEastAsia" w:hAnsiTheme="minorEastAsia" w:cstheme="minorEastAsia" w:hint="eastAsia"/>
                <w:sz w:val="22"/>
                <w:szCs w:val="22"/>
                <w:highlight w:val="none"/>
              </w:rPr>
              <w:t>、</w:t>
            </w:r>
            <w:r>
              <w:rPr>
                <w:rFonts w:asciiTheme="minorEastAsia" w:eastAsiaTheme="minorEastAsia" w:hAnsiTheme="minorEastAsia" w:cstheme="minorEastAsia" w:hint="eastAsia"/>
                <w:sz w:val="22"/>
                <w:szCs w:val="22"/>
                <w:highlight w:val="none"/>
                <w:lang w:val="en-US" w:eastAsia="zh-CN"/>
              </w:rPr>
              <w:t>电池：</w:t>
            </w:r>
            <w:r>
              <w:rPr>
                <w:rFonts w:asciiTheme="minorEastAsia" w:eastAsiaTheme="minorEastAsia" w:hAnsiTheme="minorEastAsia" w:cstheme="minorEastAsia" w:hint="eastAsia"/>
                <w:sz w:val="22"/>
                <w:szCs w:val="22"/>
                <w:highlight w:val="none"/>
              </w:rPr>
              <w:t>配置可拆卸电池，常温光照良好条件下，支持连续工作≥8小时，多配电池1个；</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lang w:val="en-US" w:eastAsia="zh-CN"/>
              </w:rPr>
              <w:t>▲</w:t>
            </w:r>
            <w:r>
              <w:rPr>
                <w:rFonts w:asciiTheme="minorEastAsia" w:eastAsiaTheme="minorEastAsia" w:hAnsiTheme="minorEastAsia" w:cstheme="minorEastAsia" w:hint="eastAsia"/>
                <w:sz w:val="22"/>
                <w:szCs w:val="22"/>
              </w:rPr>
              <w:t>1</w:t>
            </w:r>
            <w:r>
              <w:rPr>
                <w:rFonts w:asciiTheme="minorEastAsia" w:eastAsiaTheme="minorEastAsia" w:hAnsiTheme="minorEastAsia" w:cstheme="minorEastAsia" w:hint="eastAsia"/>
                <w:sz w:val="22"/>
                <w:szCs w:val="22"/>
                <w:lang w:val="en-US" w:eastAsia="zh-CN"/>
              </w:rPr>
              <w:t>5</w:t>
            </w:r>
            <w:r>
              <w:rPr>
                <w:rFonts w:asciiTheme="minorEastAsia" w:eastAsiaTheme="minorEastAsia" w:hAnsiTheme="minorEastAsia" w:cstheme="minorEastAsia" w:hint="eastAsia"/>
                <w:sz w:val="22"/>
                <w:szCs w:val="22"/>
              </w:rPr>
              <w:t xml:space="preserve">、防护等级：≥IP66；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r>
              <w:rPr>
                <w:rFonts w:asciiTheme="minorEastAsia" w:eastAsiaTheme="minorEastAsia" w:hAnsiTheme="minorEastAsia" w:cstheme="minorEastAsia" w:hint="eastAsia"/>
                <w:sz w:val="22"/>
                <w:szCs w:val="22"/>
                <w:lang w:val="en-US" w:eastAsia="zh-CN"/>
              </w:rPr>
              <w:t>6</w:t>
            </w:r>
            <w:r>
              <w:rPr>
                <w:rFonts w:asciiTheme="minorEastAsia" w:eastAsiaTheme="minorEastAsia" w:hAnsiTheme="minorEastAsia" w:cstheme="minorEastAsia" w:hint="eastAsia"/>
                <w:sz w:val="22"/>
                <w:szCs w:val="22"/>
              </w:rPr>
              <w:t>、安装方式：支持三角支架安装；</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r>
              <w:rPr>
                <w:rFonts w:asciiTheme="minorEastAsia" w:eastAsiaTheme="minorEastAsia" w:hAnsiTheme="minorEastAsia" w:cstheme="minorEastAsia" w:hint="eastAsia"/>
                <w:sz w:val="22"/>
                <w:szCs w:val="22"/>
                <w:lang w:val="en-US" w:eastAsia="zh-CN"/>
              </w:rPr>
              <w:t>7</w:t>
            </w:r>
            <w:r>
              <w:rPr>
                <w:rFonts w:asciiTheme="minorEastAsia" w:eastAsiaTheme="minorEastAsia" w:hAnsiTheme="minorEastAsia" w:cstheme="minorEastAsia" w:hint="eastAsia"/>
                <w:sz w:val="22"/>
                <w:szCs w:val="22"/>
              </w:rPr>
              <w:t xml:space="preserve">、环境适应性：-20℃～55℃；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r>
              <w:rPr>
                <w:rFonts w:asciiTheme="minorEastAsia" w:eastAsiaTheme="minorEastAsia" w:hAnsiTheme="minorEastAsia" w:cstheme="minorEastAsia" w:hint="eastAsia"/>
                <w:sz w:val="22"/>
                <w:szCs w:val="22"/>
                <w:lang w:val="en-US" w:eastAsia="zh-CN"/>
              </w:rPr>
              <w:t>8</w:t>
            </w:r>
            <w:r>
              <w:rPr>
                <w:rFonts w:asciiTheme="minorEastAsia" w:eastAsiaTheme="minorEastAsia" w:hAnsiTheme="minorEastAsia" w:cstheme="minorEastAsia" w:hint="eastAsia"/>
                <w:sz w:val="22"/>
                <w:szCs w:val="22"/>
              </w:rPr>
              <w:t>、电磁兼容性：具备一般电磁兼容性，可适用于各类电磁干扰环境下。</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r>
              <w:rPr>
                <w:rFonts w:asciiTheme="minorEastAsia" w:eastAsiaTheme="minorEastAsia" w:hAnsiTheme="minorEastAsia" w:cstheme="minorEastAsia" w:hint="eastAsia"/>
                <w:sz w:val="22"/>
                <w:szCs w:val="22"/>
                <w:lang w:val="en-US" w:eastAsia="zh-CN"/>
              </w:rPr>
              <w:t>9</w:t>
            </w:r>
            <w:r>
              <w:rPr>
                <w:rFonts w:asciiTheme="minorEastAsia" w:eastAsiaTheme="minorEastAsia" w:hAnsiTheme="minorEastAsia" w:cstheme="minorEastAsia" w:hint="eastAsia"/>
                <w:sz w:val="22"/>
                <w:szCs w:val="22"/>
              </w:rPr>
              <w:t>、基于天工平台的组件化架构开发布控球电子围栏组件，实现以下功能：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（1）通过电子围栏组件进行布控球监控画面预览，包括基础视频预览、视图模式预览、实时云台控制图片抓拍、照片分辨率设置等功能；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（2）通过电子围栏组件进行视频播放设置，包括布控球在线/离线状态、视频播放窗口布局切换、多窗口预览、主副码流切换等功能；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（3）通过电子围栏组件查看布控球的区域入侵、安全帽识别、反光衣识别、侧方位装弹、警戒区内是否遗留弹药箱等违规行为识别结果；</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（4）通过电子围栏组件进行与布控球的双向对讲功能，通过系统发起对讲请求，从而进行语音喊话和语音通知；</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（5）通过电子围栏组件进行告警时间查询统计，通过系统按照报警类型、发生时间、发生地点和处理结果等筛选条件进行历史报警事件的查询和统计。</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lang w:val="en-US" w:eastAsia="zh-CN"/>
              </w:rPr>
              <w:t>20、</w:t>
            </w:r>
            <w:r>
              <w:rPr>
                <w:rFonts w:asciiTheme="minorEastAsia" w:eastAsiaTheme="minorEastAsia" w:hAnsiTheme="minorEastAsia" w:cstheme="minorEastAsia" w:hint="eastAsia"/>
                <w:sz w:val="22"/>
                <w:szCs w:val="22"/>
              </w:rPr>
              <w:t>支持三角支架安装及配套的稳固装置，可抗强风</w:t>
            </w:r>
            <w:r>
              <w:rPr>
                <w:rFonts w:asciiTheme="minorEastAsia" w:eastAsiaTheme="minorEastAsia" w:hAnsiTheme="minorEastAsia" w:cstheme="minorEastAsia" w:hint="eastAsia"/>
                <w:sz w:val="22"/>
                <w:szCs w:val="22"/>
                <w:lang w:eastAsia="zh-CN"/>
              </w:rPr>
              <w:t>；</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lang w:val="en-US" w:eastAsia="zh-CN"/>
              </w:rPr>
              <w:t>21、</w:t>
            </w:r>
            <w:r>
              <w:rPr>
                <w:rFonts w:asciiTheme="minorEastAsia" w:eastAsiaTheme="minorEastAsia" w:hAnsiTheme="minorEastAsia" w:cstheme="minorEastAsia" w:hint="eastAsia"/>
                <w:sz w:val="22"/>
                <w:szCs w:val="22"/>
              </w:rPr>
              <w:t>配套应急照明</w:t>
            </w:r>
            <w:r>
              <w:rPr>
                <w:rFonts w:asciiTheme="minorEastAsia" w:eastAsia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户外（防水等级≥IP66）移动式便携长续航（≥15小时）强光应急照亮</w:t>
            </w:r>
            <w:r>
              <w:rPr>
                <w:rFonts w:asciiTheme="minorEastAsia" w:eastAsiaTheme="minorEastAsia" w:hAnsiTheme="minorEastAsia" w:cstheme="minorEastAsia" w:hint="eastAsia"/>
                <w:sz w:val="22"/>
                <w:szCs w:val="22"/>
                <w:lang w:eastAsia="zh-CN"/>
              </w:rPr>
              <w:t>；</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lang w:val="en-US" w:eastAsia="zh-CN"/>
              </w:rPr>
              <w:t>22、</w:t>
            </w:r>
            <w:r>
              <w:rPr>
                <w:rFonts w:asciiTheme="minorEastAsia" w:eastAsiaTheme="minorEastAsia" w:hAnsiTheme="minorEastAsia" w:cstheme="minorEastAsia" w:hint="eastAsia"/>
                <w:sz w:val="22"/>
                <w:szCs w:val="22"/>
              </w:rPr>
              <w:t>提供五年的免费软件升级服务以及五年的免费无限流量</w:t>
            </w:r>
            <w:r>
              <w:rPr>
                <w:rFonts w:asciiTheme="minorEastAsia" w:eastAsiaTheme="minorEastAsia" w:hAnsiTheme="minorEastAsia" w:cstheme="minorEastAsia" w:hint="eastAsia"/>
                <w:sz w:val="22"/>
                <w:szCs w:val="22"/>
                <w:lang w:eastAsia="zh-CN"/>
              </w:rPr>
              <w:t>；</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lang w:val="en-US" w:eastAsia="zh-CN"/>
              </w:rPr>
              <w:t>23、</w:t>
            </w:r>
            <w:r>
              <w:rPr>
                <w:rFonts w:asciiTheme="minorEastAsia" w:eastAsiaTheme="minorEastAsia" w:hAnsiTheme="minorEastAsia" w:cstheme="minorEastAsia" w:hint="eastAsia"/>
                <w:sz w:val="22"/>
                <w:szCs w:val="22"/>
              </w:rPr>
              <w:t>提供五年免费维保。</w:t>
            </w:r>
          </w:p>
        </w:tc>
      </w:tr>
    </w:tbl>
    <w:p>
      <w:pPr>
        <w:numPr>
          <w:ilvl w:val="12"/>
          <w:numId w:val="0"/>
        </w:numPr>
        <w:spacing w:line="360" w:lineRule="auto"/>
        <w:ind w:firstLine="0" w:firstLineChars="0"/>
        <w:jc w:val="left"/>
        <w:rPr>
          <w:rFonts w:ascii="宋体" w:hAnsi="宋体" w:hint="eastAsia"/>
          <w:szCs w:val="21"/>
        </w:rPr>
      </w:pPr>
    </w:p>
    <w:p>
      <w:pPr>
        <w:spacing w:line="360" w:lineRule="auto"/>
        <w:ind w:firstLine="412" w:firstLineChars="196"/>
        <w:jc w:val="left"/>
        <w:rPr>
          <w:rFonts w:ascii="宋体" w:hAnsi="宋体" w:hint="eastAsia"/>
          <w:bCs/>
          <w:szCs w:val="21"/>
        </w:rPr>
      </w:pPr>
      <w:r>
        <w:rPr>
          <w:rFonts w:ascii="宋体" w:eastAsia="宋体" w:hAnsi="宋体" w:cs="宋体" w:hint="eastAsia"/>
          <w:bCs/>
          <w:szCs w:val="21"/>
        </w:rPr>
        <w:t>②</w:t>
      </w:r>
      <w:r>
        <w:rPr>
          <w:rFonts w:ascii="宋体" w:hAnsi="宋体" w:hint="eastAsia"/>
          <w:bCs/>
          <w:szCs w:val="21"/>
        </w:rPr>
        <w:t>视频记录仪6套</w:t>
      </w:r>
    </w:p>
    <w:p>
      <w:pPr>
        <w:spacing w:line="360" w:lineRule="auto"/>
        <w:ind w:firstLine="412" w:firstLineChars="196"/>
        <w:jc w:val="left"/>
        <w:rPr>
          <w:rFonts w:ascii="宋体" w:hAnsi="宋体" w:hint="eastAsia"/>
          <w:szCs w:val="21"/>
        </w:rPr>
      </w:pPr>
      <w:r>
        <w:rPr>
          <w:rFonts w:ascii="宋体" w:hAnsi="宋体" w:hint="eastAsia"/>
          <w:szCs w:val="21"/>
        </w:rPr>
        <w:t>视频记录仪为作业现场提供指挥员第一视角画面和实时语音指挥，应具备画面防抖处理、蓝牙连接、视频监控、无线通信、卫星定位等功能，支持实时语音通话功能。能与防爆头盔配套使用</w:t>
      </w:r>
      <w:r>
        <w:rPr>
          <w:rFonts w:ascii="宋体" w:hAnsi="宋体" w:hint="eastAsia"/>
          <w:szCs w:val="21"/>
          <w:lang w:eastAsia="zh-CN"/>
        </w:rPr>
        <w:t>，</w:t>
      </w:r>
      <w:r>
        <w:rPr>
          <w:rFonts w:ascii="宋体" w:hAnsi="宋体" w:hint="eastAsia"/>
          <w:szCs w:val="21"/>
        </w:rPr>
        <w:t>可适配头盔，具备胸戴、肩戴、三脚架等多种佩戴使用方式。本次采购为作业分队配发视频记录仪6套。</w:t>
      </w:r>
    </w:p>
    <w:p>
      <w:pPr>
        <w:spacing w:line="360" w:lineRule="auto"/>
        <w:ind w:firstLine="0" w:firstLineChars="0"/>
        <w:jc w:val="center"/>
        <w:rPr>
          <w:rFonts w:ascii="宋体" w:hAnsi="宋体" w:hint="eastAsia"/>
          <w:szCs w:val="21"/>
        </w:rPr>
      </w:pPr>
      <w:r>
        <w:rPr>
          <w:rFonts w:ascii="宋体" w:hAnsi="宋体" w:hint="eastAsia"/>
          <w:szCs w:val="21"/>
        </w:rPr>
        <w:t>表</w:t>
      </w:r>
      <w:r>
        <w:rPr>
          <w:rFonts w:ascii="宋体" w:hAnsi="宋体" w:hint="eastAsia"/>
          <w:szCs w:val="21"/>
          <w:lang w:eastAsia="zh-CN"/>
        </w:rPr>
        <w:t>8</w:t>
      </w:r>
      <w:r>
        <w:rPr>
          <w:rFonts w:ascii="宋体" w:hAnsi="宋体" w:hint="eastAsia"/>
          <w:szCs w:val="21"/>
          <w:lang w:val="en-US" w:eastAsia="zh-CN"/>
        </w:rPr>
        <w:t xml:space="preserve">  </w:t>
      </w:r>
      <w:r>
        <w:rPr>
          <w:rFonts w:ascii="宋体" w:hAnsi="宋体" w:hint="eastAsia"/>
          <w:szCs w:val="21"/>
        </w:rPr>
        <w:t xml:space="preserve"> 视频记录仪技术性能指标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8"/>
        <w:gridCol w:w="1207"/>
        <w:gridCol w:w="6677"/>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407"/>
          <w:jc w:val="center"/>
        </w:trPr>
        <w:tc>
          <w:tcPr>
            <w:tcW w:w="374"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序号</w:t>
            </w:r>
          </w:p>
        </w:tc>
        <w:tc>
          <w:tcPr>
            <w:tcW w:w="708"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产品名称</w:t>
            </w:r>
          </w:p>
        </w:tc>
        <w:tc>
          <w:tcPr>
            <w:tcW w:w="3916"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技术性能指标</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p>
        </w:tc>
        <w:tc>
          <w:tcPr>
            <w:tcW w:w="708"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视频记录仪（便携式）</w:t>
            </w:r>
          </w:p>
        </w:tc>
        <w:tc>
          <w:tcPr>
            <w:tcW w:w="3916" w:type="pct"/>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具备视频监控、无线通信、音视频通话、卫星定位等功能，能与防爆头盔配套使用。</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1、产品主控芯片具备≥8核速CPU；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2、全网通：5G/4G全网通；</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3、无线传输：可通过无线网络搭载可视化平台，支持实时远程直播查看、对讲、上传等功能；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4、卫星定位：内置北斗模块，支持实时定位功能；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5、高清摄录：≥800W像素摄像头，自动对焦，录像分辨率可达2688*1512P，拍照像素可达48M；</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6、循环录像：可开启循环录像设置，内存满后自动删除早期视频，节省存储空间；</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7、激光定位：支持激光定位拍摄；</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8、LED照明：配备多功能LED照明灯，支持聚光模式远程照明和泛光模式大范围照明；</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9、屏幕：≥2.0寸高清彩色显示屏，支持触摸屏操作；</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10、存储容量：支持扩展TF存储卡，标配64GB，最大可扩展至256GB；</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11、电池：主电池容量≥3000mAh，单电录像和实时上传情况下，工作不低于8小时；</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12、便携式记录仪，可适配头盔、胸戴、肩戴、三脚架等多种佩戴使用方式；</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13、视频输入：内置摄像机录像分辨率1080P、720P、480P网传；</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14、视频录像：视频分辨率最高为1080P/30FPS，1280×720；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15、双码流：录像≥1080P 30FPS；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16、视频编码：支持H.264/H.265视频编码；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17、防护等级：≥IP66，支持2米防跌；</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18、WiFi：内置WiFi模块，支持802.11b/g/n； </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19、蓝牙：支持蓝牙4.0以上；</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20、环境适应性：-20℃～55℃；</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21、电磁兼容性：具备一般电磁兼容性，可适用于各类电磁干扰环境下；</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22、可接入国省一体化人影综合业务平台（天工）-福建省软件系统；</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23、通过视频记录仪采集流动作业点作业现场的音视频数据、内置MIC及立体声喇叭，支持蓝牙连接，支持实时语音通话功能。与天工系统对接，数据一方面本地存储，另一方面通过4G、5G或WIFI无线图传功能持续传输；</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24、提供三年的免费软件升级服务以及三年的无限免费流量；</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25、提供三年免费维保。</w:t>
            </w:r>
          </w:p>
        </w:tc>
      </w:tr>
    </w:tbl>
    <w:p>
      <w:pPr>
        <w:spacing w:line="360" w:lineRule="auto"/>
        <w:ind w:firstLine="412" w:firstLineChars="196"/>
        <w:jc w:val="left"/>
        <w:rPr>
          <w:rFonts w:ascii="宋体" w:hAnsi="宋体" w:hint="eastAsia"/>
          <w:bCs/>
          <w:szCs w:val="21"/>
        </w:rPr>
      </w:pPr>
      <w:r>
        <w:rPr>
          <w:rFonts w:ascii="仿宋_GB2312" w:eastAsia="仿宋_GB2312" w:hAnsi="仿宋_GB2312" w:cs="仿宋_GB2312" w:hint="eastAsia"/>
          <w:bCs/>
          <w:szCs w:val="21"/>
        </w:rPr>
        <w:t>③</w:t>
      </w:r>
      <w:r>
        <w:rPr>
          <w:rFonts w:ascii="宋体" w:hAnsi="宋体" w:hint="eastAsia"/>
          <w:bCs/>
          <w:szCs w:val="21"/>
        </w:rPr>
        <w:t>应急通讯13套</w:t>
      </w:r>
    </w:p>
    <w:p>
      <w:pPr>
        <w:spacing w:line="360" w:lineRule="auto"/>
        <w:ind w:firstLine="412" w:firstLineChars="196"/>
        <w:jc w:val="left"/>
        <w:rPr>
          <w:rFonts w:ascii="宋体" w:hAnsi="宋体" w:hint="eastAsia"/>
          <w:szCs w:val="21"/>
        </w:rPr>
      </w:pPr>
      <w:r>
        <w:rPr>
          <w:rFonts w:ascii="宋体" w:hAnsi="宋体" w:hint="eastAsia"/>
          <w:szCs w:val="21"/>
        </w:rPr>
        <w:t>在流动作业点现场作业时，配发应急通讯终端，具备卫星通话功能，满足流动作业点的应急通讯需求。</w:t>
      </w:r>
    </w:p>
    <w:p>
      <w:pPr>
        <w:spacing w:line="360" w:lineRule="auto"/>
        <w:ind w:firstLine="0" w:firstLineChars="0"/>
        <w:jc w:val="center"/>
        <w:rPr>
          <w:rFonts w:ascii="宋体" w:hAnsi="宋体" w:hint="eastAsia"/>
          <w:szCs w:val="21"/>
        </w:rPr>
      </w:pPr>
      <w:r>
        <w:rPr>
          <w:rFonts w:ascii="宋体" w:hAnsi="宋体" w:hint="eastAsia"/>
          <w:szCs w:val="21"/>
        </w:rPr>
        <w:t>表</w:t>
      </w:r>
      <w:r>
        <w:rPr>
          <w:rFonts w:ascii="宋体" w:hAnsi="宋体" w:hint="eastAsia"/>
          <w:szCs w:val="21"/>
          <w:lang w:eastAsia="zh-CN"/>
        </w:rPr>
        <w:t>9</w:t>
      </w:r>
      <w:r>
        <w:rPr>
          <w:rFonts w:ascii="宋体" w:hAnsi="宋体" w:hint="eastAsia"/>
          <w:szCs w:val="21"/>
          <w:lang w:val="en-US" w:eastAsia="zh-CN"/>
        </w:rPr>
        <w:t xml:space="preserve">  </w:t>
      </w:r>
      <w:r>
        <w:rPr>
          <w:rFonts w:ascii="宋体" w:hAnsi="宋体" w:hint="eastAsia"/>
          <w:szCs w:val="21"/>
        </w:rPr>
        <w:t>应急通讯终端技术性能指标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75"/>
        <w:gridCol w:w="1185"/>
        <w:gridCol w:w="6662"/>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396"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序号</w:t>
            </w:r>
          </w:p>
        </w:tc>
        <w:tc>
          <w:tcPr>
            <w:tcW w:w="695"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产品名称</w:t>
            </w:r>
          </w:p>
        </w:tc>
        <w:tc>
          <w:tcPr>
            <w:tcW w:w="3908"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技术性能指标</w:t>
            </w:r>
          </w:p>
        </w:tc>
      </w:tr>
      <w:tr>
        <w:tblPrEx>
          <w:tblW w:w="5000" w:type="pct"/>
          <w:jc w:val="center"/>
          <w:tblCellMar>
            <w:top w:w="0" w:type="dxa"/>
            <w:left w:w="108" w:type="dxa"/>
            <w:bottom w:w="0" w:type="dxa"/>
            <w:right w:w="108" w:type="dxa"/>
          </w:tblCellMar>
        </w:tblPrEx>
        <w:trPr>
          <w:trHeight w:val="20"/>
          <w:jc w:val="center"/>
        </w:trPr>
        <w:tc>
          <w:tcPr>
            <w:tcW w:w="396"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p>
        </w:tc>
        <w:tc>
          <w:tcPr>
            <w:tcW w:w="695"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应急通讯终端</w:t>
            </w:r>
          </w:p>
        </w:tc>
        <w:tc>
          <w:tcPr>
            <w:tcW w:w="3908" w:type="pct"/>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1、支持天通卫星移动通信网络的话音、短信功能；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2、支持天通粗定位、精定位及位置回传功能；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3、5G/4G全网通：支持全网通地面移动网络；</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4、定位功能：支持单北斗定位功能；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5、无线连接：具备WiFi和蓝牙功能；</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6、对讲功能：支持POC公网对讲，并设置物理按键；</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7、处理器：≥8核心64位CPU，主频≥2.7GHz；</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8、数据接口：TYPE-C接口，USB3.0支持下载升级，CFT，代码跟踪调试，大功率充电；</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9、摄像头：前置摄像头≥800万像素、后置摄像头≥1300万像素；</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10、显屏幕：≥5英寸，多点触控屏，分辨率不低于1920*1080；</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11、存储单元：运行内存≥ 8GB RAM,存储内存≥512GB ROM；</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12、电池容量：≥5000mAh，入网状态下待机时间≥160小时，累积通话时长≥10小时；</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13、一键呼救：设备支持SOS一键呼救功能，并设计物理按键，可向指定号码拨打卫星电话，并发送位置信息；</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14、防护等级：≥IP68；</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15、传感器：重力传感器、陀螺仪、光线传感器、距离传感器、地磁传感器；</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16、天线：天线可折叠，并支持可拆卸；</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17、拓展性能：支持扩展小型车载吸顶天线；</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18、通讯定位模块：集成北斗三号RDSS通信模块、5G移动手机通信模块、北斗定位模块、天通电话模块；</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19、短报文通信：中国自主的北斗三号RDSS短报文双向通信；</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20</w:t>
            </w:r>
            <w:r>
              <w:rPr>
                <w:rFonts w:asciiTheme="minorEastAsia" w:eastAsia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具备卫星通话功能，满足流动作业点的应急通讯需求，同时具备5G移动手机通信功能，可安装人影移动APP；</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21</w:t>
            </w:r>
            <w:r>
              <w:rPr>
                <w:rFonts w:asciiTheme="minorEastAsia" w:eastAsia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配有天线、充电线、数据线、说明书等；</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22</w:t>
            </w:r>
            <w:r>
              <w:rPr>
                <w:rFonts w:asciiTheme="minorEastAsia" w:eastAsia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 xml:space="preserve"> 提供包含全国流量（≥20GB）、八闽流量（≥60GB）和全国通话时长(≥300分钟)月通信套餐服务（累计提供五年）</w:t>
            </w:r>
            <w:r>
              <w:rPr>
                <w:rFonts w:asciiTheme="minorEastAsia" w:eastAsia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提供天通卫星通话时长30分钟、短信20条的年通讯套餐服务（累计提供五年）；</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23</w:t>
            </w:r>
            <w:r>
              <w:rPr>
                <w:rFonts w:asciiTheme="minorEastAsia" w:eastAsiaTheme="minorEastAsia" w:hAnsiTheme="minorEastAsia" w:cstheme="minorEastAsia" w:hint="eastAsia"/>
                <w:sz w:val="22"/>
                <w:szCs w:val="22"/>
                <w:lang w:eastAsia="zh-CN"/>
              </w:rPr>
              <w:t>、</w:t>
            </w:r>
            <w:r>
              <w:rPr>
                <w:rFonts w:asciiTheme="minorEastAsia" w:eastAsiaTheme="minorEastAsia" w:hAnsiTheme="minorEastAsia" w:cstheme="minorEastAsia" w:hint="eastAsia"/>
                <w:sz w:val="22"/>
                <w:szCs w:val="22"/>
              </w:rPr>
              <w:t>提供五年免费维保。</w:t>
            </w:r>
          </w:p>
        </w:tc>
      </w:tr>
    </w:tbl>
    <w:p>
      <w:pPr>
        <w:spacing w:line="360" w:lineRule="auto"/>
        <w:ind w:firstLine="412" w:firstLineChars="196"/>
        <w:jc w:val="left"/>
        <w:rPr>
          <w:rFonts w:ascii="宋体" w:hAnsi="宋体" w:hint="eastAsia"/>
          <w:bCs/>
          <w:szCs w:val="21"/>
        </w:rPr>
      </w:pPr>
      <w:r>
        <w:rPr>
          <w:rFonts w:ascii="汉仪书宋二S" w:hAnsi="汉仪书宋二S" w:cs="汉仪书宋二S" w:hint="default"/>
          <w:bCs/>
          <w:szCs w:val="21"/>
        </w:rPr>
        <w:t>④</w:t>
      </w:r>
      <w:r>
        <w:rPr>
          <w:rFonts w:ascii="宋体" w:hAnsi="宋体" w:hint="eastAsia"/>
          <w:bCs/>
          <w:szCs w:val="21"/>
        </w:rPr>
        <w:t>对讲机2</w:t>
      </w:r>
      <w:r>
        <w:rPr>
          <w:rFonts w:ascii="宋体" w:hAnsi="宋体"/>
          <w:bCs/>
          <w:szCs w:val="21"/>
        </w:rPr>
        <w:t>1</w:t>
      </w:r>
      <w:r>
        <w:rPr>
          <w:rFonts w:ascii="宋体" w:hAnsi="宋体" w:hint="eastAsia"/>
          <w:bCs/>
          <w:szCs w:val="21"/>
        </w:rPr>
        <w:t>套</w:t>
      </w:r>
    </w:p>
    <w:p>
      <w:pPr>
        <w:spacing w:line="360" w:lineRule="auto"/>
        <w:ind w:firstLine="412" w:firstLineChars="196"/>
        <w:jc w:val="left"/>
        <w:rPr>
          <w:rFonts w:ascii="宋体" w:hAnsi="宋体" w:hint="eastAsia"/>
          <w:szCs w:val="21"/>
        </w:rPr>
      </w:pPr>
      <w:r>
        <w:rPr>
          <w:rFonts w:ascii="宋体" w:hAnsi="宋体" w:hint="eastAsia"/>
          <w:szCs w:val="21"/>
        </w:rPr>
        <w:t>配备对讲机2</w:t>
      </w:r>
      <w:r>
        <w:rPr>
          <w:rFonts w:ascii="宋体" w:hAnsi="宋体"/>
          <w:szCs w:val="21"/>
        </w:rPr>
        <w:t>1</w:t>
      </w:r>
      <w:r>
        <w:rPr>
          <w:rFonts w:ascii="宋体" w:hAnsi="宋体" w:hint="eastAsia"/>
          <w:szCs w:val="21"/>
        </w:rPr>
        <w:t>套，用于短距离应急通讯，一套设备包含2台独立对讲机。</w:t>
      </w:r>
    </w:p>
    <w:p>
      <w:pPr>
        <w:spacing w:line="360" w:lineRule="auto"/>
        <w:ind w:firstLine="0" w:firstLineChars="0"/>
        <w:jc w:val="center"/>
        <w:rPr>
          <w:rFonts w:ascii="宋体" w:hAnsi="宋体" w:hint="eastAsia"/>
          <w:szCs w:val="21"/>
        </w:rPr>
      </w:pPr>
      <w:r>
        <w:rPr>
          <w:rFonts w:ascii="宋体" w:hAnsi="宋体" w:hint="eastAsia"/>
          <w:szCs w:val="21"/>
        </w:rPr>
        <w:t>表</w:t>
      </w:r>
      <w:r>
        <w:rPr>
          <w:rFonts w:ascii="宋体" w:hAnsi="宋体" w:hint="eastAsia"/>
          <w:szCs w:val="21"/>
          <w:lang w:eastAsia="zh-CN"/>
        </w:rPr>
        <w:t>1</w:t>
      </w:r>
      <w:r>
        <w:rPr>
          <w:rFonts w:ascii="宋体" w:hAnsi="宋体" w:hint="eastAsia"/>
          <w:szCs w:val="21"/>
          <w:lang w:val="en-US" w:eastAsia="zh-CN"/>
        </w:rPr>
        <w:t>0</w:t>
      </w:r>
      <w:r>
        <w:rPr>
          <w:rFonts w:ascii="宋体" w:hAnsi="宋体" w:hint="eastAsia"/>
          <w:szCs w:val="21"/>
        </w:rPr>
        <w:t xml:space="preserve"> </w:t>
      </w:r>
      <w:r>
        <w:rPr>
          <w:rFonts w:ascii="宋体" w:hAnsi="宋体" w:hint="eastAsia"/>
          <w:szCs w:val="21"/>
          <w:lang w:val="en-US" w:eastAsia="zh-CN"/>
        </w:rPr>
        <w:t xml:space="preserve">  </w:t>
      </w:r>
      <w:r>
        <w:rPr>
          <w:rFonts w:ascii="宋体" w:hAnsi="宋体" w:hint="eastAsia"/>
          <w:szCs w:val="21"/>
        </w:rPr>
        <w:t>对讲机技术性能指标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8"/>
        <w:gridCol w:w="1207"/>
        <w:gridCol w:w="6677"/>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374"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序号</w:t>
            </w:r>
          </w:p>
        </w:tc>
        <w:tc>
          <w:tcPr>
            <w:tcW w:w="708"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产品名称</w:t>
            </w:r>
          </w:p>
        </w:tc>
        <w:tc>
          <w:tcPr>
            <w:tcW w:w="3916"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技术性能指标</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p>
        </w:tc>
        <w:tc>
          <w:tcPr>
            <w:tcW w:w="708"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对讲机</w:t>
            </w:r>
          </w:p>
        </w:tc>
        <w:tc>
          <w:tcPr>
            <w:tcW w:w="3916" w:type="pct"/>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1、VHF/UHF频段；</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2、通信距离3-10公里；</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3、通话时间8-12小时；</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4、待机时间48-72小时；</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5、防水等级≥IP67；</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6、用于短距离应急通讯，一套设备包含2台独立对讲机；</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7、配充电座，配备防丢失装备套：单手操作，可快速释放并安装设备，松紧可自由调节；可搭载在防静电服胸前装备挂袢上；</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8、提供五年免费维保。</w:t>
            </w:r>
          </w:p>
        </w:tc>
      </w:tr>
    </w:tbl>
    <w:p>
      <w:pPr>
        <w:spacing w:line="360" w:lineRule="auto"/>
        <w:ind w:firstLine="420" w:firstLineChars="200"/>
        <w:jc w:val="left"/>
        <w:rPr>
          <w:rFonts w:ascii="宋体" w:hAnsi="宋体" w:hint="eastAsia"/>
          <w:bCs/>
          <w:szCs w:val="21"/>
        </w:rPr>
      </w:pPr>
      <w:r>
        <w:rPr>
          <w:rFonts w:ascii="华文仿宋" w:eastAsia="华文仿宋" w:hAnsi="华文仿宋" w:cs="华文仿宋" w:hint="eastAsia"/>
          <w:bCs/>
          <w:szCs w:val="21"/>
        </w:rPr>
        <w:t>⑤</w:t>
      </w:r>
      <w:r>
        <w:rPr>
          <w:rFonts w:ascii="宋体" w:hAnsi="宋体" w:hint="eastAsia"/>
          <w:bCs/>
          <w:szCs w:val="21"/>
        </w:rPr>
        <w:t>作业人员安全防护装备91套</w:t>
      </w:r>
    </w:p>
    <w:p>
      <w:pPr>
        <w:spacing w:line="360" w:lineRule="auto"/>
        <w:ind w:firstLine="412" w:firstLineChars="196"/>
        <w:jc w:val="left"/>
        <w:rPr>
          <w:rFonts w:ascii="宋体" w:hAnsi="宋体" w:hint="eastAsia"/>
          <w:szCs w:val="21"/>
        </w:rPr>
      </w:pPr>
      <w:r>
        <w:rPr>
          <w:rFonts w:ascii="宋体" w:hAnsi="宋体" w:hint="eastAsia"/>
          <w:szCs w:val="21"/>
        </w:rPr>
        <w:t>为作业人员配备安全防护装备，须满足《人工影响天气地面作业人员个体防护装备技术要求》，由防爆头盔、降噪耳罩、防护眼镜、防静电手套、防寒手套、雨衣、防静电服、防寒防静电服、防护鞋、警示服和防弹护具共11个模块组成，满足如下表格的参数。每套全身防护装备含：防爆头盔1个；降噪耳罩1副；防护眼镜1副；防静电手套2双；防寒手套1双；雨衣6件（含上下身各3件）；防静电服6件（夏款2件（仅上衣），春秋款4件（含上下身，防水款和不防水款各2件））；防寒防静电服1件；防护鞋2双；警示服3件；防弹护具1件。全身防护装备维保1年。</w:t>
      </w:r>
    </w:p>
    <w:p>
      <w:pPr>
        <w:spacing w:line="360" w:lineRule="auto"/>
        <w:ind w:firstLine="0" w:firstLineChars="0"/>
        <w:jc w:val="center"/>
        <w:rPr>
          <w:rFonts w:ascii="宋体" w:hAnsi="宋体" w:hint="eastAsia"/>
          <w:szCs w:val="21"/>
        </w:rPr>
      </w:pPr>
      <w:r>
        <w:rPr>
          <w:rFonts w:ascii="宋体" w:hAnsi="宋体" w:hint="eastAsia"/>
          <w:szCs w:val="21"/>
        </w:rPr>
        <w:t>表</w:t>
      </w:r>
      <w:r>
        <w:rPr>
          <w:rFonts w:ascii="宋体" w:hAnsi="宋体" w:hint="eastAsia"/>
          <w:szCs w:val="21"/>
          <w:lang w:eastAsia="zh-CN"/>
        </w:rPr>
        <w:t>1</w:t>
      </w:r>
      <w:r>
        <w:rPr>
          <w:rFonts w:ascii="宋体" w:hAnsi="宋体" w:hint="eastAsia"/>
          <w:szCs w:val="21"/>
          <w:lang w:val="en-US" w:eastAsia="zh-CN"/>
        </w:rPr>
        <w:t xml:space="preserve">1  </w:t>
      </w:r>
      <w:r>
        <w:rPr>
          <w:rFonts w:ascii="宋体" w:hAnsi="宋体" w:hint="eastAsia"/>
          <w:szCs w:val="21"/>
        </w:rPr>
        <w:t>作业人员全身防护装备技术性能指标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38"/>
        <w:gridCol w:w="1207"/>
        <w:gridCol w:w="6677"/>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20"/>
          <w:jc w:val="center"/>
        </w:trPr>
        <w:tc>
          <w:tcPr>
            <w:tcW w:w="374" w:type="pct"/>
            <w:shd w:val="clear" w:color="auto" w:fill="BEBEBE"/>
            <w:vAlign w:val="center"/>
          </w:tcPr>
          <w:p>
            <w:pPr>
              <w:jc w:val="center"/>
              <w:rPr>
                <w:rFonts w:asciiTheme="minorEastAsia" w:hAnsiTheme="minorEastAsia" w:cstheme="minorEastAsia" w:hint="eastAsia"/>
                <w:b/>
                <w:bCs/>
                <w:sz w:val="22"/>
              </w:rPr>
            </w:pPr>
            <w:bookmarkStart w:id="61" w:name="OLE_LINK216"/>
            <w:bookmarkStart w:id="62" w:name="OLE_LINK223"/>
            <w:bookmarkStart w:id="63" w:name="OLE_LINK217"/>
            <w:r>
              <w:rPr>
                <w:rFonts w:asciiTheme="minorEastAsia" w:eastAsiaTheme="minorEastAsia" w:hAnsiTheme="minorEastAsia" w:cstheme="minorEastAsia" w:hint="eastAsia"/>
                <w:b/>
                <w:bCs/>
                <w:sz w:val="22"/>
                <w:szCs w:val="22"/>
              </w:rPr>
              <w:t>序号</w:t>
            </w:r>
          </w:p>
        </w:tc>
        <w:tc>
          <w:tcPr>
            <w:tcW w:w="708"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产品名称</w:t>
            </w:r>
          </w:p>
        </w:tc>
        <w:tc>
          <w:tcPr>
            <w:tcW w:w="3916" w:type="pct"/>
            <w:shd w:val="clear" w:color="auto" w:fill="BEBEBE"/>
            <w:vAlign w:val="center"/>
          </w:tcPr>
          <w:p>
            <w:pPr>
              <w:jc w:val="center"/>
              <w:rPr>
                <w:rFonts w:asciiTheme="minorEastAsia" w:hAnsiTheme="minorEastAsia" w:cstheme="minorEastAsia" w:hint="eastAsia"/>
                <w:b/>
                <w:bCs/>
                <w:sz w:val="22"/>
              </w:rPr>
            </w:pPr>
            <w:r>
              <w:rPr>
                <w:rFonts w:asciiTheme="minorEastAsia" w:eastAsiaTheme="minorEastAsia" w:hAnsiTheme="minorEastAsia" w:cstheme="minorEastAsia" w:hint="eastAsia"/>
                <w:b/>
                <w:bCs/>
                <w:sz w:val="22"/>
                <w:szCs w:val="22"/>
              </w:rPr>
              <w:t>技术性能指标</w:t>
            </w:r>
          </w:p>
        </w:tc>
      </w:tr>
      <w:tr>
        <w:tblPrEx>
          <w:tblW w:w="5000" w:type="pct"/>
          <w:jc w:val="center"/>
          <w:tblCellMar>
            <w:top w:w="0" w:type="dxa"/>
            <w:left w:w="108" w:type="dxa"/>
            <w:bottom w:w="0" w:type="dxa"/>
            <w:right w:w="108" w:type="dxa"/>
          </w:tblCellMar>
        </w:tblPrEx>
        <w:trPr>
          <w:trHeight w:val="1249"/>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w:t>
            </w:r>
          </w:p>
        </w:tc>
        <w:tc>
          <w:tcPr>
            <w:tcW w:w="708"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防爆头盔</w:t>
            </w:r>
          </w:p>
        </w:tc>
        <w:tc>
          <w:tcPr>
            <w:tcW w:w="3916" w:type="pct"/>
          </w:tcPr>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1、参照GA 294-2023《警用防暴头盔》标准中A型盔技术要求；</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2、用途：用于对执行作业的作业人员头部、面部进行防护，能够抵御利器、弹片或碎片的冲击伤害；</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3、结构组成：采用半盔结构，头盔由盔壳、冲击缓冲系统、头盔固定和稳定系统、面罩、内衬、护颈等部分组成。头盔表面阻燃，佩戴装置采用可旋转式调节，可适应不同头围（540～620mm）佩戴，内衬可拆卸，方便清洗替换。战术导轨可挂载照明、通讯、摄录等设备；</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4、材质：盔体采用高强度轻型材质，复合碳纤、防刺尼龙纤维制成，具有高阻燃性能；</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5、质量：A型盔（不含护颈质量≤1kg，不含面罩、护颈的质量≤0.75kg，可拆卸阻燃护颈的质量≤145g，分体式护颈的质量≤80g）； 6、面罩透光率≥85%，具有防雾性能；</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7、抗冲击强度性能：防暴头盔的面罩能承受1g铅弹以 150m/s±10m/s 速度冲击，冲击后面罩不被击穿或破碎；</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8、吸收碰撞能量性能：能承受49J能量的冲击，冲击时传递到试验头模上的力≤4900N，且壳体不破裂；</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9、耐穿透性能：防暴头盔能承受88.2J能量的穿刺，穿刺时落锤不穿透，防暴头盔与试验头模产生接触；</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10、护颈防割性能：使用专用的防割手套切割试验机，设定刀口压力为20N，刀片转速为 20r/min,在被检测的护颈颈部中间垂直方向进行5次切割，每次割穿发生时，切割周数不少于3周；</w:t>
            </w:r>
          </w:p>
          <w:p>
            <w:pPr>
              <w:rPr>
                <w:rFonts w:asciiTheme="minorEastAsia" w:hAnsiTheme="minorEastAsia" w:cstheme="minorEastAsia" w:hint="eastAsia"/>
                <w:sz w:val="22"/>
              </w:rPr>
            </w:pPr>
            <w:r>
              <w:rPr>
                <w:rFonts w:asciiTheme="minorEastAsia" w:eastAsiaTheme="minorEastAsia" w:hAnsiTheme="minorEastAsia" w:cstheme="minorEastAsia" w:hint="eastAsia"/>
                <w:color w:val="000000" w:themeColor="text1"/>
                <w:sz w:val="22"/>
                <w:szCs w:val="22"/>
              </w:rPr>
              <w:t>11、盔外表面(面罩、导轨和壳体的外表面)续燃时间≤10s。</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w:t>
            </w:r>
          </w:p>
        </w:tc>
        <w:tc>
          <w:tcPr>
            <w:tcW w:w="708" w:type="pct"/>
            <w:vAlign w:val="center"/>
          </w:tcPr>
          <w:p>
            <w:pPr>
              <w:rPr>
                <w:rFonts w:asciiTheme="minorEastAsia" w:hAnsiTheme="minorEastAsia" w:cstheme="minorEastAsia" w:hint="eastAsia"/>
                <w:sz w:val="22"/>
              </w:rPr>
            </w:pPr>
            <w:bookmarkStart w:id="64" w:name="OLE_LINK74"/>
            <w:bookmarkStart w:id="65" w:name="OLE_LINK75"/>
            <w:bookmarkStart w:id="66" w:name="OLE_LINK443"/>
            <w:bookmarkStart w:id="67" w:name="OLE_LINK1"/>
            <w:r>
              <w:rPr>
                <w:rFonts w:asciiTheme="minorEastAsia" w:eastAsiaTheme="minorEastAsia" w:hAnsiTheme="minorEastAsia" w:cstheme="minorEastAsia" w:hint="eastAsia"/>
                <w:sz w:val="22"/>
                <w:szCs w:val="22"/>
              </w:rPr>
              <w:t>降噪耳罩</w:t>
            </w:r>
            <w:bookmarkEnd w:id="64"/>
            <w:bookmarkEnd w:id="65"/>
            <w:bookmarkEnd w:id="66"/>
            <w:bookmarkEnd w:id="67"/>
          </w:p>
        </w:tc>
        <w:tc>
          <w:tcPr>
            <w:tcW w:w="3916" w:type="pct"/>
          </w:tcPr>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1、执行标准：《GB/T 31422-2015 个体防护装备 护听器的通用技术条件》；</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2、用途：在炮弹、火箭发射时产生巨大的噪声环境中，保护听力，避免听力受伤害，同时可实现通信功能；</w:t>
            </w:r>
          </w:p>
          <w:p>
            <w:pPr>
              <w:widowControl/>
              <w:rPr>
                <w:rFonts w:asciiTheme="minorEastAsia" w:hAnsiTheme="minorEastAsia" w:cstheme="minorEastAsia" w:hint="eastAsia"/>
                <w:color w:val="000000" w:themeColor="text1"/>
                <w:sz w:val="22"/>
                <w:highlight w:val="green"/>
              </w:rPr>
            </w:pPr>
            <w:r>
              <w:rPr>
                <w:rFonts w:asciiTheme="minorEastAsia" w:eastAsiaTheme="minorEastAsia" w:hAnsiTheme="minorEastAsia" w:cstheme="minorEastAsia" w:hint="eastAsia"/>
                <w:color w:val="000000" w:themeColor="text1"/>
                <w:sz w:val="22"/>
                <w:szCs w:val="22"/>
              </w:rPr>
              <w:t>3、降噪性能：降噪值SNR≥29dB或NRR≥20dB（分贝）；</w:t>
            </w:r>
          </w:p>
          <w:p>
            <w:pPr>
              <w:widowControl/>
              <w:rPr>
                <w:rFonts w:asciiTheme="minorEastAsia" w:hAnsiTheme="minorEastAsia" w:cstheme="minorEastAsia" w:hint="eastAsia"/>
                <w:color w:val="000000" w:themeColor="text1"/>
                <w:sz w:val="22"/>
                <w:highlight w:val="green"/>
              </w:rPr>
            </w:pPr>
            <w:r>
              <w:rPr>
                <w:rFonts w:asciiTheme="minorEastAsia" w:eastAsiaTheme="minorEastAsia" w:hAnsiTheme="minorEastAsia" w:cstheme="minorEastAsia" w:hint="eastAsia"/>
                <w:color w:val="000000" w:themeColor="text1"/>
                <w:sz w:val="22"/>
                <w:szCs w:val="22"/>
              </w:rPr>
              <w:t>4、耳罩夹紧力≤14N；</w:t>
            </w:r>
          </w:p>
          <w:p>
            <w:pPr>
              <w:rPr>
                <w:rFonts w:asciiTheme="minorEastAsia" w:hAnsiTheme="minorEastAsia" w:cstheme="minorEastAsia" w:hint="eastAsia"/>
                <w:sz w:val="22"/>
              </w:rPr>
            </w:pPr>
            <w:r>
              <w:rPr>
                <w:rFonts w:asciiTheme="minorEastAsia" w:eastAsiaTheme="minorEastAsia" w:hAnsiTheme="minorEastAsia" w:cstheme="minorEastAsia" w:hint="eastAsia"/>
                <w:color w:val="000000" w:themeColor="text1"/>
                <w:sz w:val="22"/>
                <w:szCs w:val="22"/>
              </w:rPr>
              <w:t>5、支持适配防爆头盔使用。</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w:t>
            </w:r>
          </w:p>
        </w:tc>
        <w:tc>
          <w:tcPr>
            <w:tcW w:w="708" w:type="pct"/>
            <w:vAlign w:val="center"/>
          </w:tcPr>
          <w:p>
            <w:pPr>
              <w:rPr>
                <w:rFonts w:asciiTheme="minorEastAsia" w:hAnsiTheme="minorEastAsia" w:cstheme="minorEastAsia" w:hint="eastAsia"/>
                <w:sz w:val="22"/>
              </w:rPr>
            </w:pPr>
            <w:bookmarkStart w:id="68" w:name="OLE_LINK77"/>
            <w:bookmarkStart w:id="69" w:name="OLE_LINK142"/>
            <w:bookmarkStart w:id="70" w:name="OLE_LINK450"/>
            <w:bookmarkStart w:id="71" w:name="OLE_LINK76"/>
            <w:r>
              <w:rPr>
                <w:rFonts w:asciiTheme="minorEastAsia" w:eastAsiaTheme="minorEastAsia" w:hAnsiTheme="minorEastAsia" w:cstheme="minorEastAsia" w:hint="eastAsia"/>
                <w:sz w:val="22"/>
                <w:szCs w:val="22"/>
              </w:rPr>
              <w:t>防护眼镜</w:t>
            </w:r>
            <w:bookmarkEnd w:id="68"/>
            <w:bookmarkEnd w:id="69"/>
            <w:bookmarkEnd w:id="70"/>
            <w:bookmarkEnd w:id="71"/>
          </w:p>
        </w:tc>
        <w:tc>
          <w:tcPr>
            <w:tcW w:w="3916" w:type="pct"/>
          </w:tcPr>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1、执行标准：GB 14866-2023《眼面防护具通用技术规范》；</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 xml:space="preserve">2、用途：保护眼睛安全，防强光、防冲击、防紫外线； </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3、材质：≥2.5mm聚碳酸酯，不会对佩戴者皮肤造成伤害；</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4、抗冲击性能：使用直径为 6mm的钢珠，发射速度为 120m/s，5 次冲击测试后，镜片未出现完全穿透镜片的孔洞，冲击后镜片产生的裂纹长度均≤10mm，且无尖锐碎片从镜片上脱离，冲击后镜片位移量与眼周模拟软组织的最小距离≥5mm，符合防护要求；</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 xml:space="preserve">5、可见光透射比：参考点可见光透射比≥85%，相对误差±5； </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6、散射光：广角散射值≤2％；</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7、护目镜（套镜）应能抵挡速度45m/s的高速粒子冲击；</w:t>
            </w:r>
          </w:p>
          <w:p>
            <w:pPr>
              <w:rPr>
                <w:rFonts w:asciiTheme="minorEastAsia" w:hAnsiTheme="minorEastAsia" w:cstheme="minorEastAsia" w:hint="eastAsia"/>
                <w:sz w:val="22"/>
              </w:rPr>
            </w:pPr>
            <w:r>
              <w:rPr>
                <w:rFonts w:asciiTheme="minorEastAsia" w:eastAsiaTheme="minorEastAsia" w:hAnsiTheme="minorEastAsia" w:cstheme="minorEastAsia" w:hint="eastAsia"/>
                <w:color w:val="000000" w:themeColor="text1"/>
                <w:sz w:val="22"/>
                <w:szCs w:val="22"/>
              </w:rPr>
              <w:t>8、护目镜（套镜）防止紫外线穿透率≥90％。</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w:t>
            </w:r>
          </w:p>
        </w:tc>
        <w:tc>
          <w:tcPr>
            <w:tcW w:w="708" w:type="pct"/>
            <w:vAlign w:val="center"/>
          </w:tcPr>
          <w:p>
            <w:pPr>
              <w:rPr>
                <w:rFonts w:asciiTheme="minorEastAsia" w:hAnsiTheme="minorEastAsia" w:cstheme="minorEastAsia" w:hint="eastAsia"/>
                <w:sz w:val="22"/>
              </w:rPr>
            </w:pPr>
            <w:bookmarkStart w:id="72" w:name="OLE_LINK79"/>
            <w:bookmarkStart w:id="73" w:name="OLE_LINK78"/>
            <w:bookmarkStart w:id="74" w:name="OLE_LINK143"/>
            <w:bookmarkStart w:id="75" w:name="OLE_LINK451"/>
            <w:r>
              <w:rPr>
                <w:rFonts w:asciiTheme="minorEastAsia" w:eastAsiaTheme="minorEastAsia" w:hAnsiTheme="minorEastAsia" w:cstheme="minorEastAsia" w:hint="eastAsia"/>
                <w:sz w:val="22"/>
                <w:szCs w:val="22"/>
              </w:rPr>
              <w:t>防静电手套</w:t>
            </w:r>
            <w:bookmarkEnd w:id="72"/>
            <w:bookmarkEnd w:id="73"/>
            <w:bookmarkEnd w:id="74"/>
            <w:bookmarkEnd w:id="75"/>
          </w:p>
        </w:tc>
        <w:tc>
          <w:tcPr>
            <w:tcW w:w="3916" w:type="pct"/>
          </w:tcPr>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1、防静电：是；</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2、可触屏：是；</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3、耐摩擦次数≥2000次；</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4、耐撕裂性能≥50/N；</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5、五次洗涤前带电电荷量/（μC/只）＜0.6；</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6、五次洗涤后带电电荷量/（μC/只）＜0.6；</w:t>
            </w:r>
          </w:p>
          <w:p>
            <w:pPr>
              <w:widowControl/>
              <w:rPr>
                <w:rFonts w:asciiTheme="minorEastAsia" w:hAnsiTheme="minorEastAsia" w:cstheme="minorEastAsia" w:hint="eastAsia"/>
                <w:sz w:val="22"/>
                <w:highlight w:val="green"/>
              </w:rPr>
            </w:pPr>
            <w:r>
              <w:rPr>
                <w:rFonts w:asciiTheme="minorEastAsia" w:eastAsiaTheme="minorEastAsia" w:hAnsiTheme="minorEastAsia" w:cstheme="minorEastAsia" w:hint="eastAsia"/>
                <w:sz w:val="22"/>
                <w:szCs w:val="22"/>
              </w:rPr>
              <w:t>7、材质：防静电针织物为面料缝制；</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8、执行标准：GB/T 22845-2009《防静电手套》，参照A级防静电手套技术要求。</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w:t>
            </w:r>
          </w:p>
        </w:tc>
        <w:tc>
          <w:tcPr>
            <w:tcW w:w="708" w:type="pct"/>
            <w:vAlign w:val="center"/>
          </w:tcPr>
          <w:p>
            <w:pPr>
              <w:rPr>
                <w:rFonts w:asciiTheme="minorEastAsia" w:hAnsiTheme="minorEastAsia" w:cstheme="minorEastAsia" w:hint="eastAsia"/>
                <w:sz w:val="22"/>
              </w:rPr>
            </w:pPr>
            <w:bookmarkStart w:id="76" w:name="OLE_LINK452"/>
            <w:bookmarkStart w:id="77" w:name="OLE_LINK144"/>
            <w:bookmarkStart w:id="78" w:name="OLE_LINK81"/>
            <w:bookmarkStart w:id="79" w:name="OLE_LINK80"/>
            <w:r>
              <w:rPr>
                <w:rFonts w:asciiTheme="minorEastAsia" w:eastAsiaTheme="minorEastAsia" w:hAnsiTheme="minorEastAsia" w:cstheme="minorEastAsia" w:hint="eastAsia"/>
                <w:sz w:val="22"/>
                <w:szCs w:val="22"/>
              </w:rPr>
              <w:t>防寒手套</w:t>
            </w:r>
            <w:bookmarkEnd w:id="76"/>
            <w:bookmarkEnd w:id="77"/>
            <w:bookmarkEnd w:id="78"/>
            <w:bookmarkEnd w:id="79"/>
          </w:p>
        </w:tc>
        <w:tc>
          <w:tcPr>
            <w:tcW w:w="3916" w:type="pct"/>
          </w:tcPr>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1、用途：在低温作业环境下需佩戴防寒手套，避免低温环境对人员手部的伤害； </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2、执行标准：GB/T 22845-2009《防静电手套》，参照A级防静电手套技术要求；GB/T 38304-2019《手部防护 防寒手套》标准,参照对流冷1级防寒手套技术要求；</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3、功能：防寒，防静电，三指触屏，手背关节防护壳，手指关节带有防护条，虎口加固，掌心防滑耐磨，手腕魔术贴可调节大小，内里加绒里布；</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4、面料成分：防静电针织物为面料缝制。</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w:t>
            </w:r>
          </w:p>
        </w:tc>
        <w:tc>
          <w:tcPr>
            <w:tcW w:w="708" w:type="pct"/>
            <w:vAlign w:val="center"/>
          </w:tcPr>
          <w:p>
            <w:pPr>
              <w:rPr>
                <w:rFonts w:asciiTheme="minorEastAsia" w:hAnsiTheme="minorEastAsia" w:cstheme="minorEastAsia" w:hint="eastAsia"/>
                <w:sz w:val="22"/>
              </w:rPr>
            </w:pPr>
            <w:bookmarkStart w:id="80" w:name="OLE_LINK453"/>
            <w:bookmarkStart w:id="81" w:name="OLE_LINK145"/>
            <w:bookmarkStart w:id="82" w:name="OLE_LINK82"/>
            <w:bookmarkStart w:id="83" w:name="OLE_LINK83"/>
            <w:r>
              <w:rPr>
                <w:rFonts w:asciiTheme="minorEastAsia" w:eastAsiaTheme="minorEastAsia" w:hAnsiTheme="minorEastAsia" w:cstheme="minorEastAsia" w:hint="eastAsia"/>
                <w:sz w:val="22"/>
                <w:szCs w:val="22"/>
              </w:rPr>
              <w:t>雨衣</w:t>
            </w:r>
            <w:bookmarkEnd w:id="80"/>
            <w:bookmarkEnd w:id="81"/>
            <w:bookmarkEnd w:id="82"/>
            <w:bookmarkEnd w:id="83"/>
          </w:p>
        </w:tc>
        <w:tc>
          <w:tcPr>
            <w:tcW w:w="3916" w:type="pct"/>
          </w:tcPr>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1、面料成分：采用防静电防水面料，聚酯纤维≥60%、导电纤维≥3%，并添加防水助剂，兼具防静电、防水、耐磨等特性；</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2、可分解致癌芳香胺染料不得检出，甲醛含量≤75mg/kg；</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w:t>
            </w:r>
            <w:r>
              <w:rPr>
                <w:rFonts w:asciiTheme="minorEastAsia" w:eastAsiaTheme="minorEastAsia" w:hAnsiTheme="minorEastAsia" w:cstheme="minorEastAsia" w:hint="eastAsia"/>
                <w:color w:val="000000" w:themeColor="text1"/>
                <w:sz w:val="22"/>
                <w:szCs w:val="22"/>
              </w:rPr>
              <w:t>pH 值范围4.0-9.0</w:t>
            </w:r>
            <w:r>
              <w:rPr>
                <w:rFonts w:asciiTheme="minorEastAsia" w:eastAsiaTheme="minorEastAsia" w:hAnsiTheme="minorEastAsia" w:cstheme="minorEastAsia" w:hint="eastAsia"/>
                <w:sz w:val="22"/>
                <w:szCs w:val="22"/>
              </w:rPr>
              <w:t>；</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4、断裂强力：断裂强力≥200N；</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5、撕破强力：经向撕破强力≥25N，纬向撕破强力≥20N；</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6、衣服接缝强力≥225N；</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7、内底磨损≥4000次无变化；</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8、经、纬方向反复屈挠≥9000次无变化；</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9、衣服刺穿力度≥500N；</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10、透气率：面料透气率≥300mm/s；</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11、防水指标：≥8000mm</w:t>
            </w:r>
            <w:r>
              <w:rPr>
                <w:rFonts w:asciiTheme="minorEastAsia" w:eastAsiaTheme="minorEastAsia" w:hAnsiTheme="minorEastAsia" w:cstheme="minorEastAsia" w:hint="eastAsia"/>
                <w:color w:val="000000" w:themeColor="text1"/>
                <w:sz w:val="22"/>
                <w:szCs w:val="22"/>
              </w:rPr>
              <w:t>H₂O</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12、逆反光系数：≥450cd/lux； </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13、抗渗水性：≥8000 Pa；</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14、湿阻 Ret 值：20＜Ret/（m2²·Pa/w)≤40（湿阻变化，抗渗水性）；</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15、执行标准：QB∕T 4999-2016 《日用防雨品 雨披雨衣》以及GB 18401-2010《国家纺织产品基本安全技术规范》C 类纺织品要求。</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bookmarkStart w:id="84" w:name="OLE_LINK317" w:colFirst="2" w:colLast="2"/>
            <w:bookmarkStart w:id="85" w:name="OLE_LINK318" w:colFirst="2" w:colLast="2"/>
            <w:bookmarkStart w:id="86" w:name="_Hlk205373299"/>
            <w:r>
              <w:rPr>
                <w:rFonts w:asciiTheme="minorEastAsia" w:eastAsiaTheme="minorEastAsia" w:hAnsiTheme="minorEastAsia" w:cstheme="minorEastAsia" w:hint="eastAsia"/>
                <w:sz w:val="22"/>
                <w:szCs w:val="22"/>
              </w:rPr>
              <w:t>7</w:t>
            </w:r>
          </w:p>
        </w:tc>
        <w:tc>
          <w:tcPr>
            <w:tcW w:w="708" w:type="pct"/>
            <w:vAlign w:val="center"/>
          </w:tcPr>
          <w:p>
            <w:pPr>
              <w:rPr>
                <w:rFonts w:asciiTheme="minorEastAsia" w:hAnsiTheme="minorEastAsia" w:cstheme="minorEastAsia" w:hint="eastAsia"/>
                <w:sz w:val="22"/>
              </w:rPr>
            </w:pPr>
            <w:bookmarkStart w:id="87" w:name="OLE_LINK454"/>
            <w:bookmarkStart w:id="88" w:name="OLE_LINK85"/>
            <w:bookmarkStart w:id="89" w:name="OLE_LINK84"/>
            <w:r>
              <w:rPr>
                <w:rFonts w:asciiTheme="minorEastAsia" w:eastAsiaTheme="minorEastAsia" w:hAnsiTheme="minorEastAsia" w:cstheme="minorEastAsia" w:hint="eastAsia"/>
                <w:sz w:val="22"/>
                <w:szCs w:val="22"/>
              </w:rPr>
              <w:t>防静电服</w:t>
            </w:r>
            <w:bookmarkEnd w:id="87"/>
            <w:bookmarkEnd w:id="88"/>
            <w:bookmarkEnd w:id="89"/>
          </w:p>
        </w:tc>
        <w:tc>
          <w:tcPr>
            <w:tcW w:w="3916" w:type="pct"/>
          </w:tcPr>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防静电服（长款包含户外作业防水款和日常库房巡检装卸款）：</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1、执行标准：GB 12014-2019《防护服装 防静电服》;</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2、面料成分：使用条纹或网格状导电纤维或导电长丝实现防静电性能，导电材料的间距≤10 mm，克重270g/㎡±5g/㎡；</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3、带电量：防静电服的带电量≤0.6μC / 套；</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4、摩擦带电电压：经过摩擦带电电压测试，服装产生的摩擦带电电压峰值≤500V；</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 xml:space="preserve">5、断裂强力：≥400N； </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 xml:space="preserve">6、撕破强力：≥15N； </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7、透气率：面料透气率≥50mm/s；</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8、可分解致癌芳香胺染料不得检出，甲醛含量：≤75mg/kg；</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 xml:space="preserve">9、色牢度：耐干摩擦色牢度≥3-4级，耐光色牢度≥3-4级；耐洗色牢度≥3-4 级；耐汗渍色牢度≥3-4 级； </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10、阻燃性能：经垂直燃烧试验后，损毁长度≤100mm，续燃时间≤2s，阴燃时间≤2s，且无熔融、滴落现象；</w:t>
            </w:r>
          </w:p>
          <w:p>
            <w:pPr>
              <w:widowControl/>
              <w:rPr>
                <w:rFonts w:asciiTheme="minorEastAsia" w:hAnsiTheme="minorEastAsia" w:cstheme="minorEastAsia" w:hint="eastAsia"/>
                <w:bCs/>
                <w:sz w:val="22"/>
              </w:rPr>
            </w:pPr>
            <w:r>
              <w:rPr>
                <w:rFonts w:asciiTheme="minorEastAsia" w:eastAsiaTheme="minorEastAsia" w:hAnsiTheme="minorEastAsia" w:cstheme="minorEastAsia" w:hint="eastAsia"/>
                <w:bCs/>
                <w:sz w:val="22"/>
                <w:szCs w:val="22"/>
              </w:rPr>
              <w:t>11、工作范围：防护适宜温度-40℃～50℃；</w:t>
            </w:r>
          </w:p>
          <w:p>
            <w:pPr>
              <w:rPr>
                <w:rFonts w:asciiTheme="minorEastAsia" w:hAnsiTheme="minorEastAsia" w:cstheme="minorEastAsia" w:hint="eastAsia"/>
                <w:sz w:val="22"/>
              </w:rPr>
            </w:pPr>
            <w:r>
              <w:rPr>
                <w:rFonts w:asciiTheme="minorEastAsia" w:eastAsiaTheme="minorEastAsia" w:hAnsiTheme="minorEastAsia" w:cstheme="minorEastAsia" w:hint="eastAsia"/>
                <w:bCs/>
                <w:sz w:val="22"/>
                <w:szCs w:val="22"/>
              </w:rPr>
              <w:t>12. 防水等级：耐静水压等级1级以上，静水压≥8000mmH₂O（防水款）。</w:t>
            </w:r>
          </w:p>
        </w:tc>
      </w:tr>
      <w:bookmarkEnd w:id="84"/>
      <w:bookmarkEnd w:id="85"/>
      <w:bookmarkEnd w:id="86"/>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bookmarkStart w:id="90" w:name="_Hlk205373384"/>
            <w:bookmarkStart w:id="91" w:name="OLE_LINK322" w:colFirst="2" w:colLast="2"/>
            <w:bookmarkStart w:id="92" w:name="OLE_LINK321" w:colFirst="2" w:colLast="2"/>
            <w:r>
              <w:rPr>
                <w:rFonts w:asciiTheme="minorEastAsia" w:eastAsiaTheme="minorEastAsia" w:hAnsiTheme="minorEastAsia" w:cstheme="minorEastAsia" w:hint="eastAsia"/>
                <w:sz w:val="22"/>
                <w:szCs w:val="22"/>
              </w:rPr>
              <w:t>8</w:t>
            </w:r>
          </w:p>
        </w:tc>
        <w:tc>
          <w:tcPr>
            <w:tcW w:w="708" w:type="pct"/>
            <w:vAlign w:val="center"/>
          </w:tcPr>
          <w:p>
            <w:pPr>
              <w:rPr>
                <w:rFonts w:asciiTheme="minorEastAsia" w:hAnsiTheme="minorEastAsia" w:cstheme="minorEastAsia" w:hint="eastAsia"/>
                <w:sz w:val="22"/>
              </w:rPr>
            </w:pPr>
            <w:bookmarkStart w:id="93" w:name="OLE_LINK87"/>
            <w:bookmarkStart w:id="94" w:name="OLE_LINK146"/>
            <w:bookmarkStart w:id="95" w:name="OLE_LINK86"/>
            <w:r>
              <w:rPr>
                <w:rFonts w:asciiTheme="minorEastAsia" w:eastAsiaTheme="minorEastAsia" w:hAnsiTheme="minorEastAsia" w:cstheme="minorEastAsia" w:hint="eastAsia"/>
                <w:sz w:val="22"/>
                <w:szCs w:val="22"/>
              </w:rPr>
              <w:t>防寒防静电服</w:t>
            </w:r>
            <w:bookmarkEnd w:id="93"/>
            <w:bookmarkEnd w:id="94"/>
            <w:bookmarkEnd w:id="95"/>
          </w:p>
        </w:tc>
        <w:tc>
          <w:tcPr>
            <w:tcW w:w="3916" w:type="pct"/>
          </w:tcPr>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1、执行标准：满足GB 12014-2019《防护服装 防静电服》及GB 38300-2025《防护服装 防寒服》标准要求；</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2、面料成分：羽绒，绒子含量不低于明示值不低于50%，充绒量与明示值的偏差不小于-5.0%，羽绒品质应符合GB/T14272-2021的要求；</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3、带电量：防寒防静电服带电量≤0.6μC / 件；</w:t>
            </w:r>
          </w:p>
          <w:p>
            <w:pPr>
              <w:widowControl/>
              <w:rPr>
                <w:rFonts w:asciiTheme="minorEastAsia" w:hAnsiTheme="minorEastAsia" w:cstheme="minorEastAsia" w:hint="eastAsia"/>
                <w:color w:val="000000" w:themeColor="text1"/>
                <w:sz w:val="22"/>
                <w:highlight w:val="green"/>
              </w:rPr>
            </w:pPr>
            <w:r>
              <w:rPr>
                <w:rFonts w:asciiTheme="minorEastAsia" w:eastAsiaTheme="minorEastAsia" w:hAnsiTheme="minorEastAsia" w:cstheme="minorEastAsia" w:hint="eastAsia"/>
                <w:color w:val="000000" w:themeColor="text1"/>
                <w:sz w:val="22"/>
                <w:szCs w:val="22"/>
              </w:rPr>
              <w:t>4、保暖性能：克罗值≥2；</w:t>
            </w:r>
          </w:p>
          <w:p>
            <w:pPr>
              <w:widowControl/>
              <w:rPr>
                <w:rFonts w:asciiTheme="minorEastAsia" w:hAnsiTheme="minorEastAsia" w:cstheme="minorEastAsia" w:hint="eastAsia"/>
                <w:color w:val="000000" w:themeColor="text1"/>
                <w:sz w:val="22"/>
                <w:highlight w:val="green"/>
              </w:rPr>
            </w:pPr>
            <w:r>
              <w:rPr>
                <w:rFonts w:asciiTheme="minorEastAsia" w:eastAsiaTheme="minorEastAsia" w:hAnsiTheme="minorEastAsia" w:cstheme="minorEastAsia" w:hint="eastAsia"/>
                <w:color w:val="000000" w:themeColor="text1"/>
                <w:sz w:val="22"/>
                <w:szCs w:val="22"/>
              </w:rPr>
              <w:t>5、热阻性能：热阻等级为1级以上；</w:t>
            </w:r>
          </w:p>
          <w:p>
            <w:pPr>
              <w:widowControl/>
              <w:rPr>
                <w:rFonts w:asciiTheme="minorEastAsia" w:hAnsiTheme="minorEastAsia" w:cstheme="minorEastAsia" w:hint="eastAsia"/>
                <w:color w:val="000000" w:themeColor="text1"/>
                <w:sz w:val="22"/>
                <w:highlight w:val="green"/>
              </w:rPr>
            </w:pPr>
            <w:r>
              <w:rPr>
                <w:rFonts w:asciiTheme="minorEastAsia" w:eastAsiaTheme="minorEastAsia" w:hAnsiTheme="minorEastAsia" w:cstheme="minorEastAsia" w:hint="eastAsia"/>
                <w:color w:val="000000" w:themeColor="text1"/>
                <w:sz w:val="22"/>
                <w:szCs w:val="22"/>
              </w:rPr>
              <w:t>6、防水等级：耐静水压等级1级以上，静水压≥8000mmH₂O；</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7、耐磨性能：耐磨性能经马丁代尔耐磨测试，摩擦次数≥10000 次；</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8、燃烧性能：经垂直燃烧试验后，损毁长度≤100mm，续燃时间≤2s，阴燃时间≤2s，且无熔融、滴落现象；</w:t>
            </w:r>
          </w:p>
          <w:p>
            <w:pPr>
              <w:rPr>
                <w:rFonts w:asciiTheme="minorEastAsia" w:hAnsiTheme="minorEastAsia" w:cstheme="minorEastAsia" w:hint="eastAsia"/>
                <w:sz w:val="22"/>
              </w:rPr>
            </w:pPr>
            <w:r>
              <w:rPr>
                <w:rFonts w:asciiTheme="minorEastAsia" w:eastAsiaTheme="minorEastAsia" w:hAnsiTheme="minorEastAsia" w:cstheme="minorEastAsia" w:hint="eastAsia"/>
                <w:color w:val="000000" w:themeColor="text1"/>
                <w:sz w:val="22"/>
                <w:szCs w:val="22"/>
              </w:rPr>
              <w:t>9、工作范围：防护适宜温度-40℃～50℃。</w:t>
            </w:r>
          </w:p>
        </w:tc>
      </w:tr>
      <w:bookmarkEnd w:id="90"/>
      <w:bookmarkEnd w:id="91"/>
      <w:bookmarkEnd w:id="92"/>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w:t>
            </w:r>
          </w:p>
        </w:tc>
        <w:tc>
          <w:tcPr>
            <w:tcW w:w="708" w:type="pct"/>
            <w:vAlign w:val="center"/>
          </w:tcPr>
          <w:p>
            <w:pPr>
              <w:rPr>
                <w:rFonts w:asciiTheme="minorEastAsia" w:hAnsiTheme="minorEastAsia" w:cstheme="minorEastAsia" w:hint="eastAsia"/>
                <w:sz w:val="22"/>
              </w:rPr>
            </w:pPr>
            <w:bookmarkStart w:id="96" w:name="OLE_LINK147"/>
            <w:bookmarkStart w:id="97" w:name="OLE_LINK455"/>
            <w:bookmarkStart w:id="98" w:name="OLE_LINK89"/>
            <w:bookmarkStart w:id="99" w:name="OLE_LINK88"/>
            <w:r>
              <w:rPr>
                <w:rFonts w:asciiTheme="minorEastAsia" w:eastAsiaTheme="minorEastAsia" w:hAnsiTheme="minorEastAsia" w:cstheme="minorEastAsia" w:hint="eastAsia"/>
                <w:sz w:val="22"/>
                <w:szCs w:val="22"/>
              </w:rPr>
              <w:t>防护鞋</w:t>
            </w:r>
            <w:bookmarkEnd w:id="96"/>
            <w:bookmarkEnd w:id="97"/>
            <w:bookmarkEnd w:id="98"/>
            <w:bookmarkEnd w:id="99"/>
          </w:p>
        </w:tc>
        <w:tc>
          <w:tcPr>
            <w:tcW w:w="3916" w:type="pct"/>
          </w:tcPr>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1、功能：具有保护足趾、防砸、防刺穿、防静电、防滑、防寒、防水、踝保护等一种或多种功能的防护鞋；</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2、执行标准：GB/T 21148-2020 《足部防护 安全鞋》；</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3、重量≤960克/双；</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4、超纤面料，透气率≥500mm/s，配备旋转纽扣系统；</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5、耐冲击及防穿刺性能：鞋头玻纤头部分耐冲击性能≥200J，中底凯夫拉材质，防穿刺性能≥1100N；</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6、水蒸汽渗透性和系数：水蒸气渗透率≥0.8mg(cm•h）水蒸气系数≥15mg/ cm2；</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7、耐磨性：内底磨损≥400次无变化；</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8、防砸测试：在（100±4）J冲击下，保护包头无影响；</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9、金属刺穿测试：金属刺穿鞋底所需力≥1100N；</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10、踝保护测试：踝保护测试平均值≤10kN，单个值≤15kN；</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11、防滑性能：防滑测试时，后跟向前滑动的摩擦系数≥0.28，水平向前滑动的摩擦系数≥0.324；</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12、抗菌性能符合QB/T2881-2013《鞋类和鞋类部件 抗菌性能技术条件》检测标准，抗菌率≥90%。</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10</w:t>
            </w:r>
          </w:p>
        </w:tc>
        <w:tc>
          <w:tcPr>
            <w:tcW w:w="708" w:type="pct"/>
            <w:vAlign w:val="center"/>
          </w:tcPr>
          <w:p>
            <w:pPr>
              <w:rPr>
                <w:rFonts w:asciiTheme="minorEastAsia" w:hAnsiTheme="minorEastAsia" w:cstheme="minorEastAsia" w:hint="eastAsia"/>
                <w:sz w:val="22"/>
              </w:rPr>
            </w:pPr>
            <w:bookmarkStart w:id="100" w:name="OLE_LINK91"/>
            <w:bookmarkStart w:id="101" w:name="OLE_LINK148"/>
            <w:bookmarkStart w:id="102" w:name="OLE_LINK90"/>
            <w:r>
              <w:rPr>
                <w:rFonts w:asciiTheme="minorEastAsia" w:eastAsiaTheme="minorEastAsia" w:hAnsiTheme="minorEastAsia" w:cstheme="minorEastAsia" w:hint="eastAsia"/>
                <w:sz w:val="22"/>
                <w:szCs w:val="22"/>
              </w:rPr>
              <w:t>警示服</w:t>
            </w:r>
            <w:bookmarkEnd w:id="100"/>
            <w:bookmarkEnd w:id="101"/>
            <w:bookmarkEnd w:id="102"/>
          </w:p>
        </w:tc>
        <w:tc>
          <w:tcPr>
            <w:tcW w:w="3916" w:type="pct"/>
          </w:tcPr>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1、执行标准：GB 20653-2020《防护服装 职业用高可视性警示服》，参照2级警示服技术要求；</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2、提供醒目警示效果；</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3、规格要求：左右肩设有肩部挂袢各≥1个；肩部前方左侧设有装备挂袢≥1个，1处魔术贴标识；正面右侧胸口设有≥1个魔术贴口袋、1处插笔口袋、≥1处装备挂袢；腹部前方两侧各设有≥1个魔术贴口袋，方便收纳执勤装备；</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4、基底材料使用面积≥0.50m²（平方米），反光材料使用面积≥0.13m²（平方米）； </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5、基底材料应环绕上身躯干，宽度≥50mm（毫米）(基底材料被反光带中断的区域不算入内)；反光带宽度≥50mm（毫米）；</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6、左右两肩各有一条反光带从胸前延伸到后背，从肩缝向胸前和后背各延伸≥15cm（厘米）或者与躯干部位的反光带相连接；</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 xml:space="preserve">7、材质：阻燃防静电面料； </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8、面料克重：≥190g/㎡；</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9、逆反射系数：在观测角为12°、入射角为 5°条件下，逆反射系数≥330cd・lx-1・m-2；</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10、阻燃性能：续燃时间≤2s，阴燃时间≤2s；</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11、静电性能：每件成衣的带电量≤0.6μC /件；</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12、色牢度：耐皂洗色牢度≥4级，耐摩擦色牢度≥4级，耐汗渍色牢度≥4-5级，耐热压色牢度≥4-5，耐光色牢度≥4-5级；</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13、荧光材料的使用面积≥0.50m2；</w:t>
            </w:r>
          </w:p>
          <w:p>
            <w:pPr>
              <w:widowControl/>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14、反光材料使用面积≥0.13m2；</w:t>
            </w:r>
          </w:p>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15、反光带：50±2℃高温和 -30±2℃低温处理后，仍满足逆反射系数要求。</w:t>
            </w:r>
          </w:p>
        </w:tc>
      </w:tr>
      <w:tr>
        <w:tblPrEx>
          <w:tblW w:w="5000" w:type="pct"/>
          <w:jc w:val="center"/>
          <w:tblCellMar>
            <w:top w:w="0" w:type="dxa"/>
            <w:left w:w="108" w:type="dxa"/>
            <w:bottom w:w="0" w:type="dxa"/>
            <w:right w:w="108" w:type="dxa"/>
          </w:tblCellMar>
        </w:tblPrEx>
        <w:trPr>
          <w:trHeight w:val="20"/>
          <w:jc w:val="center"/>
        </w:trPr>
        <w:tc>
          <w:tcPr>
            <w:tcW w:w="374" w:type="pct"/>
            <w:vAlign w:val="center"/>
          </w:tcPr>
          <w:p>
            <w:pPr>
              <w:rPr>
                <w:rFonts w:asciiTheme="minorEastAsia" w:hAnsiTheme="minorEastAsia" w:cstheme="minorEastAsia" w:hint="eastAsia"/>
                <w:sz w:val="22"/>
              </w:rPr>
            </w:pPr>
            <w:r>
              <w:rPr>
                <w:rFonts w:asciiTheme="minorEastAsia" w:eastAsiaTheme="minorEastAsia" w:hAnsiTheme="minorEastAsia" w:cstheme="minorEastAsia" w:hint="eastAsia"/>
                <w:sz w:val="22"/>
                <w:szCs w:val="22"/>
              </w:rPr>
              <w:t>11</w:t>
            </w:r>
          </w:p>
        </w:tc>
        <w:tc>
          <w:tcPr>
            <w:tcW w:w="708" w:type="pct"/>
            <w:vAlign w:val="center"/>
          </w:tcPr>
          <w:p>
            <w:pPr>
              <w:rPr>
                <w:rFonts w:asciiTheme="minorEastAsia" w:hAnsiTheme="minorEastAsia" w:cstheme="minorEastAsia" w:hint="eastAsia"/>
                <w:sz w:val="22"/>
              </w:rPr>
            </w:pPr>
            <w:bookmarkStart w:id="103" w:name="OLE_LINK456"/>
            <w:bookmarkStart w:id="104" w:name="OLE_LINK149"/>
            <w:bookmarkStart w:id="105" w:name="OLE_LINK92"/>
            <w:bookmarkStart w:id="106" w:name="OLE_LINK93"/>
            <w:r>
              <w:rPr>
                <w:rFonts w:asciiTheme="minorEastAsia" w:eastAsiaTheme="minorEastAsia" w:hAnsiTheme="minorEastAsia" w:cstheme="minorEastAsia" w:hint="eastAsia"/>
                <w:sz w:val="22"/>
                <w:szCs w:val="22"/>
              </w:rPr>
              <w:t>防弹护具</w:t>
            </w:r>
            <w:bookmarkEnd w:id="103"/>
            <w:bookmarkEnd w:id="104"/>
            <w:bookmarkEnd w:id="105"/>
            <w:bookmarkEnd w:id="106"/>
          </w:p>
        </w:tc>
        <w:tc>
          <w:tcPr>
            <w:tcW w:w="3916" w:type="pct"/>
          </w:tcPr>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1、防弹等级不低于GA 141-2010《警用防弹衣》2级。</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 xml:space="preserve">2、组成：防弹护具是指防弹衣，由外套和芯片（含防弹层、防弹层保护套）组成，采用镭射切割技术，前后两面设有多处装备挂载系统，可挂载执法仪、对讲机、信号灯等装备，扣具采用磁吸战术背心扣具； </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3、结构：防弹层结构由弹击面开始依次为：≥18层高性能聚乙烯无维布（6层纤维正交）+≥1层5mm厚泡沫板制成；</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4、防弹层部件（单片）厚度为≤10.0mm；</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5、防弹衣上身躯干的实际投影防护面积应≥0.25m</w:t>
            </w:r>
            <w:r>
              <w:rPr>
                <w:rFonts w:asciiTheme="minorEastAsia" w:eastAsiaTheme="minorEastAsia" w:hAnsiTheme="minorEastAsia" w:cstheme="minorEastAsia" w:hint="eastAsia"/>
                <w:color w:val="000000" w:themeColor="text1"/>
                <w:sz w:val="22"/>
                <w:szCs w:val="22"/>
                <w:vertAlign w:val="superscript"/>
              </w:rPr>
              <w:t>2</w:t>
            </w:r>
            <w:r>
              <w:rPr>
                <w:rFonts w:asciiTheme="minorEastAsia" w:eastAsiaTheme="minorEastAsia" w:hAnsiTheme="minorEastAsia" w:cstheme="minorEastAsia" w:hint="eastAsia"/>
                <w:color w:val="000000" w:themeColor="text1"/>
                <w:sz w:val="22"/>
                <w:szCs w:val="22"/>
              </w:rPr>
              <w:t>；</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6、防弹层部件（单片）质量：≤800g；</w:t>
            </w:r>
          </w:p>
          <w:p>
            <w:pPr>
              <w:widowControl/>
              <w:rPr>
                <w:rFonts w:asciiTheme="minorEastAsia" w:hAnsiTheme="minorEastAsia" w:cstheme="minorEastAsia" w:hint="eastAsia"/>
                <w:color w:val="000000" w:themeColor="text1"/>
                <w:sz w:val="22"/>
                <w:vertAlign w:val="superscript"/>
              </w:rPr>
            </w:pPr>
            <w:r>
              <w:rPr>
                <w:rFonts w:asciiTheme="minorEastAsia" w:eastAsiaTheme="minorEastAsia" w:hAnsiTheme="minorEastAsia" w:cstheme="minorEastAsia" w:hint="eastAsia"/>
                <w:color w:val="000000" w:themeColor="text1"/>
                <w:sz w:val="22"/>
                <w:szCs w:val="22"/>
              </w:rPr>
              <w:t>7、防弹层部件柔软度：前胸5-10次测试平均值为≤115N•m2，后背5-10次测试平均值为≤115N• m</w:t>
            </w:r>
            <w:r>
              <w:rPr>
                <w:rFonts w:asciiTheme="minorEastAsia" w:eastAsiaTheme="minorEastAsia" w:hAnsiTheme="minorEastAsia" w:cstheme="minorEastAsia" w:hint="eastAsia"/>
                <w:color w:val="000000" w:themeColor="text1"/>
                <w:sz w:val="22"/>
                <w:szCs w:val="22"/>
                <w:vertAlign w:val="superscript"/>
              </w:rPr>
              <w:t>2</w:t>
            </w:r>
            <w:r>
              <w:rPr>
                <w:rFonts w:asciiTheme="minorEastAsia" w:eastAsiaTheme="minorEastAsia" w:hAnsiTheme="minorEastAsia" w:cstheme="minorEastAsia" w:hint="eastAsia"/>
                <w:color w:val="000000" w:themeColor="text1"/>
                <w:sz w:val="22"/>
                <w:szCs w:val="22"/>
              </w:rPr>
              <w:t>；</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8、防弹衣材料应无毒，对人体无自然伤害；</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 xml:space="preserve">9、平均续燃时间：径向≤0s，纬向≤0s；平均阴燃时间径向≤0s，纬向≤0s； </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 xml:space="preserve">10、平均损毁长度：径向≤49mm，纬向≤44mm； </w:t>
            </w:r>
          </w:p>
          <w:p>
            <w:pPr>
              <w:widowControl/>
              <w:rPr>
                <w:rFonts w:asciiTheme="minorEastAsia" w:hAnsiTheme="minorEastAsia" w:cstheme="minorEastAsia" w:hint="eastAsia"/>
                <w:color w:val="000000" w:themeColor="text1"/>
                <w:sz w:val="22"/>
              </w:rPr>
            </w:pPr>
            <w:r>
              <w:rPr>
                <w:rFonts w:asciiTheme="minorEastAsia" w:eastAsiaTheme="minorEastAsia" w:hAnsiTheme="minorEastAsia" w:cstheme="minorEastAsia" w:hint="eastAsia"/>
                <w:color w:val="000000" w:themeColor="text1"/>
                <w:sz w:val="22"/>
                <w:szCs w:val="22"/>
              </w:rPr>
              <w:t xml:space="preserve">11、拉伸性能：依据GB/T 3923.1-2013条样法（5厘米条样法，CRE拉伸测试仪，测试速度100mm-min，初始隔距200mm）布料断裂强力径向≥3300N，纬向≥3200N； </w:t>
            </w:r>
          </w:p>
          <w:p>
            <w:pPr>
              <w:rPr>
                <w:rFonts w:asciiTheme="minorEastAsia" w:hAnsiTheme="minorEastAsia" w:cstheme="minorEastAsia" w:hint="eastAsia"/>
                <w:sz w:val="22"/>
              </w:rPr>
            </w:pPr>
            <w:r>
              <w:rPr>
                <w:rFonts w:asciiTheme="minorEastAsia" w:eastAsiaTheme="minorEastAsia" w:hAnsiTheme="minorEastAsia" w:cstheme="minorEastAsia" w:hint="eastAsia"/>
                <w:color w:val="000000" w:themeColor="text1"/>
                <w:sz w:val="22"/>
                <w:szCs w:val="22"/>
              </w:rPr>
              <w:t>12、撕破强力：依据GB/T 3917.3-2009 梯形撕裂法（CRE拉伸测试仪，测试速度100mm/min，初始隔距25mm）布料撕破强力径向≥350N，纬向≥350N。</w:t>
            </w:r>
          </w:p>
        </w:tc>
      </w:tr>
      <w:bookmarkEnd w:id="61"/>
      <w:bookmarkEnd w:id="62"/>
      <w:bookmarkEnd w:id="63"/>
    </w:tbl>
    <w:p>
      <w:pPr>
        <w:spacing w:line="360" w:lineRule="auto"/>
        <w:ind w:firstLine="420" w:firstLineChars="200"/>
        <w:rPr>
          <w:rFonts w:ascii="宋体" w:hAnsi="宋体" w:hint="eastAsia"/>
          <w:szCs w:val="21"/>
        </w:rPr>
      </w:pPr>
    </w:p>
    <w:p>
      <w:pPr>
        <w:spacing w:line="360" w:lineRule="auto"/>
        <w:ind w:firstLine="420" w:firstLineChars="200"/>
        <w:rPr>
          <w:rFonts w:ascii="宋体" w:hAnsi="宋体" w:hint="eastAsia"/>
          <w:szCs w:val="21"/>
        </w:rPr>
      </w:pPr>
      <w:r>
        <w:rPr>
          <w:rFonts w:ascii="宋体" w:hAnsi="宋体" w:hint="eastAsia"/>
          <w:szCs w:val="21"/>
        </w:rPr>
        <w:t>四、检验考核要求</w:t>
      </w:r>
    </w:p>
    <w:p>
      <w:pPr>
        <w:spacing w:line="360" w:lineRule="auto"/>
        <w:ind w:firstLine="420" w:firstLineChars="200"/>
        <w:rPr>
          <w:rFonts w:ascii="宋体" w:hAnsi="宋体" w:hint="eastAsia"/>
          <w:szCs w:val="21"/>
        </w:rPr>
      </w:pPr>
      <w:r>
        <w:rPr>
          <w:rFonts w:ascii="宋体" w:hAnsi="宋体" w:hint="eastAsia"/>
          <w:szCs w:val="21"/>
        </w:rPr>
        <w:t>1</w:t>
      </w:r>
      <w:r>
        <w:rPr>
          <w:rFonts w:ascii="宋体" w:hAnsi="宋体" w:hint="eastAsia"/>
          <w:szCs w:val="21"/>
          <w:lang w:val="en-US" w:eastAsia="zh-CN"/>
        </w:rPr>
        <w:t>.</w:t>
      </w:r>
      <w:r>
        <w:rPr>
          <w:rFonts w:ascii="宋体" w:hAnsi="宋体" w:hint="eastAsia"/>
          <w:szCs w:val="21"/>
        </w:rPr>
        <w:t>设备的包装必须是制造商原厂包装，其包装均应有良好的防湿、防锈、防潮、防雨、防腐及防碰撞的措施。</w:t>
      </w:r>
    </w:p>
    <w:p>
      <w:pPr>
        <w:spacing w:line="360" w:lineRule="auto"/>
        <w:ind w:firstLine="420" w:firstLineChars="200"/>
        <w:rPr>
          <w:rFonts w:ascii="宋体" w:hAnsi="宋体" w:hint="eastAsia"/>
          <w:szCs w:val="21"/>
        </w:rPr>
      </w:pPr>
      <w:r>
        <w:rPr>
          <w:rFonts w:ascii="宋体" w:hAnsi="宋体" w:hint="eastAsia"/>
          <w:szCs w:val="21"/>
        </w:rPr>
        <w:t>2</w:t>
      </w:r>
      <w:r>
        <w:rPr>
          <w:rFonts w:ascii="宋体" w:hAnsi="宋体" w:hint="eastAsia"/>
          <w:szCs w:val="21"/>
          <w:lang w:val="en-US" w:eastAsia="zh-CN"/>
        </w:rPr>
        <w:t>.</w:t>
      </w:r>
      <w:r>
        <w:rPr>
          <w:rFonts w:ascii="宋体" w:hAnsi="宋体" w:hint="eastAsia"/>
          <w:szCs w:val="21"/>
        </w:rPr>
        <w:t>中标人负责将货物到现场过程中的全部运输，包括装卸车、货物现场的搬运。</w:t>
      </w:r>
    </w:p>
    <w:p>
      <w:pPr>
        <w:spacing w:line="360" w:lineRule="auto"/>
        <w:ind w:firstLine="420" w:firstLineChars="200"/>
        <w:rPr>
          <w:rFonts w:ascii="宋体" w:hAnsi="宋体" w:hint="eastAsia"/>
          <w:szCs w:val="21"/>
        </w:rPr>
      </w:pPr>
      <w:r>
        <w:rPr>
          <w:rFonts w:ascii="宋体" w:hAnsi="宋体" w:hint="eastAsia"/>
          <w:szCs w:val="21"/>
        </w:rPr>
        <w:t>3</w:t>
      </w:r>
      <w:r>
        <w:rPr>
          <w:rFonts w:ascii="宋体" w:hAnsi="宋体" w:hint="eastAsia"/>
          <w:szCs w:val="21"/>
          <w:lang w:val="en-US" w:eastAsia="zh-CN"/>
        </w:rPr>
        <w:t>.</w:t>
      </w:r>
      <w:r>
        <w:rPr>
          <w:rFonts w:ascii="宋体" w:hAnsi="宋体" w:hint="eastAsia"/>
          <w:szCs w:val="21"/>
        </w:rPr>
        <w:t>设备必须提供装箱清单，按装箱清单验收货物。并出具出厂合格证，序列号、包装箱号与出厂批号一致，并可追索查阅。所有随设备的附件必须齐全。</w:t>
      </w:r>
    </w:p>
    <w:p>
      <w:pPr>
        <w:spacing w:line="360" w:lineRule="auto"/>
        <w:ind w:firstLine="420" w:firstLineChars="200"/>
        <w:rPr>
          <w:rFonts w:ascii="宋体" w:hAnsi="宋体" w:hint="eastAsia"/>
          <w:szCs w:val="21"/>
        </w:rPr>
      </w:pPr>
      <w:r>
        <w:rPr>
          <w:rFonts w:ascii="宋体" w:hAnsi="宋体" w:hint="eastAsia"/>
          <w:szCs w:val="21"/>
        </w:rPr>
        <w:t>4</w:t>
      </w:r>
      <w:r>
        <w:rPr>
          <w:rFonts w:ascii="宋体" w:hAnsi="宋体" w:hint="eastAsia"/>
          <w:szCs w:val="21"/>
          <w:lang w:val="en-US" w:eastAsia="zh-CN"/>
        </w:rPr>
        <w:t>.</w:t>
      </w:r>
      <w:r>
        <w:rPr>
          <w:rFonts w:ascii="宋体" w:hAnsi="宋体" w:hint="eastAsia"/>
          <w:szCs w:val="21"/>
        </w:rPr>
        <w:t>中标人应将关键主机设备的用户手册、保修手册、有关单证资料及配备件、随机工具等交付给采购人，使用操作及安全须知等重要资料应附有中文说明。</w:t>
      </w:r>
    </w:p>
    <w:p>
      <w:pPr>
        <w:spacing w:line="360" w:lineRule="auto"/>
        <w:ind w:firstLine="420" w:firstLineChars="200"/>
        <w:rPr>
          <w:rFonts w:ascii="宋体" w:hAnsi="宋体" w:hint="eastAsia"/>
          <w:szCs w:val="21"/>
        </w:rPr>
      </w:pPr>
      <w:r>
        <w:rPr>
          <w:rFonts w:ascii="宋体" w:hAnsi="宋体" w:hint="eastAsia"/>
          <w:szCs w:val="21"/>
        </w:rPr>
        <w:t>5</w:t>
      </w:r>
      <w:r>
        <w:rPr>
          <w:rFonts w:ascii="宋体" w:hAnsi="宋体" w:hint="eastAsia"/>
          <w:szCs w:val="21"/>
          <w:lang w:val="en-US" w:eastAsia="zh-CN"/>
        </w:rPr>
        <w:t>.</w:t>
      </w:r>
      <w:r>
        <w:rPr>
          <w:rFonts w:ascii="宋体" w:hAnsi="宋体" w:hint="eastAsia"/>
          <w:szCs w:val="21"/>
        </w:rPr>
        <w:t>设备的拆箱、安装、调试等工作由中标人负责，但必须在采购人指定人员的参与下进行。在实际实施前必须先经采购人同意方可进行，调试的原始记录须经各方签字后作为验收的文件组成部分。</w:t>
      </w:r>
    </w:p>
    <w:p>
      <w:pPr>
        <w:spacing w:line="360" w:lineRule="auto"/>
        <w:ind w:firstLine="420" w:firstLineChars="200"/>
        <w:rPr>
          <w:rFonts w:ascii="宋体" w:hAnsi="宋体" w:hint="eastAsia"/>
          <w:szCs w:val="21"/>
        </w:rPr>
      </w:pPr>
      <w:r>
        <w:rPr>
          <w:rFonts w:ascii="宋体" w:hAnsi="宋体" w:hint="eastAsia"/>
          <w:szCs w:val="21"/>
        </w:rPr>
        <w:t>6</w:t>
      </w:r>
      <w:r>
        <w:rPr>
          <w:rFonts w:ascii="宋体" w:hAnsi="宋体" w:hint="eastAsia"/>
          <w:szCs w:val="21"/>
          <w:lang w:val="en-US" w:eastAsia="zh-CN"/>
        </w:rPr>
        <w:t>.</w:t>
      </w:r>
      <w:r>
        <w:rPr>
          <w:rFonts w:ascii="宋体" w:hAnsi="宋体" w:hint="eastAsia"/>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pPr>
        <w:spacing w:line="360" w:lineRule="auto"/>
        <w:ind w:firstLine="420" w:firstLineChars="200"/>
        <w:rPr>
          <w:rFonts w:ascii="宋体" w:hAnsi="宋体" w:hint="eastAsia"/>
          <w:szCs w:val="21"/>
        </w:rPr>
      </w:pPr>
      <w:r>
        <w:rPr>
          <w:rFonts w:ascii="宋体" w:hAnsi="宋体" w:hint="eastAsia"/>
          <w:szCs w:val="21"/>
        </w:rPr>
        <w:t>7</w:t>
      </w:r>
      <w:r>
        <w:rPr>
          <w:rFonts w:ascii="宋体" w:hAnsi="宋体" w:hint="eastAsia"/>
          <w:szCs w:val="21"/>
          <w:lang w:val="en-US" w:eastAsia="zh-CN"/>
        </w:rPr>
        <w:t>.</w:t>
      </w:r>
      <w:r>
        <w:rPr>
          <w:rFonts w:ascii="宋体" w:hAnsi="宋体" w:hint="eastAsia"/>
          <w:szCs w:val="21"/>
        </w:rPr>
        <w:t>中标人应出具针对本项目的详细验收方案。</w:t>
      </w:r>
    </w:p>
    <w:p>
      <w:pPr>
        <w:spacing w:line="360" w:lineRule="auto"/>
        <w:ind w:firstLine="420" w:firstLineChars="200"/>
        <w:rPr>
          <w:rFonts w:ascii="宋体" w:hAnsi="宋体" w:hint="eastAsia"/>
          <w:szCs w:val="21"/>
        </w:rPr>
      </w:pPr>
      <w:r>
        <w:rPr>
          <w:rFonts w:ascii="宋体" w:hAnsi="宋体" w:hint="eastAsia"/>
          <w:szCs w:val="21"/>
        </w:rPr>
        <w:t>8</w:t>
      </w:r>
      <w:r>
        <w:rPr>
          <w:rFonts w:ascii="宋体" w:hAnsi="宋体" w:hint="eastAsia"/>
          <w:szCs w:val="21"/>
          <w:lang w:val="en-US" w:eastAsia="zh-CN"/>
        </w:rPr>
        <w:t>.</w:t>
      </w:r>
      <w:r>
        <w:rPr>
          <w:rFonts w:ascii="宋体" w:hAnsi="宋体" w:hint="eastAsia"/>
          <w:szCs w:val="21"/>
        </w:rPr>
        <w:t>主要设备仪器在产品到货验收时，必须有制造商技术人员现场协助，此验收报告作为项目验收必备文件。</w:t>
      </w:r>
    </w:p>
    <w:p>
      <w:pPr>
        <w:spacing w:line="360" w:lineRule="auto"/>
        <w:ind w:firstLine="420" w:firstLineChars="200"/>
        <w:rPr>
          <w:rFonts w:ascii="宋体" w:hAnsi="宋体" w:hint="eastAsia"/>
          <w:szCs w:val="21"/>
        </w:rPr>
      </w:pPr>
      <w:r>
        <w:rPr>
          <w:rFonts w:ascii="宋体" w:hAnsi="宋体" w:hint="eastAsia"/>
          <w:szCs w:val="21"/>
        </w:rPr>
        <w:t>9</w:t>
      </w:r>
      <w:r>
        <w:rPr>
          <w:rFonts w:ascii="宋体" w:hAnsi="宋体" w:hint="eastAsia"/>
          <w:szCs w:val="21"/>
          <w:lang w:val="en-US" w:eastAsia="zh-CN"/>
        </w:rPr>
        <w:t>.</w:t>
      </w:r>
      <w:r>
        <w:rPr>
          <w:rFonts w:ascii="宋体" w:hAnsi="宋体" w:hint="eastAsia"/>
          <w:szCs w:val="21"/>
        </w:rPr>
        <w:t>验收由采购人、中标人及相关人员依据国家有关标准、合同及有关附件要求进行。</w:t>
      </w:r>
    </w:p>
    <w:p>
      <w:pPr>
        <w:spacing w:line="360" w:lineRule="auto"/>
        <w:ind w:firstLine="420" w:firstLineChars="200"/>
        <w:rPr>
          <w:rFonts w:ascii="宋体" w:hAnsi="宋体" w:hint="eastAsia"/>
          <w:szCs w:val="21"/>
        </w:rPr>
      </w:pPr>
      <w:r>
        <w:rPr>
          <w:rFonts w:ascii="宋体" w:hAnsi="宋体" w:hint="eastAsia"/>
          <w:szCs w:val="21"/>
        </w:rPr>
        <w:t>10</w:t>
      </w:r>
      <w:r>
        <w:rPr>
          <w:rFonts w:ascii="宋体" w:hAnsi="宋体" w:hint="eastAsia"/>
          <w:szCs w:val="21"/>
          <w:lang w:val="en-US" w:eastAsia="zh-CN"/>
        </w:rPr>
        <w:t>.</w:t>
      </w:r>
      <w:r>
        <w:rPr>
          <w:rFonts w:ascii="宋体" w:hAnsi="宋体" w:hint="eastAsia"/>
          <w:szCs w:val="21"/>
        </w:rPr>
        <w:t>供货地点：福建省</w:t>
      </w:r>
      <w:r>
        <w:rPr>
          <w:rFonts w:ascii="宋体" w:hAnsi="宋体" w:hint="eastAsia"/>
          <w:szCs w:val="21"/>
          <w:lang w:eastAsia="zh-CN"/>
        </w:rPr>
        <w:t>漳州市</w:t>
      </w:r>
      <w:r>
        <w:rPr>
          <w:rFonts w:ascii="宋体" w:hAnsi="宋体" w:hint="eastAsia"/>
          <w:szCs w:val="21"/>
        </w:rPr>
        <w:t>内用户指定地点。</w:t>
      </w:r>
    </w:p>
    <w:p>
      <w:pPr>
        <w:spacing w:line="360" w:lineRule="auto"/>
        <w:ind w:firstLine="420" w:firstLineChars="200"/>
        <w:rPr>
          <w:rFonts w:ascii="宋体" w:hAnsi="宋体" w:hint="eastAsia"/>
          <w:szCs w:val="21"/>
        </w:rPr>
      </w:pPr>
      <w:r>
        <w:rPr>
          <w:rFonts w:ascii="宋体" w:hAnsi="宋体" w:hint="eastAsia"/>
          <w:szCs w:val="21"/>
        </w:rPr>
        <w:t>11</w:t>
      </w:r>
      <w:r>
        <w:rPr>
          <w:rFonts w:ascii="宋体" w:hAnsi="宋体" w:hint="eastAsia"/>
          <w:szCs w:val="21"/>
          <w:lang w:val="en-US" w:eastAsia="zh-CN"/>
        </w:rPr>
        <w:t>.</w:t>
      </w:r>
      <w:r>
        <w:rPr>
          <w:rFonts w:ascii="宋体" w:hAnsi="宋体" w:hint="eastAsia"/>
          <w:szCs w:val="21"/>
        </w:rPr>
        <w:t>中标人负责本项目所有设备的安装调试以及所有必需的线材与备件等。</w:t>
      </w:r>
    </w:p>
    <w:p>
      <w:pPr>
        <w:spacing w:line="360" w:lineRule="auto"/>
        <w:ind w:firstLine="420" w:firstLineChars="200"/>
        <w:rPr>
          <w:rFonts w:ascii="宋体" w:hAnsi="宋体" w:hint="eastAsia"/>
          <w:szCs w:val="21"/>
        </w:rPr>
      </w:pPr>
      <w:r>
        <w:rPr>
          <w:rFonts w:ascii="宋体" w:hAnsi="宋体" w:hint="eastAsia"/>
          <w:szCs w:val="21"/>
        </w:rPr>
        <w:t>12</w:t>
      </w:r>
      <w:r>
        <w:rPr>
          <w:rFonts w:ascii="宋体" w:hAnsi="宋体" w:hint="eastAsia"/>
          <w:szCs w:val="21"/>
          <w:lang w:val="en-US" w:eastAsia="zh-CN"/>
        </w:rPr>
        <w:t>.</w:t>
      </w:r>
      <w:r>
        <w:rPr>
          <w:rFonts w:ascii="宋体" w:hAnsi="宋体" w:hint="eastAsia"/>
          <w:szCs w:val="21"/>
        </w:rPr>
        <w:t>中标人应设安装负责人，负责安装协调管理工作。</w:t>
      </w:r>
    </w:p>
    <w:p>
      <w:pPr>
        <w:spacing w:line="360" w:lineRule="auto"/>
        <w:ind w:firstLine="420" w:firstLineChars="200"/>
        <w:rPr>
          <w:rFonts w:ascii="宋体" w:hAnsi="宋体" w:hint="eastAsia"/>
          <w:szCs w:val="21"/>
        </w:rPr>
      </w:pPr>
      <w:r>
        <w:rPr>
          <w:rFonts w:ascii="宋体" w:hAnsi="宋体" w:hint="eastAsia"/>
          <w:szCs w:val="21"/>
        </w:rPr>
        <w:t>13</w:t>
      </w:r>
      <w:r>
        <w:rPr>
          <w:rFonts w:ascii="宋体" w:hAnsi="宋体" w:hint="eastAsia"/>
          <w:szCs w:val="21"/>
          <w:lang w:val="en-US" w:eastAsia="zh-CN"/>
        </w:rPr>
        <w:t>.</w:t>
      </w:r>
      <w:r>
        <w:rPr>
          <w:rFonts w:ascii="宋体" w:hAnsi="宋体" w:hint="eastAsia"/>
          <w:szCs w:val="21"/>
        </w:rPr>
        <w:t>安装所需工具设施物料由中标人自备、自费运到现场，完工后自费搬走。</w:t>
      </w:r>
    </w:p>
    <w:p>
      <w:pPr>
        <w:spacing w:line="360" w:lineRule="auto"/>
        <w:ind w:firstLine="420" w:firstLineChars="200"/>
        <w:rPr>
          <w:rFonts w:ascii="宋体" w:hAnsi="宋体" w:hint="eastAsia"/>
          <w:szCs w:val="21"/>
        </w:rPr>
      </w:pPr>
      <w:r>
        <w:rPr>
          <w:rFonts w:ascii="宋体" w:hAnsi="宋体" w:hint="eastAsia"/>
          <w:szCs w:val="21"/>
          <w:lang w:val="en-US" w:eastAsia="zh-CN"/>
        </w:rPr>
        <w:t>14.</w:t>
      </w:r>
      <w:r>
        <w:rPr>
          <w:rFonts w:ascii="宋体" w:hAnsi="宋体" w:hint="eastAsia"/>
          <w:szCs w:val="21"/>
        </w:rPr>
        <w:t>供应商供货的设备，其性能指标应满足中国气象局应急减灾与公共服务司下发的</w:t>
      </w:r>
      <w:r>
        <w:rPr>
          <w:rFonts w:ascii="宋体" w:hAnsi="宋体" w:hint="eastAsia"/>
          <w:szCs w:val="21"/>
          <w:lang w:eastAsia="zh-CN"/>
        </w:rPr>
        <w:t>《</w:t>
      </w:r>
      <w:r>
        <w:rPr>
          <w:rFonts w:ascii="宋体" w:hAnsi="宋体" w:hint="eastAsia"/>
          <w:szCs w:val="21"/>
        </w:rPr>
        <w:t>人工影响天气用37mm数字化高炮等8类建设内容技术要求和测试大纲</w:t>
      </w:r>
      <w:r>
        <w:rPr>
          <w:rFonts w:ascii="宋体" w:hAnsi="宋体" w:hint="eastAsia"/>
          <w:szCs w:val="21"/>
          <w:lang w:eastAsia="zh-CN"/>
        </w:rPr>
        <w:t>》的</w:t>
      </w:r>
      <w:r>
        <w:rPr>
          <w:rFonts w:ascii="宋体" w:hAnsi="宋体" w:hint="eastAsia"/>
          <w:szCs w:val="21"/>
        </w:rPr>
        <w:t>相关技术</w:t>
      </w:r>
      <w:r>
        <w:rPr>
          <w:rFonts w:ascii="宋体" w:hAnsi="宋体" w:hint="eastAsia"/>
          <w:szCs w:val="21"/>
          <w:lang w:eastAsia="zh-CN"/>
        </w:rPr>
        <w:t>与测试</w:t>
      </w:r>
      <w:r>
        <w:rPr>
          <w:rFonts w:ascii="宋体" w:hAnsi="宋体" w:hint="eastAsia"/>
          <w:szCs w:val="21"/>
        </w:rPr>
        <w:t>要求，测试通过后方可进行交付验收。</w:t>
      </w:r>
    </w:p>
    <w:p>
      <w:pPr>
        <w:spacing w:line="360" w:lineRule="auto"/>
        <w:ind w:firstLine="420" w:firstLineChars="200"/>
        <w:rPr>
          <w:rFonts w:ascii="宋体" w:hAnsi="宋体" w:hint="eastAsia"/>
          <w:szCs w:val="21"/>
        </w:rPr>
      </w:pPr>
      <w:r>
        <w:rPr>
          <w:rFonts w:ascii="宋体" w:hAnsi="宋体" w:hint="eastAsia"/>
          <w:szCs w:val="21"/>
        </w:rPr>
        <w:t>五、交货期</w:t>
      </w:r>
    </w:p>
    <w:p>
      <w:pPr>
        <w:spacing w:line="360" w:lineRule="auto"/>
        <w:ind w:firstLine="420" w:firstLineChars="200"/>
        <w:rPr>
          <w:rFonts w:ascii="宋体" w:hAnsi="宋体" w:hint="eastAsia"/>
          <w:szCs w:val="21"/>
        </w:rPr>
      </w:pPr>
      <w:r>
        <w:rPr>
          <w:rFonts w:ascii="宋体" w:hAnsi="宋体" w:hint="eastAsia"/>
          <w:szCs w:val="21"/>
        </w:rPr>
        <w:t>合同签订后180天内</w:t>
      </w:r>
      <w:r>
        <w:rPr>
          <w:rFonts w:ascii="宋体" w:hAnsi="宋体" w:hint="eastAsia"/>
          <w:szCs w:val="21"/>
          <w:lang w:eastAsia="zh-CN"/>
        </w:rPr>
        <w:t>完成</w:t>
      </w:r>
      <w:r>
        <w:rPr>
          <w:rFonts w:ascii="宋体" w:hAnsi="宋体" w:hint="eastAsia"/>
          <w:szCs w:val="21"/>
        </w:rPr>
        <w:t>交货</w:t>
      </w:r>
      <w:r>
        <w:rPr>
          <w:rFonts w:ascii="宋体" w:hAnsi="宋体" w:hint="eastAsia"/>
          <w:szCs w:val="21"/>
          <w:lang w:eastAsia="zh-CN"/>
        </w:rPr>
        <w:t>、</w:t>
      </w:r>
      <w:r>
        <w:rPr>
          <w:rFonts w:ascii="宋体" w:hAnsi="宋体" w:hint="eastAsia"/>
          <w:szCs w:val="21"/>
        </w:rPr>
        <w:t>安装调试并具备验收条件。</w:t>
      </w:r>
    </w:p>
    <w:p>
      <w:pPr>
        <w:spacing w:line="360" w:lineRule="auto"/>
        <w:ind w:firstLine="420" w:firstLineChars="200"/>
        <w:rPr>
          <w:rFonts w:ascii="宋体" w:hAnsi="宋体" w:hint="eastAsia"/>
          <w:szCs w:val="21"/>
        </w:rPr>
      </w:pPr>
      <w:r>
        <w:rPr>
          <w:rFonts w:ascii="宋体" w:hAnsi="宋体" w:hint="eastAsia"/>
          <w:szCs w:val="21"/>
        </w:rPr>
        <w:t>六、技术服务和质保期服务要求</w:t>
      </w:r>
    </w:p>
    <w:p>
      <w:pPr>
        <w:spacing w:line="360" w:lineRule="auto"/>
        <w:ind w:firstLine="412" w:firstLineChars="196"/>
        <w:jc w:val="left"/>
        <w:rPr>
          <w:rFonts w:ascii="宋体" w:hAnsi="宋体" w:hint="eastAsia"/>
          <w:szCs w:val="21"/>
        </w:rPr>
      </w:pPr>
      <w:r>
        <w:rPr>
          <w:rFonts w:ascii="宋体" w:hAnsi="宋体" w:hint="eastAsia"/>
          <w:szCs w:val="21"/>
        </w:rPr>
        <w:t>1</w:t>
      </w:r>
      <w:r>
        <w:rPr>
          <w:rFonts w:ascii="宋体" w:hAnsi="宋体" w:hint="eastAsia"/>
          <w:szCs w:val="21"/>
          <w:lang w:val="en-US" w:eastAsia="zh-CN"/>
        </w:rPr>
        <w:t>.</w:t>
      </w:r>
      <w:r>
        <w:rPr>
          <w:rFonts w:ascii="宋体" w:hAnsi="宋体" w:hint="eastAsia"/>
          <w:szCs w:val="21"/>
        </w:rPr>
        <w:t>售后服务</w:t>
      </w:r>
    </w:p>
    <w:p>
      <w:pPr>
        <w:spacing w:line="360" w:lineRule="auto"/>
        <w:ind w:firstLine="412" w:firstLineChars="196"/>
        <w:jc w:val="left"/>
        <w:rPr>
          <w:rFonts w:ascii="宋体" w:hAnsi="宋体" w:hint="eastAsia"/>
          <w:szCs w:val="21"/>
          <w:highlight w:val="none"/>
        </w:rPr>
      </w:pPr>
      <w:r>
        <w:rPr>
          <w:rFonts w:ascii="宋体" w:hAnsi="宋体" w:hint="eastAsia"/>
          <w:szCs w:val="21"/>
          <w:highlight w:val="none"/>
        </w:rPr>
        <w:t>（1）质保期要求为各设备参数中的质保期，如果参数中没有要求，则质保期不低于3年。质保期内，须按合同条款</w:t>
      </w:r>
      <w:r>
        <w:rPr>
          <w:rFonts w:ascii="宋体" w:hAnsi="宋体" w:hint="eastAsia"/>
          <w:szCs w:val="21"/>
          <w:highlight w:val="none"/>
          <w:lang w:eastAsia="zh-CN"/>
        </w:rPr>
        <w:t>提供</w:t>
      </w:r>
      <w:r>
        <w:rPr>
          <w:rFonts w:ascii="宋体" w:hAnsi="宋体" w:hint="eastAsia"/>
          <w:szCs w:val="21"/>
          <w:highlight w:val="none"/>
        </w:rPr>
        <w:t>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1个月内，中标人应负责对设备进行一次免费全面检查，如发现潜在问题，应负责排除，保证设备正常运行。超出质保期后设备（含软件）维保费用不高于合同价的5%</w:t>
      </w:r>
      <w:r>
        <w:rPr>
          <w:rFonts w:ascii="宋体" w:hAnsi="宋体" w:hint="eastAsia"/>
          <w:szCs w:val="21"/>
          <w:highlight w:val="none"/>
          <w:lang w:eastAsia="zh-CN"/>
        </w:rPr>
        <w:t>。</w:t>
      </w:r>
    </w:p>
    <w:p>
      <w:pPr>
        <w:spacing w:line="360" w:lineRule="auto"/>
        <w:ind w:firstLine="412" w:firstLineChars="196"/>
        <w:jc w:val="left"/>
        <w:rPr>
          <w:rFonts w:ascii="宋体" w:hAnsi="宋体" w:hint="eastAsia"/>
          <w:szCs w:val="21"/>
          <w:highlight w:val="green"/>
        </w:rPr>
      </w:pPr>
      <w:r>
        <w:rPr>
          <w:rFonts w:ascii="汉仪叶叶相思体简" w:hAnsi="汉仪叶叶相思体简" w:cs="汉仪叶叶相思体简" w:hint="default"/>
          <w:szCs w:val="21"/>
          <w:highlight w:val="green"/>
          <w:lang w:val="en-US" w:eastAsia="zh-CN"/>
        </w:rPr>
        <w:t>★</w:t>
      </w:r>
      <w:r>
        <w:rPr>
          <w:rFonts w:ascii="宋体" w:hAnsi="宋体" w:hint="eastAsia"/>
          <w:szCs w:val="21"/>
          <w:highlight w:val="green"/>
        </w:rPr>
        <w:t>（2）中标人须提供常设7天×24小时热线服务和长期的免费技术支持，对采购人的服务通知，中标人在接报后2小时内响应，6小时内到达现场，24小时内处理完毕；如在检修24小时后仍无法排除故障，则中标人应在</w:t>
      </w:r>
      <w:r>
        <w:rPr>
          <w:rFonts w:ascii="宋体" w:hAnsi="宋体" w:hint="eastAsia"/>
          <w:szCs w:val="21"/>
          <w:highlight w:val="green"/>
          <w:lang w:eastAsia="zh-CN"/>
        </w:rPr>
        <w:t>4</w:t>
      </w:r>
      <w:r>
        <w:rPr>
          <w:rFonts w:ascii="宋体" w:hAnsi="宋体" w:hint="eastAsia"/>
          <w:szCs w:val="21"/>
          <w:highlight w:val="green"/>
          <w:lang w:val="en-US" w:eastAsia="zh-CN"/>
        </w:rPr>
        <w:t>8</w:t>
      </w:r>
      <w:r>
        <w:rPr>
          <w:rFonts w:ascii="宋体" w:hAnsi="宋体" w:hint="eastAsia"/>
          <w:szCs w:val="21"/>
          <w:highlight w:val="green"/>
        </w:rPr>
        <w:t>小时内提供不低于故障设备规格、型号、性能的备用设备供采购人使用，直至故障设备修复</w:t>
      </w:r>
      <w:r>
        <w:rPr>
          <w:rFonts w:ascii="宋体" w:hAnsi="宋体" w:hint="eastAsia"/>
          <w:szCs w:val="21"/>
          <w:highlight w:val="green"/>
          <w:lang w:eastAsia="zh-CN"/>
        </w:rPr>
        <w:t>。</w:t>
      </w:r>
    </w:p>
    <w:p>
      <w:pPr>
        <w:spacing w:line="360" w:lineRule="auto"/>
        <w:ind w:firstLine="412" w:firstLineChars="196"/>
        <w:jc w:val="left"/>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3</w:t>
      </w:r>
      <w:r>
        <w:rPr>
          <w:rFonts w:ascii="宋体" w:hAnsi="宋体" w:hint="eastAsia"/>
          <w:szCs w:val="21"/>
          <w:lang w:eastAsia="zh-CN"/>
        </w:rPr>
        <w:t>）</w:t>
      </w:r>
      <w:r>
        <w:rPr>
          <w:rFonts w:ascii="宋体" w:hAnsi="宋体" w:hint="eastAsia"/>
          <w:szCs w:val="21"/>
        </w:rPr>
        <w:t>定期巡检：中标人需派遣维修技术人员定期进行巡检、走访，听取客户意见，为客户解决疑难问题，指导操作人员进行正确操作和保养，质保期内定期巡视时间周期为年均</w:t>
      </w:r>
      <w:r>
        <w:rPr>
          <w:rFonts w:ascii="宋体" w:hAnsi="宋体" w:hint="eastAsia"/>
          <w:szCs w:val="21"/>
          <w:lang w:eastAsia="zh-CN"/>
        </w:rPr>
        <w:t>至少一</w:t>
      </w:r>
      <w:r>
        <w:rPr>
          <w:rFonts w:ascii="宋体" w:hAnsi="宋体" w:hint="eastAsia"/>
          <w:szCs w:val="21"/>
        </w:rPr>
        <w:t>次。</w:t>
      </w:r>
    </w:p>
    <w:p>
      <w:pPr>
        <w:spacing w:line="360" w:lineRule="auto"/>
        <w:ind w:firstLine="412" w:firstLineChars="196"/>
        <w:jc w:val="left"/>
        <w:rPr>
          <w:rFonts w:ascii="宋体" w:hAnsi="宋体" w:hint="eastAsia"/>
          <w:szCs w:val="21"/>
        </w:rPr>
      </w:pPr>
      <w:r>
        <w:rPr>
          <w:rFonts w:ascii="宋体" w:hAnsi="宋体" w:hint="eastAsia"/>
          <w:szCs w:val="21"/>
          <w:lang w:eastAsia="zh-CN"/>
        </w:rPr>
        <w:t>（</w:t>
      </w:r>
      <w:r>
        <w:rPr>
          <w:rFonts w:ascii="宋体" w:hAnsi="宋体" w:hint="eastAsia"/>
          <w:szCs w:val="21"/>
          <w:lang w:val="en-US" w:eastAsia="zh-CN"/>
        </w:rPr>
        <w:t>4</w:t>
      </w:r>
      <w:r>
        <w:rPr>
          <w:rFonts w:ascii="宋体" w:hAnsi="宋体" w:hint="eastAsia"/>
          <w:szCs w:val="21"/>
          <w:lang w:eastAsia="zh-CN"/>
        </w:rPr>
        <w:t>）</w:t>
      </w:r>
      <w:r>
        <w:rPr>
          <w:rFonts w:ascii="宋体" w:hAnsi="宋体" w:hint="eastAsia"/>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pPr>
        <w:spacing w:line="360" w:lineRule="auto"/>
        <w:ind w:firstLine="412" w:firstLineChars="196"/>
        <w:jc w:val="left"/>
        <w:rPr>
          <w:rFonts w:ascii="宋体" w:eastAsia="宋体" w:hAnsi="宋体" w:hint="eastAsia"/>
          <w:szCs w:val="21"/>
        </w:rPr>
      </w:pPr>
      <w:r>
        <w:rPr>
          <w:rFonts w:ascii="宋体" w:hAnsi="宋体" w:hint="eastAsia"/>
          <w:szCs w:val="21"/>
        </w:rPr>
        <w:t>（</w:t>
      </w:r>
      <w:r>
        <w:rPr>
          <w:rFonts w:ascii="宋体" w:hAnsi="宋体" w:hint="eastAsia"/>
          <w:szCs w:val="21"/>
          <w:lang w:val="en-US" w:eastAsia="zh-CN"/>
        </w:rPr>
        <w:t>5</w:t>
      </w:r>
      <w:r>
        <w:rPr>
          <w:rFonts w:ascii="宋体" w:hAnsi="宋体" w:hint="eastAsia"/>
          <w:szCs w:val="21"/>
        </w:rPr>
        <w:t>）售后服务内容包括但不限于日常技术咨询、设备使用咨询、设备故障解决、备件更换</w:t>
      </w:r>
      <w:r>
        <w:rPr>
          <w:rFonts w:ascii="宋体" w:hAnsi="宋体" w:hint="eastAsia"/>
          <w:szCs w:val="21"/>
          <w:lang w:eastAsia="zh-CN"/>
        </w:rPr>
        <w:t>。</w:t>
      </w:r>
      <w:r>
        <w:rPr>
          <w:rFonts w:ascii="宋体" w:hAnsi="宋体" w:hint="eastAsia"/>
          <w:szCs w:val="21"/>
        </w:rPr>
        <w:t>中标人必须承诺提供长期的咨询和技术支持服务</w:t>
      </w:r>
      <w:r>
        <w:rPr>
          <w:rFonts w:ascii="宋体" w:hAnsi="宋体" w:hint="eastAsia"/>
          <w:szCs w:val="21"/>
          <w:lang w:eastAsia="zh-CN"/>
        </w:rPr>
        <w:t>。</w:t>
      </w:r>
    </w:p>
    <w:p>
      <w:pPr>
        <w:spacing w:line="360" w:lineRule="auto"/>
        <w:ind w:firstLine="412" w:firstLineChars="196"/>
        <w:jc w:val="left"/>
        <w:rPr>
          <w:rFonts w:ascii="宋体" w:hAnsi="宋体" w:hint="eastAsia"/>
          <w:szCs w:val="21"/>
        </w:rPr>
      </w:pPr>
      <w:r>
        <w:rPr>
          <w:rFonts w:ascii="宋体" w:hAnsi="宋体" w:hint="eastAsia"/>
          <w:szCs w:val="21"/>
        </w:rPr>
        <w:t>2</w:t>
      </w:r>
      <w:r>
        <w:rPr>
          <w:rFonts w:ascii="宋体" w:hAnsi="宋体" w:hint="eastAsia"/>
          <w:szCs w:val="21"/>
          <w:lang w:val="en-US" w:eastAsia="zh-CN"/>
        </w:rPr>
        <w:t>.</w:t>
      </w:r>
      <w:r>
        <w:rPr>
          <w:rFonts w:ascii="宋体" w:hAnsi="宋体" w:hint="eastAsia"/>
          <w:szCs w:val="21"/>
        </w:rPr>
        <w:t>培训</w:t>
      </w:r>
    </w:p>
    <w:p>
      <w:pPr>
        <w:spacing w:line="360" w:lineRule="auto"/>
        <w:ind w:firstLine="412" w:firstLineChars="196"/>
        <w:jc w:val="left"/>
        <w:rPr>
          <w:rFonts w:ascii="宋体" w:hAnsi="宋体" w:hint="eastAsia"/>
          <w:szCs w:val="21"/>
        </w:rPr>
      </w:pPr>
      <w:r>
        <w:rPr>
          <w:rFonts w:ascii="宋体" w:hAnsi="宋体" w:hint="eastAsia"/>
          <w:szCs w:val="21"/>
        </w:rPr>
        <w:t>对相关人员进行培训，确保能够熟练掌握新装备使用和操作技能。培训以操作使用说明书为教材，分使用方法、操作程序、简易故障排除、保管保养方法以及使用注意事项等内容进行现场培训。</w:t>
      </w:r>
    </w:p>
    <w:p>
      <w:pPr>
        <w:spacing w:line="360" w:lineRule="auto"/>
        <w:ind w:firstLine="412" w:firstLineChars="196"/>
        <w:jc w:val="left"/>
        <w:rPr>
          <w:rFonts w:ascii="宋体" w:hAnsi="宋体" w:hint="eastAsia"/>
          <w:szCs w:val="21"/>
        </w:rPr>
      </w:pPr>
      <w:r>
        <w:rPr>
          <w:rFonts w:ascii="宋体" w:hAnsi="宋体" w:hint="eastAsia"/>
          <w:szCs w:val="21"/>
        </w:rPr>
        <w:t>安装完成后，在现场对指定的操作人员在操作、保养和维护方面进行培训，培训时间2～4小时。</w:t>
      </w:r>
    </w:p>
    <w:p>
      <w:pPr>
        <w:spacing w:line="360" w:lineRule="auto"/>
        <w:ind w:firstLine="412" w:firstLineChars="196"/>
        <w:jc w:val="left"/>
        <w:rPr>
          <w:rFonts w:ascii="宋体" w:hAnsi="宋体" w:hint="eastAsia"/>
          <w:szCs w:val="21"/>
        </w:rPr>
      </w:pPr>
      <w:r>
        <w:rPr>
          <w:rFonts w:ascii="宋体" w:hAnsi="宋体" w:hint="eastAsia"/>
          <w:szCs w:val="21"/>
        </w:rPr>
        <w:t>现场培训目标：让作业人员掌握设备的基本组成，性能以及功能；能熟练的操作，进行正常的日常维护，排除一般技术故障。</w:t>
      </w:r>
    </w:p>
    <w:p>
      <w:pPr>
        <w:spacing w:line="360" w:lineRule="auto"/>
        <w:ind w:firstLine="412" w:firstLineChars="196"/>
        <w:jc w:val="left"/>
        <w:rPr>
          <w:rFonts w:ascii="宋体" w:hAnsi="宋体" w:hint="eastAsia"/>
          <w:szCs w:val="21"/>
        </w:rPr>
      </w:pPr>
      <w:r>
        <w:rPr>
          <w:rFonts w:ascii="宋体" w:hAnsi="宋体" w:hint="eastAsia"/>
          <w:szCs w:val="21"/>
        </w:rPr>
        <w:t>培训结束后，由专业技术人员对操作人员进行实地考核，对考核不合格者继续进行培训，直至达到合格为止。</w:t>
      </w:r>
    </w:p>
    <w:p>
      <w:pPr>
        <w:spacing w:line="360" w:lineRule="auto"/>
        <w:ind w:firstLine="412" w:firstLineChars="196"/>
        <w:jc w:val="left"/>
        <w:rPr>
          <w:rFonts w:ascii="宋体" w:hAnsi="宋体" w:hint="eastAsia"/>
          <w:szCs w:val="21"/>
        </w:rPr>
      </w:pPr>
      <w:r>
        <w:rPr>
          <w:rFonts w:ascii="宋体" w:hAnsi="宋体" w:hint="eastAsia"/>
          <w:szCs w:val="21"/>
        </w:rPr>
        <w:t>3</w:t>
      </w:r>
      <w:r>
        <w:rPr>
          <w:rFonts w:ascii="宋体" w:hAnsi="宋体" w:hint="eastAsia"/>
          <w:szCs w:val="21"/>
          <w:lang w:val="en-US" w:eastAsia="zh-CN"/>
        </w:rPr>
        <w:t>.</w:t>
      </w:r>
      <w:r>
        <w:rPr>
          <w:rFonts w:ascii="宋体" w:hAnsi="宋体" w:hint="eastAsia"/>
          <w:szCs w:val="21"/>
        </w:rPr>
        <w:t>验收</w:t>
      </w:r>
    </w:p>
    <w:p>
      <w:pPr>
        <w:spacing w:line="360" w:lineRule="auto"/>
        <w:ind w:firstLine="420" w:firstLineChars="200"/>
        <w:rPr>
          <w:rFonts w:ascii="宋体" w:hAnsi="宋体" w:hint="eastAsia"/>
          <w:szCs w:val="21"/>
        </w:rPr>
      </w:pPr>
      <w:r>
        <w:rPr>
          <w:rFonts w:ascii="宋体" w:hAnsi="宋体" w:hint="eastAsia"/>
          <w:szCs w:val="21"/>
        </w:rPr>
        <w:t>验收程序：设备全部到场后由采购人组织进行货物进场验收，进场验收通过后，中标人进行安装调试工作，安装调试完毕后，由采购人组织进行合同验收；合同验收合格后进入试运行期，根据试运行情况组织进行业务验收。</w:t>
      </w:r>
    </w:p>
    <w:p>
      <w:pPr>
        <w:spacing w:line="360" w:lineRule="auto"/>
        <w:ind w:firstLine="420" w:firstLineChars="200"/>
        <w:rPr>
          <w:rFonts w:ascii="宋体" w:hAnsi="宋体" w:hint="eastAsia"/>
          <w:szCs w:val="21"/>
        </w:rPr>
      </w:pPr>
      <w:r>
        <w:rPr>
          <w:rFonts w:ascii="宋体" w:hAnsi="宋体" w:hint="eastAsia"/>
          <w:szCs w:val="21"/>
        </w:rPr>
        <w:t>设备进场验收</w:t>
      </w:r>
    </w:p>
    <w:p>
      <w:pPr>
        <w:spacing w:line="360" w:lineRule="auto"/>
        <w:ind w:firstLine="420" w:firstLineChars="200"/>
        <w:rPr>
          <w:rFonts w:ascii="宋体" w:hAnsi="宋体" w:hint="eastAsia"/>
          <w:szCs w:val="21"/>
        </w:rPr>
      </w:pPr>
      <w:r>
        <w:rPr>
          <w:rFonts w:ascii="宋体" w:hAnsi="宋体" w:hint="eastAsia"/>
          <w:szCs w:val="21"/>
        </w:rPr>
        <w:t>设备到货验收前，中标人应提供材料设备清单、设备原厂证明、产品合格证、材料自检证明、报关单（若有）等资料。</w:t>
      </w:r>
    </w:p>
    <w:p>
      <w:pPr>
        <w:spacing w:line="360" w:lineRule="auto"/>
        <w:ind w:firstLine="420" w:firstLineChars="200"/>
        <w:rPr>
          <w:rFonts w:ascii="宋体" w:hAnsi="宋体" w:hint="eastAsia"/>
          <w:szCs w:val="21"/>
        </w:rPr>
      </w:pPr>
      <w:r>
        <w:rPr>
          <w:rFonts w:ascii="宋体" w:hAnsi="宋体" w:hint="eastAsia"/>
          <w:szCs w:val="21"/>
        </w:rPr>
        <w:t>设备全部到货后，由采购人或者采购人委托的监理组织到货检验。</w:t>
      </w:r>
    </w:p>
    <w:p>
      <w:pPr>
        <w:spacing w:line="360" w:lineRule="auto"/>
        <w:ind w:firstLine="420" w:firstLineChars="200"/>
        <w:rPr>
          <w:rFonts w:ascii="宋体" w:hAnsi="宋体" w:hint="eastAsia"/>
          <w:szCs w:val="21"/>
        </w:rPr>
      </w:pPr>
      <w:r>
        <w:rPr>
          <w:rFonts w:ascii="宋体" w:hAnsi="宋体" w:hint="eastAsia"/>
          <w:szCs w:val="21"/>
        </w:rPr>
        <w:t>如设备测试中发现设备性能指标或功能上不符合公开招标文件和合同要求时，将被看作性能不合格，采购人有权拒收。</w:t>
      </w:r>
    </w:p>
    <w:p>
      <w:pPr>
        <w:spacing w:line="360" w:lineRule="auto"/>
        <w:ind w:firstLine="420" w:firstLineChars="200"/>
        <w:rPr>
          <w:rFonts w:ascii="宋体" w:hAnsi="宋体" w:hint="eastAsia"/>
          <w:szCs w:val="21"/>
        </w:rPr>
      </w:pPr>
      <w:r>
        <w:rPr>
          <w:rFonts w:ascii="宋体" w:hAnsi="宋体" w:hint="eastAsia"/>
          <w:szCs w:val="21"/>
        </w:rPr>
        <w:t>到货检验需要采购人或监理工程师在到货检验报告上签署意见，由采购方最后签字认可。</w:t>
      </w:r>
    </w:p>
    <w:p>
      <w:pPr>
        <w:spacing w:line="360" w:lineRule="auto"/>
        <w:ind w:firstLine="420" w:firstLineChars="200"/>
        <w:rPr>
          <w:rFonts w:ascii="宋体" w:hAnsi="宋体" w:hint="eastAsia"/>
          <w:szCs w:val="21"/>
        </w:rPr>
      </w:pPr>
      <w:r>
        <w:rPr>
          <w:rFonts w:ascii="宋体" w:hAnsi="宋体" w:hint="eastAsia"/>
          <w:szCs w:val="21"/>
        </w:rPr>
        <w:t>合同验收</w:t>
      </w:r>
    </w:p>
    <w:p>
      <w:pPr>
        <w:spacing w:line="360" w:lineRule="auto"/>
        <w:ind w:firstLine="420" w:firstLineChars="200"/>
        <w:rPr>
          <w:rFonts w:ascii="宋体" w:hAnsi="宋体" w:hint="eastAsia"/>
          <w:szCs w:val="21"/>
        </w:rPr>
      </w:pPr>
      <w:r>
        <w:rPr>
          <w:rFonts w:ascii="宋体" w:hAnsi="宋体" w:hint="eastAsia"/>
          <w:szCs w:val="21"/>
        </w:rPr>
        <w:t>采购人将按照政府采购合同规定的技术、服务、安全标准组织对投标人履约情况进行验收并出具验收书。验收书应当包括每一项技术、服务、安全标准的履约情况。所有验收结果经双方确认后，双方代表必须按规定的验收交接单上的项目对照本合同填好验收结果并签名盖章。</w:t>
      </w:r>
    </w:p>
    <w:p>
      <w:pPr>
        <w:spacing w:line="360" w:lineRule="auto"/>
        <w:ind w:firstLine="420" w:firstLineChars="200"/>
        <w:rPr>
          <w:rFonts w:ascii="宋体" w:hAnsi="宋体" w:hint="eastAsia"/>
          <w:szCs w:val="21"/>
        </w:rPr>
      </w:pPr>
      <w:r>
        <w:rPr>
          <w:rFonts w:ascii="宋体" w:hAnsi="宋体" w:hint="eastAsia"/>
          <w:szCs w:val="21"/>
        </w:rPr>
        <w:t>试运行</w:t>
      </w:r>
    </w:p>
    <w:p>
      <w:pPr>
        <w:spacing w:line="360" w:lineRule="auto"/>
        <w:ind w:firstLine="420" w:firstLineChars="200"/>
        <w:rPr>
          <w:rFonts w:ascii="宋体" w:hAnsi="宋体" w:hint="eastAsia"/>
          <w:szCs w:val="21"/>
        </w:rPr>
      </w:pPr>
      <w:r>
        <w:rPr>
          <w:rFonts w:ascii="宋体" w:hAnsi="宋体" w:hint="eastAsia"/>
          <w:szCs w:val="21"/>
        </w:rPr>
        <w:t>完成设备安装调试后，中标人应对货物的整体性能和功能进行自检，自检结果必须符合招标文件要求及合同中的相关条款，自检合格后，中标人应向采购人提交自检记录和试运行记录（试运行</w:t>
      </w:r>
      <w:r>
        <w:rPr>
          <w:rFonts w:ascii="宋体" w:hAnsi="宋体" w:hint="eastAsia"/>
          <w:szCs w:val="21"/>
          <w:lang w:val="en-US" w:eastAsia="zh-CN"/>
        </w:rPr>
        <w:t>2</w:t>
      </w:r>
      <w:r>
        <w:rPr>
          <w:rFonts w:ascii="宋体" w:hAnsi="宋体" w:hint="eastAsia"/>
          <w:szCs w:val="21"/>
          <w:lang w:eastAsia="zh-CN"/>
        </w:rPr>
        <w:t>个月</w:t>
      </w:r>
      <w:r>
        <w:rPr>
          <w:rFonts w:ascii="宋体" w:hAnsi="宋体" w:hint="eastAsia"/>
          <w:szCs w:val="21"/>
        </w:rPr>
        <w:t>），并提出验收申请。经采购人同意后，采购人和中标人共同进行设备的验收。</w:t>
      </w:r>
    </w:p>
    <w:p>
      <w:pPr>
        <w:spacing w:line="360" w:lineRule="auto"/>
        <w:ind w:firstLine="420" w:firstLineChars="200"/>
        <w:rPr>
          <w:rFonts w:ascii="宋体" w:hAnsi="宋体" w:hint="eastAsia"/>
          <w:szCs w:val="21"/>
        </w:rPr>
      </w:pPr>
      <w:r>
        <w:rPr>
          <w:rFonts w:ascii="宋体" w:hAnsi="宋体" w:hint="eastAsia"/>
          <w:szCs w:val="21"/>
        </w:rPr>
        <w:t>业务验收</w:t>
      </w:r>
    </w:p>
    <w:p>
      <w:pPr>
        <w:spacing w:line="360" w:lineRule="auto"/>
        <w:ind w:firstLine="420" w:firstLineChars="200"/>
        <w:rPr>
          <w:rFonts w:ascii="宋体" w:hAnsi="宋体" w:hint="eastAsia"/>
          <w:szCs w:val="21"/>
        </w:rPr>
      </w:pPr>
      <w:r>
        <w:rPr>
          <w:rFonts w:ascii="宋体" w:hAnsi="宋体" w:hint="eastAsia"/>
          <w:szCs w:val="21"/>
        </w:rPr>
        <w:t>开展业务试运行后，根据试运行情况开展业务验收。验收按照甲方的内部规定操作。通过验收后，需要乙方、甲方双方在验收报告上签字盖章，签字盖章后视为验收通过。</w:t>
      </w:r>
    </w:p>
    <w:p>
      <w:pPr>
        <w:spacing w:line="360" w:lineRule="auto"/>
        <w:ind w:firstLine="420" w:firstLineChars="200"/>
        <w:rPr>
          <w:rFonts w:ascii="宋体" w:hAnsi="宋体" w:hint="eastAsia"/>
          <w:szCs w:val="21"/>
        </w:rPr>
      </w:pPr>
      <w:r>
        <w:rPr>
          <w:rFonts w:ascii="宋体" w:hAnsi="宋体" w:hint="eastAsia"/>
          <w:szCs w:val="21"/>
        </w:rPr>
        <w:t>在验收期间，如果设备出现重大问题，中标人应在1个工作日内解决该问题，中标人应对所有设备和配套工程负全部责任。</w:t>
      </w:r>
    </w:p>
    <w:p>
      <w:pPr>
        <w:spacing w:line="360" w:lineRule="auto"/>
        <w:ind w:firstLine="420" w:firstLineChars="200"/>
        <w:rPr>
          <w:rFonts w:ascii="宋体" w:hAnsi="宋体" w:hint="eastAsia"/>
          <w:szCs w:val="21"/>
        </w:rPr>
      </w:pPr>
      <w:r>
        <w:rPr>
          <w:rFonts w:ascii="宋体" w:hAnsi="宋体" w:hint="eastAsia"/>
          <w:szCs w:val="21"/>
        </w:rPr>
        <w:t>所有设备的修改和调整都应在验收结束后写入操作和维修手册中，中标人应给出修复的全部细节。</w:t>
      </w:r>
    </w:p>
    <w:p>
      <w:pPr>
        <w:spacing w:line="360" w:lineRule="auto"/>
        <w:ind w:firstLine="420" w:firstLineChars="200"/>
        <w:rPr>
          <w:rFonts w:ascii="宋体" w:hAnsi="宋体" w:hint="eastAsia"/>
          <w:szCs w:val="21"/>
        </w:rPr>
      </w:pPr>
      <w:r>
        <w:rPr>
          <w:rFonts w:ascii="宋体" w:hAnsi="宋体" w:hint="eastAsia"/>
          <w:szCs w:val="21"/>
        </w:rPr>
        <w:t>中标人提供第三方测试机构出具的测试报告，且符合与项目相关的现行技术要求。</w:t>
      </w:r>
    </w:p>
    <w:p>
      <w:pPr>
        <w:spacing w:line="360" w:lineRule="auto"/>
        <w:ind w:firstLine="420" w:firstLineChars="200"/>
        <w:rPr>
          <w:rFonts w:ascii="宋体" w:hAnsi="宋体" w:hint="eastAsia"/>
          <w:szCs w:val="21"/>
        </w:rPr>
      </w:pPr>
      <w:r>
        <w:rPr>
          <w:rFonts w:ascii="宋体" w:hAnsi="宋体" w:hint="eastAsia"/>
          <w:szCs w:val="21"/>
        </w:rPr>
        <w:t>中标人提供约定的备件、用户手册、维修手册，软件安装光盘及使用手册，日常维修工具等。</w:t>
      </w:r>
    </w:p>
    <w:p>
      <w:pPr>
        <w:spacing w:line="360" w:lineRule="auto"/>
        <w:ind w:firstLine="420" w:firstLineChars="200"/>
        <w:rPr>
          <w:rFonts w:ascii="宋体" w:hAnsi="宋体" w:hint="eastAsia"/>
          <w:szCs w:val="21"/>
        </w:rPr>
      </w:pPr>
      <w:r>
        <w:rPr>
          <w:rFonts w:ascii="宋体" w:hAnsi="宋体" w:hint="eastAsia"/>
          <w:szCs w:val="21"/>
        </w:rPr>
        <w:t>验收按照采购人的内部规定操作。通过验收后，需要中标人、采购人双方在验收报告上签字盖章，签字盖章后视为验收通过。</w:t>
      </w:r>
    </w:p>
    <w:p>
      <w:pPr>
        <w:spacing w:line="360" w:lineRule="auto"/>
        <w:ind w:firstLine="420" w:firstLineChars="200"/>
        <w:jc w:val="left"/>
        <w:rPr>
          <w:rFonts w:ascii="宋体" w:hAnsi="宋体" w:hint="eastAsia"/>
          <w:szCs w:val="21"/>
        </w:rPr>
      </w:pPr>
      <w:r>
        <w:rPr>
          <w:rFonts w:ascii="宋体" w:hAnsi="宋体" w:hint="eastAsia"/>
          <w:szCs w:val="21"/>
        </w:rPr>
        <w:t>验收过程中，若发现货物质量有问题，投标人应无条件免费更换，并无条件重新检测并调试直至验收合格交付采购人使用。在此期间，投标人在采购人现场进行安装、调试、试运行直至初验收所发生的一切费用由投标人承担且已含在报价总价中。</w:t>
      </w:r>
    </w:p>
    <w:p>
      <w:pPr>
        <w:spacing w:line="360" w:lineRule="auto"/>
        <w:jc w:val="both"/>
        <w:rPr>
          <w:rFonts w:ascii="宋体" w:hAnsi="宋体" w:hint="eastAsia"/>
          <w:szCs w:val="21"/>
        </w:rPr>
      </w:pPr>
    </w:p>
    <w:p>
      <w:pPr>
        <w:spacing w:line="360" w:lineRule="auto"/>
        <w:ind w:firstLine="0" w:firstLineChars="0"/>
        <w:rPr>
          <w:rFonts w:ascii="宋体" w:hAnsi="宋体" w:hint="eastAsia"/>
          <w:szCs w:val="21"/>
        </w:rPr>
      </w:pPr>
      <w:r>
        <w:rPr>
          <w:rFonts w:ascii="宋体" w:eastAsia="宋体" w:hAnsi="宋体" w:cs="Times New Roman" w:hint="eastAsia"/>
          <w:szCs w:val="21"/>
        </w:rPr>
        <w:t xml:space="preserve">第七章 采购需求 </w:t>
      </w:r>
      <w:r>
        <w:rPr>
          <w:rFonts w:ascii="宋体" w:hAnsi="宋体" w:hint="eastAsia"/>
          <w:szCs w:val="21"/>
        </w:rPr>
        <w:t>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47"/>
        <w:gridCol w:w="4028"/>
        <w:gridCol w:w="734"/>
        <w:gridCol w:w="1020"/>
        <w:gridCol w:w="1164"/>
        <w:gridCol w:w="734"/>
        <w:gridCol w:w="43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107" w:name="货物一览表_index"/>
            <w:r>
              <w:rPr>
                <w:rFonts w:asciiTheme="minorEastAsia" w:eastAsiaTheme="minorEastAsia" w:hAnsiTheme="minorEastAsia" w:cstheme="minorEastAsia" w:hint="eastAsia"/>
                <w:kern w:val="0"/>
                <w:szCs w:val="21"/>
              </w:rPr>
              <w:t>序号</w:t>
            </w:r>
            <w:bookmarkEnd w:id="107"/>
          </w:p>
        </w:tc>
        <w:tc>
          <w:tcPr>
            <w:tcW w:w="1135" w:type="dxa"/>
          </w:tcPr>
          <w:p>
            <w:pPr>
              <w:autoSpaceDE w:val="0"/>
              <w:jc w:val="center"/>
              <w:rPr>
                <w:rFonts w:asciiTheme="minorEastAsia" w:hAnsiTheme="minorEastAsia" w:cstheme="minorEastAsia"/>
                <w:kern w:val="0"/>
                <w:szCs w:val="21"/>
              </w:rPr>
            </w:pPr>
            <w:bookmarkStart w:id="108" w:name="货物一览表_goodsName"/>
            <w:r>
              <w:rPr>
                <w:rFonts w:asciiTheme="minorEastAsia" w:eastAsiaTheme="minorEastAsia" w:hAnsiTheme="minorEastAsia" w:cstheme="minorEastAsia" w:hint="eastAsia"/>
                <w:kern w:val="0"/>
                <w:szCs w:val="21"/>
              </w:rPr>
              <w:t>设备名称</w:t>
            </w:r>
            <w:bookmarkEnd w:id="108"/>
          </w:p>
        </w:tc>
        <w:tc>
          <w:tcPr>
            <w:tcW w:w="965" w:type="dxa"/>
          </w:tcPr>
          <w:p>
            <w:pPr>
              <w:autoSpaceDE w:val="0"/>
              <w:jc w:val="center"/>
              <w:rPr>
                <w:rFonts w:asciiTheme="minorEastAsia" w:hAnsiTheme="minorEastAsia" w:cstheme="minorEastAsia"/>
                <w:kern w:val="0"/>
                <w:szCs w:val="21"/>
              </w:rPr>
            </w:pPr>
            <w:bookmarkStart w:id="109" w:name="货物一览表_nums"/>
            <w:r>
              <w:rPr>
                <w:rFonts w:asciiTheme="minorEastAsia" w:eastAsiaTheme="minorEastAsia" w:hAnsiTheme="minorEastAsia" w:cstheme="minorEastAsia" w:hint="eastAsia"/>
                <w:kern w:val="0"/>
                <w:szCs w:val="21"/>
              </w:rPr>
              <w:t>采购数量</w:t>
            </w:r>
            <w:bookmarkEnd w:id="109"/>
          </w:p>
        </w:tc>
        <w:tc>
          <w:tcPr>
            <w:tcW w:w="1062" w:type="dxa"/>
          </w:tcPr>
          <w:p>
            <w:pPr>
              <w:autoSpaceDE w:val="0"/>
              <w:jc w:val="center"/>
              <w:rPr>
                <w:rFonts w:asciiTheme="minorEastAsia" w:hAnsiTheme="minorEastAsia" w:cstheme="minorEastAsia"/>
                <w:kern w:val="0"/>
                <w:szCs w:val="21"/>
              </w:rPr>
            </w:pPr>
            <w:bookmarkStart w:id="110" w:name="货物一览表_units"/>
            <w:r>
              <w:rPr>
                <w:rFonts w:asciiTheme="minorEastAsia" w:eastAsiaTheme="minorEastAsia" w:hAnsiTheme="minorEastAsia" w:cstheme="minorEastAsia" w:hint="eastAsia"/>
                <w:kern w:val="0"/>
                <w:szCs w:val="21"/>
              </w:rPr>
              <w:t>计量单位</w:t>
            </w:r>
            <w:bookmarkEnd w:id="110"/>
          </w:p>
        </w:tc>
        <w:tc>
          <w:tcPr>
            <w:tcW w:w="1220" w:type="dxa"/>
          </w:tcPr>
          <w:p>
            <w:pPr>
              <w:autoSpaceDE w:val="0"/>
              <w:jc w:val="center"/>
              <w:rPr>
                <w:rFonts w:asciiTheme="minorEastAsia" w:hAnsiTheme="minorEastAsia" w:cstheme="minorEastAsia"/>
                <w:kern w:val="0"/>
                <w:szCs w:val="21"/>
              </w:rPr>
            </w:pPr>
            <w:bookmarkStart w:id="111" w:name="货物一览表_procurementBudget"/>
            <w:r>
              <w:rPr>
                <w:rFonts w:asciiTheme="minorEastAsia" w:eastAsiaTheme="minorEastAsia" w:hAnsiTheme="minorEastAsia" w:cstheme="minorEastAsia" w:hint="eastAsia"/>
                <w:kern w:val="0"/>
                <w:szCs w:val="21"/>
              </w:rPr>
              <w:t>采购预算（元）</w:t>
            </w:r>
            <w:bookmarkEnd w:id="111"/>
          </w:p>
        </w:tc>
        <w:tc>
          <w:tcPr>
            <w:tcW w:w="1329" w:type="dxa"/>
          </w:tcPr>
          <w:p>
            <w:pPr>
              <w:autoSpaceDE w:val="0"/>
              <w:jc w:val="center"/>
              <w:rPr>
                <w:rFonts w:asciiTheme="minorEastAsia" w:hAnsiTheme="minorEastAsia" w:cstheme="minorEastAsia" w:hint="eastAsia"/>
                <w:kern w:val="0"/>
                <w:szCs w:val="21"/>
              </w:rPr>
            </w:pPr>
            <w:bookmarkStart w:id="112"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112"/>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113" w:name="货物一览表_remark"/>
            <w:r>
              <w:rPr>
                <w:rFonts w:asciiTheme="minorEastAsia" w:eastAsiaTheme="minorEastAsia" w:hAnsiTheme="minorEastAsia" w:cstheme="minorEastAsia" w:hint="eastAsia"/>
                <w:kern w:val="0"/>
                <w:szCs w:val="21"/>
              </w:rPr>
              <w:t>备注</w:t>
            </w:r>
            <w:bookmarkEnd w:id="113"/>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智能化烟炉</w:t>
            </w:r>
          </w:p>
        </w:tc>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4,000,000.00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火箭发射装置自动化升级改造</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68,600.00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视频记录仪</w:t>
            </w:r>
          </w:p>
        </w:tc>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30,600.00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对讲机</w:t>
            </w:r>
          </w:p>
        </w:tc>
        <w:tc>
          <w:tcPr/>
          <w:p>
            <w:pPr>
              <w:autoSpaceDE w:val="0"/>
              <w:jc w:val="center"/>
              <w:rPr>
                <w:rFonts w:asciiTheme="minorEastAsia" w:hAnsiTheme="minorEastAsia" w:cstheme="minorEastAsia"/>
                <w:kern w:val="0"/>
                <w:szCs w:val="21"/>
              </w:rPr>
            </w:pPr>
            <w:r>
              <w:t>21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42,000.00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流动作业点升级改造工程（基础设施改造）</w:t>
            </w:r>
          </w:p>
        </w:tc>
        <w:tc>
          <w:tcPr/>
          <w:p>
            <w:pPr>
              <w:autoSpaceDE w:val="0"/>
              <w:jc w:val="center"/>
              <w:rPr>
                <w:rFonts w:asciiTheme="minorEastAsia" w:hAnsiTheme="minorEastAsia" w:cstheme="minorEastAsia"/>
                <w:kern w:val="0"/>
                <w:szCs w:val="21"/>
              </w:rPr>
            </w:pPr>
            <w:r>
              <w:t>21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1,176,000.00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火箭发射装置升级作业安全监控终端</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26,000.00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应急通讯设备</w:t>
            </w:r>
          </w:p>
        </w:tc>
        <w:tc>
          <w:tcPr/>
          <w:p>
            <w:pPr>
              <w:autoSpaceDE w:val="0"/>
              <w:jc w:val="center"/>
              <w:rPr>
                <w:rFonts w:asciiTheme="minorEastAsia" w:hAnsiTheme="minorEastAsia" w:cstheme="minorEastAsia"/>
                <w:kern w:val="0"/>
                <w:szCs w:val="21"/>
              </w:rPr>
            </w:pPr>
            <w:r>
              <w:t>13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104,000.00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8</w:t>
            </w:r>
          </w:p>
        </w:tc>
        <w:tc>
          <w:tcPr/>
          <w:p>
            <w:pPr>
              <w:autoSpaceDE w:val="0"/>
              <w:jc w:val="center"/>
              <w:rPr>
                <w:rFonts w:asciiTheme="minorEastAsia" w:hAnsiTheme="minorEastAsia" w:cstheme="minorEastAsia"/>
                <w:kern w:val="0"/>
                <w:szCs w:val="21"/>
              </w:rPr>
            </w:pPr>
            <w:r>
              <w:t>作业监控设施（移动布控球）</w:t>
            </w:r>
          </w:p>
        </w:tc>
        <w:tc>
          <w:tcPr/>
          <w:p>
            <w:pPr>
              <w:autoSpaceDE w:val="0"/>
              <w:jc w:val="center"/>
              <w:rPr>
                <w:rFonts w:asciiTheme="minorEastAsia" w:hAnsiTheme="minorEastAsia" w:cstheme="minorEastAsia"/>
                <w:kern w:val="0"/>
                <w:szCs w:val="21"/>
              </w:rPr>
            </w:pPr>
            <w:r>
              <w:t>13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520,000.00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9</w:t>
            </w:r>
          </w:p>
        </w:tc>
        <w:tc>
          <w:tcPr/>
          <w:p>
            <w:pPr>
              <w:autoSpaceDE w:val="0"/>
              <w:jc w:val="center"/>
              <w:rPr>
                <w:rFonts w:asciiTheme="minorEastAsia" w:hAnsiTheme="minorEastAsia" w:cstheme="minorEastAsia"/>
                <w:kern w:val="0"/>
                <w:szCs w:val="21"/>
              </w:rPr>
            </w:pPr>
            <w:r>
              <w:t>火箭发射装置升级基于三码绑定的人影火箭发射安全锁控系统</w:t>
            </w:r>
          </w:p>
        </w:tc>
        <w:tc>
          <w:tcPr/>
          <w:p>
            <w:pPr>
              <w:autoSpaceDE w:val="0"/>
              <w:jc w:val="center"/>
              <w:rPr>
                <w:rFonts w:asciiTheme="minorEastAsia" w:hAnsiTheme="minorEastAsia" w:cstheme="minorEastAsia"/>
                <w:kern w:val="0"/>
                <w:szCs w:val="21"/>
              </w:rPr>
            </w:pPr>
            <w:r>
              <w:t>13</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130,000.00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作业人员防护装备</w:t>
            </w:r>
          </w:p>
        </w:tc>
        <w:tc>
          <w:tcPr/>
          <w:p>
            <w:pPr>
              <w:autoSpaceDE w:val="0"/>
              <w:jc w:val="center"/>
              <w:rPr>
                <w:rFonts w:asciiTheme="minorEastAsia" w:hAnsiTheme="minorEastAsia" w:cstheme="minorEastAsia"/>
                <w:kern w:val="0"/>
                <w:szCs w:val="21"/>
              </w:rPr>
            </w:pPr>
            <w:r>
              <w:t>91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846,300.00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11</w:t>
            </w:r>
          </w:p>
        </w:tc>
        <w:tc>
          <w:tcPr/>
          <w:p>
            <w:pPr>
              <w:autoSpaceDE w:val="0"/>
              <w:jc w:val="center"/>
              <w:rPr>
                <w:rFonts w:asciiTheme="minorEastAsia" w:hAnsiTheme="minorEastAsia" w:cstheme="minorEastAsia"/>
                <w:kern w:val="0"/>
                <w:szCs w:val="21"/>
              </w:rPr>
            </w:pPr>
            <w:r>
              <w:t>地面烟炉作业监控终端升级</w:t>
            </w:r>
          </w:p>
        </w:tc>
        <w:tc>
          <w:tcPr/>
          <w:p>
            <w:pPr>
              <w:autoSpaceDE w:val="0"/>
              <w:jc w:val="center"/>
              <w:rPr>
                <w:rFonts w:asciiTheme="minorEastAsia" w:hAnsiTheme="minorEastAsia" w:cstheme="minorEastAsia"/>
                <w:kern w:val="0"/>
                <w:szCs w:val="21"/>
              </w:rPr>
            </w:pPr>
            <w:r>
              <w:t>22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220,000.00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7,163,500.00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58"/>
        <w:gridCol w:w="1276"/>
        <w:gridCol w:w="3226"/>
        <w:gridCol w:w="358"/>
        <w:gridCol w:w="817"/>
        <w:gridCol w:w="681"/>
        <w:gridCol w:w="817"/>
        <w:gridCol w:w="9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114"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业务科(001043025003)</w:t>
            </w:r>
          </w:p>
        </w:tc>
        <w:tc>
          <w:tcPr/>
          <w:p>
            <w:r>
              <w:t>智能化烟炉</w:t>
            </w:r>
          </w:p>
        </w:tc>
        <w:tc>
          <w:tcPr/>
          <w:p>
            <w:r>
              <w:t>10</w:t>
            </w:r>
          </w:p>
        </w:tc>
        <w:tc>
          <w:tcPr/>
          <w:p>
            <w:r>
              <w:t>4000000.00</w:t>
            </w:r>
          </w:p>
        </w:tc>
        <w:tc>
          <w:tcPr>
            <w:vMerge w:val="restart"/>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2</w:t>
            </w:r>
          </w:p>
        </w:tc>
        <w:tc>
          <w:tcPr>
            <w:vMerge/>
          </w:tcPr>
          <w:p>
            <w:r>
              <w:t>福建省漳州市气象局(001043025003)</w:t>
            </w:r>
          </w:p>
        </w:tc>
        <w:tc>
          <w:tcPr/>
          <w:p>
            <w:r>
              <w:t>作业人员防护装备</w:t>
            </w:r>
          </w:p>
        </w:tc>
        <w:tc>
          <w:tcPr/>
          <w:p>
            <w:r>
              <w:t>91</w:t>
            </w:r>
          </w:p>
        </w:tc>
        <w:tc>
          <w:tcPr/>
          <w:p>
            <w:r>
              <w:t>846300.00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3</w:t>
            </w:r>
          </w:p>
        </w:tc>
        <w:tc>
          <w:tcPr>
            <w:vMerge/>
          </w:tcPr>
          <w:p>
            <w:r>
              <w:t>福建省漳州市气象局(001043025003)</w:t>
            </w:r>
          </w:p>
        </w:tc>
        <w:tc>
          <w:tcPr/>
          <w:p>
            <w:r>
              <w:t>作业监控设施（移动布控球）</w:t>
            </w:r>
          </w:p>
        </w:tc>
        <w:tc>
          <w:tcPr/>
          <w:p>
            <w:r>
              <w:t>13</w:t>
            </w:r>
          </w:p>
        </w:tc>
        <w:tc>
          <w:tcPr/>
          <w:p>
            <w:r>
              <w:t>520000.00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4</w:t>
            </w:r>
          </w:p>
        </w:tc>
        <w:tc>
          <w:tcPr>
            <w:vMerge/>
          </w:tcPr>
          <w:p>
            <w:r>
              <w:t>福建省漳州市气象局(001043025003)</w:t>
            </w:r>
          </w:p>
        </w:tc>
        <w:tc>
          <w:tcPr/>
          <w:p>
            <w:r>
              <w:t>地面烟炉作业监控终端升级</w:t>
            </w:r>
          </w:p>
        </w:tc>
        <w:tc>
          <w:tcPr/>
          <w:p>
            <w:r>
              <w:t>22</w:t>
            </w:r>
          </w:p>
        </w:tc>
        <w:tc>
          <w:tcPr/>
          <w:p>
            <w:r>
              <w:t>220000.00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5</w:t>
            </w:r>
          </w:p>
        </w:tc>
        <w:tc>
          <w:tcPr>
            <w:vMerge/>
          </w:tcPr>
          <w:p>
            <w:r>
              <w:t>福建省漳州市气象局(001043025003)</w:t>
            </w:r>
          </w:p>
        </w:tc>
        <w:tc>
          <w:tcPr/>
          <w:p>
            <w:r>
              <w:t>对讲机</w:t>
            </w:r>
          </w:p>
        </w:tc>
        <w:tc>
          <w:tcPr/>
          <w:p>
            <w:r>
              <w:t>21</w:t>
            </w:r>
          </w:p>
        </w:tc>
        <w:tc>
          <w:tcPr/>
          <w:p>
            <w:r>
              <w:t>42000.00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6</w:t>
            </w:r>
          </w:p>
        </w:tc>
        <w:tc>
          <w:tcPr>
            <w:vMerge/>
          </w:tcPr>
          <w:p>
            <w:r>
              <w:t>福建省漳州市气象局(001043025003)</w:t>
            </w:r>
          </w:p>
        </w:tc>
        <w:tc>
          <w:tcPr/>
          <w:p>
            <w:r>
              <w:t>应急通讯设备</w:t>
            </w:r>
          </w:p>
        </w:tc>
        <w:tc>
          <w:tcPr/>
          <w:p>
            <w:r>
              <w:t>13</w:t>
            </w:r>
          </w:p>
        </w:tc>
        <w:tc>
          <w:tcPr/>
          <w:p>
            <w:r>
              <w:t>104000.00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7</w:t>
            </w:r>
          </w:p>
        </w:tc>
        <w:tc>
          <w:tcPr>
            <w:vMerge/>
          </w:tcPr>
          <w:p>
            <w:r>
              <w:t>福建省漳州市气象局(001043025003)</w:t>
            </w:r>
          </w:p>
        </w:tc>
        <w:tc>
          <w:tcPr/>
          <w:p>
            <w:r>
              <w:t>流动作业点升级改造工程（基础设施改造）</w:t>
            </w:r>
          </w:p>
        </w:tc>
        <w:tc>
          <w:tcPr/>
          <w:p>
            <w:r>
              <w:t>21</w:t>
            </w:r>
          </w:p>
        </w:tc>
        <w:tc>
          <w:tcPr/>
          <w:p>
            <w:r>
              <w:t>1176000.00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8</w:t>
            </w:r>
          </w:p>
        </w:tc>
        <w:tc>
          <w:tcPr>
            <w:vMerge/>
          </w:tcPr>
          <w:p>
            <w:r>
              <w:t>福建省漳州市气象局(001043025003)</w:t>
            </w:r>
          </w:p>
        </w:tc>
        <w:tc>
          <w:tcPr/>
          <w:p>
            <w:r>
              <w:t>火箭发射装置升级作业安全监控终端</w:t>
            </w:r>
          </w:p>
        </w:tc>
        <w:tc>
          <w:tcPr/>
          <w:p>
            <w:r>
              <w:t>2</w:t>
            </w:r>
          </w:p>
        </w:tc>
        <w:tc>
          <w:tcPr/>
          <w:p>
            <w:r>
              <w:t>26000.00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9</w:t>
            </w:r>
          </w:p>
        </w:tc>
        <w:tc>
          <w:tcPr>
            <w:vMerge/>
          </w:tcPr>
          <w:p>
            <w:r>
              <w:t>福建省漳州市气象局(001043025003)</w:t>
            </w:r>
          </w:p>
        </w:tc>
        <w:tc>
          <w:tcPr/>
          <w:p>
            <w:r>
              <w:t>火箭发射装置升级基于三码绑定的人影火箭发射安全锁控系统</w:t>
            </w:r>
          </w:p>
        </w:tc>
        <w:tc>
          <w:tcPr/>
          <w:p>
            <w:r>
              <w:t>13</w:t>
            </w:r>
          </w:p>
        </w:tc>
        <w:tc>
          <w:tcPr/>
          <w:p>
            <w:r>
              <w:t>130000.00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10</w:t>
            </w:r>
          </w:p>
        </w:tc>
        <w:tc>
          <w:tcPr>
            <w:vMerge/>
          </w:tcPr>
          <w:p>
            <w:r>
              <w:t>福建省漳州市气象局(001043025003)</w:t>
            </w:r>
          </w:p>
        </w:tc>
        <w:tc>
          <w:tcPr/>
          <w:p>
            <w:r>
              <w:t>火箭发射装置自动化升级改造</w:t>
            </w:r>
          </w:p>
        </w:tc>
        <w:tc>
          <w:tcPr/>
          <w:p>
            <w:r>
              <w:t>1</w:t>
            </w:r>
          </w:p>
        </w:tc>
        <w:tc>
          <w:tcPr/>
          <w:p>
            <w:r>
              <w:t>68600.00</w:t>
            </w:r>
          </w:p>
        </w:tc>
        <w:tc>
          <w:tcPr>
            <w:vMerge/>
          </w:tcPr>
          <w:p>
            <w:r>
              <w:t xml:space="preserve">7163500.00  </w:t>
            </w:r>
          </w:p>
        </w:tc>
        <w:tc>
          <w:tcPr/>
          <w:p>
            <w:r>
              <w:t>福建省漳州市</w:t>
            </w:r>
          </w:p>
        </w:tc>
        <w:tc>
          <w:tcPr/>
          <w:p>
            <w:r>
              <w:t>小杨13960158163</w:t>
            </w:r>
          </w:p>
        </w:tc>
      </w:tr>
      <w:tr>
        <w:tblPrEx>
          <w:tblW w:w="5000" w:type="pct"/>
          <w:tblCellMar>
            <w:left w:w="108" w:type="dxa"/>
            <w:right w:w="108" w:type="dxa"/>
          </w:tblCellMar>
        </w:tblPrEx>
        <w:tc>
          <w:tcPr/>
          <w:p>
            <w:r>
              <w:t>11</w:t>
            </w:r>
          </w:p>
        </w:tc>
        <w:tc>
          <w:tcPr>
            <w:vMerge/>
          </w:tcPr>
          <w:p>
            <w:r>
              <w:t>福建省漳州市气象局(001043025003)</w:t>
            </w:r>
          </w:p>
        </w:tc>
        <w:tc>
          <w:tcPr/>
          <w:p>
            <w:r>
              <w:t>视频记录仪</w:t>
            </w:r>
          </w:p>
        </w:tc>
        <w:tc>
          <w:tcPr/>
          <w:p>
            <w:r>
              <w:t>6</w:t>
            </w:r>
          </w:p>
        </w:tc>
        <w:tc>
          <w:tcPr/>
          <w:p>
            <w:r>
              <w:t>30600.00</w:t>
            </w:r>
          </w:p>
        </w:tc>
        <w:tc>
          <w:tcPr>
            <w:vMerge/>
          </w:tcPr>
          <w:p>
            <w:r>
              <w:t xml:space="preserve">7163500.00  </w:t>
            </w:r>
          </w:p>
        </w:tc>
        <w:tc>
          <w:tcPr/>
          <w:p>
            <w:r>
              <w:t>福建省漳州市</w:t>
            </w:r>
          </w:p>
        </w:tc>
        <w:tc>
          <w:tcPr/>
          <w:p>
            <w:r>
              <w:t>小杨13960158163</w:t>
            </w:r>
          </w:p>
        </w:tc>
      </w:tr>
    </w:tbl>
    <w:p w:rsidR="00A77B3E"/>
    <w:p>
      <w:pPr>
        <w:spacing w:line="360" w:lineRule="auto"/>
        <w:rPr>
          <w:rFonts w:ascii="宋体" w:hAnsi="宋体"/>
          <w:szCs w:val="21"/>
        </w:rPr>
      </w:pPr>
      <w:bookmarkEnd w:id="114"/>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hint="eastAsia"/>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115"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hint="eastAsia"/>
                <w:sz w:val="18"/>
                <w:szCs w:val="18"/>
              </w:rPr>
            </w:pPr>
          </w:p>
        </w:tc>
        <w:tc>
          <w:tcPr>
            <w:tcW w:w="898" w:type="dxa"/>
            <w:vAlign w:val="center"/>
          </w:tcPr>
          <w:p>
            <w:pPr>
              <w:jc w:val="center"/>
              <w:rPr>
                <w:rFonts w:ascii="宋体" w:hAnsi="宋体" w:hint="eastAsia"/>
                <w:sz w:val="18"/>
                <w:szCs w:val="18"/>
              </w:rPr>
            </w:pPr>
          </w:p>
        </w:tc>
        <w:tc>
          <w:tcPr>
            <w:tcW w:w="7347" w:type="dxa"/>
          </w:tcPr>
          <w:p>
            <w:pPr>
              <w:tabs>
                <w:tab w:val="left" w:pos="709"/>
              </w:tabs>
              <w:spacing w:line="360" w:lineRule="auto"/>
              <w:jc w:val="left"/>
              <w:rPr>
                <w:rFonts w:ascii="宋体" w:hAnsi="宋体" w:cs="微软雅黑" w:hint="eastAsia"/>
                <w:b/>
                <w:color w:val="0000FF"/>
                <w:kern w:val="0"/>
                <w:sz w:val="18"/>
                <w:szCs w:val="18"/>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hint="eastAsia"/>
                <w:sz w:val="18"/>
                <w:szCs w:val="18"/>
              </w:rPr>
            </w:pPr>
          </w:p>
        </w:tc>
        <w:tc>
          <w:tcPr>
            <w:tcW w:w="898" w:type="dxa"/>
            <w:vAlign w:val="center"/>
          </w:tcPr>
          <w:p>
            <w:pPr>
              <w:jc w:val="center"/>
              <w:rPr>
                <w:rFonts w:ascii="宋体" w:hAnsi="宋体" w:hint="default"/>
                <w:sz w:val="18"/>
                <w:szCs w:val="18"/>
              </w:rPr>
            </w:pPr>
            <w:r>
              <w:rPr>
                <w:rFonts w:ascii="宋体" w:hAnsi="宋体" w:hint="eastAsia"/>
                <w:sz w:val="18"/>
                <w:szCs w:val="18"/>
                <w:lang w:val="en-US" w:eastAsia="zh-CN"/>
              </w:rPr>
              <w:t>6.1.2</w:t>
            </w:r>
          </w:p>
        </w:tc>
        <w:tc>
          <w:tcPr>
            <w:tcW w:w="7347" w:type="dxa"/>
            <w:vAlign w:val="center"/>
          </w:tcPr>
          <w:p>
            <w:pPr>
              <w:tabs>
                <w:tab w:val="left" w:pos="709"/>
              </w:tabs>
              <w:spacing w:line="360" w:lineRule="auto"/>
              <w:jc w:val="left"/>
              <w:rPr>
                <w:rFonts w:ascii="宋体" w:hAnsi="宋体" w:cs="微软雅黑" w:hint="eastAsia"/>
                <w:b w:val="0"/>
                <w:bCs/>
                <w:color w:val="auto"/>
                <w:kern w:val="0"/>
                <w:sz w:val="18"/>
                <w:szCs w:val="18"/>
              </w:rPr>
            </w:pPr>
            <w:r>
              <w:rPr>
                <w:rFonts w:ascii="宋体" w:hAnsi="宋体" w:cs="微软雅黑" w:hint="eastAsia"/>
                <w:bCs/>
                <w:color w:val="auto"/>
                <w:kern w:val="0"/>
                <w:sz w:val="18"/>
                <w:szCs w:val="18"/>
              </w:rPr>
              <w:t>★</w:t>
            </w:r>
            <w:r>
              <w:rPr>
                <w:rFonts w:ascii="宋体" w:hAnsi="宋体" w:cs="微软雅黑" w:hint="eastAsia"/>
                <w:bCs/>
                <w:color w:val="auto"/>
                <w:kern w:val="0"/>
                <w:sz w:val="18"/>
                <w:szCs w:val="18"/>
                <w:lang w:eastAsia="zh-CN"/>
              </w:rPr>
              <w:t>（</w:t>
            </w:r>
            <w:r>
              <w:rPr>
                <w:rFonts w:ascii="宋体" w:hAnsi="宋体" w:cs="微软雅黑" w:hint="eastAsia"/>
                <w:bCs/>
                <w:color w:val="auto"/>
                <w:kern w:val="0"/>
                <w:sz w:val="18"/>
                <w:szCs w:val="18"/>
                <w:lang w:val="en-US" w:eastAsia="zh-CN"/>
              </w:rPr>
              <w:t>2</w:t>
            </w:r>
            <w:r>
              <w:rPr>
                <w:rFonts w:ascii="宋体" w:hAnsi="宋体" w:cs="微软雅黑" w:hint="eastAsia"/>
                <w:bCs/>
                <w:color w:val="auto"/>
                <w:kern w:val="0"/>
                <w:sz w:val="18"/>
                <w:szCs w:val="18"/>
                <w:lang w:eastAsia="zh-CN"/>
              </w:rPr>
              <w:t>）</w:t>
            </w:r>
            <w:r>
              <w:rPr>
                <w:rFonts w:ascii="宋体" w:hAnsi="宋体" w:cs="微软雅黑" w:hint="eastAsia"/>
                <w:bCs/>
                <w:color w:val="auto"/>
                <w:kern w:val="0"/>
                <w:sz w:val="18"/>
                <w:szCs w:val="18"/>
                <w:highlight w:val="none"/>
              </w:rPr>
              <w:t>中标</w:t>
            </w:r>
            <w:r>
              <w:rPr>
                <w:rFonts w:ascii="宋体" w:hAnsi="宋体" w:cs="微软雅黑" w:hint="eastAsia"/>
                <w:bCs/>
                <w:color w:val="auto"/>
                <w:kern w:val="0"/>
                <w:sz w:val="18"/>
                <w:szCs w:val="18"/>
              </w:rPr>
              <w:t>人须提供常设7天×24小时热线服务和长期的免费技术支持，对采购人的服务通知，中标人在接报后2小时内响应，6小时内到达现场，24小时内处理完毕；如在检修24小时后仍无法排除故障，则中标人应在48小时内提供不低于故障设备规格、型号、性能的备用设备供采购人使用，直至故障设备修复。</w:t>
            </w:r>
            <w:r>
              <w:rPr>
                <w:rFonts w:ascii="宋体" w:hAnsi="宋体" w:cs="微软雅黑" w:hint="eastAsia"/>
                <w:bCs/>
                <w:color w:val="auto"/>
                <w:kern w:val="0"/>
                <w:sz w:val="18"/>
                <w:szCs w:val="18"/>
              </w:rPr>
              <w:t>投标人需对提供本项售后服务进行承诺，并加盖投标人公章。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11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11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11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117"/>
    <w:p>
      <w:pPr>
        <w:pStyle w:val="Heading2"/>
        <w:numPr>
          <w:ilvl w:val="0"/>
          <w:numId w:val="0"/>
        </w:numPr>
        <w:adjustRightInd w:val="0"/>
        <w:snapToGrid w:val="0"/>
        <w:spacing w:line="400" w:lineRule="exact"/>
        <w:jc w:val="center"/>
        <w:rPr>
          <w:rFonts w:ascii="黑体" w:hAnsi="华文中宋" w:hint="eastAsia"/>
          <w:b w:val="0"/>
          <w:bCs w:val="0"/>
          <w:sz w:val="28"/>
          <w:szCs w:val="28"/>
        </w:rPr>
      </w:pPr>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p>
    <w:p>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r>
      <w:r>
        <w:rPr>
          <w:rFonts w:ascii="宋体" w:hAnsi="宋体" w:hint="eastAsia"/>
          <w:szCs w:val="21"/>
        </w:rPr>
        <w:t xml:space="preserve">                                   文件约定的合同甲方）</w:t>
      </w:r>
    </w:p>
    <w:p>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pPr>
        <w:spacing w:line="400" w:lineRule="exact"/>
      </w:pPr>
    </w:p>
    <w:p>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p>
    <w:p>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hint="eastAsia"/>
        </w:rPr>
        <w:t>□</w:t>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hint="eastAsia"/>
        </w:rPr>
        <w:t>□</w:t>
      </w:r>
      <w:r>
        <w:rPr>
          <w:rFonts w:ascii="宋体" w:eastAsia="宋体" w:hAnsi="宋体" w:cs="宋体" w:hint="eastAsia"/>
          <w:sz w:val="21"/>
        </w:rPr>
        <w:t>否</w:t>
      </w:r>
    </w:p>
    <w:p>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hint="eastAsia"/>
        </w:rPr>
        <w:t>□</w:t>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hint="eastAsia"/>
        </w:rPr>
        <w:t>□</w:t>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hint="eastAsia"/>
        </w:rPr>
        <w:t>□</w:t>
      </w:r>
      <w:r>
        <w:rPr>
          <w:rFonts w:ascii="宋体" w:eastAsia="宋体" w:hAnsi="宋体" w:cs="宋体" w:hint="eastAsia"/>
          <w:sz w:val="21"/>
        </w:rPr>
        <w:t>分散采购</w:t>
      </w:r>
    </w:p>
    <w:p>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hint="eastAsia"/>
        </w:rPr>
        <w:t>□</w:t>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hint="eastAsia"/>
        </w:rPr>
        <w:t>□</w:t>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hint="eastAsia"/>
        </w:rPr>
        <w:t>□</w:t>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hint="eastAsia"/>
        </w:rPr>
        <w:t>□</w:t>
      </w:r>
      <w:r>
        <w:rPr>
          <w:rFonts w:ascii="宋体" w:eastAsia="宋体" w:hAnsi="宋体" w:cs="宋体" w:hint="eastAsia"/>
          <w:sz w:val="21"/>
        </w:rPr>
        <w:t>竞争性磋商</w:t>
      </w:r>
    </w:p>
    <w:p>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hint="eastAsia"/>
        </w:rPr>
        <w:t>□</w:t>
      </w:r>
      <w:r>
        <w:rPr>
          <w:rFonts w:ascii="宋体" w:eastAsia="宋体" w:hAnsi="宋体" w:cs="宋体" w:hint="eastAsia"/>
          <w:sz w:val="21"/>
        </w:rPr>
        <w:t xml:space="preserve">询价 </w:t>
      </w:r>
      <w:r>
        <w:rPr>
          <w:rFonts w:ascii="Wingdings" w:eastAsia="宋体" w:hAnsi="Wingdings" w:cs="宋体"/>
          <w:sz w:val="21"/>
        </w:rPr>
        <w:sym w:font="Wingdings" w:char="F0A8"/>
      </w:r>
      <w:r>
        <w:rPr>
          <w:rFonts w:hint="eastAsia"/>
        </w:rPr>
        <w:t>□</w:t>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hint="eastAsia"/>
        </w:rPr>
        <w:t>□</w:t>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hint="eastAsia"/>
        </w:rPr>
        <w:t>□</w:t>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hint="eastAsia"/>
        </w:rPr>
        <w:t>□</w:t>
      </w:r>
      <w:r>
        <w:rPr>
          <w:rFonts w:ascii="宋体" w:eastAsia="宋体" w:hAnsi="宋体" w:cs="Times New Roman" w:hint="eastAsia"/>
          <w:kern w:val="2"/>
          <w:sz w:val="21"/>
        </w:rPr>
        <w:t>否</w:t>
      </w:r>
    </w:p>
    <w:p>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hint="eastAsia"/>
        </w:rPr>
        <w:t>□</w:t>
      </w:r>
      <w:r>
        <w:rPr>
          <w:rFonts w:ascii="宋体" w:hAnsi="宋体" w:hint="eastAsia"/>
          <w:iCs/>
          <w:szCs w:val="21"/>
        </w:rPr>
        <w:t xml:space="preserve">是    </w:t>
      </w:r>
      <w:r>
        <w:rPr>
          <w:rFonts w:hint="eastAsia"/>
        </w:rPr>
        <w:t>□</w:t>
      </w:r>
      <w:r>
        <w:rPr>
          <w:rFonts w:ascii="宋体" w:hAnsi="宋体" w:hint="eastAsia"/>
          <w:iCs/>
          <w:szCs w:val="21"/>
        </w:rPr>
        <w:t>否</w:t>
      </w:r>
    </w:p>
    <w:p>
      <w:pPr>
        <w:adjustRightInd w:val="0"/>
        <w:snapToGrid w:val="0"/>
        <w:spacing w:line="400" w:lineRule="exact"/>
        <w:rPr>
          <w:rFonts w:ascii="宋体" w:hAnsi="宋体" w:hint="eastAsia"/>
          <w:iCs/>
          <w:szCs w:val="21"/>
        </w:rPr>
      </w:pPr>
      <w:r>
        <w:rPr>
          <w:rFonts w:hint="eastAsia"/>
        </w:rPr>
        <w:t xml:space="preserve">         若本项目不专门面向中小企业采购，是否给予小微企业评审优惠：□</w:t>
      </w:r>
      <w:r>
        <w:rPr>
          <w:rFonts w:ascii="宋体" w:hAnsi="宋体" w:hint="eastAsia"/>
          <w:iCs/>
          <w:szCs w:val="21"/>
        </w:rPr>
        <w:t xml:space="preserve">是   </w:t>
      </w:r>
      <w:r>
        <w:rPr>
          <w:rFonts w:ascii="Wingdings" w:hAnsi="Wingdings"/>
          <w:iCs/>
          <w:szCs w:val="21"/>
        </w:rPr>
        <w:sym w:font="Wingdings" w:char="F0A8"/>
      </w:r>
      <w:r>
        <w:rPr>
          <w:rFonts w:hint="eastAsia"/>
        </w:rPr>
        <w:t>□</w:t>
      </w:r>
      <w:r>
        <w:rPr>
          <w:rFonts w:ascii="宋体" w:hAnsi="宋体" w:hint="eastAsia"/>
          <w:iCs/>
          <w:szCs w:val="21"/>
        </w:rPr>
        <w:t>否</w:t>
      </w:r>
    </w:p>
    <w:p>
      <w:pPr>
        <w:adjustRightInd w:val="0"/>
        <w:snapToGrid w:val="0"/>
        <w:spacing w:line="400" w:lineRule="exact"/>
        <w:rPr>
          <w:rFonts w:ascii="宋体" w:hAnsi="宋体" w:hint="eastAsia"/>
          <w:iCs/>
          <w:szCs w:val="21"/>
        </w:rPr>
      </w:pPr>
      <w:r>
        <w:rPr>
          <w:rFonts w:hint="eastAsia"/>
        </w:rPr>
        <w:t xml:space="preserve">         中标（成交）采购标的制造商是否为残疾人福利性单位：</w:t>
      </w:r>
      <w:r>
        <w:rPr>
          <w:rFonts w:ascii="Wingdings" w:hAnsi="Wingdings"/>
          <w:iCs/>
          <w:szCs w:val="21"/>
        </w:rPr>
        <w:sym w:font="Wingdings" w:char="F0A8"/>
      </w:r>
      <w:r>
        <w:rPr>
          <w:rFonts w:hint="eastAsia"/>
        </w:rPr>
        <w:t>□</w:t>
      </w:r>
      <w:r>
        <w:rPr>
          <w:rFonts w:ascii="宋体" w:hAnsi="宋体" w:hint="eastAsia"/>
          <w:iCs/>
          <w:szCs w:val="21"/>
        </w:rPr>
        <w:t xml:space="preserve">是   </w:t>
      </w:r>
      <w:r>
        <w:rPr>
          <w:rFonts w:ascii="Wingdings" w:hAnsi="Wingdings"/>
          <w:iCs/>
          <w:szCs w:val="21"/>
        </w:rPr>
        <w:sym w:font="Wingdings" w:char="F0A8"/>
      </w:r>
      <w:r>
        <w:rPr>
          <w:rFonts w:hint="eastAsia"/>
        </w:rPr>
        <w:t>□</w:t>
      </w:r>
      <w:r>
        <w:rPr>
          <w:rFonts w:ascii="宋体" w:hAnsi="宋体" w:hint="eastAsia"/>
          <w:iCs/>
          <w:szCs w:val="21"/>
        </w:rPr>
        <w:t>否</w:t>
      </w:r>
    </w:p>
    <w:p>
      <w:pPr>
        <w:snapToGrid w:val="0"/>
        <w:spacing w:line="400" w:lineRule="exact"/>
      </w:pPr>
      <w:r>
        <w:rPr>
          <w:rFonts w:hint="eastAsia"/>
        </w:rPr>
        <w:t xml:space="preserve">         中标（成交）采购标的制造商是否为监狱企业：</w:t>
      </w:r>
      <w:r>
        <w:rPr>
          <w:rFonts w:ascii="Wingdings" w:hAnsi="Wingdings"/>
          <w:iCs/>
          <w:szCs w:val="21"/>
        </w:rPr>
        <w:sym w:font="Wingdings" w:char="F0A8"/>
      </w:r>
      <w:r>
        <w:rPr>
          <w:rFonts w:hint="eastAsia"/>
        </w:rPr>
        <w:t>□</w:t>
      </w:r>
      <w:r>
        <w:rPr>
          <w:rFonts w:ascii="宋体" w:hAnsi="宋体" w:hint="eastAsia"/>
          <w:iCs/>
          <w:szCs w:val="21"/>
        </w:rPr>
        <w:t xml:space="preserve">是       </w:t>
      </w:r>
      <w:r>
        <w:rPr>
          <w:rFonts w:ascii="Wingdings" w:hAnsi="Wingdings"/>
          <w:iCs/>
          <w:szCs w:val="21"/>
        </w:rPr>
        <w:sym w:font="Wingdings" w:char="F0A8"/>
      </w:r>
      <w:r>
        <w:rPr>
          <w:rFonts w:hint="eastAsia"/>
        </w:rPr>
        <w:t>□</w:t>
      </w:r>
      <w:r>
        <w:rPr>
          <w:rFonts w:ascii="宋体" w:hAnsi="宋体" w:hint="eastAsia"/>
          <w:iCs/>
          <w:szCs w:val="21"/>
        </w:rPr>
        <w:t>否</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hint="eastAsia"/>
        </w:rPr>
        <w:t>□</w:t>
      </w:r>
      <w:r>
        <w:rPr>
          <w:rFonts w:ascii="宋体" w:hAnsi="宋体" w:hint="eastAsia"/>
          <w:iCs/>
          <w:szCs w:val="21"/>
        </w:rPr>
        <w:t xml:space="preserve">是       </w:t>
      </w:r>
      <w:r>
        <w:rPr>
          <w:rFonts w:ascii="Wingdings" w:hAnsi="Wingdings"/>
          <w:iCs/>
          <w:szCs w:val="21"/>
        </w:rPr>
        <w:sym w:font="Wingdings" w:char="F0A8"/>
      </w:r>
      <w:r>
        <w:rPr>
          <w:rFonts w:hint="eastAsia"/>
        </w:rPr>
        <w:t>□</w:t>
      </w:r>
      <w:r>
        <w:rPr>
          <w:rFonts w:ascii="宋体" w:hAnsi="宋体" w:hint="eastAsia"/>
          <w:iCs/>
          <w:szCs w:val="21"/>
        </w:rPr>
        <w:t>否</w:t>
      </w:r>
    </w:p>
    <w:p>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hint="eastAsia"/>
        </w:rPr>
        <w:t>□</w:t>
      </w:r>
      <w:r>
        <w:rPr>
          <w:rFonts w:ascii="宋体" w:hAnsi="宋体" w:hint="eastAsia"/>
          <w:iCs/>
          <w:szCs w:val="21"/>
        </w:rPr>
        <w:t xml:space="preserve">大型企业  </w:t>
      </w:r>
      <w:r>
        <w:rPr>
          <w:rFonts w:ascii="Wingdings" w:hAnsi="Wingdings"/>
          <w:iCs/>
          <w:szCs w:val="21"/>
        </w:rPr>
        <w:sym w:font="Wingdings" w:char="F0A8"/>
      </w:r>
      <w:r>
        <w:rPr>
          <w:rFonts w:hint="eastAsia"/>
        </w:rPr>
        <w:t>□</w:t>
      </w:r>
      <w:r>
        <w:rPr>
          <w:rFonts w:ascii="宋体" w:hAnsi="宋体" w:hint="eastAsia"/>
          <w:iCs/>
          <w:szCs w:val="21"/>
        </w:rPr>
        <w:t xml:space="preserve">中型企业  </w:t>
      </w:r>
      <w:r>
        <w:rPr>
          <w:rFonts w:ascii="Wingdings" w:hAnsi="Wingdings"/>
          <w:iCs/>
          <w:szCs w:val="21"/>
        </w:rPr>
        <w:sym w:font="Wingdings" w:char="F0A8"/>
      </w:r>
      <w:r>
        <w:rPr>
          <w:rFonts w:hint="eastAsia"/>
        </w:rPr>
        <w:t>□</w:t>
      </w:r>
      <w:r>
        <w:rPr>
          <w:rFonts w:ascii="宋体" w:hAnsi="宋体" w:hint="eastAsia"/>
          <w:iCs/>
          <w:szCs w:val="21"/>
        </w:rPr>
        <w:t xml:space="preserve">小微型企业  </w:t>
      </w:r>
    </w:p>
    <w:p>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hint="eastAsia"/>
        </w:rPr>
        <w:t>□</w:t>
      </w:r>
      <w:r>
        <w:rPr>
          <w:rFonts w:ascii="宋体" w:hAnsi="宋体" w:hint="eastAsia"/>
          <w:iCs/>
          <w:szCs w:val="21"/>
        </w:rPr>
        <w:t xml:space="preserve">残疾人福利性单位 </w:t>
      </w:r>
      <w:r>
        <w:rPr>
          <w:rFonts w:ascii="Wingdings" w:hAnsi="Wingdings"/>
          <w:iCs/>
          <w:szCs w:val="21"/>
        </w:rPr>
        <w:sym w:font="Wingdings" w:char="F0A8"/>
      </w:r>
      <w:r>
        <w:rPr>
          <w:rFonts w:hint="eastAsia"/>
        </w:rPr>
        <w:t>□</w:t>
      </w:r>
      <w:r>
        <w:rPr>
          <w:rFonts w:ascii="宋体" w:hAnsi="宋体" w:hint="eastAsia"/>
          <w:iCs/>
          <w:szCs w:val="21"/>
        </w:rPr>
        <w:t xml:space="preserve">监狱企业 </w:t>
      </w:r>
      <w:r>
        <w:rPr>
          <w:rFonts w:ascii="Wingdings" w:hAnsi="Wingdings"/>
          <w:iCs/>
          <w:szCs w:val="21"/>
        </w:rPr>
        <w:sym w:font="Wingdings" w:char="F0A8"/>
      </w:r>
      <w:r>
        <w:rPr>
          <w:rFonts w:hint="eastAsia"/>
        </w:rPr>
        <w:t>□</w:t>
      </w:r>
      <w:r>
        <w:rPr>
          <w:rFonts w:ascii="宋体" w:hAnsi="宋体" w:hint="eastAsia"/>
          <w:iCs/>
          <w:szCs w:val="21"/>
        </w:rPr>
        <w:t>其他</w:t>
      </w:r>
    </w:p>
    <w:p>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hint="eastAsia"/>
        </w:rPr>
        <w:t>□</w:t>
      </w:r>
      <w:r>
        <w:rPr>
          <w:rFonts w:ascii="宋体" w:hAnsi="宋体" w:cs="宋体" w:hint="eastAsia"/>
          <w:iCs/>
          <w:szCs w:val="21"/>
        </w:rPr>
        <w:t xml:space="preserve">是       </w:t>
      </w:r>
      <w:r>
        <w:rPr>
          <w:rFonts w:ascii="Wingdings" w:hAnsi="Wingdings" w:cs="宋体"/>
          <w:iCs/>
          <w:szCs w:val="21"/>
        </w:rPr>
        <w:sym w:font="Wingdings" w:char="F0A8"/>
      </w:r>
      <w:r>
        <w:rPr>
          <w:rFonts w:hint="eastAsia"/>
        </w:rPr>
        <w:t>□</w:t>
      </w:r>
      <w:r>
        <w:rPr>
          <w:rFonts w:ascii="宋体" w:hAnsi="宋体" w:cs="宋体" w:hint="eastAsia"/>
          <w:iCs/>
          <w:szCs w:val="21"/>
        </w:rPr>
        <w:t>否</w:t>
      </w:r>
    </w:p>
    <w:p>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hint="eastAsia"/>
        </w:rPr>
        <w:t>□</w:t>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hint="eastAsia"/>
        </w:rPr>
        <w:t>□</w:t>
      </w:r>
      <w:r>
        <w:rPr>
          <w:rFonts w:ascii="宋体" w:eastAsia="宋体" w:hAnsi="宋体" w:cs="宋体" w:hint="eastAsia"/>
          <w:iCs/>
          <w:sz w:val="21"/>
        </w:rPr>
        <w:t>部分由外国投资者投资</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hint="eastAsia"/>
        </w:rPr>
        <w:t>□</w:t>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hint="eastAsia"/>
        </w:rPr>
        <w:t>□</w:t>
      </w:r>
      <w:r>
        <w:rPr>
          <w:rFonts w:ascii="宋体" w:hAnsi="宋体" w:hint="eastAsia"/>
          <w:szCs w:val="21"/>
        </w:rPr>
        <w:t>否</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hint="eastAsia"/>
        </w:rPr>
        <w:t>□</w:t>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hint="eastAsia"/>
        </w:rPr>
        <w:t>□</w:t>
      </w:r>
      <w:r>
        <w:rPr>
          <w:rFonts w:ascii="宋体" w:hAnsi="宋体" w:hint="eastAsia"/>
          <w:szCs w:val="21"/>
        </w:rPr>
        <w:t>否</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hint="eastAsia"/>
        </w:rPr>
        <w:t>□</w:t>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hint="eastAsia"/>
        </w:rPr>
        <w:t>□</w:t>
      </w:r>
      <w:r>
        <w:rPr>
          <w:rFonts w:ascii="宋体" w:hAnsi="宋体" w:hint="eastAsia"/>
          <w:szCs w:val="21"/>
        </w:rPr>
        <w:t>否</w:t>
      </w:r>
    </w:p>
    <w:p>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hAnsi="宋体" w:hint="eastAsia"/>
          <w:sz w:val="21"/>
          <w:lang w:val="en-US" w:eastAsia="zh-CN"/>
        </w:rPr>
        <w:t xml:space="preserve"> </w:t>
      </w:r>
      <w:r>
        <w:rPr>
          <w:rFonts w:ascii="宋体" w:eastAsia="宋体" w:hAnsi="宋体" w:cs="Times New Roman" w:hint="eastAsia"/>
          <w:kern w:val="2"/>
          <w:sz w:val="21"/>
        </w:rPr>
        <w:t xml:space="preserve">是否涉及绿色产品： </w:t>
      </w:r>
    </w:p>
    <w:p>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hint="eastAsia"/>
        </w:rPr>
        <w:t>□</w:t>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hint="eastAsia"/>
        </w:rPr>
        <w:t>□</w:t>
      </w:r>
      <w:r>
        <w:rPr>
          <w:rFonts w:ascii="宋体" w:eastAsia="宋体" w:hAnsi="宋体" w:cs="Times New Roman" w:hint="eastAsia"/>
          <w:kern w:val="2"/>
          <w:sz w:val="21"/>
        </w:rPr>
        <w:t>否</w:t>
      </w:r>
    </w:p>
    <w:p>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Wingdings" w:hAnsi="Wingdings" w:hint="eastAsia"/>
          <w:szCs w:val="21"/>
          <w:lang w:val="en-US" w:eastAsia="zh-CN"/>
        </w:rPr>
        <w:t xml:space="preserve"> </w:t>
      </w:r>
      <w:r>
        <w:rPr>
          <w:rFonts w:hint="eastAsia"/>
        </w:rPr>
        <w:t>□</w:t>
      </w:r>
      <w:r>
        <w:rPr>
          <w:rFonts w:ascii="宋体" w:hAnsi="宋体" w:hint="eastAsia"/>
          <w:szCs w:val="21"/>
        </w:rPr>
        <w:t xml:space="preserve">是       </w:t>
      </w:r>
      <w:r>
        <w:rPr>
          <w:rFonts w:ascii="Wingdings" w:hAnsi="Wingdings"/>
          <w:szCs w:val="21"/>
        </w:rPr>
        <w:sym w:font="Wingdings" w:char="F0A8"/>
      </w:r>
      <w:r>
        <w:rPr>
          <w:rFonts w:hint="eastAsia"/>
        </w:rPr>
        <w:t>□</w:t>
      </w:r>
      <w:r>
        <w:rPr>
          <w:rFonts w:ascii="宋体" w:hAnsi="宋体" w:hint="eastAsia"/>
          <w:szCs w:val="21"/>
        </w:rPr>
        <w:t xml:space="preserve">否      </w:t>
      </w:r>
      <w:r>
        <w:rPr>
          <w:rFonts w:ascii="Wingdings" w:hAnsi="Wingdings"/>
          <w:szCs w:val="21"/>
        </w:rPr>
        <w:sym w:font="Wingdings" w:char="F0A8"/>
      </w:r>
      <w:r>
        <w:rPr>
          <w:rFonts w:hint="eastAsia"/>
        </w:rPr>
        <w:t>□</w:t>
      </w:r>
      <w:r>
        <w:rPr>
          <w:rFonts w:ascii="宋体" w:hAnsi="宋体" w:hint="eastAsia"/>
          <w:szCs w:val="21"/>
        </w:rPr>
        <w:t>不涉及</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FE"/>
      </w:r>
      <w:r>
        <w:rPr>
          <w:rFonts w:hint="eastAsia"/>
          <w:lang w:eastAsia="zh-CN"/>
        </w:rPr>
        <w:t>☑</w:t>
      </w:r>
      <w:r>
        <w:rPr>
          <w:rFonts w:ascii="宋体" w:hAnsi="宋体" w:hint="eastAsia"/>
          <w:iCs/>
          <w:szCs w:val="21"/>
        </w:rPr>
        <w:t xml:space="preserve">固定总价 </w:t>
      </w:r>
      <w:r>
        <w:rPr>
          <w:rFonts w:ascii="Wingdings" w:hAnsi="Wingdings"/>
          <w:iCs/>
          <w:szCs w:val="21"/>
        </w:rPr>
        <w:sym w:font="Wingdings" w:char="F0A8"/>
      </w:r>
      <w:r>
        <w:rPr>
          <w:rFonts w:hint="eastAsia"/>
        </w:rPr>
        <w:t>□</w:t>
      </w:r>
      <w:r>
        <w:rPr>
          <w:rFonts w:ascii="宋体" w:hAnsi="宋体" w:hint="eastAsia"/>
          <w:iCs/>
          <w:szCs w:val="21"/>
        </w:rPr>
        <w:t xml:space="preserve">固定单价 </w:t>
      </w:r>
      <w:r>
        <w:rPr>
          <w:rFonts w:ascii="Wingdings" w:hAnsi="Wingdings"/>
          <w:iCs/>
          <w:szCs w:val="21"/>
        </w:rPr>
        <w:sym w:font="Wingdings" w:char="F0A8"/>
      </w:r>
      <w:r>
        <w:rPr>
          <w:rFonts w:hint="eastAsia"/>
        </w:rPr>
        <w:t>□</w:t>
      </w:r>
      <w:r>
        <w:rPr>
          <w:rFonts w:ascii="宋体" w:hAnsi="宋体" w:hint="eastAsia"/>
          <w:iCs/>
          <w:szCs w:val="21"/>
        </w:rPr>
        <w:t xml:space="preserve">固定费率 </w:t>
      </w:r>
      <w:r>
        <w:rPr>
          <w:rFonts w:ascii="Wingdings" w:hAnsi="Wingdings"/>
          <w:iCs/>
          <w:szCs w:val="21"/>
        </w:rPr>
        <w:sym w:font="Wingdings" w:char="F0A8"/>
      </w:r>
      <w:r>
        <w:rPr>
          <w:rFonts w:hint="eastAsia"/>
        </w:rPr>
        <w:t>□</w:t>
      </w:r>
      <w:r>
        <w:rPr>
          <w:rFonts w:ascii="宋体" w:hAnsi="宋体" w:hint="eastAsia"/>
          <w:iCs/>
          <w:szCs w:val="21"/>
        </w:rPr>
        <w:t xml:space="preserve">成本补偿 </w:t>
      </w:r>
      <w:r>
        <w:rPr>
          <w:rFonts w:ascii="Wingdings" w:hAnsi="Wingdings"/>
          <w:iCs/>
          <w:szCs w:val="21"/>
        </w:rPr>
        <w:sym w:font="Wingdings" w:char="F0A8"/>
      </w:r>
      <w:r>
        <w:rPr>
          <w:rFonts w:hint="eastAsia"/>
        </w:rPr>
        <w:t>□</w:t>
      </w:r>
      <w:r>
        <w:rPr>
          <w:rFonts w:ascii="宋体" w:hAnsi="宋体" w:hint="eastAsia"/>
          <w:iCs/>
          <w:szCs w:val="21"/>
        </w:rPr>
        <w:t xml:space="preserve">绩效激励 </w:t>
      </w:r>
      <w:r>
        <w:rPr>
          <w:rFonts w:ascii="Wingdings" w:hAnsi="Wingdings"/>
          <w:iCs/>
          <w:szCs w:val="21"/>
        </w:rPr>
        <w:sym w:font="Wingdings" w:char="F0A8"/>
      </w:r>
      <w:r>
        <w:rPr>
          <w:rFonts w:hint="eastAsia"/>
        </w:rPr>
        <w:t>□</w:t>
      </w:r>
      <w:r>
        <w:rPr>
          <w:rFonts w:ascii="宋体" w:hAnsi="宋体" w:hint="eastAsia"/>
          <w:iCs/>
          <w:szCs w:val="21"/>
        </w:rPr>
        <w:t>其他</w:t>
      </w:r>
      <w:r>
        <w:rPr>
          <w:rFonts w:ascii="宋体" w:hAnsi="宋体" w:hint="eastAsia"/>
          <w:szCs w:val="21"/>
          <w:u w:val="single"/>
        </w:rPr>
        <w:t xml:space="preserve">       </w:t>
      </w:r>
    </w:p>
    <w:p>
      <w:pPr>
        <w:pStyle w:val="12"/>
        <w:spacing w:line="400" w:lineRule="exact"/>
      </w:pPr>
      <w:r>
        <w:rPr>
          <w:rFonts w:ascii="宋体" w:hAnsi="宋体" w:hint="eastAsia"/>
        </w:rPr>
        <w:t>（3）付款方式（按项目实际勾选填写）：</w:t>
      </w:r>
    </w:p>
    <w:p>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hint="eastAsia"/>
        </w:rPr>
        <w:t>□</w:t>
      </w:r>
      <w:r>
        <w:rPr>
          <w:rFonts w:ascii="宋体" w:hAnsi="宋体" w:hint="eastAsia"/>
          <w:szCs w:val="21"/>
        </w:rPr>
        <w:t>全额付款：</w:t>
      </w:r>
      <w:r>
        <w:rPr>
          <w:rFonts w:ascii="宋体" w:hAnsi="宋体" w:hint="eastAsia"/>
          <w:szCs w:val="21"/>
          <w:u w:val="single"/>
        </w:rPr>
        <w:t xml:space="preserve">     （应明确一次性支付合同款项的条件）                    </w:t>
      </w:r>
    </w:p>
    <w:p>
      <w:pPr>
        <w:snapToGrid w:val="0"/>
        <w:spacing w:line="400" w:lineRule="exact"/>
        <w:ind w:firstLine="630" w:firstLineChars="300"/>
        <w:rPr>
          <w:rFonts w:ascii="宋体" w:hAnsi="宋体" w:hint="eastAsia"/>
          <w:szCs w:val="21"/>
        </w:rPr>
      </w:pPr>
      <w:r>
        <w:rPr>
          <w:rFonts w:ascii="Wingdings" w:hAnsi="Wingdings"/>
          <w:szCs w:val="21"/>
        </w:rPr>
        <w:sym w:font="Wingdings" w:char="F0FE"/>
      </w:r>
      <w:r>
        <w:rPr>
          <w:rFonts w:hint="eastAsia"/>
          <w:lang w:eastAsia="zh-CN"/>
        </w:rPr>
        <w:t>☑</w:t>
      </w:r>
      <w:r>
        <w:rPr>
          <w:rFonts w:ascii="宋体" w:hAnsi="宋体" w:hint="eastAsia"/>
          <w:szCs w:val="21"/>
        </w:rPr>
        <w:t>分期付款：</w:t>
      </w:r>
    </w:p>
    <w:p>
      <w:pPr>
        <w:numPr>
          <w:ilvl w:val="0"/>
          <w:numId w:val="7"/>
        </w:numPr>
        <w:snapToGrid w:val="0"/>
        <w:spacing w:line="400" w:lineRule="exact"/>
        <w:ind w:left="0" w:firstLine="420" w:leftChars="0" w:firstLineChars="200"/>
        <w:rPr>
          <w:rFonts w:ascii="宋体" w:hAnsi="宋体" w:hint="eastAsia"/>
          <w:szCs w:val="21"/>
          <w:u w:val="single"/>
        </w:rPr>
      </w:pPr>
      <w:r>
        <w:rPr>
          <w:rFonts w:ascii="宋体" w:hAnsi="宋体" w:hint="eastAsia"/>
          <w:szCs w:val="21"/>
          <w:u w:val="single"/>
        </w:rPr>
        <w:t>合同总金额为人民币                  元（大写）：          元（小写）。</w:t>
      </w:r>
    </w:p>
    <w:p>
      <w:pPr>
        <w:numPr>
          <w:ilvl w:val="0"/>
          <w:numId w:val="7"/>
        </w:numPr>
        <w:snapToGrid w:val="0"/>
        <w:spacing w:line="400" w:lineRule="exact"/>
        <w:ind w:left="0" w:firstLine="420" w:leftChars="0" w:firstLineChars="200"/>
        <w:rPr>
          <w:rFonts w:ascii="宋体" w:hAnsi="宋体" w:hint="eastAsia"/>
          <w:szCs w:val="21"/>
          <w:highlight w:val="none"/>
          <w:u w:val="single"/>
        </w:rPr>
      </w:pPr>
      <w:r>
        <w:rPr>
          <w:rFonts w:ascii="宋体" w:hAnsi="宋体" w:hint="eastAsia"/>
          <w:szCs w:val="21"/>
          <w:highlight w:val="none"/>
          <w:u w:val="single"/>
        </w:rPr>
        <w:t>合同签订后，采购人在收到中标人提供的正规、足额增值税普通发票之日起30个工作日内，向中标人支付合同总金额的60%。项目合同验收合格后，采购人在收到中标人提供的正规、足额增值税普通发票之日起30个工作日内，向中标人支付合同总金额的30%。项目业务验收合格后，采购人在收到中标人提供的正规、足额增值税普通发票之日起10个工作日内，向中标人支付合同总金额的10%。</w:t>
      </w:r>
    </w:p>
    <w:p>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hint="eastAsia"/>
        </w:rPr>
        <w:t>□</w:t>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hint="eastAsia"/>
        </w:rPr>
        <w:t>□</w:t>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r>
        <w:rPr>
          <w:rFonts w:ascii="宋体" w:hAnsi="宋体" w:cs="宋体" w:hint="eastAsia"/>
          <w:szCs w:val="21"/>
          <w:u w:val="single"/>
          <w:lang w:eastAsia="zh-CN"/>
        </w:rPr>
        <w:t>福建省漳州市内用户指定地点</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FE"/>
      </w:r>
      <w:r>
        <w:rPr>
          <w:rFonts w:hint="eastAsia"/>
          <w:lang w:eastAsia="zh-CN"/>
        </w:rPr>
        <w:t>☑</w:t>
      </w:r>
      <w:r>
        <w:rPr>
          <w:rFonts w:ascii="宋体" w:hAnsi="宋体" w:cs="宋体" w:hint="eastAsia"/>
          <w:szCs w:val="21"/>
        </w:rPr>
        <w:t xml:space="preserve">是    </w:t>
      </w:r>
      <w:r>
        <w:rPr>
          <w:rFonts w:ascii="Wingdings" w:hAnsi="Wingdings" w:cs="宋体"/>
          <w:szCs w:val="21"/>
        </w:rPr>
        <w:sym w:font="Wingdings" w:char="F0A8"/>
      </w:r>
      <w:r>
        <w:rPr>
          <w:rFonts w:hint="eastAsia"/>
        </w:rPr>
        <w:t>□</w:t>
      </w:r>
      <w:r>
        <w:rPr>
          <w:rFonts w:ascii="宋体" w:hAnsi="宋体" w:cs="宋体" w:hint="eastAsia"/>
          <w:szCs w:val="21"/>
        </w:rPr>
        <w:t>否</w:t>
      </w:r>
    </w:p>
    <w:p>
      <w:pPr>
        <w:pStyle w:val="AONormal"/>
        <w:rPr>
          <w:rFonts w:ascii="宋体" w:eastAsia="宋体" w:hAnsi="宋体" w:cs="宋体" w:hint="eastAsia"/>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中标人在签订采购合同后30日内，需以支票、汇票、本票或者金融机构、担保机构出具的保函等非现金形式向采购人缴纳合同总金额的5%作为履约保证金。                           </w:t>
      </w:r>
    </w:p>
    <w:p>
      <w:pPr>
        <w:pStyle w:val="AONormal"/>
        <w:ind w:firstLine="420"/>
        <w:rPr>
          <w:rFonts w:ascii="宋体" w:eastAsia="宋体" w:hAnsi="宋体" w:cs="宋体" w:hint="eastAsia"/>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比例为合同</w:t>
      </w:r>
      <w:r>
        <w:rPr>
          <w:rFonts w:ascii="宋体" w:eastAsia="宋体" w:hAnsi="宋体" w:cs="宋体" w:hint="eastAsia"/>
          <w:bCs/>
          <w:sz w:val="21"/>
          <w:highlight w:val="none"/>
          <w:u w:val="single"/>
          <w:lang w:eastAsia="zh-CN"/>
        </w:rPr>
        <w:t>总</w:t>
      </w:r>
      <w:r>
        <w:rPr>
          <w:rFonts w:ascii="宋体" w:eastAsia="宋体" w:hAnsi="宋体" w:cs="宋体" w:hint="eastAsia"/>
          <w:bCs/>
          <w:sz w:val="21"/>
          <w:highlight w:val="none"/>
          <w:u w:val="single"/>
        </w:rPr>
        <w:t>金额的</w:t>
      </w:r>
      <w:r>
        <w:rPr>
          <w:rFonts w:ascii="宋体" w:eastAsia="宋体" w:hAnsi="宋体" w:cs="宋体" w:hint="eastAsia"/>
          <w:bCs/>
          <w:sz w:val="21"/>
          <w:highlight w:val="none"/>
          <w:u w:val="single"/>
          <w:lang w:val="en-US" w:eastAsia="zh-CN"/>
        </w:rPr>
        <w:t>5</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eastAsia="宋体" w:hAnsi="宋体" w:cs="宋体" w:hint="default"/>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该保证金将于项目最终验收合格后至服务期满后无未了事宜，采购人无息退还。                              </w:t>
      </w:r>
      <w:r>
        <w:rPr>
          <w:rFonts w:ascii="宋体" w:hAnsi="宋体" w:cs="宋体" w:hint="eastAsia"/>
          <w:bCs/>
          <w:szCs w:val="21"/>
          <w:highlight w:val="none"/>
          <w:u w:val="single"/>
          <w:lang w:val="en-US" w:eastAsia="zh-CN"/>
        </w:rPr>
        <w:t xml:space="preserve">                                                </w:t>
      </w:r>
    </w:p>
    <w:p>
      <w:pPr>
        <w:adjustRightInd w:val="0"/>
        <w:snapToGrid w:val="0"/>
        <w:spacing w:line="400" w:lineRule="exact"/>
        <w:ind w:firstLine="420" w:firstLineChars="200"/>
        <w:rPr>
          <w:rFonts w:ascii="宋体" w:eastAsia="宋体" w:hAnsi="宋体" w:cs="宋体" w:hint="default"/>
          <w:bCs/>
          <w:szCs w:val="21"/>
        </w:rPr>
      </w:pPr>
      <w:r>
        <w:rPr>
          <w:rFonts w:ascii="宋体" w:hAnsi="宋体" w:cs="宋体" w:hint="eastAsia"/>
          <w:bCs/>
          <w:szCs w:val="21"/>
        </w:rPr>
        <w:t>（4）分期履行要求：</w:t>
      </w:r>
      <w:r>
        <w:rPr>
          <w:rFonts w:ascii="宋体" w:hAnsi="宋体" w:cs="宋体" w:hint="eastAsia"/>
          <w:bCs/>
          <w:szCs w:val="21"/>
          <w:u w:val="single"/>
        </w:rPr>
        <w:t xml:space="preserve">                                                        </w:t>
      </w:r>
      <w:r>
        <w:rPr>
          <w:rFonts w:ascii="宋体" w:hAnsi="宋体" w:cs="宋体" w:hint="eastAsia"/>
          <w:bCs/>
          <w:szCs w:val="21"/>
          <w:u w:val="single"/>
          <w:lang w:val="en-US" w:eastAsia="zh-CN"/>
        </w:rPr>
        <w:t xml:space="preserve">   </w:t>
      </w:r>
    </w:p>
    <w:p>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r>
        <w:rPr>
          <w:rFonts w:ascii="宋体" w:hAnsi="宋体" w:cs="宋体" w:hint="eastAsia"/>
          <w:szCs w:val="21"/>
          <w:u w:val="single"/>
          <w:lang w:val="en-US" w:eastAsia="zh-CN"/>
        </w:rPr>
        <w:t xml:space="preserve"> </w:t>
      </w:r>
      <w:r>
        <w:rPr>
          <w:rFonts w:ascii="宋体" w:hAnsi="宋体" w:cs="宋体" w:hint="eastAsia"/>
          <w:szCs w:val="21"/>
          <w:u w:val="single"/>
        </w:rPr>
        <w:t xml:space="preserve"> </w:t>
      </w:r>
    </w:p>
    <w:p>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w:t>
      </w:r>
      <w:r>
        <w:rPr>
          <w:rFonts w:ascii="宋体" w:hAnsi="宋体" w:cs="宋体" w:hint="eastAsia"/>
          <w:bCs/>
          <w:szCs w:val="21"/>
          <w:lang w:val="en-US" w:eastAsia="zh-CN"/>
        </w:rPr>
        <w:t>6</w:t>
      </w:r>
      <w:r>
        <w:rPr>
          <w:rFonts w:ascii="宋体" w:hAnsi="宋体" w:cs="宋体" w:hint="eastAsia"/>
          <w:bCs/>
          <w:szCs w:val="21"/>
        </w:rPr>
        <w:t>）合同签订后180天内完成交货、安装调试并具备验收条件。</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 xml:space="preserve">安装、调试 </w:t>
      </w:r>
      <w:r>
        <w:rPr>
          <w:rFonts w:ascii="宋体" w:hAnsi="宋体" w:hint="eastAsia"/>
          <w:b/>
          <w:szCs w:val="21"/>
        </w:rPr>
        <w:tab/>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（1）本项目安装调测及开通全部由中标人负责，采购人予以协助配合。</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（2）安装调测时使用的工具由中标人提供，通用工具由采购人协助解决。</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3）中标人调试前应提出完整的调试计划并经采购人确认，包括调试的内容、项目、指标、方法和进度，并提供相应的仪器和工具。中标人有责任对采购人的技术人员提出的问题作出解答。调试应进行详细记录，系统调试结束后，由中标人技术人员签字后交给采购人验收。</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（4）在安装工作开始前，中标人应提供相关的安装技术资料、规范。</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（5）在调测期间，采购人有权派出技术人员参加，中标人有义务对其进行指导。</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pPr>
        <w:numPr>
          <w:ilvl w:val="0"/>
          <w:numId w:val="8"/>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hint="eastAsia"/>
        </w:rPr>
        <w:t>□</w:t>
      </w:r>
      <w:r>
        <w:rPr>
          <w:rFonts w:ascii="宋体" w:hAnsi="宋体" w:hint="eastAsia"/>
          <w:bCs/>
          <w:szCs w:val="21"/>
        </w:rPr>
        <w:t xml:space="preserve">是  </w:t>
      </w:r>
      <w:r>
        <w:rPr>
          <w:rFonts w:hint="eastAsia"/>
        </w:rPr>
        <w:t>□</w:t>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hint="eastAsia"/>
        </w:rPr>
        <w:t>□</w:t>
      </w:r>
      <w:r>
        <w:rPr>
          <w:rFonts w:ascii="宋体" w:hAnsi="宋体" w:hint="eastAsia"/>
          <w:bCs/>
          <w:szCs w:val="21"/>
        </w:rPr>
        <w:t xml:space="preserve">是  </w:t>
      </w:r>
      <w:r>
        <w:rPr>
          <w:rFonts w:ascii="Wingdings" w:hAnsi="Wingdings" w:cs="宋体"/>
          <w:szCs w:val="21"/>
        </w:rPr>
        <w:sym w:font="Wingdings" w:char="F0A8"/>
      </w:r>
      <w:r>
        <w:rPr>
          <w:rFonts w:hint="eastAsia"/>
        </w:rPr>
        <w:t>□</w:t>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hint="eastAsia"/>
        </w:rPr>
        <w:t>□</w:t>
      </w:r>
      <w:r>
        <w:rPr>
          <w:rFonts w:ascii="宋体" w:hAnsi="宋体" w:hint="eastAsia"/>
          <w:bCs/>
          <w:szCs w:val="21"/>
        </w:rPr>
        <w:t xml:space="preserve">是  </w:t>
      </w:r>
      <w:r>
        <w:rPr>
          <w:rFonts w:ascii="Wingdings" w:hAnsi="Wingdings" w:cs="宋体"/>
          <w:szCs w:val="21"/>
        </w:rPr>
        <w:sym w:font="Wingdings" w:char="F0A8"/>
      </w:r>
      <w:r>
        <w:rPr>
          <w:rFonts w:hint="eastAsia"/>
        </w:rPr>
        <w:t>□</w:t>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hint="eastAsia"/>
        </w:rPr>
        <w:t>□</w:t>
      </w:r>
      <w:r>
        <w:rPr>
          <w:rFonts w:ascii="宋体" w:hAnsi="宋体" w:hint="eastAsia"/>
          <w:bCs/>
          <w:szCs w:val="21"/>
        </w:rPr>
        <w:t xml:space="preserve">是  </w:t>
      </w:r>
      <w:r>
        <w:rPr>
          <w:rFonts w:ascii="Wingdings" w:hAnsi="Wingdings" w:cs="宋体"/>
          <w:szCs w:val="21"/>
        </w:rPr>
        <w:sym w:font="Wingdings" w:char="F0A8"/>
      </w:r>
      <w:r>
        <w:rPr>
          <w:rFonts w:hint="eastAsia"/>
        </w:rPr>
        <w:t>□</w:t>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hint="eastAsia"/>
        </w:rPr>
        <w:t>□</w:t>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hint="eastAsia"/>
        </w:rPr>
        <w:t>□</w:t>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hint="eastAsia"/>
        </w:rPr>
        <w:t>□</w:t>
      </w:r>
      <w:r>
        <w:rPr>
          <w:rFonts w:ascii="宋体" w:hAnsi="宋体" w:hint="eastAsia"/>
          <w:bCs/>
          <w:szCs w:val="21"/>
        </w:rPr>
        <w:t>是，</w:t>
      </w:r>
      <w:r>
        <w:rPr>
          <w:rFonts w:ascii="宋体" w:hAnsi="宋体" w:hint="eastAsia"/>
          <w:bCs/>
          <w:szCs w:val="21"/>
          <w:u w:val="single"/>
        </w:rPr>
        <w:t>（应明确对被破坏的检测产品的处理方式）</w:t>
      </w:r>
    </w:p>
    <w:p>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hint="eastAsia"/>
        </w:rPr>
        <w:t>□</w:t>
      </w:r>
      <w:r>
        <w:rPr>
          <w:rFonts w:ascii="宋体" w:hAnsi="宋体" w:hint="eastAsia"/>
          <w:bCs/>
          <w:szCs w:val="21"/>
        </w:rPr>
        <w:t>否</w:t>
      </w:r>
    </w:p>
    <w:p>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hint="eastAsia"/>
        </w:rPr>
        <w:t>□</w:t>
      </w:r>
      <w:r>
        <w:rPr>
          <w:rFonts w:ascii="宋体" w:hAnsi="宋体" w:hint="eastAsia"/>
          <w:bCs/>
          <w:szCs w:val="21"/>
        </w:rPr>
        <w:t xml:space="preserve">一次性验收         </w:t>
      </w:r>
    </w:p>
    <w:p>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hint="eastAsia"/>
        </w:rPr>
        <w:t>□</w:t>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eastAsia="宋体" w:hAnsi="宋体" w:hint="eastAsia"/>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供应商供货的设备，其性能指标应满足《人工影响天气用37mm数字化高炮等8类建设内容技术要求和测试大纲》的相关技术与测试要求，测试通过后方可进行交付验收</w:t>
      </w:r>
      <w:r>
        <w:rPr>
          <w:rFonts w:ascii="宋体" w:hAnsi="宋体" w:hint="eastAsia"/>
          <w:bCs/>
          <w:szCs w:val="21"/>
          <w:highlight w:val="none"/>
          <w:u w:val="single"/>
          <w:lang w:eastAsia="zh-CN"/>
        </w:rPr>
        <w:t>。</w:t>
      </w:r>
    </w:p>
    <w:p>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hint="eastAsia"/>
        </w:rPr>
        <w:t>□</w:t>
      </w:r>
      <w:r>
        <w:rPr>
          <w:rFonts w:ascii="Wingdings" w:eastAsia="宋体" w:hAnsi="Wingdings" w:cs="宋体"/>
          <w:sz w:val="21"/>
        </w:rPr>
        <w:sym w:font="Wingdings" w:char="F0A8"/>
      </w:r>
      <w:r>
        <w:rPr>
          <w:rFonts w:ascii="宋体" w:eastAsia="宋体" w:hAnsi="宋体" w:cs="宋体" w:hint="eastAsia"/>
          <w:bCs/>
          <w:sz w:val="21"/>
        </w:rPr>
        <w:t xml:space="preserve">是  </w:t>
      </w:r>
      <w:r>
        <w:rPr>
          <w:rFonts w:hint="eastAsia"/>
        </w:rPr>
        <w:t>□</w:t>
      </w:r>
      <w:r>
        <w:rPr>
          <w:rFonts w:ascii="Wingdings" w:eastAsia="宋体" w:hAnsi="Wingdings" w:cs="宋体"/>
          <w:sz w:val="21"/>
        </w:rPr>
        <w:sym w:font="Wingdings" w:char="F0A8"/>
      </w:r>
      <w:r>
        <w:rPr>
          <w:rFonts w:ascii="宋体" w:eastAsia="宋体" w:hAnsi="宋体" w:cs="宋体" w:hint="eastAsia"/>
          <w:bCs/>
          <w:sz w:val="21"/>
        </w:rPr>
        <w:t>否</w:t>
      </w:r>
    </w:p>
    <w:p>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违约责任</w:t>
      </w:r>
    </w:p>
    <w:p>
      <w:pPr>
        <w:adjustRightInd w:val="0"/>
        <w:snapToGrid w:val="0"/>
        <w:spacing w:line="400" w:lineRule="exact"/>
        <w:ind w:firstLine="420" w:firstLineChars="200"/>
        <w:rPr>
          <w:rFonts w:ascii="宋体" w:hAnsi="宋体" w:cs="宋体" w:hint="eastAsia"/>
          <w:bCs/>
          <w:szCs w:val="21"/>
          <w:highlight w:val="none"/>
          <w:u w:val="none"/>
        </w:rPr>
      </w:pPr>
      <w:r>
        <w:rPr>
          <w:rFonts w:ascii="宋体" w:hAnsi="宋体" w:hint="eastAsia"/>
          <w:bCs/>
          <w:szCs w:val="21"/>
          <w:highlight w:val="none"/>
        </w:rPr>
        <w:t>（</w:t>
      </w:r>
      <w:r>
        <w:rPr>
          <w:rFonts w:ascii="宋体" w:hAnsi="宋体" w:hint="eastAsia"/>
          <w:bCs/>
          <w:szCs w:val="21"/>
          <w:highlight w:val="none"/>
          <w:lang w:val="en-US" w:eastAsia="zh-CN"/>
        </w:rPr>
        <w:t>1</w:t>
      </w:r>
      <w:r>
        <w:rPr>
          <w:rFonts w:ascii="宋体" w:hAnsi="宋体" w:hint="eastAsia"/>
          <w:bCs/>
          <w:szCs w:val="21"/>
          <w:highlight w:val="none"/>
        </w:rPr>
        <w:t>）</w:t>
      </w:r>
      <w:r>
        <w:rPr>
          <w:rFonts w:ascii="宋体" w:hAnsi="宋体" w:cs="宋体" w:hint="eastAsia"/>
          <w:bCs/>
          <w:szCs w:val="21"/>
          <w:highlight w:val="none"/>
          <w:u w:val="none"/>
        </w:rPr>
        <w:t>如中标人不按规定与采购人签订合同，视为该中标人自动放弃中标资格，投标保证金将不予退还，上报相关部门处罚。</w:t>
      </w:r>
    </w:p>
    <w:p>
      <w:pPr>
        <w:adjustRightInd w:val="0"/>
        <w:snapToGrid w:val="0"/>
        <w:spacing w:line="400" w:lineRule="exact"/>
        <w:ind w:firstLine="420" w:firstLineChars="200"/>
        <w:rPr>
          <w:rFonts w:ascii="宋体" w:hAnsi="宋体" w:cs="宋体" w:hint="eastAsia"/>
          <w:bCs/>
          <w:szCs w:val="21"/>
          <w:highlight w:val="none"/>
          <w:u w:val="none"/>
        </w:rPr>
      </w:pPr>
      <w:r>
        <w:rPr>
          <w:rFonts w:ascii="宋体" w:hAnsi="宋体" w:hint="eastAsia"/>
          <w:bCs/>
          <w:szCs w:val="21"/>
          <w:highlight w:val="none"/>
        </w:rPr>
        <w:t>（</w:t>
      </w:r>
      <w:r>
        <w:rPr>
          <w:rFonts w:ascii="宋体" w:hAnsi="宋体" w:hint="eastAsia"/>
          <w:bCs/>
          <w:szCs w:val="21"/>
          <w:highlight w:val="none"/>
          <w:lang w:val="en-US" w:eastAsia="zh-CN"/>
        </w:rPr>
        <w:t>2</w:t>
      </w:r>
      <w:r>
        <w:rPr>
          <w:rFonts w:ascii="宋体" w:hAnsi="宋体" w:hint="eastAsia"/>
          <w:bCs/>
          <w:szCs w:val="21"/>
          <w:highlight w:val="none"/>
        </w:rPr>
        <w:t>）</w:t>
      </w:r>
      <w:r>
        <w:rPr>
          <w:rFonts w:ascii="宋体" w:hAnsi="宋体" w:cs="宋体" w:hint="eastAsia"/>
          <w:bCs/>
          <w:szCs w:val="21"/>
          <w:highlight w:val="none"/>
          <w:u w:val="none"/>
        </w:rPr>
        <w:t>中标人所交设备、合同验收以及后期服务不符合合同要求的，采购人有权拒收；同时，中标人应向采购人偿付合同款</w:t>
      </w:r>
      <w:r>
        <w:rPr>
          <w:rFonts w:ascii="宋体" w:hAnsi="宋体" w:cs="宋体" w:hint="eastAsia"/>
          <w:bCs/>
          <w:szCs w:val="21"/>
          <w:highlight w:val="none"/>
          <w:u w:val="single"/>
          <w:lang w:val="en-US" w:eastAsia="zh-CN"/>
        </w:rPr>
        <w:t xml:space="preserve">  </w:t>
      </w:r>
      <w:r>
        <w:rPr>
          <w:rFonts w:ascii="宋体" w:hAnsi="宋体" w:cs="宋体" w:hint="eastAsia"/>
          <w:bCs/>
          <w:szCs w:val="21"/>
          <w:highlight w:val="none"/>
          <w:u w:val="single"/>
        </w:rPr>
        <w:t>15%</w:t>
      </w:r>
      <w:r>
        <w:rPr>
          <w:rFonts w:ascii="宋体" w:hAnsi="宋体" w:cs="宋体" w:hint="eastAsia"/>
          <w:bCs/>
          <w:szCs w:val="21"/>
          <w:highlight w:val="none"/>
          <w:u w:val="single"/>
          <w:lang w:val="en-US" w:eastAsia="zh-CN"/>
        </w:rPr>
        <w:t xml:space="preserve"> </w:t>
      </w:r>
      <w:r>
        <w:rPr>
          <w:rFonts w:ascii="宋体" w:hAnsi="宋体" w:cs="宋体" w:hint="eastAsia"/>
          <w:bCs/>
          <w:szCs w:val="21"/>
          <w:highlight w:val="none"/>
          <w:u w:val="single"/>
          <w:lang w:val="en-US" w:eastAsia="zh-CN"/>
        </w:rPr>
        <w:t xml:space="preserve"> </w:t>
      </w:r>
      <w:r>
        <w:rPr>
          <w:rFonts w:ascii="宋体" w:hAnsi="宋体" w:cs="宋体" w:hint="eastAsia"/>
          <w:bCs/>
          <w:szCs w:val="21"/>
          <w:highlight w:val="none"/>
          <w:u w:val="none"/>
        </w:rPr>
        <w:t>的违约金，且涉及到的部分合同条款终止履行。</w:t>
      </w:r>
    </w:p>
    <w:p>
      <w:pPr>
        <w:adjustRightInd w:val="0"/>
        <w:snapToGrid w:val="0"/>
        <w:spacing w:line="400" w:lineRule="exact"/>
        <w:ind w:firstLine="420" w:firstLineChars="200"/>
        <w:rPr>
          <w:rFonts w:ascii="宋体" w:hAnsi="宋体" w:cs="宋体" w:hint="eastAsia"/>
          <w:bCs/>
          <w:szCs w:val="21"/>
          <w:highlight w:val="none"/>
          <w:u w:val="none"/>
        </w:rPr>
      </w:pPr>
      <w:r>
        <w:rPr>
          <w:rFonts w:ascii="宋体" w:hAnsi="宋体" w:hint="eastAsia"/>
          <w:bCs/>
          <w:szCs w:val="21"/>
          <w:highlight w:val="none"/>
        </w:rPr>
        <w:t>（</w:t>
      </w:r>
      <w:r>
        <w:rPr>
          <w:rFonts w:ascii="宋体" w:hAnsi="宋体" w:hint="eastAsia"/>
          <w:bCs/>
          <w:szCs w:val="21"/>
          <w:highlight w:val="none"/>
          <w:lang w:val="en-US" w:eastAsia="zh-CN"/>
        </w:rPr>
        <w:t>3</w:t>
      </w:r>
      <w:r>
        <w:rPr>
          <w:rFonts w:ascii="宋体" w:hAnsi="宋体" w:hint="eastAsia"/>
          <w:bCs/>
          <w:szCs w:val="21"/>
          <w:highlight w:val="none"/>
        </w:rPr>
        <w:t>）</w:t>
      </w:r>
      <w:r>
        <w:rPr>
          <w:rFonts w:ascii="宋体" w:hAnsi="宋体" w:cs="宋体" w:hint="eastAsia"/>
          <w:bCs/>
          <w:szCs w:val="21"/>
          <w:highlight w:val="none"/>
          <w:u w:val="none"/>
        </w:rPr>
        <w:t>中标人逾期交付货物的，中标人向采购人每日偿付合同款</w:t>
      </w:r>
      <w:r>
        <w:rPr>
          <w:rFonts w:ascii="宋体" w:hAnsi="宋体" w:cs="宋体" w:hint="eastAsia"/>
          <w:bCs/>
          <w:szCs w:val="21"/>
          <w:highlight w:val="none"/>
          <w:u w:val="single"/>
          <w:lang w:val="en-US" w:eastAsia="zh-CN"/>
        </w:rPr>
        <w:t xml:space="preserve"> </w:t>
      </w:r>
      <w:r>
        <w:rPr>
          <w:rFonts w:ascii="宋体" w:hAnsi="宋体" w:cs="宋体" w:hint="eastAsia"/>
          <w:bCs/>
          <w:szCs w:val="21"/>
          <w:highlight w:val="none"/>
          <w:u w:val="single"/>
          <w:lang w:val="en-US" w:eastAsia="zh-CN"/>
        </w:rPr>
        <w:t xml:space="preserve"> 2</w:t>
      </w:r>
      <w:r>
        <w:rPr>
          <w:rFonts w:ascii="宋体" w:hAnsi="宋体" w:cs="宋体" w:hint="eastAsia"/>
          <w:bCs/>
          <w:szCs w:val="21"/>
          <w:highlight w:val="none"/>
          <w:u w:val="single"/>
        </w:rPr>
        <w:t>‰</w:t>
      </w:r>
      <w:r>
        <w:rPr>
          <w:rFonts w:ascii="宋体" w:hAnsi="宋体" w:cs="宋体" w:hint="eastAsia"/>
          <w:bCs/>
          <w:szCs w:val="21"/>
          <w:highlight w:val="none"/>
          <w:u w:val="single"/>
          <w:lang w:val="en-US" w:eastAsia="zh-CN"/>
        </w:rPr>
        <w:t xml:space="preserve">  </w:t>
      </w:r>
      <w:r>
        <w:rPr>
          <w:rFonts w:ascii="宋体" w:hAnsi="宋体" w:cs="宋体" w:hint="eastAsia"/>
          <w:bCs/>
          <w:szCs w:val="21"/>
          <w:highlight w:val="none"/>
          <w:u w:val="none"/>
        </w:rPr>
        <w:t>的违约金</w:t>
      </w:r>
      <w:r>
        <w:rPr>
          <w:rFonts w:ascii="宋体" w:hAnsi="宋体" w:hint="eastAsia"/>
          <w:szCs w:val="21"/>
          <w:highlight w:val="none"/>
        </w:rPr>
        <w:t>，但该违约金累计不超过合同总金额的</w:t>
      </w:r>
      <w:r>
        <w:rPr>
          <w:rFonts w:ascii="宋体" w:hAnsi="宋体" w:hint="eastAsia"/>
          <w:szCs w:val="21"/>
          <w:highlight w:val="none"/>
          <w:u w:val="single"/>
        </w:rPr>
        <w:t xml:space="preserve">  10   </w:t>
      </w:r>
      <w:r>
        <w:rPr>
          <w:rFonts w:ascii="宋体" w:hAnsi="宋体" w:hint="eastAsia"/>
          <w:szCs w:val="21"/>
          <w:highlight w:val="none"/>
        </w:rPr>
        <w:t>%</w:t>
      </w:r>
      <w:r>
        <w:rPr>
          <w:rFonts w:ascii="宋体" w:hAnsi="宋体" w:cs="宋体" w:hint="eastAsia"/>
          <w:bCs/>
          <w:szCs w:val="21"/>
          <w:highlight w:val="none"/>
          <w:u w:val="none"/>
        </w:rPr>
        <w:t>。</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lang w:val="en-US" w:eastAsia="zh-CN"/>
        </w:rPr>
        <w:t>售后服务</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1）质保期要求为各设备参数中的质保期，如果参数中没有要求，则质保期不低于3年。质保期内，须按合同条款提供服务，非因操作不当造成要更换的零配件由中标人负责包修、包换。如果由于中标人产品缺陷所导致的升级费用由中标人承担，由于采购人提出新的功能所引起的升级费用由双方协商解决。中标人负责提供本次采购产品与采购人信息系统对接过程中硬件、软件接口改造或其他可能产生的费用等。免费保修期满前1个月内，中标人应负责对设备进行一次免费全面检查，如发现潜在问题，应负责排除，保证设备正常运行。超出质保期后设备（含软件）维保费用不高于合同价的5%。</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2）中标人须提供常设7天×24小时热线服务和长期的免费技术支持，对采购人的服务通知，中标人在接报后2小时内响应，6小时内到达现场，24小时内处理完毕；如在检修24小时后仍无法排除故障，则中标人应在48小时内提供不低于故障设备规格、型号、性能的备用设备供采购人使用，直至故障设备修复。</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（3）定期巡检：中标人需派遣维修技术人员定期进行巡检、走访，听取客户意见，为客户解决疑难问题，指导操作人员进行正确操作和保养，质保期内定期巡视时间周期为年均不少于两次。</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4）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（5）售后服务内容包括但不限于日常技术咨询、设备使用咨询、设备故障解决、备件更换。中标人必须承诺提供长期的咨询和技术支持服务。</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lang w:val="en-US" w:eastAsia="zh-CN"/>
        </w:rPr>
        <w:t>培训</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对相关人员进行培训，确保能够熟练掌握新装备使用和操作技能。培训以操作使用说明书为教材，分使用方法、操作程序、简易故障排除、保管保养方法以及使用注意事项等内容进行现场培训。</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安装完成后，在现场对指定的操作人员在操作、保养和维护方面进行培训，培训时间2～4小时。</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现场培训目标：让作业人员掌握设备的基本组成，性能以及功能；能熟练的操作，进行正常的日常维护，排除一般技术故障。</w:t>
      </w:r>
    </w:p>
    <w:p>
      <w:pPr>
        <w:adjustRightInd w:val="0"/>
        <w:snapToGrid w:val="0"/>
        <w:spacing w:line="400" w:lineRule="exact"/>
        <w:ind w:firstLine="420" w:firstLineChars="200"/>
        <w:rPr>
          <w:rFonts w:ascii="宋体" w:hAnsi="宋体" w:cs="宋体" w:hint="eastAsia"/>
          <w:bCs/>
          <w:szCs w:val="21"/>
          <w:u w:val="none"/>
        </w:rPr>
      </w:pPr>
      <w:r>
        <w:rPr>
          <w:rFonts w:ascii="宋体" w:hAnsi="宋体" w:cs="宋体" w:hint="eastAsia"/>
          <w:bCs/>
          <w:szCs w:val="21"/>
          <w:u w:val="none"/>
        </w:rPr>
        <w:t>培训结束后，由专业技术人员对操作人员进行实地考核，对考核不合格者继续进行培训，直至达到合格为止。</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pPr>
        <w:numPr>
          <w:ilvl w:val="0"/>
          <w:numId w:val="5"/>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
        <w:rPr>
          <w:rFonts w:hint="eastAsia"/>
        </w:rPr>
        <w:br w:type="page"/>
      </w:r>
    </w:p>
    <w:p>
      <w:pPr>
        <w:pStyle w:val="12"/>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vAlign w:val="center"/>
          </w:tcPr>
          <w:p>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pPr>
              <w:adjustRightInd w:val="0"/>
              <w:snapToGrid w:val="0"/>
              <w:spacing w:line="300" w:lineRule="exact"/>
              <w:jc w:val="center"/>
            </w:pPr>
            <w:r>
              <w:rPr>
                <w:szCs w:val="21"/>
              </w:rPr>
              <w:t>乙方</w:t>
            </w:r>
            <w:r>
              <w:rPr>
                <w:rFonts w:hint="eastAsia"/>
                <w:szCs w:val="21"/>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pPr>
              <w:adjustRightInd w:val="0"/>
              <w:snapToGrid w:val="0"/>
              <w:spacing w:line="300" w:lineRule="exact"/>
              <w:jc w:val="center"/>
              <w:rPr>
                <w:szCs w:val="21"/>
              </w:rPr>
            </w:pPr>
            <w:r>
              <w:rPr>
                <w:szCs w:val="21"/>
              </w:rPr>
              <w:t>法定代表人</w:t>
            </w:r>
          </w:p>
          <w:p>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zCs w:val="21"/>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住  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 系 人</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pPr>
              <w:adjustRightInd w:val="0"/>
              <w:snapToGrid w:val="0"/>
              <w:spacing w:line="300" w:lineRule="exact"/>
              <w:jc w:val="center"/>
              <w:rPr>
                <w:spacing w:val="20"/>
                <w:szCs w:val="21"/>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vAlign w:val="center"/>
          </w:tcPr>
          <w:p>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r>
        <w:rPr>
          <w:rFonts w:ascii="黑体" w:hAnsi="黑体" w:hint="eastAsia"/>
          <w:b w:val="0"/>
          <w:bCs w:val="0"/>
          <w:sz w:val="28"/>
          <w:szCs w:val="28"/>
        </w:rPr>
        <w:t>第二节 政府采购合同通用条款</w:t>
      </w:r>
    </w:p>
    <w:p>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r>
        <w:rPr>
          <w:rFonts w:ascii="宋体" w:hAnsi="宋体" w:hint="eastAsia"/>
          <w:szCs w:val="21"/>
        </w:rPr>
        <w:t>。</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pPr>
        <w:numPr>
          <w:ilvl w:val="1"/>
          <w:numId w:val="11"/>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pPr>
        <w:spacing w:line="400" w:lineRule="exact"/>
        <w:ind w:firstLine="420" w:firstLineChars="200"/>
      </w:pPr>
      <w:r>
        <w:rPr>
          <w:rFonts w:ascii="宋体" w:hAnsi="宋体" w:hint="eastAsia"/>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pPr>
        <w:adjustRightInd w:val="0"/>
        <w:snapToGrid w:val="0"/>
        <w:spacing w:line="400" w:lineRule="exact"/>
        <w:jc w:val="left"/>
        <w:rPr>
          <w:rFonts w:ascii="宋体" w:hAnsi="宋体" w:hint="eastAsia"/>
          <w:b/>
          <w:bCs/>
        </w:rPr>
      </w:pPr>
      <w:r>
        <w:rPr>
          <w:rFonts w:ascii="宋体" w:hAnsi="宋体" w:hint="eastAsia"/>
          <w:b/>
          <w:bCs/>
          <w:sz w:val="24"/>
        </w:rPr>
        <w:t>15. 违约责任</w:t>
      </w:r>
    </w:p>
    <w:p>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pPr>
        <w:numPr>
          <w:ilvl w:val="0"/>
          <w:numId w:val="12"/>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lang w:val="en-US"/>
        </w:rPr>
        <w:t>0</w:t>
      </w:r>
      <w:r>
        <w:rPr>
          <w:rFonts w:ascii="宋体" w:hAnsi="宋体" w:hint="eastAsia"/>
          <w:szCs w:val="21"/>
        </w:rPr>
        <w:t>.</w:t>
      </w:r>
      <w:r>
        <w:rPr>
          <w:rFonts w:ascii="宋体" w:hAnsi="宋体" w:hint="eastAsia"/>
          <w:szCs w:val="21"/>
          <w:lang w:val="en-US"/>
        </w:rPr>
        <w:t>3</w:t>
      </w:r>
      <w:r>
        <w:rPr>
          <w:rFonts w:ascii="宋体" w:hAnsi="宋体" w:hint="eastAsia"/>
          <w:szCs w:val="21"/>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hint="eastAsia"/>
          <w:b/>
          <w:bCs/>
        </w:rPr>
      </w:pPr>
      <w:r>
        <w:rPr>
          <w:rFonts w:ascii="宋体" w:hAnsi="宋体" w:hint="eastAsia"/>
          <w:b/>
          <w:bCs/>
          <w:sz w:val="24"/>
        </w:rPr>
        <w:t>合同未尽事项</w:t>
      </w:r>
    </w:p>
    <w:p>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p>
    <w:p>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0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snapToGrid w:val="0"/>
              <w:jc w:val="center"/>
            </w:pPr>
            <w:r>
              <w:rPr>
                <w:rFonts w:ascii="宋体" w:hAnsi="宋体" w:hint="eastAsia"/>
                <w:szCs w:val="21"/>
              </w:rPr>
              <w:t>第5.4款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snapToGrid w:val="0"/>
              <w:jc w:val="center"/>
              <w:rPr>
                <w:rFonts w:ascii="宋体" w:hAnsi="宋体" w:hint="eastAsia"/>
                <w:szCs w:val="21"/>
              </w:rPr>
            </w:pPr>
            <w:r>
              <w:rPr>
                <w:rFonts w:ascii="宋体" w:hAnsi="宋体" w:hint="eastAsia"/>
                <w:szCs w:val="21"/>
              </w:rPr>
              <w:t>第6.1款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ign w:val="center"/>
          </w:tcPr>
          <w:p>
            <w:pPr>
              <w:adjustRightInd w:val="0"/>
              <w:snapToGrid w:val="0"/>
              <w:jc w:val="center"/>
              <w:rPr>
                <w:rFonts w:ascii="宋体" w:hAnsi="宋体" w:hint="eastAsia"/>
                <w:szCs w:val="21"/>
              </w:rPr>
            </w:pPr>
          </w:p>
        </w:tc>
        <w:tc>
          <w:tcPr>
            <w:tcW w:w="1742" w:type="dxa"/>
            <w:vAlign w:val="center"/>
          </w:tcPr>
          <w:p>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72"/>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66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货物质量缺陷</w:t>
            </w:r>
          </w:p>
          <w:p>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snapToGrid w:val="0"/>
              <w:jc w:val="center"/>
              <w:rPr>
                <w:rFonts w:ascii="宋体" w:hAnsi="宋体" w:cs="宋体" w:hint="eastAsia"/>
                <w:szCs w:val="21"/>
              </w:rPr>
            </w:pPr>
            <w:r>
              <w:rPr>
                <w:rFonts w:ascii="宋体" w:hAnsi="宋体" w:cs="宋体" w:hint="eastAsia"/>
                <w:szCs w:val="21"/>
              </w:rPr>
              <w:t>第二节</w:t>
            </w:r>
          </w:p>
          <w:p>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697"/>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84"/>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pPr>
              <w:adjustRightInd w:val="0"/>
              <w:snapToGrid w:val="0"/>
              <w:jc w:val="left"/>
              <w:rPr>
                <w:rFonts w:ascii="宋体" w:hAnsi="宋体" w:hint="eastAsia"/>
                <w:szCs w:val="21"/>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pPr>
              <w:adjustRightInd w:val="0"/>
              <w:snapToGrid w:val="0"/>
              <w:jc w:val="left"/>
              <w:rPr>
                <w:rFonts w:ascii="宋体" w:hAnsi="宋体" w:hint="eastAsia"/>
                <w:szCs w:val="21"/>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pPr>
              <w:autoSpaceDE w:val="0"/>
              <w:autoSpaceDN w:val="0"/>
              <w:adjustRightInd w:val="0"/>
              <w:snapToGrid w:val="0"/>
              <w:spacing w:line="400" w:lineRule="exact"/>
              <w:jc w:val="left"/>
              <w:rPr>
                <w:rFonts w:ascii="宋体" w:hAnsi="宋体" w:cs="宋体" w:hint="eastAsia"/>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val="en-US" w:eastAsia="zh-CN"/>
              </w:rPr>
              <w:t>2</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hint="eastAsia"/>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val="en-US" w:eastAsia="zh-CN"/>
              </w:rPr>
              <w:t xml:space="preserve">        </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val="en-US" w:eastAsia="zh-CN"/>
              </w:rPr>
              <w:t xml:space="preserve">           </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hint="eastAsia"/>
                <w:szCs w:val="21"/>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eastAsia="zh-CN"/>
              </w:rPr>
              <w:t>福建省漳州市芗城区</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vAlign w:val="center"/>
          </w:tcPr>
          <w:p>
            <w:pPr>
              <w:adjustRightInd w:val="0"/>
              <w:snapToGrid w:val="0"/>
              <w:jc w:val="center"/>
              <w:rPr>
                <w:rFonts w:ascii="宋体" w:hAnsi="宋体" w:hint="eastAsia"/>
                <w:szCs w:val="21"/>
              </w:rPr>
            </w:pPr>
            <w:r>
              <w:rPr>
                <w:rFonts w:ascii="宋体" w:hAnsi="宋体" w:hint="eastAsia"/>
                <w:szCs w:val="21"/>
              </w:rPr>
              <w:t>第二节</w:t>
            </w:r>
          </w:p>
          <w:p>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pPr>
              <w:adjustRightInd w:val="0"/>
              <w:snapToGrid w:val="0"/>
              <w:jc w:val="left"/>
              <w:rPr>
                <w:rFonts w:ascii="宋体" w:hAnsi="宋体" w:hint="eastAsia"/>
                <w:szCs w:val="21"/>
              </w:rPr>
            </w:pPr>
          </w:p>
        </w:tc>
      </w:tr>
    </w:tbl>
    <w:p/>
    <w:p>
      <w:pPr>
        <w:rPr>
          <w:b/>
          <w:bCs/>
          <w:sz w:val="44"/>
          <w:szCs w:val="44"/>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116"/>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altName w:val="FreeSerif"/>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altName w:val="3 of 9 Barcode"/>
    <w:panose1 w:val="05050102010706020507"/>
    <w:charset w:val="02"/>
    <w:family w:val="roman"/>
    <w:pitch w:val="variable"/>
    <w:sig w:usb0="00000000" w:usb1="10000000" w:usb2="00000000" w:usb3="00000000" w:csb0="80000000" w:csb1="00000000"/>
  </w:font>
  <w:font w:name="Wingdings">
    <w:altName w:val="3 of 9 Barcode"/>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汉仪书宋二S">
    <w:altName w:val="Times New Roman"/>
    <w:panose1 w:val="00000000000000000000"/>
    <w:charset w:val="00"/>
    <w:family w:val="auto"/>
    <w:pitch w:val="default"/>
    <w:sig w:usb0="00000000" w:usb1="00000000" w:usb2="00000000" w:usb3="00000000" w:csb0="00000001" w:csb1="00000000"/>
  </w:font>
  <w:font w:name="汉仪叶叶相思体简">
    <w:altName w:val="C059"/>
    <w:panose1 w:val="00000000000000000000"/>
    <w:charset w:val="00"/>
    <w:family w:val="auto"/>
    <w:pitch w:val="default"/>
    <w:sig w:usb0="00000000" w:usb1="00000000" w:usb2="00000000" w:usb3="00000000" w:csb0="00000001" w:csb1="00000000"/>
  </w:font>
  <w:font w:name="C059">
    <w:panose1 w:val="00000500000000000000"/>
    <w:charset w:val="00"/>
    <w:family w:val="auto"/>
    <w:pitch w:val="default"/>
    <w:sig w:usb0="00000287" w:usb1="00000800" w:usb2="00000000" w:usb3="00000000" w:csb0="6000009F" w:csb1="00000000"/>
  </w:font>
  <w:font w:name="方正仿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FreeSerif">
    <w:panose1 w:val="02020603050405020304"/>
    <w:charset w:val="00"/>
    <w:family w:val="auto"/>
    <w:pitch w:val="default"/>
    <w:sig w:usb0="E59FAFFF" w:usb1="C200FDFF" w:usb2="43501B29" w:usb3="04000043" w:csb0="600101FF" w:csb1="FFFF0000"/>
  </w:font>
  <w:font w:name="华文中宋">
    <w:panose1 w:val="02010600040101010101"/>
    <w:charset w:val="86"/>
    <w:family w:val="auto"/>
    <w:pitch w:val="default"/>
    <w:sig w:usb0="00000287" w:usb1="080F0000" w:usb2="00000000" w:usb3="00000000" w:csb0="0004009F" w:csb1="DFD70000"/>
  </w:font>
  <w:font w:name="3 of 9 Barcode">
    <w:panose1 w:val="040272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 w:name="noto sans thai">
    <w:panose1 w:val="020B0502040504020204"/>
    <w:charset w:val="00"/>
    <w:family w:val="auto"/>
    <w:pitch w:val="default"/>
    <w:sig w:usb0="81000063" w:usb1="00002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94DA123"/>
    <w:multiLevelType w:val="singleLevel"/>
    <w:tmpl w:val="294DA123"/>
    <w:lvl w:ilvl="0">
      <w:start w:val="1"/>
      <w:numFmt w:val="decimalEnclosedCircleChinese"/>
      <w:suff w:val="nothing"/>
      <w:lvlText w:val="%1　"/>
      <w:lvlJc w:val="left"/>
      <w:pPr>
        <w:ind w:left="0" w:firstLine="400"/>
      </w:pPr>
      <w:rPr>
        <w:rFonts w:hint="eastAsia"/>
      </w:r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2"/>
  </w:num>
  <w:num w:numId="5">
    <w:abstractNumId w:val="13"/>
  </w:num>
  <w:num w:numId="6">
    <w:abstractNumId w:val="1"/>
  </w:num>
  <w:num w:numId="7">
    <w:abstractNumId w:val="9"/>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头部"/>
    <w:basedOn w:val="Normal"/>
    <w:qFormat/>
    <w:pPr>
      <w:jc w:val="center"/>
    </w:pPr>
    <w:rPr>
      <w:rFonts w:asciiTheme="minorHAnsi" w:eastAsiaTheme="minorEastAsia" w:hAnsiTheme="minorHAnsi"/>
      <w:b/>
      <w:bCs/>
      <w:szCs w:val="21"/>
    </w:rPr>
  </w:style>
  <w:style w:type="table" w:customStyle="1" w:styleId="FC">
    <w:name w:val="FC"/>
    <w:basedOn w:val="TableNormal"/>
    <w:uiPriority w:val="99"/>
    <w:qFormat/>
    <w:rPr>
      <w:rFonts w:asciiTheme="minorHAnsi" w:eastAsiaTheme="minorEastAsia" w:hAnsiTheme="minorHAnsi" w:cstheme="minorBidi"/>
    </w:rPr>
    <w:tblP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Pr>
    <w:tblStylePr w:type="firstRow">
      <w:pPr>
        <w:wordWrap/>
        <w:jc w:val="center"/>
      </w:pPr>
      <w:rPr>
        <w:b/>
      </w:rPr>
      <w:tblPr/>
      <w:tcPr>
        <w:tcBorders>
          <w:top w:val="double" w:sz="4" w:space="0" w:color="auto"/>
          <w:left w:val="double" w:sz="4" w:space="0" w:color="auto"/>
          <w:bottom w:val="single" w:sz="4" w:space="0" w:color="auto"/>
          <w:right w:val="double" w:sz="4" w:space="0" w:color="auto"/>
          <w:insideH w:val="nil"/>
          <w:insideV w:val="single" w:sz="4" w:space="0" w:color="auto"/>
          <w:tl2br w:val="nil"/>
          <w:tr2bl w:val="nil"/>
        </w:tcBorders>
        <w:shd w:val="clear" w:color="auto" w:fill="BFBFBF" w:themeFill="background1" w:themeFillShade="BF"/>
        <w:vAlign w:val="center"/>
      </w:tcPr>
    </w:tblStyle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