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三江源大型无人机生态补水人工增雨（雪）集群作业试验 （“鲲雨”试验Ⅱ期）（重新招标）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ZQCD-26075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2026年05月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青海省人工影响天气中心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三江源大型无人机生态补水人工增雨（雪）集群作业试验 （“鲲雨”试验Ⅱ期）（重新招标）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ZQCD-26075</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合同签订后6个月内完成相关服务并具备验收条件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采购方指定地点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2026年05月27日 00:00:00</w:t>
      </w:r>
      <w:bookmarkEnd w:id="26"/>
      <w:r>
        <w:rPr>
          <w:rFonts w:ascii="宋体" w:hint="eastAsia"/>
          <w:szCs w:val="21"/>
          <w:highlight w:val="none"/>
        </w:rPr>
        <w:t>至</w:t>
      </w:r>
      <w:bookmarkStart w:id="27" w:name="项目公告_signUpLastTime"/>
      <w:r>
        <w:rPr>
          <w:rFonts w:ascii="宋体" w:hint="eastAsia"/>
          <w:szCs w:val="21"/>
          <w:highlight w:val="none"/>
        </w:rPr>
        <w:t>2026年06月03日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2026年06月17日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bCs/>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hint="eastAsia"/>
          <w:bCs/>
          <w:szCs w:val="21"/>
          <w:highlight w:val="none"/>
          <w:u w:val="singl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青海省人工影响天气中心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郭世钰</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0971-6136071</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青海省西宁市城西区五四大街19号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青海省人工影响天气中心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投标人须具有有效的《民用无人驾驶航空器运营合格证》或《通用航空经营许可证》</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8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6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（1）标的：三江源大型无人机生态补水人工增雨（雪）集群作业试验（“鲲雨”试验Ⅱ期）    ，属于其它行业；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是（接受 中小企业以联合体或合同分包方式参加）</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是，代理服务费：5.7万元。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730.000000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730.000000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根据本项目实际情况，招标文件1.27.3第1项至第3项启动异常低价投标审查的数值标准为65%。</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23"/>
        <w:gridCol w:w="366"/>
        <w:gridCol w:w="1151"/>
        <w:gridCol w:w="366"/>
        <w:gridCol w:w="689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(3)</w:t>
            </w:r>
          </w:p>
        </w:tc>
        <w:tc>
          <w:tcPr/>
          <w:p>
            <w:r>
              <w:t>评审标准：</w:t>
            </w:r>
          </w:p>
          <w:p>
            <w:r>
              <w:t>投标人具有 ISO9000系列或GJB9001B质量管理体系认证，得3分。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(10)</w:t>
            </w:r>
          </w:p>
        </w:tc>
        <w:tc>
          <w:tcPr/>
          <w:p>
            <w:r>
              <w:t>评审标准：</w:t>
            </w:r>
          </w:p>
          <w:p>
            <w:r>
              <w:t>每提供1份合同得2分，最多得10分</w:t>
            </w:r>
          </w:p>
          <w:p>
            <w:r>
              <w:t>评审标准说明：</w:t>
            </w:r>
          </w:p>
          <w:p>
            <w:r>
              <w:t>1、需提供投标人近3年内（以合同签订时间为准）承担过类似项目（无人机整机销售或无人机服务）合同（必须包括合同首页、金额页、标的页、签字盖章页）复印件并加盖投标人公章。</w:t>
              <w:cr/>
              <w:t>2、合同签署日期为投标截止日前三年内。如合同无签署日期无效。</w:t>
              <w:cr/>
              <w:t>3、合同标的必须包括无人机整机销售或无人机服务内容。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集群作业方案（主观分）</w:t>
            </w:r>
          </w:p>
        </w:tc>
        <w:tc>
          <w:tcPr/>
          <w:p>
            <w:r>
              <w:t>区间打分</w:t>
            </w:r>
            <w:r>
              <w:t>(6)</w:t>
            </w:r>
          </w:p>
        </w:tc>
        <w:tc>
          <w:tcPr/>
          <w:p>
            <w:r>
              <w:t>评审标准：</w:t>
            </w:r>
          </w:p>
          <w:p>
            <w:r>
              <w:t>投标人提供集群作业方案，针对方案中的以下内容进行评审</w:t>
              <w:cr/>
              <w:t>1、协同模式</w:t>
              <w:cr/>
              <w:t>一档：未提供得0分；</w:t>
              <w:cr/>
              <w:t>二档：仅作概念描述，无实质性内容得0.5分；</w:t>
              <w:cr/>
              <w:t>三档：构型完整但人影协同逻辑不足得1分；</w:t>
              <w:cr/>
              <w:t>四档：覆盖联合转场/协同探测/联合催化/联合评估全流程，且构建完整、逻辑清晰得2分。</w:t>
              <w:cr/>
              <w:t>2、协同流程</w:t>
              <w:cr/>
              <w:t>一档：未提供得0分；</w:t>
              <w:cr/>
              <w:t>二档：仅提供通用流程得0.5分；</w:t>
              <w:cr/>
              <w:t>三档：提供完整的协同流程但缺催化决策节点得1分；</w:t>
              <w:cr/>
              <w:t>四档：提供闭环+催化窗口识别+三机任务动态分配+异常处置预案等完整的协同流程方案得2分。</w:t>
              <w:cr/>
              <w:t>3、地面站</w:t>
              <w:cr/>
              <w:t>一档：未提供得0分；</w:t>
              <w:cr/>
              <w:t>二档：地面站方案简单不能覆盖要求得0.5分；</w:t>
              <w:cr/>
              <w:t>三档：地面站方案简单基本覆盖要求得1分；</w:t>
              <w:cr/>
              <w:t>四档：提供具备三屏独立显示（飞控/GIS/天工）+3机同屏监控+协同航线规划+实时指令下发的全流程地面站能力，技术方案完整详实得2分。</w:t>
            </w:r>
          </w:p>
          <w:p>
            <w:r>
              <w:t>评审标准说明：</w:t>
            </w:r>
          </w:p>
          <w:p>
            <w:r>
              <w:t>根据投标人提供具体服务方案进行评分。</w:t>
            </w:r>
          </w:p>
          <w:p/>
        </w:tc>
      </w:tr>
      <w:tr>
        <w:tblPrEx>
          <w:tblW w:w="5000" w:type="pct"/>
          <w:tblCellMar>
            <w:left w:w="108" w:type="dxa"/>
            <w:right w:w="108" w:type="dxa"/>
          </w:tblCellMar>
        </w:tblPrEx>
        <w:tc>
          <w:tcPr/>
          <w:p>
            <w:r>
              <w:t>5</w:t>
            </w:r>
          </w:p>
        </w:tc>
        <w:tc>
          <w:tcPr>
            <w:vMerge/>
          </w:tcPr>
          <w:p>
            <w:r>
              <w:t>服务部分</w:t>
            </w:r>
          </w:p>
        </w:tc>
        <w:tc>
          <w:tcPr/>
          <w:p>
            <w:r>
              <w:t>天工平台对接方案（主观分）</w:t>
            </w:r>
          </w:p>
        </w:tc>
        <w:tc>
          <w:tcPr/>
          <w:p>
            <w:r>
              <w:t>区间打分</w:t>
            </w:r>
            <w:r>
              <w:t>(8)</w:t>
            </w:r>
          </w:p>
        </w:tc>
        <w:tc>
          <w:tcPr/>
          <w:p>
            <w:r>
              <w:t>评审标准：</w:t>
            </w:r>
          </w:p>
          <w:p>
            <w:r>
              <w:t>针对技术方案中的以下内容进行评审：</w:t>
              <w:cr/>
              <w:t>1、上行数据推送</w:t>
              <w:cr/>
              <w:t>一档：未提供相关方案得0分；</w:t>
              <w:cr/>
              <w:t>二档：仅概念描述但无实质性内容得0.5分；</w:t>
              <w:cr/>
              <w:t>三档：有接口设计和技术路线方案，但合理性一般得1分；</w:t>
              <w:cr/>
              <w:t>四档：能够将探测数据+视频流+飞行状态实时推送省级天工平台，提供的接口设计合理、技术路线可行，得2分；</w:t>
              <w:cr/>
              <w:t>2、下行指令对接</w:t>
              <w:cr/>
              <w:t>一档：未提供相关方案得0分；</w:t>
              <w:cr/>
              <w:t>二档：仅说明可对接，无实质性方案得0.5分；</w:t>
              <w:cr/>
              <w:t>三档：方案较为详实，单合理性欠佳得1分；</w:t>
              <w:cr/>
              <w:t>四档：提供详实的方案，能够满足双向闭环+执行状态回传等流程，实时接收天工平台协同作业/航线修正指令，得2分。</w:t>
              <w:cr/>
              <w:t>3、智能识别决策</w:t>
              <w:cr/>
              <w:t>要求提供探测数据AI实时处理、可催化云区识别、移动轨迹预测相关智能识别决策算法方案。</w:t>
              <w:cr/>
              <w:t>一档：未提供得0分；</w:t>
              <w:cr/>
              <w:t>二档：仅基础展示得0.5分；</w:t>
              <w:cr/>
              <w:t>三档：算法设计完善但合理性、逻辑性、技术先进性一般得1分；</w:t>
              <w:cr/>
              <w:t>四档：算法设计详实合理、逻辑清晰、技术先进，得2分。</w:t>
              <w:cr/>
              <w:t>4、效果评估闭环</w:t>
              <w:cr/>
              <w:t>要求调用天气雷达和地面雨量数据，自动生成作业效果评估快报并同步省级天工平台，提供详细设计方案。</w:t>
              <w:cr/>
              <w:t>一档：未提供得0分；</w:t>
              <w:cr/>
              <w:t>二档：有效果评估能力，但仅人工方式制作或同步得0.5分；</w:t>
              <w:cr/>
              <w:t>三档：能够具备自动化效果初评、报告自动生成、一键同步，得2分。</w:t>
            </w:r>
          </w:p>
          <w:p>
            <w:r>
              <w:t>评审标准说明：</w:t>
            </w:r>
          </w:p>
          <w:p>
            <w:r>
              <w:t>根据投标人提供具体服务方案进行评分。</w:t>
            </w:r>
          </w:p>
          <w:p/>
        </w:tc>
      </w:tr>
      <w:tr>
        <w:tblPrEx>
          <w:tblW w:w="5000" w:type="pct"/>
          <w:tblCellMar>
            <w:left w:w="108" w:type="dxa"/>
            <w:right w:w="108" w:type="dxa"/>
          </w:tblCellMar>
        </w:tblPrEx>
        <w:tc>
          <w:tcPr/>
          <w:p>
            <w:r>
              <w:t>6</w:t>
            </w:r>
          </w:p>
        </w:tc>
        <w:tc>
          <w:tcPr>
            <w:vMerge/>
          </w:tcPr>
          <w:p>
            <w:r>
              <w:t>服务部分</w:t>
            </w:r>
          </w:p>
        </w:tc>
        <w:tc>
          <w:tcPr/>
          <w:p>
            <w:r>
              <w:t>具体服务方案（主观分）</w:t>
            </w:r>
          </w:p>
        </w:tc>
        <w:tc>
          <w:tcPr/>
          <w:p>
            <w:r>
              <w:t>区间打分</w:t>
            </w:r>
            <w:r>
              <w:t>(10)</w:t>
            </w:r>
          </w:p>
        </w:tc>
        <w:tc>
          <w:tcPr/>
          <w:p>
            <w:r>
              <w:t>评审标准：</w:t>
            </w:r>
          </w:p>
          <w:p>
            <w:r>
              <w:t>针对以下每项服务内容提交具体服务方案，每项方案满分2分，本项总计10分：</w:t>
              <w:cr/>
              <w:t>1、飞行作业实施方案</w:t>
              <w:cr/>
              <w:t>2、起降场地保障与三区域转场方案</w:t>
              <w:cr/>
              <w:t>3、气象与空域保障方案</w:t>
              <w:cr/>
              <w:t>4、维护保障与替代机方案</w:t>
              <w:cr/>
              <w:t>5、数据服务与总结报告方案</w:t>
              <w:cr/>
              <w:t>以上每项服务内容：</w:t>
              <w:cr/>
              <w:t>一档0分</w:t>
              <w:cr/>
              <w:t>二档0.5分</w:t>
              <w:cr/>
              <w:t>三档1分</w:t>
              <w:cr/>
              <w:t>四档2分</w:t>
            </w:r>
          </w:p>
          <w:p>
            <w:r>
              <w:t>评审标准说明：</w:t>
            </w:r>
          </w:p>
          <w:p>
            <w:r>
              <w:t>根据投标人提供具体服务方案进行评分。具体评分标准如下：</w:t>
              <w:cr/>
              <w:t>一档：未提供方案或方案无针对性。</w:t>
              <w:cr/>
              <w:t>二档：方案简单不完整，针对性一般，合理性可行性差。</w:t>
              <w:cr/>
              <w:t>三档：方案完整但比较简单，基本合理可行，针对性一般，基本满足招标文件要求。</w:t>
              <w:cr/>
              <w:t>四档：方案详细具体合理可行，针对性强，完全满足招标文件要求。</w:t>
            </w:r>
          </w:p>
          <w:p/>
        </w:tc>
      </w:tr>
      <w:tr>
        <w:tblPrEx>
          <w:tblW w:w="5000" w:type="pct"/>
          <w:tblCellMar>
            <w:left w:w="108" w:type="dxa"/>
            <w:right w:w="108" w:type="dxa"/>
          </w:tblCellMar>
        </w:tblPrEx>
        <w:tc>
          <w:tcPr/>
          <w:p>
            <w:r>
              <w:t>7</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提供项目培训方案，包含但不限于培训内容、培训对象、培训讲师、培计划、培训考核等内容。</w:t>
              <w:cr/>
              <w:t>一档：未提供方案或方案无针对性；</w:t>
              <w:cr/>
              <w:t>二档：有基本的培训方案，但内容不完整，针对性一般，合理性、可行性差；</w:t>
              <w:cr/>
              <w:t>三档：方案完整，但详细程度一般，合理性一般。</w:t>
              <w:cr/>
              <w:t>四档：方案完整详实，结构清晰、培训方案全面、到位，且针对性强。</w:t>
            </w:r>
          </w:p>
          <w:p/>
        </w:tc>
      </w:tr>
      <w:tr>
        <w:tblPrEx>
          <w:tblW w:w="5000" w:type="pct"/>
          <w:tblCellMar>
            <w:left w:w="108" w:type="dxa"/>
            <w:right w:w="108" w:type="dxa"/>
          </w:tblCellMar>
        </w:tblPrEx>
        <w:tc>
          <w:tcPr/>
          <w:p>
            <w:r>
              <w:t>8</w:t>
            </w:r>
          </w:p>
        </w:tc>
        <w:tc>
          <w:tcPr>
            <w:vMerge/>
          </w:tcPr>
          <w:p>
            <w:r>
              <w:t>服务部分</w:t>
            </w:r>
          </w:p>
        </w:tc>
        <w:tc>
          <w:tcPr/>
          <w:p>
            <w:r>
              <w:t>质量保障与实施方案（主观分）</w:t>
            </w:r>
          </w:p>
        </w:tc>
        <w:tc>
          <w:tcPr/>
          <w:p>
            <w:r>
              <w:t>勾选打分</w:t>
            </w:r>
            <w:r>
              <w:t>(4)</w:t>
            </w:r>
          </w:p>
        </w:tc>
        <w:tc>
          <w:tcPr/>
          <w:p>
            <w:r>
              <w:t>评审标准：</w:t>
            </w:r>
          </w:p>
          <w:p>
            <w:r>
              <w:t>一档0分</w:t>
              <w:cr/>
              <w:t>二档1分</w:t>
              <w:cr/>
              <w:t>三档2分</w:t>
              <w:cr/>
              <w:t>四档4分</w:t>
            </w:r>
          </w:p>
          <w:p>
            <w:r>
              <w:t>评审标准说明：</w:t>
            </w:r>
          </w:p>
          <w:p>
            <w:r>
              <w:t>提供质量保障与实施方案，提出合理的项目全过程质量保证措施，过程检查有明确依据，质量保证工作量化。</w:t>
              <w:cr/>
              <w:t>一档：未提供方案或方案无针对性；</w:t>
              <w:cr/>
              <w:t>二档：有基本的质量保障与实施方案，但内容不完整，针对性一般，合理性、可行性差；</w:t>
              <w:cr/>
              <w:t>三档：方案完整，但详细程度一般，进度控制保证措施针对性、合理性、可行性一般。</w:t>
              <w:cr/>
              <w:t>四档：方案完整详实，项目组织机构清晰，进度控制保证措施针对性强，切实可行。</w:t>
            </w:r>
          </w:p>
          <w:p/>
        </w:tc>
      </w:tr>
      <w:tr>
        <w:tblPrEx>
          <w:tblW w:w="5000" w:type="pct"/>
          <w:tblCellMar>
            <w:left w:w="108" w:type="dxa"/>
            <w:right w:w="108" w:type="dxa"/>
          </w:tblCellMar>
        </w:tblPrEx>
        <w:tc>
          <w:tcPr/>
          <w:p>
            <w:r>
              <w:t>9</w:t>
            </w:r>
          </w:p>
        </w:tc>
        <w:tc>
          <w:tcPr>
            <w:vMerge/>
          </w:tcPr>
          <w:p>
            <w:r>
              <w:t>服务部分</w:t>
            </w:r>
          </w:p>
        </w:tc>
        <w:tc>
          <w:tcPr/>
          <w:p>
            <w:r>
              <w:t>需求分析方案（主观分）</w:t>
            </w:r>
          </w:p>
        </w:tc>
        <w:tc>
          <w:tcPr/>
          <w:p>
            <w:r>
              <w:t>勾选打分</w:t>
            </w:r>
            <w:r>
              <w:t>(4)</w:t>
            </w:r>
          </w:p>
        </w:tc>
        <w:tc>
          <w:tcPr/>
          <w:p>
            <w:r>
              <w:t>评审标准：</w:t>
            </w:r>
          </w:p>
          <w:p>
            <w:r>
              <w:t>一档0分</w:t>
              <w:cr/>
              <w:t>二档1分</w:t>
              <w:cr/>
              <w:t>三档2分</w:t>
              <w:cr/>
              <w:t>四档4分</w:t>
            </w:r>
          </w:p>
          <w:p>
            <w:r>
              <w:t>评审标准说明：</w:t>
            </w:r>
          </w:p>
          <w:p>
            <w:r>
              <w:t>提供项目需求分析方案，包含但不限于对本项目的项目背景、业务现状、项目需求、建设目标进行分析。</w:t>
              <w:cr/>
              <w:t>一档：未提供方案或方案无针对性；</w:t>
              <w:cr/>
              <w:t>二档：有基本的需求分析方案，但内容不完整，针对性一般，合理性、可行性差；</w:t>
              <w:cr/>
              <w:t>三档：方案完整，但详细程度一般，需求分析合理性一般。</w:t>
              <w:cr/>
              <w:t>四档：方案完整详实，结构清晰、对需求分析全面、到位，且针对性强。</w:t>
            </w:r>
          </w:p>
          <w:p/>
        </w:tc>
      </w:tr>
      <w:tr>
        <w:tblPrEx>
          <w:tblW w:w="5000" w:type="pct"/>
          <w:tblCellMar>
            <w:left w:w="108" w:type="dxa"/>
            <w:right w:w="108" w:type="dxa"/>
          </w:tblCellMar>
        </w:tblPrEx>
        <w:tc>
          <w:tcPr/>
          <w:p>
            <w:r>
              <w:t>10</w:t>
            </w:r>
          </w:p>
        </w:tc>
        <w:tc>
          <w:tcPr>
            <w:vMerge/>
          </w:tcPr>
          <w:p>
            <w:r>
              <w:t>服务部分</w:t>
            </w:r>
          </w:p>
        </w:tc>
        <w:tc>
          <w:tcPr/>
          <w:p>
            <w:r>
              <w:t>参数响应情况（客观分）</w:t>
            </w:r>
          </w:p>
        </w:tc>
        <w:tc>
          <w:tcPr/>
          <w:p>
            <w:r>
              <w:t>区间打分</w:t>
            </w:r>
            <w:r>
              <w:t>(39)</w:t>
            </w:r>
          </w:p>
        </w:tc>
        <w:tc>
          <w:tcPr/>
          <w:p>
            <w:r>
              <w:t>评审标准：</w:t>
            </w:r>
          </w:p>
          <w:p>
            <w:r>
              <w:t>招标文件第七章服务内容和技术指标要求中，*号指标为核心指标，不满足将导致投标被拒绝；</w:t>
              <w:cr/>
              <w:t>△号指标为关键指标，共14项，每有一项满足得1分；</w:t>
              <w:cr/>
              <w:t>#号指标为一般项指标，共50项，每有一项满足得0.5分；满分39分。</w:t>
            </w:r>
          </w:p>
          <w:p>
            <w:r>
              <w:t>评审标准说明：</w:t>
            </w:r>
          </w:p>
          <w:p>
            <w:r>
              <w:t>硬件产品需提供制造商产品彩页、官网截图或第三方测试报告作为证明材料，软件或接口对接部分需提供详细的技术方案作为证明材料，服务部分需提供具体的服务方案。所有材料应加盖投标人公章。</w:t>
            </w:r>
          </w:p>
          <w:p/>
        </w:tc>
      </w:tr>
      <w:tr>
        <w:tblPrEx>
          <w:tblW w:w="5000" w:type="pct"/>
          <w:tblCellMar>
            <w:left w:w="108" w:type="dxa"/>
            <w:right w:w="108" w:type="dxa"/>
          </w:tblCellMar>
        </w:tblPrEx>
        <w:tc>
          <w:tcPr/>
          <w:p>
            <w:r>
              <w:t>11</w:t>
            </w:r>
          </w:p>
        </w:tc>
        <w:tc>
          <w:tcPr>
            <w:vMerge/>
          </w:tcPr>
          <w:p>
            <w:r>
              <w:t>服务部分</w:t>
            </w:r>
          </w:p>
        </w:tc>
        <w:tc>
          <w:tcPr/>
          <w:p>
            <w:r>
              <w:t>流程规范管理（客观分）</w:t>
            </w:r>
          </w:p>
        </w:tc>
        <w:tc>
          <w:tcPr/>
          <w:p>
            <w:r>
              <w:t>勾选打分</w:t>
            </w:r>
            <w:r>
              <w:t>(4)</w:t>
            </w:r>
          </w:p>
        </w:tc>
        <w:tc>
          <w:tcPr/>
          <w:p>
            <w:r>
              <w:t>评审标准：</w:t>
            </w:r>
          </w:p>
          <w:p>
            <w:r>
              <w:t>建立运行管理和飞行的标准化流程。两项都建立得4分；只建立1项得2分；未提供不得分。</w:t>
            </w:r>
          </w:p>
          <w:p>
            <w:r>
              <w:t>评审标准说明：</w:t>
            </w:r>
          </w:p>
          <w:p>
            <w:r>
              <w:t>须提供相关标准化流程手册。</w:t>
            </w:r>
          </w:p>
          <w:p/>
        </w:tc>
      </w:tr>
    </w:tbl>
    <w:p w:rsidR="00A77B3E">
      <w:r>
        <w:t xml:space="preserve">      </w:t>
      </w:r>
    </w:p>
    <w:p w:rsidR="00A77B3E"/>
    <w:p w:rsidR="00A77B3E">
      <w:bookmarkEnd w:id="57"/>
    </w:p>
    <w:p>
      <w:pPr>
        <w:spacing w:before="156" w:beforeLines="50" w:line="360" w:lineRule="auto"/>
        <w:jc w:val="center"/>
        <w:outlineLvl w:val="1"/>
        <w:rPr>
          <w:rFonts w:ascii="宋体" w:hAnsi="宋体"/>
          <w:b/>
          <w:sz w:val="30"/>
          <w:szCs w:val="30"/>
          <w:highlight w:val="none"/>
        </w:rPr>
      </w:pPr>
      <w:r>
        <w:rPr>
          <w:bCs/>
          <w:szCs w:val="21"/>
          <w:highlight w:val="none"/>
        </w:rPr>
        <w:br w:type="page"/>
      </w:r>
      <w:bookmarkStart w:id="58" w:name="插入_采购需求书"/>
      <w:r>
        <w:rPr>
          <w:rFonts w:ascii="宋体" w:eastAsia="宋体" w:hAnsi="宋体" w:cs="Times New Roman" w:hint="eastAsia"/>
          <w:b/>
          <w:sz w:val="30"/>
          <w:szCs w:val="30"/>
          <w:highlight w:val="none"/>
        </w:rPr>
        <w:t>第七章  采购需求</w:t>
      </w:r>
    </w:p>
    <w:p>
      <w:pPr>
        <w:jc w:val="left"/>
        <w:rPr>
          <w:rFonts w:ascii="Times New Roman" w:eastAsia="宋体" w:hAnsi="Times New Roman" w:cs="Times New Roman"/>
          <w:b/>
          <w:szCs w:val="21"/>
          <w:highlight w:val="none"/>
        </w:rPr>
      </w:pPr>
    </w:p>
    <w:p>
      <w:pPr>
        <w:keepNext w:val="0"/>
        <w:keepLines w:val="0"/>
        <w:widowControl/>
        <w:spacing w:line="520" w:lineRule="exact"/>
        <w:ind w:firstLine="560" w:firstLineChars="200"/>
        <w:jc w:val="left"/>
        <w:outlineLvl w:val="9"/>
        <w:rPr>
          <w:rFonts w:ascii="宋体" w:eastAsia="宋体" w:hAnsi="宋体" w:cs="宋体" w:hint="eastAsia"/>
          <w:b/>
          <w:bCs/>
          <w:sz w:val="28"/>
          <w:szCs w:val="32"/>
          <w:highlight w:val="none"/>
        </w:rPr>
      </w:pPr>
      <w:r>
        <w:rPr>
          <w:rFonts w:ascii="宋体" w:eastAsia="宋体" w:hAnsi="宋体" w:cs="宋体" w:hint="eastAsia"/>
          <w:b/>
          <w:bCs/>
          <w:sz w:val="28"/>
          <w:szCs w:val="32"/>
          <w:highlight w:val="none"/>
        </w:rPr>
        <w:t>一、项目概况</w:t>
      </w:r>
    </w:p>
    <w:p>
      <w:pPr>
        <w:widowControl/>
        <w:spacing w:line="520" w:lineRule="exact"/>
        <w:ind w:firstLine="560" w:firstLineChars="200"/>
        <w:rPr>
          <w:rFonts w:ascii="宋体" w:eastAsia="宋体" w:hAnsi="宋体" w:cs="宋体"/>
          <w:sz w:val="28"/>
          <w:szCs w:val="20"/>
          <w:highlight w:val="none"/>
        </w:rPr>
      </w:pPr>
      <w:r>
        <w:rPr>
          <w:rFonts w:ascii="宋体" w:eastAsia="宋体" w:hAnsi="宋体" w:cs="宋体"/>
          <w:sz w:val="28"/>
          <w:szCs w:val="20"/>
          <w:highlight w:val="none"/>
        </w:rPr>
        <w:t>根据三江源地区大型无人机生态补水人工增雨（雪）集群作业试验无人机功能要求，租用3架（1主控+2僚机）大型高原垂直起降固定翼人工影响天气无人机，形成集群作业基础能力。设计作业试验方案，划设三江源头、阿尼玛卿山及黄河上游河曲地区三个作业试验区，设计作业试验流程和飞行航线，组织实施总飞行架次不低于40架次、总飞行时长不低于480小时的人工增雨及探测集群作业。</w:t>
      </w:r>
    </w:p>
    <w:p>
      <w:pPr>
        <w:keepNext w:val="0"/>
        <w:keepLines w:val="0"/>
        <w:widowControl/>
        <w:spacing w:line="520" w:lineRule="exact"/>
        <w:ind w:firstLine="560" w:firstLineChars="200"/>
        <w:jc w:val="left"/>
        <w:outlineLvl w:val="9"/>
        <w:rPr>
          <w:rFonts w:ascii="宋体" w:eastAsia="宋体" w:hAnsi="宋体" w:cs="宋体"/>
          <w:b/>
          <w:bCs/>
          <w:sz w:val="28"/>
          <w:szCs w:val="32"/>
          <w:highlight w:val="none"/>
        </w:rPr>
      </w:pPr>
      <w:r>
        <w:rPr>
          <w:rFonts w:ascii="宋体" w:eastAsia="宋体" w:hAnsi="宋体" w:cs="宋体" w:hint="eastAsia"/>
          <w:b/>
          <w:bCs/>
          <w:sz w:val="28"/>
          <w:szCs w:val="32"/>
          <w:highlight w:val="none"/>
        </w:rPr>
        <w:t>二、服务内容</w:t>
      </w:r>
    </w:p>
    <w:p>
      <w:pPr>
        <w:rPr>
          <w:rFonts w:ascii="宋体" w:eastAsia="宋体" w:hAnsi="宋体" w:cs="宋体" w:hint="eastAsia"/>
          <w:sz w:val="28"/>
          <w:szCs w:val="20"/>
          <w:highlight w:val="none"/>
        </w:rPr>
      </w:pPr>
      <w:r>
        <w:rPr>
          <w:rFonts w:ascii="宋体" w:eastAsia="宋体" w:hAnsi="宋体" w:cs="宋体" w:hint="eastAsia"/>
          <w:sz w:val="28"/>
          <w:szCs w:val="20"/>
          <w:highlight w:val="none"/>
        </w:rPr>
        <w:t>（1）提供符合要求和数量的具备人工影响天气功能的无人机。</w:t>
      </w:r>
    </w:p>
    <w:p>
      <w:pPr>
        <w:rPr>
          <w:rFonts w:ascii="宋体" w:eastAsia="宋体" w:hAnsi="宋体" w:cs="宋体" w:hint="eastAsia"/>
          <w:sz w:val="28"/>
          <w:szCs w:val="20"/>
          <w:highlight w:val="none"/>
        </w:rPr>
      </w:pPr>
      <w:r>
        <w:rPr>
          <w:rFonts w:ascii="宋体" w:eastAsia="宋体" w:hAnsi="宋体" w:cs="宋体" w:hint="eastAsia"/>
          <w:sz w:val="28"/>
          <w:szCs w:val="20"/>
          <w:highlight w:val="none"/>
        </w:rPr>
        <w:t>（2）开展大型无人机人工增雨（雪）作业服务。</w:t>
      </w:r>
    </w:p>
    <w:p>
      <w:pPr>
        <w:rPr>
          <w:rFonts w:ascii="宋体" w:eastAsia="宋体" w:hAnsi="宋体" w:cs="宋体" w:hint="eastAsia"/>
          <w:sz w:val="28"/>
          <w:szCs w:val="20"/>
          <w:highlight w:val="none"/>
        </w:rPr>
      </w:pPr>
      <w:r>
        <w:rPr>
          <w:rFonts w:ascii="宋体" w:eastAsia="宋体" w:hAnsi="宋体" w:cs="宋体" w:hint="eastAsia"/>
          <w:sz w:val="28"/>
          <w:szCs w:val="20"/>
          <w:highlight w:val="none"/>
        </w:rPr>
        <w:t>（3）协调落实能够保障大型无人机人工影响天气作业飞行起降和停场场地。</w:t>
      </w:r>
    </w:p>
    <w:p>
      <w:pPr>
        <w:rPr>
          <w:rFonts w:ascii="宋体" w:eastAsia="宋体" w:hAnsi="宋体" w:cs="宋体" w:hint="eastAsia"/>
          <w:sz w:val="28"/>
          <w:szCs w:val="20"/>
          <w:highlight w:val="none"/>
        </w:rPr>
      </w:pPr>
      <w:r>
        <w:rPr>
          <w:rFonts w:ascii="宋体" w:eastAsia="宋体" w:hAnsi="宋体" w:cs="宋体" w:hint="eastAsia"/>
          <w:sz w:val="28"/>
          <w:szCs w:val="20"/>
          <w:highlight w:val="none"/>
        </w:rPr>
        <w:t>（4）完成空域协调，投标人必须完成办理采购人无人机作业范围的空域审批手续，保障人工影响天气作业飞行正常开展。</w:t>
      </w:r>
    </w:p>
    <w:p>
      <w:pPr>
        <w:rPr>
          <w:rFonts w:ascii="宋体" w:eastAsia="宋体" w:hAnsi="宋体" w:cs="宋体" w:hint="eastAsia"/>
          <w:sz w:val="28"/>
          <w:szCs w:val="20"/>
          <w:highlight w:val="none"/>
        </w:rPr>
      </w:pPr>
      <w:r>
        <w:rPr>
          <w:rFonts w:ascii="宋体" w:eastAsia="宋体" w:hAnsi="宋体" w:cs="宋体" w:hint="eastAsia"/>
          <w:sz w:val="28"/>
          <w:szCs w:val="20"/>
          <w:highlight w:val="none"/>
        </w:rPr>
        <w:t>（5）作业区域：三江源地区、阿尼玛卿冰川试验区、黄河上游河曲地区空域范围。投标人负责办理无人机起降相关手续，负责每次作业的空域申请和协调；若需更改飞行方案，应及时通知采购人相关人员。在计划批准后，无人机团队人员立即到位待命。</w:t>
      </w:r>
    </w:p>
    <w:p>
      <w:pPr>
        <w:rPr>
          <w:rFonts w:ascii="宋体" w:eastAsia="宋体" w:hAnsi="宋体" w:cs="宋体" w:hint="eastAsia"/>
          <w:sz w:val="28"/>
          <w:szCs w:val="20"/>
          <w:highlight w:val="none"/>
        </w:rPr>
      </w:pPr>
      <w:r>
        <w:rPr>
          <w:rFonts w:ascii="宋体" w:eastAsia="宋体" w:hAnsi="宋体" w:cs="宋体" w:hint="eastAsia"/>
          <w:sz w:val="28"/>
          <w:szCs w:val="20"/>
          <w:highlight w:val="none"/>
        </w:rPr>
        <w:t>（6）气象保障：投标人负责检飞及往返作业区的航线气象保障。</w:t>
      </w:r>
    </w:p>
    <w:p>
      <w:pPr>
        <w:rPr>
          <w:rFonts w:ascii="宋体" w:eastAsia="宋体" w:hAnsi="宋体" w:cs="宋体" w:hint="eastAsia"/>
          <w:sz w:val="28"/>
          <w:szCs w:val="20"/>
          <w:highlight w:val="none"/>
        </w:rPr>
      </w:pPr>
      <w:r>
        <w:rPr>
          <w:rFonts w:ascii="宋体" w:eastAsia="宋体" w:hAnsi="宋体" w:cs="宋体" w:hint="eastAsia"/>
          <w:sz w:val="28"/>
          <w:szCs w:val="20"/>
          <w:highlight w:val="none"/>
        </w:rPr>
        <w:t>（7）机载云微物理探测能力：无人机系统应搭载云微物理探测设备，能够获取探测数据并能够回传至地面。</w:t>
      </w:r>
    </w:p>
    <w:p>
      <w:pPr>
        <w:rPr>
          <w:rFonts w:ascii="宋体" w:eastAsia="宋体" w:hAnsi="宋体" w:cs="宋体" w:hint="eastAsia"/>
          <w:sz w:val="28"/>
          <w:szCs w:val="20"/>
          <w:highlight w:val="none"/>
        </w:rPr>
      </w:pPr>
      <w:r>
        <w:rPr>
          <w:rFonts w:ascii="宋体" w:eastAsia="宋体" w:hAnsi="宋体" w:cs="宋体" w:hint="eastAsia"/>
          <w:sz w:val="28"/>
          <w:szCs w:val="20"/>
          <w:highlight w:val="none"/>
        </w:rPr>
        <w:t>（8）飞行实施：每次作业必须按照与采购人预先沟通确认的飞行路线和方案进行飞行作业，如遇有天气条件等发生变化，应根据与采购人作业指挥人员的要求，在空管部门批准的情况下，及时修正飞行航线和高度。</w:t>
      </w:r>
    </w:p>
    <w:p>
      <w:pPr>
        <w:rPr>
          <w:rFonts w:ascii="宋体" w:eastAsia="宋体" w:hAnsi="宋体" w:cs="宋体" w:hint="eastAsia"/>
          <w:sz w:val="28"/>
          <w:szCs w:val="20"/>
          <w:highlight w:val="none"/>
        </w:rPr>
      </w:pPr>
      <w:r>
        <w:rPr>
          <w:rFonts w:ascii="宋体" w:eastAsia="宋体" w:hAnsi="宋体" w:cs="宋体" w:hint="eastAsia"/>
          <w:sz w:val="28"/>
          <w:szCs w:val="20"/>
          <w:highlight w:val="none"/>
        </w:rPr>
        <w:t>（9）投标人须熟悉青海省有关大型无人机作业的空域管理、安全监管等业务流程，负责无人机作业空域申请等相关手续、批件的办理工作。</w:t>
      </w:r>
    </w:p>
    <w:p>
      <w:pPr>
        <w:rPr>
          <w:rFonts w:ascii="宋体" w:eastAsia="宋体" w:hAnsi="宋体" w:cs="宋体" w:hint="eastAsia"/>
          <w:sz w:val="28"/>
          <w:szCs w:val="20"/>
          <w:highlight w:val="none"/>
        </w:rPr>
      </w:pPr>
      <w:r>
        <w:rPr>
          <w:rFonts w:ascii="宋体" w:eastAsia="宋体" w:hAnsi="宋体" w:cs="宋体" w:hint="eastAsia"/>
          <w:sz w:val="28"/>
          <w:szCs w:val="20"/>
          <w:highlight w:val="none"/>
        </w:rPr>
        <w:t>（10）投标人负责无人机系统的维护、使用和飞行管理；任务期间需有3架大型无人机待命，保障随时实施作业飞行。大型无人机系统维修期间，收到采购人的飞行作业通知后72小时内提供性能相近的替代大型无人机系统承担作业飞行。</w:t>
      </w:r>
    </w:p>
    <w:p>
      <w:pPr>
        <w:rPr>
          <w:rFonts w:ascii="宋体" w:eastAsia="宋体" w:hAnsi="宋体" w:cs="宋体" w:hint="eastAsia"/>
          <w:sz w:val="28"/>
          <w:szCs w:val="20"/>
          <w:highlight w:val="none"/>
        </w:rPr>
      </w:pPr>
      <w:r>
        <w:rPr>
          <w:rFonts w:ascii="宋体" w:eastAsia="宋体" w:hAnsi="宋体" w:cs="宋体" w:hint="eastAsia"/>
          <w:sz w:val="28"/>
          <w:szCs w:val="20"/>
          <w:highlight w:val="none"/>
        </w:rPr>
        <w:t>（11）投标人全权负责大型无人机系统租用期间的安全问题，为无人机飞行安全及人员保障购买相关保险。</w:t>
      </w:r>
    </w:p>
    <w:p>
      <w:pPr>
        <w:rPr>
          <w:rFonts w:ascii="宋体" w:eastAsia="宋体" w:hAnsi="宋体" w:cs="宋体"/>
          <w:sz w:val="28"/>
          <w:szCs w:val="20"/>
          <w:highlight w:val="none"/>
        </w:rPr>
      </w:pPr>
      <w:r>
        <w:rPr>
          <w:rFonts w:ascii="宋体" w:eastAsia="宋体" w:hAnsi="宋体" w:cs="宋体" w:hint="eastAsia"/>
          <w:sz w:val="28"/>
          <w:szCs w:val="20"/>
          <w:highlight w:val="none"/>
        </w:rPr>
        <w:t>（1</w:t>
      </w:r>
      <w:r>
        <w:rPr>
          <w:rFonts w:ascii="宋体" w:eastAsia="宋体" w:hAnsi="宋体" w:cs="宋体" w:hint="eastAsia"/>
          <w:sz w:val="28"/>
          <w:szCs w:val="20"/>
          <w:highlight w:val="none"/>
          <w:lang w:val="en-US" w:eastAsia="zh-CN"/>
        </w:rPr>
        <w:t>2</w:t>
      </w:r>
      <w:r>
        <w:rPr>
          <w:rFonts w:ascii="宋体" w:eastAsia="宋体" w:hAnsi="宋体" w:cs="宋体" w:hint="eastAsia"/>
          <w:sz w:val="28"/>
          <w:szCs w:val="20"/>
          <w:highlight w:val="none"/>
        </w:rPr>
        <w:t>）投标人负责提供无人机轨迹、探测等实时数据服务，并提供服务期内无人机飞行总结报告和增雨（雪）和探测作业分析报告</w:t>
      </w:r>
      <w:r>
        <w:rPr>
          <w:rFonts w:ascii="宋体" w:eastAsia="宋体" w:hAnsi="宋体" w:cs="宋体" w:hint="eastAsia"/>
          <w:sz w:val="28"/>
          <w:szCs w:val="20"/>
          <w:highlight w:val="none"/>
          <w:lang w:eastAsia="zh-CN"/>
        </w:rPr>
        <w:t>，</w:t>
      </w:r>
      <w:r>
        <w:rPr>
          <w:rFonts w:ascii="宋体" w:eastAsia="宋体" w:hAnsi="宋体" w:cs="宋体" w:hint="eastAsia"/>
          <w:sz w:val="28"/>
          <w:szCs w:val="20"/>
          <w:highlight w:val="none"/>
          <w:lang w:val="en-US" w:eastAsia="zh-CN"/>
        </w:rPr>
        <w:t>及试验数据集建设</w:t>
      </w:r>
      <w:r>
        <w:rPr>
          <w:rFonts w:ascii="宋体" w:eastAsia="宋体" w:hAnsi="宋体" w:cs="宋体" w:hint="eastAsia"/>
          <w:sz w:val="28"/>
          <w:szCs w:val="20"/>
          <w:highlight w:val="none"/>
        </w:rPr>
        <w:t>。</w:t>
      </w:r>
    </w:p>
    <w:p>
      <w:pPr>
        <w:jc w:val="center"/>
        <w:rPr>
          <w:rFonts w:ascii="Times New Roman" w:eastAsia="宋体" w:hAnsi="Times New Roman" w:cs="Times New Roman" w:hint="eastAsia"/>
          <w:szCs w:val="20"/>
          <w:highlight w:val="none"/>
        </w:rPr>
      </w:pPr>
      <w:r>
        <w:rPr>
          <w:rFonts w:ascii="Times New Roman" w:eastAsia="宋体" w:hAnsi="Times New Roman" w:cs="Times New Roman"/>
          <w:szCs w:val="20"/>
          <w:highlight w:val="none"/>
        </w:rPr>
        <w:t>表 1服务内容表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680"/>
        <w:gridCol w:w="2064"/>
        <w:gridCol w:w="1272"/>
        <w:gridCol w:w="459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c>
          <w:tcPr>
            <w:tcW w:w="395"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center"/>
              <w:rPr>
                <w:rFonts w:ascii="宋体" w:eastAsia="宋体" w:hAnsi="宋体" w:cs="宋体" w:hint="eastAsia"/>
                <w:b/>
                <w:szCs w:val="21"/>
                <w:highlight w:val="none"/>
              </w:rPr>
            </w:pPr>
            <w:r>
              <w:rPr>
                <w:rFonts w:ascii="宋体" w:eastAsia="宋体" w:hAnsi="宋体" w:cs="宋体" w:hint="eastAsia"/>
                <w:b/>
                <w:szCs w:val="21"/>
                <w:highlight w:val="none"/>
              </w:rPr>
              <w:t>序号</w:t>
            </w:r>
          </w:p>
        </w:tc>
        <w:tc>
          <w:tcPr>
            <w:tcW w:w="1199"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center"/>
              <w:rPr>
                <w:rFonts w:ascii="宋体" w:eastAsia="宋体" w:hAnsi="宋体" w:cs="宋体" w:hint="eastAsia"/>
                <w:b/>
                <w:szCs w:val="21"/>
                <w:highlight w:val="none"/>
              </w:rPr>
            </w:pPr>
            <w:r>
              <w:rPr>
                <w:rFonts w:ascii="宋体" w:eastAsia="宋体" w:hAnsi="宋体" w:cs="宋体" w:hint="eastAsia"/>
                <w:b/>
                <w:szCs w:val="21"/>
                <w:highlight w:val="none"/>
              </w:rPr>
              <w:t>服务分项</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center"/>
              <w:rPr>
                <w:rFonts w:ascii="宋体" w:eastAsia="宋体" w:hAnsi="宋体" w:cs="宋体" w:hint="eastAsia"/>
                <w:b/>
                <w:szCs w:val="21"/>
                <w:highlight w:val="none"/>
              </w:rPr>
            </w:pPr>
            <w:r>
              <w:rPr>
                <w:rFonts w:ascii="宋体" w:eastAsia="宋体" w:hAnsi="宋体" w:cs="宋体" w:hint="eastAsia"/>
                <w:b/>
                <w:szCs w:val="21"/>
                <w:highlight w:val="none"/>
              </w:rPr>
              <w:t>数量</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center"/>
              <w:rPr>
                <w:rFonts w:ascii="宋体" w:eastAsia="宋体" w:hAnsi="宋体" w:cs="宋体" w:hint="eastAsia"/>
                <w:b/>
                <w:szCs w:val="21"/>
                <w:highlight w:val="none"/>
              </w:rPr>
            </w:pPr>
            <w:r>
              <w:rPr>
                <w:rFonts w:ascii="宋体" w:eastAsia="宋体" w:hAnsi="宋体" w:cs="宋体" w:hint="eastAsia"/>
                <w:b/>
                <w:szCs w:val="21"/>
                <w:highlight w:val="none"/>
              </w:rPr>
              <w:t>说明</w:t>
            </w:r>
          </w:p>
        </w:tc>
      </w:tr>
      <w:tr>
        <w:tblPrEx>
          <w:tblW w:w="5000" w:type="pct"/>
          <w:tblInd w:w="0" w:type="dxa"/>
          <w:tblCellMar>
            <w:top w:w="0" w:type="dxa"/>
            <w:left w:w="0" w:type="dxa"/>
            <w:bottom w:w="0" w:type="dxa"/>
            <w:right w:w="0" w:type="dxa"/>
          </w:tblCellMar>
        </w:tblPrEx>
        <w:tc>
          <w:tcPr>
            <w:tcW w:w="395"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1</w:t>
            </w:r>
          </w:p>
        </w:tc>
        <w:tc>
          <w:tcPr>
            <w:tcW w:w="1199"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lang w:val="en-US" w:eastAsia="zh-CN"/>
              </w:rPr>
              <w:t>*</w:t>
            </w:r>
            <w:r>
              <w:rPr>
                <w:rFonts w:ascii="宋体" w:eastAsia="宋体" w:hAnsi="宋体" w:cs="宋体" w:hint="eastAsia"/>
                <w:szCs w:val="21"/>
                <w:highlight w:val="none"/>
              </w:rPr>
              <w:t>大型垂直起降固定翼无人机（高原型）</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3架</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szCs w:val="21"/>
                <w:highlight w:val="none"/>
              </w:rPr>
              <w:t>含机体、发动机、螺旋桨、飞控、数据链路、卫星通信终端等。需完全满足青藏高原腹地人工增雨（雪）作业和云物理探测需求</w:t>
            </w:r>
          </w:p>
        </w:tc>
      </w:tr>
      <w:tr>
        <w:tblPrEx>
          <w:tblW w:w="5000" w:type="pct"/>
          <w:tblInd w:w="0" w:type="dxa"/>
          <w:tblCellMar>
            <w:top w:w="0" w:type="dxa"/>
            <w:left w:w="0" w:type="dxa"/>
            <w:bottom w:w="0" w:type="dxa"/>
            <w:right w:w="0" w:type="dxa"/>
          </w:tblCellMar>
        </w:tblPrEx>
        <w:tc>
          <w:tcPr>
            <w:tcW w:w="395"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2</w:t>
            </w:r>
          </w:p>
        </w:tc>
        <w:tc>
          <w:tcPr>
            <w:tcW w:w="1199"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机载大气数据吊舱（云水含量测量仪）</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1套</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搭载于主控机</w:t>
            </w:r>
          </w:p>
        </w:tc>
      </w:tr>
      <w:tr>
        <w:tblPrEx>
          <w:tblW w:w="5000" w:type="pct"/>
          <w:tblInd w:w="0" w:type="dxa"/>
          <w:tblCellMar>
            <w:top w:w="0" w:type="dxa"/>
            <w:left w:w="0" w:type="dxa"/>
            <w:bottom w:w="0" w:type="dxa"/>
            <w:right w:w="0" w:type="dxa"/>
          </w:tblCellMar>
        </w:tblPrEx>
        <w:tc>
          <w:tcPr>
            <w:tcW w:w="395"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3</w:t>
            </w:r>
          </w:p>
        </w:tc>
        <w:tc>
          <w:tcPr>
            <w:tcW w:w="1199"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云粒子谱探测仪（CDP）</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3套</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每架1套</w:t>
            </w:r>
          </w:p>
        </w:tc>
      </w:tr>
      <w:tr>
        <w:tblPrEx>
          <w:tblW w:w="5000" w:type="pct"/>
          <w:tblInd w:w="0" w:type="dxa"/>
          <w:tblCellMar>
            <w:top w:w="0" w:type="dxa"/>
            <w:left w:w="0" w:type="dxa"/>
            <w:bottom w:w="0" w:type="dxa"/>
            <w:right w:w="0" w:type="dxa"/>
          </w:tblCellMar>
        </w:tblPrEx>
        <w:tc>
          <w:tcPr>
            <w:tcW w:w="395"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4</w:t>
            </w:r>
          </w:p>
        </w:tc>
        <w:tc>
          <w:tcPr>
            <w:tcW w:w="1199"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双光光电吊舱</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3套</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每架1套</w:t>
            </w:r>
          </w:p>
        </w:tc>
      </w:tr>
      <w:tr>
        <w:tblPrEx>
          <w:tblW w:w="5000" w:type="pct"/>
          <w:tblInd w:w="0" w:type="dxa"/>
          <w:tblCellMar>
            <w:top w:w="0" w:type="dxa"/>
            <w:left w:w="0" w:type="dxa"/>
            <w:bottom w:w="0" w:type="dxa"/>
            <w:right w:w="0" w:type="dxa"/>
          </w:tblCellMar>
        </w:tblPrEx>
        <w:tc>
          <w:tcPr>
            <w:tcW w:w="395"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5</w:t>
            </w:r>
          </w:p>
        </w:tc>
        <w:tc>
          <w:tcPr>
            <w:tcW w:w="1199"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焰条播撒装置</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3套</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每架1套</w:t>
            </w:r>
          </w:p>
        </w:tc>
      </w:tr>
      <w:tr>
        <w:tblPrEx>
          <w:tblW w:w="5000" w:type="pct"/>
          <w:tblInd w:w="0" w:type="dxa"/>
          <w:tblCellMar>
            <w:top w:w="0" w:type="dxa"/>
            <w:left w:w="0" w:type="dxa"/>
            <w:bottom w:w="0" w:type="dxa"/>
            <w:right w:w="0" w:type="dxa"/>
          </w:tblCellMar>
        </w:tblPrEx>
        <w:tc>
          <w:tcPr>
            <w:tcW w:w="395"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6</w:t>
            </w:r>
          </w:p>
        </w:tc>
        <w:tc>
          <w:tcPr>
            <w:tcW w:w="1199"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焰弹播撒器</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1套</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根据任务要求挂载</w:t>
            </w:r>
          </w:p>
        </w:tc>
      </w:tr>
      <w:tr>
        <w:tblPrEx>
          <w:tblW w:w="5000" w:type="pct"/>
          <w:tblInd w:w="0" w:type="dxa"/>
          <w:tblCellMar>
            <w:top w:w="0" w:type="dxa"/>
            <w:left w:w="0" w:type="dxa"/>
            <w:bottom w:w="0" w:type="dxa"/>
            <w:right w:w="0" w:type="dxa"/>
          </w:tblCellMar>
        </w:tblPrEx>
        <w:tc>
          <w:tcPr>
            <w:tcW w:w="395"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7</w:t>
            </w:r>
          </w:p>
        </w:tc>
        <w:tc>
          <w:tcPr>
            <w:tcW w:w="1199"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集群地面指挥系统（含三屏移动式地面站）</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1套</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硬件+软件，支持3机协同</w:t>
            </w:r>
          </w:p>
        </w:tc>
      </w:tr>
      <w:tr>
        <w:tblPrEx>
          <w:tblW w:w="5000" w:type="pct"/>
          <w:tblInd w:w="0" w:type="dxa"/>
          <w:tblCellMar>
            <w:top w:w="0" w:type="dxa"/>
            <w:left w:w="0" w:type="dxa"/>
            <w:bottom w:w="0" w:type="dxa"/>
            <w:right w:w="0" w:type="dxa"/>
          </w:tblCellMar>
        </w:tblPrEx>
        <w:tc>
          <w:tcPr>
            <w:tcW w:w="395"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8</w:t>
            </w:r>
          </w:p>
        </w:tc>
        <w:tc>
          <w:tcPr>
            <w:tcW w:w="1199"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“天工”平台（无人机版）对接模块</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1套</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实时数据传输、智能识别、协同指挥</w:t>
            </w:r>
          </w:p>
        </w:tc>
      </w:tr>
      <w:tr>
        <w:tblPrEx>
          <w:tblW w:w="5000" w:type="pct"/>
          <w:tblInd w:w="0" w:type="dxa"/>
          <w:tblCellMar>
            <w:top w:w="0" w:type="dxa"/>
            <w:left w:w="0" w:type="dxa"/>
            <w:bottom w:w="0" w:type="dxa"/>
            <w:right w:w="0" w:type="dxa"/>
          </w:tblCellMar>
        </w:tblPrEx>
        <w:tc>
          <w:tcPr>
            <w:tcW w:w="395"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9</w:t>
            </w:r>
          </w:p>
        </w:tc>
        <w:tc>
          <w:tcPr>
            <w:tcW w:w="1199"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备品备件及专用工具</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1批</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备用电池（每机4块）、充电管家、抢修工具箱、催化剂储存箱、安全围栏等</w:t>
            </w:r>
          </w:p>
        </w:tc>
      </w:tr>
      <w:tr>
        <w:tblPrEx>
          <w:tblW w:w="5000" w:type="pct"/>
          <w:tblInd w:w="0" w:type="dxa"/>
          <w:tblCellMar>
            <w:top w:w="0" w:type="dxa"/>
            <w:left w:w="0" w:type="dxa"/>
            <w:bottom w:w="0" w:type="dxa"/>
            <w:right w:w="0" w:type="dxa"/>
          </w:tblCellMar>
        </w:tblPrEx>
        <w:tc>
          <w:tcPr>
            <w:tcW w:w="395"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default"/>
                <w:szCs w:val="21"/>
                <w:highlight w:val="none"/>
              </w:rPr>
            </w:pPr>
            <w:r>
              <w:rPr>
                <w:rFonts w:ascii="宋体" w:eastAsia="宋体" w:hAnsi="宋体" w:cs="宋体" w:hint="eastAsia"/>
                <w:szCs w:val="21"/>
                <w:highlight w:val="none"/>
                <w:lang w:val="en-US" w:eastAsia="zh-CN"/>
              </w:rPr>
              <w:t>10</w:t>
            </w:r>
          </w:p>
        </w:tc>
        <w:tc>
          <w:tcPr>
            <w:tcW w:w="1199"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空域协调服务</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包年</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szCs w:val="21"/>
                <w:highlight w:val="none"/>
              </w:rPr>
              <w:t>飞行计划申请书</w:t>
            </w:r>
            <w:r>
              <w:rPr>
                <w:rFonts w:ascii="宋体" w:eastAsia="宋体" w:hAnsi="宋体" w:cs="宋体" w:hint="eastAsia"/>
                <w:szCs w:val="21"/>
                <w:highlight w:val="none"/>
              </w:rPr>
              <w:t>编制、</w:t>
            </w:r>
            <w:r>
              <w:rPr>
                <w:rFonts w:ascii="宋体" w:eastAsia="宋体" w:hAnsi="宋体" w:cs="宋体"/>
                <w:szCs w:val="21"/>
                <w:highlight w:val="none"/>
              </w:rPr>
              <w:t>无人机集群飞行空域</w:t>
            </w:r>
            <w:r>
              <w:rPr>
                <w:rFonts w:ascii="宋体" w:eastAsia="宋体" w:hAnsi="宋体" w:cs="宋体" w:hint="eastAsia"/>
                <w:szCs w:val="21"/>
                <w:highlight w:val="none"/>
              </w:rPr>
              <w:t>申请、</w:t>
            </w:r>
            <w:r>
              <w:rPr>
                <w:rFonts w:ascii="宋体" w:eastAsia="宋体" w:hAnsi="宋体" w:cs="宋体"/>
                <w:szCs w:val="21"/>
                <w:highlight w:val="none"/>
              </w:rPr>
              <w:t>与飞行管制部门</w:t>
            </w:r>
            <w:r>
              <w:rPr>
                <w:rFonts w:ascii="宋体" w:eastAsia="宋体" w:hAnsi="宋体" w:cs="宋体" w:hint="eastAsia"/>
                <w:szCs w:val="21"/>
                <w:highlight w:val="none"/>
              </w:rPr>
              <w:t>或</w:t>
            </w:r>
            <w:r>
              <w:rPr>
                <w:rFonts w:ascii="宋体" w:eastAsia="宋体" w:hAnsi="宋体" w:cs="宋体"/>
                <w:szCs w:val="21"/>
                <w:highlight w:val="none"/>
              </w:rPr>
              <w:t>民航管理部门沟通协调</w:t>
            </w:r>
            <w:r>
              <w:rPr>
                <w:rFonts w:ascii="宋体" w:eastAsia="宋体" w:hAnsi="宋体" w:cs="宋体" w:hint="eastAsia"/>
                <w:szCs w:val="21"/>
                <w:highlight w:val="none"/>
              </w:rPr>
              <w:t>，</w:t>
            </w:r>
            <w:r>
              <w:rPr>
                <w:rFonts w:ascii="宋体" w:eastAsia="宋体" w:hAnsi="宋体" w:cs="宋体"/>
                <w:szCs w:val="21"/>
                <w:highlight w:val="none"/>
              </w:rPr>
              <w:t>突发禁航</w:t>
            </w:r>
            <w:r>
              <w:rPr>
                <w:rFonts w:ascii="宋体" w:eastAsia="宋体" w:hAnsi="宋体" w:cs="宋体" w:hint="eastAsia"/>
                <w:szCs w:val="21"/>
                <w:highlight w:val="none"/>
              </w:rPr>
              <w:t>预警</w:t>
            </w:r>
          </w:p>
        </w:tc>
      </w:tr>
      <w:tr>
        <w:tblPrEx>
          <w:tblW w:w="5000" w:type="pct"/>
          <w:tblInd w:w="0" w:type="dxa"/>
          <w:tblCellMar>
            <w:top w:w="0" w:type="dxa"/>
            <w:left w:w="0" w:type="dxa"/>
            <w:bottom w:w="0" w:type="dxa"/>
            <w:right w:w="0" w:type="dxa"/>
          </w:tblCellMar>
        </w:tblPrEx>
        <w:tc>
          <w:tcPr>
            <w:tcW w:w="395"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default"/>
                <w:szCs w:val="21"/>
                <w:highlight w:val="none"/>
              </w:rPr>
            </w:pPr>
            <w:r>
              <w:rPr>
                <w:rFonts w:ascii="宋体" w:eastAsia="宋体" w:hAnsi="宋体" w:cs="宋体" w:hint="eastAsia"/>
                <w:szCs w:val="21"/>
                <w:highlight w:val="none"/>
                <w:lang w:val="en-US" w:eastAsia="zh-CN"/>
              </w:rPr>
              <w:t>11</w:t>
            </w:r>
          </w:p>
        </w:tc>
        <w:tc>
          <w:tcPr>
            <w:tcW w:w="1199"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商业保险</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1套</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机身险（3架）、第三者责任险（累计1500万）、人员意外险（6人×100万）、运输险、高原作业专项险</w:t>
            </w:r>
          </w:p>
        </w:tc>
      </w:tr>
      <w:tr>
        <w:tblPrEx>
          <w:tblW w:w="5000" w:type="pct"/>
          <w:tblInd w:w="0" w:type="dxa"/>
          <w:tblCellMar>
            <w:top w:w="0" w:type="dxa"/>
            <w:left w:w="0" w:type="dxa"/>
            <w:bottom w:w="0" w:type="dxa"/>
            <w:right w:w="0" w:type="dxa"/>
          </w:tblCellMar>
        </w:tblPrEx>
        <w:tc>
          <w:tcPr>
            <w:tcW w:w="395"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default"/>
                <w:color w:val="000000"/>
                <w:szCs w:val="21"/>
                <w:highlight w:val="none"/>
              </w:rPr>
            </w:pPr>
            <w:r>
              <w:rPr>
                <w:rFonts w:ascii="宋体" w:eastAsia="宋体" w:hAnsi="宋体" w:cs="宋体" w:hint="eastAsia"/>
                <w:color w:val="000000"/>
                <w:szCs w:val="21"/>
                <w:highlight w:val="none"/>
                <w:lang w:val="en-US" w:eastAsia="zh-CN"/>
              </w:rPr>
              <w:t>12</w:t>
            </w:r>
          </w:p>
        </w:tc>
        <w:tc>
          <w:tcPr>
            <w:tcW w:w="1199"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color w:val="000000"/>
                <w:szCs w:val="21"/>
                <w:highlight w:val="none"/>
              </w:rPr>
            </w:pPr>
            <w:r>
              <w:rPr>
                <w:rFonts w:ascii="宋体" w:eastAsia="宋体" w:hAnsi="宋体" w:cs="宋体" w:hint="eastAsia"/>
                <w:color w:val="000000"/>
                <w:szCs w:val="21"/>
                <w:highlight w:val="none"/>
              </w:rPr>
              <w:t>作业试验飞行</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≥40批次，≥480小时</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集群作业，含探测、催化，作业后效果评估</w:t>
            </w:r>
          </w:p>
        </w:tc>
      </w:tr>
      <w:tr>
        <w:tblPrEx>
          <w:tblW w:w="5000" w:type="pct"/>
          <w:tblInd w:w="0" w:type="dxa"/>
          <w:tblCellMar>
            <w:top w:w="0" w:type="dxa"/>
            <w:left w:w="0" w:type="dxa"/>
            <w:bottom w:w="0" w:type="dxa"/>
            <w:right w:w="0" w:type="dxa"/>
          </w:tblCellMar>
        </w:tblPrEx>
        <w:tc>
          <w:tcPr>
            <w:tcW w:w="395"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lang w:val="en-US" w:eastAsia="zh-CN"/>
              </w:rPr>
              <w:t>13</w:t>
            </w:r>
          </w:p>
        </w:tc>
        <w:tc>
          <w:tcPr>
            <w:tcW w:w="1199"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催化剂</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1批</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根据实际作业要求进行配备</w:t>
            </w:r>
          </w:p>
        </w:tc>
      </w:tr>
      <w:tr>
        <w:tblPrEx>
          <w:tblW w:w="5000" w:type="pct"/>
          <w:tblInd w:w="0" w:type="dxa"/>
          <w:tblCellMar>
            <w:top w:w="0" w:type="dxa"/>
            <w:left w:w="0" w:type="dxa"/>
            <w:bottom w:w="0" w:type="dxa"/>
            <w:right w:w="0" w:type="dxa"/>
          </w:tblCellMar>
        </w:tblPrEx>
        <w:tc>
          <w:tcPr>
            <w:tcW w:w="395"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default"/>
                <w:szCs w:val="21"/>
                <w:highlight w:val="none"/>
              </w:rPr>
            </w:pPr>
            <w:r>
              <w:rPr>
                <w:rFonts w:ascii="宋体" w:eastAsia="宋体" w:hAnsi="宋体" w:cs="宋体" w:hint="eastAsia"/>
                <w:szCs w:val="21"/>
                <w:highlight w:val="none"/>
                <w:lang w:val="en-US" w:eastAsia="zh-CN"/>
              </w:rPr>
              <w:t>14</w:t>
            </w:r>
          </w:p>
        </w:tc>
        <w:tc>
          <w:tcPr>
            <w:tcW w:w="1199"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人员培训</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≥6人</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1"/>
                <w:highlight w:val="none"/>
              </w:rPr>
            </w:pPr>
            <w:r>
              <w:rPr>
                <w:rFonts w:ascii="宋体" w:eastAsia="宋体" w:hAnsi="宋体" w:cs="宋体" w:hint="eastAsia"/>
                <w:szCs w:val="21"/>
                <w:highlight w:val="none"/>
              </w:rPr>
              <w:t>理论≥20学时</w:t>
            </w:r>
          </w:p>
        </w:tc>
      </w:tr>
    </w:tbl>
    <w:p>
      <w:pPr>
        <w:keepNext/>
        <w:keepLines/>
        <w:widowControl/>
        <w:spacing w:line="520" w:lineRule="exact"/>
        <w:ind w:firstLine="562"/>
        <w:jc w:val="left"/>
        <w:outlineLvl w:val="1"/>
        <w:rPr>
          <w:rFonts w:ascii="宋体" w:eastAsia="宋体" w:hAnsi="宋体" w:cs="宋体" w:hint="eastAsia"/>
          <w:b/>
          <w:bCs/>
          <w:sz w:val="28"/>
          <w:szCs w:val="32"/>
          <w:highlight w:val="none"/>
        </w:rPr>
      </w:pPr>
      <w:r>
        <w:rPr>
          <w:rFonts w:ascii="宋体" w:eastAsia="宋体" w:hAnsi="宋体" w:cs="宋体" w:hint="eastAsia"/>
          <w:b/>
          <w:bCs/>
          <w:sz w:val="28"/>
          <w:szCs w:val="32"/>
          <w:highlight w:val="none"/>
        </w:rPr>
        <w:t>三、技术指标要求</w:t>
      </w:r>
    </w:p>
    <w:p>
      <w:pPr>
        <w:widowControl/>
        <w:spacing w:before="100" w:beforeAutospacing="1" w:after="100" w:afterAutospacing="1" w:line="520" w:lineRule="exact"/>
        <w:ind w:firstLine="562"/>
        <w:jc w:val="left"/>
        <w:outlineLvl w:val="2"/>
        <w:rPr>
          <w:rFonts w:ascii="宋体" w:eastAsia="宋体" w:hAnsi="宋体" w:cs="宋体" w:hint="eastAsia"/>
          <w:b/>
          <w:bCs/>
          <w:kern w:val="0"/>
          <w:sz w:val="28"/>
          <w:szCs w:val="27"/>
          <w:highlight w:val="none"/>
        </w:rPr>
      </w:pPr>
      <w:r>
        <w:rPr>
          <w:rFonts w:ascii="宋体" w:eastAsia="宋体" w:hAnsi="宋体" w:cs="宋体" w:hint="eastAsia"/>
          <w:b/>
          <w:bCs/>
          <w:kern w:val="0"/>
          <w:sz w:val="28"/>
          <w:szCs w:val="27"/>
          <w:highlight w:val="none"/>
        </w:rPr>
        <w:t>3.1 无人机平台（高原型）性能要求</w:t>
      </w:r>
    </w:p>
    <w:p>
      <w:pPr>
        <w:widowControl/>
        <w:spacing w:before="0" w:beforeAutospacing="0" w:after="0" w:afterAutospacing="0" w:line="240" w:lineRule="auto"/>
        <w:ind w:firstLine="0"/>
        <w:jc w:val="center"/>
        <w:outlineLvl w:val="9"/>
        <w:rPr>
          <w:rFonts w:ascii="Times New Roman" w:eastAsia="宋体" w:hAnsi="Times New Roman" w:cs="Times New Roman" w:hint="default"/>
          <w:b w:val="0"/>
          <w:bCs w:val="0"/>
          <w:szCs w:val="20"/>
          <w:highlight w:val="none"/>
        </w:rPr>
      </w:pPr>
      <w:r>
        <w:rPr>
          <w:rFonts w:ascii="Times New Roman" w:eastAsia="宋体" w:hAnsi="Times New Roman" w:cs="Times New Roman" w:hint="default"/>
          <w:b w:val="0"/>
          <w:bCs w:val="0"/>
          <w:kern w:val="2"/>
          <w:sz w:val="21"/>
          <w:szCs w:val="20"/>
          <w:highlight w:val="none"/>
        </w:rPr>
        <w:t xml:space="preserve">表 </w:t>
      </w:r>
      <w:r>
        <w:rPr>
          <w:rFonts w:ascii="Times New Roman" w:eastAsia="宋体" w:hAnsi="Times New Roman" w:cs="Times New Roman" w:hint="eastAsia"/>
          <w:b w:val="0"/>
          <w:bCs w:val="0"/>
          <w:kern w:val="2"/>
          <w:sz w:val="21"/>
          <w:szCs w:val="20"/>
          <w:highlight w:val="none"/>
          <w:lang w:eastAsia="zh-CN"/>
        </w:rPr>
        <w:t>2</w:t>
      </w:r>
      <w:r>
        <w:rPr>
          <w:rFonts w:ascii="Times New Roman" w:eastAsia="宋体" w:hAnsi="Times New Roman" w:cs="Times New Roman" w:hint="default"/>
          <w:b w:val="0"/>
          <w:bCs w:val="0"/>
          <w:kern w:val="2"/>
          <w:sz w:val="21"/>
          <w:szCs w:val="20"/>
          <w:highlight w:val="none"/>
        </w:rPr>
        <w:t>无人机平台（高原型）性能要求</w:t>
      </w:r>
    </w:p>
    <w:tbl>
      <w:tblPr>
        <w:tblStyle w:val="TableNormal"/>
        <w:tblW w:w="5000" w:type="pct"/>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2485"/>
        <w:gridCol w:w="5413"/>
        <w:gridCol w:w="708"/>
      </w:tblGrid>
      <w:tr>
        <w:tblPrEx>
          <w:tblW w:w="5000" w:type="pct"/>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center"/>
              <w:rPr>
                <w:rFonts w:ascii="宋体" w:eastAsia="宋体" w:hAnsi="宋体" w:cs="宋体" w:hint="eastAsia"/>
                <w:b/>
                <w:bCs w:val="0"/>
                <w:szCs w:val="21"/>
                <w:highlight w:val="none"/>
              </w:rPr>
            </w:pPr>
            <w:r>
              <w:rPr>
                <w:rFonts w:ascii="宋体" w:eastAsia="宋体" w:hAnsi="宋体" w:cs="宋体" w:hint="eastAsia"/>
                <w:b/>
                <w:bCs w:val="0"/>
                <w:kern w:val="2"/>
                <w:sz w:val="21"/>
                <w:szCs w:val="21"/>
                <w:highlight w:val="none"/>
                <w:lang w:val="en-US" w:eastAsia="zh-CN" w:bidi="ar"/>
              </w:rPr>
              <w:t>参数项</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center"/>
              <w:rPr>
                <w:rFonts w:ascii="宋体" w:eastAsia="宋体" w:hAnsi="宋体" w:cs="宋体" w:hint="eastAsia"/>
                <w:b/>
                <w:bCs w:val="0"/>
                <w:szCs w:val="21"/>
                <w:highlight w:val="none"/>
              </w:rPr>
            </w:pPr>
            <w:r>
              <w:rPr>
                <w:rFonts w:ascii="宋体" w:eastAsia="宋体" w:hAnsi="宋体" w:cs="宋体" w:hint="eastAsia"/>
                <w:b/>
                <w:bCs w:val="0"/>
                <w:kern w:val="2"/>
                <w:sz w:val="21"/>
                <w:szCs w:val="21"/>
                <w:highlight w:val="none"/>
                <w:lang w:val="en-US" w:eastAsia="zh-CN" w:bidi="ar"/>
              </w:rPr>
              <w:t>具体参数要求</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center"/>
              <w:rPr>
                <w:rFonts w:ascii="宋体" w:eastAsia="宋体" w:hAnsi="宋体" w:cs="宋体" w:hint="eastAsia"/>
                <w:b/>
                <w:bCs w:val="0"/>
                <w:szCs w:val="21"/>
                <w:highlight w:val="none"/>
              </w:rPr>
            </w:pPr>
            <w:r>
              <w:rPr>
                <w:rFonts w:ascii="宋体" w:eastAsia="宋体" w:hAnsi="宋体" w:cs="宋体" w:hint="eastAsia"/>
                <w:b/>
                <w:bCs w:val="0"/>
                <w:kern w:val="2"/>
                <w:sz w:val="21"/>
                <w:szCs w:val="21"/>
                <w:highlight w:val="none"/>
                <w:lang w:val="en-US" w:eastAsia="zh-CN" w:bidi="ar"/>
              </w:rPr>
              <w:t>备注</w:t>
            </w: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△机身构型</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垂直起降固定翼（X8多旋翼+上单翼）</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#翼展</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≥7m</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#机身长度</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≥3.9m</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△最大安全起飞重量</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≥220kg（满油满电）</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△有效任务载荷（高原）</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≥55kg（满油满电，高原）</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#挂点数</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≥4个（焰条播撒器×1 + 探测设备×2 + 光电吊舱×1）</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△最大续航时间</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≥4h（满载荷）</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#满载最大爬升率</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≥1.5 m/s</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#巡航速度</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60～180 km/h</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△最大作业海拔</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color w:val="000000"/>
                <w:szCs w:val="21"/>
                <w:highlight w:val="none"/>
              </w:rPr>
            </w:pPr>
            <w:r>
              <w:rPr>
                <w:rFonts w:ascii="宋体" w:eastAsia="宋体" w:hAnsi="宋体" w:cs="宋体" w:hint="eastAsia"/>
                <w:color w:val="000000"/>
                <w:kern w:val="2"/>
                <w:sz w:val="21"/>
                <w:szCs w:val="21"/>
                <w:highlight w:val="none"/>
                <w:lang w:val="en-US" w:eastAsia="zh-CN" w:bidi="ar"/>
              </w:rPr>
              <w:t>≥7500m</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△防除冰能力</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标配疏水涂层+电加热防除冰</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#飞控系统</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三冗余行业级，集成ADS</w:t>
            </w:r>
            <w:r>
              <w:rPr>
                <w:rFonts w:ascii="宋体" w:eastAsia="宋体" w:hAnsi="宋体" w:cs="宋体" w:hint="eastAsia"/>
                <w:kern w:val="2"/>
                <w:sz w:val="21"/>
                <w:szCs w:val="21"/>
                <w:highlight w:val="none"/>
                <w:lang w:val="en-US" w:eastAsia="zh-CN" w:bidi="ar"/>
              </w:rPr>
              <w:noBreakHyphen/>
            </w:r>
            <w:r>
              <w:rPr>
                <w:rFonts w:ascii="宋体" w:eastAsia="宋体" w:hAnsi="宋体" w:cs="宋体" w:hint="eastAsia"/>
                <w:kern w:val="2"/>
                <w:sz w:val="21"/>
                <w:szCs w:val="21"/>
                <w:highlight w:val="none"/>
                <w:lang w:val="en-US" w:eastAsia="zh-CN" w:bidi="ar"/>
              </w:rPr>
              <w:t>B IN/OUT</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#通信链路</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自组网视距≥200km + 卫星通信备份（≥800km超视距）</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△抗风能力</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空中抗风≥8级，起降抗侧风5级</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#额外供电能力</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≥1kW（供任务载荷使用）</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#工作温度</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-30℃～+45℃</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lang w:bidi="ar"/>
              </w:rPr>
            </w:pPr>
            <w:r>
              <w:rPr>
                <w:rFonts w:ascii="宋体" w:eastAsia="宋体" w:hAnsi="宋体" w:cs="宋体" w:hint="eastAsia"/>
                <w:kern w:val="2"/>
                <w:sz w:val="21"/>
                <w:szCs w:val="21"/>
                <w:highlight w:val="none"/>
                <w:lang w:val="en-US" w:eastAsia="zh-CN" w:bidi="ar"/>
              </w:rPr>
              <w:t>#夜航能力</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lang w:bidi="ar"/>
              </w:rPr>
            </w:pPr>
            <w:r>
              <w:rPr>
                <w:rFonts w:ascii="宋体" w:eastAsia="宋体" w:hAnsi="宋体" w:cs="宋体" w:hint="eastAsia"/>
                <w:kern w:val="2"/>
                <w:sz w:val="21"/>
                <w:szCs w:val="21"/>
                <w:highlight w:val="none"/>
                <w:lang w:val="en-US" w:eastAsia="zh-CN" w:bidi="ar"/>
              </w:rPr>
              <w:t>支持</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△起降方式</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垂直起降，无特殊跑道要求（硬质路面或开阔草地均可）</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△集群能力</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支持不少于10架自组网，MESH带宽≥40Mbps，时延＜20ms</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color w:val="000000"/>
                <w:szCs w:val="21"/>
                <w:highlight w:val="none"/>
              </w:rPr>
            </w:pPr>
            <w:r>
              <w:rPr>
                <w:rFonts w:ascii="宋体" w:eastAsia="宋体" w:hAnsi="宋体" w:cs="宋体" w:hint="eastAsia"/>
                <w:color w:val="000000"/>
                <w:kern w:val="2"/>
                <w:sz w:val="21"/>
                <w:szCs w:val="21"/>
                <w:highlight w:val="none"/>
                <w:lang w:val="en-US" w:eastAsia="zh-CN" w:bidi="ar"/>
              </w:rPr>
              <w:t>*人影催化能力</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可挂载≥8根φ60/1000mm规格的机载焰条；</w:t>
            </w:r>
          </w:p>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可挂载焰弹≥100枚，兼容φ21/128mm主流规格</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color w:val="000000"/>
                <w:szCs w:val="21"/>
                <w:highlight w:val="none"/>
              </w:rPr>
            </w:pPr>
            <w:r>
              <w:rPr>
                <w:rFonts w:ascii="宋体" w:eastAsia="宋体" w:hAnsi="宋体" w:cs="宋体" w:hint="eastAsia"/>
                <w:color w:val="000000"/>
                <w:kern w:val="2"/>
                <w:sz w:val="21"/>
                <w:szCs w:val="21"/>
                <w:highlight w:val="none"/>
                <w:lang w:val="en-US" w:eastAsia="zh-CN" w:bidi="ar"/>
              </w:rPr>
              <w:t>*人影探测能力</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可同时挂载大气数据吊舱、云粒子谱仪、光电吊舱</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p>
        </w:tc>
      </w:tr>
    </w:tbl>
    <w:p>
      <w:pPr>
        <w:widowControl/>
        <w:spacing w:before="0" w:beforeAutospacing="0" w:after="0" w:afterAutospacing="0" w:line="240" w:lineRule="auto"/>
        <w:ind w:firstLine="0"/>
        <w:jc w:val="center"/>
        <w:outlineLvl w:val="9"/>
        <w:rPr>
          <w:rFonts w:ascii="Times New Roman" w:eastAsia="宋体" w:hAnsi="Times New Roman" w:cs="Times New Roman" w:hint="default"/>
          <w:b w:val="0"/>
          <w:bCs w:val="0"/>
          <w:szCs w:val="20"/>
          <w:highlight w:val="none"/>
        </w:rPr>
      </w:pPr>
    </w:p>
    <w:p>
      <w:pPr>
        <w:widowControl/>
        <w:spacing w:line="520" w:lineRule="exact"/>
        <w:ind w:firstLine="420" w:firstLineChars="200"/>
        <w:rPr>
          <w:rFonts w:ascii="宋体" w:eastAsia="宋体" w:hAnsi="宋体" w:cs="宋体" w:hint="eastAsia"/>
          <w:szCs w:val="21"/>
          <w:highlight w:val="none"/>
        </w:rPr>
      </w:pPr>
      <w:r>
        <w:rPr>
          <w:rFonts w:ascii="宋体" w:eastAsia="宋体" w:hAnsi="宋体" w:cs="宋体" w:hint="eastAsia"/>
          <w:szCs w:val="21"/>
          <w:highlight w:val="none"/>
        </w:rPr>
        <w:t>（注：“</w:t>
      </w:r>
      <w:r>
        <w:rPr>
          <w:rFonts w:ascii="宋体" w:eastAsia="宋体" w:hAnsi="宋体" w:cs="宋体" w:hint="eastAsia"/>
          <w:szCs w:val="21"/>
          <w:highlight w:val="none"/>
          <w:lang w:eastAsia="zh-CN"/>
        </w:rPr>
        <w:t>*</w:t>
      </w:r>
      <w:r>
        <w:rPr>
          <w:rFonts w:ascii="宋体" w:eastAsia="宋体" w:hAnsi="宋体" w:cs="宋体" w:hint="eastAsia"/>
          <w:szCs w:val="21"/>
          <w:highlight w:val="none"/>
        </w:rPr>
        <w:t>”为核心项，“△”为关键项</w:t>
      </w:r>
      <w:r>
        <w:rPr>
          <w:rFonts w:ascii="宋体" w:eastAsia="宋体" w:hAnsi="宋体" w:cs="宋体" w:hint="eastAsia"/>
          <w:szCs w:val="21"/>
          <w:highlight w:val="none"/>
          <w:lang w:eastAsia="zh-CN"/>
        </w:rPr>
        <w:t>，“</w:t>
      </w:r>
      <w:r>
        <w:rPr>
          <w:rFonts w:ascii="宋体" w:eastAsia="宋体" w:hAnsi="宋体" w:cs="宋体" w:hint="eastAsia"/>
          <w:szCs w:val="21"/>
          <w:highlight w:val="none"/>
          <w:lang w:val="en-US" w:eastAsia="zh-CN"/>
        </w:rPr>
        <w:t>#</w:t>
      </w:r>
      <w:r>
        <w:rPr>
          <w:rFonts w:ascii="宋体" w:eastAsia="宋体" w:hAnsi="宋体" w:cs="宋体" w:hint="eastAsia"/>
          <w:szCs w:val="21"/>
          <w:highlight w:val="none"/>
          <w:lang w:eastAsia="zh-CN"/>
        </w:rPr>
        <w:t>”</w:t>
      </w:r>
      <w:r>
        <w:rPr>
          <w:rFonts w:ascii="宋体" w:eastAsia="宋体" w:hAnsi="宋体" w:cs="宋体" w:hint="eastAsia"/>
          <w:szCs w:val="21"/>
          <w:highlight w:val="none"/>
          <w:lang w:val="en-US" w:eastAsia="zh-CN"/>
        </w:rPr>
        <w:t>为一般项</w:t>
      </w:r>
      <w:r>
        <w:rPr>
          <w:rFonts w:ascii="宋体" w:eastAsia="宋体" w:hAnsi="宋体" w:cs="宋体" w:hint="eastAsia"/>
          <w:szCs w:val="21"/>
          <w:highlight w:val="none"/>
        </w:rPr>
        <w:t>）</w:t>
      </w:r>
    </w:p>
    <w:p>
      <w:pPr>
        <w:widowControl/>
        <w:spacing w:before="100" w:beforeAutospacing="1" w:after="100" w:afterAutospacing="1" w:line="520" w:lineRule="exact"/>
        <w:ind w:firstLine="562"/>
        <w:jc w:val="left"/>
        <w:outlineLvl w:val="2"/>
        <w:rPr>
          <w:rFonts w:ascii="宋体" w:eastAsia="宋体" w:hAnsi="宋体" w:cs="宋体" w:hint="eastAsia"/>
          <w:b/>
          <w:bCs/>
          <w:kern w:val="0"/>
          <w:sz w:val="28"/>
          <w:szCs w:val="27"/>
          <w:highlight w:val="none"/>
        </w:rPr>
      </w:pPr>
      <w:r>
        <w:rPr>
          <w:rFonts w:ascii="宋体" w:eastAsia="宋体" w:hAnsi="宋体" w:cs="宋体" w:hint="eastAsia"/>
          <w:b/>
          <w:bCs/>
          <w:kern w:val="0"/>
          <w:sz w:val="28"/>
          <w:szCs w:val="27"/>
          <w:highlight w:val="none"/>
        </w:rPr>
        <w:t>3.2 机载大气数据吊舱（云水含量测量仪）性能要求</w:t>
      </w:r>
    </w:p>
    <w:p>
      <w:pPr>
        <w:widowControl/>
        <w:spacing w:before="0" w:beforeAutospacing="0" w:after="0" w:afterAutospacing="0" w:line="240" w:lineRule="auto"/>
        <w:ind w:firstLine="0"/>
        <w:jc w:val="center"/>
        <w:outlineLvl w:val="9"/>
        <w:rPr>
          <w:rFonts w:ascii="Times New Roman" w:eastAsia="宋体" w:hAnsi="Times New Roman" w:cs="Times New Roman" w:hint="default"/>
          <w:b w:val="0"/>
          <w:bCs w:val="0"/>
          <w:szCs w:val="20"/>
          <w:highlight w:val="none"/>
        </w:rPr>
      </w:pPr>
      <w:r>
        <w:rPr>
          <w:rFonts w:ascii="Times New Roman" w:eastAsia="宋体" w:hAnsi="Times New Roman" w:cs="Times New Roman" w:hint="default"/>
          <w:b w:val="0"/>
          <w:bCs w:val="0"/>
          <w:kern w:val="2"/>
          <w:sz w:val="21"/>
          <w:szCs w:val="20"/>
          <w:highlight w:val="none"/>
        </w:rPr>
        <w:t xml:space="preserve">表 </w:t>
      </w:r>
      <w:r>
        <w:rPr>
          <w:rFonts w:ascii="Times New Roman" w:eastAsia="宋体" w:hAnsi="Times New Roman" w:cs="Times New Roman" w:hint="eastAsia"/>
          <w:b w:val="0"/>
          <w:bCs w:val="0"/>
          <w:kern w:val="2"/>
          <w:sz w:val="21"/>
          <w:szCs w:val="20"/>
          <w:highlight w:val="none"/>
          <w:lang w:val="en-US" w:eastAsia="zh-CN"/>
        </w:rPr>
        <w:t>3</w:t>
      </w:r>
      <w:r>
        <w:rPr>
          <w:rFonts w:ascii="Times New Roman" w:eastAsia="宋体" w:hAnsi="Times New Roman" w:cs="Times New Roman" w:hint="default"/>
          <w:b w:val="0"/>
          <w:bCs w:val="0"/>
          <w:kern w:val="2"/>
          <w:sz w:val="21"/>
          <w:szCs w:val="20"/>
          <w:highlight w:val="none"/>
        </w:rPr>
        <w:t>机载大气数据吊舱（云水含量测量仪）性能要求</w:t>
      </w:r>
    </w:p>
    <w:tbl>
      <w:tblPr>
        <w:tblStyle w:val="TableNormal"/>
        <w:tblW w:w="5000" w:type="pct"/>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927"/>
        <w:gridCol w:w="1936"/>
        <w:gridCol w:w="927"/>
        <w:gridCol w:w="1868"/>
        <w:gridCol w:w="2948"/>
      </w:tblGrid>
      <w:tr>
        <w:tblPrEx>
          <w:tblW w:w="5000" w:type="pct"/>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center"/>
              <w:rPr>
                <w:rFonts w:ascii="宋体" w:eastAsia="宋体" w:hAnsi="宋体" w:cs="宋体" w:hint="eastAsia"/>
                <w:b/>
                <w:bCs w:val="0"/>
                <w:szCs w:val="21"/>
                <w:highlight w:val="none"/>
              </w:rPr>
            </w:pPr>
            <w:r>
              <w:rPr>
                <w:rFonts w:ascii="宋体" w:eastAsia="宋体" w:hAnsi="宋体" w:cs="宋体" w:hint="eastAsia"/>
                <w:b/>
                <w:bCs w:val="0"/>
                <w:kern w:val="2"/>
                <w:sz w:val="21"/>
                <w:szCs w:val="21"/>
                <w:highlight w:val="none"/>
                <w:lang w:val="en-US" w:eastAsia="zh-CN" w:bidi="ar"/>
              </w:rPr>
              <w:t>序号</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center"/>
              <w:rPr>
                <w:rFonts w:ascii="宋体" w:eastAsia="宋体" w:hAnsi="宋体" w:cs="宋体" w:hint="eastAsia"/>
                <w:b/>
                <w:bCs w:val="0"/>
                <w:szCs w:val="21"/>
                <w:highlight w:val="none"/>
              </w:rPr>
            </w:pPr>
            <w:r>
              <w:rPr>
                <w:rFonts w:ascii="宋体" w:eastAsia="宋体" w:hAnsi="宋体" w:cs="宋体" w:hint="eastAsia"/>
                <w:b/>
                <w:bCs w:val="0"/>
                <w:kern w:val="2"/>
                <w:sz w:val="21"/>
                <w:szCs w:val="21"/>
                <w:highlight w:val="none"/>
                <w:lang w:val="en-US" w:eastAsia="zh-CN" w:bidi="ar"/>
              </w:rPr>
              <w:t>信号名称</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center"/>
              <w:rPr>
                <w:rFonts w:ascii="宋体" w:eastAsia="宋体" w:hAnsi="宋体" w:cs="宋体" w:hint="eastAsia"/>
                <w:b/>
                <w:bCs w:val="0"/>
                <w:szCs w:val="21"/>
                <w:highlight w:val="none"/>
              </w:rPr>
            </w:pPr>
            <w:r>
              <w:rPr>
                <w:rFonts w:ascii="宋体" w:eastAsia="宋体" w:hAnsi="宋体" w:cs="宋体" w:hint="eastAsia"/>
                <w:b/>
                <w:bCs w:val="0"/>
                <w:kern w:val="2"/>
                <w:sz w:val="21"/>
                <w:szCs w:val="21"/>
                <w:highlight w:val="none"/>
                <w:lang w:val="en-US" w:eastAsia="zh-CN" w:bidi="ar"/>
              </w:rPr>
              <w:t>单位</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center"/>
              <w:rPr>
                <w:rFonts w:ascii="宋体" w:eastAsia="宋体" w:hAnsi="宋体" w:cs="宋体" w:hint="eastAsia"/>
                <w:b/>
                <w:bCs w:val="0"/>
                <w:szCs w:val="21"/>
                <w:highlight w:val="none"/>
              </w:rPr>
            </w:pPr>
            <w:r>
              <w:rPr>
                <w:rFonts w:ascii="宋体" w:eastAsia="宋体" w:hAnsi="宋体" w:cs="宋体" w:hint="eastAsia"/>
                <w:b/>
                <w:bCs w:val="0"/>
                <w:kern w:val="2"/>
                <w:sz w:val="21"/>
                <w:szCs w:val="21"/>
                <w:highlight w:val="none"/>
                <w:lang w:val="en-US" w:eastAsia="zh-CN" w:bidi="ar"/>
              </w:rPr>
              <w:t>范围</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center"/>
              <w:rPr>
                <w:rFonts w:ascii="宋体" w:eastAsia="宋体" w:hAnsi="宋体" w:cs="宋体" w:hint="eastAsia"/>
                <w:b/>
                <w:bCs w:val="0"/>
                <w:szCs w:val="21"/>
                <w:highlight w:val="none"/>
              </w:rPr>
            </w:pPr>
            <w:r>
              <w:rPr>
                <w:rFonts w:ascii="宋体" w:eastAsia="宋体" w:hAnsi="宋体" w:cs="宋体" w:hint="eastAsia"/>
                <w:b/>
                <w:bCs w:val="0"/>
                <w:kern w:val="2"/>
                <w:sz w:val="21"/>
                <w:szCs w:val="21"/>
                <w:highlight w:val="none"/>
                <w:lang w:val="en-US" w:eastAsia="zh-CN" w:bidi="ar"/>
              </w:rPr>
              <w:t>精度</w:t>
            </w:r>
          </w:p>
        </w:tc>
      </w:tr>
      <w:tr>
        <w:tblPrEx>
          <w:tblW w:w="5000" w:type="pct"/>
          <w:tblInd w:w="135"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1</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#大气静压Ps</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hPa</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200～1100</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±0.05%FS</w:t>
            </w:r>
          </w:p>
        </w:tc>
      </w:tr>
      <w:tr>
        <w:tblPrEx>
          <w:tblW w:w="5000" w:type="pct"/>
          <w:tblInd w:w="135"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2</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#大气动压Qc</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hPa</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0～140</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±0.75%FS</w:t>
            </w:r>
          </w:p>
        </w:tc>
      </w:tr>
      <w:tr>
        <w:tblPrEx>
          <w:tblW w:w="5000" w:type="pct"/>
          <w:tblInd w:w="135"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3</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#气压高度Hp</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m</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-200～11000</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最大±40m</w:t>
            </w:r>
          </w:p>
        </w:tc>
      </w:tr>
      <w:tr>
        <w:tblPrEx>
          <w:tblW w:w="5000" w:type="pct"/>
          <w:tblInd w:w="135"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4</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#大气总温Tt</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-40～70</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±1</w:t>
            </w:r>
          </w:p>
        </w:tc>
      </w:tr>
      <w:tr>
        <w:tblPrEx>
          <w:tblW w:w="5000" w:type="pct"/>
          <w:tblInd w:w="135"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5</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#大气静温Ts</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-40～70</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±1</w:t>
            </w:r>
          </w:p>
        </w:tc>
      </w:tr>
      <w:tr>
        <w:tblPrEx>
          <w:tblW w:w="5000" w:type="pct"/>
          <w:tblInd w:w="135"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6</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#水平风速Wt</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m/s</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0～30</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±3</w:t>
            </w:r>
          </w:p>
        </w:tc>
      </w:tr>
      <w:tr>
        <w:tblPrEx>
          <w:tblW w:w="5000" w:type="pct"/>
          <w:tblInd w:w="135"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7</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#水平风向Wd</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0～359.9</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±3</w:t>
            </w:r>
          </w:p>
        </w:tc>
      </w:tr>
      <w:tr>
        <w:tblPrEx>
          <w:tblW w:w="5000" w:type="pct"/>
          <w:tblInd w:w="135"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8</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#垂直风速Wv</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m/s</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-30～30</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±2</w:t>
            </w:r>
          </w:p>
        </w:tc>
      </w:tr>
      <w:tr>
        <w:tblPrEx>
          <w:tblW w:w="5000" w:type="pct"/>
          <w:tblInd w:w="135"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9</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#湿度Ht</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0～100%RH</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±3%RH（20～80%RH）</w:t>
            </w:r>
          </w:p>
        </w:tc>
      </w:tr>
      <w:tr>
        <w:tblPrEx>
          <w:tblW w:w="5000" w:type="pct"/>
          <w:tblInd w:w="135"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10</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△液水含量</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g/m³</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0.003～3</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±10%</w:t>
            </w:r>
          </w:p>
        </w:tc>
      </w:tr>
      <w:tr>
        <w:tblPrEx>
          <w:tblW w:w="5000" w:type="pct"/>
          <w:tblInd w:w="135"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default"/>
                <w:szCs w:val="21"/>
                <w:highlight w:val="none"/>
                <w:lang w:bidi="ar"/>
              </w:rPr>
            </w:pPr>
            <w:r>
              <w:rPr>
                <w:rFonts w:ascii="宋体" w:eastAsia="宋体" w:hAnsi="宋体" w:cs="宋体" w:hint="eastAsia"/>
                <w:kern w:val="2"/>
                <w:sz w:val="21"/>
                <w:szCs w:val="21"/>
                <w:highlight w:val="none"/>
                <w:lang w:val="en-US" w:eastAsia="zh-CN" w:bidi="ar"/>
              </w:rPr>
              <w:t>11</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lang w:bidi="ar"/>
              </w:rPr>
            </w:pPr>
            <w:r>
              <w:rPr>
                <w:rFonts w:ascii="宋体" w:eastAsia="宋体" w:hAnsi="宋体" w:cs="宋体" w:hint="eastAsia"/>
                <w:kern w:val="2"/>
                <w:sz w:val="21"/>
                <w:szCs w:val="21"/>
                <w:highlight w:val="none"/>
                <w:lang w:val="en-US" w:eastAsia="zh-CN" w:bidi="ar"/>
              </w:rPr>
              <w:t>△总水含量</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lang w:bidi="ar"/>
              </w:rPr>
            </w:pPr>
            <w:r>
              <w:rPr>
                <w:rFonts w:ascii="宋体" w:eastAsia="宋体" w:hAnsi="宋体" w:cs="宋体" w:hint="eastAsia"/>
                <w:kern w:val="2"/>
                <w:sz w:val="21"/>
                <w:szCs w:val="21"/>
                <w:highlight w:val="none"/>
                <w:lang w:val="en-US" w:eastAsia="zh-CN" w:bidi="ar"/>
              </w:rPr>
              <w:t>g/m³</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lang w:bidi="ar"/>
              </w:rPr>
            </w:pPr>
            <w:r>
              <w:rPr>
                <w:rFonts w:ascii="宋体" w:eastAsia="宋体" w:hAnsi="宋体" w:cs="宋体" w:hint="eastAsia"/>
                <w:kern w:val="2"/>
                <w:sz w:val="21"/>
                <w:szCs w:val="21"/>
                <w:highlight w:val="none"/>
                <w:lang w:val="en-US" w:eastAsia="zh-CN" w:bidi="ar"/>
              </w:rPr>
              <w:t>0.003～3</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lang w:bidi="ar"/>
              </w:rPr>
            </w:pPr>
            <w:r>
              <w:rPr>
                <w:rFonts w:ascii="宋体" w:eastAsia="宋体" w:hAnsi="宋体" w:cs="宋体" w:hint="eastAsia"/>
                <w:kern w:val="2"/>
                <w:sz w:val="21"/>
                <w:szCs w:val="21"/>
                <w:highlight w:val="none"/>
                <w:lang w:val="en-US" w:eastAsia="zh-CN" w:bidi="ar"/>
              </w:rPr>
              <w:t>±10%</w:t>
            </w:r>
          </w:p>
        </w:tc>
      </w:tr>
    </w:tbl>
    <w:p>
      <w:pPr>
        <w:widowControl/>
        <w:spacing w:before="0" w:beforeAutospacing="0" w:after="0" w:afterAutospacing="0" w:line="240" w:lineRule="auto"/>
        <w:ind w:firstLine="0"/>
        <w:jc w:val="center"/>
        <w:outlineLvl w:val="9"/>
        <w:rPr>
          <w:rFonts w:ascii="Times New Roman" w:eastAsia="宋体" w:hAnsi="Times New Roman" w:cs="Times New Roman" w:hint="default"/>
          <w:b w:val="0"/>
          <w:bCs w:val="0"/>
          <w:szCs w:val="20"/>
          <w:highlight w:val="none"/>
        </w:rPr>
      </w:pP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lang w:eastAsia="zh-CN"/>
        </w:rPr>
        <w:t>#</w:t>
      </w:r>
      <w:r>
        <w:rPr>
          <w:rFonts w:ascii="宋体" w:eastAsia="宋体" w:hAnsi="宋体" w:cs="宋体" w:hint="eastAsia"/>
          <w:sz w:val="28"/>
          <w:szCs w:val="20"/>
          <w:highlight w:val="none"/>
        </w:rPr>
        <w:t>物理特性：尺寸≤640×160×130mm，重量≤3kg，供电28VDC（工作功率≤3W，加热功率≤200W），具备空速管加热防除冰功能。</w:t>
      </w:r>
    </w:p>
    <w:p>
      <w:pPr>
        <w:widowControl/>
        <w:spacing w:before="100" w:beforeAutospacing="1" w:after="100" w:afterAutospacing="1" w:line="520" w:lineRule="exact"/>
        <w:ind w:firstLine="562"/>
        <w:jc w:val="left"/>
        <w:outlineLvl w:val="2"/>
        <w:rPr>
          <w:rFonts w:ascii="宋体" w:eastAsia="宋体" w:hAnsi="宋体" w:cs="宋体" w:hint="eastAsia"/>
          <w:b/>
          <w:bCs/>
          <w:kern w:val="0"/>
          <w:sz w:val="28"/>
          <w:szCs w:val="27"/>
          <w:highlight w:val="none"/>
        </w:rPr>
      </w:pPr>
      <w:r>
        <w:rPr>
          <w:rFonts w:ascii="宋体" w:eastAsia="宋体" w:hAnsi="宋体" w:cs="宋体" w:hint="eastAsia"/>
          <w:b/>
          <w:bCs/>
          <w:kern w:val="0"/>
          <w:sz w:val="28"/>
          <w:szCs w:val="27"/>
          <w:highlight w:val="none"/>
        </w:rPr>
        <w:t>3.3 云粒子谱探测仪（CDP）要求</w:t>
      </w:r>
    </w:p>
    <w:p>
      <w:pPr>
        <w:jc w:val="center"/>
        <w:rPr>
          <w:rFonts w:ascii="宋体" w:eastAsia="宋体" w:hAnsi="宋体" w:cs="宋体" w:hint="eastAsia"/>
          <w:szCs w:val="20"/>
          <w:highlight w:val="none"/>
        </w:rPr>
      </w:pPr>
      <w:r>
        <w:rPr>
          <w:rFonts w:ascii="宋体" w:eastAsia="宋体" w:hAnsi="宋体" w:cs="宋体" w:hint="eastAsia"/>
          <w:szCs w:val="24"/>
          <w:highlight w:val="none"/>
          <w:lang w:val="en-US" w:eastAsia="zh-CN"/>
        </w:rPr>
        <w:t>表4</w:t>
      </w:r>
      <w:r>
        <w:rPr>
          <w:rFonts w:ascii="宋体" w:eastAsia="宋体" w:hAnsi="宋体" w:cs="宋体" w:hint="eastAsia"/>
          <w:szCs w:val="24"/>
          <w:highlight w:val="none"/>
        </w:rPr>
        <w:t>参数要求表</w:t>
      </w:r>
    </w:p>
    <w:tbl>
      <w:tblPr>
        <w:tblStyle w:val="TableNormal"/>
        <w:tblW w:w="5000" w:type="pct"/>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1621"/>
        <w:gridCol w:w="6985"/>
      </w:tblGrid>
      <w:tr>
        <w:tblPrEx>
          <w:tblW w:w="5000" w:type="pct"/>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center"/>
              <w:rPr>
                <w:rFonts w:ascii="宋体" w:eastAsia="宋体" w:hAnsi="宋体" w:cs="宋体" w:hint="eastAsia"/>
                <w:b/>
                <w:bCs w:val="0"/>
                <w:szCs w:val="21"/>
                <w:highlight w:val="none"/>
              </w:rPr>
            </w:pPr>
            <w:r>
              <w:rPr>
                <w:rFonts w:ascii="宋体" w:eastAsia="宋体" w:hAnsi="宋体" w:cs="宋体" w:hint="eastAsia"/>
                <w:b/>
                <w:bCs w:val="0"/>
                <w:kern w:val="2"/>
                <w:sz w:val="21"/>
                <w:szCs w:val="21"/>
                <w:highlight w:val="none"/>
                <w:lang w:val="en-US" w:eastAsia="zh-CN" w:bidi="ar"/>
              </w:rPr>
              <w:t>参数项</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center"/>
              <w:rPr>
                <w:rFonts w:ascii="宋体" w:eastAsia="宋体" w:hAnsi="宋体" w:cs="宋体" w:hint="eastAsia"/>
                <w:b/>
                <w:bCs w:val="0"/>
                <w:szCs w:val="21"/>
                <w:highlight w:val="none"/>
              </w:rPr>
            </w:pPr>
            <w:r>
              <w:rPr>
                <w:rFonts w:ascii="宋体" w:eastAsia="宋体" w:hAnsi="宋体" w:cs="宋体" w:hint="eastAsia"/>
                <w:b/>
                <w:bCs w:val="0"/>
                <w:kern w:val="2"/>
                <w:sz w:val="21"/>
                <w:szCs w:val="21"/>
                <w:highlight w:val="none"/>
                <w:lang w:val="en-US" w:eastAsia="zh-CN" w:bidi="ar"/>
              </w:rPr>
              <w:t>要求</w:t>
            </w: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b/>
                <w:bCs w:val="0"/>
                <w:szCs w:val="21"/>
                <w:highlight w:val="none"/>
                <w:lang w:bidi="ar"/>
              </w:rPr>
            </w:pPr>
            <w:r>
              <w:rPr>
                <w:rFonts w:ascii="宋体" w:eastAsia="宋体" w:hAnsi="宋体" w:cs="宋体" w:hint="eastAsia"/>
                <w:kern w:val="2"/>
                <w:sz w:val="21"/>
                <w:szCs w:val="21"/>
                <w:highlight w:val="none"/>
                <w:lang w:val="en-US" w:eastAsia="zh-CN" w:bidi="ar"/>
              </w:rPr>
              <w:t>#测量参数</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b/>
                <w:bCs w:val="0"/>
                <w:szCs w:val="21"/>
                <w:highlight w:val="none"/>
                <w:lang w:bidi="ar"/>
              </w:rPr>
            </w:pPr>
            <w:r>
              <w:rPr>
                <w:rFonts w:ascii="宋体" w:eastAsia="宋体" w:hAnsi="宋体" w:cs="宋体" w:hint="eastAsia"/>
                <w:kern w:val="2"/>
                <w:sz w:val="21"/>
                <w:szCs w:val="21"/>
                <w:highlight w:val="none"/>
                <w:lang w:val="en-US" w:eastAsia="zh-CN" w:bidi="ar"/>
              </w:rPr>
              <w:t>单粒子光散射、粒子直径、粒子数浓度、液态水含量、有效直径、直径体积</w:t>
            </w: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#测量粒子范围</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2～50μm</w:t>
            </w: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#粒径分布</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32等级</w:t>
            </w: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#采样速率</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1～10Hz</w:t>
            </w: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#工作环境温度</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-30～+40℃</w:t>
            </w:r>
          </w:p>
        </w:tc>
      </w:tr>
    </w:tbl>
    <w:p>
      <w:pPr>
        <w:ind w:firstLine="560" w:firstLineChars="200"/>
        <w:jc w:val="left"/>
        <w:rPr>
          <w:rFonts w:ascii="宋体" w:eastAsia="宋体" w:hAnsi="宋体" w:cs="宋体" w:hint="eastAsia"/>
          <w:szCs w:val="20"/>
          <w:highlight w:val="none"/>
        </w:rPr>
      </w:pPr>
      <w:r>
        <w:rPr>
          <w:rFonts w:ascii="宋体" w:eastAsia="宋体" w:hAnsi="宋体" w:cs="宋体" w:hint="eastAsia"/>
          <w:b w:val="0"/>
          <w:bCs w:val="0"/>
          <w:kern w:val="2"/>
          <w:sz w:val="28"/>
          <w:szCs w:val="20"/>
          <w:highlight w:val="none"/>
          <w:lang w:eastAsia="zh-CN"/>
        </w:rPr>
        <w:t>#</w:t>
      </w:r>
      <w:r>
        <w:rPr>
          <w:rFonts w:ascii="宋体" w:eastAsia="宋体" w:hAnsi="宋体" w:cs="宋体" w:hint="eastAsia"/>
          <w:b w:val="0"/>
          <w:bCs w:val="0"/>
          <w:kern w:val="2"/>
          <w:sz w:val="28"/>
          <w:szCs w:val="20"/>
          <w:highlight w:val="none"/>
        </w:rPr>
        <w:t>物理</w:t>
      </w:r>
      <w:r>
        <w:rPr>
          <w:rFonts w:ascii="宋体" w:eastAsia="宋体" w:hAnsi="宋体" w:cs="宋体" w:hint="eastAsia"/>
          <w:sz w:val="28"/>
          <w:szCs w:val="20"/>
          <w:highlight w:val="none"/>
        </w:rPr>
        <w:t>特性</w:t>
      </w:r>
      <w:r>
        <w:rPr>
          <w:rFonts w:ascii="宋体" w:eastAsia="宋体" w:hAnsi="宋体" w:cs="宋体" w:hint="eastAsia"/>
          <w:b w:val="0"/>
          <w:bCs w:val="0"/>
          <w:kern w:val="2"/>
          <w:sz w:val="28"/>
          <w:szCs w:val="20"/>
          <w:highlight w:val="none"/>
        </w:rPr>
        <w:t>：</w:t>
      </w:r>
      <w:r>
        <w:rPr>
          <w:rFonts w:ascii="宋体" w:eastAsia="宋体" w:hAnsi="宋体" w:cs="宋体" w:hint="eastAsia"/>
          <w:sz w:val="28"/>
          <w:szCs w:val="20"/>
          <w:highlight w:val="none"/>
        </w:rPr>
        <w:t>探头尺寸≤300</w:t>
      </w:r>
      <w:r>
        <w:rPr>
          <w:rFonts w:ascii="宋体" w:eastAsia="宋体" w:hAnsi="宋体" w:cs="宋体"/>
          <w:sz w:val="28"/>
          <w:szCs w:val="20"/>
          <w:highlight w:val="none"/>
        </w:rPr>
        <w:t>×</w:t>
      </w:r>
      <w:r>
        <w:rPr>
          <w:rFonts w:ascii="宋体" w:eastAsia="宋体" w:hAnsi="宋体" w:cs="宋体" w:hint="eastAsia"/>
          <w:sz w:val="28"/>
          <w:szCs w:val="20"/>
          <w:highlight w:val="none"/>
        </w:rPr>
        <w:t>200</w:t>
      </w:r>
      <w:r>
        <w:rPr>
          <w:rFonts w:ascii="宋体" w:eastAsia="宋体" w:hAnsi="宋体" w:cs="宋体"/>
          <w:sz w:val="28"/>
          <w:szCs w:val="20"/>
          <w:highlight w:val="none"/>
        </w:rPr>
        <w:t>×</w:t>
      </w:r>
      <w:r>
        <w:rPr>
          <w:rFonts w:ascii="宋体" w:eastAsia="宋体" w:hAnsi="宋体" w:cs="宋体" w:hint="eastAsia"/>
          <w:sz w:val="28"/>
          <w:szCs w:val="20"/>
          <w:highlight w:val="none"/>
        </w:rPr>
        <w:t>230mm，重量≤2kg；供电</w:t>
      </w:r>
      <w:r>
        <w:rPr>
          <w:rFonts w:ascii="宋体" w:eastAsia="宋体" w:hAnsi="宋体" w:cs="宋体"/>
          <w:sz w:val="28"/>
          <w:szCs w:val="20"/>
          <w:highlight w:val="none"/>
        </w:rPr>
        <w:t>28VDC</w:t>
      </w:r>
      <w:r>
        <w:rPr>
          <w:rFonts w:ascii="宋体" w:eastAsia="宋体" w:hAnsi="宋体" w:cs="宋体" w:hint="eastAsia"/>
          <w:sz w:val="28"/>
          <w:szCs w:val="20"/>
          <w:highlight w:val="none"/>
        </w:rPr>
        <w:t>，最大不超过2A。</w:t>
      </w:r>
    </w:p>
    <w:p>
      <w:pPr>
        <w:widowControl/>
        <w:spacing w:before="100" w:beforeAutospacing="1" w:after="100" w:afterAutospacing="1" w:line="520" w:lineRule="exact"/>
        <w:ind w:firstLine="562"/>
        <w:jc w:val="left"/>
        <w:outlineLvl w:val="2"/>
        <w:rPr>
          <w:rFonts w:ascii="宋体" w:eastAsia="宋体" w:hAnsi="宋体" w:cs="宋体" w:hint="eastAsia"/>
          <w:b/>
          <w:bCs/>
          <w:kern w:val="0"/>
          <w:sz w:val="28"/>
          <w:szCs w:val="27"/>
          <w:highlight w:val="none"/>
        </w:rPr>
      </w:pPr>
      <w:r>
        <w:rPr>
          <w:rFonts w:ascii="宋体" w:eastAsia="宋体" w:hAnsi="宋体" w:cs="宋体" w:hint="eastAsia"/>
          <w:b/>
          <w:bCs/>
          <w:kern w:val="0"/>
          <w:sz w:val="28"/>
          <w:szCs w:val="27"/>
          <w:highlight w:val="none"/>
        </w:rPr>
        <w:t>3.4 双光光电吊舱要求</w:t>
      </w:r>
    </w:p>
    <w:p>
      <w:pPr>
        <w:widowControl/>
        <w:spacing w:before="100" w:beforeAutospacing="1" w:after="100" w:afterAutospacing="1" w:line="520" w:lineRule="exact"/>
        <w:jc w:val="center"/>
        <w:outlineLvl w:val="2"/>
        <w:rPr>
          <w:rFonts w:ascii="宋体" w:eastAsia="宋体" w:hAnsi="宋体" w:cs="宋体" w:hint="eastAsia"/>
          <w:szCs w:val="20"/>
          <w:highlight w:val="none"/>
        </w:rPr>
      </w:pPr>
      <w:r>
        <w:rPr>
          <w:rFonts w:ascii="宋体" w:eastAsia="宋体" w:hAnsi="宋体" w:cs="宋体" w:hint="eastAsia"/>
          <w:szCs w:val="24"/>
          <w:highlight w:val="none"/>
          <w:lang w:val="en-US" w:eastAsia="zh-CN"/>
        </w:rPr>
        <w:t>表5</w:t>
      </w:r>
      <w:r>
        <w:rPr>
          <w:rFonts w:ascii="宋体" w:eastAsia="宋体" w:hAnsi="宋体" w:cs="宋体" w:hint="eastAsia"/>
          <w:szCs w:val="24"/>
          <w:highlight w:val="none"/>
        </w:rPr>
        <w:t>产品规格表</w:t>
      </w:r>
    </w:p>
    <w:tbl>
      <w:tblPr>
        <w:tblStyle w:val="TableNormal"/>
        <w:tblW w:w="5000" w:type="pct"/>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1083"/>
        <w:gridCol w:w="1335"/>
        <w:gridCol w:w="6188"/>
      </w:tblGrid>
      <w:tr>
        <w:tblPrEx>
          <w:tblW w:w="5000" w:type="pct"/>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c>
          <w:tcPr>
            <w:tcW w:w="629"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line="320" w:lineRule="exact"/>
              <w:ind w:left="0" w:right="0"/>
              <w:jc w:val="center"/>
              <w:rPr>
                <w:rFonts w:ascii="宋体" w:eastAsia="宋体" w:hAnsi="宋体" w:cs="宋体" w:hint="eastAsia"/>
                <w:b/>
                <w:bCs w:val="0"/>
                <w:szCs w:val="21"/>
                <w:highlight w:val="none"/>
              </w:rPr>
            </w:pPr>
            <w:r>
              <w:rPr>
                <w:rFonts w:ascii="宋体" w:eastAsia="宋体" w:hAnsi="宋体" w:cs="宋体" w:hint="eastAsia"/>
                <w:b/>
                <w:bCs w:val="0"/>
                <w:kern w:val="2"/>
                <w:sz w:val="21"/>
                <w:szCs w:val="21"/>
                <w:highlight w:val="none"/>
                <w:lang w:val="en-US" w:eastAsia="zh-CN" w:bidi="ar"/>
              </w:rPr>
              <w:t>序号</w:t>
            </w:r>
          </w:p>
        </w:tc>
        <w:tc>
          <w:tcPr>
            <w:tcW w:w="776" w:type="pct"/>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line="320" w:lineRule="exact"/>
              <w:ind w:left="0" w:right="0"/>
              <w:jc w:val="center"/>
              <w:rPr>
                <w:rFonts w:ascii="Times New Roman" w:eastAsia="宋体" w:hAnsi="Times New Roman" w:cs="Times New Roman" w:hint="default"/>
                <w:b/>
                <w:bCs w:val="0"/>
                <w:szCs w:val="21"/>
                <w:highlight w:val="none"/>
              </w:rPr>
            </w:pPr>
            <w:r>
              <w:rPr>
                <w:rFonts w:ascii="宋体" w:eastAsia="宋体" w:hAnsi="宋体" w:cs="宋体" w:hint="eastAsia"/>
                <w:b/>
                <w:bCs w:val="0"/>
                <w:kern w:val="2"/>
                <w:sz w:val="21"/>
                <w:szCs w:val="21"/>
                <w:highlight w:val="none"/>
                <w:lang w:val="en-US" w:eastAsia="zh-CN" w:bidi="ar"/>
              </w:rPr>
              <w:t>参数项</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line="320" w:lineRule="exact"/>
              <w:ind w:left="0" w:right="0"/>
              <w:jc w:val="center"/>
              <w:rPr>
                <w:rFonts w:ascii="Times New Roman" w:eastAsia="宋体" w:hAnsi="Times New Roman" w:cs="Times New Roman" w:hint="default"/>
                <w:b/>
                <w:bCs w:val="0"/>
                <w:szCs w:val="21"/>
                <w:highlight w:val="none"/>
              </w:rPr>
            </w:pPr>
            <w:r>
              <w:rPr>
                <w:rFonts w:ascii="宋体" w:eastAsia="宋体" w:hAnsi="宋体" w:cs="宋体" w:hint="eastAsia"/>
                <w:b/>
                <w:bCs w:val="0"/>
                <w:kern w:val="2"/>
                <w:sz w:val="21"/>
                <w:szCs w:val="21"/>
                <w:highlight w:val="none"/>
                <w:lang w:val="en-US" w:eastAsia="zh-CN" w:bidi="ar"/>
              </w:rPr>
              <w:t>性能参数</w:t>
            </w:r>
          </w:p>
        </w:tc>
      </w:tr>
      <w:tr>
        <w:tblPrEx>
          <w:tblW w:w="5000" w:type="pct"/>
          <w:tblInd w:w="-42" w:type="dxa"/>
          <w:tblCellMar>
            <w:top w:w="0" w:type="dxa"/>
            <w:left w:w="0" w:type="dxa"/>
            <w:bottom w:w="0" w:type="dxa"/>
            <w:right w:w="0" w:type="dxa"/>
          </w:tblCellMar>
        </w:tblPrEx>
        <w:tc>
          <w:tcPr>
            <w:tcW w:w="629"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numPr>
                <w:ilvl w:val="0"/>
                <w:numId w:val="4"/>
              </w:numPr>
              <w:suppressLineNumbers w:val="0"/>
              <w:spacing w:before="0" w:beforeAutospacing="0" w:after="0" w:afterAutospacing="0" w:line="320" w:lineRule="exact"/>
              <w:ind w:left="440" w:right="0" w:hanging="440"/>
              <w:jc w:val="left"/>
              <w:rPr>
                <w:rFonts w:ascii="Times New Roman" w:eastAsia="宋体" w:hAnsi="Times New Roman" w:cs="Times New Roman" w:hint="default"/>
                <w:szCs w:val="21"/>
                <w:highlight w:val="none"/>
              </w:rPr>
            </w:pPr>
          </w:p>
        </w:tc>
        <w:tc>
          <w:tcPr>
            <w:tcW w:w="776" w:type="pct"/>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line="320" w:lineRule="exact"/>
              <w:ind w:left="0" w:right="0"/>
              <w:jc w:val="left"/>
              <w:rPr>
                <w:rFonts w:ascii="Times New Roman" w:eastAsia="宋体" w:hAnsi="Times New Roman" w:cs="Times New Roman" w:hint="default"/>
                <w:szCs w:val="21"/>
                <w:highlight w:val="none"/>
              </w:rPr>
            </w:pPr>
            <w:r>
              <w:rPr>
                <w:rFonts w:ascii="宋体" w:eastAsia="宋体" w:hAnsi="宋体" w:cs="宋体" w:hint="eastAsia"/>
                <w:kern w:val="2"/>
                <w:sz w:val="21"/>
                <w:szCs w:val="21"/>
                <w:highlight w:val="none"/>
                <w:lang w:val="en-US" w:eastAsia="zh-CN" w:bidi="ar"/>
              </w:rPr>
              <w:t>#像素</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line="320" w:lineRule="exact"/>
              <w:ind w:left="0" w:right="0"/>
              <w:jc w:val="left"/>
              <w:rPr>
                <w:rFonts w:ascii="Times New Roman" w:eastAsia="宋体" w:hAnsi="Times New Roman" w:cs="Times New Roman" w:hint="default"/>
                <w:szCs w:val="21"/>
                <w:highlight w:val="none"/>
              </w:rPr>
            </w:pPr>
            <w:r>
              <w:rPr>
                <w:rFonts w:ascii="宋体" w:eastAsia="宋体" w:hAnsi="宋体" w:cs="宋体" w:hint="eastAsia"/>
                <w:kern w:val="2"/>
                <w:sz w:val="21"/>
                <w:szCs w:val="21"/>
                <w:highlight w:val="none"/>
                <w:lang w:val="en-US" w:eastAsia="zh-CN" w:bidi="ar"/>
              </w:rPr>
              <w:t>≥</w:t>
            </w:r>
            <w:r>
              <w:rPr>
                <w:rFonts w:ascii="Times New Roman" w:eastAsia="宋体" w:hAnsi="Times New Roman" w:cs="Times New Roman" w:hint="default"/>
                <w:kern w:val="2"/>
                <w:sz w:val="21"/>
                <w:szCs w:val="21"/>
                <w:highlight w:val="none"/>
                <w:lang w:val="en-US" w:eastAsia="zh-CN" w:bidi="ar"/>
              </w:rPr>
              <w:t>500</w:t>
            </w:r>
            <w:r>
              <w:rPr>
                <w:rFonts w:ascii="宋体" w:eastAsia="宋体" w:hAnsi="宋体" w:cs="宋体" w:hint="eastAsia"/>
                <w:kern w:val="2"/>
                <w:sz w:val="21"/>
                <w:szCs w:val="21"/>
                <w:highlight w:val="none"/>
                <w:lang w:val="en-US" w:eastAsia="zh-CN" w:bidi="ar"/>
              </w:rPr>
              <w:t>万像素</w:t>
            </w:r>
          </w:p>
        </w:tc>
      </w:tr>
      <w:tr>
        <w:tblPrEx>
          <w:tblW w:w="5000" w:type="pct"/>
          <w:tblInd w:w="-42" w:type="dxa"/>
          <w:tblCellMar>
            <w:top w:w="0" w:type="dxa"/>
            <w:left w:w="0" w:type="dxa"/>
            <w:bottom w:w="0" w:type="dxa"/>
            <w:right w:w="0" w:type="dxa"/>
          </w:tblCellMar>
        </w:tblPrEx>
        <w:tc>
          <w:tcPr>
            <w:tcW w:w="629"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numPr>
                <w:ilvl w:val="0"/>
                <w:numId w:val="4"/>
              </w:numPr>
              <w:suppressLineNumbers w:val="0"/>
              <w:spacing w:before="0" w:beforeAutospacing="0" w:after="0" w:afterAutospacing="0" w:line="320" w:lineRule="exact"/>
              <w:ind w:left="440" w:right="0" w:hanging="440"/>
              <w:jc w:val="left"/>
              <w:rPr>
                <w:rFonts w:ascii="Times New Roman" w:eastAsia="宋体" w:hAnsi="Times New Roman" w:cs="Times New Roman" w:hint="default"/>
                <w:szCs w:val="21"/>
                <w:highlight w:val="none"/>
              </w:rPr>
            </w:pPr>
          </w:p>
        </w:tc>
        <w:tc>
          <w:tcPr>
            <w:tcW w:w="776" w:type="pct"/>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line="320" w:lineRule="exact"/>
              <w:ind w:left="0" w:right="0"/>
              <w:jc w:val="left"/>
              <w:rPr>
                <w:rFonts w:ascii="Times New Roman" w:eastAsia="宋体" w:hAnsi="Times New Roman" w:cs="Times New Roman" w:hint="default"/>
                <w:szCs w:val="21"/>
                <w:highlight w:val="none"/>
              </w:rPr>
            </w:pPr>
            <w:r>
              <w:rPr>
                <w:rFonts w:ascii="宋体" w:eastAsia="宋体" w:hAnsi="宋体" w:cs="宋体" w:hint="eastAsia"/>
                <w:kern w:val="2"/>
                <w:sz w:val="21"/>
                <w:szCs w:val="21"/>
                <w:highlight w:val="none"/>
                <w:lang w:val="en-US" w:eastAsia="zh-CN" w:bidi="ar"/>
              </w:rPr>
              <w:t>#光学变焦</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line="320" w:lineRule="exact"/>
              <w:ind w:left="0" w:right="0"/>
              <w:jc w:val="left"/>
              <w:rPr>
                <w:rFonts w:ascii="Times New Roman" w:eastAsia="宋体" w:hAnsi="Times New Roman" w:cs="Times New Roman" w:hint="default"/>
                <w:szCs w:val="21"/>
                <w:highlight w:val="none"/>
              </w:rPr>
            </w:pPr>
            <w:r>
              <w:rPr>
                <w:rFonts w:ascii="Times New Roman" w:eastAsia="宋体" w:hAnsi="Times New Roman" w:cs="Times New Roman" w:hint="default"/>
                <w:kern w:val="2"/>
                <w:sz w:val="21"/>
                <w:szCs w:val="21"/>
                <w:highlight w:val="none"/>
                <w:lang w:val="en-US" w:eastAsia="zh-CN" w:bidi="ar"/>
              </w:rPr>
              <w:t>10</w:t>
            </w:r>
            <w:r>
              <w:rPr>
                <w:rFonts w:ascii="宋体" w:eastAsia="宋体" w:hAnsi="宋体" w:cs="宋体" w:hint="eastAsia"/>
                <w:kern w:val="2"/>
                <w:sz w:val="21"/>
                <w:szCs w:val="21"/>
                <w:highlight w:val="none"/>
                <w:lang w:val="en-US" w:eastAsia="zh-CN" w:bidi="ar"/>
              </w:rPr>
              <w:t>倍，</w:t>
            </w:r>
            <w:r>
              <w:rPr>
                <w:rFonts w:ascii="Times New Roman" w:eastAsia="宋体" w:hAnsi="Times New Roman" w:cs="Times New Roman" w:hint="default"/>
                <w:kern w:val="2"/>
                <w:sz w:val="21"/>
                <w:szCs w:val="21"/>
                <w:highlight w:val="none"/>
                <w:lang w:val="en-US" w:eastAsia="zh-CN" w:bidi="ar"/>
              </w:rPr>
              <w:t>5.13MP</w:t>
            </w:r>
            <w:r>
              <w:rPr>
                <w:rFonts w:ascii="宋体" w:eastAsia="宋体" w:hAnsi="宋体" w:cs="宋体" w:hint="eastAsia"/>
                <w:kern w:val="2"/>
                <w:sz w:val="21"/>
                <w:szCs w:val="21"/>
                <w:highlight w:val="none"/>
                <w:lang w:val="en-US" w:eastAsia="zh-CN" w:bidi="ar"/>
              </w:rPr>
              <w:t>有效像素</w:t>
            </w:r>
          </w:p>
        </w:tc>
      </w:tr>
      <w:tr>
        <w:tblPrEx>
          <w:tblW w:w="5000" w:type="pct"/>
          <w:tblInd w:w="-42" w:type="dxa"/>
          <w:tblCellMar>
            <w:top w:w="0" w:type="dxa"/>
            <w:left w:w="0" w:type="dxa"/>
            <w:bottom w:w="0" w:type="dxa"/>
            <w:right w:w="0" w:type="dxa"/>
          </w:tblCellMar>
        </w:tblPrEx>
        <w:tc>
          <w:tcPr>
            <w:tcW w:w="629"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numPr>
                <w:ilvl w:val="0"/>
                <w:numId w:val="4"/>
              </w:numPr>
              <w:suppressLineNumbers w:val="0"/>
              <w:spacing w:before="0" w:beforeAutospacing="0" w:after="0" w:afterAutospacing="0" w:line="320" w:lineRule="exact"/>
              <w:ind w:left="440" w:right="0" w:hanging="440"/>
              <w:jc w:val="left"/>
              <w:rPr>
                <w:rFonts w:ascii="Times New Roman" w:eastAsia="宋体" w:hAnsi="Times New Roman" w:cs="Times New Roman" w:hint="default"/>
                <w:szCs w:val="21"/>
                <w:highlight w:val="none"/>
              </w:rPr>
            </w:pPr>
          </w:p>
        </w:tc>
        <w:tc>
          <w:tcPr>
            <w:tcW w:w="776" w:type="pct"/>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line="320" w:lineRule="exact"/>
              <w:ind w:left="0" w:right="0"/>
              <w:jc w:val="left"/>
              <w:rPr>
                <w:rFonts w:ascii="Times New Roman" w:eastAsia="宋体" w:hAnsi="Times New Roman" w:cs="Times New Roman" w:hint="default"/>
                <w:szCs w:val="21"/>
                <w:highlight w:val="none"/>
              </w:rPr>
            </w:pPr>
            <w:r>
              <w:rPr>
                <w:rFonts w:ascii="宋体" w:eastAsia="宋体" w:hAnsi="宋体" w:cs="宋体" w:hint="eastAsia"/>
                <w:kern w:val="2"/>
                <w:sz w:val="21"/>
                <w:szCs w:val="21"/>
                <w:highlight w:val="none"/>
                <w:lang w:val="en-US" w:eastAsia="zh-CN" w:bidi="ar"/>
              </w:rPr>
              <w:t>#热成像仪</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line="320" w:lineRule="exact"/>
              <w:ind w:left="0" w:right="0"/>
              <w:jc w:val="left"/>
              <w:rPr>
                <w:rFonts w:ascii="Times New Roman" w:eastAsia="宋体" w:hAnsi="Times New Roman" w:cs="Times New Roman" w:hint="default"/>
                <w:szCs w:val="21"/>
                <w:highlight w:val="none"/>
              </w:rPr>
            </w:pPr>
            <w:r>
              <w:rPr>
                <w:rFonts w:ascii="宋体" w:eastAsia="宋体" w:hAnsi="宋体" w:cs="宋体" w:hint="eastAsia"/>
                <w:kern w:val="2"/>
                <w:sz w:val="21"/>
                <w:szCs w:val="21"/>
                <w:highlight w:val="none"/>
                <w:lang w:val="en-US" w:eastAsia="zh-CN" w:bidi="ar"/>
              </w:rPr>
              <w:t>≥</w:t>
            </w:r>
            <w:r>
              <w:rPr>
                <w:rFonts w:ascii="Times New Roman" w:eastAsia="宋体" w:hAnsi="Times New Roman" w:cs="Times New Roman" w:hint="default"/>
                <w:kern w:val="2"/>
                <w:sz w:val="21"/>
                <w:szCs w:val="21"/>
                <w:highlight w:val="none"/>
                <w:lang w:val="en-US" w:eastAsia="zh-CN" w:bidi="ar"/>
              </w:rPr>
              <w:t>640×512</w:t>
            </w:r>
            <w:r>
              <w:rPr>
                <w:rFonts w:ascii="宋体" w:eastAsia="宋体" w:hAnsi="宋体" w:cs="宋体" w:hint="eastAsia"/>
                <w:kern w:val="2"/>
                <w:sz w:val="21"/>
                <w:szCs w:val="21"/>
                <w:highlight w:val="none"/>
                <w:lang w:val="en-US" w:eastAsia="zh-CN" w:bidi="ar"/>
              </w:rPr>
              <w:t>分辨率，</w:t>
            </w:r>
            <w:r>
              <w:rPr>
                <w:rFonts w:ascii="Times New Roman" w:eastAsia="宋体" w:hAnsi="Times New Roman" w:cs="Times New Roman" w:hint="default"/>
                <w:kern w:val="2"/>
                <w:sz w:val="21"/>
                <w:szCs w:val="21"/>
                <w:highlight w:val="none"/>
                <w:lang w:val="en-US" w:eastAsia="zh-CN" w:bidi="ar"/>
              </w:rPr>
              <w:t>8</w:t>
            </w:r>
            <w:r>
              <w:rPr>
                <w:rFonts w:ascii="宋体" w:eastAsia="宋体" w:hAnsi="宋体" w:cs="宋体" w:hint="eastAsia"/>
                <w:kern w:val="2"/>
                <w:sz w:val="21"/>
                <w:szCs w:val="21"/>
                <w:highlight w:val="none"/>
                <w:lang w:val="en-US" w:eastAsia="zh-CN" w:bidi="ar"/>
              </w:rPr>
              <w:t>倍数码变焦</w:t>
            </w:r>
          </w:p>
        </w:tc>
      </w:tr>
      <w:tr>
        <w:tblPrEx>
          <w:tblW w:w="5000" w:type="pct"/>
          <w:tblInd w:w="-42" w:type="dxa"/>
          <w:tblCellMar>
            <w:top w:w="0" w:type="dxa"/>
            <w:left w:w="0" w:type="dxa"/>
            <w:bottom w:w="0" w:type="dxa"/>
            <w:right w:w="0" w:type="dxa"/>
          </w:tblCellMar>
        </w:tblPrEx>
        <w:tc>
          <w:tcPr>
            <w:tcW w:w="629"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numPr>
                <w:ilvl w:val="0"/>
                <w:numId w:val="4"/>
              </w:numPr>
              <w:suppressLineNumbers w:val="0"/>
              <w:spacing w:before="0" w:beforeAutospacing="0" w:after="0" w:afterAutospacing="0" w:line="320" w:lineRule="exact"/>
              <w:ind w:left="440" w:right="0" w:hanging="440"/>
              <w:jc w:val="left"/>
              <w:rPr>
                <w:rFonts w:ascii="Times New Roman" w:eastAsia="宋体" w:hAnsi="Times New Roman" w:cs="Times New Roman" w:hint="default"/>
                <w:szCs w:val="21"/>
                <w:highlight w:val="none"/>
              </w:rPr>
            </w:pPr>
          </w:p>
        </w:tc>
        <w:tc>
          <w:tcPr>
            <w:tcW w:w="776" w:type="pct"/>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line="320" w:lineRule="exact"/>
              <w:ind w:left="0" w:right="0"/>
              <w:jc w:val="left"/>
              <w:rPr>
                <w:rFonts w:ascii="Times New Roman" w:eastAsia="宋体" w:hAnsi="Times New Roman" w:cs="Times New Roman" w:hint="default"/>
                <w:szCs w:val="21"/>
                <w:highlight w:val="none"/>
              </w:rPr>
            </w:pPr>
            <w:r>
              <w:rPr>
                <w:rFonts w:ascii="宋体" w:eastAsia="宋体" w:hAnsi="宋体" w:cs="宋体" w:hint="eastAsia"/>
                <w:kern w:val="2"/>
                <w:sz w:val="21"/>
                <w:szCs w:val="21"/>
                <w:highlight w:val="none"/>
                <w:lang w:val="en-US" w:eastAsia="zh-CN" w:bidi="ar"/>
              </w:rPr>
              <w:t>#定位和高度</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line="320" w:lineRule="exact"/>
              <w:ind w:left="0" w:right="0"/>
              <w:jc w:val="left"/>
              <w:rPr>
                <w:rFonts w:ascii="Times New Roman" w:eastAsia="宋体" w:hAnsi="Times New Roman" w:cs="Times New Roman" w:hint="default"/>
                <w:szCs w:val="21"/>
                <w:highlight w:val="none"/>
              </w:rPr>
            </w:pPr>
            <w:r>
              <w:rPr>
                <w:rFonts w:ascii="Times New Roman" w:eastAsia="宋体" w:hAnsi="Times New Roman" w:cs="Times New Roman" w:hint="default"/>
                <w:kern w:val="2"/>
                <w:sz w:val="21"/>
                <w:szCs w:val="21"/>
                <w:highlight w:val="none"/>
                <w:lang w:val="en-US" w:eastAsia="zh-CN" w:bidi="ar"/>
              </w:rPr>
              <w:t>GPS</w:t>
            </w:r>
            <w:r>
              <w:rPr>
                <w:rFonts w:ascii="宋体" w:eastAsia="宋体" w:hAnsi="宋体" w:cs="宋体" w:hint="eastAsia"/>
                <w:kern w:val="2"/>
                <w:sz w:val="21"/>
                <w:szCs w:val="21"/>
                <w:highlight w:val="none"/>
                <w:lang w:val="en-US" w:eastAsia="zh-CN" w:bidi="ar"/>
              </w:rPr>
              <w:t>经纬度及高度</w:t>
            </w:r>
          </w:p>
        </w:tc>
      </w:tr>
      <w:tr>
        <w:tblPrEx>
          <w:tblW w:w="5000" w:type="pct"/>
          <w:tblInd w:w="-42" w:type="dxa"/>
          <w:tblCellMar>
            <w:top w:w="0" w:type="dxa"/>
            <w:left w:w="0" w:type="dxa"/>
            <w:bottom w:w="0" w:type="dxa"/>
            <w:right w:w="0" w:type="dxa"/>
          </w:tblCellMar>
        </w:tblPrEx>
        <w:tc>
          <w:tcPr>
            <w:tcW w:w="629"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numPr>
                <w:ilvl w:val="0"/>
                <w:numId w:val="4"/>
              </w:numPr>
              <w:suppressLineNumbers w:val="0"/>
              <w:spacing w:before="0" w:beforeAutospacing="0" w:after="0" w:afterAutospacing="0" w:line="320" w:lineRule="exact"/>
              <w:ind w:left="440" w:right="0" w:hanging="440"/>
              <w:jc w:val="left"/>
              <w:rPr>
                <w:rFonts w:ascii="Times New Roman" w:eastAsia="宋体" w:hAnsi="Times New Roman" w:cs="Times New Roman" w:hint="default"/>
                <w:szCs w:val="21"/>
                <w:highlight w:val="none"/>
              </w:rPr>
            </w:pPr>
          </w:p>
        </w:tc>
        <w:tc>
          <w:tcPr>
            <w:tcW w:w="776" w:type="pct"/>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line="320" w:lineRule="exact"/>
              <w:ind w:left="0" w:right="0"/>
              <w:jc w:val="left"/>
              <w:rPr>
                <w:rFonts w:ascii="Times New Roman" w:eastAsia="宋体" w:hAnsi="Times New Roman" w:cs="Times New Roman" w:hint="default"/>
                <w:szCs w:val="21"/>
                <w:highlight w:val="none"/>
              </w:rPr>
            </w:pPr>
            <w:r>
              <w:rPr>
                <w:rFonts w:ascii="宋体" w:eastAsia="宋体" w:hAnsi="宋体" w:cs="宋体" w:hint="eastAsia"/>
                <w:kern w:val="2"/>
                <w:sz w:val="21"/>
                <w:szCs w:val="21"/>
                <w:highlight w:val="none"/>
                <w:lang w:val="en-US" w:eastAsia="zh-CN" w:bidi="ar"/>
              </w:rPr>
              <w:t>#防抖</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line="320" w:lineRule="exact"/>
              <w:ind w:left="0" w:right="0"/>
              <w:jc w:val="left"/>
              <w:rPr>
                <w:rFonts w:ascii="Times New Roman" w:eastAsia="宋体" w:hAnsi="Times New Roman" w:cs="Times New Roman" w:hint="default"/>
                <w:szCs w:val="21"/>
                <w:highlight w:val="none"/>
              </w:rPr>
            </w:pPr>
            <w:r>
              <w:rPr>
                <w:rFonts w:ascii="宋体" w:eastAsia="宋体" w:hAnsi="宋体" w:cs="宋体" w:hint="eastAsia"/>
                <w:kern w:val="2"/>
                <w:sz w:val="21"/>
                <w:szCs w:val="21"/>
                <w:highlight w:val="none"/>
                <w:lang w:val="en-US" w:eastAsia="zh-CN" w:bidi="ar"/>
              </w:rPr>
              <w:t>三轴增稳防抖</w:t>
            </w:r>
          </w:p>
        </w:tc>
      </w:tr>
      <w:tr>
        <w:tblPrEx>
          <w:tblW w:w="5000" w:type="pct"/>
          <w:tblInd w:w="-42" w:type="dxa"/>
          <w:tblCellMar>
            <w:top w:w="0" w:type="dxa"/>
            <w:left w:w="0" w:type="dxa"/>
            <w:bottom w:w="0" w:type="dxa"/>
            <w:right w:w="0" w:type="dxa"/>
          </w:tblCellMar>
        </w:tblPrEx>
        <w:tc>
          <w:tcPr>
            <w:tcW w:w="629"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numPr>
                <w:ilvl w:val="0"/>
                <w:numId w:val="4"/>
              </w:numPr>
              <w:suppressLineNumbers w:val="0"/>
              <w:spacing w:before="0" w:beforeAutospacing="0" w:after="0" w:afterAutospacing="0" w:line="320" w:lineRule="exact"/>
              <w:ind w:left="440" w:right="0" w:hanging="440"/>
              <w:jc w:val="left"/>
              <w:rPr>
                <w:rFonts w:ascii="Times New Roman" w:eastAsia="宋体" w:hAnsi="Times New Roman" w:cs="Times New Roman" w:hint="default"/>
                <w:szCs w:val="21"/>
                <w:highlight w:val="none"/>
              </w:rPr>
            </w:pPr>
          </w:p>
        </w:tc>
        <w:tc>
          <w:tcPr>
            <w:tcW w:w="776" w:type="pct"/>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line="320" w:lineRule="exact"/>
              <w:ind w:left="0" w:right="0"/>
              <w:jc w:val="left"/>
              <w:rPr>
                <w:rFonts w:ascii="Times New Roman" w:eastAsia="宋体" w:hAnsi="Times New Roman" w:cs="Times New Roman" w:hint="default"/>
                <w:szCs w:val="21"/>
                <w:highlight w:val="none"/>
              </w:rPr>
            </w:pPr>
            <w:r>
              <w:rPr>
                <w:rFonts w:ascii="宋体" w:eastAsia="宋体" w:hAnsi="宋体" w:cs="宋体" w:hint="eastAsia"/>
                <w:kern w:val="2"/>
                <w:sz w:val="21"/>
                <w:szCs w:val="21"/>
                <w:highlight w:val="none"/>
                <w:lang w:val="en-US" w:eastAsia="zh-CN" w:bidi="ar"/>
              </w:rPr>
              <w:t>#输出接口</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line="320" w:lineRule="exact"/>
              <w:ind w:left="0" w:right="0"/>
              <w:jc w:val="left"/>
              <w:rPr>
                <w:rFonts w:ascii="Times New Roman" w:eastAsia="宋体" w:hAnsi="Times New Roman" w:cs="Times New Roman" w:hint="default"/>
                <w:szCs w:val="21"/>
                <w:highlight w:val="none"/>
              </w:rPr>
            </w:pPr>
            <w:r>
              <w:rPr>
                <w:rFonts w:ascii="Times New Roman" w:eastAsia="宋体" w:hAnsi="Times New Roman" w:cs="Times New Roman" w:hint="default"/>
                <w:kern w:val="2"/>
                <w:sz w:val="21"/>
                <w:szCs w:val="21"/>
                <w:highlight w:val="none"/>
                <w:lang w:val="en-US" w:eastAsia="zh-CN" w:bidi="ar"/>
              </w:rPr>
              <w:t>1080p micro IP/HDMI</w:t>
            </w:r>
            <w:r>
              <w:rPr>
                <w:rFonts w:ascii="宋体" w:eastAsia="宋体" w:hAnsi="宋体" w:cs="宋体" w:hint="eastAsia"/>
                <w:kern w:val="2"/>
                <w:sz w:val="21"/>
                <w:szCs w:val="21"/>
                <w:highlight w:val="none"/>
                <w:lang w:val="en-US" w:eastAsia="zh-CN" w:bidi="ar"/>
              </w:rPr>
              <w:t>输出</w:t>
            </w:r>
          </w:p>
        </w:tc>
      </w:tr>
      <w:tr>
        <w:tblPrEx>
          <w:tblW w:w="5000" w:type="pct"/>
          <w:tblInd w:w="-42" w:type="dxa"/>
          <w:tblCellMar>
            <w:top w:w="0" w:type="dxa"/>
            <w:left w:w="0" w:type="dxa"/>
            <w:bottom w:w="0" w:type="dxa"/>
            <w:right w:w="0" w:type="dxa"/>
          </w:tblCellMar>
        </w:tblPrEx>
        <w:tc>
          <w:tcPr>
            <w:tcW w:w="629"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numPr>
                <w:ilvl w:val="0"/>
                <w:numId w:val="4"/>
              </w:numPr>
              <w:suppressLineNumbers w:val="0"/>
              <w:spacing w:before="0" w:beforeAutospacing="0" w:after="0" w:afterAutospacing="0" w:line="320" w:lineRule="exact"/>
              <w:ind w:left="440" w:right="0" w:hanging="440"/>
              <w:jc w:val="left"/>
              <w:rPr>
                <w:rFonts w:ascii="Times New Roman" w:eastAsia="宋体" w:hAnsi="Times New Roman" w:cs="Times New Roman" w:hint="default"/>
                <w:szCs w:val="21"/>
                <w:highlight w:val="none"/>
              </w:rPr>
            </w:pPr>
          </w:p>
        </w:tc>
        <w:tc>
          <w:tcPr>
            <w:tcW w:w="776" w:type="pct"/>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line="320" w:lineRule="exact"/>
              <w:ind w:left="0" w:right="0"/>
              <w:jc w:val="left"/>
              <w:rPr>
                <w:rFonts w:ascii="Times New Roman" w:eastAsia="宋体" w:hAnsi="Times New Roman" w:cs="Times New Roman" w:hint="default"/>
                <w:szCs w:val="21"/>
                <w:highlight w:val="none"/>
              </w:rPr>
            </w:pPr>
            <w:r>
              <w:rPr>
                <w:rFonts w:ascii="宋体" w:eastAsia="宋体" w:hAnsi="宋体" w:cs="宋体" w:hint="eastAsia"/>
                <w:kern w:val="2"/>
                <w:sz w:val="21"/>
                <w:szCs w:val="21"/>
                <w:highlight w:val="none"/>
                <w:lang w:val="en-US" w:eastAsia="zh-CN" w:bidi="ar"/>
              </w:rPr>
              <w:t>#视频编码格式</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line="320" w:lineRule="exact"/>
              <w:ind w:left="0" w:right="0"/>
              <w:jc w:val="left"/>
              <w:rPr>
                <w:rFonts w:ascii="Times New Roman" w:eastAsia="宋体" w:hAnsi="Times New Roman" w:cs="Times New Roman" w:hint="default"/>
                <w:szCs w:val="21"/>
                <w:highlight w:val="none"/>
              </w:rPr>
            </w:pPr>
            <w:r>
              <w:rPr>
                <w:rFonts w:ascii="Times New Roman" w:eastAsia="宋体" w:hAnsi="Times New Roman" w:cs="Times New Roman" w:hint="default"/>
                <w:kern w:val="2"/>
                <w:sz w:val="21"/>
                <w:szCs w:val="21"/>
                <w:highlight w:val="none"/>
                <w:lang w:val="en-US" w:eastAsia="zh-CN" w:bidi="ar"/>
              </w:rPr>
              <w:t>H.264/H.265</w:t>
            </w:r>
          </w:p>
        </w:tc>
      </w:tr>
      <w:tr>
        <w:tblPrEx>
          <w:tblW w:w="5000" w:type="pct"/>
          <w:tblInd w:w="-42" w:type="dxa"/>
          <w:tblCellMar>
            <w:top w:w="0" w:type="dxa"/>
            <w:left w:w="0" w:type="dxa"/>
            <w:bottom w:w="0" w:type="dxa"/>
            <w:right w:w="0" w:type="dxa"/>
          </w:tblCellMar>
        </w:tblPrEx>
        <w:tc>
          <w:tcPr>
            <w:tcW w:w="629"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numPr>
                <w:ilvl w:val="0"/>
                <w:numId w:val="4"/>
              </w:numPr>
              <w:suppressLineNumbers w:val="0"/>
              <w:spacing w:before="0" w:beforeAutospacing="0" w:after="0" w:afterAutospacing="0" w:line="320" w:lineRule="exact"/>
              <w:ind w:left="440" w:right="0" w:hanging="440"/>
              <w:jc w:val="left"/>
              <w:rPr>
                <w:rFonts w:ascii="Times New Roman" w:eastAsia="宋体" w:hAnsi="Times New Roman" w:cs="Times New Roman" w:hint="default"/>
                <w:szCs w:val="21"/>
                <w:highlight w:val="none"/>
              </w:rPr>
            </w:pPr>
          </w:p>
        </w:tc>
        <w:tc>
          <w:tcPr>
            <w:tcW w:w="776" w:type="pct"/>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line="320" w:lineRule="exact"/>
              <w:ind w:left="0" w:right="0"/>
              <w:jc w:val="left"/>
              <w:rPr>
                <w:rFonts w:ascii="Times New Roman" w:eastAsia="宋体" w:hAnsi="Times New Roman" w:cs="Times New Roman" w:hint="default"/>
                <w:szCs w:val="21"/>
                <w:highlight w:val="none"/>
              </w:rPr>
            </w:pPr>
            <w:r>
              <w:rPr>
                <w:rFonts w:ascii="宋体" w:eastAsia="宋体" w:hAnsi="宋体" w:cs="宋体" w:hint="eastAsia"/>
                <w:kern w:val="2"/>
                <w:sz w:val="21"/>
                <w:szCs w:val="21"/>
                <w:highlight w:val="none"/>
                <w:lang w:val="en-US" w:eastAsia="zh-CN" w:bidi="ar"/>
              </w:rPr>
              <w:t>#云台控制</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line="320" w:lineRule="exact"/>
              <w:ind w:left="0" w:right="0"/>
              <w:jc w:val="left"/>
              <w:rPr>
                <w:rFonts w:ascii="Times New Roman" w:eastAsia="宋体" w:hAnsi="Times New Roman" w:cs="Times New Roman" w:hint="default"/>
                <w:szCs w:val="21"/>
                <w:highlight w:val="none"/>
              </w:rPr>
            </w:pPr>
            <w:r>
              <w:rPr>
                <w:rFonts w:ascii="宋体" w:eastAsia="宋体" w:hAnsi="宋体" w:cs="宋体" w:hint="eastAsia"/>
                <w:kern w:val="2"/>
                <w:sz w:val="21"/>
                <w:szCs w:val="21"/>
                <w:highlight w:val="none"/>
                <w:lang w:val="en-US" w:eastAsia="zh-CN" w:bidi="ar"/>
              </w:rPr>
              <w:t>水平、横滚和俯仰三个方向</w:t>
            </w:r>
          </w:p>
        </w:tc>
      </w:tr>
      <w:tr>
        <w:tblPrEx>
          <w:tblW w:w="5000" w:type="pct"/>
          <w:tblInd w:w="-42" w:type="dxa"/>
          <w:tblCellMar>
            <w:top w:w="0" w:type="dxa"/>
            <w:left w:w="0" w:type="dxa"/>
            <w:bottom w:w="0" w:type="dxa"/>
            <w:right w:w="0" w:type="dxa"/>
          </w:tblCellMar>
        </w:tblPrEx>
        <w:tc>
          <w:tcPr>
            <w:tcW w:w="629"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numPr>
                <w:ilvl w:val="0"/>
                <w:numId w:val="4"/>
              </w:numPr>
              <w:suppressLineNumbers w:val="0"/>
              <w:spacing w:before="0" w:beforeAutospacing="0" w:after="0" w:afterAutospacing="0" w:line="320" w:lineRule="exact"/>
              <w:ind w:left="440" w:right="0" w:hanging="440"/>
              <w:jc w:val="left"/>
              <w:rPr>
                <w:rFonts w:ascii="Times New Roman" w:eastAsia="宋体" w:hAnsi="Times New Roman" w:cs="Times New Roman" w:hint="default"/>
                <w:szCs w:val="21"/>
                <w:highlight w:val="none"/>
              </w:rPr>
            </w:pPr>
          </w:p>
        </w:tc>
        <w:tc>
          <w:tcPr>
            <w:tcW w:w="776" w:type="pct"/>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line="320" w:lineRule="exact"/>
              <w:ind w:left="0" w:right="0"/>
              <w:jc w:val="left"/>
              <w:rPr>
                <w:rFonts w:ascii="Times New Roman" w:eastAsia="宋体" w:hAnsi="Times New Roman" w:cs="Times New Roman" w:hint="default"/>
                <w:szCs w:val="21"/>
                <w:highlight w:val="none"/>
              </w:rPr>
            </w:pPr>
            <w:r>
              <w:rPr>
                <w:rFonts w:ascii="宋体" w:eastAsia="宋体" w:hAnsi="宋体" w:cs="宋体" w:hint="eastAsia"/>
                <w:kern w:val="2"/>
                <w:sz w:val="21"/>
                <w:szCs w:val="21"/>
                <w:highlight w:val="none"/>
                <w:lang w:val="en-US" w:eastAsia="zh-CN" w:bidi="ar"/>
              </w:rPr>
              <w:t>#其他功能</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line="320" w:lineRule="exact"/>
              <w:ind w:left="0" w:right="0"/>
              <w:jc w:val="left"/>
              <w:rPr>
                <w:rFonts w:ascii="Times New Roman" w:eastAsia="宋体" w:hAnsi="Times New Roman" w:cs="Times New Roman" w:hint="default"/>
                <w:szCs w:val="21"/>
                <w:highlight w:val="none"/>
              </w:rPr>
            </w:pPr>
            <w:r>
              <w:rPr>
                <w:rFonts w:ascii="宋体" w:eastAsia="宋体" w:hAnsi="宋体" w:cs="宋体" w:hint="eastAsia"/>
                <w:kern w:val="2"/>
                <w:sz w:val="21"/>
                <w:szCs w:val="21"/>
                <w:highlight w:val="none"/>
                <w:lang w:val="en-US" w:eastAsia="zh-CN" w:bidi="ar"/>
              </w:rPr>
              <w:t>支持可见光变倍、拍照录像、目标跟踪、</w:t>
            </w:r>
            <w:r>
              <w:rPr>
                <w:rFonts w:ascii="Times New Roman" w:eastAsia="宋体" w:hAnsi="Times New Roman" w:cs="Times New Roman" w:hint="default"/>
                <w:kern w:val="2"/>
                <w:sz w:val="21"/>
                <w:szCs w:val="21"/>
                <w:highlight w:val="none"/>
                <w:lang w:val="en-US" w:eastAsia="zh-CN" w:bidi="ar"/>
              </w:rPr>
              <w:t>AI</w:t>
            </w:r>
            <w:r>
              <w:rPr>
                <w:rFonts w:ascii="宋体" w:eastAsia="宋体" w:hAnsi="宋体" w:cs="宋体" w:hint="eastAsia"/>
                <w:kern w:val="2"/>
                <w:sz w:val="21"/>
                <w:szCs w:val="21"/>
                <w:highlight w:val="none"/>
                <w:lang w:val="en-US" w:eastAsia="zh-CN" w:bidi="ar"/>
              </w:rPr>
              <w:t>检测</w:t>
            </w:r>
          </w:p>
        </w:tc>
      </w:tr>
      <w:tr>
        <w:tblPrEx>
          <w:tblW w:w="5000" w:type="pct"/>
          <w:tblInd w:w="-42" w:type="dxa"/>
          <w:tblCellMar>
            <w:top w:w="0" w:type="dxa"/>
            <w:left w:w="0" w:type="dxa"/>
            <w:bottom w:w="0" w:type="dxa"/>
            <w:right w:w="0" w:type="dxa"/>
          </w:tblCellMar>
        </w:tblPrEx>
        <w:tc>
          <w:tcPr>
            <w:tcW w:w="629"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numPr>
                <w:ilvl w:val="0"/>
                <w:numId w:val="4"/>
              </w:numPr>
              <w:suppressLineNumbers w:val="0"/>
              <w:spacing w:before="0" w:beforeAutospacing="0" w:after="0" w:afterAutospacing="0" w:line="320" w:lineRule="exact"/>
              <w:ind w:left="440" w:right="0" w:hanging="440"/>
              <w:jc w:val="left"/>
              <w:rPr>
                <w:rFonts w:ascii="Times New Roman" w:eastAsia="宋体" w:hAnsi="Times New Roman" w:cs="Times New Roman" w:hint="default"/>
                <w:szCs w:val="21"/>
                <w:highlight w:val="none"/>
              </w:rPr>
            </w:pPr>
          </w:p>
        </w:tc>
        <w:tc>
          <w:tcPr>
            <w:tcW w:w="776" w:type="pct"/>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line="320" w:lineRule="exact"/>
              <w:ind w:left="0" w:right="0"/>
              <w:jc w:val="left"/>
              <w:rPr>
                <w:rFonts w:ascii="Times New Roman" w:eastAsia="宋体" w:hAnsi="Times New Roman" w:cs="Times New Roman" w:hint="default"/>
                <w:szCs w:val="21"/>
                <w:highlight w:val="none"/>
              </w:rPr>
            </w:pPr>
            <w:r>
              <w:rPr>
                <w:rFonts w:ascii="宋体" w:eastAsia="宋体" w:hAnsi="宋体" w:cs="宋体" w:hint="eastAsia"/>
                <w:kern w:val="2"/>
                <w:sz w:val="21"/>
                <w:szCs w:val="21"/>
                <w:highlight w:val="none"/>
                <w:lang w:val="en-US" w:eastAsia="zh-CN" w:bidi="ar"/>
              </w:rPr>
              <w:t>#本地存储</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line="320" w:lineRule="exact"/>
              <w:ind w:left="0" w:right="0"/>
              <w:jc w:val="left"/>
              <w:rPr>
                <w:rFonts w:ascii="Times New Roman" w:eastAsia="宋体" w:hAnsi="Times New Roman" w:cs="Times New Roman" w:hint="default"/>
                <w:szCs w:val="21"/>
                <w:highlight w:val="none"/>
              </w:rPr>
            </w:pPr>
            <w:r>
              <w:rPr>
                <w:rFonts w:ascii="宋体" w:eastAsia="宋体" w:hAnsi="宋体" w:cs="宋体" w:hint="eastAsia"/>
                <w:kern w:val="2"/>
                <w:sz w:val="21"/>
                <w:szCs w:val="21"/>
                <w:highlight w:val="none"/>
                <w:lang w:val="en-US" w:eastAsia="zh-CN" w:bidi="ar"/>
              </w:rPr>
              <w:t>最大支持</w:t>
            </w:r>
            <w:r>
              <w:rPr>
                <w:rFonts w:ascii="Times New Roman" w:eastAsia="宋体" w:hAnsi="Times New Roman" w:cs="Times New Roman" w:hint="default"/>
                <w:kern w:val="2"/>
                <w:sz w:val="21"/>
                <w:szCs w:val="21"/>
                <w:highlight w:val="none"/>
                <w:lang w:val="en-US" w:eastAsia="zh-CN" w:bidi="ar"/>
              </w:rPr>
              <w:t>256G</w:t>
            </w:r>
          </w:p>
        </w:tc>
      </w:tr>
      <w:tr>
        <w:tblPrEx>
          <w:tblW w:w="5000" w:type="pct"/>
          <w:tblInd w:w="-42" w:type="dxa"/>
          <w:tblCellMar>
            <w:top w:w="0" w:type="dxa"/>
            <w:left w:w="0" w:type="dxa"/>
            <w:bottom w:w="0" w:type="dxa"/>
            <w:right w:w="0" w:type="dxa"/>
          </w:tblCellMar>
        </w:tblPrEx>
        <w:tc>
          <w:tcPr>
            <w:tcW w:w="629"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numPr>
                <w:ilvl w:val="0"/>
                <w:numId w:val="4"/>
              </w:numPr>
              <w:suppressLineNumbers w:val="0"/>
              <w:spacing w:before="0" w:beforeAutospacing="0" w:after="0" w:afterAutospacing="0" w:line="320" w:lineRule="exact"/>
              <w:ind w:left="440" w:right="0" w:hanging="440"/>
              <w:jc w:val="left"/>
              <w:rPr>
                <w:rFonts w:ascii="Times New Roman" w:eastAsia="宋体" w:hAnsi="Times New Roman" w:cs="Times New Roman" w:hint="default"/>
                <w:szCs w:val="21"/>
                <w:highlight w:val="none"/>
              </w:rPr>
            </w:pPr>
          </w:p>
        </w:tc>
        <w:tc>
          <w:tcPr>
            <w:tcW w:w="776" w:type="pct"/>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line="320" w:lineRule="exact"/>
              <w:ind w:left="0" w:right="0"/>
              <w:jc w:val="left"/>
              <w:rPr>
                <w:rFonts w:ascii="Times New Roman" w:eastAsia="宋体" w:hAnsi="Times New Roman" w:cs="Times New Roman" w:hint="default"/>
                <w:szCs w:val="21"/>
                <w:highlight w:val="none"/>
              </w:rPr>
            </w:pPr>
            <w:r>
              <w:rPr>
                <w:rFonts w:ascii="宋体" w:eastAsia="宋体" w:hAnsi="宋体" w:cs="宋体" w:hint="eastAsia"/>
                <w:kern w:val="2"/>
                <w:sz w:val="21"/>
                <w:szCs w:val="21"/>
                <w:highlight w:val="none"/>
                <w:lang w:val="en-US" w:eastAsia="zh-CN" w:bidi="ar"/>
              </w:rPr>
              <w:t>#重量</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line="320" w:lineRule="exact"/>
              <w:ind w:left="0" w:right="0"/>
              <w:jc w:val="left"/>
              <w:rPr>
                <w:rFonts w:ascii="Times New Roman" w:eastAsia="宋体" w:hAnsi="Times New Roman" w:cs="Times New Roman" w:hint="default"/>
                <w:szCs w:val="21"/>
                <w:highlight w:val="none"/>
              </w:rPr>
            </w:pPr>
            <w:r>
              <w:rPr>
                <w:rFonts w:ascii="Times New Roman" w:eastAsia="宋体" w:hAnsi="Times New Roman" w:cs="Times New Roman" w:hint="default"/>
                <w:kern w:val="2"/>
                <w:sz w:val="21"/>
                <w:szCs w:val="21"/>
                <w:highlight w:val="none"/>
                <w:lang w:val="en-US" w:eastAsia="zh-CN" w:bidi="ar"/>
              </w:rPr>
              <w:t>≤600g</w:t>
            </w:r>
          </w:p>
        </w:tc>
      </w:tr>
    </w:tbl>
    <w:p>
      <w:pPr>
        <w:widowControl/>
        <w:spacing w:before="100" w:beforeAutospacing="1" w:after="100" w:afterAutospacing="1" w:line="520" w:lineRule="exact"/>
        <w:jc w:val="center"/>
        <w:outlineLvl w:val="2"/>
        <w:rPr>
          <w:rFonts w:ascii="宋体" w:eastAsia="宋体" w:hAnsi="宋体" w:cs="宋体" w:hint="eastAsia"/>
          <w:szCs w:val="20"/>
          <w:highlight w:val="none"/>
        </w:rPr>
      </w:pPr>
    </w:p>
    <w:p>
      <w:pPr>
        <w:widowControl/>
        <w:spacing w:before="100" w:beforeAutospacing="1" w:after="100" w:afterAutospacing="1" w:line="520" w:lineRule="exact"/>
        <w:ind w:firstLine="562"/>
        <w:jc w:val="left"/>
        <w:outlineLvl w:val="2"/>
        <w:rPr>
          <w:rFonts w:ascii="宋体" w:eastAsia="宋体" w:hAnsi="宋体" w:cs="宋体" w:hint="eastAsia"/>
          <w:b/>
          <w:bCs/>
          <w:kern w:val="0"/>
          <w:sz w:val="28"/>
          <w:szCs w:val="27"/>
          <w:highlight w:val="none"/>
        </w:rPr>
      </w:pPr>
      <w:r>
        <w:rPr>
          <w:rFonts w:ascii="宋体" w:eastAsia="宋体" w:hAnsi="宋体" w:cs="宋体" w:hint="eastAsia"/>
          <w:b/>
          <w:bCs/>
          <w:kern w:val="0"/>
          <w:sz w:val="28"/>
          <w:szCs w:val="27"/>
          <w:highlight w:val="none"/>
        </w:rPr>
        <w:t>3.5 焰条播撒装置要求</w:t>
      </w:r>
    </w:p>
    <w:p>
      <w:pPr>
        <w:jc w:val="center"/>
        <w:rPr>
          <w:rFonts w:ascii="宋体" w:eastAsia="宋体" w:hAnsi="宋体" w:cs="宋体" w:hint="eastAsia"/>
          <w:szCs w:val="20"/>
          <w:highlight w:val="none"/>
        </w:rPr>
      </w:pPr>
      <w:r>
        <w:rPr>
          <w:rFonts w:ascii="宋体" w:eastAsia="宋体" w:hAnsi="宋体" w:cs="宋体" w:hint="eastAsia"/>
          <w:szCs w:val="24"/>
          <w:highlight w:val="none"/>
          <w:lang w:val="en-US" w:eastAsia="zh-CN"/>
        </w:rPr>
        <w:t>表6</w:t>
      </w:r>
      <w:r>
        <w:rPr>
          <w:rFonts w:ascii="宋体" w:eastAsia="宋体" w:hAnsi="宋体" w:cs="宋体" w:hint="eastAsia"/>
          <w:szCs w:val="24"/>
          <w:highlight w:val="none"/>
        </w:rPr>
        <w:t>参数规格表</w:t>
      </w:r>
    </w:p>
    <w:tbl>
      <w:tblPr>
        <w:tblStyle w:val="TableNormal"/>
        <w:tblW w:w="5000" w:type="pct"/>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2295"/>
        <w:gridCol w:w="6311"/>
      </w:tblGrid>
      <w:tr>
        <w:tblPrEx>
          <w:tblW w:w="5000" w:type="pct"/>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center"/>
              <w:rPr>
                <w:rFonts w:ascii="宋体" w:eastAsia="宋体" w:hAnsi="宋体" w:cs="宋体" w:hint="eastAsia"/>
                <w:b/>
                <w:bCs w:val="0"/>
                <w:szCs w:val="21"/>
                <w:highlight w:val="none"/>
              </w:rPr>
            </w:pPr>
            <w:r>
              <w:rPr>
                <w:rFonts w:ascii="宋体" w:eastAsia="宋体" w:hAnsi="宋体" w:cs="宋体" w:hint="eastAsia"/>
                <w:b/>
                <w:bCs w:val="0"/>
                <w:kern w:val="2"/>
                <w:sz w:val="21"/>
                <w:szCs w:val="21"/>
                <w:highlight w:val="none"/>
                <w:lang w:val="en-US" w:eastAsia="zh-CN" w:bidi="ar"/>
              </w:rPr>
              <w:t>参数项</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center"/>
              <w:rPr>
                <w:rFonts w:ascii="宋体" w:eastAsia="宋体" w:hAnsi="宋体" w:cs="宋体" w:hint="eastAsia"/>
                <w:b/>
                <w:bCs w:val="0"/>
                <w:szCs w:val="21"/>
                <w:highlight w:val="none"/>
              </w:rPr>
            </w:pPr>
            <w:r>
              <w:rPr>
                <w:rFonts w:ascii="宋体" w:eastAsia="宋体" w:hAnsi="宋体" w:cs="宋体" w:hint="eastAsia"/>
                <w:b/>
                <w:bCs w:val="0"/>
                <w:kern w:val="2"/>
                <w:sz w:val="21"/>
                <w:szCs w:val="21"/>
                <w:highlight w:val="none"/>
                <w:lang w:val="en-US" w:eastAsia="zh-CN" w:bidi="ar"/>
              </w:rPr>
              <w:t>要求</w:t>
            </w: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#重量</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≤6kg</w:t>
            </w: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#材质</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铝合金</w:t>
            </w: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△携带烟条数量</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≥8根</w:t>
            </w: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#挂载位置</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机腹下</w:t>
            </w: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△兼容烟条规格</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φ60/1000mm规格至少2家以上的冷暖云机载烟条</w:t>
            </w: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#点火控制</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可同时燃烧2根，对称点火</w:t>
            </w:r>
          </w:p>
        </w:tc>
      </w:tr>
    </w:tbl>
    <w:p>
      <w:pPr>
        <w:jc w:val="center"/>
        <w:rPr>
          <w:rFonts w:ascii="宋体" w:eastAsia="宋体" w:hAnsi="宋体" w:cs="宋体" w:hint="eastAsia"/>
          <w:szCs w:val="20"/>
          <w:highlight w:val="none"/>
        </w:rPr>
      </w:pPr>
    </w:p>
    <w:p>
      <w:pPr>
        <w:widowControl/>
        <w:spacing w:before="100" w:beforeAutospacing="1" w:after="100" w:afterAutospacing="1" w:line="520" w:lineRule="exact"/>
        <w:ind w:firstLine="562"/>
        <w:jc w:val="left"/>
        <w:outlineLvl w:val="2"/>
        <w:rPr>
          <w:rFonts w:ascii="宋体" w:eastAsia="宋体" w:hAnsi="宋体" w:cs="宋体" w:hint="eastAsia"/>
          <w:b/>
          <w:bCs/>
          <w:kern w:val="0"/>
          <w:sz w:val="28"/>
          <w:szCs w:val="27"/>
          <w:highlight w:val="none"/>
        </w:rPr>
      </w:pPr>
      <w:r>
        <w:rPr>
          <w:rFonts w:ascii="宋体" w:eastAsia="宋体" w:hAnsi="宋体" w:cs="宋体" w:hint="eastAsia"/>
          <w:b/>
          <w:bCs/>
          <w:kern w:val="0"/>
          <w:sz w:val="28"/>
          <w:szCs w:val="27"/>
          <w:highlight w:val="none"/>
        </w:rPr>
        <w:t>3.6焰弹播撒器要求</w:t>
      </w:r>
    </w:p>
    <w:p>
      <w:pPr>
        <w:jc w:val="center"/>
        <w:rPr>
          <w:rFonts w:ascii="宋体" w:eastAsia="宋体" w:hAnsi="宋体" w:cs="宋体" w:hint="eastAsia"/>
          <w:szCs w:val="20"/>
          <w:highlight w:val="none"/>
        </w:rPr>
      </w:pPr>
      <w:r>
        <w:rPr>
          <w:rFonts w:ascii="宋体" w:eastAsia="宋体" w:hAnsi="宋体" w:cs="宋体" w:hint="eastAsia"/>
          <w:szCs w:val="24"/>
          <w:highlight w:val="none"/>
          <w:lang w:val="en-US" w:eastAsia="zh-CN"/>
        </w:rPr>
        <w:t>表7</w:t>
      </w:r>
      <w:r>
        <w:rPr>
          <w:rFonts w:ascii="宋体" w:eastAsia="宋体" w:hAnsi="宋体" w:cs="宋体" w:hint="eastAsia"/>
          <w:szCs w:val="24"/>
          <w:highlight w:val="none"/>
        </w:rPr>
        <w:t>焰弹播撒器要求</w:t>
      </w:r>
    </w:p>
    <w:tbl>
      <w:tblPr>
        <w:tblStyle w:val="TableNormal"/>
        <w:tblW w:w="5000" w:type="pct"/>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3173"/>
        <w:gridCol w:w="5433"/>
      </w:tblGrid>
      <w:tr>
        <w:tblPrEx>
          <w:tblW w:w="5000" w:type="pct"/>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center"/>
              <w:rPr>
                <w:rFonts w:ascii="宋体" w:eastAsia="宋体" w:hAnsi="宋体" w:cs="宋体" w:hint="eastAsia"/>
                <w:b/>
                <w:bCs/>
                <w:szCs w:val="21"/>
                <w:highlight w:val="none"/>
              </w:rPr>
            </w:pPr>
            <w:r>
              <w:rPr>
                <w:rFonts w:ascii="宋体" w:eastAsia="宋体" w:hAnsi="宋体" w:cs="宋体" w:hint="eastAsia"/>
                <w:b/>
                <w:bCs/>
                <w:kern w:val="2"/>
                <w:sz w:val="21"/>
                <w:szCs w:val="21"/>
                <w:highlight w:val="none"/>
                <w:lang w:val="en-US" w:eastAsia="zh-CN" w:bidi="ar"/>
              </w:rPr>
              <w:t>参数项</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center"/>
              <w:rPr>
                <w:rFonts w:ascii="宋体" w:eastAsia="宋体" w:hAnsi="宋体" w:cs="宋体" w:hint="eastAsia"/>
                <w:b/>
                <w:bCs/>
                <w:szCs w:val="21"/>
                <w:highlight w:val="none"/>
              </w:rPr>
            </w:pPr>
            <w:r>
              <w:rPr>
                <w:rFonts w:ascii="宋体" w:eastAsia="宋体" w:hAnsi="宋体" w:cs="宋体" w:hint="eastAsia"/>
                <w:b/>
                <w:bCs/>
                <w:kern w:val="2"/>
                <w:sz w:val="21"/>
                <w:szCs w:val="21"/>
                <w:highlight w:val="none"/>
                <w:lang w:val="en-US" w:eastAsia="zh-CN" w:bidi="ar"/>
              </w:rPr>
              <w:t>要求</w:t>
            </w: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#材质</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铝合金</w:t>
            </w: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#携带焰弹数量</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≥100发</w:t>
            </w: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#挂载位置</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机腹下</w:t>
            </w: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△兼容焰弹规格</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兼容φ21/128mm主流规格</w:t>
            </w:r>
          </w:p>
        </w:tc>
      </w:tr>
      <w:tr>
        <w:tblPrEx>
          <w:tblW w:w="5000" w:type="pct"/>
          <w:tblInd w:w="-42"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#点火控制</w:t>
            </w:r>
          </w:p>
        </w:tc>
        <w:tc>
          <w:tcPr>
            <w:tcW w:w="0" w:type="auto"/>
            <w:tcBorders>
              <w:top w:val="single" w:sz="6" w:space="0" w:color="000000"/>
              <w:left w:val="nil"/>
              <w:bottom w:val="single" w:sz="6" w:space="0" w:color="000000"/>
              <w:right w:val="single" w:sz="6" w:space="0" w:color="000000"/>
            </w:tcBorders>
            <w:noWrap w:val="0"/>
            <w:tcMar>
              <w:top w:w="150" w:type="dxa"/>
              <w:left w:w="150" w:type="dxa"/>
              <w:bottom w:w="150" w:type="dxa"/>
              <w:right w:w="150" w:type="dxa"/>
            </w:tcMar>
            <w:vAlign w:val="center"/>
          </w:tcPr>
          <w:p>
            <w:pPr>
              <w:keepNext w:val="0"/>
              <w:keepLines w:val="0"/>
              <w:widowControl w:val="0"/>
              <w:suppressLineNumbers w:val="0"/>
              <w:spacing w:before="0" w:beforeAutospacing="0" w:after="0" w:afterAutospacing="0"/>
              <w:ind w:left="0" w:right="0"/>
              <w:jc w:val="left"/>
              <w:rPr>
                <w:rFonts w:ascii="宋体" w:eastAsia="宋体" w:hAnsi="宋体" w:cs="宋体" w:hint="eastAsia"/>
                <w:szCs w:val="21"/>
                <w:highlight w:val="none"/>
              </w:rPr>
            </w:pPr>
            <w:r>
              <w:rPr>
                <w:rFonts w:ascii="宋体" w:eastAsia="宋体" w:hAnsi="宋体" w:cs="宋体" w:hint="eastAsia"/>
                <w:kern w:val="2"/>
                <w:sz w:val="21"/>
                <w:szCs w:val="21"/>
                <w:highlight w:val="none"/>
                <w:lang w:val="en-US" w:eastAsia="zh-CN" w:bidi="ar"/>
              </w:rPr>
              <w:t>支持单组点发、全发播撒模式</w:t>
            </w:r>
          </w:p>
        </w:tc>
      </w:tr>
    </w:tbl>
    <w:p>
      <w:pPr>
        <w:jc w:val="center"/>
        <w:rPr>
          <w:rFonts w:ascii="宋体" w:eastAsia="宋体" w:hAnsi="宋体" w:cs="宋体" w:hint="eastAsia"/>
          <w:szCs w:val="20"/>
          <w:highlight w:val="none"/>
        </w:rPr>
      </w:pPr>
    </w:p>
    <w:p>
      <w:pPr>
        <w:widowControl/>
        <w:spacing w:before="100" w:beforeAutospacing="1" w:after="100" w:afterAutospacing="1" w:line="520" w:lineRule="exact"/>
        <w:ind w:firstLine="562"/>
        <w:jc w:val="left"/>
        <w:outlineLvl w:val="2"/>
        <w:rPr>
          <w:rFonts w:ascii="宋体" w:eastAsia="宋体" w:hAnsi="宋体" w:cs="宋体" w:hint="eastAsia"/>
          <w:b/>
          <w:bCs/>
          <w:kern w:val="0"/>
          <w:sz w:val="28"/>
          <w:szCs w:val="27"/>
          <w:highlight w:val="none"/>
        </w:rPr>
      </w:pPr>
      <w:r>
        <w:rPr>
          <w:rFonts w:ascii="宋体" w:eastAsia="宋体" w:hAnsi="宋体" w:cs="宋体" w:hint="eastAsia"/>
          <w:b/>
          <w:bCs/>
          <w:kern w:val="0"/>
          <w:sz w:val="28"/>
          <w:szCs w:val="27"/>
          <w:highlight w:val="none"/>
        </w:rPr>
        <w:t>3.</w:t>
      </w:r>
      <w:r>
        <w:rPr>
          <w:rFonts w:ascii="宋体" w:eastAsia="宋体" w:hAnsi="宋体" w:cs="宋体" w:hint="eastAsia"/>
          <w:b/>
          <w:bCs/>
          <w:kern w:val="0"/>
          <w:sz w:val="28"/>
          <w:szCs w:val="27"/>
          <w:highlight w:val="none"/>
          <w:lang w:val="en-US" w:eastAsia="zh-CN"/>
        </w:rPr>
        <w:t>7</w:t>
      </w:r>
      <w:r>
        <w:rPr>
          <w:rFonts w:ascii="宋体" w:eastAsia="宋体" w:hAnsi="宋体" w:cs="宋体" w:hint="eastAsia"/>
          <w:b/>
          <w:bCs/>
          <w:kern w:val="0"/>
          <w:sz w:val="28"/>
          <w:szCs w:val="27"/>
          <w:highlight w:val="none"/>
        </w:rPr>
        <w:t xml:space="preserve"> </w:t>
      </w:r>
      <w:r>
        <w:rPr>
          <w:rFonts w:ascii="宋体" w:eastAsia="宋体" w:hAnsi="宋体" w:cs="宋体"/>
          <w:b/>
          <w:bCs/>
          <w:kern w:val="0"/>
          <w:sz w:val="28"/>
          <w:szCs w:val="27"/>
          <w:highlight w:val="none"/>
        </w:rPr>
        <w:t>集群指挥系统与“天工”平台对接要求</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lang w:eastAsia="zh-CN"/>
        </w:rPr>
        <w:t>#</w:t>
      </w:r>
      <w:r>
        <w:rPr>
          <w:rFonts w:ascii="宋体" w:eastAsia="宋体" w:hAnsi="宋体" w:cs="宋体" w:hint="eastAsia"/>
          <w:sz w:val="28"/>
          <w:szCs w:val="20"/>
          <w:highlight w:val="none"/>
        </w:rPr>
        <w:t>三屏移动式地面站：15.6英寸高亮屏×3（亮度≥800 cd/m²），64GB DDR5内存，2TB NVMe SSD，支持三屏独立显示（飞控、GIS、天工平台）。</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lang w:eastAsia="zh-CN"/>
        </w:rPr>
        <w:t>#</w:t>
      </w:r>
      <w:r>
        <w:rPr>
          <w:rFonts w:ascii="宋体" w:eastAsia="宋体" w:hAnsi="宋体" w:cs="宋体" w:hint="eastAsia"/>
          <w:sz w:val="28"/>
          <w:szCs w:val="20"/>
          <w:highlight w:val="none"/>
        </w:rPr>
        <w:t>软件功能：支持3机同屏监控、协同航线规划、实时指令下发、飞行数据记录回放。</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rPr>
        <w:t>与“天工”平台对接：</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rPr>
        <w:t>上行数据：机载探测数据（大气参数、云粒子谱、液水含量）、视频流、飞行状态（航迹、姿态）按规范格式实时推送至省级“天工”平台。</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rPr>
        <w:t>下行指令：接收“天工”平台协同作业指令、航线修正指令。</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rPr>
        <w:t>智能识别：集成智能算法，对机载探测数据进行实时处理，自动识别可催化云区，并预测其移动轨迹。</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rPr>
        <w:t>协同指挥：“天工”平台同时显示三机状态、探测数据、雷达卫星云图，并基于集群协同算法，为指挥员推荐最优的协同作业方案。</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rPr>
        <w:t>效果初评：作业结束后，平台能快速调用机载探测数据、雷达数据、地面雨量数据，生成初步效果评估报告，并同步至省级平台。</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lang w:eastAsia="zh-CN"/>
        </w:rPr>
        <w:t>#</w:t>
      </w:r>
      <w:r>
        <w:rPr>
          <w:rFonts w:ascii="宋体" w:eastAsia="宋体" w:hAnsi="宋体" w:cs="宋体" w:hint="eastAsia"/>
          <w:sz w:val="28"/>
          <w:szCs w:val="20"/>
          <w:highlight w:val="none"/>
        </w:rPr>
        <w:t>“天工”平台（无人机版）：</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rPr>
        <w:t>(1)多源观探测资料、预报资料和作业力量的展示分析；</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rPr>
        <w:t>(2)作业条件实时判别（显示可催化云区潜力指数）；</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rPr>
        <w:t>(3)飞机作业航线设计、保存（提供空域申请要求的经纬度格式）；</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rPr>
        <w:t>(4)飞机作业方案设计、保存</w:t>
      </w:r>
      <w:r>
        <w:rPr>
          <w:rFonts w:ascii="宋体" w:eastAsia="宋体" w:hAnsi="宋体" w:cs="宋体" w:hint="eastAsia"/>
          <w:sz w:val="28"/>
          <w:szCs w:val="20"/>
          <w:highlight w:val="none"/>
          <w:lang w:eastAsia="zh-CN"/>
        </w:rPr>
        <w:t>，</w:t>
      </w:r>
      <w:r>
        <w:rPr>
          <w:rFonts w:ascii="宋体" w:eastAsia="宋体" w:hAnsi="宋体" w:cs="宋体" w:hint="eastAsia"/>
          <w:sz w:val="28"/>
          <w:szCs w:val="20"/>
          <w:highlight w:val="none"/>
        </w:rPr>
        <w:t>飞机作业信息上报、统计</w:t>
      </w:r>
      <w:r>
        <w:rPr>
          <w:rFonts w:ascii="宋体" w:eastAsia="宋体" w:hAnsi="宋体" w:cs="宋体" w:hint="eastAsia"/>
          <w:sz w:val="28"/>
          <w:szCs w:val="20"/>
          <w:highlight w:val="none"/>
          <w:lang w:eastAsia="zh-CN"/>
        </w:rPr>
        <w:t>；</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rPr>
        <w:t>(5)飞行危险区、潜力区和空域告警（电子围栏）；</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rPr>
        <w:t>(6)机载光电吊舱视频实时显示；</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rPr>
        <w:t>(7)作业效果评估（基于云水资源-增雨效果评估方法）；</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rPr>
        <w:t>(8)全省作业力量布局、观探测资料、预报产品和外推预警产品展示。</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rPr>
        <w:t>集群作业</w:t>
      </w:r>
      <w:r>
        <w:rPr>
          <w:rFonts w:ascii="宋体" w:eastAsia="宋体" w:hAnsi="宋体" w:cs="宋体" w:hint="eastAsia"/>
          <w:sz w:val="28"/>
          <w:szCs w:val="20"/>
          <w:highlight w:val="none"/>
          <w:lang w:val="en-US" w:eastAsia="zh-CN"/>
        </w:rPr>
        <w:t>能力</w:t>
      </w:r>
      <w:r>
        <w:rPr>
          <w:rFonts w:ascii="宋体" w:eastAsia="宋体" w:hAnsi="宋体" w:cs="宋体" w:hint="eastAsia"/>
          <w:sz w:val="28"/>
          <w:szCs w:val="20"/>
          <w:highlight w:val="none"/>
        </w:rPr>
        <w:t>：</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rPr>
        <w:t>1. 集群构成：采用“1架主控机+2架作业僚机”的协同模式。</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rPr>
        <w:t>主控机：搭载全套探测设备（大气数据吊舱、云粒子谱仪、光电吊舱）及播撒器，负责宏观云系探测、作业条件识别、催化决策和作业引导。</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rPr>
        <w:t>僚机：搭载播撒器，接收主控机或地面站指令，执行精准催化作业。三机可互换角色。</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rPr>
        <w:t>2. 通信组网：基于MESH自组网技术，实现三机之间、机地之间的高速、低时延数据共享。主控机可实时将云体三维结构、催化窗口位置等关键信息共享给僚机。</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rPr>
        <w:t>3. 协同作业流程：</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rPr>
        <w:t>联合转场：三机协同转场至预定作业区。</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rPr>
        <w:t>协同探测：主控机按“领航”航线进行“S”型或“8”型云探测，快速绘制云体催化潜力图谱；僚机在安全区域待命。</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rPr>
        <w:t>联合催化：地面指挥中心根据主控机回传数据，规划三机协同催化航线（如并行、前后跟随、立体播撒等），同时或分时进入目标区进行“面状”或“立体”催化。</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rPr>
        <w:t>联合评估：作业后，三机可沿不同航线进行下风方探测，快速采集效果评估数据。</w:t>
      </w:r>
    </w:p>
    <w:p>
      <w:pPr>
        <w:widowControl/>
        <w:spacing w:before="100" w:beforeAutospacing="1" w:after="100" w:afterAutospacing="1" w:line="520" w:lineRule="exact"/>
        <w:ind w:firstLine="562"/>
        <w:jc w:val="left"/>
        <w:outlineLvl w:val="2"/>
        <w:rPr>
          <w:rFonts w:ascii="宋体" w:eastAsia="宋体" w:hAnsi="宋体" w:cs="宋体" w:hint="eastAsia"/>
          <w:b/>
          <w:bCs/>
          <w:kern w:val="0"/>
          <w:sz w:val="28"/>
          <w:szCs w:val="27"/>
          <w:highlight w:val="none"/>
        </w:rPr>
      </w:pPr>
      <w:r>
        <w:rPr>
          <w:rFonts w:ascii="宋体" w:eastAsia="宋体" w:hAnsi="宋体" w:cs="宋体" w:hint="eastAsia"/>
          <w:b/>
          <w:bCs/>
          <w:kern w:val="0"/>
          <w:sz w:val="28"/>
          <w:szCs w:val="27"/>
          <w:highlight w:val="none"/>
        </w:rPr>
        <w:t>3.</w:t>
      </w:r>
      <w:r>
        <w:rPr>
          <w:rFonts w:ascii="宋体" w:eastAsia="宋体" w:hAnsi="宋体" w:cs="宋体" w:hint="eastAsia"/>
          <w:b/>
          <w:bCs/>
          <w:kern w:val="0"/>
          <w:sz w:val="28"/>
          <w:szCs w:val="27"/>
          <w:highlight w:val="none"/>
          <w:lang w:val="en-US" w:eastAsia="zh-CN"/>
        </w:rPr>
        <w:t>8</w:t>
      </w:r>
      <w:r>
        <w:rPr>
          <w:rFonts w:ascii="宋体" w:eastAsia="宋体" w:hAnsi="宋体" w:cs="宋体" w:hint="eastAsia"/>
          <w:b/>
          <w:bCs/>
          <w:kern w:val="0"/>
          <w:sz w:val="28"/>
          <w:szCs w:val="27"/>
          <w:highlight w:val="none"/>
        </w:rPr>
        <w:t xml:space="preserve"> </w:t>
      </w:r>
      <w:r>
        <w:rPr>
          <w:rFonts w:ascii="宋体" w:eastAsia="宋体" w:hAnsi="宋体" w:cs="宋体" w:hint="eastAsia"/>
          <w:b/>
          <w:bCs/>
          <w:kern w:val="0"/>
          <w:sz w:val="28"/>
          <w:szCs w:val="27"/>
          <w:highlight w:val="none"/>
          <w:lang w:val="en-US" w:eastAsia="zh-CN"/>
        </w:rPr>
        <w:t>*</w:t>
      </w:r>
      <w:r>
        <w:rPr>
          <w:rFonts w:ascii="宋体" w:eastAsia="宋体" w:hAnsi="宋体" w:cs="宋体" w:hint="eastAsia"/>
          <w:b/>
          <w:bCs/>
          <w:kern w:val="0"/>
          <w:sz w:val="28"/>
          <w:szCs w:val="27"/>
          <w:highlight w:val="none"/>
        </w:rPr>
        <w:t>技术保障团队要求</w:t>
      </w:r>
    </w:p>
    <w:p>
      <w:pPr>
        <w:jc w:val="center"/>
        <w:rPr>
          <w:rFonts w:ascii="宋体" w:eastAsia="宋体" w:hAnsi="宋体" w:cs="宋体" w:hint="eastAsia"/>
          <w:szCs w:val="20"/>
          <w:highlight w:val="none"/>
        </w:rPr>
      </w:pPr>
      <w:r>
        <w:rPr>
          <w:rFonts w:ascii="宋体" w:eastAsia="宋体" w:hAnsi="宋体" w:cs="宋体" w:hint="eastAsia"/>
          <w:szCs w:val="24"/>
          <w:highlight w:val="none"/>
          <w:lang w:val="en-US" w:eastAsia="zh-CN"/>
        </w:rPr>
        <w:t>表8</w:t>
      </w:r>
      <w:r>
        <w:rPr>
          <w:rFonts w:ascii="宋体" w:eastAsia="宋体" w:hAnsi="宋体" w:cs="宋体" w:hint="eastAsia"/>
          <w:szCs w:val="24"/>
          <w:highlight w:val="none"/>
        </w:rPr>
        <w:t>无人机项目人员配置表</w:t>
      </w:r>
    </w:p>
    <w:tbl>
      <w:tblPr>
        <w:tblStyle w:val="TableNormal"/>
        <w:tblW w:w="5079"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1269"/>
        <w:gridCol w:w="820"/>
        <w:gridCol w:w="2082"/>
        <w:gridCol w:w="2213"/>
        <w:gridCol w:w="2214"/>
      </w:tblGrid>
      <w:tr>
        <w:tblPrEx>
          <w:tblW w:w="5079"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c>
          <w:tcPr>
            <w:tcW w:w="738"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center"/>
              <w:rPr>
                <w:rFonts w:ascii="宋体" w:eastAsia="宋体" w:hAnsi="宋体" w:cs="宋体" w:hint="eastAsia"/>
                <w:b/>
                <w:szCs w:val="20"/>
                <w:highlight w:val="none"/>
              </w:rPr>
            </w:pPr>
            <w:r>
              <w:rPr>
                <w:rFonts w:ascii="宋体" w:eastAsia="宋体" w:hAnsi="宋体" w:cs="宋体" w:hint="eastAsia"/>
                <w:b/>
                <w:szCs w:val="24"/>
                <w:highlight w:val="none"/>
              </w:rPr>
              <w:t>角色</w:t>
            </w:r>
          </w:p>
        </w:tc>
        <w:tc>
          <w:tcPr>
            <w:tcW w:w="477"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center"/>
              <w:rPr>
                <w:rFonts w:ascii="宋体" w:eastAsia="宋体" w:hAnsi="宋体" w:cs="宋体" w:hint="eastAsia"/>
                <w:b/>
                <w:szCs w:val="20"/>
                <w:highlight w:val="none"/>
              </w:rPr>
            </w:pPr>
            <w:r>
              <w:rPr>
                <w:rFonts w:ascii="宋体" w:eastAsia="宋体" w:hAnsi="宋体" w:cs="宋体" w:hint="eastAsia"/>
                <w:b/>
                <w:szCs w:val="24"/>
                <w:highlight w:val="none"/>
              </w:rPr>
              <w:t>数量</w:t>
            </w:r>
          </w:p>
        </w:tc>
        <w:tc>
          <w:tcPr>
            <w:tcW w:w="1211"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center"/>
              <w:rPr>
                <w:rFonts w:ascii="宋体" w:eastAsia="宋体" w:hAnsi="宋体" w:cs="宋体" w:hint="eastAsia"/>
                <w:b/>
                <w:szCs w:val="20"/>
                <w:highlight w:val="none"/>
              </w:rPr>
            </w:pPr>
            <w:r>
              <w:rPr>
                <w:rFonts w:ascii="宋体" w:eastAsia="宋体" w:hAnsi="宋体" w:cs="宋体" w:hint="eastAsia"/>
                <w:b/>
                <w:szCs w:val="24"/>
                <w:highlight w:val="none"/>
              </w:rPr>
              <w:t>职责</w:t>
            </w:r>
          </w:p>
        </w:tc>
        <w:tc>
          <w:tcPr>
            <w:tcW w:w="1287"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center"/>
              <w:rPr>
                <w:rFonts w:ascii="宋体" w:eastAsia="宋体" w:hAnsi="宋体" w:cs="宋体" w:hint="eastAsia"/>
                <w:b/>
                <w:szCs w:val="20"/>
                <w:highlight w:val="none"/>
              </w:rPr>
            </w:pPr>
            <w:r>
              <w:rPr>
                <w:rFonts w:ascii="宋体" w:eastAsia="宋体" w:hAnsi="宋体" w:cs="宋体" w:hint="eastAsia"/>
                <w:b/>
                <w:szCs w:val="24"/>
                <w:highlight w:val="none"/>
              </w:rPr>
              <w:t>资质要求</w:t>
            </w:r>
          </w:p>
        </w:tc>
        <w:tc>
          <w:tcPr>
            <w:tcW w:w="1287" w:type="pct"/>
            <w:tcBorders>
              <w:top w:val="single" w:sz="6" w:space="0" w:color="000000"/>
              <w:left w:val="single" w:sz="6" w:space="0" w:color="000000"/>
              <w:bottom w:val="single" w:sz="6" w:space="0" w:color="000000"/>
              <w:right w:val="single" w:sz="6" w:space="0" w:color="000000"/>
            </w:tcBorders>
            <w:noWrap w:val="0"/>
            <w:vAlign w:val="top"/>
          </w:tcPr>
          <w:p>
            <w:pPr>
              <w:jc w:val="center"/>
              <w:rPr>
                <w:rFonts w:ascii="宋体" w:eastAsia="宋体" w:hAnsi="宋体" w:cs="宋体" w:hint="eastAsia"/>
                <w:b/>
                <w:szCs w:val="20"/>
                <w:highlight w:val="none"/>
              </w:rPr>
            </w:pPr>
            <w:r>
              <w:rPr>
                <w:rFonts w:ascii="宋体" w:eastAsia="宋体" w:hAnsi="宋体" w:cs="宋体" w:hint="eastAsia"/>
                <w:b/>
                <w:szCs w:val="24"/>
                <w:highlight w:val="none"/>
              </w:rPr>
              <w:t>驻场要求</w:t>
            </w:r>
          </w:p>
        </w:tc>
      </w:tr>
      <w:tr>
        <w:tblPrEx>
          <w:tblW w:w="5079" w:type="pct"/>
          <w:tblInd w:w="0" w:type="dxa"/>
          <w:tblCellMar>
            <w:top w:w="0" w:type="dxa"/>
            <w:left w:w="0" w:type="dxa"/>
            <w:bottom w:w="0" w:type="dxa"/>
            <w:right w:w="0" w:type="dxa"/>
          </w:tblCellMar>
        </w:tblPrEx>
        <w:tc>
          <w:tcPr>
            <w:tcW w:w="738"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飞手（机长）</w:t>
            </w:r>
          </w:p>
        </w:tc>
        <w:tc>
          <w:tcPr>
            <w:tcW w:w="477"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3人</w:t>
            </w:r>
          </w:p>
        </w:tc>
        <w:tc>
          <w:tcPr>
            <w:tcW w:w="1211"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飞行操纵、应急处理</w:t>
            </w:r>
          </w:p>
        </w:tc>
        <w:tc>
          <w:tcPr>
            <w:tcW w:w="1287"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民航局颁发的民用无人驾驶航空器操控员执照，500h+经验</w:t>
            </w:r>
          </w:p>
        </w:tc>
        <w:tc>
          <w:tcPr>
            <w:tcW w:w="1287" w:type="pct"/>
            <w:tcBorders>
              <w:top w:val="single" w:sz="6" w:space="0" w:color="000000"/>
              <w:left w:val="single" w:sz="6" w:space="0" w:color="000000"/>
              <w:bottom w:val="single" w:sz="6" w:space="0" w:color="000000"/>
              <w:right w:val="single" w:sz="6" w:space="0" w:color="000000"/>
            </w:tcBorders>
            <w:noWrap w:val="0"/>
            <w:vAlign w:val="top"/>
          </w:tcPr>
          <w:p>
            <w:pPr>
              <w:jc w:val="left"/>
              <w:rPr>
                <w:rFonts w:ascii="宋体" w:eastAsia="宋体" w:hAnsi="宋体" w:cs="宋体" w:hint="eastAsia"/>
                <w:szCs w:val="20"/>
                <w:highlight w:val="none"/>
              </w:rPr>
            </w:pPr>
            <w:r>
              <w:rPr>
                <w:rFonts w:ascii="宋体" w:eastAsia="宋体" w:hAnsi="宋体" w:cs="宋体" w:hint="eastAsia"/>
                <w:szCs w:val="24"/>
                <w:highlight w:val="none"/>
              </w:rPr>
              <w:t>驻场</w:t>
            </w:r>
          </w:p>
        </w:tc>
      </w:tr>
      <w:tr>
        <w:tblPrEx>
          <w:tblW w:w="5079" w:type="pct"/>
          <w:tblInd w:w="0" w:type="dxa"/>
          <w:tblCellMar>
            <w:top w:w="0" w:type="dxa"/>
            <w:left w:w="0" w:type="dxa"/>
            <w:bottom w:w="0" w:type="dxa"/>
            <w:right w:w="0" w:type="dxa"/>
          </w:tblCellMar>
        </w:tblPrEx>
        <w:tc>
          <w:tcPr>
            <w:tcW w:w="738"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地面站操作人员</w:t>
            </w:r>
          </w:p>
        </w:tc>
        <w:tc>
          <w:tcPr>
            <w:tcW w:w="477"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1人</w:t>
            </w:r>
          </w:p>
        </w:tc>
        <w:tc>
          <w:tcPr>
            <w:tcW w:w="1211"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飞行监控、载荷操作、数据管理</w:t>
            </w:r>
          </w:p>
        </w:tc>
        <w:tc>
          <w:tcPr>
            <w:tcW w:w="1287"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200h+航时或2年以上工作经验</w:t>
            </w:r>
          </w:p>
        </w:tc>
        <w:tc>
          <w:tcPr>
            <w:tcW w:w="1287" w:type="pct"/>
            <w:tcBorders>
              <w:top w:val="single" w:sz="6" w:space="0" w:color="000000"/>
              <w:left w:val="single" w:sz="6" w:space="0" w:color="000000"/>
              <w:bottom w:val="single" w:sz="6" w:space="0" w:color="000000"/>
              <w:right w:val="single" w:sz="6" w:space="0" w:color="000000"/>
            </w:tcBorders>
            <w:noWrap w:val="0"/>
            <w:vAlign w:val="top"/>
          </w:tcPr>
          <w:p>
            <w:pPr>
              <w:jc w:val="left"/>
              <w:rPr>
                <w:rFonts w:ascii="宋体" w:eastAsia="宋体" w:hAnsi="宋体" w:cs="宋体" w:hint="eastAsia"/>
                <w:szCs w:val="20"/>
                <w:highlight w:val="none"/>
              </w:rPr>
            </w:pPr>
            <w:r>
              <w:rPr>
                <w:rFonts w:ascii="宋体" w:eastAsia="宋体" w:hAnsi="宋体" w:cs="宋体"/>
                <w:szCs w:val="24"/>
                <w:highlight w:val="none"/>
              </w:rPr>
              <w:t>驻场</w:t>
            </w:r>
          </w:p>
        </w:tc>
      </w:tr>
      <w:tr>
        <w:tblPrEx>
          <w:tblW w:w="5079" w:type="pct"/>
          <w:tblInd w:w="0" w:type="dxa"/>
          <w:tblCellMar>
            <w:top w:w="0" w:type="dxa"/>
            <w:left w:w="0" w:type="dxa"/>
            <w:bottom w:w="0" w:type="dxa"/>
            <w:right w:w="0" w:type="dxa"/>
          </w:tblCellMar>
        </w:tblPrEx>
        <w:tc>
          <w:tcPr>
            <w:tcW w:w="738"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运维管理人员</w:t>
            </w:r>
          </w:p>
        </w:tc>
        <w:tc>
          <w:tcPr>
            <w:tcW w:w="477"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1人</w:t>
            </w:r>
          </w:p>
        </w:tc>
        <w:tc>
          <w:tcPr>
            <w:tcW w:w="1211"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组装、转运、巡检、故障排除</w:t>
            </w:r>
          </w:p>
        </w:tc>
        <w:tc>
          <w:tcPr>
            <w:tcW w:w="1287"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bookmarkStart w:id="59" w:name="OLE_LINK4"/>
            <w:r>
              <w:rPr>
                <w:rFonts w:ascii="宋体" w:eastAsia="宋体" w:hAnsi="宋体" w:cs="宋体" w:hint="eastAsia"/>
                <w:szCs w:val="24"/>
                <w:highlight w:val="none"/>
              </w:rPr>
              <w:t>2年以上工作经验</w:t>
            </w:r>
            <w:bookmarkEnd w:id="59"/>
          </w:p>
        </w:tc>
        <w:tc>
          <w:tcPr>
            <w:tcW w:w="1287" w:type="pct"/>
            <w:tcBorders>
              <w:top w:val="single" w:sz="6" w:space="0" w:color="000000"/>
              <w:left w:val="single" w:sz="6" w:space="0" w:color="000000"/>
              <w:bottom w:val="single" w:sz="6" w:space="0" w:color="000000"/>
              <w:right w:val="single" w:sz="6" w:space="0" w:color="000000"/>
            </w:tcBorders>
            <w:noWrap w:val="0"/>
            <w:vAlign w:val="top"/>
          </w:tcPr>
          <w:p>
            <w:pPr>
              <w:jc w:val="left"/>
              <w:rPr>
                <w:rFonts w:ascii="宋体" w:eastAsia="宋体" w:hAnsi="宋体" w:cs="宋体" w:hint="eastAsia"/>
                <w:szCs w:val="20"/>
                <w:highlight w:val="none"/>
              </w:rPr>
            </w:pPr>
            <w:r>
              <w:rPr>
                <w:rFonts w:ascii="宋体" w:eastAsia="宋体" w:hAnsi="宋体" w:cs="宋体"/>
                <w:szCs w:val="24"/>
                <w:highlight w:val="none"/>
              </w:rPr>
              <w:t>驻场</w:t>
            </w:r>
          </w:p>
        </w:tc>
      </w:tr>
      <w:tr>
        <w:tblPrEx>
          <w:tblW w:w="5079" w:type="pct"/>
          <w:tblInd w:w="0" w:type="dxa"/>
          <w:tblCellMar>
            <w:top w:w="0" w:type="dxa"/>
            <w:left w:w="0" w:type="dxa"/>
            <w:bottom w:w="0" w:type="dxa"/>
            <w:right w:w="0" w:type="dxa"/>
          </w:tblCellMar>
        </w:tblPrEx>
        <w:tc>
          <w:tcPr>
            <w:tcW w:w="738"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签派人员</w:t>
            </w:r>
          </w:p>
        </w:tc>
        <w:tc>
          <w:tcPr>
            <w:tcW w:w="477"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1人</w:t>
            </w:r>
          </w:p>
        </w:tc>
        <w:tc>
          <w:tcPr>
            <w:tcW w:w="1211"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Times New Roman" w:eastAsia="宋体" w:hAnsi="Times New Roman" w:cs="Times New Roman"/>
                <w:szCs w:val="20"/>
                <w:highlight w:val="none"/>
              </w:rPr>
              <w:t>空域使用计划编制+报批、日常飞行计划申报、临时空域申请</w:t>
            </w:r>
            <w:r>
              <w:rPr>
                <w:rFonts w:ascii="Times New Roman" w:eastAsia="宋体" w:hAnsi="Times New Roman" w:cs="Times New Roman" w:hint="eastAsia"/>
                <w:szCs w:val="20"/>
                <w:highlight w:val="none"/>
              </w:rPr>
              <w:t>与</w:t>
            </w:r>
            <w:r>
              <w:rPr>
                <w:rFonts w:ascii="Times New Roman" w:eastAsia="宋体" w:hAnsi="Times New Roman" w:cs="Times New Roman"/>
                <w:szCs w:val="20"/>
                <w:highlight w:val="none"/>
              </w:rPr>
              <w:t>协调</w:t>
            </w:r>
          </w:p>
        </w:tc>
        <w:tc>
          <w:tcPr>
            <w:tcW w:w="1287"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top"/>
          </w:tcPr>
          <w:p>
            <w:pPr>
              <w:jc w:val="left"/>
              <w:rPr>
                <w:rFonts w:ascii="宋体" w:eastAsia="宋体" w:hAnsi="宋体" w:cs="宋体" w:hint="eastAsia"/>
                <w:szCs w:val="20"/>
                <w:highlight w:val="none"/>
              </w:rPr>
            </w:pPr>
            <w:r>
              <w:rPr>
                <w:rFonts w:ascii="宋体" w:eastAsia="宋体" w:hAnsi="宋体" w:cs="宋体" w:hint="eastAsia"/>
                <w:szCs w:val="24"/>
                <w:highlight w:val="none"/>
              </w:rPr>
              <w:t>2年以上工作经验</w:t>
            </w:r>
          </w:p>
        </w:tc>
        <w:tc>
          <w:tcPr>
            <w:tcW w:w="1287" w:type="pct"/>
            <w:tcBorders>
              <w:top w:val="single" w:sz="6" w:space="0" w:color="000000"/>
              <w:left w:val="single" w:sz="6" w:space="0" w:color="000000"/>
              <w:bottom w:val="single" w:sz="6" w:space="0" w:color="000000"/>
              <w:right w:val="single" w:sz="6" w:space="0" w:color="000000"/>
            </w:tcBorders>
            <w:noWrap w:val="0"/>
            <w:vAlign w:val="top"/>
          </w:tcPr>
          <w:p>
            <w:pPr>
              <w:jc w:val="left"/>
              <w:rPr>
                <w:rFonts w:ascii="宋体" w:eastAsia="宋体" w:hAnsi="宋体" w:cs="宋体" w:hint="eastAsia"/>
                <w:szCs w:val="20"/>
                <w:highlight w:val="none"/>
              </w:rPr>
            </w:pPr>
            <w:r>
              <w:rPr>
                <w:rFonts w:ascii="宋体" w:eastAsia="宋体" w:hAnsi="宋体" w:cs="宋体"/>
                <w:szCs w:val="24"/>
                <w:highlight w:val="none"/>
              </w:rPr>
              <w:t>驻场</w:t>
            </w:r>
          </w:p>
        </w:tc>
      </w:tr>
      <w:tr>
        <w:tblPrEx>
          <w:tblW w:w="5079" w:type="pct"/>
          <w:tblInd w:w="0" w:type="dxa"/>
          <w:tblCellMar>
            <w:top w:w="0" w:type="dxa"/>
            <w:left w:w="0" w:type="dxa"/>
            <w:bottom w:w="0" w:type="dxa"/>
            <w:right w:w="0" w:type="dxa"/>
          </w:tblCellMar>
        </w:tblPrEx>
        <w:tc>
          <w:tcPr>
            <w:tcW w:w="738"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效果评估人员</w:t>
            </w:r>
          </w:p>
        </w:tc>
        <w:tc>
          <w:tcPr>
            <w:tcW w:w="477"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1人</w:t>
            </w:r>
          </w:p>
        </w:tc>
        <w:tc>
          <w:tcPr>
            <w:tcW w:w="1211"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效果评估快报、专报</w:t>
            </w:r>
          </w:p>
        </w:tc>
        <w:tc>
          <w:tcPr>
            <w:tcW w:w="1287"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top"/>
          </w:tcPr>
          <w:p>
            <w:pPr>
              <w:jc w:val="left"/>
              <w:rPr>
                <w:rFonts w:ascii="宋体" w:eastAsia="宋体" w:hAnsi="宋体" w:cs="宋体" w:hint="eastAsia"/>
                <w:szCs w:val="20"/>
                <w:highlight w:val="none"/>
              </w:rPr>
            </w:pPr>
            <w:r>
              <w:rPr>
                <w:rFonts w:ascii="宋体" w:eastAsia="宋体" w:hAnsi="宋体" w:cs="宋体" w:hint="eastAsia"/>
                <w:szCs w:val="24"/>
                <w:highlight w:val="none"/>
              </w:rPr>
              <w:t>2年以上工作经验</w:t>
            </w:r>
          </w:p>
        </w:tc>
        <w:tc>
          <w:tcPr>
            <w:tcW w:w="1287" w:type="pct"/>
            <w:tcBorders>
              <w:top w:val="single" w:sz="6" w:space="0" w:color="000000"/>
              <w:left w:val="single" w:sz="6" w:space="0" w:color="000000"/>
              <w:bottom w:val="single" w:sz="6" w:space="0" w:color="000000"/>
              <w:right w:val="single" w:sz="6" w:space="0" w:color="000000"/>
            </w:tcBorders>
            <w:noWrap w:val="0"/>
            <w:vAlign w:val="top"/>
          </w:tcPr>
          <w:p>
            <w:pPr>
              <w:jc w:val="left"/>
              <w:rPr>
                <w:rFonts w:ascii="宋体" w:eastAsia="宋体" w:hAnsi="宋体" w:cs="宋体" w:hint="eastAsia"/>
                <w:szCs w:val="20"/>
                <w:highlight w:val="none"/>
              </w:rPr>
            </w:pPr>
            <w:r>
              <w:rPr>
                <w:rFonts w:ascii="宋体" w:eastAsia="宋体" w:hAnsi="宋体" w:cs="宋体" w:hint="eastAsia"/>
                <w:szCs w:val="24"/>
                <w:highlight w:val="none"/>
              </w:rPr>
              <w:t>不要求</w:t>
            </w:r>
          </w:p>
        </w:tc>
      </w:tr>
      <w:tr>
        <w:tblPrEx>
          <w:tblW w:w="5079" w:type="pct"/>
          <w:tblInd w:w="0" w:type="dxa"/>
          <w:tblCellMar>
            <w:top w:w="0" w:type="dxa"/>
            <w:left w:w="0" w:type="dxa"/>
            <w:bottom w:w="0" w:type="dxa"/>
            <w:right w:w="0" w:type="dxa"/>
          </w:tblCellMar>
        </w:tblPrEx>
        <w:tc>
          <w:tcPr>
            <w:tcW w:w="738"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技术专家</w:t>
            </w:r>
          </w:p>
        </w:tc>
        <w:tc>
          <w:tcPr>
            <w:tcW w:w="477"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1人</w:t>
            </w:r>
          </w:p>
        </w:tc>
        <w:tc>
          <w:tcPr>
            <w:tcW w:w="1211"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设备运维、人影指挥、评估指导</w:t>
            </w:r>
          </w:p>
        </w:tc>
        <w:tc>
          <w:tcPr>
            <w:tcW w:w="1287" w:type="pct"/>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5年以上行业经验</w:t>
            </w:r>
          </w:p>
        </w:tc>
        <w:tc>
          <w:tcPr>
            <w:tcW w:w="1287" w:type="pct"/>
            <w:tcBorders>
              <w:top w:val="single" w:sz="6" w:space="0" w:color="000000"/>
              <w:left w:val="single" w:sz="6" w:space="0" w:color="000000"/>
              <w:bottom w:val="single" w:sz="6" w:space="0" w:color="000000"/>
              <w:right w:val="single" w:sz="6" w:space="0" w:color="000000"/>
            </w:tcBorders>
            <w:noWrap w:val="0"/>
            <w:vAlign w:val="top"/>
          </w:tcPr>
          <w:p>
            <w:pPr>
              <w:jc w:val="left"/>
              <w:rPr>
                <w:rFonts w:ascii="宋体" w:eastAsia="宋体" w:hAnsi="宋体" w:cs="宋体" w:hint="eastAsia"/>
                <w:szCs w:val="20"/>
                <w:highlight w:val="none"/>
              </w:rPr>
            </w:pPr>
            <w:r>
              <w:rPr>
                <w:rFonts w:ascii="宋体" w:eastAsia="宋体" w:hAnsi="宋体" w:cs="宋体"/>
                <w:szCs w:val="24"/>
                <w:highlight w:val="none"/>
              </w:rPr>
              <w:t>不要求</w:t>
            </w:r>
          </w:p>
        </w:tc>
      </w:tr>
    </w:tbl>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sz w:val="28"/>
          <w:szCs w:val="20"/>
          <w:highlight w:val="none"/>
        </w:rPr>
        <w:t>以上人员中，相关工作经验需提供服务团队人员基本情况表作为证明材料。</w:t>
      </w:r>
    </w:p>
    <w:p>
      <w:pPr>
        <w:widowControl/>
        <w:spacing w:before="100" w:beforeAutospacing="1" w:after="100" w:afterAutospacing="1" w:line="520" w:lineRule="exact"/>
        <w:ind w:firstLine="562"/>
        <w:jc w:val="left"/>
        <w:outlineLvl w:val="2"/>
        <w:rPr>
          <w:rFonts w:ascii="宋体" w:eastAsia="宋体" w:hAnsi="宋体" w:cs="宋体" w:hint="eastAsia"/>
          <w:b/>
          <w:bCs/>
          <w:kern w:val="0"/>
          <w:sz w:val="28"/>
          <w:szCs w:val="27"/>
          <w:highlight w:val="none"/>
        </w:rPr>
      </w:pPr>
      <w:r>
        <w:rPr>
          <w:rFonts w:ascii="宋体" w:eastAsia="宋体" w:hAnsi="宋体" w:cs="宋体" w:hint="eastAsia"/>
          <w:b/>
          <w:bCs/>
          <w:kern w:val="0"/>
          <w:sz w:val="28"/>
          <w:szCs w:val="27"/>
          <w:highlight w:val="none"/>
        </w:rPr>
        <w:t>3.</w:t>
      </w:r>
      <w:r>
        <w:rPr>
          <w:rFonts w:ascii="宋体" w:eastAsia="宋体" w:hAnsi="宋体" w:cs="宋体" w:hint="eastAsia"/>
          <w:b/>
          <w:bCs/>
          <w:kern w:val="0"/>
          <w:sz w:val="28"/>
          <w:szCs w:val="27"/>
          <w:highlight w:val="none"/>
          <w:lang w:val="en-US" w:eastAsia="zh-CN"/>
        </w:rPr>
        <w:t>9</w:t>
      </w:r>
      <w:r>
        <w:rPr>
          <w:rFonts w:ascii="宋体" w:eastAsia="宋体" w:hAnsi="宋体" w:cs="宋体" w:hint="eastAsia"/>
          <w:b/>
          <w:bCs/>
          <w:kern w:val="0"/>
          <w:sz w:val="28"/>
          <w:szCs w:val="27"/>
          <w:highlight w:val="none"/>
        </w:rPr>
        <w:t xml:space="preserve"> </w:t>
      </w:r>
      <w:r>
        <w:rPr>
          <w:rFonts w:ascii="宋体" w:eastAsia="宋体" w:hAnsi="宋体" w:cs="宋体" w:hint="eastAsia"/>
          <w:b/>
          <w:bCs/>
          <w:kern w:val="0"/>
          <w:sz w:val="28"/>
          <w:szCs w:val="27"/>
          <w:highlight w:val="none"/>
          <w:lang w:eastAsia="zh-CN"/>
        </w:rPr>
        <w:t>#</w:t>
      </w:r>
      <w:r>
        <w:rPr>
          <w:rFonts w:ascii="宋体" w:eastAsia="宋体" w:hAnsi="宋体" w:cs="宋体" w:hint="eastAsia"/>
          <w:b/>
          <w:bCs/>
          <w:kern w:val="0"/>
          <w:sz w:val="28"/>
          <w:szCs w:val="27"/>
          <w:highlight w:val="none"/>
        </w:rPr>
        <w:t>日常维护要求</w:t>
      </w:r>
    </w:p>
    <w:p>
      <w:pPr>
        <w:jc w:val="center"/>
        <w:rPr>
          <w:rFonts w:ascii="宋体" w:eastAsia="宋体" w:hAnsi="宋体" w:cs="宋体" w:hint="eastAsia"/>
          <w:szCs w:val="20"/>
          <w:highlight w:val="none"/>
        </w:rPr>
      </w:pPr>
      <w:r>
        <w:rPr>
          <w:rFonts w:ascii="宋体" w:eastAsia="宋体" w:hAnsi="宋体" w:cs="宋体" w:hint="eastAsia"/>
          <w:szCs w:val="24"/>
          <w:highlight w:val="none"/>
          <w:lang w:val="en-US" w:eastAsia="zh-CN"/>
        </w:rPr>
        <w:t>表9</w:t>
      </w:r>
      <w:r>
        <w:rPr>
          <w:rFonts w:ascii="宋体" w:eastAsia="宋体" w:hAnsi="宋体" w:cs="宋体" w:hint="eastAsia"/>
          <w:szCs w:val="24"/>
          <w:highlight w:val="none"/>
        </w:rPr>
        <w:t>维护检查周期表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1028"/>
        <w:gridCol w:w="1921"/>
        <w:gridCol w:w="5657"/>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center"/>
              <w:rPr>
                <w:rFonts w:ascii="宋体" w:eastAsia="宋体" w:hAnsi="宋体" w:cs="宋体" w:hint="eastAsia"/>
                <w:b/>
                <w:szCs w:val="20"/>
                <w:highlight w:val="none"/>
              </w:rPr>
            </w:pPr>
            <w:r>
              <w:rPr>
                <w:rFonts w:ascii="宋体" w:eastAsia="宋体" w:hAnsi="宋体" w:cs="宋体" w:hint="eastAsia"/>
                <w:b/>
                <w:szCs w:val="24"/>
                <w:highlight w:val="none"/>
              </w:rPr>
              <w:t>级别</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center"/>
              <w:rPr>
                <w:rFonts w:ascii="宋体" w:eastAsia="宋体" w:hAnsi="宋体" w:cs="宋体" w:hint="eastAsia"/>
                <w:b/>
                <w:szCs w:val="20"/>
                <w:highlight w:val="none"/>
              </w:rPr>
            </w:pPr>
            <w:r>
              <w:rPr>
                <w:rFonts w:ascii="宋体" w:eastAsia="宋体" w:hAnsi="宋体" w:cs="宋体" w:hint="eastAsia"/>
                <w:b/>
                <w:szCs w:val="24"/>
                <w:highlight w:val="none"/>
              </w:rPr>
              <w:t>周期</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center"/>
              <w:rPr>
                <w:rFonts w:ascii="宋体" w:eastAsia="宋体" w:hAnsi="宋体" w:cs="宋体" w:hint="eastAsia"/>
                <w:b/>
                <w:szCs w:val="20"/>
                <w:highlight w:val="none"/>
              </w:rPr>
            </w:pPr>
            <w:r>
              <w:rPr>
                <w:rFonts w:ascii="宋体" w:eastAsia="宋体" w:hAnsi="宋体" w:cs="宋体" w:hint="eastAsia"/>
                <w:b/>
                <w:szCs w:val="24"/>
                <w:highlight w:val="none"/>
              </w:rPr>
              <w:t>内容</w:t>
            </w:r>
          </w:p>
        </w:tc>
      </w:tr>
      <w:tr>
        <w:tblPrEx>
          <w:tblW w:w="5000" w:type="pct"/>
          <w:tblInd w:w="0"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日检</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每次飞行前</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外观/油量/电池/螺旋桨/飞控自检</w:t>
            </w:r>
          </w:p>
        </w:tc>
      </w:tr>
      <w:tr>
        <w:tblPrEx>
          <w:tblW w:w="5000" w:type="pct"/>
          <w:tblInd w:w="0"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周检</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每周</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发动机参数/链路/载荷标定/电池健康</w:t>
            </w:r>
          </w:p>
        </w:tc>
      </w:tr>
      <w:tr>
        <w:tblPrEx>
          <w:tblW w:w="5000" w:type="pct"/>
          <w:tblInd w:w="0"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月检</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每月</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全系统测试/传感器校准/软件更新</w:t>
            </w:r>
          </w:p>
        </w:tc>
      </w:tr>
      <w:tr>
        <w:tblPrEx>
          <w:tblW w:w="5000" w:type="pct"/>
          <w:tblInd w:w="0"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季检</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每季度</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深度检查/结构探伤/除冰测试/应急演练</w:t>
            </w:r>
          </w:p>
        </w:tc>
      </w:tr>
    </w:tbl>
    <w:p>
      <w:pPr>
        <w:widowControl/>
        <w:spacing w:before="100" w:beforeAutospacing="1" w:after="100" w:afterAutospacing="1" w:line="520" w:lineRule="exact"/>
        <w:ind w:firstLine="562"/>
        <w:jc w:val="left"/>
        <w:outlineLvl w:val="2"/>
        <w:rPr>
          <w:rFonts w:ascii="宋体" w:eastAsia="宋体" w:hAnsi="宋体" w:cs="宋体" w:hint="eastAsia"/>
          <w:b/>
          <w:bCs/>
          <w:kern w:val="0"/>
          <w:sz w:val="28"/>
          <w:szCs w:val="27"/>
          <w:highlight w:val="none"/>
        </w:rPr>
      </w:pPr>
      <w:r>
        <w:rPr>
          <w:rFonts w:ascii="宋体" w:eastAsia="宋体" w:hAnsi="宋体" w:cs="宋体" w:hint="eastAsia"/>
          <w:b/>
          <w:bCs/>
          <w:kern w:val="0"/>
          <w:sz w:val="28"/>
          <w:szCs w:val="27"/>
          <w:highlight w:val="none"/>
        </w:rPr>
        <w:t>3.1</w:t>
      </w:r>
      <w:r>
        <w:rPr>
          <w:rFonts w:ascii="宋体" w:eastAsia="宋体" w:hAnsi="宋体" w:cs="宋体" w:hint="eastAsia"/>
          <w:b/>
          <w:bCs/>
          <w:kern w:val="0"/>
          <w:sz w:val="28"/>
          <w:szCs w:val="27"/>
          <w:highlight w:val="none"/>
          <w:lang w:val="en-US" w:eastAsia="zh-CN"/>
        </w:rPr>
        <w:t>0</w:t>
      </w:r>
      <w:r>
        <w:rPr>
          <w:rFonts w:ascii="宋体" w:eastAsia="宋体" w:hAnsi="宋体" w:cs="宋体" w:hint="eastAsia"/>
          <w:b/>
          <w:bCs/>
          <w:kern w:val="0"/>
          <w:sz w:val="28"/>
          <w:szCs w:val="27"/>
          <w:highlight w:val="none"/>
        </w:rPr>
        <w:t xml:space="preserve"> 空域协调服务要求</w:t>
      </w:r>
    </w:p>
    <w:p>
      <w:pPr>
        <w:jc w:val="center"/>
        <w:rPr>
          <w:rFonts w:ascii="宋体" w:eastAsia="宋体" w:hAnsi="宋体" w:cs="宋体" w:hint="eastAsia"/>
          <w:szCs w:val="20"/>
          <w:highlight w:val="none"/>
        </w:rPr>
      </w:pPr>
      <w:r>
        <w:rPr>
          <w:rFonts w:ascii="宋体" w:eastAsia="宋体" w:hAnsi="宋体" w:cs="宋体" w:hint="eastAsia"/>
          <w:szCs w:val="24"/>
          <w:highlight w:val="none"/>
          <w:lang w:val="en-US" w:eastAsia="zh-CN"/>
        </w:rPr>
        <w:t>表10</w:t>
      </w:r>
      <w:r>
        <w:rPr>
          <w:rFonts w:ascii="宋体" w:eastAsia="宋体" w:hAnsi="宋体" w:cs="宋体" w:hint="eastAsia"/>
          <w:szCs w:val="24"/>
          <w:highlight w:val="none"/>
        </w:rPr>
        <w:t>空域使用计划事项表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7859"/>
        <w:gridCol w:w="747"/>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center"/>
              <w:rPr>
                <w:rFonts w:ascii="宋体" w:eastAsia="宋体" w:hAnsi="宋体" w:cs="宋体" w:hint="eastAsia"/>
                <w:b/>
                <w:szCs w:val="20"/>
                <w:highlight w:val="none"/>
              </w:rPr>
            </w:pPr>
            <w:r>
              <w:rPr>
                <w:rFonts w:ascii="宋体" w:eastAsia="宋体" w:hAnsi="宋体" w:cs="宋体" w:hint="eastAsia"/>
                <w:b/>
                <w:szCs w:val="24"/>
                <w:highlight w:val="none"/>
              </w:rPr>
              <w:t>事项</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center"/>
              <w:rPr>
                <w:rFonts w:ascii="宋体" w:eastAsia="宋体" w:hAnsi="宋体" w:cs="宋体" w:hint="eastAsia"/>
                <w:b/>
                <w:szCs w:val="20"/>
                <w:highlight w:val="none"/>
              </w:rPr>
            </w:pPr>
            <w:r>
              <w:rPr>
                <w:rFonts w:ascii="宋体" w:eastAsia="宋体" w:hAnsi="宋体" w:cs="宋体" w:hint="eastAsia"/>
                <w:b/>
                <w:szCs w:val="24"/>
                <w:highlight w:val="none"/>
              </w:rPr>
              <w:t>说明</w:t>
            </w:r>
          </w:p>
        </w:tc>
      </w:tr>
      <w:tr>
        <w:tblPrEx>
          <w:tblW w:w="5000" w:type="pct"/>
          <w:tblInd w:w="0"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szCs w:val="24"/>
                <w:highlight w:val="none"/>
              </w:rPr>
              <w:t>编制符合空域管理部门要求的飞行计划申请书及附件材料</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p>
        </w:tc>
      </w:tr>
      <w:tr>
        <w:tblPrEx>
          <w:tblW w:w="5000" w:type="pct"/>
          <w:tblInd w:w="0"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szCs w:val="24"/>
                <w:highlight w:val="none"/>
              </w:rPr>
              <w:t>代办无人机集群飞行空域批复手续，与飞行管制部门、民航管理部门沟通协调</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p>
        </w:tc>
      </w:tr>
      <w:tr>
        <w:tblPrEx>
          <w:tblW w:w="5000" w:type="pct"/>
          <w:tblInd w:w="0"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szCs w:val="20"/>
                <w:highlight w:val="none"/>
              </w:rPr>
            </w:pPr>
            <w:r>
              <w:rPr>
                <w:rFonts w:ascii="宋体" w:eastAsia="宋体" w:hAnsi="宋体" w:cs="宋体" w:hint="eastAsia"/>
                <w:szCs w:val="24"/>
                <w:highlight w:val="none"/>
              </w:rPr>
              <w:t>跟踪审批进度，及时反馈审批结果及需整改事项</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p>
        </w:tc>
      </w:tr>
      <w:tr>
        <w:tblPrEx>
          <w:tblW w:w="5000" w:type="pct"/>
          <w:tblInd w:w="0"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szCs w:val="24"/>
                <w:highlight w:val="none"/>
              </w:rPr>
              <w:t>飞行作业期间保持与管制部门实时联络，遇突发禁航情况， 30分钟内预警甲方</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p>
        </w:tc>
      </w:tr>
    </w:tbl>
    <w:p>
      <w:pPr>
        <w:widowControl/>
        <w:spacing w:before="100" w:beforeAutospacing="1" w:after="100" w:afterAutospacing="1" w:line="520" w:lineRule="exact"/>
        <w:ind w:firstLine="562"/>
        <w:jc w:val="left"/>
        <w:outlineLvl w:val="2"/>
        <w:rPr>
          <w:rFonts w:ascii="宋体" w:eastAsia="宋体" w:hAnsi="宋体" w:cs="宋体" w:hint="eastAsia"/>
          <w:b/>
          <w:bCs/>
          <w:kern w:val="0"/>
          <w:sz w:val="28"/>
          <w:szCs w:val="27"/>
          <w:highlight w:val="none"/>
        </w:rPr>
      </w:pPr>
      <w:r>
        <w:rPr>
          <w:rFonts w:ascii="宋体" w:eastAsia="宋体" w:hAnsi="宋体" w:cs="宋体" w:hint="eastAsia"/>
          <w:b/>
          <w:bCs/>
          <w:kern w:val="0"/>
          <w:sz w:val="28"/>
          <w:szCs w:val="27"/>
          <w:highlight w:val="none"/>
        </w:rPr>
        <w:t>3.1</w:t>
      </w:r>
      <w:r>
        <w:rPr>
          <w:rFonts w:ascii="宋体" w:eastAsia="宋体" w:hAnsi="宋体" w:cs="宋体" w:hint="eastAsia"/>
          <w:b/>
          <w:bCs/>
          <w:kern w:val="0"/>
          <w:sz w:val="28"/>
          <w:szCs w:val="27"/>
          <w:highlight w:val="none"/>
          <w:lang w:val="en-US" w:eastAsia="zh-CN"/>
        </w:rPr>
        <w:t>1</w:t>
      </w:r>
      <w:r>
        <w:rPr>
          <w:rFonts w:ascii="宋体" w:eastAsia="宋体" w:hAnsi="宋体" w:cs="宋体" w:hint="eastAsia"/>
          <w:b/>
          <w:bCs/>
          <w:kern w:val="0"/>
          <w:sz w:val="28"/>
          <w:szCs w:val="27"/>
          <w:highlight w:val="none"/>
        </w:rPr>
        <w:t xml:space="preserve"> </w:t>
      </w:r>
      <w:r>
        <w:rPr>
          <w:rFonts w:ascii="宋体" w:eastAsia="宋体" w:hAnsi="宋体" w:cs="宋体" w:hint="eastAsia"/>
          <w:b/>
          <w:bCs/>
          <w:kern w:val="0"/>
          <w:sz w:val="28"/>
          <w:szCs w:val="27"/>
          <w:highlight w:val="none"/>
          <w:lang w:eastAsia="zh-CN"/>
        </w:rPr>
        <w:t>#</w:t>
      </w:r>
      <w:r>
        <w:rPr>
          <w:rFonts w:ascii="宋体" w:eastAsia="宋体" w:hAnsi="宋体" w:cs="宋体" w:hint="eastAsia"/>
          <w:b/>
          <w:bCs/>
          <w:kern w:val="0"/>
          <w:sz w:val="28"/>
          <w:szCs w:val="27"/>
          <w:highlight w:val="none"/>
        </w:rPr>
        <w:t>保险要求</w:t>
      </w:r>
    </w:p>
    <w:p>
      <w:pPr>
        <w:jc w:val="center"/>
        <w:rPr>
          <w:rFonts w:ascii="宋体" w:eastAsia="宋体" w:hAnsi="宋体" w:cs="宋体" w:hint="eastAsia"/>
          <w:szCs w:val="20"/>
          <w:highlight w:val="none"/>
        </w:rPr>
      </w:pPr>
      <w:r>
        <w:rPr>
          <w:rFonts w:ascii="宋体" w:eastAsia="宋体" w:hAnsi="宋体" w:cs="宋体" w:hint="eastAsia"/>
          <w:szCs w:val="24"/>
          <w:highlight w:val="none"/>
          <w:lang w:val="en-US" w:eastAsia="zh-CN"/>
        </w:rPr>
        <w:t>表11</w:t>
      </w:r>
      <w:r>
        <w:rPr>
          <w:rFonts w:ascii="宋体" w:eastAsia="宋体" w:hAnsi="宋体" w:cs="宋体" w:hint="eastAsia"/>
          <w:szCs w:val="24"/>
          <w:highlight w:val="none"/>
        </w:rPr>
        <w:t>保险信息表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2300"/>
        <w:gridCol w:w="2369"/>
        <w:gridCol w:w="3937"/>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center"/>
              <w:rPr>
                <w:rFonts w:ascii="宋体" w:eastAsia="宋体" w:hAnsi="宋体" w:cs="宋体" w:hint="eastAsia"/>
                <w:b/>
                <w:szCs w:val="20"/>
                <w:highlight w:val="none"/>
              </w:rPr>
            </w:pPr>
            <w:r>
              <w:rPr>
                <w:rFonts w:ascii="宋体" w:eastAsia="宋体" w:hAnsi="宋体" w:cs="宋体" w:hint="eastAsia"/>
                <w:b/>
                <w:szCs w:val="24"/>
                <w:highlight w:val="none"/>
              </w:rPr>
              <w:t>保险类型</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center"/>
              <w:rPr>
                <w:rFonts w:ascii="宋体" w:eastAsia="宋体" w:hAnsi="宋体" w:cs="宋体" w:hint="eastAsia"/>
                <w:b/>
                <w:szCs w:val="20"/>
                <w:highlight w:val="none"/>
              </w:rPr>
            </w:pPr>
            <w:r>
              <w:rPr>
                <w:rFonts w:ascii="宋体" w:eastAsia="宋体" w:hAnsi="宋体" w:cs="宋体" w:hint="eastAsia"/>
                <w:b/>
                <w:szCs w:val="24"/>
                <w:highlight w:val="none"/>
              </w:rPr>
              <w:t>保额/标的</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center"/>
              <w:rPr>
                <w:rFonts w:ascii="宋体" w:eastAsia="宋体" w:hAnsi="宋体" w:cs="宋体" w:hint="eastAsia"/>
                <w:b/>
                <w:szCs w:val="20"/>
                <w:highlight w:val="none"/>
              </w:rPr>
            </w:pPr>
            <w:r>
              <w:rPr>
                <w:rFonts w:ascii="宋体" w:eastAsia="宋体" w:hAnsi="宋体" w:cs="宋体" w:hint="eastAsia"/>
                <w:b/>
                <w:szCs w:val="24"/>
                <w:highlight w:val="none"/>
              </w:rPr>
              <w:t>说明</w:t>
            </w:r>
          </w:p>
        </w:tc>
      </w:tr>
      <w:tr>
        <w:tblPrEx>
          <w:tblW w:w="5000" w:type="pct"/>
          <w:tblInd w:w="0"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机身险</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3架飞机</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按机身价值投保，含高原加成</w:t>
            </w:r>
          </w:p>
        </w:tc>
      </w:tr>
      <w:tr>
        <w:tblPrEx>
          <w:tblW w:w="5000" w:type="pct"/>
          <w:tblInd w:w="0"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第三者责任险</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累计≥1500万元</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每架500万元</w:t>
            </w:r>
          </w:p>
        </w:tc>
      </w:tr>
      <w:tr>
        <w:tblPrEx>
          <w:tblW w:w="5000" w:type="pct"/>
          <w:tblInd w:w="0"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人员意外险</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6人×100万元</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含航空意外</w:t>
            </w:r>
          </w:p>
        </w:tc>
      </w:tr>
      <w:tr>
        <w:tblPrEx>
          <w:tblW w:w="5000" w:type="pct"/>
          <w:tblInd w:w="0"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运输险</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全额保价</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3架运输</w:t>
            </w:r>
          </w:p>
        </w:tc>
      </w:tr>
      <w:tr>
        <w:tblPrEx>
          <w:tblW w:w="5000" w:type="pct"/>
          <w:tblInd w:w="0" w:type="dxa"/>
          <w:tblCellMar>
            <w:top w:w="0" w:type="dxa"/>
            <w:left w:w="0" w:type="dxa"/>
            <w:bottom w:w="0" w:type="dxa"/>
            <w:right w:w="0" w:type="dxa"/>
          </w:tblCellMar>
        </w:tblPrEx>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高原作业专项险</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含高原病/转运</w:t>
            </w:r>
          </w:p>
        </w:tc>
        <w:tc>
          <w:tcPr>
            <w:tcW w:w="0" w:type="auto"/>
            <w:tcBorders>
              <w:top w:val="single" w:sz="6" w:space="0" w:color="000000"/>
              <w:left w:val="single" w:sz="6" w:space="0" w:color="000000"/>
              <w:bottom w:val="single" w:sz="6" w:space="0" w:color="000000"/>
              <w:right w:val="single" w:sz="6" w:space="0" w:color="000000"/>
            </w:tcBorders>
            <w:noWrap w:val="0"/>
            <w:tcMar>
              <w:top w:w="150" w:type="dxa"/>
              <w:left w:w="150" w:type="dxa"/>
              <w:bottom w:w="150" w:type="dxa"/>
              <w:right w:w="150" w:type="dxa"/>
            </w:tcMar>
            <w:vAlign w:val="center"/>
          </w:tcPr>
          <w:p>
            <w:pPr>
              <w:jc w:val="left"/>
              <w:rPr>
                <w:rFonts w:ascii="宋体" w:eastAsia="宋体" w:hAnsi="宋体" w:cs="宋体" w:hint="eastAsia"/>
                <w:szCs w:val="20"/>
                <w:highlight w:val="none"/>
              </w:rPr>
            </w:pPr>
            <w:r>
              <w:rPr>
                <w:rFonts w:ascii="宋体" w:eastAsia="宋体" w:hAnsi="宋体" w:cs="宋体" w:hint="eastAsia"/>
                <w:szCs w:val="24"/>
                <w:highlight w:val="none"/>
              </w:rPr>
              <w:t>高原特殊风险</w:t>
            </w:r>
          </w:p>
        </w:tc>
      </w:tr>
    </w:tbl>
    <w:p>
      <w:pPr>
        <w:keepNext w:val="0"/>
        <w:keepLines w:val="0"/>
        <w:widowControl/>
        <w:spacing w:before="100" w:beforeAutospacing="1" w:after="100" w:afterAutospacing="1" w:line="520" w:lineRule="exact"/>
        <w:ind w:firstLine="562"/>
        <w:jc w:val="left"/>
        <w:outlineLvl w:val="2"/>
        <w:rPr>
          <w:rFonts w:ascii="宋体" w:eastAsia="宋体" w:hAnsi="宋体" w:cs="宋体" w:hint="eastAsia"/>
          <w:b/>
          <w:bCs/>
          <w:sz w:val="28"/>
          <w:szCs w:val="32"/>
          <w:highlight w:val="none"/>
        </w:rPr>
      </w:pPr>
      <w:r>
        <w:rPr>
          <w:rFonts w:ascii="宋体" w:eastAsia="宋体" w:hAnsi="宋体" w:cs="宋体" w:hint="eastAsia"/>
          <w:b/>
          <w:bCs/>
          <w:sz w:val="28"/>
          <w:szCs w:val="32"/>
          <w:highlight w:val="none"/>
        </w:rPr>
        <w:t>3.11质量要求</w:t>
      </w:r>
    </w:p>
    <w:p>
      <w:pPr>
        <w:keepNext w:val="0"/>
        <w:keepLines w:val="0"/>
        <w:widowControl/>
        <w:adjustRightInd w:val="0"/>
        <w:snapToGrid w:val="0"/>
        <w:spacing w:before="100" w:beforeAutospacing="1" w:after="100" w:afterAutospacing="1" w:line="520" w:lineRule="exact"/>
        <w:ind w:firstLine="561"/>
        <w:jc w:val="left"/>
        <w:outlineLvl w:val="2"/>
        <w:rPr>
          <w:rFonts w:ascii="宋体" w:eastAsia="宋体" w:hAnsi="宋体" w:cs="宋体" w:hint="eastAsia"/>
          <w:b w:val="0"/>
          <w:bCs w:val="0"/>
          <w:sz w:val="28"/>
          <w:szCs w:val="32"/>
          <w:highlight w:val="none"/>
        </w:rPr>
      </w:pPr>
      <w:r>
        <w:rPr>
          <w:rFonts w:ascii="宋体" w:eastAsia="宋体" w:hAnsi="宋体" w:cs="宋体" w:hint="eastAsia"/>
          <w:b w:val="0"/>
          <w:bCs w:val="0"/>
          <w:sz w:val="28"/>
          <w:szCs w:val="32"/>
          <w:highlight w:val="none"/>
        </w:rPr>
        <w:t>（1）投标人须为本项目提供符合技术需求的大型无人机系统维护人员团队，按照相关规定进行大型无人机系统检查维护，确保飞行安全。</w:t>
      </w:r>
    </w:p>
    <w:p>
      <w:pPr>
        <w:keepNext w:val="0"/>
        <w:keepLines w:val="0"/>
        <w:widowControl/>
        <w:adjustRightInd w:val="0"/>
        <w:snapToGrid w:val="0"/>
        <w:spacing w:before="100" w:beforeAutospacing="1" w:after="100" w:afterAutospacing="1" w:line="520" w:lineRule="exact"/>
        <w:ind w:firstLine="561"/>
        <w:jc w:val="left"/>
        <w:outlineLvl w:val="2"/>
        <w:rPr>
          <w:rFonts w:ascii="宋体" w:eastAsia="宋体" w:hAnsi="宋体" w:cs="宋体" w:hint="eastAsia"/>
          <w:b w:val="0"/>
          <w:bCs w:val="0"/>
          <w:sz w:val="28"/>
          <w:szCs w:val="32"/>
          <w:highlight w:val="none"/>
        </w:rPr>
      </w:pPr>
      <w:r>
        <w:rPr>
          <w:rFonts w:ascii="宋体" w:eastAsia="宋体" w:hAnsi="宋体" w:cs="宋体" w:hint="eastAsia"/>
          <w:b w:val="0"/>
          <w:bCs w:val="0"/>
          <w:sz w:val="28"/>
          <w:szCs w:val="32"/>
          <w:highlight w:val="none"/>
        </w:rPr>
        <w:t>（2）投标人须负责飞行计划的报批以及与空管的沟通协调。</w:t>
      </w:r>
    </w:p>
    <w:p>
      <w:pPr>
        <w:keepNext w:val="0"/>
        <w:keepLines w:val="0"/>
        <w:widowControl/>
        <w:adjustRightInd w:val="0"/>
        <w:snapToGrid w:val="0"/>
        <w:spacing w:before="100" w:beforeAutospacing="1" w:after="100" w:afterAutospacing="1" w:line="520" w:lineRule="exact"/>
        <w:ind w:firstLine="561"/>
        <w:jc w:val="left"/>
        <w:outlineLvl w:val="2"/>
        <w:rPr>
          <w:rFonts w:ascii="宋体" w:eastAsia="宋体" w:hAnsi="宋体" w:cs="宋体" w:hint="eastAsia"/>
          <w:b w:val="0"/>
          <w:bCs w:val="0"/>
          <w:sz w:val="28"/>
          <w:szCs w:val="32"/>
          <w:highlight w:val="none"/>
        </w:rPr>
      </w:pPr>
      <w:r>
        <w:rPr>
          <w:rFonts w:ascii="宋体" w:eastAsia="宋体" w:hAnsi="宋体" w:cs="宋体" w:hint="eastAsia"/>
          <w:b w:val="0"/>
          <w:bCs w:val="0"/>
          <w:sz w:val="28"/>
          <w:szCs w:val="32"/>
          <w:highlight w:val="none"/>
        </w:rPr>
        <w:t>（3）因人工增雨（雪）无人机、有关器械设备出现故障不能作业时，投标人需在48小时内解决并可开展增雨作业；如在48小时内无法排除故障的，投标人需在72小时内调换相同或性能相似机型。投标人本项目配备的大型无人机系统出现故障不能实施作业飞行时，能够在72小时内提供可行性解决方案（包括但不限于更换故障部件或提供性能相近的备用大型无人机系统）。</w:t>
      </w:r>
    </w:p>
    <w:p>
      <w:pPr>
        <w:keepNext w:val="0"/>
        <w:keepLines w:val="0"/>
        <w:widowControl/>
        <w:adjustRightInd w:val="0"/>
        <w:snapToGrid w:val="0"/>
        <w:spacing w:before="100" w:beforeAutospacing="1" w:after="100" w:afterAutospacing="1" w:line="520" w:lineRule="exact"/>
        <w:ind w:firstLine="561"/>
        <w:jc w:val="left"/>
        <w:outlineLvl w:val="2"/>
        <w:rPr>
          <w:rFonts w:ascii="宋体" w:eastAsia="宋体" w:hAnsi="宋体" w:cs="宋体" w:hint="eastAsia"/>
          <w:b w:val="0"/>
          <w:bCs w:val="0"/>
          <w:sz w:val="28"/>
          <w:szCs w:val="32"/>
          <w:highlight w:val="none"/>
        </w:rPr>
      </w:pPr>
      <w:r>
        <w:rPr>
          <w:rFonts w:ascii="宋体" w:eastAsia="宋体" w:hAnsi="宋体" w:cs="宋体" w:hint="eastAsia"/>
          <w:b w:val="0"/>
          <w:bCs w:val="0"/>
          <w:sz w:val="28"/>
          <w:szCs w:val="32"/>
          <w:highlight w:val="none"/>
        </w:rPr>
        <w:t>（4）现场响应：现场作业遇到有关问题时，投标人现场负责人应积极与采购人协商，保障顺利作业。</w:t>
      </w:r>
    </w:p>
    <w:p>
      <w:pPr>
        <w:keepNext w:val="0"/>
        <w:keepLines w:val="0"/>
        <w:widowControl/>
        <w:adjustRightInd w:val="0"/>
        <w:snapToGrid w:val="0"/>
        <w:spacing w:before="100" w:beforeAutospacing="1" w:after="100" w:afterAutospacing="1" w:line="520" w:lineRule="exact"/>
        <w:ind w:firstLine="561"/>
        <w:jc w:val="left"/>
        <w:outlineLvl w:val="2"/>
        <w:rPr>
          <w:rFonts w:ascii="宋体" w:eastAsia="宋体" w:hAnsi="宋体" w:cs="宋体" w:hint="eastAsia"/>
          <w:b w:val="0"/>
          <w:bCs w:val="0"/>
          <w:sz w:val="28"/>
          <w:szCs w:val="32"/>
          <w:highlight w:val="none"/>
        </w:rPr>
      </w:pPr>
      <w:r>
        <w:rPr>
          <w:rFonts w:ascii="宋体" w:eastAsia="宋体" w:hAnsi="宋体" w:cs="宋体" w:hint="eastAsia"/>
          <w:b w:val="0"/>
          <w:bCs w:val="0"/>
          <w:sz w:val="28"/>
          <w:szCs w:val="32"/>
          <w:highlight w:val="none"/>
        </w:rPr>
        <w:t>（5）投标人按照采购人需求提供飞行服务，如因投标人自身原因未能完成作业任务，影响作业质量和造成损失的，采购人不予验收，由投标人承担一切责任，并赔偿所造成的损失。</w:t>
      </w:r>
    </w:p>
    <w:p>
      <w:pPr>
        <w:keepNext w:val="0"/>
        <w:keepLines w:val="0"/>
        <w:widowControl/>
        <w:adjustRightInd w:val="0"/>
        <w:snapToGrid w:val="0"/>
        <w:spacing w:before="100" w:beforeAutospacing="1" w:after="100" w:afterAutospacing="1" w:line="520" w:lineRule="exact"/>
        <w:ind w:firstLine="561"/>
        <w:jc w:val="left"/>
        <w:outlineLvl w:val="2"/>
        <w:rPr>
          <w:rFonts w:ascii="宋体" w:eastAsia="宋体" w:hAnsi="宋体" w:cs="宋体" w:hint="eastAsia"/>
          <w:b w:val="0"/>
          <w:bCs w:val="0"/>
          <w:sz w:val="28"/>
          <w:szCs w:val="32"/>
          <w:highlight w:val="none"/>
        </w:rPr>
      </w:pPr>
      <w:r>
        <w:rPr>
          <w:rFonts w:ascii="宋体" w:eastAsia="宋体" w:hAnsi="宋体" w:cs="宋体" w:hint="eastAsia"/>
          <w:b w:val="0"/>
          <w:bCs w:val="0"/>
          <w:sz w:val="28"/>
          <w:szCs w:val="32"/>
          <w:highlight w:val="none"/>
        </w:rPr>
        <w:t>（6）采购人可根据天气过程对作业航线、时间及架次进行调整并及时通知人工增雨（雪）作业大型无人机团队。</w:t>
      </w:r>
    </w:p>
    <w:p>
      <w:pPr>
        <w:keepNext w:val="0"/>
        <w:keepLines w:val="0"/>
        <w:widowControl/>
        <w:adjustRightInd w:val="0"/>
        <w:snapToGrid w:val="0"/>
        <w:spacing w:before="100" w:beforeAutospacing="1" w:after="100" w:afterAutospacing="1" w:line="520" w:lineRule="exact"/>
        <w:ind w:firstLine="561"/>
        <w:jc w:val="left"/>
        <w:outlineLvl w:val="2"/>
        <w:rPr>
          <w:rFonts w:ascii="宋体" w:eastAsia="宋体" w:hAnsi="宋体" w:cs="宋体" w:hint="eastAsia"/>
          <w:b w:val="0"/>
          <w:bCs w:val="0"/>
          <w:sz w:val="28"/>
          <w:szCs w:val="32"/>
          <w:highlight w:val="none"/>
        </w:rPr>
      </w:pPr>
      <w:r>
        <w:rPr>
          <w:rFonts w:ascii="宋体" w:eastAsia="宋体" w:hAnsi="宋体" w:cs="宋体" w:hint="eastAsia"/>
          <w:b w:val="0"/>
          <w:bCs w:val="0"/>
          <w:sz w:val="28"/>
          <w:szCs w:val="32"/>
          <w:highlight w:val="none"/>
        </w:rPr>
        <w:t>（7）投标人需提供完整详尽的事故处理解决方案。</w:t>
      </w:r>
    </w:p>
    <w:p>
      <w:pPr>
        <w:keepNext w:val="0"/>
        <w:keepLines w:val="0"/>
        <w:widowControl/>
        <w:adjustRightInd w:val="0"/>
        <w:snapToGrid w:val="0"/>
        <w:spacing w:before="100" w:beforeAutospacing="1" w:after="100" w:afterAutospacing="1" w:line="520" w:lineRule="exact"/>
        <w:ind w:firstLine="561"/>
        <w:jc w:val="left"/>
        <w:outlineLvl w:val="2"/>
        <w:rPr>
          <w:rFonts w:ascii="宋体" w:eastAsia="宋体" w:hAnsi="宋体" w:cs="宋体" w:hint="eastAsia"/>
          <w:b w:val="0"/>
          <w:bCs w:val="0"/>
          <w:sz w:val="28"/>
          <w:szCs w:val="32"/>
          <w:highlight w:val="none"/>
        </w:rPr>
      </w:pPr>
      <w:r>
        <w:rPr>
          <w:rFonts w:ascii="宋体" w:eastAsia="宋体" w:hAnsi="宋体" w:cs="宋体" w:hint="eastAsia"/>
          <w:b w:val="0"/>
          <w:bCs w:val="0"/>
          <w:sz w:val="28"/>
          <w:szCs w:val="32"/>
          <w:highlight w:val="none"/>
        </w:rPr>
        <w:t>（8）现场响应：现场作业遇到有关问题时，中标方现场负责人应积极与采购方现场派驻人员协商，尽全力保障增雨（雪）顺利进行。</w:t>
      </w:r>
    </w:p>
    <w:p>
      <w:pPr>
        <w:keepNext w:val="0"/>
        <w:keepLines w:val="0"/>
        <w:widowControl/>
        <w:adjustRightInd w:val="0"/>
        <w:snapToGrid w:val="0"/>
        <w:spacing w:before="100" w:beforeAutospacing="1" w:after="100" w:afterAutospacing="1" w:line="520" w:lineRule="exact"/>
        <w:ind w:firstLine="561"/>
        <w:jc w:val="left"/>
        <w:outlineLvl w:val="2"/>
        <w:rPr>
          <w:rFonts w:ascii="宋体" w:eastAsia="宋体" w:hAnsi="宋体" w:cs="宋体" w:hint="eastAsia"/>
          <w:b/>
          <w:bCs/>
          <w:sz w:val="28"/>
          <w:szCs w:val="32"/>
          <w:highlight w:val="none"/>
        </w:rPr>
      </w:pPr>
      <w:r>
        <w:rPr>
          <w:rFonts w:ascii="宋体" w:eastAsia="宋体" w:hAnsi="宋体" w:cs="宋体" w:hint="eastAsia"/>
          <w:b w:val="0"/>
          <w:bCs w:val="0"/>
          <w:sz w:val="28"/>
          <w:szCs w:val="32"/>
          <w:highlight w:val="none"/>
        </w:rPr>
        <w:t>（9）投标人为本项目配备的大型无人机系统在本项目合同履行期间投保机身责任险和三者责任险的。</w:t>
      </w:r>
    </w:p>
    <w:p>
      <w:pPr>
        <w:keepNext/>
        <w:keepLines/>
        <w:widowControl/>
        <w:spacing w:line="520" w:lineRule="exact"/>
        <w:ind w:firstLine="562"/>
        <w:jc w:val="left"/>
        <w:outlineLvl w:val="1"/>
        <w:rPr>
          <w:rFonts w:ascii="宋体" w:eastAsia="宋体" w:hAnsi="宋体" w:cs="宋体" w:hint="eastAsia"/>
          <w:b/>
          <w:bCs/>
          <w:sz w:val="28"/>
          <w:szCs w:val="32"/>
          <w:highlight w:val="none"/>
        </w:rPr>
      </w:pPr>
      <w:r>
        <w:rPr>
          <w:rFonts w:ascii="宋体" w:eastAsia="宋体" w:hAnsi="宋体" w:cs="宋体" w:hint="eastAsia"/>
          <w:b/>
          <w:bCs/>
          <w:sz w:val="28"/>
          <w:szCs w:val="32"/>
          <w:highlight w:val="none"/>
        </w:rPr>
        <w:t>四、</w:t>
      </w:r>
      <w:r>
        <w:rPr>
          <w:rFonts w:ascii="宋体" w:eastAsia="宋体" w:hAnsi="宋体" w:cs="宋体" w:hint="eastAsia"/>
          <w:b/>
          <w:bCs/>
          <w:sz w:val="28"/>
          <w:szCs w:val="32"/>
          <w:highlight w:val="none"/>
          <w:lang w:val="en-US" w:eastAsia="zh-CN"/>
        </w:rPr>
        <w:t>其他</w:t>
      </w:r>
      <w:r>
        <w:rPr>
          <w:rFonts w:ascii="宋体" w:eastAsia="宋体" w:hAnsi="宋体" w:cs="宋体" w:hint="eastAsia"/>
          <w:b/>
          <w:bCs/>
          <w:sz w:val="28"/>
          <w:szCs w:val="32"/>
          <w:highlight w:val="none"/>
        </w:rPr>
        <w:t>要求</w:t>
      </w:r>
    </w:p>
    <w:p>
      <w:pPr>
        <w:widowControl/>
        <w:spacing w:before="100" w:beforeAutospacing="1" w:after="100" w:afterAutospacing="1" w:line="520" w:lineRule="exact"/>
        <w:ind w:firstLine="562"/>
        <w:jc w:val="left"/>
        <w:outlineLvl w:val="2"/>
        <w:rPr>
          <w:rFonts w:ascii="宋体" w:eastAsia="宋体" w:hAnsi="宋体" w:cs="宋体" w:hint="eastAsia"/>
          <w:b/>
          <w:bCs/>
          <w:kern w:val="0"/>
          <w:sz w:val="28"/>
          <w:szCs w:val="27"/>
          <w:highlight w:val="none"/>
        </w:rPr>
      </w:pPr>
      <w:r>
        <w:rPr>
          <w:rFonts w:ascii="宋体" w:eastAsia="宋体" w:hAnsi="宋体" w:cs="宋体" w:hint="eastAsia"/>
          <w:b/>
          <w:bCs/>
          <w:kern w:val="0"/>
          <w:sz w:val="28"/>
          <w:szCs w:val="27"/>
          <w:highlight w:val="none"/>
        </w:rPr>
        <w:t>4.1 服务期限：</w:t>
      </w:r>
    </w:p>
    <w:p>
      <w:pPr>
        <w:widowControl/>
        <w:spacing w:before="100" w:beforeAutospacing="1" w:after="100" w:afterAutospacing="1" w:line="520" w:lineRule="exact"/>
        <w:ind w:firstLine="562"/>
        <w:jc w:val="left"/>
        <w:outlineLvl w:val="2"/>
        <w:rPr>
          <w:rFonts w:ascii="宋体" w:eastAsia="宋体" w:hAnsi="宋体" w:cs="宋体" w:hint="eastAsia"/>
          <w:b/>
          <w:bCs/>
          <w:kern w:val="0"/>
          <w:sz w:val="28"/>
          <w:szCs w:val="28"/>
          <w:highlight w:val="none"/>
        </w:rPr>
      </w:pPr>
      <w:r>
        <w:rPr>
          <w:rFonts w:ascii="宋体" w:eastAsia="宋体" w:hAnsi="宋体" w:cs="宋体" w:hint="eastAsia"/>
          <w:kern w:val="0"/>
          <w:sz w:val="28"/>
          <w:szCs w:val="27"/>
          <w:highlight w:val="none"/>
        </w:rPr>
        <w:t>自合同签订之日起至2026年12月31日（作业试验阶段为2026年6月-11月）。</w:t>
      </w:r>
    </w:p>
    <w:p>
      <w:pPr>
        <w:widowControl/>
        <w:spacing w:before="100" w:beforeAutospacing="1" w:after="100" w:afterAutospacing="1" w:line="520" w:lineRule="exact"/>
        <w:ind w:firstLine="562"/>
        <w:jc w:val="left"/>
        <w:outlineLvl w:val="2"/>
        <w:rPr>
          <w:rFonts w:ascii="宋体" w:eastAsia="宋体" w:hAnsi="宋体" w:cs="宋体" w:hint="eastAsia"/>
          <w:b/>
          <w:bCs/>
          <w:kern w:val="0"/>
          <w:sz w:val="28"/>
          <w:szCs w:val="27"/>
          <w:highlight w:val="none"/>
        </w:rPr>
      </w:pPr>
      <w:r>
        <w:rPr>
          <w:rFonts w:ascii="宋体" w:eastAsia="宋体" w:hAnsi="宋体" w:cs="宋体" w:hint="eastAsia"/>
          <w:b/>
          <w:bCs/>
          <w:kern w:val="0"/>
          <w:sz w:val="28"/>
          <w:szCs w:val="27"/>
          <w:highlight w:val="none"/>
        </w:rPr>
        <w:t>4.2 服务地点：</w:t>
      </w:r>
    </w:p>
    <w:p>
      <w:pPr>
        <w:widowControl/>
        <w:spacing w:before="100" w:beforeAutospacing="1" w:after="100" w:afterAutospacing="1" w:line="520" w:lineRule="exact"/>
        <w:ind w:firstLine="562"/>
        <w:jc w:val="left"/>
        <w:outlineLvl w:val="2"/>
        <w:rPr>
          <w:rFonts w:ascii="宋体" w:eastAsia="宋体" w:hAnsi="宋体" w:cs="宋体" w:hint="eastAsia"/>
          <w:kern w:val="0"/>
          <w:sz w:val="28"/>
          <w:szCs w:val="27"/>
          <w:highlight w:val="none"/>
        </w:rPr>
      </w:pPr>
      <w:r>
        <w:rPr>
          <w:rFonts w:ascii="宋体" w:eastAsia="宋体" w:hAnsi="宋体" w:cs="宋体" w:hint="eastAsia"/>
          <w:kern w:val="0"/>
          <w:sz w:val="28"/>
          <w:szCs w:val="27"/>
          <w:highlight w:val="none"/>
        </w:rPr>
        <w:t>青海省人工影响天气中心指定地点。</w:t>
      </w:r>
    </w:p>
    <w:p>
      <w:pPr>
        <w:widowControl/>
        <w:spacing w:before="100" w:beforeAutospacing="1" w:after="100" w:afterAutospacing="1" w:line="520" w:lineRule="exact"/>
        <w:ind w:firstLine="562"/>
        <w:jc w:val="left"/>
        <w:outlineLvl w:val="2"/>
        <w:rPr>
          <w:rFonts w:ascii="宋体" w:eastAsia="宋体" w:hAnsi="宋体" w:cs="宋体" w:hint="eastAsia"/>
          <w:b/>
          <w:bCs/>
          <w:kern w:val="0"/>
          <w:sz w:val="28"/>
          <w:szCs w:val="27"/>
          <w:highlight w:val="none"/>
        </w:rPr>
      </w:pPr>
      <w:r>
        <w:rPr>
          <w:rFonts w:ascii="宋体" w:eastAsia="宋体" w:hAnsi="宋体" w:cs="宋体" w:hint="eastAsia"/>
          <w:b/>
          <w:bCs/>
          <w:kern w:val="0"/>
          <w:sz w:val="28"/>
          <w:szCs w:val="27"/>
          <w:highlight w:val="none"/>
        </w:rPr>
        <w:t>4.3 结算规则：</w:t>
      </w:r>
    </w:p>
    <w:p>
      <w:pPr>
        <w:widowControl/>
        <w:spacing w:line="520" w:lineRule="exact"/>
        <w:ind w:firstLine="560" w:firstLineChars="200"/>
        <w:rPr>
          <w:rFonts w:ascii="宋体" w:eastAsia="宋体" w:hAnsi="宋体" w:cs="宋体" w:hint="eastAsia"/>
          <w:kern w:val="0"/>
          <w:sz w:val="28"/>
          <w:szCs w:val="27"/>
          <w:highlight w:val="none"/>
        </w:rPr>
      </w:pPr>
      <w:r>
        <w:rPr>
          <w:rFonts w:ascii="宋体" w:eastAsia="宋体" w:hAnsi="宋体" w:cs="宋体" w:hint="eastAsia"/>
          <w:kern w:val="0"/>
          <w:sz w:val="28"/>
          <w:szCs w:val="27"/>
          <w:highlight w:val="none"/>
          <w:lang w:val="en-US" w:eastAsia="zh-CN"/>
        </w:rPr>
        <w:t>投标人</w:t>
      </w:r>
      <w:r>
        <w:rPr>
          <w:rFonts w:ascii="宋体" w:eastAsia="宋体" w:hAnsi="宋体" w:cs="宋体" w:hint="eastAsia"/>
          <w:kern w:val="0"/>
          <w:sz w:val="28"/>
          <w:szCs w:val="27"/>
          <w:highlight w:val="none"/>
        </w:rPr>
        <w:t>组织实施总飞行架次不低于40架次、总飞行时长不低于480小时的人工增雨及探测集群作业</w:t>
      </w:r>
      <w:r>
        <w:rPr>
          <w:rFonts w:ascii="宋体" w:eastAsia="宋体" w:hAnsi="宋体" w:cs="宋体" w:hint="eastAsia"/>
          <w:kern w:val="0"/>
          <w:sz w:val="28"/>
          <w:szCs w:val="27"/>
          <w:highlight w:val="none"/>
          <w:lang w:eastAsia="zh-CN"/>
        </w:rPr>
        <w:t>。</w:t>
      </w:r>
      <w:r>
        <w:rPr>
          <w:rFonts w:ascii="宋体" w:eastAsia="宋体" w:hAnsi="宋体" w:cs="宋体" w:hint="eastAsia"/>
          <w:kern w:val="0"/>
          <w:sz w:val="28"/>
          <w:szCs w:val="27"/>
          <w:highlight w:val="none"/>
        </w:rPr>
        <w:t>以“天工”平台记录的航时数据为唯一结算依据，按以下规则进行费用结算，总费用不超过中标价</w:t>
      </w:r>
      <w:r>
        <w:rPr>
          <w:rFonts w:ascii="宋体" w:eastAsia="宋体" w:hAnsi="宋体" w:cs="宋体" w:hint="eastAsia"/>
          <w:kern w:val="0"/>
          <w:sz w:val="28"/>
          <w:szCs w:val="27"/>
          <w:highlight w:val="none"/>
          <w:lang w:eastAsia="zh-CN"/>
        </w:rPr>
        <w:t>。</w:t>
      </w:r>
    </w:p>
    <w:p>
      <w:pPr>
        <w:widowControl/>
        <w:spacing w:line="520" w:lineRule="exact"/>
        <w:ind w:firstLine="560" w:firstLineChars="200"/>
        <w:rPr>
          <w:rFonts w:ascii="宋体" w:eastAsia="宋体" w:hAnsi="宋体" w:cs="宋体" w:hint="eastAsia"/>
          <w:kern w:val="0"/>
          <w:sz w:val="28"/>
          <w:szCs w:val="27"/>
          <w:highlight w:val="none"/>
        </w:rPr>
      </w:pPr>
      <w:r>
        <w:rPr>
          <w:rFonts w:ascii="宋体" w:eastAsia="宋体" w:hAnsi="宋体" w:cs="宋体" w:hint="eastAsia"/>
          <w:kern w:val="0"/>
          <w:sz w:val="28"/>
          <w:szCs w:val="27"/>
          <w:highlight w:val="none"/>
        </w:rPr>
        <w:t>项目期内，供应商必须履行全部合同义务，提供满足本合同要求的全部作业、探测、指挥及数据对接服务。结算标准为：每小时1.0万元/小时/架。非飞行日按0.8万元/日结算留机费。催化剂按实际消耗量，成本价结算。结算后合同终止。</w:t>
      </w:r>
    </w:p>
    <w:p>
      <w:pPr>
        <w:widowControl/>
        <w:spacing w:line="520" w:lineRule="exact"/>
        <w:ind w:firstLine="560" w:firstLineChars="200"/>
        <w:rPr>
          <w:rFonts w:ascii="宋体" w:eastAsia="宋体" w:hAnsi="宋体" w:cs="宋体" w:hint="eastAsia"/>
          <w:kern w:val="0"/>
          <w:sz w:val="28"/>
          <w:szCs w:val="27"/>
          <w:highlight w:val="none"/>
        </w:rPr>
      </w:pPr>
      <w:r>
        <w:rPr>
          <w:rFonts w:ascii="宋体" w:eastAsia="宋体" w:hAnsi="宋体" w:cs="宋体" w:hint="eastAsia"/>
          <w:kern w:val="0"/>
          <w:sz w:val="28"/>
          <w:szCs w:val="27"/>
          <w:highlight w:val="none"/>
        </w:rPr>
        <w:t>示例：结算费用 = 3架×40集群架次×4.5小时/架次×1.0万元/小时=540万元。非飞行日按153天减飞行日40天，费用11</w:t>
      </w:r>
      <w:r>
        <w:rPr>
          <w:rFonts w:ascii="宋体" w:eastAsia="宋体" w:hAnsi="宋体" w:cs="宋体" w:hint="eastAsia"/>
          <w:kern w:val="0"/>
          <w:sz w:val="28"/>
          <w:szCs w:val="27"/>
          <w:highlight w:val="none"/>
          <w:lang w:val="en-US" w:eastAsia="zh-CN"/>
        </w:rPr>
        <w:t>3</w:t>
      </w:r>
      <w:r>
        <w:rPr>
          <w:rFonts w:ascii="宋体" w:eastAsia="宋体" w:hAnsi="宋体" w:cs="宋体" w:hint="eastAsia"/>
          <w:kern w:val="0"/>
          <w:sz w:val="28"/>
          <w:szCs w:val="27"/>
          <w:highlight w:val="none"/>
        </w:rPr>
        <w:t>天×0.8万元/天=90.4万元，两项相加总计630.4万元。催化剂和特种设备，按实际消耗量，成本价结算。当投标人作业不足40架次</w:t>
      </w:r>
      <w:r>
        <w:rPr>
          <w:rFonts w:ascii="宋体" w:eastAsia="宋体" w:hAnsi="宋体" w:cs="宋体" w:hint="eastAsia"/>
          <w:kern w:val="0"/>
          <w:sz w:val="28"/>
          <w:szCs w:val="27"/>
          <w:highlight w:val="none"/>
          <w:lang w:eastAsia="zh-CN"/>
        </w:rPr>
        <w:t>，</w:t>
      </w:r>
      <w:r>
        <w:rPr>
          <w:rFonts w:ascii="宋体" w:eastAsia="宋体" w:hAnsi="宋体" w:cs="宋体" w:hint="eastAsia"/>
          <w:kern w:val="0"/>
          <w:sz w:val="28"/>
          <w:szCs w:val="27"/>
          <w:highlight w:val="none"/>
        </w:rPr>
        <w:t>飞行总时长不足480小时按照实际飞行情况结算。</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kern w:val="0"/>
          <w:sz w:val="28"/>
          <w:szCs w:val="27"/>
          <w:highlight w:val="none"/>
        </w:rPr>
        <w:t>结算依据确认：双方共同指定以“天工”平台导出的飞行航时记录作为唯一结算凭证。每月</w:t>
      </w:r>
      <w:r>
        <w:rPr>
          <w:rFonts w:ascii="宋体" w:eastAsia="宋体" w:hAnsi="宋体" w:cs="宋体" w:hint="eastAsia"/>
          <w:kern w:val="0"/>
          <w:sz w:val="28"/>
          <w:szCs w:val="27"/>
          <w:highlight w:val="none"/>
          <w:lang w:val="en-US" w:eastAsia="zh-CN"/>
        </w:rPr>
        <w:t>底</w:t>
      </w:r>
      <w:r>
        <w:rPr>
          <w:rFonts w:ascii="宋体" w:eastAsia="宋体" w:hAnsi="宋体" w:cs="宋体" w:hint="eastAsia"/>
          <w:kern w:val="0"/>
          <w:sz w:val="28"/>
          <w:szCs w:val="27"/>
          <w:highlight w:val="none"/>
        </w:rPr>
        <w:t>前，由双方授权代表对上月航时数据进行签字确认。</w:t>
      </w:r>
    </w:p>
    <w:p>
      <w:pPr>
        <w:widowControl/>
        <w:spacing w:before="100" w:beforeAutospacing="1" w:after="100" w:afterAutospacing="1" w:line="520" w:lineRule="exact"/>
        <w:ind w:firstLine="562"/>
        <w:jc w:val="left"/>
        <w:outlineLvl w:val="2"/>
        <w:rPr>
          <w:rFonts w:ascii="宋体" w:eastAsia="宋体" w:hAnsi="宋体" w:cs="宋体" w:hint="eastAsia"/>
          <w:b/>
          <w:bCs/>
          <w:kern w:val="0"/>
          <w:sz w:val="28"/>
          <w:szCs w:val="27"/>
          <w:highlight w:val="none"/>
        </w:rPr>
      </w:pPr>
      <w:r>
        <w:rPr>
          <w:rFonts w:ascii="宋体" w:eastAsia="宋体" w:hAnsi="宋体" w:cs="宋体" w:hint="eastAsia"/>
          <w:b/>
          <w:bCs/>
          <w:kern w:val="0"/>
          <w:sz w:val="28"/>
          <w:szCs w:val="27"/>
          <w:highlight w:val="none"/>
        </w:rPr>
        <w:t>4.4 培训要求：</w:t>
      </w:r>
    </w:p>
    <w:p>
      <w:pPr>
        <w:widowControl/>
        <w:spacing w:line="520" w:lineRule="exact"/>
        <w:ind w:firstLine="560" w:firstLineChars="200"/>
        <w:rPr>
          <w:rFonts w:ascii="宋体" w:eastAsia="宋体" w:hAnsi="宋体" w:cs="宋体" w:hint="eastAsia"/>
          <w:kern w:val="0"/>
          <w:sz w:val="28"/>
          <w:szCs w:val="27"/>
          <w:highlight w:val="none"/>
        </w:rPr>
      </w:pPr>
      <w:r>
        <w:rPr>
          <w:rFonts w:ascii="宋体" w:eastAsia="宋体" w:hAnsi="宋体" w:cs="宋体" w:hint="eastAsia"/>
          <w:kern w:val="0"/>
          <w:sz w:val="28"/>
          <w:szCs w:val="27"/>
          <w:highlight w:val="none"/>
        </w:rPr>
        <w:t>培训甲方不少于6名技术人员，内容如下：</w:t>
      </w:r>
    </w:p>
    <w:p>
      <w:pPr>
        <w:widowControl/>
        <w:spacing w:line="520" w:lineRule="exact"/>
        <w:ind w:firstLine="560" w:firstLineChars="200"/>
        <w:rPr>
          <w:rFonts w:ascii="宋体" w:eastAsia="宋体" w:hAnsi="宋体" w:cs="宋体" w:hint="eastAsia"/>
          <w:sz w:val="28"/>
          <w:szCs w:val="20"/>
          <w:highlight w:val="none"/>
        </w:rPr>
      </w:pPr>
      <w:r>
        <w:rPr>
          <w:rFonts w:ascii="宋体" w:eastAsia="宋体" w:hAnsi="宋体" w:cs="宋体" w:hint="eastAsia"/>
          <w:kern w:val="0"/>
          <w:sz w:val="28"/>
          <w:szCs w:val="27"/>
          <w:highlight w:val="none"/>
        </w:rPr>
        <w:t>理论培训：≥20学时（无人机系统原理、航空法规、“天工”平台操作）。</w:t>
      </w:r>
    </w:p>
    <w:p>
      <w:pPr>
        <w:rPr>
          <w:rFonts w:ascii="宋体" w:eastAsia="宋体" w:hAnsi="宋体" w:cs="宋体" w:hint="eastAsia"/>
          <w:kern w:val="0"/>
          <w:sz w:val="28"/>
          <w:szCs w:val="27"/>
          <w:highlight w:val="none"/>
        </w:rPr>
      </w:pPr>
      <w:r>
        <w:rPr>
          <w:rFonts w:ascii="宋体" w:eastAsia="宋体" w:hAnsi="宋体" w:cs="宋体" w:hint="eastAsia"/>
          <w:kern w:val="0"/>
          <w:sz w:val="28"/>
          <w:szCs w:val="27"/>
          <w:highlight w:val="none"/>
        </w:rPr>
        <w:t>五、验收要求</w:t>
      </w:r>
    </w:p>
    <w:p>
      <w:pPr>
        <w:widowControl/>
        <w:spacing w:line="520" w:lineRule="exact"/>
        <w:ind w:firstLine="560" w:firstLineChars="200"/>
        <w:rPr>
          <w:rFonts w:ascii="宋体" w:eastAsia="宋体" w:hAnsi="宋体" w:cs="宋体" w:hint="eastAsia"/>
          <w:kern w:val="0"/>
          <w:sz w:val="28"/>
          <w:szCs w:val="27"/>
          <w:highlight w:val="none"/>
        </w:rPr>
      </w:pPr>
      <w:r>
        <w:rPr>
          <w:rFonts w:ascii="宋体" w:eastAsia="宋体" w:hAnsi="宋体" w:cs="宋体" w:hint="eastAsia"/>
          <w:kern w:val="0"/>
          <w:sz w:val="28"/>
          <w:szCs w:val="27"/>
          <w:highlight w:val="none"/>
        </w:rPr>
        <w:t xml:space="preserve"> (1)验收组织方式：自行验收。</w:t>
      </w:r>
    </w:p>
    <w:p>
      <w:pPr>
        <w:widowControl/>
        <w:spacing w:line="520" w:lineRule="exact"/>
        <w:ind w:firstLine="560" w:firstLineChars="200"/>
        <w:rPr>
          <w:rFonts w:ascii="宋体" w:eastAsia="宋体" w:hAnsi="宋体" w:cs="宋体" w:hint="eastAsia"/>
          <w:kern w:val="0"/>
          <w:sz w:val="28"/>
          <w:szCs w:val="27"/>
          <w:highlight w:val="none"/>
        </w:rPr>
      </w:pPr>
      <w:r>
        <w:rPr>
          <w:rFonts w:ascii="宋体" w:eastAsia="宋体" w:hAnsi="宋体" w:cs="宋体" w:hint="eastAsia"/>
          <w:kern w:val="0"/>
          <w:sz w:val="28"/>
          <w:szCs w:val="27"/>
          <w:highlight w:val="none"/>
        </w:rPr>
        <w:t xml:space="preserve"> (2)验收程序：一次性验收。</w:t>
      </w:r>
    </w:p>
    <w:p>
      <w:pPr>
        <w:widowControl/>
        <w:spacing w:line="520" w:lineRule="exact"/>
        <w:ind w:firstLine="560" w:firstLineChars="200"/>
        <w:rPr>
          <w:rFonts w:ascii="宋体" w:eastAsia="宋体" w:hAnsi="宋体" w:cs="宋体" w:hint="eastAsia"/>
          <w:kern w:val="0"/>
          <w:sz w:val="28"/>
          <w:szCs w:val="27"/>
          <w:highlight w:val="none"/>
        </w:rPr>
      </w:pPr>
      <w:r>
        <w:rPr>
          <w:rFonts w:ascii="宋体" w:eastAsia="宋体" w:hAnsi="宋体" w:cs="宋体" w:hint="eastAsia"/>
          <w:kern w:val="0"/>
          <w:sz w:val="28"/>
          <w:szCs w:val="27"/>
          <w:highlight w:val="none"/>
        </w:rPr>
        <w:t xml:space="preserve"> (3)验收时间：服务结束后 10 日内组织验收。</w:t>
      </w:r>
    </w:p>
    <w:p>
      <w:pPr>
        <w:widowControl/>
        <w:spacing w:line="520" w:lineRule="exact"/>
        <w:ind w:firstLine="560" w:firstLineChars="200"/>
        <w:rPr>
          <w:rFonts w:ascii="宋体" w:eastAsia="宋体" w:hAnsi="宋体" w:cs="宋体" w:hint="eastAsia"/>
          <w:kern w:val="0"/>
          <w:sz w:val="28"/>
          <w:szCs w:val="27"/>
          <w:highlight w:val="none"/>
        </w:rPr>
      </w:pPr>
      <w:r>
        <w:rPr>
          <w:rFonts w:ascii="宋体" w:eastAsia="宋体" w:hAnsi="宋体" w:cs="宋体" w:hint="eastAsia"/>
          <w:kern w:val="0"/>
          <w:sz w:val="28"/>
          <w:szCs w:val="27"/>
          <w:highlight w:val="none"/>
        </w:rPr>
        <w:t xml:space="preserve"> (4)技术验收内容：包括采购内容、具体技术参数指标（技术服务要求）等本项目涉及的所有内容。</w:t>
      </w:r>
    </w:p>
    <w:p>
      <w:pPr>
        <w:widowControl/>
        <w:spacing w:line="520" w:lineRule="exact"/>
        <w:ind w:firstLine="560" w:firstLineChars="200"/>
        <w:rPr>
          <w:rFonts w:ascii="宋体" w:eastAsia="宋体" w:hAnsi="宋体" w:cs="宋体" w:hint="eastAsia"/>
          <w:kern w:val="0"/>
          <w:sz w:val="28"/>
          <w:szCs w:val="27"/>
          <w:highlight w:val="none"/>
        </w:rPr>
      </w:pPr>
      <w:r>
        <w:rPr>
          <w:rFonts w:ascii="宋体" w:eastAsia="宋体" w:hAnsi="宋体" w:cs="宋体" w:hint="eastAsia"/>
          <w:kern w:val="0"/>
          <w:sz w:val="28"/>
          <w:szCs w:val="27"/>
          <w:highlight w:val="none"/>
        </w:rPr>
        <w:t>（5）项目验收结果合格的， 双方共同出具《验收报告》。</w:t>
      </w:r>
    </w:p>
    <w:p>
      <w:pPr>
        <w:widowControl/>
        <w:spacing w:line="520" w:lineRule="exact"/>
        <w:ind w:firstLine="560" w:firstLineChars="200"/>
        <w:rPr>
          <w:rFonts w:ascii="宋体" w:eastAsia="宋体" w:hAnsi="宋体" w:cs="宋体" w:hint="eastAsia"/>
          <w:kern w:val="0"/>
          <w:sz w:val="28"/>
          <w:szCs w:val="27"/>
          <w:highlight w:val="none"/>
        </w:rPr>
      </w:pPr>
      <w:r>
        <w:rPr>
          <w:rFonts w:ascii="宋体" w:eastAsia="宋体" w:hAnsi="宋体" w:cs="宋体" w:hint="eastAsia"/>
          <w:kern w:val="0"/>
          <w:sz w:val="28"/>
          <w:szCs w:val="27"/>
          <w:highlight w:val="none"/>
        </w:rPr>
        <w:t>（6）项目验收结果不合格的，中标方需补偿采购损失不予退还，也将不予支付采购资金，还可能上报本项目同级财政部门按照政府采购法律法规等有关规定给予行政处罚。</w:t>
      </w:r>
    </w:p>
    <w:p>
      <w:pPr>
        <w:widowControl/>
        <w:spacing w:line="520" w:lineRule="exact"/>
        <w:ind w:firstLine="560" w:firstLineChars="200"/>
        <w:rPr>
          <w:rFonts w:ascii="宋体" w:eastAsia="宋体" w:hAnsi="宋体" w:cs="宋体" w:hint="eastAsia"/>
          <w:kern w:val="0"/>
          <w:sz w:val="28"/>
          <w:szCs w:val="27"/>
          <w:highlight w:val="none"/>
        </w:rPr>
      </w:pPr>
      <w:r>
        <w:rPr>
          <w:rFonts w:ascii="宋体" w:eastAsia="宋体" w:hAnsi="宋体" w:cs="宋体" w:hint="eastAsia"/>
          <w:kern w:val="0"/>
          <w:sz w:val="28"/>
          <w:szCs w:val="27"/>
          <w:highlight w:val="none"/>
        </w:rPr>
        <w:t>(7)验收标准：按国家有关规定以及招标文件的质量要求和技术指标(包括每一项技术和商务要求的履约情况)、中标方的投标文件及承诺及合同约定标准进行验收； 甲乙双方如对质量要求和技术指标的约定标准有相互抵触或异议的事项，由甲方在国家有关规定、采购文件、投标文件及承诺与采购合同约定中按质量要求和技术指标比较优胜的原则确定该项的约定标准进行验收。</w:t>
      </w:r>
    </w:p>
    <w:p>
      <w:pPr>
        <w:widowControl/>
        <w:adjustRightInd/>
        <w:snapToGrid/>
        <w:spacing w:before="100" w:beforeAutospacing="1" w:after="100" w:afterAutospacing="1" w:line="520" w:lineRule="exact"/>
        <w:ind w:firstLine="562"/>
        <w:jc w:val="left"/>
        <w:outlineLvl w:val="2"/>
        <w:rPr>
          <w:rFonts w:ascii="宋体" w:eastAsia="宋体" w:hAnsi="宋体" w:cs="宋体" w:hint="eastAsia"/>
          <w:b/>
          <w:bCs/>
          <w:kern w:val="0"/>
          <w:sz w:val="28"/>
          <w:szCs w:val="27"/>
          <w:highlight w:val="none"/>
        </w:rPr>
      </w:pPr>
      <w:r>
        <w:rPr>
          <w:rFonts w:ascii="宋体" w:eastAsia="宋体" w:hAnsi="宋体" w:cs="宋体" w:hint="eastAsia"/>
          <w:b/>
          <w:bCs/>
          <w:kern w:val="0"/>
          <w:sz w:val="28"/>
          <w:szCs w:val="27"/>
          <w:highlight w:val="none"/>
          <w:lang w:val="en-US" w:eastAsia="zh-CN"/>
        </w:rPr>
        <w:t>4.5说明：</w:t>
      </w:r>
    </w:p>
    <w:p>
      <w:pPr>
        <w:widowControl/>
        <w:adjustRightInd/>
        <w:snapToGrid/>
        <w:spacing w:line="520" w:lineRule="exact"/>
        <w:ind w:firstLine="560" w:firstLineChars="200"/>
        <w:rPr>
          <w:rFonts w:ascii="宋体" w:eastAsia="宋体" w:hAnsi="宋体" w:cs="Times New Roman" w:hint="default"/>
          <w:szCs w:val="21"/>
          <w:highlight w:val="none"/>
        </w:rPr>
      </w:pPr>
      <w:r>
        <w:rPr>
          <w:rFonts w:ascii="宋体" w:eastAsia="宋体" w:hAnsi="宋体" w:cs="宋体" w:hint="eastAsia"/>
          <w:b w:val="0"/>
          <w:bCs w:val="0"/>
          <w:kern w:val="0"/>
          <w:sz w:val="28"/>
          <w:szCs w:val="27"/>
          <w:highlight w:val="none"/>
          <w:lang w:val="en-US" w:eastAsia="zh-CN"/>
        </w:rPr>
        <w:t>项目预算为总价包干。该费用已包含投标人为完成本项目所需的一切成本、利润及税费，包括但不限于：无人机租机费、无人机集群作业小时费、催化剂费用、无人机机载云雷达、微波辐射计租用费（按照实际安装运行结算），3架满足性能要求的无人机及配套软件、任务载荷（大气探测吊舱、云粒子谱仪、双光吊舱、焰条、焰弹播撒器）、集群指挥系统、“天工”平台对接等费用；全部作业试验（不低于40架次/480小时）的飞行与保障（含空域协调、场地保障、保险、航油、人员食宿交通等）、人员培训、效果评估配合等所有费用。</w:t>
      </w:r>
    </w:p>
    <w:p>
      <w:pPr>
        <w:rPr>
          <w:rFonts w:hint="default"/>
        </w:rPr>
      </w:pPr>
    </w:p>
    <w:p w:rsidR="00A77B3E"/>
    <w:p>
      <w:pPr>
        <w:spacing w:before="156" w:beforeLines="50" w:line="360" w:lineRule="auto"/>
        <w:jc w:val="center"/>
        <w:outlineLvl w:val="1"/>
        <w:rPr>
          <w:rFonts w:ascii="宋体" w:hAnsi="宋体"/>
          <w:b/>
          <w:sz w:val="30"/>
          <w:szCs w:val="30"/>
          <w:highlight w:val="none"/>
        </w:rPr>
        <w:sectPr>
          <w:pgSz w:w="11906" w:h="16838"/>
          <w:pgMar w:top="1418" w:right="1418" w:bottom="1418" w:left="1701" w:header="851" w:footer="851" w:gutter="0"/>
          <w:cols w:space="708"/>
          <w:docGrid w:type="linesAndChars" w:linePitch="312"/>
        </w:sectPr>
      </w:pPr>
      <w:bookmarkEnd w:id="58"/>
    </w:p>
    <w:p>
      <w:pPr>
        <w:spacing w:before="156" w:beforeLines="50" w:line="360" w:lineRule="auto"/>
        <w:jc w:val="center"/>
        <w:outlineLvl w:val="1"/>
        <w:rPr>
          <w:rFonts w:ascii="宋体" w:hAnsi="宋体"/>
          <w:b/>
          <w:sz w:val="30"/>
          <w:szCs w:val="30"/>
          <w:highlight w:val="none"/>
        </w:rPr>
      </w:pPr>
      <w:bookmarkStart w:id="60"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rPr>
          <w:rFonts w:ascii="宋体" w:hAnsi="宋体"/>
          <w:szCs w:val="21"/>
          <w:highlight w:val="none"/>
        </w:rPr>
      </w:pPr>
    </w:p>
    <w:p>
      <w:pPr>
        <w:adjustRightInd w:val="0"/>
        <w:snapToGrid w:val="0"/>
        <w:spacing w:before="156" w:beforeLines="50" w:line="360" w:lineRule="auto"/>
        <w:ind w:firstLine="420" w:firstLineChars="200"/>
        <w:rPr>
          <w:rFonts w:ascii="宋体" w:hAnsi="宋体" w:hint="eastAsia"/>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1103"/>
        <w:gridCol w:w="7142"/>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rPr>
            </w:pPr>
            <w:r>
              <w:rPr>
                <w:rFonts w:ascii="Times New Roman" w:eastAsia="宋体" w:hAnsi="Times New Roman" w:cs="Times New Roman" w:hint="eastAsia"/>
                <w:sz w:val="18"/>
                <w:szCs w:val="18"/>
              </w:rPr>
              <w:t>序号</w:t>
            </w:r>
          </w:p>
        </w:tc>
        <w:tc>
          <w:tcPr>
            <w:tcW w:w="1103" w:type="dxa"/>
            <w:noWrap w:val="0"/>
            <w:vAlign w:val="center"/>
          </w:tcPr>
          <w:p>
            <w:pPr>
              <w:jc w:val="center"/>
              <w:rPr>
                <w:sz w:val="18"/>
                <w:szCs w:val="18"/>
              </w:rPr>
            </w:pPr>
            <w:r>
              <w:rPr>
                <w:rFonts w:ascii="Times New Roman" w:eastAsia="宋体" w:hAnsi="Times New Roman" w:cs="Times New Roman" w:hint="eastAsia"/>
                <w:sz w:val="18"/>
                <w:szCs w:val="18"/>
              </w:rPr>
              <w:t>对应</w:t>
            </w:r>
          </w:p>
          <w:p>
            <w:pPr>
              <w:jc w:val="center"/>
              <w:rPr>
                <w:sz w:val="18"/>
                <w:szCs w:val="18"/>
              </w:rPr>
            </w:pPr>
            <w:r>
              <w:rPr>
                <w:rFonts w:ascii="Times New Roman" w:eastAsia="宋体" w:hAnsi="Times New Roman" w:cs="Times New Roman" w:hint="eastAsia"/>
                <w:sz w:val="18"/>
                <w:szCs w:val="18"/>
              </w:rPr>
              <w:t>条款号</w:t>
            </w:r>
          </w:p>
        </w:tc>
        <w:tc>
          <w:tcPr>
            <w:tcW w:w="7142" w:type="dxa"/>
            <w:noWrap w:val="0"/>
            <w:vAlign w:val="center"/>
          </w:tcPr>
          <w:p>
            <w:pPr>
              <w:jc w:val="center"/>
              <w:rPr>
                <w:sz w:val="18"/>
                <w:szCs w:val="18"/>
              </w:rPr>
            </w:pPr>
            <w:r>
              <w:rPr>
                <w:rFonts w:ascii="Times New Roman" w:eastAsia="宋体" w:hAnsi="Times New Roman" w:cs="Times New Roman"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rPr>
            </w:pPr>
            <w:r>
              <w:rPr>
                <w:rFonts w:ascii="Times New Roman" w:eastAsia="宋体" w:hAnsi="Times New Roman" w:cs="Times New Roman"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8"/>
              </w:numPr>
              <w:rPr>
                <w:rFonts w:ascii="宋体" w:hAnsi="宋体"/>
                <w:sz w:val="18"/>
                <w:szCs w:val="18"/>
              </w:rPr>
            </w:pPr>
          </w:p>
        </w:tc>
        <w:tc>
          <w:tcPr>
            <w:tcW w:w="1103" w:type="dxa"/>
            <w:noWrap w:val="0"/>
            <w:vAlign w:val="center"/>
          </w:tcPr>
          <w:p>
            <w:pPr>
              <w:jc w:val="center"/>
              <w:rPr>
                <w:rFonts w:ascii="宋体" w:hAnsi="宋体" w:hint="default"/>
                <w:sz w:val="18"/>
                <w:szCs w:val="18"/>
              </w:rPr>
            </w:pPr>
            <w:r>
              <w:rPr>
                <w:rFonts w:ascii="宋体" w:hAnsi="宋体" w:cs="Times New Roman" w:hint="eastAsia"/>
                <w:sz w:val="18"/>
                <w:szCs w:val="18"/>
                <w:lang w:val="en-US" w:eastAsia="zh-CN"/>
              </w:rPr>
              <w:t>5.2</w:t>
            </w:r>
          </w:p>
        </w:tc>
        <w:tc>
          <w:tcPr>
            <w:tcW w:w="7142" w:type="dxa"/>
            <w:noWrap w:val="0"/>
            <w:vAlign w:val="top"/>
          </w:tcPr>
          <w:p>
            <w:pPr>
              <w:tabs>
                <w:tab w:val="left" w:pos="709"/>
              </w:tabs>
              <w:spacing w:line="360" w:lineRule="auto"/>
              <w:jc w:val="left"/>
              <w:rPr>
                <w:rFonts w:ascii="宋体" w:hAnsi="宋体"/>
                <w:sz w:val="18"/>
                <w:szCs w:val="18"/>
              </w:rPr>
            </w:pPr>
            <w:r>
              <w:rPr>
                <w:rFonts w:ascii="Calibri" w:eastAsia="宋体" w:hAnsi="Calibri" w:cs="微软雅黑" w:hint="eastAsia"/>
                <w:kern w:val="0"/>
                <w:szCs w:val="21"/>
                <w:highlight w:val="none"/>
              </w:rPr>
              <w:t>投标人应具有以下有效期超过投标截止日的</w:t>
            </w:r>
            <w:r>
              <w:rPr>
                <w:rFonts w:ascii="Calibri" w:eastAsia="宋体" w:hAnsi="Calibri" w:cs="微软雅黑" w:hint="eastAsia"/>
                <w:kern w:val="0"/>
                <w:szCs w:val="21"/>
                <w:highlight w:val="none"/>
              </w:rPr>
              <w:t>资质：投标人须具有有效的《民用无人驾驶航空器运营合格证》或《通用航空经营许可证》</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rPr>
            </w:pPr>
            <w:r>
              <w:rPr>
                <w:rFonts w:ascii="Times New Roman" w:eastAsia="宋体" w:hAnsi="Times New Roman" w:cs="Times New Roman"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8"/>
              </w:numPr>
              <w:rPr>
                <w:rFonts w:ascii="宋体" w:hAnsi="宋体"/>
                <w:sz w:val="18"/>
                <w:szCs w:val="18"/>
              </w:rPr>
            </w:pPr>
          </w:p>
        </w:tc>
        <w:tc>
          <w:tcPr>
            <w:tcW w:w="1103" w:type="dxa"/>
            <w:noWrap w:val="0"/>
            <w:vAlign w:val="center"/>
          </w:tcPr>
          <w:p>
            <w:pPr>
              <w:jc w:val="center"/>
              <w:rPr>
                <w:rFonts w:ascii="宋体" w:hAnsi="宋体" w:hint="default"/>
                <w:sz w:val="18"/>
                <w:szCs w:val="18"/>
              </w:rPr>
            </w:pPr>
            <w:r>
              <w:rPr>
                <w:rFonts w:ascii="宋体" w:hAnsi="宋体" w:cs="Times New Roman" w:hint="eastAsia"/>
                <w:sz w:val="18"/>
                <w:szCs w:val="18"/>
                <w:lang w:val="en-US" w:eastAsia="zh-CN"/>
              </w:rPr>
              <w:t>3.1</w:t>
            </w:r>
          </w:p>
        </w:tc>
        <w:tc>
          <w:tcPr>
            <w:tcW w:w="7142" w:type="dxa"/>
            <w:noWrap w:val="0"/>
            <w:vAlign w:val="center"/>
          </w:tcPr>
          <w:p>
            <w:pPr>
              <w:keepNext w:val="0"/>
              <w:keepLines w:val="0"/>
              <w:widowControl w:val="0"/>
              <w:suppressLineNumbers w:val="0"/>
              <w:spacing w:before="0" w:beforeAutospacing="0" w:after="0" w:afterAutospacing="0"/>
              <w:ind w:left="0" w:right="0"/>
              <w:jc w:val="left"/>
              <w:rPr>
                <w:rFonts w:ascii="宋体" w:hAnsi="宋体" w:cs="宋体" w:hint="eastAsia"/>
                <w:color w:val="000000"/>
                <w:szCs w:val="21"/>
                <w:lang w:bidi="ar"/>
              </w:rPr>
            </w:pPr>
            <w:r>
              <w:rPr>
                <w:rFonts w:ascii="宋体" w:eastAsia="宋体" w:hAnsi="宋体" w:cs="宋体" w:hint="eastAsia"/>
                <w:color w:val="000000"/>
                <w:kern w:val="2"/>
                <w:sz w:val="21"/>
                <w:szCs w:val="21"/>
                <w:lang w:val="en-US" w:eastAsia="zh-CN" w:bidi="ar"/>
              </w:rPr>
              <w:t>*人影催化能力：</w:t>
            </w:r>
            <w:r>
              <w:rPr>
                <w:rFonts w:ascii="宋体" w:eastAsia="宋体" w:hAnsi="宋体" w:cs="宋体" w:hint="eastAsia"/>
                <w:kern w:val="2"/>
                <w:sz w:val="21"/>
                <w:szCs w:val="21"/>
                <w:lang w:val="en-US" w:eastAsia="zh-CN" w:bidi="ar"/>
              </w:rPr>
              <w:t>可挂载≥8根φ60/1000mm规格的机载焰条；可挂载焰弹≥100枚，兼容φ21/128mm主流规格</w:t>
            </w:r>
          </w:p>
          <w:p>
            <w:pPr>
              <w:tabs>
                <w:tab w:val="left" w:pos="709"/>
              </w:tabs>
              <w:spacing w:line="360" w:lineRule="auto"/>
              <w:jc w:val="left"/>
              <w:rPr>
                <w:rFonts w:ascii="宋体" w:hAnsi="宋体" w:cs="宋体" w:hint="eastAsia"/>
                <w:color w:val="000000"/>
                <w:szCs w:val="21"/>
                <w:lang w:bidi="ar"/>
              </w:rPr>
            </w:pPr>
            <w:r>
              <w:rPr>
                <w:rFonts w:ascii="宋体" w:eastAsia="宋体" w:hAnsi="宋体" w:cs="宋体" w:hint="eastAsia"/>
                <w:color w:val="000000"/>
                <w:kern w:val="2"/>
                <w:sz w:val="21"/>
                <w:szCs w:val="21"/>
                <w:lang w:val="en-US" w:eastAsia="zh-CN" w:bidi="ar"/>
              </w:rPr>
              <w:t>*人影探测能力：</w:t>
            </w:r>
            <w:r>
              <w:rPr>
                <w:rFonts w:ascii="宋体" w:eastAsia="宋体" w:hAnsi="宋体" w:cs="宋体" w:hint="eastAsia"/>
                <w:kern w:val="2"/>
                <w:sz w:val="21"/>
                <w:szCs w:val="21"/>
                <w:lang w:val="en-US" w:eastAsia="zh-CN" w:bidi="ar"/>
              </w:rPr>
              <w:t>可同时挂载大气数据吊舱、云粒子谱仪、光电吊舱</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8"/>
              </w:numPr>
              <w:rPr>
                <w:rFonts w:ascii="宋体" w:hAnsi="宋体"/>
                <w:sz w:val="18"/>
                <w:szCs w:val="18"/>
              </w:rPr>
            </w:pPr>
          </w:p>
        </w:tc>
        <w:tc>
          <w:tcPr>
            <w:tcW w:w="1103" w:type="dxa"/>
            <w:noWrap w:val="0"/>
            <w:vAlign w:val="center"/>
          </w:tcPr>
          <w:p>
            <w:pPr>
              <w:jc w:val="center"/>
              <w:rPr>
                <w:rFonts w:ascii="宋体" w:hAnsi="宋体" w:hint="eastAsia"/>
                <w:sz w:val="18"/>
                <w:szCs w:val="18"/>
              </w:rPr>
            </w:pPr>
            <w:r>
              <w:rPr>
                <w:rFonts w:ascii="宋体" w:hAnsi="宋体" w:cs="Times New Roman" w:hint="eastAsia"/>
                <w:sz w:val="18"/>
                <w:szCs w:val="18"/>
                <w:lang w:eastAsia="zh-CN"/>
              </w:rPr>
              <w:t>表</w:t>
            </w:r>
            <w:r>
              <w:rPr>
                <w:rFonts w:ascii="宋体" w:hAnsi="宋体" w:cs="Times New Roman" w:hint="eastAsia"/>
                <w:sz w:val="18"/>
                <w:szCs w:val="18"/>
                <w:lang w:val="en-US" w:eastAsia="zh-CN"/>
              </w:rPr>
              <w:t>1.服务内容</w:t>
            </w:r>
          </w:p>
        </w:tc>
        <w:tc>
          <w:tcPr>
            <w:tcW w:w="7142" w:type="dxa"/>
            <w:noWrap w:val="0"/>
            <w:vAlign w:val="center"/>
          </w:tcPr>
          <w:p>
            <w:pPr>
              <w:tabs>
                <w:tab w:val="left" w:pos="709"/>
              </w:tabs>
              <w:spacing w:line="360" w:lineRule="auto"/>
              <w:jc w:val="left"/>
              <w:rPr>
                <w:rFonts w:ascii="宋体" w:hAnsi="宋体" w:cs="宋体" w:hint="eastAsia"/>
                <w:szCs w:val="21"/>
                <w:highlight w:val="yellow"/>
              </w:rPr>
            </w:pPr>
            <w:r>
              <w:rPr>
                <w:rFonts w:ascii="宋体" w:eastAsia="宋体" w:hAnsi="宋体" w:cs="宋体" w:hint="eastAsia"/>
                <w:color w:val="000000"/>
                <w:kern w:val="2"/>
                <w:sz w:val="21"/>
                <w:szCs w:val="21"/>
                <w:lang w:val="en-US" w:eastAsia="zh-CN" w:bidi="ar"/>
              </w:rPr>
              <w:t>*</w:t>
            </w:r>
            <w:r>
              <w:rPr>
                <w:rFonts w:ascii="宋体" w:eastAsia="宋体" w:hAnsi="宋体" w:cs="宋体" w:hint="eastAsia"/>
                <w:kern w:val="2"/>
                <w:sz w:val="21"/>
                <w:szCs w:val="21"/>
                <w:lang w:val="en-US" w:eastAsia="zh-CN" w:bidi="ar"/>
              </w:rPr>
              <w:t>大型垂直起降固定翼无人机（高原型）：含机体、发动机、螺旋桨、飞控、数据链路、卫星通信终端等。需完全满足青藏高原腹地人工增雨（雪）作业和云物理探测需求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8"/>
              </w:numPr>
              <w:rPr>
                <w:rFonts w:ascii="宋体" w:hAnsi="宋体"/>
                <w:sz w:val="18"/>
                <w:szCs w:val="18"/>
              </w:rPr>
            </w:pPr>
          </w:p>
        </w:tc>
        <w:tc>
          <w:tcPr>
            <w:tcW w:w="1103" w:type="dxa"/>
            <w:noWrap w:val="0"/>
            <w:vAlign w:val="center"/>
          </w:tcPr>
          <w:p>
            <w:pPr>
              <w:jc w:val="center"/>
              <w:rPr>
                <w:rFonts w:ascii="宋体" w:hAnsi="宋体" w:hint="default"/>
                <w:sz w:val="18"/>
                <w:szCs w:val="18"/>
              </w:rPr>
            </w:pPr>
            <w:r>
              <w:rPr>
                <w:rFonts w:ascii="宋体" w:hAnsi="宋体" w:cs="Times New Roman" w:hint="eastAsia"/>
                <w:sz w:val="18"/>
                <w:szCs w:val="18"/>
                <w:lang w:val="en-US" w:eastAsia="zh-CN"/>
              </w:rPr>
              <w:t>3.8 *技术保障团队要求</w:t>
            </w:r>
          </w:p>
        </w:tc>
        <w:tc>
          <w:tcPr>
            <w:tcW w:w="7142" w:type="dxa"/>
            <w:noWrap w:val="0"/>
            <w:vAlign w:val="center"/>
          </w:tcPr>
          <w:p>
            <w:pPr>
              <w:jc w:val="left"/>
              <w:rPr>
                <w:rFonts w:ascii="宋体" w:hAnsi="宋体" w:cs="宋体" w:hint="eastAsia"/>
                <w:szCs w:val="21"/>
                <w:lang w:bidi="ar"/>
              </w:rPr>
            </w:pPr>
            <w:r>
              <w:rPr>
                <w:rFonts w:ascii="宋体" w:hAnsi="宋体" w:cs="宋体" w:hint="eastAsia"/>
                <w:szCs w:val="24"/>
                <w:highlight w:val="none"/>
                <w:lang w:val="en-US" w:eastAsia="zh-CN"/>
              </w:rPr>
              <w:t>《</w:t>
            </w:r>
            <w:r>
              <w:rPr>
                <w:rFonts w:ascii="宋体" w:eastAsia="宋体" w:hAnsi="宋体" w:cs="宋体" w:hint="eastAsia"/>
                <w:szCs w:val="24"/>
                <w:highlight w:val="none"/>
                <w:lang w:val="en-US" w:eastAsia="zh-CN"/>
              </w:rPr>
              <w:t>表8</w:t>
            </w:r>
            <w:r>
              <w:rPr>
                <w:rFonts w:ascii="宋体" w:eastAsia="宋体" w:hAnsi="宋体" w:cs="宋体" w:hint="eastAsia"/>
                <w:szCs w:val="24"/>
                <w:highlight w:val="none"/>
              </w:rPr>
              <w:t>无人机项目人员配置表</w:t>
            </w:r>
            <w:r>
              <w:rPr>
                <w:rFonts w:ascii="宋体" w:hAnsi="宋体" w:cs="宋体" w:hint="eastAsia"/>
                <w:szCs w:val="24"/>
                <w:highlight w:val="none"/>
                <w:lang w:val="en-US" w:eastAsia="zh-CN"/>
              </w:rPr>
              <w:t>》中全部内容。</w:t>
            </w:r>
            <w:r>
              <w:rPr>
                <w:rFonts w:ascii="宋体" w:hAnsi="宋体" w:cs="宋体" w:hint="eastAsia"/>
                <w:kern w:val="0"/>
                <w:szCs w:val="21"/>
              </w:rPr>
              <w:t>须提供</w:t>
            </w:r>
            <w:r>
              <w:rPr>
                <w:rFonts w:ascii="宋体" w:hAnsi="宋体" w:cs="宋体" w:hint="eastAsia"/>
                <w:bCs/>
                <w:kern w:val="0"/>
                <w:szCs w:val="21"/>
              </w:rPr>
              <w:t>团队人员名单及背景材料（证书复印件、技术能力、从业及相关项目经验等</w:t>
            </w:r>
            <w:r>
              <w:rPr>
                <w:rFonts w:ascii="宋体" w:hAnsi="宋体" w:cs="宋体" w:hint="eastAsia"/>
                <w:bCs/>
                <w:kern w:val="0"/>
                <w:szCs w:val="21"/>
                <w:lang w:eastAsia="zh-CN"/>
              </w:rPr>
              <w:t>相关证明材料</w:t>
            </w:r>
            <w:r>
              <w:rPr>
                <w:rFonts w:ascii="宋体" w:hAnsi="宋体" w:cs="宋体" w:hint="eastAsia"/>
                <w:bCs/>
                <w:kern w:val="0"/>
                <w:szCs w:val="21"/>
              </w:rPr>
              <w:t>）</w:t>
            </w:r>
            <w:r>
              <w:rPr>
                <w:rFonts w:ascii="宋体" w:hAnsi="宋体" w:cs="宋体" w:hint="eastAsia"/>
                <w:bCs/>
                <w:kern w:val="0"/>
                <w:szCs w:val="21"/>
                <w:lang w:eastAsia="zh-CN"/>
              </w:rPr>
              <w:t>，及投标截止日前6个月任意1个月团队人员在投标人所在公司的社保缴纳证明（投标人为新成立公司，或者有关人员为退休人员的，可提供聘用合同）。以上材料需加盖投标人公章。</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注：根据项目具体情况，对投标人有具体要求，且投标人必须遵守的，逐条列出。</w:t>
      </w:r>
    </w:p>
    <w:p>
      <w:pPr>
        <w:spacing w:before="156" w:beforeLines="50" w:line="360" w:lineRule="auto"/>
        <w:ind w:firstLine="420"/>
        <w:rPr>
          <w:highlight w:val="none"/>
        </w:rPr>
      </w:pPr>
    </w:p>
    <w:p w:rsidR="00A77B3E"/>
    <w:p>
      <w:pPr>
        <w:spacing w:before="156" w:beforeLines="50" w:line="360" w:lineRule="auto"/>
        <w:jc w:val="center"/>
        <w:outlineLvl w:val="1"/>
        <w:rPr>
          <w:rFonts w:ascii="宋体" w:hAnsi="宋体"/>
          <w:b/>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ascii="Times New Roman" w:eastAsia="宋体" w:hAnsi="Times New Roman" w:cs="Times New Roman" w:hint="eastAsia"/>
          <w:b/>
          <w:bCs/>
          <w:szCs w:val="21"/>
          <w:highlight w:val="none"/>
        </w:rPr>
      </w:pPr>
      <w:bookmarkStart w:id="61" w:name="采购公告合同部分_ZBGGHT"/>
      <w:r>
        <w:rPr>
          <w:rFonts w:ascii="Times New Roman" w:eastAsia="宋体" w:hAnsi="Times New Roman" w:cs="Times New Roman" w:hint="eastAsia"/>
          <w:b/>
          <w:bCs/>
          <w:szCs w:val="21"/>
          <w:highlight w:val="none"/>
        </w:rPr>
        <w:t xml:space="preserve"> 采购合同</w:t>
      </w:r>
    </w:p>
    <w:p>
      <w:pPr>
        <w:numPr>
          <w:ilvl w:val="0"/>
          <w:numId w:val="0"/>
        </w:numPr>
        <w:spacing w:line="360" w:lineRule="auto"/>
        <w:ind w:left="1680" w:firstLine="420" w:leftChars="0" w:firstLineChars="0"/>
        <w:jc w:val="left"/>
        <w:rPr>
          <w:rFonts w:ascii="Times New Roman" w:eastAsia="宋体" w:hAnsi="Times New Roman" w:cs="Times New Roman" w:hint="eastAsia"/>
          <w:b/>
          <w:bCs/>
          <w:szCs w:val="21"/>
          <w:highlight w:val="none"/>
        </w:rPr>
      </w:pPr>
      <w:r>
        <w:rPr>
          <w:rFonts w:hint="eastAsia"/>
          <w:b/>
          <w:bCs/>
          <w:szCs w:val="21"/>
          <w:highlight w:val="none"/>
        </w:rPr>
        <w:t>必须明确合同金额支付条件及支付比例</w:t>
      </w:r>
    </w:p>
    <w:p>
      <w:pPr>
        <w:spacing w:line="360" w:lineRule="auto"/>
        <w:ind w:firstLine="3066" w:firstLineChars="1460"/>
        <w:jc w:val="left"/>
        <w:rPr>
          <w:rFonts w:ascii="Times New Roman" w:eastAsia="宋体" w:hAnsi="Times New Roman" w:cs="Times New Roman"/>
          <w:b/>
          <w:bCs/>
          <w:szCs w:val="21"/>
          <w:highlight w:val="none"/>
        </w:rPr>
      </w:pPr>
      <w:r>
        <w:rPr>
          <w:rFonts w:ascii="Times New Roman" w:eastAsia="宋体" w:hAnsi="Times New Roman" w:cs="Times New Roman"/>
          <w:b/>
          <w:bCs/>
          <w:szCs w:val="21"/>
          <w:highlight w:val="none"/>
        </w:rPr>
        <w:br w:type="page"/>
      </w:r>
    </w:p>
    <w:p>
      <w:pPr>
        <w:widowControl/>
        <w:jc w:val="center"/>
        <w:rPr>
          <w:rFonts w:ascii="宋体" w:eastAsia="微软雅黑" w:hAnsi="宋体" w:cs="宋体"/>
          <w:b/>
          <w:bCs/>
          <w:color w:val="595959"/>
          <w:spacing w:val="-20"/>
          <w:kern w:val="44"/>
          <w:sz w:val="48"/>
          <w:szCs w:val="48"/>
          <w:highlight w:val="none"/>
          <w:lang w:val="zh-CN"/>
        </w:rPr>
      </w:pPr>
      <w:r>
        <w:rPr>
          <w:rFonts w:ascii="宋体" w:eastAsia="微软雅黑" w:hAnsi="宋体" w:cs="宋体" w:hint="eastAsia"/>
          <w:b/>
          <w:bCs/>
          <w:color w:val="595959"/>
          <w:spacing w:val="-20"/>
          <w:kern w:val="44"/>
          <w:sz w:val="48"/>
          <w:szCs w:val="48"/>
          <w:highlight w:val="none"/>
          <w:lang w:val="zh-CN"/>
        </w:rPr>
        <w:t>服务类政府采购合同</w:t>
      </w: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spacing w:line="360" w:lineRule="auto"/>
        <w:ind w:left="420" w:leftChars="200"/>
        <w:rPr>
          <w:rFonts w:ascii="Times New Roman" w:eastAsia="宋体" w:hAnsi="Times New Roman" w:cs="Times New Roman"/>
          <w:sz w:val="32"/>
          <w:szCs w:val="32"/>
          <w:highlight w:val="none"/>
        </w:rPr>
      </w:pPr>
      <w:r>
        <w:rPr>
          <w:rFonts w:ascii="宋体" w:eastAsia="宋体" w:hAnsi="宋体" w:cs="宋体" w:hint="eastAsia"/>
          <w:kern w:val="0"/>
          <w:sz w:val="32"/>
          <w:szCs w:val="32"/>
          <w:highlight w:val="none"/>
        </w:rPr>
        <w:t>项目名称：</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合同编号：</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甲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乙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签订时间：</w:t>
      </w:r>
      <w:r>
        <w:rPr>
          <w:rFonts w:ascii="Times New Roman" w:eastAsia="宋体" w:hAnsi="Times New Roman" w:cs="Times New Roman" w:hint="eastAsia"/>
          <w:sz w:val="32"/>
          <w:szCs w:val="32"/>
          <w:highlight w:val="none"/>
          <w:u w:val="single"/>
        </w:rPr>
        <w:t xml:space="preserve">      </w:t>
      </w:r>
      <w:r>
        <w:rPr>
          <w:rFonts w:ascii="Times New Roman" w:eastAsia="宋体" w:hAnsi="Times New Roman" w:cs="Times New Roman"/>
          <w:sz w:val="32"/>
          <w:szCs w:val="32"/>
          <w:highlight w:val="none"/>
          <w:u w:val="single"/>
        </w:rPr>
        <w:t xml:space="preserve">           </w:t>
      </w:r>
      <w:r>
        <w:rPr>
          <w:rFonts w:ascii="Times New Roman" w:eastAsia="宋体" w:hAnsi="Times New Roman" w:cs="Times New Roman" w:hint="eastAsia"/>
          <w:sz w:val="32"/>
          <w:szCs w:val="32"/>
          <w:highlight w:val="none"/>
          <w:u w:val="single"/>
        </w:rPr>
        <w:t xml:space="preserve">            </w:t>
      </w:r>
    </w:p>
    <w:p>
      <w:pPr>
        <w:rPr>
          <w:rFonts w:ascii="Times New Roman" w:eastAsia="宋体" w:hAnsi="Times New Roman" w:cs="Times New Roman"/>
          <w:szCs w:val="20"/>
          <w:highlight w:val="none"/>
        </w:rPr>
      </w:pPr>
    </w:p>
    <w:p>
      <w:pPr>
        <w:rPr>
          <w:rFonts w:ascii="Times New Roman" w:eastAsia="黑体" w:hAnsi="Times New Roman" w:cs="Times New Roman"/>
          <w:sz w:val="44"/>
          <w:szCs w:val="44"/>
          <w:highlight w:val="none"/>
        </w:rPr>
      </w:pPr>
      <w:r>
        <w:rPr>
          <w:rFonts w:ascii="Times New Roman" w:eastAsia="黑体" w:hAnsi="Times New Roman" w:cs="Times New Roman"/>
          <w:sz w:val="44"/>
          <w:szCs w:val="44"/>
          <w:highlight w:val="none"/>
        </w:rPr>
        <w:br w:type="page"/>
      </w:r>
    </w:p>
    <w:p>
      <w:pPr>
        <w:rPr>
          <w:rFonts w:ascii="Times New Roman" w:eastAsia="黑体" w:hAnsi="Times New Roman" w:cs="Times New Roman"/>
          <w:sz w:val="44"/>
          <w:szCs w:val="44"/>
          <w:highlight w:val="none"/>
        </w:rPr>
      </w:pPr>
    </w:p>
    <w:p>
      <w:pPr>
        <w:rPr>
          <w:rFonts w:ascii="Times New Roman" w:eastAsia="黑体" w:hAnsi="Times New Roman" w:cs="Times New Roman"/>
          <w:sz w:val="44"/>
          <w:szCs w:val="44"/>
          <w:highlight w:val="none"/>
        </w:rPr>
      </w:pPr>
    </w:p>
    <w:p>
      <w:pPr>
        <w:jc w:val="center"/>
        <w:rPr>
          <w:rFonts w:ascii="Times New Roman" w:eastAsia="黑体" w:hAnsi="Times New Roman" w:cs="Times New Roman"/>
          <w:sz w:val="44"/>
          <w:szCs w:val="44"/>
          <w:highlight w:val="none"/>
        </w:rPr>
      </w:pPr>
      <w:r>
        <w:rPr>
          <w:rFonts w:ascii="Times New Roman" w:eastAsia="黑体" w:hAnsi="Times New Roman" w:cs="Times New Roman"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numPr>
          <w:ilvl w:val="0"/>
          <w:numId w:val="6"/>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本合同标准文本适用于气象部门服务类（非定制开发软件）采购项目。</w:t>
      </w:r>
    </w:p>
    <w:p>
      <w:pPr>
        <w:numPr>
          <w:ilvl w:val="0"/>
          <w:numId w:val="6"/>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可以结合采购项目具体情况，对文本作必要的调整修订后使用。</w:t>
      </w:r>
    </w:p>
    <w:p>
      <w:pPr>
        <w:numPr>
          <w:ilvl w:val="0"/>
          <w:numId w:val="6"/>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本合同标准文本各条款中，如涉及填写多家供应商、多种采购标的等信息的，可根据采购项目具体情况添加信息项。</w:t>
      </w:r>
    </w:p>
    <w:p>
      <w:pPr>
        <w:widowControl/>
        <w:jc w:val="left"/>
        <w:rPr>
          <w:rFonts w:ascii="宋体" w:eastAsia="宋体" w:hAnsi="宋体" w:cs="Times New Roman"/>
          <w:szCs w:val="21"/>
          <w:highlight w:val="none"/>
        </w:rPr>
      </w:pPr>
      <w:r>
        <w:rPr>
          <w:rFonts w:ascii="宋体" w:eastAsia="宋体" w:hAnsi="宋体" w:cs="Times New Roman"/>
          <w:szCs w:val="21"/>
          <w:highlight w:val="none"/>
        </w:rPr>
        <w:br w:type="page"/>
      </w:r>
    </w:p>
    <w:p>
      <w:pPr>
        <w:snapToGrid w:val="0"/>
        <w:spacing w:line="360" w:lineRule="auto"/>
        <w:ind w:firstLine="420"/>
        <w:rPr>
          <w:rFonts w:ascii="宋体" w:eastAsia="宋体" w:hAnsi="宋体" w:cs="Times New Roman"/>
          <w:szCs w:val="21"/>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第一部分  合同专用部分</w:t>
      </w:r>
    </w:p>
    <w:p>
      <w:pPr>
        <w:adjustRightInd w:val="0"/>
        <w:snapToGrid w:val="0"/>
        <w:spacing w:line="360" w:lineRule="auto"/>
        <w:jc w:val="center"/>
        <w:rPr>
          <w:rFonts w:ascii="Times New Roman" w:eastAsia="宋体" w:hAnsi="Times New Roman" w:cs="宋体"/>
          <w:bCs/>
          <w:kern w:val="0"/>
          <w:sz w:val="28"/>
          <w:szCs w:val="20"/>
        </w:rPr>
      </w:pPr>
      <w:r>
        <w:rPr>
          <w:rFonts w:ascii="Times New Roman" w:eastAsia="宋体" w:hAnsi="Times New Roman" w:cs="宋体" w:hint="eastAsia"/>
          <w:bCs/>
          <w:kern w:val="0"/>
          <w:sz w:val="28"/>
          <w:szCs w:val="20"/>
          <w:highlight w:val="yellow"/>
        </w:rPr>
        <w:t>（本合同模板仅供参考，最终合同文本以双方签订为准）</w:t>
      </w:r>
    </w:p>
    <w:p>
      <w:pPr>
        <w:adjustRightInd w:val="0"/>
        <w:snapToGrid w:val="0"/>
        <w:spacing w:line="360" w:lineRule="auto"/>
        <w:jc w:val="center"/>
        <w:rPr>
          <w:rFonts w:ascii="Times New Roman" w:eastAsia="宋体" w:hAnsi="Times New Roman" w:cs="宋体"/>
          <w:b/>
          <w:bCs/>
          <w:kern w:val="0"/>
          <w:sz w:val="28"/>
          <w:szCs w:val="20"/>
        </w:rPr>
      </w:pPr>
    </w:p>
    <w:p>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甲乙双方</w:t>
      </w:r>
      <w:r>
        <w:rPr>
          <w:rFonts w:ascii="Calibri" w:eastAsia="宋体" w:hAnsi="Calibri" w:cs="Times New Roman" w:hint="eastAsia"/>
          <w:szCs w:val="21"/>
          <w:highlight w:val="none"/>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highlight w:val="none"/>
        </w:rPr>
        <w:t>经平等协商达成合同如下：</w:t>
      </w:r>
    </w:p>
    <w:p>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pPr>
        <w:adjustRightInd w:val="0"/>
        <w:snapToGrid w:val="0"/>
        <w:spacing w:line="360" w:lineRule="auto"/>
        <w:ind w:firstLine="420" w:firstLineChars="200"/>
        <w:rPr>
          <w:rFonts w:ascii="宋体" w:eastAsia="宋体" w:hAnsi="宋体" w:cs="Times New Roman"/>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noWrap w:val="0"/>
            <w:vAlign w:val="center"/>
          </w:tcPr>
          <w:p>
            <w:pPr>
              <w:tabs>
                <w:tab w:val="left" w:pos="1573"/>
              </w:tabs>
              <w:autoSpaceDE w:val="0"/>
              <w:autoSpaceDN w:val="0"/>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交付时间</w:t>
            </w: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bl>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三</w:t>
      </w:r>
      <w:r>
        <w:rPr>
          <w:rFonts w:ascii="Times New Roman" w:eastAsia="宋体" w:hAnsi="宋体" w:cs="Times New Roman" w:hint="eastAsia"/>
          <w:b/>
          <w:szCs w:val="20"/>
          <w:highlight w:val="none"/>
        </w:rPr>
        <w:t>、合同价格及</w:t>
      </w:r>
      <w:r>
        <w:rPr>
          <w:rFonts w:ascii="宋体" w:eastAsia="宋体" w:hAnsi="宋体" w:cs="Times New Roman" w:hint="eastAsia"/>
          <w:b/>
          <w:szCs w:val="28"/>
          <w:highlight w:val="none"/>
        </w:rPr>
        <w:t>付款方式</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1、合同总金额为人民币</w:t>
      </w:r>
      <w:r>
        <w:rPr>
          <w:rFonts w:ascii="宋体" w:eastAsia="宋体" w:hAnsi="宋体" w:cs="Times New Roman" w:hint="eastAsia"/>
          <w:szCs w:val="21"/>
          <w:highlight w:val="none"/>
          <w:u w:val="single"/>
        </w:rPr>
        <w:t>***万</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2、合同生效后付款：双方签署合同后10个工作日内，甲方向乙方支付合同总金额的</w:t>
      </w:r>
      <w:r>
        <w:rPr>
          <w:rFonts w:ascii="宋体" w:eastAsia="宋体" w:hAnsi="宋体" w:cs="Times New Roman" w:hint="eastAsia"/>
          <w:szCs w:val="21"/>
          <w:highlight w:val="none"/>
          <w:u w:val="single"/>
          <w:lang w:val="en-US" w:eastAsia="zh-CN"/>
        </w:rPr>
        <w:t>2</w:t>
      </w:r>
      <w:r>
        <w:rPr>
          <w:rFonts w:ascii="宋体" w:eastAsia="宋体" w:hAnsi="宋体" w:cs="Times New Roman" w:hint="eastAsia"/>
          <w:szCs w:val="21"/>
          <w:highlight w:val="none"/>
          <w:u w:val="single"/>
        </w:rPr>
        <w:t>0</w:t>
      </w:r>
      <w:r>
        <w:rPr>
          <w:rFonts w:ascii="宋体" w:eastAsia="宋体" w:hAnsi="宋体" w:cs="Times New Roman" w:hint="eastAsia"/>
          <w:szCs w:val="21"/>
          <w:highlight w:val="none"/>
        </w:rPr>
        <w:t>%，</w:t>
      </w:r>
      <w:bookmarkStart w:id="62" w:name="_Hlk188433553"/>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 </w:t>
      </w:r>
      <w:r>
        <w:rPr>
          <w:rFonts w:ascii="宋体" w:eastAsia="宋体" w:hAnsi="宋体" w:cs="Times New Roman" w:hint="eastAsia"/>
          <w:szCs w:val="21"/>
          <w:highlight w:val="none"/>
        </w:rPr>
        <w:t>元（小写）；</w:t>
      </w:r>
      <w:bookmarkEnd w:id="62"/>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（2）202</w:t>
      </w:r>
      <w:r>
        <w:rPr>
          <w:rFonts w:ascii="宋体" w:eastAsia="宋体" w:hAnsi="宋体" w:cs="Times New Roman" w:hint="eastAsia"/>
          <w:szCs w:val="21"/>
          <w:highlight w:val="none"/>
          <w:lang w:val="en-US" w:eastAsia="zh-CN"/>
        </w:rPr>
        <w:t>6</w:t>
      </w:r>
      <w:r>
        <w:rPr>
          <w:rFonts w:ascii="宋体" w:eastAsia="宋体" w:hAnsi="宋体" w:cs="Times New Roman" w:hint="eastAsia"/>
          <w:szCs w:val="21"/>
          <w:highlight w:val="none"/>
        </w:rPr>
        <w:t>年</w:t>
      </w:r>
      <w:r>
        <w:rPr>
          <w:rFonts w:ascii="宋体" w:eastAsia="宋体" w:hAnsi="宋体" w:cs="Times New Roman" w:hint="eastAsia"/>
          <w:szCs w:val="21"/>
          <w:highlight w:val="none"/>
          <w:lang w:val="en-US" w:eastAsia="zh-CN"/>
        </w:rPr>
        <w:t>7</w:t>
      </w:r>
      <w:r>
        <w:rPr>
          <w:rFonts w:ascii="宋体" w:eastAsia="宋体" w:hAnsi="宋体" w:cs="Times New Roman" w:hint="eastAsia"/>
          <w:szCs w:val="21"/>
          <w:highlight w:val="none"/>
        </w:rPr>
        <w:t>月</w:t>
      </w:r>
      <w:r>
        <w:rPr>
          <w:rFonts w:ascii="宋体" w:eastAsia="宋体" w:hAnsi="宋体" w:cs="Times New Roman" w:hint="eastAsia"/>
          <w:szCs w:val="21"/>
          <w:highlight w:val="none"/>
          <w:lang w:val="en-US" w:eastAsia="zh-CN"/>
        </w:rPr>
        <w:t>31</w:t>
      </w:r>
      <w:r>
        <w:rPr>
          <w:rFonts w:ascii="宋体" w:eastAsia="宋体" w:hAnsi="宋体" w:cs="Times New Roman" w:hint="eastAsia"/>
          <w:szCs w:val="21"/>
          <w:highlight w:val="none"/>
        </w:rPr>
        <w:t>日前，结算双方授权代表签字的</w:t>
      </w:r>
      <w:r>
        <w:rPr>
          <w:rFonts w:ascii="宋体" w:eastAsia="宋体" w:hAnsi="宋体" w:cs="Times New Roman" w:hint="eastAsia"/>
          <w:szCs w:val="21"/>
          <w:highlight w:val="none"/>
          <w:lang w:val="en-US" w:eastAsia="zh-CN"/>
        </w:rPr>
        <w:t>7</w:t>
      </w:r>
      <w:r>
        <w:rPr>
          <w:rFonts w:ascii="宋体" w:eastAsia="宋体" w:hAnsi="宋体" w:cs="Times New Roman" w:hint="eastAsia"/>
          <w:szCs w:val="21"/>
          <w:highlight w:val="none"/>
        </w:rPr>
        <w:t>月3</w:t>
      </w:r>
      <w:r>
        <w:rPr>
          <w:rFonts w:ascii="宋体" w:eastAsia="宋体" w:hAnsi="宋体" w:cs="Times New Roman" w:hint="eastAsia"/>
          <w:szCs w:val="21"/>
          <w:highlight w:val="none"/>
          <w:lang w:val="en-US" w:eastAsia="zh-CN"/>
        </w:rPr>
        <w:t>1</w:t>
      </w:r>
      <w:r>
        <w:rPr>
          <w:rFonts w:ascii="宋体" w:eastAsia="宋体" w:hAnsi="宋体" w:cs="Times New Roman" w:hint="eastAsia"/>
          <w:szCs w:val="21"/>
          <w:highlight w:val="none"/>
        </w:rPr>
        <w:t>日前期飞行小时费；</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lang w:eastAsia="zh-CN"/>
        </w:rPr>
        <w:t>（</w:t>
      </w:r>
      <w:r>
        <w:rPr>
          <w:rFonts w:ascii="宋体" w:eastAsia="宋体" w:hAnsi="宋体" w:cs="Times New Roman" w:hint="eastAsia"/>
          <w:szCs w:val="21"/>
          <w:highlight w:val="none"/>
          <w:lang w:val="en-US" w:eastAsia="zh-CN"/>
        </w:rPr>
        <w:t>3</w:t>
      </w:r>
      <w:r>
        <w:rPr>
          <w:rFonts w:ascii="宋体" w:eastAsia="宋体" w:hAnsi="宋体" w:cs="Times New Roman" w:hint="eastAsia"/>
          <w:szCs w:val="21"/>
          <w:highlight w:val="none"/>
          <w:lang w:eastAsia="zh-CN"/>
        </w:rPr>
        <w:t>）2026年9月30日前，结算双方授权代表签字的</w:t>
      </w:r>
      <w:r>
        <w:rPr>
          <w:rFonts w:ascii="宋体" w:eastAsia="宋体" w:hAnsi="宋体" w:cs="Times New Roman" w:hint="eastAsia"/>
          <w:szCs w:val="21"/>
          <w:highlight w:val="none"/>
          <w:lang w:val="en-US" w:eastAsia="zh-CN"/>
        </w:rPr>
        <w:t>7</w:t>
      </w:r>
      <w:r>
        <w:rPr>
          <w:rFonts w:ascii="宋体" w:eastAsia="宋体" w:hAnsi="宋体" w:cs="Times New Roman" w:hint="eastAsia"/>
          <w:szCs w:val="21"/>
          <w:highlight w:val="none"/>
          <w:lang w:eastAsia="zh-CN"/>
        </w:rPr>
        <w:t>月3</w:t>
      </w:r>
      <w:r>
        <w:rPr>
          <w:rFonts w:ascii="宋体" w:eastAsia="宋体" w:hAnsi="宋体" w:cs="Times New Roman" w:hint="eastAsia"/>
          <w:szCs w:val="21"/>
          <w:highlight w:val="none"/>
          <w:lang w:val="en-US" w:eastAsia="zh-CN"/>
        </w:rPr>
        <w:t>1</w:t>
      </w:r>
      <w:r>
        <w:rPr>
          <w:rFonts w:ascii="宋体" w:eastAsia="宋体" w:hAnsi="宋体" w:cs="Times New Roman" w:hint="eastAsia"/>
          <w:szCs w:val="21"/>
          <w:highlight w:val="none"/>
          <w:lang w:eastAsia="zh-CN"/>
        </w:rPr>
        <w:t>日(含)-9月30日飞行小时费</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w:t>
      </w:r>
      <w:r>
        <w:rPr>
          <w:rFonts w:ascii="宋体" w:eastAsia="宋体" w:hAnsi="宋体" w:cs="Times New Roman" w:hint="eastAsia"/>
          <w:szCs w:val="21"/>
          <w:highlight w:val="none"/>
          <w:lang w:val="en-US" w:eastAsia="zh-CN"/>
        </w:rPr>
        <w:t>4</w:t>
      </w:r>
      <w:r>
        <w:rPr>
          <w:rFonts w:ascii="宋体" w:eastAsia="宋体" w:hAnsi="宋体" w:cs="Times New Roman" w:hint="eastAsia"/>
          <w:szCs w:val="21"/>
          <w:highlight w:val="none"/>
        </w:rPr>
        <w:t>）完成验收后10个工作日内，按完成工作的实际情况支付剩余费用</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四、甲方应向乙方提供的资料</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rPr>
        <w:t>甲方提供该乙方履行合同所需的资料清单如下：</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五、进度要求及交付</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1、交付日期：</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2、交付地点：</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3、其他约定事项：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left="420" w:leftChars="200"/>
        <w:rPr>
          <w:rFonts w:ascii="Times New Roman" w:eastAsia="宋体" w:hAnsi="Times New Roman" w:cs="Times New Roman"/>
          <w:b/>
          <w:szCs w:val="21"/>
          <w:highlight w:val="none"/>
        </w:rPr>
      </w:pPr>
      <w:r>
        <w:rPr>
          <w:rFonts w:ascii="宋体" w:eastAsia="宋体" w:hAnsi="宋体" w:cs="Times New Roman" w:hint="eastAsia"/>
          <w:b/>
          <w:szCs w:val="21"/>
          <w:highlight w:val="none"/>
        </w:rPr>
        <w:t>六、</w:t>
      </w:r>
      <w:r>
        <w:rPr>
          <w:rFonts w:ascii="Times New Roman" w:eastAsia="宋体" w:hAnsi="Times New Roman" w:cs="Times New Roman" w:hint="eastAsia"/>
          <w:b/>
          <w:szCs w:val="21"/>
          <w:highlight w:val="none"/>
        </w:rPr>
        <w:t>技术服务和保修责任</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1"/>
          <w:highlight w:val="none"/>
        </w:rPr>
        <w:t>乙方对合同服务的质量保修期为验收证书签署之日起</w:t>
      </w:r>
      <w:r>
        <w:rPr>
          <w:rFonts w:ascii="宋体" w:eastAsia="宋体" w:hAnsi="宋体" w:cs="Times New Roman" w:hint="eastAsia"/>
          <w:szCs w:val="21"/>
          <w:highlight w:val="none"/>
          <w:u w:val="single"/>
        </w:rPr>
        <w:t xml:space="preserve"> 12 </w:t>
      </w:r>
      <w:r>
        <w:rPr>
          <w:rFonts w:ascii="宋体" w:eastAsia="宋体" w:hAnsi="宋体" w:cs="Times New Roman" w:hint="eastAsia"/>
          <w:szCs w:val="21"/>
          <w:highlight w:val="none"/>
        </w:rPr>
        <w:t>个月。</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七、履约验收</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rPr>
        <w:t>（略）</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szCs w:val="28"/>
          <w:highlight w:val="none"/>
        </w:rPr>
        <w:t>具体条款由甲方商乙方拟定。基本内容应包括：验收时间；验收地点；一次性验收还是分阶段、分期验收；验收方式（包括</w:t>
      </w:r>
      <w:r>
        <w:rPr>
          <w:rFonts w:ascii="宋体" w:eastAsia="宋体" w:hAnsi="宋体" w:cs="Times New Roman" w:hint="eastAsia"/>
          <w:szCs w:val="21"/>
          <w:highlight w:val="none"/>
        </w:rPr>
        <w:t>自行简易验收、验收小组验收、委托第三方验收等）；验收内容和标准（参见附表）；验收未通过（整体未通过或部分未通过）的处理措施；验收费用承担方等</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八、风险管理</w:t>
      </w:r>
    </w:p>
    <w:p>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（略）</w:t>
      </w:r>
    </w:p>
    <w:p>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highlight w:val="none"/>
        </w:rPr>
        <w:t>国家政策变化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实施环境变化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重大技术变化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预算项目调整</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因质疑投诉影响</w:t>
      </w:r>
      <w:r>
        <w:rPr>
          <w:rFonts w:ascii="Times New Roman" w:eastAsia="宋体" w:hAnsi="Times New Roman" w:cs="Times New Roman" w:hint="eastAsia"/>
          <w:szCs w:val="20"/>
          <w:highlight w:val="none"/>
        </w:rPr>
        <w:t>合同</w:t>
      </w:r>
      <w:r>
        <w:rPr>
          <w:rFonts w:ascii="Times New Roman" w:eastAsia="宋体" w:hAnsi="Times New Roman" w:cs="Times New Roman"/>
          <w:szCs w:val="20"/>
          <w:highlight w:val="none"/>
        </w:rPr>
        <w:t>进度</w:t>
      </w:r>
      <w:r>
        <w:rPr>
          <w:rFonts w:ascii="Times New Roman" w:eastAsia="宋体" w:hAnsi="Times New Roman" w:cs="Times New Roman" w:hint="eastAsia"/>
          <w:szCs w:val="20"/>
          <w:highlight w:val="none"/>
        </w:rPr>
        <w:t>等）</w:t>
      </w:r>
      <w:r>
        <w:rPr>
          <w:rFonts w:ascii="宋体" w:eastAsia="宋体" w:hAnsi="宋体" w:cs="Times New Roman" w:hint="eastAsia"/>
          <w:szCs w:val="20"/>
          <w:highlight w:val="none"/>
        </w:rPr>
        <w:t>的可能性、影响程度进行研判，明确管控责任，提出有针对性的处置措施和替代方案。如本项目不属于上述项目，“八、风险管理”可省略）</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九、违约责任</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8"/>
          <w:highlight w:val="none"/>
        </w:rPr>
        <w:t>1、</w:t>
      </w:r>
      <w:r>
        <w:rPr>
          <w:rFonts w:ascii="宋体" w:eastAsia="宋体" w:hAnsi="宋体" w:cs="Times New Roman" w:hint="eastAsia"/>
          <w:szCs w:val="21"/>
          <w:highlight w:val="none"/>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的比例向对方支付违约金，但该违约金累计不得超过合同总金额的</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%；上述逾期超过</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天，守约方有权解除合同，并要求违约方赔偿由此造成的损失。</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1"/>
          <w:highlight w:val="none"/>
        </w:rPr>
        <w:t>2、其它违约责任</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违约方应就每一单项违约向对方支付合同总金额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%的违约金。</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十、联系方式</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甲方：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乙方：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Times New Roman" w:eastAsia="宋体" w:hAnsi="Times New Roman" w:cs="Times New Roman" w:hint="eastAsia"/>
          <w:b/>
          <w:szCs w:val="21"/>
          <w:highlight w:val="none"/>
        </w:rPr>
        <w:t>十一、</w:t>
      </w:r>
      <w:r>
        <w:rPr>
          <w:rFonts w:ascii="宋体" w:eastAsia="宋体" w:hAnsi="宋体" w:cs="Times New Roman" w:hint="eastAsia"/>
          <w:b/>
          <w:szCs w:val="28"/>
          <w:highlight w:val="none"/>
        </w:rPr>
        <w:t>争议的解决</w:t>
      </w:r>
    </w:p>
    <w:p>
      <w:pPr>
        <w:tabs>
          <w:tab w:val="left" w:pos="1573"/>
        </w:tabs>
        <w:adjustRightInd w:val="0"/>
        <w:snapToGrid w:val="0"/>
        <w:spacing w:line="360" w:lineRule="auto"/>
        <w:ind w:firstLine="420" w:firstLineChars="200"/>
        <w:jc w:val="left"/>
        <w:rPr>
          <w:rFonts w:ascii="宋体" w:eastAsia="宋体" w:hAnsi="宋体" w:cs="Times New Roman"/>
          <w:szCs w:val="28"/>
          <w:highlight w:val="none"/>
        </w:rPr>
      </w:pPr>
      <w:r>
        <w:rPr>
          <w:rFonts w:ascii="宋体" w:eastAsia="宋体" w:hAnsi="宋体" w:cs="Times New Roman" w:hint="eastAsia"/>
          <w:szCs w:val="28"/>
          <w:highlight w:val="none"/>
        </w:rPr>
        <w:t>本项目选择</w:t>
      </w:r>
      <w:r>
        <w:rPr>
          <w:rFonts w:ascii="宋体" w:eastAsia="宋体" w:hAnsi="宋体" w:cs="Times New Roman" w:hint="eastAsia"/>
          <w:b/>
          <w:szCs w:val="28"/>
          <w:highlight w:val="none"/>
        </w:rPr>
        <w:t>第二章合同条款通用部分</w:t>
      </w:r>
      <w:r>
        <w:rPr>
          <w:rFonts w:ascii="宋体" w:eastAsia="宋体" w:hAnsi="宋体" w:cs="Times New Roman" w:hint="eastAsia"/>
          <w:szCs w:val="28"/>
          <w:highlight w:val="none"/>
        </w:rPr>
        <w:t>“争议的解决”所属第</w:t>
      </w:r>
      <w:r>
        <w:rPr>
          <w:rFonts w:ascii="宋体" w:eastAsia="宋体" w:hAnsi="宋体" w:cs="Times New Roman" w:hint="eastAsia"/>
          <w:szCs w:val="28"/>
          <w:highlight w:val="none"/>
          <w:u w:val="single"/>
        </w:rPr>
        <w:t xml:space="preserve">      </w:t>
      </w:r>
      <w:r>
        <w:rPr>
          <w:rFonts w:ascii="宋体" w:eastAsia="宋体" w:hAnsi="宋体" w:cs="Times New Roman" w:hint="eastAsia"/>
          <w:szCs w:val="28"/>
          <w:highlight w:val="none"/>
        </w:rPr>
        <w:t>种方式解决。</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十二、履约保证金</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%的履约保证金。 </w:t>
      </w:r>
    </w:p>
    <w:p>
      <w:pPr>
        <w:tabs>
          <w:tab w:val="left" w:pos="1573"/>
        </w:tabs>
        <w:adjustRightInd w:val="0"/>
        <w:snapToGrid w:val="0"/>
        <w:spacing w:line="360" w:lineRule="auto"/>
        <w:ind w:firstLine="412" w:firstLineChars="196"/>
        <w:jc w:val="left"/>
        <w:rPr>
          <w:rFonts w:ascii="宋体" w:eastAsia="宋体" w:hAnsi="宋体" w:cs="Times New Roman"/>
          <w:b/>
          <w:szCs w:val="28"/>
        </w:rPr>
      </w:pPr>
    </w:p>
    <w:p>
      <w:pPr>
        <w:snapToGrid w:val="0"/>
        <w:ind w:firstLine="309" w:firstLineChars="147"/>
        <w:rPr>
          <w:rFonts w:ascii="宋体" w:eastAsia="宋体" w:hAnsi="宋体" w:cs="Times New Roman"/>
          <w:b/>
          <w:szCs w:val="21"/>
        </w:rPr>
      </w:pPr>
      <w:r>
        <w:rPr>
          <w:rFonts w:ascii="宋体" w:eastAsia="宋体" w:hAnsi="宋体" w:cs="Times New Roman" w:hint="eastAsia"/>
          <w:b/>
          <w:szCs w:val="21"/>
        </w:rPr>
        <w:t>甲方：                                   乙方：</w:t>
      </w:r>
    </w:p>
    <w:p>
      <w:pPr>
        <w:snapToGrid w:val="0"/>
        <w:ind w:firstLine="309" w:firstLineChars="147"/>
        <w:rPr>
          <w:rFonts w:ascii="宋体" w:eastAsia="宋体" w:hAnsi="宋体" w:cs="Times New Roman"/>
          <w:b/>
          <w:szCs w:val="21"/>
        </w:rPr>
      </w:pPr>
      <w:r>
        <w:rPr>
          <w:rFonts w:ascii="宋体" w:eastAsia="宋体" w:hAnsi="宋体" w:cs="Times New Roman" w:hint="eastAsia"/>
          <w:b/>
          <w:szCs w:val="21"/>
        </w:rPr>
        <w:t>单位名称：（公章）                        单位名称：（公章）</w:t>
      </w:r>
    </w:p>
    <w:p>
      <w:pPr>
        <w:snapToGrid w:val="0"/>
        <w:ind w:firstLine="309" w:firstLineChars="147"/>
        <w:rPr>
          <w:rFonts w:ascii="宋体" w:eastAsia="宋体" w:hAnsi="宋体" w:cs="Times New Roman"/>
          <w:b/>
          <w:szCs w:val="21"/>
        </w:rPr>
      </w:pPr>
      <w:r>
        <w:rPr>
          <w:rFonts w:ascii="宋体" w:eastAsia="宋体" w:hAnsi="宋体" w:cs="Times New Roman" w:hint="eastAsia"/>
          <w:b/>
          <w:szCs w:val="21"/>
        </w:rPr>
        <w:t>法定代表人：                             法定代表人：</w:t>
      </w:r>
    </w:p>
    <w:p>
      <w:pPr>
        <w:snapToGrid w:val="0"/>
        <w:ind w:firstLine="309" w:firstLineChars="147"/>
        <w:rPr>
          <w:rFonts w:ascii="宋体" w:eastAsia="宋体" w:hAnsi="宋体" w:cs="Times New Roman"/>
          <w:b/>
          <w:szCs w:val="21"/>
        </w:rPr>
      </w:pPr>
      <w:r>
        <w:rPr>
          <w:rFonts w:ascii="宋体" w:eastAsia="宋体" w:hAnsi="宋体" w:cs="Times New Roman" w:hint="eastAsia"/>
          <w:b/>
          <w:szCs w:val="21"/>
        </w:rPr>
        <w:t>授权代表：                               授权代表：</w:t>
      </w:r>
    </w:p>
    <w:p>
      <w:pPr>
        <w:keepNext w:val="0"/>
        <w:keepLines w:val="0"/>
        <w:widowControl/>
        <w:spacing w:before="0" w:beforeLines="0" w:after="0" w:afterLines="0" w:line="520" w:lineRule="exact"/>
        <w:ind w:firstLine="420" w:firstLineChars="200"/>
        <w:jc w:val="both"/>
        <w:outlineLvl w:val="9"/>
        <w:rPr>
          <w:rFonts w:ascii="Times New Roman" w:eastAsia="宋体" w:hAnsi="Times New Roman" w:cs="Times New Roman"/>
          <w:b/>
          <w:bCs/>
          <w:sz w:val="44"/>
          <w:szCs w:val="44"/>
          <w:highlight w:val="none"/>
        </w:rPr>
      </w:pPr>
      <w:r>
        <w:rPr>
          <w:rFonts w:ascii="宋体" w:eastAsia="宋体" w:hAnsi="宋体" w:cs="Times New Roman" w:hint="eastAsia"/>
          <w:b/>
          <w:szCs w:val="21"/>
        </w:rPr>
        <w:t>签约日期：                               签约日期：</w:t>
      </w:r>
    </w:p>
    <w:p>
      <w:pPr>
        <w:snapToGrid w:val="0"/>
        <w:ind w:firstLine="309" w:firstLineChars="147"/>
        <w:rPr>
          <w:rFonts w:ascii="宋体" w:eastAsia="宋体" w:hAnsi="宋体" w:cs="Times New Roman"/>
          <w:b/>
          <w:szCs w:val="21"/>
          <w:highlight w:val="none"/>
        </w:rPr>
      </w:pPr>
    </w:p>
    <w:p>
      <w:pPr>
        <w:widowControl/>
        <w:jc w:val="left"/>
        <w:rPr>
          <w:rFonts w:ascii="宋体" w:eastAsia="宋体" w:hAnsi="宋体" w:cs="Times New Roman"/>
          <w:b/>
          <w:szCs w:val="21"/>
          <w:highlight w:val="none"/>
        </w:rPr>
      </w:pPr>
      <w:r>
        <w:rPr>
          <w:rFonts w:ascii="宋体" w:eastAsia="宋体" w:hAnsi="宋体" w:cs="Times New Roman"/>
          <w:b/>
          <w:szCs w:val="21"/>
          <w:highlight w:val="none"/>
        </w:rPr>
        <w:br w:type="page"/>
      </w:r>
    </w:p>
    <w:p>
      <w:pPr>
        <w:spacing w:line="360" w:lineRule="auto"/>
        <w:jc w:val="left"/>
        <w:rPr>
          <w:rFonts w:ascii="Times New Roman" w:eastAsia="宋体" w:hAnsi="Times New Roman" w:cs="Times New Roman"/>
          <w:b/>
          <w:bCs/>
          <w:sz w:val="44"/>
          <w:szCs w:val="44"/>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第二部分  合同通用部分</w:t>
      </w:r>
    </w:p>
    <w:p>
      <w:pPr>
        <w:tabs>
          <w:tab w:val="left" w:pos="1573"/>
        </w:tabs>
        <w:snapToGrid w:val="0"/>
        <w:spacing w:line="360" w:lineRule="auto"/>
        <w:jc w:val="center"/>
        <w:rPr>
          <w:rFonts w:ascii="宋体" w:eastAsia="宋体" w:hAnsi="宋体" w:cs="Times New Roman"/>
          <w:szCs w:val="21"/>
          <w:highlight w:val="none"/>
        </w:rPr>
      </w:pPr>
    </w:p>
    <w:p>
      <w:pPr>
        <w:tabs>
          <w:tab w:val="left" w:pos="1573"/>
        </w:tabs>
        <w:adjustRightInd w:val="0"/>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highlight w:val="none"/>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highlight w:val="none"/>
        </w:rPr>
        <w:t xml:space="preserve"> </w:t>
      </w:r>
    </w:p>
    <w:p>
      <w:pPr>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本合同所附下列文件是构成本合同不可分割的部分，若各文件之间存在含糊不清或互相冲突之处，优先顺序应按下列文件顺序解释：</w:t>
      </w:r>
    </w:p>
    <w:p>
      <w:pPr>
        <w:numPr>
          <w:ilvl w:val="0"/>
          <w:numId w:val="7"/>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中标通知书</w:t>
      </w:r>
    </w:p>
    <w:p>
      <w:pPr>
        <w:numPr>
          <w:ilvl w:val="0"/>
          <w:numId w:val="7"/>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开标一览表及投标分项报价表</w:t>
      </w:r>
    </w:p>
    <w:p>
      <w:pPr>
        <w:numPr>
          <w:ilvl w:val="0"/>
          <w:numId w:val="7"/>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商务和技术偏离表</w:t>
      </w:r>
    </w:p>
    <w:p>
      <w:pPr>
        <w:numPr>
          <w:ilvl w:val="0"/>
          <w:numId w:val="7"/>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合同条款专用部分</w:t>
      </w:r>
    </w:p>
    <w:p>
      <w:pPr>
        <w:numPr>
          <w:ilvl w:val="0"/>
          <w:numId w:val="7"/>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合同条款通用部分</w:t>
      </w:r>
    </w:p>
    <w:p>
      <w:pPr>
        <w:numPr>
          <w:ilvl w:val="0"/>
          <w:numId w:val="7"/>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采购需求</w:t>
      </w:r>
    </w:p>
    <w:p>
      <w:pPr>
        <w:numPr>
          <w:ilvl w:val="0"/>
          <w:numId w:val="7"/>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双方有关服务的洽商、变更等书面协议或文件</w:t>
      </w:r>
    </w:p>
    <w:p>
      <w:pPr>
        <w:numPr>
          <w:ilvl w:val="0"/>
          <w:numId w:val="7"/>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投标文件、招标文件除以上的其他部分</w:t>
      </w:r>
    </w:p>
    <w:p>
      <w:pPr>
        <w:numPr>
          <w:ilvl w:val="0"/>
          <w:numId w:val="7"/>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其他合同文本</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一、定义</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除非另有特别解释或说明，在本合同及与本合同相关的，双方另行签署的其他文件（包括但不限于本合同的附件）中，下述词语均依如下定义进行解释：</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1、“项目”详见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2、“合同”指甲乙双方签署的，与本项目相关的协议、附件、附录和其他一切文件，还</w:t>
      </w:r>
      <w:r>
        <w:rPr>
          <w:rFonts w:ascii="宋体" w:eastAsia="宋体" w:hAnsi="宋体" w:cs="Times New Roman"/>
          <w:szCs w:val="21"/>
          <w:highlight w:val="none"/>
        </w:rPr>
        <w:t>包括招标文件、投标文件中的相关内容及其有效补充文件</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3、“附件”是指与本合同的订立、履行有关的，经甲乙双方认可的，对本合同约定的内容进行细化、补充、修改、变更的文件、图纸、音像制品等资料。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4、“合同服务”指合同服务清单（同投标文件中分项报价表，下同）中所规定的服务内容、设备和软件购置等内容。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5、“验收证书”指验收完成后由合同双方签署的最终验收确认书。</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6、“保修期”指自验收证书甲方签署之日起，乙方免费对所提供给甲方服务内容进行技术支持、现场服务、升级服务等，并自担费用方式保证合同服务正常运行的时期。</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7、“第三人”是指本合同双方以外的任何中国境内、外的自然人、法人或其他经济组织。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8、“法律、法规”是指由中国有关部门制定的法律、行政法规、地方性法规、规章及其他规范性文件以及经全国人民代表大会常务委员会批准的中国缔结、参加的国际条（公）约的有关规定。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9、“招标文件”指采购中心发布的本项目招标文件。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10、“投标文件”指乙方按照采购中心发布的本项目招标文件的要求编制和投递，并最终被采购中心接受的投标文件。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11、“合同标的”指甲方同意从乙方购买，乙方同意向甲方提供</w:t>
      </w:r>
      <w:r>
        <w:rPr>
          <w:rFonts w:ascii="黑体" w:eastAsia="黑体" w:hAnsi="黑体" w:cs="Times New Roman" w:hint="eastAsia"/>
          <w:b/>
          <w:szCs w:val="21"/>
          <w:highlight w:val="none"/>
        </w:rPr>
        <w:t>合同服务清单（同投标文件中分项报价表）</w:t>
      </w:r>
      <w:r>
        <w:rPr>
          <w:rFonts w:ascii="宋体" w:eastAsia="宋体" w:hAnsi="宋体" w:cs="Times New Roman" w:hint="eastAsia"/>
          <w:szCs w:val="21"/>
          <w:highlight w:val="none"/>
        </w:rPr>
        <w:t>中所列服务内容、设备和软件购置等内容。</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二、合同标的</w:t>
      </w:r>
    </w:p>
    <w:p>
      <w:pPr>
        <w:numPr>
          <w:ilvl w:val="6"/>
          <w:numId w:val="0"/>
        </w:num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三、合同价格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1、合同总金额详见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2、本合同价格包括服务产品金额，是在项目交付前、交付时所发生或引起的本合同相关的全部成本、费用等，且为完税后价格。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3、合同服务产品详细目录及价格见</w:t>
      </w:r>
      <w:r>
        <w:rPr>
          <w:rFonts w:ascii="黑体" w:eastAsia="黑体" w:hAnsi="黑体" w:cs="Times New Roman" w:hint="eastAsia"/>
          <w:b/>
          <w:bCs/>
          <w:szCs w:val="21"/>
          <w:highlight w:val="none"/>
        </w:rPr>
        <w:t>合同服务产品清单（同投标文件中服务产品清单）</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四、支付和结算方式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1、双方因本合同发生的一切费用均以人民币结算及支付。</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2、双方的帐户名称、开户银行及帐号以本合同提供的为准。</w:t>
      </w:r>
    </w:p>
    <w:p>
      <w:pPr>
        <w:tabs>
          <w:tab w:val="left" w:pos="1573"/>
        </w:tabs>
        <w:adjustRightInd w:val="0"/>
        <w:snapToGrid w:val="0"/>
        <w:spacing w:line="360" w:lineRule="auto"/>
        <w:ind w:firstLine="420" w:firstLineChars="200"/>
        <w:rPr>
          <w:rFonts w:ascii="Times New Roman" w:eastAsia="宋体" w:hAnsi="宋体" w:cs="Times New Roman"/>
          <w:kern w:val="0"/>
          <w:szCs w:val="21"/>
          <w:highlight w:val="none"/>
        </w:rPr>
      </w:pPr>
      <w:r>
        <w:rPr>
          <w:rFonts w:ascii="宋体" w:eastAsia="宋体" w:hAnsi="宋体" w:cs="Times New Roman" w:hint="eastAsia"/>
          <w:szCs w:val="21"/>
          <w:highlight w:val="none"/>
        </w:rPr>
        <w:t>3、付款方式：</w:t>
      </w:r>
      <w:r>
        <w:rPr>
          <w:rFonts w:ascii="Times New Roman" w:eastAsia="宋体" w:hAnsi="宋体" w:cs="Times New Roman" w:hint="eastAsia"/>
          <w:kern w:val="0"/>
          <w:szCs w:val="21"/>
          <w:highlight w:val="none"/>
        </w:rPr>
        <w:t xml:space="preserve"> </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（1）合同生效后付款：双方签署合同后7个工作日内，甲方向乙方支付合同总金额的一定比例货款，支付比例、金额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（2）签署验收报后付款：合同服务安装、调试到位、试运行完成，经甲方核对无误、检验合格，双方签署验收报告后7个工作日内，甲方向乙方支付合同总金额的一定比例货款，支付比例、金额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 xml:space="preserve">； </w:t>
      </w:r>
    </w:p>
    <w:p>
      <w:pPr>
        <w:tabs>
          <w:tab w:val="left" w:pos="1573"/>
        </w:tabs>
        <w:adjustRightInd w:val="0"/>
        <w:snapToGrid w:val="0"/>
        <w:spacing w:line="360" w:lineRule="auto"/>
        <w:ind w:firstLine="420" w:firstLineChars="200"/>
        <w:rPr>
          <w:rFonts w:ascii="宋体" w:eastAsia="宋体" w:hAnsi="宋体" w:cs="Times New Roman"/>
          <w:kern w:val="0"/>
          <w:szCs w:val="20"/>
          <w:highlight w:val="none"/>
        </w:rPr>
      </w:pPr>
      <w:r>
        <w:rPr>
          <w:rFonts w:ascii="宋体" w:eastAsia="宋体" w:hAnsi="宋体" w:cs="Times New Roman" w:hint="eastAsia"/>
          <w:kern w:val="0"/>
          <w:szCs w:val="20"/>
          <w:highlight w:val="none"/>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kern w:val="0"/>
          <w:szCs w:val="20"/>
          <w:highlight w:val="none"/>
        </w:rPr>
        <w:t>，作为本合同最终结款。</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4、乙方在收到甲方每一笔付款的同时，应向甲方开具相应金额的商业发票。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五、资料的使用</w:t>
      </w:r>
    </w:p>
    <w:p>
      <w:pPr>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2、没有甲方事先书面同意，除了履行本合同之外，乙方不应使用甲方提供的任何文件和资料。</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3、没有甲方事先书面同意，乙方不得泄露与本项目有关的任何资料、数据及其它信息。</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4、除了合同本身以外，甲方提供给乙方的任何文件是甲方的财产。如果甲方有要求，乙方在完成合同后应将这些文件(全部拷贝)还给甲方。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甲方提供该乙方履行合同所需的资料清单见</w:t>
      </w:r>
      <w:r>
        <w:rPr>
          <w:rFonts w:ascii="黑体" w:eastAsia="黑体" w:hAnsi="黑体" w:cs="Times New Roman" w:hint="eastAsia"/>
          <w:b/>
          <w:bCs/>
          <w:szCs w:val="21"/>
          <w:highlight w:val="none"/>
        </w:rPr>
        <w:t>合同条款专用部分。</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六、知识产权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1、在本协议生效日前业已存在的版权及其他知识产权应属于本协议生效前既拥有该等权利的一方。</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2、任何一方均不可凭借本协议取得另一方此前所已经拥有且根据本合同不应被合理的推论为其已经同意转移的版权、专利、商业秘密、商标或其他知识产权的所有权。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3、符合法律规定及当事人约定的原则：任何相关事项均应当符合法律规定，及应当符合当事人约定。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6、甲方将拥有其在本协议项下所从事的所有工作（包括各类纸质文档，电子文档及其他可交付物）中所包含的或与之相关的全部版权、专利、商业秘密、商标和其他知识产权以及所有权和其他权益。</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七、进度要求</w:t>
      </w:r>
    </w:p>
    <w:p>
      <w:pPr>
        <w:numPr>
          <w:ilvl w:val="6"/>
          <w:numId w:val="0"/>
        </w:numPr>
        <w:adjustRightInd w:val="0"/>
        <w:snapToGrid w:val="0"/>
        <w:spacing w:line="360" w:lineRule="auto"/>
        <w:ind w:firstLine="420" w:firstLineChars="200"/>
        <w:rPr>
          <w:rFonts w:ascii="宋体" w:eastAsia="宋体" w:hAnsi="宋体" w:cs="Times New Roman"/>
          <w:b/>
          <w:szCs w:val="21"/>
          <w:highlight w:val="none"/>
        </w:rPr>
      </w:pPr>
      <w:r>
        <w:rPr>
          <w:rFonts w:ascii="宋体" w:eastAsia="宋体" w:hAnsi="宋体" w:cs="Times New Roman" w:hint="eastAsia"/>
          <w:b/>
          <w:szCs w:val="21"/>
          <w:highlight w:val="none"/>
        </w:rPr>
        <w:t>见</w:t>
      </w:r>
      <w:r>
        <w:rPr>
          <w:rFonts w:ascii="黑体" w:eastAsia="黑体" w:hAnsi="黑体" w:cs="Times New Roman" w:hint="eastAsia"/>
          <w:b/>
          <w:bCs/>
          <w:szCs w:val="20"/>
          <w:highlight w:val="none"/>
        </w:rPr>
        <w:t>合同条款专用部分</w:t>
      </w:r>
      <w:r>
        <w:rPr>
          <w:rFonts w:ascii="宋体" w:eastAsia="宋体" w:hAnsi="宋体" w:cs="Times New Roman" w:hint="eastAsia"/>
          <w:b/>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八、技术服务和保修责任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1、乙方对合同服务的质量保修期见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。乙方应保证所提供的产品、服务，符合合同规定的技术要求。如不符时，乙方应负全责并尽快处理解决，由此造成的损失和相关费用由乙方负责，甲方保留终止合同及索赔的权利。</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2、乙方应保证通过执行合同中全部方案后，可以取得本合同规定的结果，达到本合同规定的预期目标。对任何情况下出现问题的，应尽快提出解决方案。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3、如果乙方提供的产品、服务和解决方案不符合甲方要求，或在规定的时间内没有弥补缺陷，甲方有权采取一切必要的补救措施，由此产生的费用全部由乙方负责。</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九、履约保证金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1、中标人应在收到中标通知书后规定时间内（具体时间</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）内，以信汇、电汇或履约保函形式向甲方提供履约保证金，保证金金额：见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2、如果中标人没有按照上述规定执行，甲方将有充分理由取消该中标决定，并不予退还其投标保证金。在此情况下甲方可将合同授予排名第二的中标候选人，或重新招标。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3、如果中标人在与甲方签定合同以后，将中标项目转包给第三方或者</w:t>
      </w:r>
      <w:r>
        <w:rPr>
          <w:rFonts w:ascii="Times New Roman" w:eastAsia="宋体" w:hAnsi="Times New Roman" w:cs="Times New Roman" w:hint="eastAsia"/>
          <w:szCs w:val="20"/>
          <w:highlight w:val="none"/>
        </w:rPr>
        <w:t>将合同全部及任何权利、义务向第三方转让，或者在</w:t>
      </w:r>
      <w:r>
        <w:rPr>
          <w:rFonts w:ascii="宋体" w:eastAsia="宋体" w:hAnsi="宋体" w:cs="Times New Roman" w:hint="eastAsia"/>
          <w:szCs w:val="21"/>
          <w:highlight w:val="none"/>
        </w:rPr>
        <w:t>本项目不允许分包的情况下将中标项目分包给第三方，甲方将有充分理由终止合同，并不予退还其履约保证金。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4、中标人的履约保证金将在合同服务试经甲方终验合格，履行完必要的审批手续后30日内退还中标人。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5、如乙方未能完全履行合同规定的义务，甲方有权从履约保证金中得到补偿。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十、审计及检查</w:t>
      </w:r>
    </w:p>
    <w:p>
      <w:pPr>
        <w:tabs>
          <w:tab w:val="left" w:pos="360"/>
          <w:tab w:val="left" w:pos="1573"/>
        </w:tabs>
        <w:adjustRightInd w:val="0"/>
        <w:snapToGrid w:val="0"/>
        <w:spacing w:line="360" w:lineRule="auto"/>
        <w:ind w:firstLine="420" w:firstLineChars="200"/>
        <w:rPr>
          <w:rFonts w:ascii="宋体" w:eastAsia="宋体" w:hAnsi="宋体" w:cs="Times New Roman"/>
          <w:bCs/>
          <w:szCs w:val="21"/>
          <w:highlight w:val="none"/>
        </w:rPr>
      </w:pPr>
      <w:r>
        <w:rPr>
          <w:rFonts w:ascii="宋体" w:eastAsia="宋体" w:hAnsi="宋体" w:cs="Times New Roman" w:hint="eastAsia"/>
          <w:bCs/>
          <w:szCs w:val="21"/>
          <w:highlight w:val="none"/>
        </w:rPr>
        <w:t>如果采购人要求，中标人应允许采购人检查中标人与实施本合同有关的资金、帐户和记录，并由采购人指定的审计人员对其进行审计。</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十一、违约责任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（1）在甲方同意延长的期限内交付服务产品并承担由此给甲方造成的直接损失及甲方因此产生的对第三方的责任。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（2）甲方有权部分或全部解除合同并要求乙方赔偿由此造成的损失及甲方因此产生的对第三方的责任。此时甲方可采取必要的补救措施，相关费用由乙方承担。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（3）上述情形下甲方为采取必要的补救措施或因防止损失扩大而支出的合理费用应由乙方承担。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）向对方支付违约金，但该违约金累计不得超过合同总金额的一定比例（详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）；上述逾期超过一定时间（详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），守约方有权解除合同，并要求违约方赔偿由此造成的损失。</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 xml:space="preserve">5、其它违约责任 </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（2）如乙方在合同规定的交付日期后10天内仍未能交付，则视为乙方不能交付，甲方有权解除合同，乙方若已经收取了甲方的定金则同时还应双倍返还已收取的定金。</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6、乙方违反规定，有下列行为之一的，甲方有权对因此造成的损失追究责任；构成犯罪的，由司法机关追究其刑事责任：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1）擅自向第三方提供或者转让项目资料的；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2）未经甲方许可使用项目资料的；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3）项目完成后，乙方未经甲方许可保留项目资料的；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4）对项目资料保管不当，造成数据全部或者部分丢失、被窃的。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7、乙方在进行项目时违反有关保密规定的，依照《中华人民共和国保密法》等有关法律法规的规定处理。</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9、以上各项交付的违约金并不影响违约方履行合同的各项义务。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pPr>
        <w:adjustRightInd w:val="0"/>
        <w:snapToGrid w:val="0"/>
        <w:spacing w:line="360" w:lineRule="auto"/>
        <w:ind w:firstLine="315" w:firstLineChars="150"/>
        <w:rPr>
          <w:rFonts w:ascii="宋体" w:eastAsia="宋体" w:hAnsi="宋体" w:cs="Times New Roman"/>
          <w:b/>
          <w:szCs w:val="21"/>
          <w:highlight w:val="none"/>
        </w:rPr>
      </w:pPr>
      <w:r>
        <w:rPr>
          <w:rFonts w:ascii="宋体" w:eastAsia="宋体" w:hAnsi="宋体" w:cs="Times New Roman" w:hint="eastAsia"/>
          <w:szCs w:val="21"/>
          <w:highlight w:val="none"/>
        </w:rPr>
        <w:t>11、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十二、不可抗力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1、不可抗力指下列事件：战争、动乱、瘟疫、严重火灾、洪水、地震、风暴或其他自然灾害，以及本合同各方不可预见、不可防止并不能避免或克服的一切其他因素及事件。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4、合同各方应根据不可抗力对本合同履行的影响程度，协商确定是否终止本合同，或是继续履行本合同。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十三、联系方式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2、合同双方发出的与本合同有关的通知或回复均应发至</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中的通讯地址，付款或收款应使用</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中的帐号，一方变更通讯地址或帐号，应自变更之日起三个工作日内，将变更后的地址通知对方。变更方不履行通知义务的，应对此造成的一切后果承担法律责任。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3、上述发出通知、回复的费用由发出一方承担。</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十四、保密条款</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0"/>
          <w:highlight w:val="none"/>
        </w:rPr>
        <w:t>1、</w:t>
      </w:r>
      <w:r>
        <w:rPr>
          <w:rFonts w:ascii="宋体" w:eastAsia="宋体" w:hAnsi="宋体" w:cs="Times New Roman" w:hint="eastAsia"/>
          <w:szCs w:val="21"/>
          <w:highlight w:val="none"/>
        </w:rPr>
        <w:t>任何一方对其获知的本合同及附件中其他各方的商业秘密和国家秘密负有保密义务。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十五、合同的解释和法律适用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1、任何一方对本合同及其附件的解释均应遵循诚实信用原则,依照本合同签订时有效的中国法律、法规以及通常的理解进行。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2、本合同标题仅供查阅方便，并非对本合同的诠释或解释；本合同中以日表述的时间期限均指自然日。</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3、对本合同的任何解释均应以书面作出。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4、本合同及附件的订立、效力、解释、履行、争议的解决等适用本合同签订时有效的中华人民共和国法律、法规的有关规定。</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十六、合同的终止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1、本合同因下列原因而终止：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（1）本合同正常履行完毕；</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（2）合同双方协议终止本合同的履行；</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（3）不可抗力事件导致本合同无法履行或履行不必要；</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（4）任何一方行使解除权，解除本合同。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2、对本合同终止有过错的一方应赔偿另一方因合同终止而受到的损失。对合同终止双方均无过错的，则各自承担所受到的损失。</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十七、法律适用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1、本合同及附件的订立、效力、解释、履行、争议的解决等适用本合同签订时有效的中华人民共和国法律、法规的有关规定。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2、在本合同履行期间，因中国法律、法规、政策的变化致使本合同的部分条款相冲突、无效或失去可强制执行效力时，双方同意将密切合作，尽快修改本合同中相冲突或无效或失去强制执行效力的有关条款。</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十八、权利的保留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十九、争议的解决</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1、合同双方应通过友好协商解决因解释﹑执行本合同所发生的和本合同有关的一切争议。如果经协商不能达成协议，则双方同意：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（1）在甲方所在地有管辖权的人民法院提起诉讼。</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（2）由贸易仲裁委员会根据现行有效的仲裁程序进行仲裁。仲裁裁决为最终裁决对双方均具有约束力。仲裁费除仲裁机关另有裁决外的应由败诉方承担。</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本项目选择的具体解决方式见</w:t>
      </w:r>
      <w:r>
        <w:rPr>
          <w:rFonts w:ascii="黑体" w:eastAsia="黑体" w:hAnsi="黑体" w:cs="Times New Roman" w:hint="eastAsia"/>
          <w:b/>
          <w:bCs/>
          <w:szCs w:val="20"/>
          <w:highlight w:val="none"/>
        </w:rPr>
        <w:t>合同条款专用部分。</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w:t>
      </w:r>
      <w:r>
        <w:rPr>
          <w:rFonts w:ascii="宋体" w:eastAsia="宋体" w:hAnsi="宋体" w:cs="Times New Roman"/>
          <w:szCs w:val="21"/>
          <w:highlight w:val="none"/>
        </w:rPr>
        <w:t>合同</w:t>
      </w:r>
      <w:r>
        <w:rPr>
          <w:rFonts w:ascii="宋体" w:eastAsia="宋体" w:hAnsi="宋体" w:cs="Times New Roman" w:hint="eastAsia"/>
          <w:szCs w:val="21"/>
          <w:highlight w:val="none"/>
        </w:rPr>
        <w:t>甲、乙双方一致认为，本</w:t>
      </w:r>
      <w:r>
        <w:rPr>
          <w:rFonts w:ascii="宋体" w:eastAsia="宋体" w:hAnsi="宋体" w:cs="Times New Roman"/>
          <w:szCs w:val="21"/>
          <w:highlight w:val="none"/>
        </w:rPr>
        <w:t>合同</w:t>
      </w:r>
      <w:r>
        <w:rPr>
          <w:rFonts w:ascii="宋体" w:eastAsia="宋体" w:hAnsi="宋体" w:cs="Times New Roman" w:hint="eastAsia"/>
          <w:szCs w:val="21"/>
          <w:highlight w:val="none"/>
        </w:rPr>
        <w:t>仅</w:t>
      </w:r>
      <w:r>
        <w:rPr>
          <w:rFonts w:ascii="宋体" w:eastAsia="宋体" w:hAnsi="宋体" w:cs="Times New Roman"/>
          <w:szCs w:val="21"/>
          <w:highlight w:val="none"/>
        </w:rPr>
        <w:t>属于</w:t>
      </w:r>
      <w:r>
        <w:rPr>
          <w:rFonts w:ascii="宋体" w:eastAsia="宋体" w:hAnsi="宋体" w:cs="Times New Roman" w:hint="eastAsia"/>
          <w:szCs w:val="21"/>
          <w:highlight w:val="none"/>
        </w:rPr>
        <w:t>甲、乙双方</w:t>
      </w:r>
      <w:r>
        <w:rPr>
          <w:rFonts w:ascii="宋体" w:eastAsia="宋体" w:hAnsi="宋体" w:cs="Times New Roman"/>
          <w:szCs w:val="21"/>
          <w:highlight w:val="none"/>
        </w:rPr>
        <w:t>之间的</w:t>
      </w:r>
      <w:r>
        <w:rPr>
          <w:rFonts w:ascii="宋体" w:eastAsia="宋体" w:hAnsi="宋体" w:cs="Times New Roman" w:hint="eastAsia"/>
          <w:szCs w:val="21"/>
          <w:highlight w:val="none"/>
        </w:rPr>
        <w:t>协议，任何</w:t>
      </w:r>
      <w:r>
        <w:rPr>
          <w:rFonts w:ascii="宋体" w:eastAsia="宋体" w:hAnsi="宋体" w:cs="Times New Roman"/>
          <w:szCs w:val="21"/>
          <w:highlight w:val="none"/>
        </w:rPr>
        <w:t>争议</w:t>
      </w:r>
      <w:r>
        <w:rPr>
          <w:rFonts w:ascii="宋体" w:eastAsia="宋体" w:hAnsi="宋体" w:cs="Times New Roman" w:hint="eastAsia"/>
          <w:szCs w:val="21"/>
          <w:highlight w:val="none"/>
        </w:rPr>
        <w:t>均只</w:t>
      </w:r>
      <w:r>
        <w:rPr>
          <w:rFonts w:ascii="宋体" w:eastAsia="宋体" w:hAnsi="宋体" w:cs="Times New Roman"/>
          <w:szCs w:val="21"/>
          <w:highlight w:val="none"/>
        </w:rPr>
        <w:t>应当</w:t>
      </w:r>
      <w:r>
        <w:rPr>
          <w:rFonts w:ascii="宋体" w:eastAsia="宋体" w:hAnsi="宋体" w:cs="Times New Roman" w:hint="eastAsia"/>
          <w:szCs w:val="21"/>
          <w:highlight w:val="none"/>
        </w:rPr>
        <w:t>按照本合同</w:t>
      </w:r>
      <w:r>
        <w:rPr>
          <w:rFonts w:ascii="宋体" w:eastAsia="宋体" w:hAnsi="宋体" w:cs="Times New Roman"/>
          <w:szCs w:val="21"/>
          <w:highlight w:val="none"/>
        </w:rPr>
        <w:t>的约定方式处理，</w:t>
      </w:r>
      <w:r>
        <w:rPr>
          <w:rFonts w:ascii="宋体" w:eastAsia="宋体" w:hAnsi="宋体" w:cs="Times New Roman" w:hint="eastAsia"/>
          <w:szCs w:val="21"/>
          <w:highlight w:val="none"/>
        </w:rPr>
        <w:t>任何情形下采购中心均</w:t>
      </w:r>
      <w:r>
        <w:rPr>
          <w:rFonts w:ascii="宋体" w:eastAsia="宋体" w:hAnsi="宋体" w:cs="Times New Roman"/>
          <w:szCs w:val="21"/>
          <w:highlight w:val="none"/>
        </w:rPr>
        <w:t>不应当成为该等争议的当事人，无论该等诉讼均不得</w:t>
      </w:r>
      <w:r>
        <w:rPr>
          <w:rFonts w:ascii="宋体" w:eastAsia="宋体" w:hAnsi="宋体" w:cs="Times New Roman" w:hint="eastAsia"/>
          <w:szCs w:val="21"/>
          <w:highlight w:val="none"/>
        </w:rPr>
        <w:t>针</w:t>
      </w:r>
      <w:r>
        <w:rPr>
          <w:rFonts w:ascii="宋体" w:eastAsia="宋体" w:hAnsi="宋体" w:cs="Times New Roman"/>
          <w:szCs w:val="21"/>
          <w:highlight w:val="none"/>
        </w:rPr>
        <w:t>对</w:t>
      </w:r>
      <w:r>
        <w:rPr>
          <w:rFonts w:ascii="宋体" w:eastAsia="宋体" w:hAnsi="宋体" w:cs="Times New Roman" w:hint="eastAsia"/>
          <w:szCs w:val="21"/>
          <w:highlight w:val="none"/>
        </w:rPr>
        <w:t>采购中心</w:t>
      </w:r>
      <w:r>
        <w:rPr>
          <w:rFonts w:ascii="宋体" w:eastAsia="宋体" w:hAnsi="宋体" w:cs="Times New Roman"/>
          <w:szCs w:val="21"/>
          <w:highlight w:val="none"/>
        </w:rPr>
        <w:t>提起。</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3、在争议解决期间，除了诉讼进行过程中正在解决的部分问题外，合同其余部分应继续履行。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二十、合同的补充、修改和变更</w:t>
      </w:r>
    </w:p>
    <w:p>
      <w:pPr>
        <w:adjustRightInd w:val="0"/>
        <w:snapToGrid w:val="0"/>
        <w:spacing w:line="360" w:lineRule="auto"/>
        <w:ind w:firstLine="420" w:firstLineChars="200"/>
        <w:rPr>
          <w:rFonts w:ascii="宋体" w:eastAsia="宋体" w:hAnsi="宋体" w:cs="Times New Roman"/>
          <w:b/>
          <w:bCs/>
          <w:szCs w:val="21"/>
          <w:highlight w:val="none"/>
        </w:rPr>
      </w:pPr>
      <w:r>
        <w:rPr>
          <w:rFonts w:ascii="宋体" w:eastAsia="宋体" w:hAnsi="宋体" w:cs="Times New Roman" w:hint="eastAsia"/>
          <w:szCs w:val="21"/>
          <w:highlight w:val="none"/>
        </w:rPr>
        <w:t>在不背离</w:t>
      </w:r>
      <w:r>
        <w:rPr>
          <w:rFonts w:ascii="Calibri" w:eastAsia="宋体" w:hAnsi="Calibri" w:cs="Times New Roman" w:hint="eastAsia"/>
          <w:szCs w:val="22"/>
          <w:highlight w:val="none"/>
        </w:rPr>
        <w:t>招标文件、投标文件及评审过程中的有关澄清、说明或者补正文件的实质性内容的前提下，</w:t>
      </w:r>
      <w:r>
        <w:rPr>
          <w:rFonts w:ascii="宋体" w:eastAsia="宋体" w:hAnsi="宋体" w:cs="Times New Roman" w:hint="eastAsia"/>
          <w:szCs w:val="21"/>
          <w:highlight w:val="none"/>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2、甲方收到乙方的上述回应后，应在3日内以书面方式通知乙方是否同意和接受乙方的上述回应。如果甲方接受乙方的上述回应，则双方另行对此修改签署予以确认，乙方则按修改后的约定履行本合同。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4、如乙方提出项目的部分修改建议，乙方应同时详细阐明该变更对合同价格、项目交付日期、项目技术参数的影响和变化以及对合同条款的影响等。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6、所有的修改应在双方签署书面的修改备忘录时生效。修改备忘录将变更或取代有关的技术文件中或先前的任何修改备忘录中所有不一致的条款。</w:t>
      </w:r>
    </w:p>
    <w:p>
      <w:pPr>
        <w:adjustRightInd w:val="0"/>
        <w:snapToGrid w:val="0"/>
        <w:spacing w:line="360" w:lineRule="auto"/>
        <w:ind w:left="420"/>
        <w:rPr>
          <w:rFonts w:ascii="宋体" w:eastAsia="宋体" w:hAnsi="宋体" w:cs="Times New Roman"/>
          <w:szCs w:val="21"/>
          <w:highlight w:val="none"/>
        </w:rPr>
      </w:pPr>
      <w:r>
        <w:rPr>
          <w:rFonts w:ascii="宋体" w:eastAsia="宋体" w:hAnsi="宋体" w:cs="Times New Roman" w:hint="eastAsia"/>
          <w:szCs w:val="21"/>
          <w:highlight w:val="none"/>
        </w:rPr>
        <w:t>7、任何对合同条件的变更或修改均须双方签订书面的修改书。</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8、招投标文件及其全部条款、双方签订的补充协议以及修改或变更的条款与本合同具有同等法律效力。补充、修改或变更的协议的签署及生效方式与本合同的签署及生效方式相同。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二十一、合同的生效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本合同经双方法定代表人（负责人）或授权代表签字并加盖单位公章后生效。</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二十二、其它约定事项</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1、本合同中的附件均为本合同不可分割的部分，与本合同具有相同的法律效力。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3、本合同正本一式两份，甲、乙双方各执一份，每份正本具有同等法律效力，副本报财政部备案。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4、本合同涉及的招标文件和投标文件，正本由中国气象局政府采购中心保存。</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p>
    <w:p>
      <w:pPr>
        <w:rPr>
          <w:highlight w:val="none"/>
        </w:rPr>
      </w:pPr>
    </w:p>
    <w:p w:rsidR="00A77B3E"/>
    <w:p>
      <w:pPr>
        <w:numPr>
          <w:ilvl w:val="0"/>
          <w:numId w:val="5"/>
        </w:numPr>
        <w:spacing w:line="360" w:lineRule="auto"/>
        <w:ind w:firstLine="3066" w:firstLineChars="1460"/>
        <w:jc w:val="left"/>
        <w:rPr>
          <w:rFonts w:ascii="Times New Roman" w:eastAsia="宋体" w:hAnsi="Times New Roman" w:cs="Times New Roman" w:hint="eastAsia"/>
          <w:b/>
          <w:bCs/>
          <w:szCs w:val="21"/>
          <w:highlight w:val="none"/>
        </w:rPr>
      </w:pPr>
      <w:bookmarkEnd w:id="61"/>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14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D47F348"/>
    <w:multiLevelType w:val="multilevel"/>
    <w:tmpl w:val="3D47F348"/>
    <w:lvl w:ilvl="0">
      <w:start w:val="1"/>
      <w:numFmt w:val="decimal"/>
      <w:lvlText w:val="%1"/>
      <w:lvlJc w:val="left"/>
      <w:pPr>
        <w:ind w:left="440" w:hanging="440"/>
      </w:pPr>
      <w:rPr>
        <w:rFonts w:ascii="Times New Roman" w:hAnsi="Times New Roman" w:cs="Times New Roman" w:hint="default"/>
      </w:rPr>
    </w:lvl>
    <w:lvl w:ilvl="1">
      <w:start w:val="1"/>
      <w:numFmt w:val="lowerLetter"/>
      <w:lvlText w:val="%2)"/>
      <w:lvlJc w:val="left"/>
      <w:pPr>
        <w:ind w:left="880" w:hanging="440"/>
      </w:pPr>
      <w:rPr>
        <w:rFonts w:ascii="Times New Roman" w:hAnsi="Times New Roman" w:cs="Times New Roman" w:hint="default"/>
      </w:rPr>
    </w:lvl>
    <w:lvl w:ilvl="2">
      <w:start w:val="1"/>
      <w:numFmt w:val="lowerRoman"/>
      <w:lvlText w:val="%3."/>
      <w:lvlJc w:val="right"/>
      <w:pPr>
        <w:ind w:left="1320" w:hanging="440"/>
      </w:pPr>
      <w:rPr>
        <w:rFonts w:ascii="Times New Roman" w:hAnsi="Times New Roman" w:cs="Times New Roman" w:hint="default"/>
      </w:rPr>
    </w:lvl>
    <w:lvl w:ilvl="3">
      <w:start w:val="1"/>
      <w:numFmt w:val="decimal"/>
      <w:lvlText w:val="%4."/>
      <w:lvlJc w:val="left"/>
      <w:pPr>
        <w:ind w:left="1760" w:hanging="440"/>
      </w:pPr>
      <w:rPr>
        <w:rFonts w:ascii="Times New Roman" w:hAnsi="Times New Roman" w:cs="Times New Roman" w:hint="default"/>
      </w:rPr>
    </w:lvl>
    <w:lvl w:ilvl="4">
      <w:start w:val="1"/>
      <w:numFmt w:val="lowerLetter"/>
      <w:lvlText w:val="%5)"/>
      <w:lvlJc w:val="left"/>
      <w:pPr>
        <w:ind w:left="2200" w:hanging="440"/>
      </w:pPr>
      <w:rPr>
        <w:rFonts w:ascii="Times New Roman" w:hAnsi="Times New Roman" w:cs="Times New Roman" w:hint="default"/>
      </w:rPr>
    </w:lvl>
    <w:lvl w:ilvl="5">
      <w:start w:val="1"/>
      <w:numFmt w:val="lowerRoman"/>
      <w:lvlText w:val="%6."/>
      <w:lvlJc w:val="right"/>
      <w:pPr>
        <w:ind w:left="2640" w:hanging="440"/>
      </w:pPr>
      <w:rPr>
        <w:rFonts w:ascii="Times New Roman" w:hAnsi="Times New Roman" w:cs="Times New Roman" w:hint="default"/>
      </w:rPr>
    </w:lvl>
    <w:lvl w:ilvl="6">
      <w:start w:val="1"/>
      <w:numFmt w:val="decimal"/>
      <w:lvlText w:val="%7."/>
      <w:lvlJc w:val="left"/>
      <w:pPr>
        <w:ind w:left="3080" w:hanging="440"/>
      </w:pPr>
      <w:rPr>
        <w:rFonts w:ascii="Times New Roman" w:hAnsi="Times New Roman" w:cs="Times New Roman" w:hint="default"/>
      </w:rPr>
    </w:lvl>
    <w:lvl w:ilvl="7">
      <w:start w:val="1"/>
      <w:numFmt w:val="lowerLetter"/>
      <w:lvlText w:val="%8)"/>
      <w:lvlJc w:val="left"/>
      <w:pPr>
        <w:ind w:left="3520" w:hanging="440"/>
      </w:pPr>
      <w:rPr>
        <w:rFonts w:ascii="Times New Roman" w:hAnsi="Times New Roman" w:cs="Times New Roman" w:hint="default"/>
      </w:rPr>
    </w:lvl>
    <w:lvl w:ilvl="8">
      <w:start w:val="1"/>
      <w:numFmt w:val="lowerRoman"/>
      <w:lvlText w:val="%9."/>
      <w:lvlJc w:val="right"/>
      <w:pPr>
        <w:ind w:left="3960" w:hanging="440"/>
      </w:pPr>
      <w:rPr>
        <w:rFonts w:ascii="Times New Roman" w:hAnsi="Times New Roman" w:cs="Times New Roman" w:hint="default"/>
      </w:rPr>
    </w:lvl>
  </w:abstractNum>
  <w:num w:numId="1">
    <w:abstractNumId w:val="3"/>
  </w:num>
  <w:num w:numId="2">
    <w:abstractNumId w:val="2"/>
  </w:num>
  <w:num w:numId="3">
    <w:abstractNumId w:val="4"/>
  </w:num>
  <w:num w:numId="4">
    <w:abstractNumId w:val="7"/>
  </w:num>
  <w:num w:numId="5">
    <w:abstractNumId w:val="1"/>
  </w:num>
  <w:num w:numId="6">
    <w:abstractNumId w:val="0"/>
  </w:num>
  <w:num w:numId="7">
    <w:abstractNumId w:val="5"/>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24926</Words>
  <Characters>26292</Characters>
  <Application>Microsoft Office Word</Application>
  <DocSecurity>0</DocSecurity>
  <Lines>216</Lines>
  <Paragraphs>61</Paragraphs>
  <ScaleCrop>false</ScaleCrop>
  <Company>中国气象局</Company>
  <LinksUpToDate>false</LinksUpToDate>
  <CharactersWithSpaces>26403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2026-03-17T07:20:53Z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