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2.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4DEAE766">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w:t>
      </w:r>
      <w:r>
        <w:rPr>
          <w:rFonts w:ascii="宋体" w:eastAsia="宋体" w:hAnsi="宋体" w:cs="微软雅黑" w:hint="eastAsia"/>
          <w:b/>
          <w:kern w:val="0"/>
          <w:szCs w:val="21"/>
          <w:lang w:val="en-US" w:eastAsia="zh-CN"/>
        </w:rPr>
        <w:t>6</w:t>
      </w:r>
      <w:r>
        <w:rPr>
          <w:rFonts w:ascii="宋体" w:eastAsia="宋体" w:hAnsi="宋体" w:cs="微软雅黑" w:hint="eastAsia"/>
          <w:b/>
          <w:kern w:val="0"/>
          <w:szCs w:val="21"/>
        </w:rPr>
        <w:t>0</w:t>
      </w:r>
      <w:r>
        <w:rPr>
          <w:rFonts w:ascii="宋体" w:eastAsia="宋体" w:hAnsi="宋体" w:cs="微软雅黑" w:hint="eastAsia"/>
          <w:b/>
          <w:kern w:val="0"/>
          <w:szCs w:val="21"/>
          <w:lang w:val="en-US" w:eastAsia="zh-CN"/>
        </w:rPr>
        <w:t>201</w:t>
      </w:r>
      <w:bookmarkStart w:id="0" w:name="_GoBack"/>
      <w:bookmarkEnd w:id="0"/>
    </w:p>
    <w:p w14:paraId="3F7F61A1">
      <w:pPr>
        <w:spacing w:line="360" w:lineRule="auto"/>
        <w:jc w:val="center"/>
        <w:rPr>
          <w:rFonts w:ascii="Times New Roman" w:eastAsia="宋体" w:hAnsi="Times New Roman" w:cs="Times New Roman"/>
          <w:b/>
          <w:sz w:val="28"/>
          <w:szCs w:val="28"/>
        </w:rPr>
      </w:pPr>
    </w:p>
    <w:p w14:paraId="12DF2CF4">
      <w:pPr>
        <w:spacing w:line="360" w:lineRule="auto"/>
        <w:jc w:val="center"/>
        <w:rPr>
          <w:rFonts w:ascii="Times New Roman" w:eastAsia="宋体" w:hAnsi="Times New Roman" w:cs="Times New Roman"/>
          <w:b/>
          <w:sz w:val="28"/>
          <w:szCs w:val="28"/>
        </w:rPr>
      </w:pPr>
    </w:p>
    <w:p w14:paraId="7406717E">
      <w:pPr>
        <w:adjustRightInd w:val="0"/>
        <w:snapToGrid w:val="0"/>
        <w:spacing w:line="360" w:lineRule="auto"/>
        <w:ind w:firstLine="260" w:firstLineChars="50"/>
        <w:jc w:val="center"/>
        <w:rPr>
          <w:rFonts w:ascii="仿宋_GB2312" w:eastAsia="仿宋_GB2312" w:hAnsi="华文仿宋" w:cs="Times New Roman"/>
          <w:b/>
          <w:bCs/>
          <w:w w:val="150"/>
          <w:sz w:val="52"/>
          <w:szCs w:val="52"/>
        </w:rPr>
      </w:pPr>
      <w:r>
        <w:rPr>
          <w:rFonts w:ascii="仿宋_GB2312" w:eastAsia="仿宋_GB2312" w:hAnsi="华文仿宋" w:cs="Times New Roman" w:hint="eastAsia"/>
          <w:b/>
          <w:bCs/>
          <w:w w:val="150"/>
          <w:sz w:val="52"/>
          <w:szCs w:val="52"/>
        </w:rPr>
        <w:t>单一来源文件</w:t>
      </w:r>
    </w:p>
    <w:p w14:paraId="29100BCE">
      <w:pPr>
        <w:spacing w:line="360" w:lineRule="auto"/>
        <w:jc w:val="center"/>
        <w:rPr>
          <w:rFonts w:ascii="宋体" w:eastAsia="宋体" w:hAnsi="宋体" w:cs="Times New Roman"/>
          <w:b/>
          <w:sz w:val="48"/>
          <w:szCs w:val="20"/>
        </w:rPr>
      </w:pPr>
      <w:r>
        <w:rPr>
          <w:rFonts w:ascii="宋体" w:eastAsia="宋体" w:hAnsi="宋体" w:cs="Times New Roman" w:hint="eastAsia"/>
          <w:b/>
          <w:sz w:val="48"/>
          <w:szCs w:val="20"/>
        </w:rPr>
        <w:t>（范本，货物类适用）</w:t>
      </w:r>
    </w:p>
    <w:p w14:paraId="08CE48C4">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1" w:name="封面_projectName"/>
      <w:r>
        <w:rPr>
          <w:rFonts w:ascii="宋体" w:eastAsia="宋体" w:hAnsi="宋体" w:cs="微软雅黑" w:hint="eastAsia"/>
          <w:b/>
          <w:kern w:val="0"/>
          <w:sz w:val="32"/>
          <w:szCs w:val="32"/>
        </w:rPr>
        <w:t>内蒙古自治区2025年森火工程甚低频低频VLFLF全闪定位仪采购项目</w:t>
      </w:r>
      <w:bookmarkEnd w:id="1"/>
    </w:p>
    <w:p w14:paraId="61E4ED62">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2" w:name="封面_projectNo_1"/>
      <w:r>
        <w:rPr>
          <w:rFonts w:ascii="宋体" w:eastAsia="宋体" w:hAnsi="宋体" w:cs="微软雅黑" w:hint="eastAsia"/>
          <w:b/>
          <w:kern w:val="0"/>
          <w:sz w:val="32"/>
          <w:szCs w:val="32"/>
        </w:rPr>
        <w:t>ZQCD-26057</w:t>
      </w:r>
      <w:bookmarkEnd w:id="2"/>
    </w:p>
    <w:p w14:paraId="213D43F3">
      <w:pPr>
        <w:adjustRightInd w:val="0"/>
        <w:snapToGrid w:val="0"/>
        <w:spacing w:line="360" w:lineRule="auto"/>
        <w:ind w:firstLine="470" w:firstLineChars="147"/>
        <w:jc w:val="left"/>
        <w:rPr>
          <w:rFonts w:ascii="仿宋_GB2312" w:eastAsia="仿宋_GB2312" w:hAnsi="宋体" w:cs="Times New Roman"/>
          <w:b/>
          <w:sz w:val="32"/>
          <w:szCs w:val="32"/>
        </w:rPr>
      </w:pPr>
    </w:p>
    <w:p w14:paraId="26126475">
      <w:pPr>
        <w:adjustRightInd w:val="0"/>
        <w:snapToGrid w:val="0"/>
        <w:spacing w:line="360" w:lineRule="auto"/>
        <w:ind w:firstLine="470" w:firstLineChars="147"/>
        <w:jc w:val="left"/>
        <w:rPr>
          <w:rFonts w:ascii="仿宋_GB2312" w:eastAsia="仿宋_GB2312" w:hAnsi="宋体" w:cs="Times New Roman"/>
          <w:b/>
          <w:sz w:val="32"/>
          <w:szCs w:val="32"/>
        </w:rPr>
      </w:pPr>
    </w:p>
    <w:p w14:paraId="045BF314">
      <w:pPr>
        <w:adjustRightInd w:val="0"/>
        <w:snapToGrid w:val="0"/>
        <w:spacing w:line="360" w:lineRule="auto"/>
        <w:ind w:firstLine="470" w:firstLineChars="147"/>
        <w:jc w:val="left"/>
        <w:rPr>
          <w:rFonts w:ascii="仿宋_GB2312" w:eastAsia="仿宋_GB2312" w:hAnsi="宋体" w:cs="Times New Roman"/>
          <w:b/>
          <w:sz w:val="32"/>
          <w:szCs w:val="32"/>
        </w:rPr>
      </w:pPr>
    </w:p>
    <w:p w14:paraId="38CAC351">
      <w:pPr>
        <w:adjustRightInd w:val="0"/>
        <w:snapToGrid w:val="0"/>
        <w:spacing w:line="360" w:lineRule="auto"/>
        <w:ind w:firstLine="470" w:firstLineChars="147"/>
        <w:jc w:val="left"/>
        <w:rPr>
          <w:rFonts w:ascii="仿宋_GB2312" w:eastAsia="仿宋_GB2312" w:hAnsi="宋体" w:cs="Times New Roman"/>
          <w:b/>
          <w:sz w:val="32"/>
          <w:szCs w:val="32"/>
        </w:rPr>
      </w:pPr>
    </w:p>
    <w:p w14:paraId="7E6F08D7">
      <w:pPr>
        <w:adjustRightInd w:val="0"/>
        <w:snapToGrid w:val="0"/>
        <w:spacing w:line="360" w:lineRule="auto"/>
        <w:ind w:firstLine="470" w:firstLineChars="147"/>
        <w:jc w:val="left"/>
        <w:rPr>
          <w:rFonts w:ascii="仿宋_GB2312" w:eastAsia="仿宋_GB2312" w:hAnsi="宋体" w:cs="Times New Roman"/>
          <w:b/>
          <w:sz w:val="32"/>
          <w:szCs w:val="32"/>
        </w:rPr>
      </w:pPr>
    </w:p>
    <w:p w14:paraId="4FC3B4D2">
      <w:pPr>
        <w:adjustRightInd w:val="0"/>
        <w:snapToGrid w:val="0"/>
        <w:spacing w:line="360" w:lineRule="auto"/>
        <w:ind w:firstLine="470" w:firstLineChars="147"/>
        <w:jc w:val="left"/>
        <w:rPr>
          <w:rFonts w:ascii="仿宋_GB2312" w:eastAsia="仿宋_GB2312" w:hAnsi="宋体" w:cs="Times New Roman"/>
          <w:b/>
          <w:sz w:val="32"/>
          <w:szCs w:val="32"/>
        </w:rPr>
      </w:pPr>
    </w:p>
    <w:p w14:paraId="4E745AAD">
      <w:pPr>
        <w:adjustRightInd w:val="0"/>
        <w:snapToGrid w:val="0"/>
        <w:spacing w:line="360" w:lineRule="auto"/>
        <w:ind w:firstLine="470" w:firstLineChars="147"/>
        <w:jc w:val="left"/>
        <w:rPr>
          <w:rFonts w:ascii="仿宋_GB2312" w:eastAsia="仿宋_GB2312" w:hAnsi="Times New Roman" w:cs="Times New Roman"/>
          <w:b/>
          <w:sz w:val="32"/>
          <w:szCs w:val="32"/>
        </w:rPr>
      </w:pPr>
    </w:p>
    <w:p w14:paraId="715B4038">
      <w:pPr>
        <w:adjustRightInd w:val="0"/>
        <w:snapToGrid w:val="0"/>
        <w:spacing w:line="360" w:lineRule="auto"/>
        <w:jc w:val="left"/>
        <w:rPr>
          <w:rFonts w:ascii="仿宋_GB2312" w:eastAsia="仿宋_GB2312" w:hAnsi="Times New Roman" w:cs="Times New Roman"/>
          <w:b/>
          <w:szCs w:val="21"/>
        </w:rPr>
      </w:pPr>
    </w:p>
    <w:p w14:paraId="6D3820AC">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461987D7">
      <w:pPr>
        <w:adjustRightInd w:val="0"/>
        <w:snapToGrid w:val="0"/>
        <w:spacing w:line="360" w:lineRule="auto"/>
        <w:ind w:firstLine="529" w:firstLineChars="147"/>
        <w:jc w:val="center"/>
        <w:rPr>
          <w:rFonts w:ascii="仿宋" w:eastAsia="仿宋" w:hAnsi="仿宋" w:cs="微软雅黑"/>
          <w:b/>
          <w:kern w:val="0"/>
          <w:sz w:val="36"/>
          <w:szCs w:val="36"/>
        </w:rPr>
      </w:pPr>
      <w:bookmarkStart w:id="3" w:name="封面_createTime_ym"/>
      <w:r>
        <w:rPr>
          <w:rFonts w:ascii="仿宋" w:eastAsia="仿宋" w:hAnsi="仿宋" w:cs="微软雅黑" w:hint="eastAsia"/>
          <w:b/>
          <w:kern w:val="0"/>
          <w:sz w:val="36"/>
          <w:szCs w:val="36"/>
        </w:rPr>
        <w:t>2026年04月</w:t>
      </w:r>
      <w:bookmarkEnd w:id="3"/>
    </w:p>
    <w:p w14:paraId="47D4D151">
      <w:pPr>
        <w:spacing w:line="360" w:lineRule="auto"/>
        <w:jc w:val="center"/>
        <w:rPr>
          <w:rFonts w:ascii="Times New Roman" w:eastAsia="宋体" w:hAnsi="Times New Roman" w:cs="Times New Roman"/>
          <w:sz w:val="24"/>
          <w:szCs w:val="24"/>
        </w:rPr>
      </w:pPr>
    </w:p>
    <w:p w14:paraId="3A29185F">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0261ECE8">
      <w:pPr>
        <w:spacing w:line="360" w:lineRule="auto"/>
        <w:jc w:val="center"/>
        <w:rPr>
          <w:rFonts w:ascii="Times New Roman" w:eastAsia="宋体" w:hAnsi="Times New Roman" w:cs="Times New Roman"/>
          <w:sz w:val="24"/>
          <w:szCs w:val="24"/>
        </w:rPr>
      </w:pPr>
    </w:p>
    <w:p w14:paraId="22C594C9">
      <w:pPr>
        <w:spacing w:line="360" w:lineRule="auto"/>
        <w:jc w:val="center"/>
        <w:rPr>
          <w:rFonts w:ascii="Times New Roman" w:eastAsia="宋体" w:hAnsi="Times New Roman" w:cs="Times New Roman"/>
          <w:sz w:val="24"/>
          <w:szCs w:val="24"/>
        </w:rPr>
      </w:pPr>
    </w:p>
    <w:p w14:paraId="042CF0D8">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006A89EB">
      <w:pPr>
        <w:spacing w:line="360" w:lineRule="auto"/>
        <w:jc w:val="center"/>
        <w:rPr>
          <w:rFonts w:ascii="Times New Roman" w:eastAsia="宋体" w:hAnsi="Times New Roman" w:cs="Times New Roman"/>
          <w:b/>
          <w:sz w:val="28"/>
          <w:szCs w:val="28"/>
        </w:rPr>
      </w:pPr>
    </w:p>
    <w:p w14:paraId="71BDF015">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64242D1F">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5122D429">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1648477C">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5EE2F021">
      <w:pPr>
        <w:spacing w:line="360" w:lineRule="auto"/>
        <w:jc w:val="center"/>
        <w:rPr>
          <w:rFonts w:ascii="宋体" w:eastAsia="宋体" w:hAnsi="宋体" w:cs="Times New Roman"/>
          <w:b/>
          <w:sz w:val="28"/>
          <w:szCs w:val="28"/>
        </w:rPr>
      </w:pPr>
    </w:p>
    <w:p w14:paraId="47129306">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183ACDF8">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采购邀请书</w:t>
      </w:r>
    </w:p>
    <w:p w14:paraId="6D6BA6D6">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68251B12">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采购需求</w:t>
      </w:r>
    </w:p>
    <w:p w14:paraId="7016BBB2">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响应被拒绝条款专用部分</w:t>
      </w:r>
    </w:p>
    <w:p w14:paraId="1E7A95C3">
      <w:pPr>
        <w:spacing w:line="360" w:lineRule="auto"/>
        <w:jc w:val="center"/>
        <w:rPr>
          <w:rFonts w:ascii="宋体" w:eastAsia="宋体" w:hAnsi="宋体" w:cs="Times New Roman"/>
          <w:b/>
          <w:sz w:val="28"/>
          <w:szCs w:val="28"/>
        </w:rPr>
      </w:pPr>
    </w:p>
    <w:p w14:paraId="1D11F0EE">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279D0787">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采购合同</w:t>
      </w:r>
    </w:p>
    <w:p w14:paraId="408164EA">
      <w:pPr>
        <w:spacing w:line="360" w:lineRule="auto"/>
        <w:ind w:left="2520" w:firstLine="420"/>
        <w:jc w:val="left"/>
        <w:rPr>
          <w:rFonts w:ascii="Times New Roman" w:eastAsia="宋体" w:hAnsi="Times New Roman" w:cs="Times New Roman"/>
          <w:b/>
          <w:szCs w:val="21"/>
        </w:rPr>
      </w:pPr>
    </w:p>
    <w:p w14:paraId="0BC3C173">
      <w:pPr>
        <w:spacing w:line="360" w:lineRule="auto"/>
        <w:ind w:left="2520" w:firstLine="420"/>
        <w:jc w:val="left"/>
        <w:rPr>
          <w:rFonts w:ascii="Times New Roman" w:eastAsia="宋体" w:hAnsi="Times New Roman" w:cs="Times New Roman"/>
          <w:b/>
          <w:szCs w:val="21"/>
        </w:rPr>
      </w:pPr>
    </w:p>
    <w:p w14:paraId="0EF2C442">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5846DD2E">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10BA85E5">
      <w:pPr>
        <w:spacing w:line="360" w:lineRule="auto"/>
        <w:rPr>
          <w:rFonts w:ascii="Times New Roman" w:eastAsia="宋体" w:hAnsi="Times New Roman" w:cs="Times New Roman"/>
          <w:b/>
          <w:bCs/>
          <w:sz w:val="28"/>
          <w:szCs w:val="28"/>
        </w:rPr>
      </w:pPr>
    </w:p>
    <w:p w14:paraId="262CD749">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1964043D">
      <w:pPr>
        <w:spacing w:line="360" w:lineRule="auto"/>
        <w:jc w:val="center"/>
        <w:rPr>
          <w:rFonts w:ascii="Times New Roman" w:eastAsia="宋体" w:hAnsi="Times New Roman" w:cs="Times New Roman"/>
          <w:b/>
          <w:bCs/>
          <w:sz w:val="28"/>
          <w:szCs w:val="28"/>
        </w:rPr>
      </w:pPr>
    </w:p>
    <w:p w14:paraId="3152CCCA">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31FB2822">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23DE4EDA">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4ED713AE">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43D45956">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1116592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35622DEA">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本单一来源采购文件（简称采购文件）适用于以单一来源方式采购本文件</w:t>
      </w:r>
      <w:r>
        <w:rPr>
          <w:rFonts w:ascii="宋体" w:eastAsia="宋体" w:hAnsi="宋体" w:cs="Times New Roman" w:hint="eastAsia"/>
          <w:b/>
          <w:bCs/>
          <w:szCs w:val="21"/>
        </w:rPr>
        <w:t>第六章采购需求</w:t>
      </w:r>
      <w:r>
        <w:rPr>
          <w:rFonts w:ascii="宋体" w:eastAsia="宋体" w:hAnsi="宋体" w:cs="Times New Roman" w:hint="eastAsia"/>
          <w:bCs/>
          <w:szCs w:val="21"/>
        </w:rPr>
        <w:t>中所述货物及相关服务。本项目属性确定为货物类采购。</w:t>
      </w:r>
    </w:p>
    <w:p w14:paraId="4710069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10DF6F9F">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6924298F">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1.2.2“采购货物”指本采购文件中</w:t>
      </w:r>
      <w:r>
        <w:rPr>
          <w:rFonts w:ascii="宋体" w:eastAsia="宋体" w:hAnsi="宋体" w:cs="Times New Roman" w:hint="eastAsia"/>
          <w:b/>
          <w:bCs/>
          <w:szCs w:val="21"/>
        </w:rPr>
        <w:t>第六章采购需求</w:t>
      </w:r>
      <w:r>
        <w:rPr>
          <w:rFonts w:ascii="宋体" w:eastAsia="宋体" w:hAnsi="宋体" w:cs="Times New Roman" w:hint="eastAsia"/>
          <w:bCs/>
          <w:szCs w:val="21"/>
        </w:rPr>
        <w:t>所述所有货物（包括不需要二次开发的软件）。</w:t>
      </w:r>
    </w:p>
    <w:p w14:paraId="6D9634AB">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本采购文件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p>
    <w:p w14:paraId="01D15FB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1.2.4“响应人”如无特殊说明，指符合本采购文件规定并参加响应的供应商。</w:t>
      </w:r>
    </w:p>
    <w:p w14:paraId="12941F4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1.2.5本采购文件各部分规定的期间以时、日、月、年计算。期间开始的日，不计算在期间内，而从次日开始计算。期间届满的最后一天是节假日的，以节假日后的第一日为期间届满的日期。</w:t>
      </w:r>
    </w:p>
    <w:p w14:paraId="5D08E2E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1.2.6本采购文件所称的复印件，包括原件经扫描或照相后的打印件、影印件等。复印件应清晰。</w:t>
      </w:r>
    </w:p>
    <w:p w14:paraId="1A66668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1.2.7盖章及签字。</w:t>
      </w:r>
    </w:p>
    <w:p w14:paraId="5F93366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1.2.7.1盖章。在本采购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6360EB6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1.2.7.2签字。本采购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6F2D10E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183B65C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1.3.1遵守《中华人民共和国政府采购法》、《中华人民共和国政府采购法实施条例》等法律法规，并符合《中华人民共和国政府采购法》第二十二条规定的条件，具有本项目生产、制造、供应或实施能力，符合、承认并承诺履行本采购文件各项规定，</w:t>
      </w:r>
      <w:r>
        <w:rPr>
          <w:rFonts w:ascii="宋体" w:eastAsia="宋体" w:hAnsi="宋体" w:cs="Times New Roman" w:hint="eastAsia"/>
          <w:kern w:val="0"/>
          <w:szCs w:val="21"/>
        </w:rPr>
        <w:t>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本采购文件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1A8F5C99">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1.3.2</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1B2AF82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0"/>
        </w:rPr>
        <w:t>1.3.3如响应人</w:t>
      </w:r>
      <w:r>
        <w:rPr>
          <w:rFonts w:ascii="Times New Roman" w:eastAsia="宋体" w:hAnsi="Times New Roman" w:cs="Times New Roman" w:hint="eastAsia"/>
          <w:szCs w:val="20"/>
        </w:rPr>
        <w:t>是</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两个或两个以上供应商组成的联合体，则应提交对联合体各方均有法律约束力的“联合体协议”，并</w:t>
      </w:r>
      <w:r>
        <w:rPr>
          <w:rFonts w:ascii="宋体" w:eastAsia="宋体" w:hAnsi="宋体" w:cs="Times New Roman" w:hint="eastAsia"/>
          <w:szCs w:val="21"/>
        </w:rPr>
        <w:t xml:space="preserve">确定其中一方为全权代表参加响应活动。除此之外，还应符合下列要求： </w:t>
      </w:r>
    </w:p>
    <w:p w14:paraId="2508DC5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687EB67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或其成员通过协议、控股或分支机构或其它方式就供货或服务等与任何独立或非独立的他方构成联合、分属或其它关系、相关责任义务等，均由联合体或其成员与该他方自行协商约定，对采购中心与采购人均不具有任何约束或效力。</w:t>
      </w:r>
    </w:p>
    <w:p w14:paraId="64EDAB5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或其成员未经采购人事先书面同意，不得将其在合同项下的权利或义务全部或部分转让给第三人，有关分包事项或服务委托等须事先取得采购人书面同意并且须遵守相关法律、法规、本次采购的全部相关规定。</w:t>
      </w:r>
    </w:p>
    <w:p w14:paraId="26E4345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1.3.4响应的货物是否必须取得《气象专用技术装备使用许可证》，见</w:t>
      </w:r>
      <w:r>
        <w:rPr>
          <w:rFonts w:ascii="宋体" w:eastAsia="宋体" w:hAnsi="宋体" w:cs="Times New Roman" w:hint="eastAsia"/>
          <w:b/>
          <w:szCs w:val="21"/>
        </w:rPr>
        <w:t>第五章响应人须知专用部分。</w:t>
      </w:r>
      <w:r>
        <w:rPr>
          <w:rFonts w:ascii="宋体" w:eastAsia="宋体" w:hAnsi="宋体" w:cs="Times New Roman" w:hint="eastAsia"/>
          <w:szCs w:val="21"/>
        </w:rPr>
        <w:t>如响应货物必须取得《气象专用技术装备使用许可证》，则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Cs w:val="21"/>
        </w:rPr>
        <w:t>。</w:t>
      </w:r>
    </w:p>
    <w:p w14:paraId="6781E57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1.3.5响应人在响应过程中不得向采购人和采购中心提供、给予任何有价值的物品，一经发现，按照响应无效处理。</w:t>
      </w:r>
    </w:p>
    <w:p w14:paraId="47B462DC">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1.3.6响应人所响应的货物如是国家法律、法规、政策禁止采购人采购的货物，或者响应人所响应的货物使用了国家法律、法规、政策禁止采购人采购的货物作为零件，响应将被拒绝。</w:t>
      </w:r>
    </w:p>
    <w:p w14:paraId="4063C329">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r>
        <w:rPr>
          <w:rFonts w:ascii="Times New Roman" w:eastAsia="宋体" w:hAnsi="Times New Roman" w:cs="Times New Roman" w:hint="eastAsia"/>
          <w:b/>
          <w:bCs/>
          <w:szCs w:val="20"/>
        </w:rPr>
        <w:t>1.4进口产品规定</w:t>
      </w:r>
    </w:p>
    <w:p w14:paraId="0A8B0AA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1.4.1本项目是否允许进口产品响应，见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5.4条有关进口产品响应要求的，响应将被拒绝。</w:t>
      </w:r>
    </w:p>
    <w:p w14:paraId="7B3A0231">
      <w:pPr>
        <w:tabs>
          <w:tab w:val="left" w:pos="8460"/>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1.4.2如响应货物为进口产品，响应人应当具有进口产品制造商授权书，并遵守《财政部关于印发&lt;政府采购进口产品管理办法&gt;的通知》（财库〔2007〕119 号）、财政部办公厅《关于政府采购进口产品管理有关问题的通知》（财办库〔2008〕248 号）的相关规定。</w:t>
      </w:r>
    </w:p>
    <w:p w14:paraId="71FEB64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1.5中小企业</w:t>
      </w:r>
    </w:p>
    <w:p w14:paraId="28218082">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7384DFDF">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1.5.2以联合体形式参加本次采购活动的，如联合体各方均为中小企业，则联合体视同中小企业。</w:t>
      </w:r>
    </w:p>
    <w:p w14:paraId="203E0E96">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1.5.3符合《财政部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75F09AF5">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1.6节能及环保产品</w:t>
      </w:r>
    </w:p>
    <w:p w14:paraId="6E65ED3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w:t>
      </w:r>
    </w:p>
    <w:p w14:paraId="2DE59AC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1.7采购预算</w:t>
      </w:r>
    </w:p>
    <w:p w14:paraId="3351DDB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采购邀请书中所述的采购人已经落实本次采购标的物的采购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291C284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1.8响应费用</w:t>
      </w:r>
    </w:p>
    <w:p w14:paraId="5E3040B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1.8.1响应人应承担所有与准备和参加响应有关的费用。不论结果如何，采购人和采购中心均无义务和责任承担这些费用。</w:t>
      </w:r>
    </w:p>
    <w:p w14:paraId="0D1F65FF">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1.8.2成交供应商是否交纳代理服务费见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5846D3D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2B392B59">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3A40DDF3">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（3）代理服务收费标准：按差额定率累进法计算（50（含）万以下按固定值0.8万，50—100（含）万费率1%，100—200（含）万费率0.8%，200—500（含）万费率0.5% ，500—1000（含）万费率0.2%，1000万以上费率0.05%，最高不超过10万元），再根据项目技术复杂程度、组织项目采购的难易程度上下浮动20%。</w:t>
      </w:r>
    </w:p>
    <w:p w14:paraId="35F05F72">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5AE3F76E">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7CC63BDF">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3855CA3D">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5656FF8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1.9通知</w:t>
      </w:r>
    </w:p>
    <w:p w14:paraId="14905CE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对与本项目有关的通知，采购中心将以书面（包括书面材料、信函、传真、电子邮件、短信等，下同）的形式向响应人发出（通讯地址、邮件地址、传真和手机号码等以响应人的登记为准）。收到通知的响应人应以书面方式立即予以回复确认。</w:t>
      </w:r>
    </w:p>
    <w:p w14:paraId="5ED6062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1.9.2本项目采购文件发出之日起至提交首次响应文件截止日不少于3个工作日。成交结果公告的公告期限为1个工作日。</w:t>
      </w:r>
    </w:p>
    <w:p w14:paraId="461B872E">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二、采购文件</w:t>
      </w:r>
    </w:p>
    <w:p w14:paraId="701E5F6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1.10采购文件的组成</w:t>
      </w:r>
    </w:p>
    <w:p w14:paraId="6F6C266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采购文件由通用部分、专用部分和采购合同构成，具体</w:t>
      </w:r>
      <w:r>
        <w:rPr>
          <w:rFonts w:ascii="宋体" w:eastAsia="宋体" w:hAnsi="宋体" w:cs="Times New Roman"/>
          <w:szCs w:val="21"/>
        </w:rPr>
        <w:t>包括：</w:t>
      </w:r>
    </w:p>
    <w:p w14:paraId="7AC96816">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3176CDB2">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064CB8A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6D9DC1C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7C80417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16A80836">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采购邀请书</w:t>
      </w:r>
    </w:p>
    <w:p w14:paraId="4428B56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5C60EDDE">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采购需求</w:t>
      </w:r>
    </w:p>
    <w:p w14:paraId="2ED7263B">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响应被拒绝条款专用部分</w:t>
      </w:r>
    </w:p>
    <w:p w14:paraId="3ED773C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4B3FEEE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szCs w:val="21"/>
        </w:rPr>
      </w:pPr>
      <w:r>
        <w:rPr>
          <w:rFonts w:ascii="宋体" w:eastAsia="宋体" w:hAnsi="宋体" w:cs="Times New Roman" w:hint="eastAsia"/>
          <w:szCs w:val="21"/>
        </w:rPr>
        <w:t>第八章  采购合同</w:t>
      </w:r>
    </w:p>
    <w:p w14:paraId="13F45A41">
      <w:pPr>
        <w:tabs>
          <w:tab w:val="left" w:pos="709"/>
          <w:tab w:val="left" w:pos="1573"/>
        </w:tabs>
        <w:adjustRightInd w:val="0"/>
        <w:snapToGrid w:val="0"/>
        <w:spacing w:line="360" w:lineRule="auto"/>
        <w:ind w:firstLine="420" w:firstLineChars="200"/>
        <w:jc w:val="left"/>
        <w:outlineLvl w:val="3"/>
        <w:rPr>
          <w:rFonts w:ascii="微软雅黑" w:hAnsi="微软雅黑" w:cs="微软雅黑"/>
        </w:rPr>
      </w:pPr>
      <w:r>
        <w:rPr>
          <w:rFonts w:ascii="宋体" w:eastAsia="宋体" w:hAnsi="宋体" w:cs="Times New Roman" w:hint="eastAsia"/>
          <w:b/>
          <w:bCs/>
          <w:szCs w:val="21"/>
        </w:rPr>
        <w:t>1.11提交首次响应文件截止日前采购文件的澄清和修改</w:t>
      </w:r>
    </w:p>
    <w:p w14:paraId="02C08B0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1.11.1响应人可向采购中心提出对采购文件进行澄清、修改的要求，由采购中心商采购人就相关澄清、修改进行解释，并视情况作出澄清或修改的决定。1.11.2采购中心无论出于何种原因，均可主动对采购文件中的相关事项进行澄清或修改。</w:t>
      </w:r>
    </w:p>
    <w:p w14:paraId="61B8F28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1.11.3对采购文件的任何澄清、修改，由采购中心采</w:t>
      </w:r>
      <w:r>
        <w:rPr>
          <w:rFonts w:ascii="微软雅黑" w:hAnsi="微软雅黑" w:cs="微软雅黑" w:hint="eastAsia"/>
          <w:szCs w:val="21"/>
        </w:rPr>
        <w:t>用补充文件的方式向</w:t>
      </w:r>
      <w:r>
        <w:rPr>
          <w:rFonts w:ascii="宋体" w:eastAsia="宋体" w:hAnsi="宋体" w:cs="Times New Roman" w:hint="eastAsia"/>
          <w:szCs w:val="21"/>
        </w:rPr>
        <w:t>响应人发出。</w:t>
      </w:r>
    </w:p>
    <w:p w14:paraId="08FC5EA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1.11.4采购中心一旦对采购文件作出了澄清、修改或进行其它答复，即刻发生效力，采购中心有关的补充文件，应当作为采购文件的组成部分，对响应人具有约束力，而无论是否已经实际收到该澄清或修改文件。同时，采购中心和响应人的权利及义务将受到新的截止期的约束。</w:t>
      </w:r>
    </w:p>
    <w:p w14:paraId="4C19DBE8">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1A6DFC9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1.12响应文件的语言和计量单位</w:t>
      </w:r>
    </w:p>
    <w:p w14:paraId="0453DE5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1.12.1响应人提交的响应文件（包括技术文件和资料、图纸中的说明）以及响应人与采购中心就有关响应的所有来往函电均应使用中文简体字。</w:t>
      </w:r>
    </w:p>
    <w:p w14:paraId="49ABEC6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协商小组可以要求响应人提供附有公证书的中文翻译文件或者与原版文件签章相一致的中文翻译文件。</w:t>
      </w:r>
    </w:p>
    <w:p w14:paraId="657C143F">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1F87C9A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1.12.3响应文件中所使用的计量单位，除采购文件中有特殊要求外，应采用中华人民共和国法定计量单位。</w:t>
      </w:r>
    </w:p>
    <w:p w14:paraId="0668FA6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1.12.4对不符合上述规定情形的，协商小组有权要求响应人限期提供相应文件或认定该文件无效。</w:t>
      </w:r>
    </w:p>
    <w:p w14:paraId="5ADFDC9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1.13响应文件的组成及要求</w:t>
      </w:r>
    </w:p>
    <w:p w14:paraId="4BEB2E9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文件分为商务部分和技术部分。商务部分指响应人提交的能够证明响应人有资格参加响应的文件。技术部分指响应人提交的能够证明响应人提供的货物及服务符合采购文件规定和成交后有能力履行合同的文件。</w:t>
      </w:r>
    </w:p>
    <w:p w14:paraId="4CEC5ED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1.13.2响应人应提交以下商务文件。其中加*项除特别说明外，若缺失或无效，可在协商时补正。补正后仍不能满足要求的，会导致响应被拒绝。</w:t>
      </w:r>
    </w:p>
    <w:p w14:paraId="70F6A90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49F73F56">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32430FDF">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26D8391D">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38D3461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（5）资格、资信证明文件：</w:t>
      </w:r>
    </w:p>
    <w:p w14:paraId="1E428736">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4663A92B">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6CE68825">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56204F24">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79436C11">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524BA6DC">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5F2D399E">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1"/>
        </w:rPr>
        <w:t>⑦</w:t>
      </w:r>
      <w:r>
        <w:rPr>
          <w:rFonts w:ascii="宋体" w:eastAsia="宋体" w:hAnsi="宋体" w:cs="Times New Roman" w:hint="eastAsia"/>
          <w:bCs/>
          <w:szCs w:val="20"/>
        </w:rPr>
        <w:t>*响应货物的《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（响应货物</w:t>
      </w:r>
      <w:r>
        <w:rPr>
          <w:rFonts w:ascii="Times New Roman" w:eastAsia="宋体" w:hAnsi="Times New Roman" w:cs="Times New Roman" w:hint="eastAsia"/>
          <w:szCs w:val="20"/>
        </w:rPr>
        <w:t>不必须取得《气象专用技术装备使用许可证》的，可以不提供）</w:t>
      </w:r>
    </w:p>
    <w:p w14:paraId="7BE7C6A7">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⑧*进口产品制造商授权书（响应货物不是进口产品的，不提供）</w:t>
      </w:r>
    </w:p>
    <w:p w14:paraId="39221A09">
      <w:pPr>
        <w:tabs>
          <w:tab w:val="left" w:pos="5580"/>
        </w:tabs>
        <w:adjustRightInd w:val="0"/>
        <w:snapToGrid w:val="0"/>
        <w:spacing w:line="360" w:lineRule="auto"/>
        <w:ind w:firstLine="840" w:firstLineChars="400"/>
        <w:jc w:val="left"/>
        <w:rPr>
          <w:rFonts w:ascii="Times New Roman" w:eastAsia="宋体" w:hAnsi="Times New Roman" w:cs="Times New Roman"/>
          <w:bCs/>
          <w:szCs w:val="20"/>
        </w:rPr>
      </w:pPr>
      <w:r>
        <w:rPr>
          <w:rFonts w:ascii="宋体" w:eastAsia="宋体" w:hAnsi="宋体" w:cs="Times New Roman" w:hint="eastAsia"/>
          <w:szCs w:val="21"/>
        </w:rPr>
        <w:t>⑨</w:t>
      </w:r>
      <w:r>
        <w:rPr>
          <w:rFonts w:ascii="宋体" w:eastAsia="宋体" w:hAnsi="宋体" w:cs="Times New Roman" w:hint="eastAsia"/>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或残疾人福利性单位声明函或监狱企业证明文件（响应人不符合1.5条关于中小企业条件的不提供）</w:t>
      </w:r>
    </w:p>
    <w:p w14:paraId="4858031A">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微软雅黑" w:eastAsia="微软雅黑" w:hAnsi="微软雅黑" w:cs="Times New Roman" w:hint="eastAsia"/>
          <w:szCs w:val="21"/>
        </w:rPr>
        <w:t>⑩</w:t>
      </w:r>
      <w:r>
        <w:rPr>
          <w:rFonts w:ascii="宋体" w:eastAsia="宋体" w:hAnsi="宋体" w:cs="Times New Roman"/>
          <w:bCs/>
          <w:szCs w:val="20"/>
        </w:rPr>
        <w:t>*</w:t>
      </w:r>
      <w:r>
        <w:rPr>
          <w:rFonts w:ascii="宋体" w:eastAsia="宋体" w:hAnsi="宋体" w:cs="Times New Roman" w:hint="eastAsia"/>
          <w:szCs w:val="21"/>
        </w:rPr>
        <w:t>联合体协议（如有）</w:t>
      </w:r>
    </w:p>
    <w:p w14:paraId="1CA6BAC1">
      <w:pPr>
        <w:tabs>
          <w:tab w:val="left" w:pos="5580"/>
        </w:tabs>
        <w:adjustRightInd w:val="0"/>
        <w:snapToGrid w:val="0"/>
        <w:spacing w:line="360" w:lineRule="auto"/>
        <w:ind w:firstLine="840" w:firstLineChars="400"/>
        <w:jc w:val="left"/>
        <w:rPr>
          <w:rFonts w:ascii="宋体" w:eastAsia="宋体" w:hAnsi="宋体" w:cs="Times New Roman"/>
          <w:szCs w:val="21"/>
          <w:highlight w:val="none"/>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分包意向协</w:t>
      </w:r>
      <w:r>
        <w:rPr>
          <w:rFonts w:ascii="宋体" w:eastAsia="宋体" w:hAnsi="宋体" w:cs="Times New Roman" w:hint="eastAsia"/>
          <w:szCs w:val="21"/>
          <w:highlight w:val="none"/>
        </w:rPr>
        <w:t>议（如有）</w:t>
      </w:r>
    </w:p>
    <w:p w14:paraId="5C73BE3B">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highlight w:val="none"/>
        </w:rPr>
        <w:fldChar w:fldCharType="begin"/>
      </w:r>
      <w:r>
        <w:rPr>
          <w:rFonts w:ascii="宋体" w:eastAsia="宋体" w:hAnsi="宋体" w:cs="Times New Roman"/>
          <w:bCs/>
          <w:szCs w:val="20"/>
          <w:highlight w:val="none"/>
        </w:rPr>
        <w:instrText xml:space="preserve"> </w:instrText>
      </w:r>
      <w:r>
        <w:rPr>
          <w:rFonts w:ascii="宋体" w:eastAsia="宋体" w:hAnsi="宋体" w:cs="Times New Roman" w:hint="eastAsia"/>
          <w:bCs/>
          <w:szCs w:val="20"/>
          <w:highlight w:val="none"/>
        </w:rPr>
        <w:instrText>eq \o\ac(○,</w:instrText>
      </w:r>
      <w:r>
        <w:rPr>
          <w:rFonts w:ascii="宋体" w:eastAsia="宋体" w:hAnsi="宋体" w:cs="Times New Roman" w:hint="eastAsia"/>
          <w:bCs/>
          <w:position w:val="2"/>
          <w:sz w:val="14"/>
          <w:szCs w:val="20"/>
          <w:highlight w:val="none"/>
        </w:rPr>
        <w:instrText>12</w:instrText>
      </w:r>
      <w:r>
        <w:rPr>
          <w:rFonts w:ascii="宋体" w:eastAsia="宋体" w:hAnsi="宋体" w:cs="Times New Roman" w:hint="eastAsia"/>
          <w:bCs/>
          <w:szCs w:val="20"/>
          <w:highlight w:val="none"/>
        </w:rPr>
        <w:instrText>)</w:instrText>
      </w:r>
      <w:r>
        <w:rPr>
          <w:rFonts w:ascii="宋体" w:eastAsia="宋体" w:hAnsi="宋体" w:cs="Times New Roman"/>
          <w:bCs/>
          <w:szCs w:val="20"/>
          <w:highlight w:val="none"/>
        </w:rPr>
        <w:fldChar w:fldCharType="separate"/>
      </w:r>
      <w:r>
        <w:rPr>
          <w:rFonts w:ascii="宋体" w:eastAsia="宋体" w:hAnsi="宋体" w:cs="Times New Roman"/>
          <w:bCs/>
          <w:szCs w:val="20"/>
          <w:highlight w:val="none"/>
        </w:rPr>
        <w:fldChar w:fldCharType="end"/>
      </w:r>
      <w:r>
        <w:rPr>
          <w:rFonts w:ascii="宋体" w:eastAsia="宋体" w:hAnsi="宋体" w:cs="Times New Roman"/>
          <w:szCs w:val="21"/>
          <w:highlight w:val="none"/>
        </w:rPr>
        <w:t>*</w:t>
      </w: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第五章响应人须知专用部分5.2条</w:t>
      </w:r>
      <w:r>
        <w:rPr>
          <w:rFonts w:ascii="Times New Roman" w:eastAsia="宋体" w:hAnsi="Times New Roman" w:cs="Times New Roman" w:hint="eastAsia"/>
          <w:szCs w:val="20"/>
          <w:highlight w:val="none"/>
        </w:rPr>
        <w:t>规定应提交</w:t>
      </w:r>
      <w:r>
        <w:rPr>
          <w:rFonts w:ascii="Times New Roman" w:eastAsia="宋体" w:hAnsi="Times New Roman" w:cs="Times New Roman" w:hint="eastAsia"/>
          <w:szCs w:val="20"/>
        </w:rPr>
        <w:t>的特殊资质条件证明文件</w:t>
      </w:r>
    </w:p>
    <w:p w14:paraId="446B0248">
      <w:pPr>
        <w:tabs>
          <w:tab w:val="left" w:pos="5580"/>
        </w:tabs>
        <w:adjustRightInd w:val="0"/>
        <w:snapToGrid w:val="0"/>
        <w:spacing w:line="360" w:lineRule="auto"/>
        <w:ind w:firstLine="105" w:firstLineChars="50"/>
        <w:jc w:val="left"/>
        <w:rPr>
          <w:rFonts w:ascii="宋体" w:eastAsia="宋体" w:hAnsi="宋体" w:cs="Times New Roman"/>
          <w:szCs w:val="21"/>
        </w:rPr>
      </w:pPr>
      <w:r>
        <w:rPr>
          <w:rFonts w:ascii="宋体" w:eastAsia="宋体" w:hAnsi="宋体" w:cs="Times New Roman" w:hint="eastAsia"/>
          <w:szCs w:val="21"/>
        </w:rPr>
        <w:t xml:space="preserve">   （6）*</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第五章响应人须知专用部分5.7条</w:t>
      </w:r>
      <w:r>
        <w:rPr>
          <w:rFonts w:ascii="Times New Roman" w:eastAsia="宋体" w:hAnsi="Times New Roman" w:cs="Times New Roman" w:hint="eastAsia"/>
          <w:szCs w:val="20"/>
        </w:rPr>
        <w:t>规定应提交的其他商务文件</w:t>
      </w:r>
    </w:p>
    <w:p w14:paraId="7E3D728A">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（7）响应人自行编制的商务文件</w:t>
      </w:r>
    </w:p>
    <w:p w14:paraId="1432436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1.13.3响应人应提交以下技术文件。其中加*项除特别说明外，若缺失或无效，可在协商时补正。补正后仍不能满足要求的，会导致响应被拒绝。</w:t>
      </w:r>
    </w:p>
    <w:p w14:paraId="4BB8DD59">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6A3BC27B">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3124C113">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（3）技术要求偏离表</w:t>
      </w:r>
    </w:p>
    <w:p w14:paraId="0ECB638E">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（4）主要标的信息表</w:t>
      </w:r>
    </w:p>
    <w:p w14:paraId="19AA35A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第五章响应人须知专用部分5.7条</w:t>
      </w:r>
      <w:r>
        <w:rPr>
          <w:rFonts w:ascii="Times New Roman" w:eastAsia="宋体" w:hAnsi="Times New Roman" w:cs="Times New Roman" w:hint="eastAsia"/>
          <w:szCs w:val="20"/>
        </w:rPr>
        <w:t>规定应提交的其他技术文件</w:t>
      </w:r>
    </w:p>
    <w:p w14:paraId="49C54D3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（6）响应人项目实施和售后服务方案</w:t>
      </w:r>
    </w:p>
    <w:p w14:paraId="6807C65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（7）响应人自行编写的技术文件</w:t>
      </w:r>
    </w:p>
    <w:p w14:paraId="047F5C0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1.13.4响应文件对于上述商务和技术内容要有具体应答。有关文件的具体格式、填写要求及有关说明详见采购文件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1ECADAA5">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1.14响应文件签署及相关要求</w:t>
      </w:r>
    </w:p>
    <w:p w14:paraId="2DE4D46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1.14.1组成响应文件的各项文件均应遵守本条。</w:t>
      </w:r>
    </w:p>
    <w:p w14:paraId="6DB9014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文件的盖章、签字等签署要求见1.2.7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可在协商时补正。</w:t>
      </w:r>
    </w:p>
    <w:p w14:paraId="6C662E4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1.14.3响应文件其他地方没有注明要求盖章签字的，可以不用盖章签字。</w:t>
      </w:r>
    </w:p>
    <w:p w14:paraId="0D08A72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为合理节约政府采购成本，提倡诚实信用的响应行为，特别要求响应人应本着诚信精神，在本次响应文件的偏离表和其它偏离文件中(若本次采购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24E3FED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1.15响应报价</w:t>
      </w:r>
    </w:p>
    <w:p w14:paraId="31EC9BCE">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1.15.1所有响应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响应人自行承担。</w:t>
      </w:r>
    </w:p>
    <w:p w14:paraId="6017974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 xml:space="preserve">1.15.2 </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报价未超过采购预算（或最高限价）。如协商后最终报价不符合上述要求，响应将被</w:t>
      </w:r>
      <w:r>
        <w:rPr>
          <w:rFonts w:hint="eastAsia"/>
          <w:b/>
          <w:bCs/>
        </w:rPr>
        <w:t>拒绝</w:t>
      </w:r>
      <w:r>
        <w:rPr>
          <w:rFonts w:ascii="宋体" w:eastAsia="宋体" w:hAnsi="宋体" w:cs="Times New Roman" w:hint="eastAsia"/>
          <w:szCs w:val="21"/>
        </w:rPr>
        <w:t>。</w:t>
      </w:r>
    </w:p>
    <w:p w14:paraId="6DA2BCC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1.15.3响应人要按分项报价表的内容填写货物单价（包括货物报价及品牌、型号、产地、装箱、包装、包装物料、运输和保险费用等）、总价及其他事项。</w:t>
      </w:r>
    </w:p>
    <w:p w14:paraId="16FE9F6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1.15.4响应人投报多包的，应对每包分别报价并分别填写报价一览表。</w:t>
      </w:r>
    </w:p>
    <w:p w14:paraId="5531D50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1.15.5对于有配件、耗材、选件、工具、备件等的货物，还应填报响应货物配件、耗材、选件和工具、备件等清单，注明品牌、型号、产地、功能、单价、批量折扣等内容，该表格式由响应人自行设计。</w:t>
      </w:r>
    </w:p>
    <w:p w14:paraId="0137E3EF">
      <w:pPr>
        <w:tabs>
          <w:tab w:val="left" w:pos="1573"/>
        </w:tabs>
        <w:adjustRightInd w:val="0"/>
        <w:snapToGrid w:val="0"/>
        <w:spacing w:line="360" w:lineRule="auto"/>
        <w:ind w:firstLine="420" w:firstLineChars="200"/>
        <w:jc w:val="left"/>
        <w:rPr>
          <w:rFonts w:ascii="宋体" w:eastAsia="宋体" w:hAnsi="宋体" w:cs="Times New Roman"/>
          <w:b/>
          <w:bCs/>
          <w:szCs w:val="21"/>
        </w:rPr>
      </w:pPr>
      <w:r>
        <w:rPr>
          <w:rFonts w:ascii="宋体" w:eastAsia="宋体" w:hAnsi="宋体" w:cs="Times New Roman" w:hint="eastAsia"/>
          <w:b/>
          <w:bCs/>
          <w:szCs w:val="21"/>
        </w:rPr>
        <w:t>1.16分包</w:t>
      </w:r>
    </w:p>
    <w:p w14:paraId="05660164">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1.16.1本项目是否允许响应人将项目的非主体、非关键性工作交由他人完成详见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3A27EE8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1.16.2响应人根据采购项目的实际情况,拟在成交后将项目的非主体、非关键性工作交由他人完成的，应当在响应文件中载明分包承担主体，分包承担主体应当具备相应资质条件且不得再次分包。</w:t>
      </w:r>
    </w:p>
    <w:p w14:paraId="145EC12E">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1.16.3</w:t>
      </w:r>
      <w:r>
        <w:rPr>
          <w:rFonts w:ascii="宋体" w:eastAsia="宋体" w:hAnsi="宋体" w:cs="Times New Roman" w:hint="eastAsia"/>
          <w:szCs w:val="21"/>
          <w:lang w:val="zh-CN"/>
        </w:rPr>
        <w:t>不符合采购文件中有关分包规定的，其响应将被拒绝。</w:t>
      </w:r>
    </w:p>
    <w:p w14:paraId="4BB2B37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1.17响应内容填写说明</w:t>
      </w:r>
    </w:p>
    <w:p w14:paraId="177BA076">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响应人应详细阅读采购文件的全部内容。响应文件须对采购文件中的内容做出实质性和完整的响应，如果响应文件填报的内容资料不详，或没有提供采购文件中所要求的全部资料及数据，将被视为响应文件完整性有缺陷。</w:t>
      </w:r>
    </w:p>
    <w:p w14:paraId="139FBF86">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1.17.2响应文件应按照采购文件的格式逐项填写，不得有空项。无相应内容可填的项应填写“无”、“未测试”、“没有相应指标”等明确的回答文字。响应文件未按规定提交或留有空项，将被视为响应文件完整性有缺陷。</w:t>
      </w:r>
    </w:p>
    <w:p w14:paraId="655F56F2">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1.17.3响应人必须保证响应文件所提供的全部资料真实可靠，并接受采购中心或协商小组对其中任何资料进一步审查的要求。</w:t>
      </w:r>
    </w:p>
    <w:p w14:paraId="3882678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1.18响应有效期</w:t>
      </w:r>
    </w:p>
    <w:p w14:paraId="2EE599A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。在特殊情况下，采购中心可与响应人协商延长响应有效期。这种要求和答复都应以书面形式进行。同意延长有效期的响应人除按照采购中心要求修改响应文件有效期外，不能修改响应文件的其他内容。</w:t>
      </w:r>
    </w:p>
    <w:p w14:paraId="58F88E0A">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75FB1B7B">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1.19提交首次响应文件截止时间</w:t>
      </w:r>
    </w:p>
    <w:p w14:paraId="34CF9BA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采购邀请书中规定的提交首次响应文件截止时间。如采购中心按本须知的规定，因修改采购文件导致提交首次响应文件截止时间延长，提交首次响应文件截止时间为延长后新的截止时间。在此情况下，采购中心和响应人受截止时间制约的所有权利和义务均延长至新的截止时间。</w:t>
      </w:r>
    </w:p>
    <w:p w14:paraId="69C6DC0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1.20响应文件递交方式</w:t>
      </w:r>
    </w:p>
    <w:p w14:paraId="045A64FD">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w:t>
      </w:r>
      <w:r>
        <w:rPr>
          <w:rFonts w:ascii="宋体" w:eastAsia="宋体" w:hAnsi="Times New Roman" w:cs="微软雅黑" w:hint="eastAsia"/>
          <w:color w:val="C00000"/>
          <w:szCs w:val="21"/>
        </w:rPr>
        <w:t>电子采购系统</w:t>
      </w:r>
      <w:r>
        <w:rPr>
          <w:rFonts w:ascii="宋体" w:eastAsia="宋体" w:hAnsi="Times New Roman" w:cs="微软雅黑" w:hint="eastAsia"/>
          <w:szCs w:val="21"/>
        </w:rPr>
        <w:t>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5C79A8E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1.21响应文件的补充、修改和撤回</w:t>
      </w:r>
    </w:p>
    <w:p w14:paraId="491C790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1.21.1响应人可以在提交首次响应文件截止时间前，对所递交的响应文件进行补充、修改或者撤回。</w:t>
      </w:r>
    </w:p>
    <w:p w14:paraId="5BB21DF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1.21.2重新提交的电子响应文件应按照1.14条要求重新签署并按1.20条要求重新上传。</w:t>
      </w:r>
    </w:p>
    <w:p w14:paraId="692953AF">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五、协商</w:t>
      </w:r>
    </w:p>
    <w:p w14:paraId="4F091856">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1.22响应文件解密</w:t>
      </w:r>
    </w:p>
    <w:p w14:paraId="6A2BAC05">
      <w:pPr>
        <w:tabs>
          <w:tab w:val="left" w:pos="709"/>
          <w:tab w:val="left" w:pos="1573"/>
        </w:tabs>
        <w:adjustRightInd w:val="0"/>
        <w:snapToGrid w:val="0"/>
        <w:spacing w:line="360" w:lineRule="auto"/>
        <w:ind w:firstLine="420" w:firstLineChars="200"/>
        <w:jc w:val="left"/>
        <w:rPr>
          <w:rFonts w:ascii="宋体" w:hAnsi="宋体"/>
        </w:rPr>
      </w:pPr>
      <w:r>
        <w:rPr>
          <w:rFonts w:ascii="宋体" w:eastAsia="宋体" w:hAnsi="宋体" w:cs="Times New Roman" w:hint="eastAsia"/>
          <w:szCs w:val="21"/>
        </w:rPr>
        <w:t>采购中心按照采购文件规定的时间、地点对完成上传的加密电子响应文件进行解密。</w:t>
      </w:r>
    </w:p>
    <w:p w14:paraId="2A169229">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b/>
          <w:szCs w:val="21"/>
        </w:rPr>
        <w:t>1.2</w:t>
      </w:r>
      <w:r>
        <w:rPr>
          <w:rFonts w:ascii="宋体" w:eastAsia="宋体" w:hAnsi="宋体" w:cs="Times New Roman" w:hint="eastAsia"/>
          <w:b/>
          <w:szCs w:val="21"/>
        </w:rPr>
        <w:t>3协商小组</w:t>
      </w:r>
    </w:p>
    <w:p w14:paraId="4D91F36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1.23.1采购中心根据有关法律法规和本采购文件的规定，结合本项目专业要求组建协商小组，对响应文件进行评估，并与响应人进行协商。协商小组由具有相关经验的专业人员组成。</w:t>
      </w:r>
    </w:p>
    <w:p w14:paraId="0029D9C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1.23.2采购中心工作人员不得参加协商。</w:t>
      </w:r>
    </w:p>
    <w:p w14:paraId="2C34B070">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b/>
          <w:szCs w:val="21"/>
        </w:rPr>
        <w:t>1.2</w:t>
      </w:r>
      <w:r>
        <w:rPr>
          <w:rFonts w:ascii="宋体" w:eastAsia="宋体" w:hAnsi="宋体" w:cs="Times New Roman" w:hint="eastAsia"/>
          <w:b/>
          <w:szCs w:val="21"/>
        </w:rPr>
        <w:t>4资格审查</w:t>
      </w:r>
    </w:p>
    <w:p w14:paraId="1BD089B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协商小组或采购人或采购中心依法按照采购文件规定，对照响应文件中响应人提交的资格证明材料进行审查。资格证明材料如有缺失或失效，可以要求响应人补正。</w:t>
      </w:r>
    </w:p>
    <w:p w14:paraId="3947AFB0">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b/>
          <w:szCs w:val="21"/>
        </w:rPr>
        <w:t>1.</w:t>
      </w:r>
      <w:r>
        <w:rPr>
          <w:rFonts w:ascii="宋体" w:eastAsia="宋体" w:hAnsi="宋体" w:cs="Times New Roman" w:hint="eastAsia"/>
          <w:b/>
          <w:szCs w:val="21"/>
        </w:rPr>
        <w:t>25协商</w:t>
      </w:r>
    </w:p>
    <w:p w14:paraId="64EE423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1.25.1协商小组应当判断响应人所提交的响应文件是否符合采购文件规定，有重大偏离、报价高于预算或未按报价明细报价，经协商无法调整至合理范围的，确认属实后，应中止协商。</w:t>
      </w:r>
    </w:p>
    <w:p w14:paraId="1233FCC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1.25.2协商内容包括货物/软件开发/服务要求、价格以及协商小组认为有必要明确的其它问题。</w:t>
      </w:r>
    </w:p>
    <w:p w14:paraId="74B3296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1.25.3在协商过程中，协商小组可以根据采购文件和协商情况实质性变动采购需求中的技术、服务要求以及合同草案条款，但不得变动协商文件中的其他内容。实质性变动的内容，须经采购人代表确认。对协商文件作出的实质性变动是协商文件的有效组成部分，协商小组应及时告知响应人。</w:t>
      </w:r>
    </w:p>
    <w:p w14:paraId="4C8D33E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1.25.4协商结束后，响应人应按采购中心通知的时间、地点提交最终响应文件。</w:t>
      </w:r>
    </w:p>
    <w:p w14:paraId="6A9B0BB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1.25.5协商小组将对最终响应文件进行复审，并对响应文件中对同类问题表述以及含义不明确或者有明显错误的内容等作必要的澄清、说明或者补正。响应人必须按照通知的澄清内容和时间做出书面答复，该答复经响应人代表的签字认可，将作为响应文件内容的组成部分。</w:t>
      </w:r>
    </w:p>
    <w:p w14:paraId="6EC531B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1.25.6复审结束后，协商小组将对响应人及其报价方案做出最终评定。</w:t>
      </w:r>
    </w:p>
    <w:p w14:paraId="4195D2D8">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1.25.7协商小组成员应当遵守工作纪律，不得泄露协商情况和协商中获悉的商业秘密。协商小组在协商过程中发现响应人有行贿、提供虚假材料或者串通等违法行为的，应当及时向财政部门报告。协商小组成员在协商过程中受到非法干涉的，应当及时向财政、监察等部门举报。</w:t>
      </w:r>
    </w:p>
    <w:p w14:paraId="0CAE0C13">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1.26评定成交的标准</w:t>
      </w:r>
    </w:p>
    <w:p w14:paraId="2CC2F6D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协商小组确定成交的响应人及其报价方案应当符合以下条件：</w:t>
      </w:r>
    </w:p>
    <w:p w14:paraId="71D01D1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（1）报价方案完全响应采购文件中所有的实质性要求；</w:t>
      </w:r>
    </w:p>
    <w:p w14:paraId="50B28ED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（2）合理的成交价格原则确定成交供应商；</w:t>
      </w:r>
    </w:p>
    <w:p w14:paraId="100479F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（3）有良好的执行合同能力和售后服务承诺。</w:t>
      </w:r>
    </w:p>
    <w:p w14:paraId="4D0DB296">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b/>
          <w:szCs w:val="21"/>
        </w:rPr>
        <w:t>1.</w:t>
      </w:r>
      <w:r>
        <w:rPr>
          <w:rFonts w:ascii="宋体" w:eastAsia="宋体" w:hAnsi="宋体" w:cs="Times New Roman" w:hint="eastAsia"/>
          <w:b/>
          <w:szCs w:val="21"/>
        </w:rPr>
        <w:t>27拟定、签署《协商情况记录》</w:t>
      </w:r>
    </w:p>
    <w:p w14:paraId="2BE5C65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1.27.1协商小组应根据协商情况编写《协商情况记录》，内容应包括：</w:t>
      </w:r>
    </w:p>
    <w:p w14:paraId="335DC1B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进行</w:t>
      </w:r>
      <w:r>
        <w:rPr>
          <w:rFonts w:ascii="宋体" w:eastAsia="宋体" w:hAnsi="宋体" w:cs="Times New Roman" w:hint="eastAsia"/>
          <w:szCs w:val="21"/>
        </w:rPr>
        <w:t>采购需求</w:t>
      </w:r>
      <w:r>
        <w:rPr>
          <w:rFonts w:ascii="宋体" w:eastAsia="宋体" w:hAnsi="宋体" w:cs="Times New Roman"/>
          <w:szCs w:val="21"/>
        </w:rPr>
        <w:t>公示的，公示情况说明；</w:t>
      </w:r>
    </w:p>
    <w:p w14:paraId="481411B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szCs w:val="21"/>
        </w:rPr>
        <w:t>协商日期和地点，采购人员名单；</w:t>
      </w:r>
    </w:p>
    <w:p w14:paraId="0E13D48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szCs w:val="21"/>
        </w:rPr>
        <w:t>供应商提供的采购标的成本、同类项目合同价格以及相关专利、专有技术等情况说明；</w:t>
      </w:r>
    </w:p>
    <w:p w14:paraId="79CE687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（4）初步审查情况说明；</w:t>
      </w:r>
    </w:p>
    <w:p w14:paraId="28C5D18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（5）协商流程及协商各环节主要事项情况说明；</w:t>
      </w:r>
    </w:p>
    <w:p w14:paraId="0BF183E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szCs w:val="21"/>
        </w:rPr>
        <w:t>合同主要条款及价格商定情况</w:t>
      </w:r>
      <w:r>
        <w:rPr>
          <w:rFonts w:ascii="宋体" w:eastAsia="宋体" w:hAnsi="宋体" w:cs="Times New Roman" w:hint="eastAsia"/>
          <w:szCs w:val="21"/>
        </w:rPr>
        <w:t>；</w:t>
      </w:r>
    </w:p>
    <w:p w14:paraId="3EA26DB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（7）供应商提交最终报价材料及最终报价的情况说明。</w:t>
      </w:r>
    </w:p>
    <w:p w14:paraId="13A20E7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1.27.2</w:t>
      </w:r>
      <w:r>
        <w:rPr>
          <w:rFonts w:ascii="宋体" w:eastAsia="宋体" w:hAnsi="宋体" w:cs="Times New Roman"/>
          <w:szCs w:val="21"/>
        </w:rPr>
        <w:t>协商情况记录应当由</w:t>
      </w:r>
      <w:r>
        <w:rPr>
          <w:rFonts w:ascii="宋体" w:eastAsia="宋体" w:hAnsi="宋体" w:cs="Times New Roman" w:hint="eastAsia"/>
          <w:szCs w:val="21"/>
        </w:rPr>
        <w:t>协商小组</w:t>
      </w:r>
      <w:r>
        <w:rPr>
          <w:rFonts w:ascii="宋体" w:eastAsia="宋体" w:hAnsi="宋体" w:cs="Times New Roman"/>
          <w:szCs w:val="21"/>
        </w:rPr>
        <w:t>人员签字认可</w:t>
      </w:r>
      <w:r>
        <w:rPr>
          <w:rFonts w:ascii="宋体" w:eastAsia="宋体" w:hAnsi="宋体" w:cs="Times New Roman" w:hint="eastAsia"/>
          <w:szCs w:val="21"/>
        </w:rPr>
        <w:t>。</w:t>
      </w:r>
      <w:r>
        <w:rPr>
          <w:rFonts w:ascii="宋体" w:eastAsia="宋体" w:hAnsi="宋体" w:cs="Times New Roman"/>
          <w:szCs w:val="21"/>
        </w:rPr>
        <w:t>对记录有异议的</w:t>
      </w:r>
      <w:r>
        <w:rPr>
          <w:rFonts w:ascii="宋体" w:eastAsia="宋体" w:hAnsi="宋体" w:cs="Times New Roman" w:hint="eastAsia"/>
          <w:szCs w:val="21"/>
        </w:rPr>
        <w:t>协商小组成员</w:t>
      </w:r>
      <w:r>
        <w:rPr>
          <w:rFonts w:ascii="宋体" w:eastAsia="宋体" w:hAnsi="宋体" w:cs="Times New Roman"/>
          <w:szCs w:val="21"/>
        </w:rPr>
        <w:t>，应当签署不同意见并说明理由</w:t>
      </w:r>
      <w:r>
        <w:rPr>
          <w:rFonts w:ascii="宋体" w:eastAsia="宋体" w:hAnsi="宋体" w:cs="Times New Roman" w:hint="eastAsia"/>
          <w:szCs w:val="21"/>
        </w:rPr>
        <w:t>；</w:t>
      </w:r>
      <w:r>
        <w:rPr>
          <w:rFonts w:ascii="宋体" w:eastAsia="宋体" w:hAnsi="宋体" w:cs="Times New Roman"/>
          <w:szCs w:val="21"/>
        </w:rPr>
        <w:t>拒绝在记录上签字又不书面说明其不同意见和理由的，视为同意</w:t>
      </w:r>
      <w:r>
        <w:rPr>
          <w:rFonts w:ascii="宋体" w:eastAsia="宋体" w:hAnsi="宋体" w:cs="Times New Roman" w:hint="eastAsia"/>
          <w:szCs w:val="21"/>
        </w:rPr>
        <w:t>。</w:t>
      </w:r>
    </w:p>
    <w:p w14:paraId="24BE0103">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szCs w:val="21"/>
        </w:rPr>
        <w:t>六</w:t>
      </w:r>
      <w:r>
        <w:rPr>
          <w:rFonts w:ascii="宋体" w:eastAsia="宋体" w:hAnsi="宋体" w:cs="Times New Roman" w:hint="eastAsia"/>
          <w:b/>
          <w:szCs w:val="21"/>
        </w:rPr>
        <w:t>、成交通知及合同</w:t>
      </w:r>
    </w:p>
    <w:p w14:paraId="68337B3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1.28成交通知</w:t>
      </w:r>
    </w:p>
    <w:p w14:paraId="3BDC20C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1.28.1</w:t>
      </w:r>
      <w:r>
        <w:rPr>
          <w:rFonts w:asciiTheme="minorEastAsia" w:hAnsiTheme="minorEastAsia" w:cs="Times New Roman"/>
          <w:szCs w:val="21"/>
        </w:rPr>
        <w:t>采购</w:t>
      </w:r>
      <w:r>
        <w:rPr>
          <w:rFonts w:asciiTheme="minorEastAsia" w:hAnsiTheme="minorEastAsia" w:cs="Times New Roman" w:hint="eastAsia"/>
          <w:szCs w:val="21"/>
        </w:rPr>
        <w:t>中心将在协商结束后</w:t>
      </w:r>
      <w:r>
        <w:rPr>
          <w:rFonts w:asciiTheme="minorEastAsia" w:hAnsiTheme="minorEastAsia" w:cs="Times New Roman"/>
          <w:szCs w:val="21"/>
        </w:rPr>
        <w:t>2个工作日内将</w:t>
      </w:r>
      <w:r>
        <w:rPr>
          <w:rFonts w:asciiTheme="minorEastAsia" w:hAnsiTheme="minorEastAsia" w:cs="Times New Roman" w:hint="eastAsia"/>
          <w:szCs w:val="21"/>
        </w:rPr>
        <w:t>协商结果</w:t>
      </w:r>
      <w:r>
        <w:rPr>
          <w:rFonts w:asciiTheme="minorEastAsia" w:hAnsiTheme="minorEastAsia" w:cs="Times New Roman"/>
          <w:szCs w:val="21"/>
        </w:rPr>
        <w:t>送采购人确认。</w:t>
      </w:r>
      <w:r>
        <w:rPr>
          <w:rFonts w:ascii="宋体" w:eastAsia="宋体" w:hAnsi="宋体" w:cs="Times New Roman" w:hint="eastAsia"/>
          <w:szCs w:val="21"/>
        </w:rPr>
        <w:t>成交供应商确定后,采购中心将在政府采购信息发布媒体上发布成交结果公告，公告期限为１个工作日。</w:t>
      </w:r>
    </w:p>
    <w:p w14:paraId="0D3B523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1.28.2成交通知书是合同的组成部分。</w:t>
      </w:r>
    </w:p>
    <w:p w14:paraId="65CABE6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1.29合同</w:t>
      </w:r>
    </w:p>
    <w:p w14:paraId="3FC1D92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采购文件和成交供应商的响应文件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63E61B2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1.29.2成交合同应按照采购文件、响应文件及协商过程中的有关澄清、说明或者补正文件的内容签订。成交供应商与采购人不得背离上述文件的实质性内容签订成交合同，也不得背离成交合同的实质性内容签订其他协议或发表声明。</w:t>
      </w:r>
    </w:p>
    <w:p w14:paraId="47DFDB68">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1.29.3</w:t>
      </w:r>
      <w:r>
        <w:rPr>
          <w:rFonts w:ascii="Times New Roman" w:eastAsia="宋体" w:hAnsi="Times New Roman" w:cs="Times New Roman" w:hint="eastAsia"/>
          <w:szCs w:val="20"/>
        </w:rPr>
        <w:t>成交供应商签订成交合同后，不得转包，亦不得将合同全部及任何权利、义务向第三方转让。</w:t>
      </w:r>
    </w:p>
    <w:p w14:paraId="5F964241">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1.29.4成交供应商有关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395FA4D3">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1.29.5若在合同履行过程中，发现成交供应商提供的货物和服务与响应文件中提供的技术指标不符，采购人有权终止合同，并有权反映至政府采购监督管理部门或财政部。</w:t>
      </w:r>
    </w:p>
    <w:p w14:paraId="7C83828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1.29.6违反1.29.4、1.29.5条的规定，给对方造成损失的，应承担赔偿责任。</w:t>
      </w:r>
    </w:p>
    <w:p w14:paraId="5F7F86B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1.29.7成交供应商应当自合同或补充合同签订之日起5个工作日内，将合同副本及电子版报采购中心备案。</w:t>
      </w:r>
      <w:bookmarkStart w:id="4" w:name="_Toc89569872"/>
    </w:p>
    <w:p w14:paraId="3EBF3D2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1.30履约保证金</w:t>
      </w:r>
      <w:bookmarkEnd w:id="4"/>
    </w:p>
    <w:p w14:paraId="2220882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第八章采购合同</w:t>
      </w:r>
      <w:r>
        <w:rPr>
          <w:rFonts w:ascii="宋体" w:eastAsia="宋体" w:hAnsi="宋体" w:cs="Times New Roman" w:hint="eastAsia"/>
          <w:szCs w:val="21"/>
        </w:rPr>
        <w:t>。</w:t>
      </w:r>
    </w:p>
    <w:p w14:paraId="39EE2A3A">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七、质疑、投诉</w:t>
      </w:r>
    </w:p>
    <w:p w14:paraId="5230E03A">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1.31质疑</w:t>
      </w:r>
    </w:p>
    <w:p w14:paraId="0AD3AE7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若响应人认为采购文件、协商过程、成交结果使自己的合法权益受到损害的，可以按照《政府采购质疑和投诉办法》（财政部94号令）的规定提出质疑。</w:t>
      </w:r>
    </w:p>
    <w:p w14:paraId="1686789D">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1.32投诉</w:t>
      </w:r>
    </w:p>
    <w:p w14:paraId="4CD9F08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采购人、采购中心对响应人提出的质疑答复后，如响应人对答复不满意，或者采购人、采购中心未在规定的时间内做出答复的，可以在答复期满后15个工作日内依法向政府采购监督管理部门提起投诉。</w:t>
      </w:r>
      <w:bookmarkStart w:id="5" w:name="_Toc520356167"/>
    </w:p>
    <w:p w14:paraId="0EE5F95A">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八、保密和披露</w:t>
      </w:r>
    </w:p>
    <w:p w14:paraId="5409909F">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1.33保密和披露</w:t>
      </w:r>
    </w:p>
    <w:bookmarkEnd w:id="5"/>
    <w:p w14:paraId="39B7D93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1.33.1响应人自领取采购文件之日起，须履行本采购项目下保密义务，不得将因本次协商获得的信息向第三人外传。</w:t>
      </w:r>
    </w:p>
    <w:p w14:paraId="437D42B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w:t>
      </w:r>
      <w:bookmarkStart w:id="6" w:name="_Toc89569864"/>
      <w:r>
        <w:rPr>
          <w:rFonts w:ascii="宋体" w:eastAsia="宋体" w:hAnsi="宋体" w:cs="Times New Roman" w:hint="eastAsia"/>
          <w:szCs w:val="21"/>
        </w:rPr>
        <w:t>2</w:t>
      </w:r>
      <w:bookmarkEnd w:id="6"/>
      <w:r>
        <w:rPr>
          <w:rFonts w:ascii="宋体" w:eastAsia="宋体" w:hAnsi="宋体" w:cs="Times New Roman" w:hint="eastAsia"/>
          <w:szCs w:val="21"/>
        </w:rPr>
        <w:t>提交首次响应文件截止时间之后，直到授予成交供应商合同为止，凡与本次协商有关人员对属于审查、澄清、评价和比较响应的有关资料以及授标意向等，除1.33.3条和1.33.4条规定的情况外，均不得向响应人或其他无关的人员透露。</w:t>
      </w:r>
    </w:p>
    <w:p w14:paraId="4E10247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1.33.3采购中心有权将响应人提供的所有资料向有关政府部门或协商小组披露。</w:t>
      </w:r>
    </w:p>
    <w:p w14:paraId="38CE8DF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025741C3">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九、 供应商诚信评价</w:t>
      </w:r>
    </w:p>
    <w:p w14:paraId="36570106">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1.34供应商诚信评价</w:t>
      </w:r>
    </w:p>
    <w:p w14:paraId="312A7C7C">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Times New Roman" w:eastAsia="宋体" w:hAnsi="Times New Roman" w:cs="Times New Roman"/>
          <w:szCs w:val="20"/>
        </w:rPr>
        <w:br w:type="page"/>
      </w:r>
    </w:p>
    <w:p w14:paraId="09A27D5F">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6E591B4F">
      <w:pPr>
        <w:tabs>
          <w:tab w:val="left" w:pos="709"/>
          <w:tab w:val="left" w:pos="1573"/>
        </w:tabs>
        <w:spacing w:line="360" w:lineRule="auto"/>
        <w:ind w:firstLine="420" w:firstLineChars="200"/>
        <w:rPr>
          <w:rFonts w:ascii="宋体" w:eastAsia="宋体" w:hAnsi="宋体" w:cs="Times New Roman"/>
          <w:szCs w:val="44"/>
        </w:rPr>
      </w:pPr>
    </w:p>
    <w:p w14:paraId="4778FB49">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3F82F56F">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21"/>
        </w:rPr>
        <w:t>2</w:t>
      </w:r>
      <w:r>
        <w:rPr>
          <w:rFonts w:ascii="宋体" w:eastAsia="宋体" w:hAnsi="宋体" w:cs="Times New Roman"/>
          <w:b/>
          <w:szCs w:val="21"/>
        </w:rPr>
        <w:t>.1</w:t>
      </w:r>
      <w:r>
        <w:rPr>
          <w:rFonts w:ascii="Times New Roman" w:eastAsia="宋体" w:hAnsi="Times New Roman" w:cs="Times New Roman" w:hint="eastAsia"/>
          <w:bCs/>
          <w:szCs w:val="44"/>
        </w:rPr>
        <w:t>本部分内容仅提供格式和填写要求，并不代表所有列出格式的文件全部必须提交。本项目需提交的商务、技术文件应以</w:t>
      </w:r>
      <w:r>
        <w:rPr>
          <w:rFonts w:ascii="Times New Roman" w:eastAsia="宋体" w:hAnsi="Times New Roman" w:cs="Times New Roman" w:hint="eastAsia"/>
          <w:b/>
          <w:bCs/>
          <w:szCs w:val="44"/>
        </w:rPr>
        <w:t>第一章响应人须知通用部分</w:t>
      </w:r>
      <w:r>
        <w:rPr>
          <w:rFonts w:ascii="宋体" w:eastAsia="宋体" w:hAnsi="宋体" w:cs="Times New Roman"/>
          <w:b/>
          <w:szCs w:val="21"/>
        </w:rPr>
        <w:t>1.1</w:t>
      </w:r>
      <w:r>
        <w:rPr>
          <w:rFonts w:ascii="宋体" w:eastAsia="宋体" w:hAnsi="宋体" w:cs="Times New Roman" w:hint="eastAsia"/>
          <w:b/>
          <w:szCs w:val="21"/>
        </w:rPr>
        <w:t>3</w:t>
      </w:r>
      <w:r>
        <w:rPr>
          <w:rFonts w:ascii="Times New Roman" w:eastAsia="宋体" w:hAnsi="Times New Roman" w:cs="Times New Roman" w:hint="eastAsia"/>
          <w:b/>
          <w:bCs/>
          <w:szCs w:val="44"/>
        </w:rPr>
        <w:t>条</w:t>
      </w:r>
      <w:r>
        <w:rPr>
          <w:rFonts w:ascii="Times New Roman" w:eastAsia="宋体" w:hAnsi="Times New Roman" w:cs="Times New Roman" w:hint="eastAsia"/>
          <w:bCs/>
          <w:szCs w:val="44"/>
        </w:rPr>
        <w:t>和</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bCs/>
          <w:szCs w:val="44"/>
        </w:rPr>
        <w:t>为准。</w:t>
      </w:r>
      <w:r>
        <w:rPr>
          <w:rFonts w:ascii="Times New Roman" w:eastAsia="宋体" w:hAnsi="Times New Roman" w:cs="Times New Roman" w:hint="eastAsia"/>
          <w:szCs w:val="20"/>
        </w:rPr>
        <w:t>全部文件应按</w:t>
      </w:r>
      <w:r>
        <w:rPr>
          <w:rFonts w:ascii="Times New Roman" w:eastAsia="宋体" w:hAnsi="Times New Roman" w:cs="Times New Roman" w:hint="eastAsia"/>
          <w:b/>
          <w:szCs w:val="44"/>
        </w:rPr>
        <w:t>第一章响应人须知通用部分</w:t>
      </w:r>
      <w:r>
        <w:rPr>
          <w:rFonts w:ascii="Times New Roman" w:eastAsia="宋体" w:hAnsi="Times New Roman" w:cs="Times New Roman" w:hint="eastAsia"/>
          <w:szCs w:val="20"/>
        </w:rPr>
        <w:t>以及</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szCs w:val="20"/>
        </w:rPr>
        <w:t>中的规定提交。</w:t>
      </w:r>
    </w:p>
    <w:p w14:paraId="24028C4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57573D5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2A75A80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协商小组将应用响应人提交的资料并根据自己的判断，决定响应人履行合同的合格性及能力。</w:t>
      </w:r>
    </w:p>
    <w:p w14:paraId="377E32E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19AB595C">
      <w:pPr>
        <w:tabs>
          <w:tab w:val="left" w:pos="1573"/>
        </w:tabs>
        <w:adjustRightInd w:val="0"/>
        <w:snapToGrid w:val="0"/>
        <w:spacing w:line="360" w:lineRule="auto"/>
        <w:ind w:left="1573" w:hanging="1153" w:leftChars="200" w:hangingChars="549"/>
        <w:jc w:val="left"/>
        <w:rPr>
          <w:rFonts w:ascii="宋体" w:eastAsia="宋体" w:hAnsi="宋体" w:cs="Times New Roman"/>
          <w:bCs/>
          <w:szCs w:val="44"/>
        </w:rPr>
      </w:pPr>
    </w:p>
    <w:p w14:paraId="7574341A">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二、</w:t>
      </w:r>
      <w:bookmarkStart w:id="7" w:name="_Toc175294337"/>
      <w:r>
        <w:rPr>
          <w:rFonts w:ascii="宋体" w:eastAsia="宋体" w:hAnsi="宋体" w:cs="Times New Roman" w:hint="eastAsia"/>
          <w:b/>
          <w:bCs/>
          <w:szCs w:val="44"/>
        </w:rPr>
        <w:t>响应文件商务部分</w:t>
      </w:r>
    </w:p>
    <w:p w14:paraId="75F7F775">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8" w:name="插入_投标文件商务部分"/>
      <w:r>
        <w:rPr>
          <w:rFonts w:ascii="宋体" w:eastAsia="宋体" w:hAnsi="宋体" w:cs="Times New Roman" w:hint="eastAsia"/>
          <w:b/>
          <w:szCs w:val="20"/>
        </w:rPr>
        <w:t>2.6法定代表人身份证明或授权委托书</w:t>
      </w:r>
    </w:p>
    <w:p w14:paraId="37162268">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74CF5407">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493ECCC7">
      <w:pPr>
        <w:tabs>
          <w:tab w:val="left" w:pos="5580"/>
        </w:tabs>
        <w:adjustRightInd w:val="0"/>
        <w:snapToGrid w:val="0"/>
        <w:spacing w:line="360" w:lineRule="auto"/>
        <w:jc w:val="center"/>
        <w:rPr>
          <w:rFonts w:ascii="华文楷体" w:eastAsia="华文楷体" w:hAnsi="华文楷体" w:cs="Times New Roman"/>
          <w:b/>
          <w:szCs w:val="21"/>
        </w:rPr>
      </w:pPr>
    </w:p>
    <w:p w14:paraId="3FD4C2C7">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63EA2B5F">
      <w:pPr>
        <w:widowControl/>
        <w:adjustRightInd w:val="0"/>
        <w:snapToGrid w:val="0"/>
        <w:spacing w:line="360" w:lineRule="auto"/>
        <w:ind w:firstLine="420" w:firstLineChars="200"/>
        <w:jc w:val="left"/>
        <w:rPr>
          <w:rFonts w:ascii="华文楷体" w:eastAsia="华文楷体" w:hAnsi="华文楷体" w:cs="Times New Roman"/>
          <w:szCs w:val="21"/>
        </w:rPr>
      </w:pPr>
    </w:p>
    <w:p w14:paraId="4C9E6A5E">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35D389B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4BB5326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28C65B49">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06FC946D">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470B3DB8">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3A2BD39D">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2814F4E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34EA3923">
      <w:pPr>
        <w:tabs>
          <w:tab w:val="left" w:pos="1573"/>
        </w:tabs>
        <w:adjustRightInd w:val="0"/>
        <w:snapToGrid w:val="0"/>
        <w:spacing w:line="360" w:lineRule="auto"/>
        <w:ind w:firstLine="420" w:firstLineChars="200"/>
        <w:rPr>
          <w:rFonts w:ascii="宋体" w:eastAsia="宋体" w:hAnsi="宋体" w:cs="Times New Roman"/>
          <w:szCs w:val="21"/>
        </w:rPr>
      </w:pPr>
    </w:p>
    <w:p w14:paraId="30012FD8">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5A26ADCF">
      <w:pPr>
        <w:tabs>
          <w:tab w:val="left" w:pos="1573"/>
        </w:tabs>
        <w:adjustRightInd w:val="0"/>
        <w:snapToGrid w:val="0"/>
        <w:spacing w:line="360" w:lineRule="auto"/>
        <w:ind w:firstLine="420" w:firstLineChars="200"/>
        <w:rPr>
          <w:rFonts w:ascii="宋体" w:eastAsia="宋体" w:hAnsi="宋体" w:cs="Times New Roman"/>
          <w:bCs/>
          <w:szCs w:val="20"/>
        </w:rPr>
      </w:pPr>
    </w:p>
    <w:p w14:paraId="4EF218B4">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743318F2">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6ECD3BC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20D451D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0088A67F">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61A69902">
      <w:pPr>
        <w:widowControl/>
        <w:adjustRightInd w:val="0"/>
        <w:snapToGrid w:val="0"/>
        <w:spacing w:line="360" w:lineRule="auto"/>
        <w:ind w:firstLine="420" w:firstLineChars="200"/>
        <w:jc w:val="left"/>
        <w:rPr>
          <w:rFonts w:ascii="华文楷体" w:eastAsia="华文楷体" w:hAnsi="华文楷体" w:cs="Times New Roman"/>
          <w:szCs w:val="21"/>
        </w:rPr>
      </w:pPr>
    </w:p>
    <w:p w14:paraId="6BB1CFFA">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088CFE2B">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66DE12AF">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4E075120">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5ABFCBA4">
      <w:pPr>
        <w:widowControl/>
        <w:adjustRightInd w:val="0"/>
        <w:snapToGrid w:val="0"/>
        <w:spacing w:line="360" w:lineRule="auto"/>
        <w:ind w:firstLine="420" w:firstLineChars="200"/>
        <w:jc w:val="left"/>
        <w:rPr>
          <w:rFonts w:ascii="华文楷体" w:eastAsia="华文楷体" w:hAnsi="华文楷体" w:cs="Times New Roman"/>
          <w:szCs w:val="21"/>
        </w:rPr>
      </w:pPr>
      <w:bookmarkStart w:id="9" w:name="_Toc495992626"/>
      <w:r>
        <w:rPr>
          <w:rFonts w:ascii="华文楷体" w:eastAsia="华文楷体" w:hAnsi="华文楷体" w:cs="Times New Roman" w:hint="eastAsia"/>
          <w:szCs w:val="21"/>
        </w:rPr>
        <w:t>附：授权代表身份证复印件</w:t>
      </w:r>
    </w:p>
    <w:p w14:paraId="30AF168F">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bookmarkEnd w:id="9"/>
    <w:p w14:paraId="54F9FD01"/>
    <w:p w14:paraId="56DDFE92">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047C4653">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295EB4D2">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5599BFA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2A82F9E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（包号）单一来源协商的有关活动，并对此项目进行响应。为此，我方承诺如下：</w:t>
      </w:r>
    </w:p>
    <w:p w14:paraId="616255B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1.我方同意在本项目采购文件中规定的响应有效期内遵守本响应文件中的承诺且在此期限期满之前均具有约束力。</w:t>
      </w:r>
    </w:p>
    <w:p w14:paraId="25C5F71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2.提供采购文件规定的全部响应文件。</w:t>
      </w:r>
    </w:p>
    <w:p w14:paraId="0FD2E57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3.截止到提交首次响应文件截止日，所响应货物中无国家法律、法规、政策禁止采购人采购的货物，也未使用国家法律、法规、政策禁止采购人采购的货物作为零件。</w:t>
      </w:r>
    </w:p>
    <w:p w14:paraId="37B36AAB">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4.按采购文件要求提供和交付的货物和服务的响应报价详见报价一览表。</w:t>
      </w:r>
    </w:p>
    <w:p w14:paraId="56245C1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5.完全理解响应报价超过预算金额或最高限价时，响应无效。</w:t>
      </w:r>
    </w:p>
    <w:p w14:paraId="387D34E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报价一览表或响应文件中未注明出处的优惠金额可由采购人按用户利益最大化原则分摊到主要设备费用中，折算后的价格作为维保和追加设备的计费依据，其集成费、服务费、培训费等非设备费用将保持原值不变。</w:t>
      </w:r>
    </w:p>
    <w:p w14:paraId="0CA852A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7.保证忠实地执行双方所签订的合同，并承担合同规定的责任和义务。</w:t>
      </w:r>
    </w:p>
    <w:p w14:paraId="3171A17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8.完全理解采购文件中的各项商务和技术要求，若有偏差，已在响应文件商务条款和技术要求偏离表中予以明确特别说明。</w:t>
      </w:r>
    </w:p>
    <w:p w14:paraId="2E86DF1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9.愿意向贵方提供任何与本项响应有关的数据、情况和技术资料。若贵方需要，我方愿意提供我方作出的一切承诺的证明材料。</w:t>
      </w:r>
    </w:p>
    <w:p w14:paraId="61FC4D6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10.我方已详细审核全部响应文件，包括响应文件修改书（如有的话）、参考资料及有关附件，确认无误。</w:t>
      </w:r>
    </w:p>
    <w:p w14:paraId="5538238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11.采购人若需追加采购本项目采购文件所列货物及相关服务的，在不改变合同其他实质性条款的前提下，按相同或更优惠的折扣率保证供货。</w:t>
      </w:r>
    </w:p>
    <w:p w14:paraId="1B1ED21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12.接受采购文件中合同条款的全部条款且无任何异议。</w:t>
      </w:r>
    </w:p>
    <w:p w14:paraId="2E56EBC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0DFE1D5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743EF3D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23CE199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222EDAF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13E0DC5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1588481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119A8E5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06757B8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7AF97C60">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603D3A15">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026850BD">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56BF86B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6B98A320">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70D396ED">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41AAB9A8">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2DDB866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499619C7">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28AB895A">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3D856CC2">
      <w:pPr>
        <w:tabs>
          <w:tab w:val="left" w:pos="1573"/>
        </w:tabs>
        <w:adjustRightInd w:val="0"/>
        <w:snapToGrid w:val="0"/>
        <w:spacing w:line="360" w:lineRule="auto"/>
        <w:ind w:firstLine="420" w:firstLineChars="200"/>
        <w:rPr>
          <w:rFonts w:ascii="宋体" w:eastAsia="宋体" w:hAnsi="宋体" w:cs="Times New Roman"/>
          <w:b/>
          <w:szCs w:val="21"/>
        </w:rPr>
      </w:pPr>
    </w:p>
    <w:p w14:paraId="25852651">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60527471"/>
    <w:p w14:paraId="6CFB7595">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5BE7EA17">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2D6CE093">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15656C9E">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2B58F280">
            <w:pPr>
              <w:ind w:right="-42" w:rightChars="-20"/>
              <w:rPr>
                <w:rFonts w:ascii="Arial" w:eastAsia="宋体" w:hAnsi="Arial" w:cs="Arial"/>
                <w:szCs w:val="20"/>
              </w:rPr>
            </w:pPr>
          </w:p>
        </w:tc>
      </w:tr>
      <w:tr w14:paraId="15C69A1B">
        <w:tblPrEx>
          <w:tblW w:w="5000" w:type="pct"/>
          <w:tblInd w:w="0" w:type="dxa"/>
          <w:tblCellMar>
            <w:top w:w="0" w:type="dxa"/>
            <w:left w:w="108" w:type="dxa"/>
            <w:bottom w:w="0" w:type="dxa"/>
            <w:right w:w="108" w:type="dxa"/>
          </w:tblCellMar>
        </w:tblPrEx>
        <w:trPr>
          <w:trHeight w:val="397"/>
        </w:trPr>
        <w:tc>
          <w:tcPr>
            <w:tcW w:w="796" w:type="pct"/>
            <w:vAlign w:val="center"/>
          </w:tcPr>
          <w:p w14:paraId="05777DFA">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283A3E05">
            <w:pPr>
              <w:ind w:right="-42" w:rightChars="-20"/>
              <w:rPr>
                <w:rFonts w:ascii="Arial" w:eastAsia="宋体" w:hAnsi="Arial" w:cs="Arial"/>
                <w:szCs w:val="20"/>
              </w:rPr>
            </w:pPr>
          </w:p>
        </w:tc>
      </w:tr>
      <w:tr w14:paraId="2CD5C2AB">
        <w:tblPrEx>
          <w:tblW w:w="5000" w:type="pct"/>
          <w:tblInd w:w="0" w:type="dxa"/>
          <w:tblCellMar>
            <w:top w:w="0" w:type="dxa"/>
            <w:left w:w="108" w:type="dxa"/>
            <w:bottom w:w="0" w:type="dxa"/>
            <w:right w:w="108" w:type="dxa"/>
          </w:tblCellMar>
        </w:tblPrEx>
        <w:trPr>
          <w:trHeight w:val="397"/>
        </w:trPr>
        <w:tc>
          <w:tcPr>
            <w:tcW w:w="796" w:type="pct"/>
            <w:vAlign w:val="center"/>
          </w:tcPr>
          <w:p w14:paraId="010F6A9B">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0659BC60">
            <w:pPr>
              <w:ind w:right="-42" w:rightChars="-20"/>
              <w:rPr>
                <w:rFonts w:ascii="Arial" w:eastAsia="宋体" w:hAnsi="Arial" w:cs="Arial"/>
                <w:szCs w:val="20"/>
              </w:rPr>
            </w:pPr>
          </w:p>
        </w:tc>
      </w:tr>
      <w:tr w14:paraId="7CFAB184">
        <w:tblPrEx>
          <w:tblW w:w="5000" w:type="pct"/>
          <w:tblInd w:w="0" w:type="dxa"/>
          <w:tblCellMar>
            <w:top w:w="0" w:type="dxa"/>
            <w:left w:w="108" w:type="dxa"/>
            <w:bottom w:w="0" w:type="dxa"/>
            <w:right w:w="108" w:type="dxa"/>
          </w:tblCellMar>
        </w:tblPrEx>
        <w:trPr>
          <w:trHeight w:val="397"/>
        </w:trPr>
        <w:tc>
          <w:tcPr>
            <w:tcW w:w="796" w:type="pct"/>
            <w:vAlign w:val="center"/>
          </w:tcPr>
          <w:p w14:paraId="78318A5D">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0F42EA6E">
            <w:pPr>
              <w:ind w:right="-42" w:rightChars="-20"/>
              <w:rPr>
                <w:rFonts w:ascii="Arial" w:eastAsia="宋体" w:hAnsi="Arial" w:cs="Arial"/>
                <w:szCs w:val="20"/>
              </w:rPr>
            </w:pPr>
          </w:p>
        </w:tc>
        <w:tc>
          <w:tcPr>
            <w:tcW w:w="795" w:type="pct"/>
            <w:vAlign w:val="center"/>
          </w:tcPr>
          <w:p w14:paraId="4516AFBD">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7A3DC6EC">
            <w:pPr>
              <w:ind w:right="-42" w:rightChars="-20"/>
              <w:jc w:val="center"/>
              <w:rPr>
                <w:rFonts w:ascii="Arial" w:eastAsia="黑体" w:hAnsi="Arial" w:cs="Arial"/>
                <w:szCs w:val="20"/>
              </w:rPr>
            </w:pPr>
          </w:p>
        </w:tc>
        <w:tc>
          <w:tcPr>
            <w:tcW w:w="796" w:type="pct"/>
            <w:gridSpan w:val="2"/>
            <w:vAlign w:val="center"/>
          </w:tcPr>
          <w:p w14:paraId="6DC99566">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4024B650">
            <w:pPr>
              <w:ind w:right="-42" w:rightChars="-20"/>
              <w:rPr>
                <w:rFonts w:ascii="Arial" w:eastAsia="宋体" w:hAnsi="Arial" w:cs="Arial"/>
                <w:szCs w:val="20"/>
              </w:rPr>
            </w:pPr>
          </w:p>
        </w:tc>
      </w:tr>
      <w:tr w14:paraId="2AF4C6E0">
        <w:tblPrEx>
          <w:tblW w:w="5000" w:type="pct"/>
          <w:tblInd w:w="0" w:type="dxa"/>
          <w:tblCellMar>
            <w:top w:w="0" w:type="dxa"/>
            <w:left w:w="108" w:type="dxa"/>
            <w:bottom w:w="0" w:type="dxa"/>
            <w:right w:w="108" w:type="dxa"/>
          </w:tblCellMar>
        </w:tblPrEx>
        <w:trPr>
          <w:trHeight w:val="397"/>
        </w:trPr>
        <w:tc>
          <w:tcPr>
            <w:tcW w:w="796" w:type="pct"/>
            <w:vAlign w:val="center"/>
          </w:tcPr>
          <w:p w14:paraId="371CA6BF">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45446B64">
            <w:pPr>
              <w:ind w:right="-42" w:rightChars="-20"/>
              <w:rPr>
                <w:rFonts w:ascii="Arial" w:eastAsia="宋体" w:hAnsi="Arial" w:cs="Arial"/>
                <w:szCs w:val="20"/>
              </w:rPr>
            </w:pPr>
          </w:p>
        </w:tc>
        <w:tc>
          <w:tcPr>
            <w:tcW w:w="795" w:type="pct"/>
            <w:vAlign w:val="center"/>
          </w:tcPr>
          <w:p w14:paraId="5CB3C46D">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5624C061">
            <w:pPr>
              <w:ind w:right="-42" w:rightChars="-20"/>
              <w:jc w:val="center"/>
              <w:rPr>
                <w:rFonts w:ascii="Arial" w:eastAsia="黑体" w:hAnsi="Arial" w:cs="Arial"/>
                <w:szCs w:val="20"/>
              </w:rPr>
            </w:pPr>
          </w:p>
        </w:tc>
        <w:tc>
          <w:tcPr>
            <w:tcW w:w="796" w:type="pct"/>
            <w:gridSpan w:val="2"/>
            <w:vAlign w:val="center"/>
          </w:tcPr>
          <w:p w14:paraId="3A789DCD">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5721AECE">
            <w:pPr>
              <w:ind w:right="-42" w:rightChars="-20"/>
              <w:rPr>
                <w:rFonts w:ascii="Arial" w:eastAsia="宋体" w:hAnsi="Arial" w:cs="Arial"/>
                <w:szCs w:val="20"/>
              </w:rPr>
            </w:pPr>
          </w:p>
        </w:tc>
      </w:tr>
      <w:tr w14:paraId="072790A7">
        <w:tblPrEx>
          <w:tblW w:w="5000" w:type="pct"/>
          <w:tblInd w:w="0" w:type="dxa"/>
          <w:tblCellMar>
            <w:top w:w="0" w:type="dxa"/>
            <w:left w:w="108" w:type="dxa"/>
            <w:bottom w:w="0" w:type="dxa"/>
            <w:right w:w="108" w:type="dxa"/>
          </w:tblCellMar>
        </w:tblPrEx>
        <w:trPr>
          <w:trHeight w:val="397"/>
        </w:trPr>
        <w:tc>
          <w:tcPr>
            <w:tcW w:w="796" w:type="pct"/>
            <w:vAlign w:val="center"/>
          </w:tcPr>
          <w:p w14:paraId="7D1656C6">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43A3F428">
            <w:pPr>
              <w:ind w:right="-42" w:rightChars="-20"/>
              <w:rPr>
                <w:rFonts w:ascii="Arial" w:eastAsia="宋体" w:hAnsi="Arial" w:cs="Arial"/>
                <w:szCs w:val="20"/>
              </w:rPr>
            </w:pPr>
          </w:p>
        </w:tc>
      </w:tr>
      <w:tr w14:paraId="6BA61283">
        <w:tblPrEx>
          <w:tblW w:w="5000" w:type="pct"/>
          <w:tblInd w:w="0" w:type="dxa"/>
          <w:tblCellMar>
            <w:top w:w="0" w:type="dxa"/>
            <w:left w:w="108" w:type="dxa"/>
            <w:bottom w:w="0" w:type="dxa"/>
            <w:right w:w="108" w:type="dxa"/>
          </w:tblCellMar>
        </w:tblPrEx>
        <w:trPr>
          <w:trHeight w:val="397"/>
        </w:trPr>
        <w:tc>
          <w:tcPr>
            <w:tcW w:w="796" w:type="pct"/>
            <w:vAlign w:val="center"/>
          </w:tcPr>
          <w:p w14:paraId="56231BB2">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3B89050D">
            <w:pPr>
              <w:ind w:right="-42" w:rightChars="-20"/>
              <w:rPr>
                <w:rFonts w:ascii="Arial" w:eastAsia="宋体" w:hAnsi="Arial" w:cs="Arial"/>
                <w:szCs w:val="20"/>
              </w:rPr>
            </w:pPr>
          </w:p>
        </w:tc>
      </w:tr>
      <w:tr w14:paraId="0FB033D3">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45FE253A">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57C112CA">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4CB296AE">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5FD29267">
            <w:pPr>
              <w:ind w:right="-42" w:rightChars="-20"/>
              <w:rPr>
                <w:rFonts w:ascii="Arial" w:eastAsia="黑体" w:hAnsi="Arial" w:cs="Arial"/>
                <w:szCs w:val="20"/>
              </w:rPr>
            </w:pPr>
            <w:r>
              <w:rPr>
                <w:rFonts w:ascii="Arial" w:eastAsia="黑体" w:hAnsi="Arial" w:cs="Arial" w:hint="eastAsia"/>
                <w:szCs w:val="20"/>
              </w:rPr>
              <w:t>管理人员     人</w:t>
            </w:r>
          </w:p>
        </w:tc>
      </w:tr>
      <w:tr w14:paraId="4A3859E0">
        <w:tblPrEx>
          <w:tblW w:w="5000" w:type="pct"/>
          <w:tblInd w:w="0" w:type="dxa"/>
          <w:tblCellMar>
            <w:top w:w="0" w:type="dxa"/>
            <w:left w:w="108" w:type="dxa"/>
            <w:bottom w:w="0" w:type="dxa"/>
            <w:right w:w="108" w:type="dxa"/>
          </w:tblCellMar>
        </w:tblPrEx>
        <w:trPr>
          <w:trHeight w:val="397"/>
        </w:trPr>
        <w:tc>
          <w:tcPr>
            <w:tcW w:w="796" w:type="pct"/>
            <w:vMerge/>
            <w:vAlign w:val="center"/>
          </w:tcPr>
          <w:p w14:paraId="26A7FDF9">
            <w:pPr>
              <w:ind w:right="-42" w:rightChars="-20"/>
              <w:jc w:val="center"/>
              <w:rPr>
                <w:rFonts w:ascii="Arial" w:eastAsia="黑体" w:hAnsi="Arial" w:cs="Arial"/>
                <w:szCs w:val="20"/>
              </w:rPr>
            </w:pPr>
          </w:p>
        </w:tc>
        <w:tc>
          <w:tcPr>
            <w:tcW w:w="678" w:type="pct"/>
            <w:vMerge/>
            <w:vAlign w:val="center"/>
          </w:tcPr>
          <w:p w14:paraId="7C307823">
            <w:pPr>
              <w:snapToGrid w:val="0"/>
              <w:ind w:right="-42" w:rightChars="-20"/>
              <w:jc w:val="center"/>
              <w:rPr>
                <w:rFonts w:ascii="Arial" w:eastAsia="黑体" w:hAnsi="Arial" w:cs="Arial"/>
                <w:szCs w:val="20"/>
              </w:rPr>
            </w:pPr>
          </w:p>
        </w:tc>
        <w:tc>
          <w:tcPr>
            <w:tcW w:w="940" w:type="pct"/>
            <w:gridSpan w:val="3"/>
            <w:vMerge/>
            <w:vAlign w:val="center"/>
          </w:tcPr>
          <w:p w14:paraId="64AEBF3A">
            <w:pPr>
              <w:snapToGrid w:val="0"/>
              <w:ind w:right="-42" w:rightChars="-20"/>
              <w:jc w:val="center"/>
              <w:rPr>
                <w:rFonts w:ascii="Arial" w:eastAsia="黑体" w:hAnsi="Arial" w:cs="Arial"/>
                <w:szCs w:val="20"/>
              </w:rPr>
            </w:pPr>
          </w:p>
        </w:tc>
        <w:tc>
          <w:tcPr>
            <w:tcW w:w="2586" w:type="pct"/>
            <w:gridSpan w:val="4"/>
          </w:tcPr>
          <w:p w14:paraId="3002330C">
            <w:pPr>
              <w:ind w:right="-42" w:rightChars="-20"/>
              <w:rPr>
                <w:rFonts w:ascii="Arial" w:eastAsia="黑体" w:hAnsi="Arial" w:cs="Arial"/>
                <w:szCs w:val="20"/>
              </w:rPr>
            </w:pPr>
            <w:r>
              <w:rPr>
                <w:rFonts w:ascii="Arial" w:eastAsia="黑体" w:hAnsi="Arial" w:cs="Arial" w:hint="eastAsia"/>
                <w:szCs w:val="20"/>
              </w:rPr>
              <w:t>技术人员     人</w:t>
            </w:r>
          </w:p>
        </w:tc>
      </w:tr>
      <w:tr w14:paraId="54381B48">
        <w:tblPrEx>
          <w:tblW w:w="5000" w:type="pct"/>
          <w:tblInd w:w="0" w:type="dxa"/>
          <w:tblCellMar>
            <w:top w:w="0" w:type="dxa"/>
            <w:left w:w="108" w:type="dxa"/>
            <w:bottom w:w="0" w:type="dxa"/>
            <w:right w:w="108" w:type="dxa"/>
          </w:tblCellMar>
        </w:tblPrEx>
        <w:trPr>
          <w:trHeight w:val="397"/>
        </w:trPr>
        <w:tc>
          <w:tcPr>
            <w:tcW w:w="796" w:type="pct"/>
            <w:vMerge/>
            <w:vAlign w:val="center"/>
          </w:tcPr>
          <w:p w14:paraId="4ED8A2ED">
            <w:pPr>
              <w:ind w:right="-42" w:rightChars="-20"/>
              <w:jc w:val="center"/>
              <w:rPr>
                <w:rFonts w:ascii="Arial" w:eastAsia="黑体" w:hAnsi="Arial" w:cs="Arial"/>
                <w:szCs w:val="20"/>
              </w:rPr>
            </w:pPr>
          </w:p>
        </w:tc>
        <w:tc>
          <w:tcPr>
            <w:tcW w:w="678" w:type="pct"/>
            <w:vAlign w:val="center"/>
          </w:tcPr>
          <w:p w14:paraId="0D9C5D21">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550ACE1C">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725B5FBB">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71A787A7">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786504B6">
            <w:pPr>
              <w:ind w:right="-42" w:rightChars="-20"/>
              <w:jc w:val="center"/>
              <w:rPr>
                <w:rFonts w:ascii="Arial" w:eastAsia="黑体" w:hAnsi="Arial" w:cs="Arial"/>
                <w:szCs w:val="20"/>
              </w:rPr>
            </w:pPr>
            <w:r>
              <w:rPr>
                <w:rFonts w:ascii="Arial" w:eastAsia="黑体" w:hAnsi="Arial" w:cs="Arial"/>
                <w:szCs w:val="20"/>
              </w:rPr>
              <w:t>技工</w:t>
            </w:r>
          </w:p>
        </w:tc>
      </w:tr>
      <w:tr w14:paraId="2A620FC6">
        <w:tblPrEx>
          <w:tblW w:w="5000" w:type="pct"/>
          <w:tblInd w:w="0" w:type="dxa"/>
          <w:tblCellMar>
            <w:top w:w="0" w:type="dxa"/>
            <w:left w:w="108" w:type="dxa"/>
            <w:bottom w:w="0" w:type="dxa"/>
            <w:right w:w="108" w:type="dxa"/>
          </w:tblCellMar>
        </w:tblPrEx>
        <w:trPr>
          <w:trHeight w:val="397"/>
        </w:trPr>
        <w:tc>
          <w:tcPr>
            <w:tcW w:w="796" w:type="pct"/>
            <w:vMerge/>
            <w:vAlign w:val="center"/>
          </w:tcPr>
          <w:p w14:paraId="194F0F8C">
            <w:pPr>
              <w:ind w:right="-42" w:rightChars="-20"/>
              <w:jc w:val="center"/>
              <w:rPr>
                <w:rFonts w:ascii="Arial" w:eastAsia="黑体" w:hAnsi="Arial" w:cs="Arial"/>
                <w:szCs w:val="20"/>
              </w:rPr>
            </w:pPr>
          </w:p>
        </w:tc>
        <w:tc>
          <w:tcPr>
            <w:tcW w:w="678" w:type="pct"/>
            <w:vAlign w:val="center"/>
          </w:tcPr>
          <w:p w14:paraId="3CFC6FC7">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671BE639">
            <w:pPr>
              <w:snapToGrid w:val="0"/>
              <w:ind w:right="-42" w:rightChars="-20"/>
              <w:rPr>
                <w:rFonts w:ascii="Arial" w:eastAsia="黑体" w:hAnsi="Arial" w:cs="Arial"/>
                <w:szCs w:val="20"/>
              </w:rPr>
            </w:pPr>
          </w:p>
        </w:tc>
        <w:tc>
          <w:tcPr>
            <w:tcW w:w="806" w:type="pct"/>
            <w:gridSpan w:val="2"/>
          </w:tcPr>
          <w:p w14:paraId="625724E0">
            <w:pPr>
              <w:ind w:right="-42" w:rightChars="-20"/>
              <w:rPr>
                <w:rFonts w:ascii="Arial" w:eastAsia="黑体" w:hAnsi="Arial" w:cs="Arial"/>
                <w:szCs w:val="20"/>
              </w:rPr>
            </w:pPr>
          </w:p>
        </w:tc>
        <w:tc>
          <w:tcPr>
            <w:tcW w:w="757" w:type="pct"/>
          </w:tcPr>
          <w:p w14:paraId="2768C4D6">
            <w:pPr>
              <w:ind w:right="-42" w:rightChars="-20"/>
              <w:rPr>
                <w:rFonts w:ascii="Arial" w:eastAsia="黑体" w:hAnsi="Arial" w:cs="Arial"/>
                <w:szCs w:val="20"/>
              </w:rPr>
            </w:pPr>
          </w:p>
        </w:tc>
        <w:tc>
          <w:tcPr>
            <w:tcW w:w="1023" w:type="pct"/>
          </w:tcPr>
          <w:p w14:paraId="0E8BFBBE">
            <w:pPr>
              <w:ind w:right="-42" w:rightChars="-20"/>
              <w:rPr>
                <w:rFonts w:ascii="Arial" w:eastAsia="黑体" w:hAnsi="Arial" w:cs="Arial"/>
                <w:szCs w:val="20"/>
              </w:rPr>
            </w:pPr>
          </w:p>
        </w:tc>
      </w:tr>
      <w:tr w14:paraId="6709A557">
        <w:tblPrEx>
          <w:tblW w:w="5000" w:type="pct"/>
          <w:tblInd w:w="0" w:type="dxa"/>
          <w:tblCellMar>
            <w:top w:w="0" w:type="dxa"/>
            <w:left w:w="108" w:type="dxa"/>
            <w:bottom w:w="0" w:type="dxa"/>
            <w:right w:w="108" w:type="dxa"/>
          </w:tblCellMar>
        </w:tblPrEx>
        <w:trPr>
          <w:trHeight w:val="397"/>
        </w:trPr>
        <w:tc>
          <w:tcPr>
            <w:tcW w:w="796" w:type="pct"/>
            <w:vMerge/>
            <w:vAlign w:val="center"/>
          </w:tcPr>
          <w:p w14:paraId="7140935F">
            <w:pPr>
              <w:ind w:right="-42" w:rightChars="-20"/>
              <w:jc w:val="center"/>
              <w:rPr>
                <w:rFonts w:ascii="Arial" w:eastAsia="黑体" w:hAnsi="Arial" w:cs="Arial"/>
                <w:szCs w:val="20"/>
              </w:rPr>
            </w:pPr>
          </w:p>
        </w:tc>
        <w:tc>
          <w:tcPr>
            <w:tcW w:w="678" w:type="pct"/>
            <w:vMerge w:val="restart"/>
            <w:vAlign w:val="center"/>
          </w:tcPr>
          <w:p w14:paraId="2F5ACADD">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1B3476D9">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434FCC86">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3CE51E4F">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29C27352">
            <w:pPr>
              <w:ind w:right="-42" w:firstLine="840" w:rightChars="-20" w:firstLineChars="400"/>
              <w:rPr>
                <w:rFonts w:ascii="Arial" w:eastAsia="黑体" w:hAnsi="Arial" w:cs="Arial"/>
                <w:szCs w:val="20"/>
              </w:rPr>
            </w:pPr>
            <w:r>
              <w:rPr>
                <w:rFonts w:ascii="Arial" w:eastAsia="黑体" w:hAnsi="Arial" w:cs="Arial"/>
                <w:szCs w:val="20"/>
              </w:rPr>
              <w:t>万元</w:t>
            </w:r>
          </w:p>
        </w:tc>
      </w:tr>
      <w:tr w14:paraId="31D4362E">
        <w:tblPrEx>
          <w:tblW w:w="5000" w:type="pct"/>
          <w:tblInd w:w="0" w:type="dxa"/>
          <w:tblCellMar>
            <w:top w:w="0" w:type="dxa"/>
            <w:left w:w="108" w:type="dxa"/>
            <w:bottom w:w="0" w:type="dxa"/>
            <w:right w:w="108" w:type="dxa"/>
          </w:tblCellMar>
        </w:tblPrEx>
        <w:trPr>
          <w:trHeight w:val="397"/>
        </w:trPr>
        <w:tc>
          <w:tcPr>
            <w:tcW w:w="796" w:type="pct"/>
            <w:vMerge/>
            <w:vAlign w:val="center"/>
          </w:tcPr>
          <w:p w14:paraId="1EDAA8F3">
            <w:pPr>
              <w:ind w:right="-42" w:rightChars="-20"/>
              <w:jc w:val="center"/>
              <w:rPr>
                <w:rFonts w:ascii="Arial" w:eastAsia="黑体" w:hAnsi="Arial" w:cs="Arial"/>
                <w:szCs w:val="20"/>
              </w:rPr>
            </w:pPr>
          </w:p>
        </w:tc>
        <w:tc>
          <w:tcPr>
            <w:tcW w:w="678" w:type="pct"/>
            <w:vMerge/>
            <w:vAlign w:val="center"/>
          </w:tcPr>
          <w:p w14:paraId="623BD69C">
            <w:pPr>
              <w:snapToGrid w:val="0"/>
              <w:ind w:right="-42" w:rightChars="-20"/>
              <w:rPr>
                <w:rFonts w:ascii="Arial" w:eastAsia="黑体" w:hAnsi="Arial" w:cs="Arial"/>
                <w:szCs w:val="20"/>
              </w:rPr>
            </w:pPr>
          </w:p>
        </w:tc>
        <w:tc>
          <w:tcPr>
            <w:tcW w:w="940" w:type="pct"/>
            <w:gridSpan w:val="3"/>
            <w:vMerge/>
            <w:vAlign w:val="center"/>
          </w:tcPr>
          <w:p w14:paraId="4555D0E3">
            <w:pPr>
              <w:snapToGrid w:val="0"/>
              <w:ind w:right="-42" w:rightChars="-20"/>
              <w:rPr>
                <w:rFonts w:ascii="Arial" w:eastAsia="黑体" w:hAnsi="Arial" w:cs="Arial"/>
                <w:szCs w:val="20"/>
              </w:rPr>
            </w:pPr>
          </w:p>
        </w:tc>
        <w:tc>
          <w:tcPr>
            <w:tcW w:w="806" w:type="pct"/>
            <w:gridSpan w:val="2"/>
            <w:vMerge/>
            <w:vAlign w:val="center"/>
          </w:tcPr>
          <w:p w14:paraId="252EC6DA">
            <w:pPr>
              <w:ind w:right="-42" w:rightChars="-20"/>
              <w:jc w:val="center"/>
              <w:rPr>
                <w:rFonts w:ascii="Arial" w:eastAsia="黑体" w:hAnsi="Arial" w:cs="Arial"/>
                <w:szCs w:val="20"/>
              </w:rPr>
            </w:pPr>
          </w:p>
        </w:tc>
        <w:tc>
          <w:tcPr>
            <w:tcW w:w="757" w:type="pct"/>
            <w:vAlign w:val="center"/>
          </w:tcPr>
          <w:p w14:paraId="54AC2450">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689EF08B">
            <w:pPr>
              <w:ind w:right="-42" w:firstLine="840" w:rightChars="-20" w:firstLineChars="400"/>
              <w:rPr>
                <w:rFonts w:ascii="Arial" w:eastAsia="黑体" w:hAnsi="Arial" w:cs="Arial"/>
                <w:szCs w:val="20"/>
              </w:rPr>
            </w:pPr>
            <w:r>
              <w:rPr>
                <w:rFonts w:ascii="Arial" w:eastAsia="黑体" w:hAnsi="Arial" w:cs="Arial"/>
                <w:szCs w:val="20"/>
              </w:rPr>
              <w:t>万元</w:t>
            </w:r>
          </w:p>
        </w:tc>
      </w:tr>
      <w:tr w14:paraId="6CDD2C52">
        <w:tblPrEx>
          <w:tblW w:w="5000" w:type="pct"/>
          <w:tblInd w:w="0" w:type="dxa"/>
          <w:tblCellMar>
            <w:top w:w="0" w:type="dxa"/>
            <w:left w:w="108" w:type="dxa"/>
            <w:bottom w:w="0" w:type="dxa"/>
            <w:right w:w="108" w:type="dxa"/>
          </w:tblCellMar>
        </w:tblPrEx>
        <w:trPr>
          <w:trHeight w:val="397"/>
        </w:trPr>
        <w:tc>
          <w:tcPr>
            <w:tcW w:w="796" w:type="pct"/>
            <w:vMerge/>
            <w:vAlign w:val="center"/>
          </w:tcPr>
          <w:p w14:paraId="23C319ED">
            <w:pPr>
              <w:ind w:right="-42" w:rightChars="-20"/>
              <w:jc w:val="center"/>
              <w:rPr>
                <w:rFonts w:ascii="Arial" w:eastAsia="黑体" w:hAnsi="Arial" w:cs="Arial"/>
                <w:szCs w:val="20"/>
              </w:rPr>
            </w:pPr>
          </w:p>
        </w:tc>
        <w:tc>
          <w:tcPr>
            <w:tcW w:w="678" w:type="pct"/>
            <w:vAlign w:val="center"/>
          </w:tcPr>
          <w:p w14:paraId="039E0DE2">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1929307E">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34A38DA7">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37820313">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2D1DA57A">
            <w:pPr>
              <w:ind w:right="-42" w:firstLine="840" w:rightChars="-20" w:firstLineChars="400"/>
              <w:rPr>
                <w:rFonts w:ascii="Arial" w:eastAsia="黑体" w:hAnsi="Arial" w:cs="Arial"/>
                <w:szCs w:val="20"/>
              </w:rPr>
            </w:pPr>
            <w:r>
              <w:rPr>
                <w:rFonts w:ascii="Arial" w:eastAsia="黑体" w:hAnsi="Arial" w:cs="Arial"/>
                <w:szCs w:val="20"/>
              </w:rPr>
              <w:t>万元</w:t>
            </w:r>
          </w:p>
        </w:tc>
      </w:tr>
      <w:tr w14:paraId="19757EB8">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0E5275C5">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273BE9A5">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39D2742C">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2A2CA4DB">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0D06C7C9">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0F7BAB38">
            <w:pPr>
              <w:ind w:right="-42" w:rightChars="-20"/>
              <w:jc w:val="center"/>
              <w:rPr>
                <w:rFonts w:ascii="Arial" w:eastAsia="黑体" w:hAnsi="Arial" w:cs="Arial"/>
                <w:szCs w:val="20"/>
              </w:rPr>
            </w:pPr>
            <w:r>
              <w:rPr>
                <w:rFonts w:ascii="Arial" w:eastAsia="黑体" w:hAnsi="Arial" w:cs="Arial"/>
                <w:szCs w:val="20"/>
              </w:rPr>
              <w:t>负债总额</w:t>
            </w:r>
          </w:p>
        </w:tc>
      </w:tr>
      <w:tr w14:paraId="49FD35FB">
        <w:tblPrEx>
          <w:tblW w:w="5000" w:type="pct"/>
          <w:tblInd w:w="0" w:type="dxa"/>
          <w:tblCellMar>
            <w:top w:w="0" w:type="dxa"/>
            <w:left w:w="108" w:type="dxa"/>
            <w:bottom w:w="0" w:type="dxa"/>
            <w:right w:w="108" w:type="dxa"/>
          </w:tblCellMar>
        </w:tblPrEx>
        <w:trPr>
          <w:trHeight w:val="397"/>
        </w:trPr>
        <w:tc>
          <w:tcPr>
            <w:tcW w:w="796" w:type="pct"/>
            <w:vMerge/>
            <w:vAlign w:val="center"/>
          </w:tcPr>
          <w:p w14:paraId="058B226C">
            <w:pPr>
              <w:ind w:right="-42" w:rightChars="-20"/>
              <w:jc w:val="center"/>
              <w:rPr>
                <w:rFonts w:ascii="Arial" w:eastAsia="黑体" w:hAnsi="Arial" w:cs="Arial"/>
                <w:szCs w:val="20"/>
              </w:rPr>
            </w:pPr>
          </w:p>
        </w:tc>
        <w:tc>
          <w:tcPr>
            <w:tcW w:w="678" w:type="pct"/>
            <w:vAlign w:val="center"/>
          </w:tcPr>
          <w:p w14:paraId="0FAA31AA">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148CE475">
            <w:pPr>
              <w:snapToGrid w:val="0"/>
              <w:ind w:right="-42" w:rightChars="-20"/>
              <w:rPr>
                <w:rFonts w:ascii="Arial" w:eastAsia="黑体" w:hAnsi="Arial" w:cs="Arial"/>
                <w:szCs w:val="20"/>
              </w:rPr>
            </w:pPr>
          </w:p>
        </w:tc>
        <w:tc>
          <w:tcPr>
            <w:tcW w:w="806" w:type="pct"/>
            <w:gridSpan w:val="2"/>
            <w:vAlign w:val="center"/>
          </w:tcPr>
          <w:p w14:paraId="46BF86E7">
            <w:pPr>
              <w:ind w:right="-42" w:rightChars="-20"/>
              <w:rPr>
                <w:rFonts w:ascii="Arial" w:eastAsia="黑体" w:hAnsi="Arial" w:cs="Arial"/>
                <w:szCs w:val="20"/>
              </w:rPr>
            </w:pPr>
          </w:p>
        </w:tc>
        <w:tc>
          <w:tcPr>
            <w:tcW w:w="757" w:type="pct"/>
            <w:vAlign w:val="center"/>
          </w:tcPr>
          <w:p w14:paraId="5942F9EF">
            <w:pPr>
              <w:ind w:right="-42" w:rightChars="-20"/>
              <w:rPr>
                <w:rFonts w:ascii="Arial" w:eastAsia="黑体" w:hAnsi="Arial" w:cs="Arial"/>
                <w:szCs w:val="20"/>
              </w:rPr>
            </w:pPr>
          </w:p>
        </w:tc>
        <w:tc>
          <w:tcPr>
            <w:tcW w:w="1023" w:type="pct"/>
            <w:vAlign w:val="center"/>
          </w:tcPr>
          <w:p w14:paraId="16565670">
            <w:pPr>
              <w:ind w:right="-42" w:rightChars="-20"/>
              <w:rPr>
                <w:rFonts w:ascii="Arial" w:eastAsia="黑体" w:hAnsi="Arial" w:cs="Arial"/>
                <w:szCs w:val="20"/>
              </w:rPr>
            </w:pPr>
          </w:p>
        </w:tc>
      </w:tr>
    </w:tbl>
    <w:p w14:paraId="63F744A8">
      <w:pPr>
        <w:tabs>
          <w:tab w:val="left" w:pos="5580"/>
        </w:tabs>
        <w:adjustRightInd w:val="0"/>
        <w:snapToGrid w:val="0"/>
        <w:spacing w:line="360" w:lineRule="auto"/>
        <w:jc w:val="center"/>
        <w:rPr>
          <w:rFonts w:ascii="宋体" w:eastAsia="宋体" w:hAnsi="宋体" w:cs="Times New Roman"/>
          <w:szCs w:val="21"/>
        </w:rPr>
      </w:pPr>
    </w:p>
    <w:p w14:paraId="26FB9144">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10" w:name="OLE_LINK46"/>
      <w:r>
        <w:rPr>
          <w:rFonts w:ascii="Times New Roman" w:eastAsia="宋体" w:hAnsi="Times New Roman" w:cs="Times New Roman" w:hint="eastAsia"/>
          <w:szCs w:val="20"/>
        </w:rPr>
        <w:t>“微型企业”。</w:t>
      </w:r>
      <w:bookmarkEnd w:id="10"/>
      <w:r>
        <w:rPr>
          <w:rFonts w:ascii="Times New Roman" w:eastAsia="宋体" w:hAnsi="Times New Roman" w:cs="Times New Roman" w:hint="eastAsia"/>
          <w:szCs w:val="20"/>
        </w:rPr>
        <w:t>属于监狱企业的应填写为“监狱企业”，属于残疾人福利性单位的应填写为“残疾人福利性单位”。</w:t>
      </w:r>
    </w:p>
    <w:p w14:paraId="6B1D687E">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1096DCFF"/>
    <w:p w14:paraId="77F21AB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126E0A3B">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如响应人提交的响应文件商务条款及合同条款与采购文件的要求存在偏离，需逐项填写；如响应人完全满足采购文件的要求，则需应答“完全满足采购文件的全部要求”；如</w:t>
      </w:r>
      <w:r>
        <w:rPr>
          <w:rFonts w:ascii="Times New Roman" w:eastAsia="宋体" w:hAnsi="Times New Roman" w:cs="Times New Roman" w:hint="eastAsia"/>
          <w:szCs w:val="20"/>
        </w:rPr>
        <w:t>项目分包的，应以包为单位分别填写；如未逐包分别填写，可能导致的不利后果由响应人承担。</w:t>
      </w:r>
    </w:p>
    <w:p w14:paraId="4DC7BFF4">
      <w:pPr>
        <w:tabs>
          <w:tab w:val="left" w:pos="1573"/>
        </w:tabs>
        <w:adjustRightInd w:val="0"/>
        <w:snapToGrid w:val="0"/>
        <w:spacing w:line="360" w:lineRule="auto"/>
        <w:ind w:firstLine="412" w:firstLineChars="196"/>
        <w:rPr>
          <w:rFonts w:ascii="宋体" w:eastAsia="宋体" w:hAnsi="宋体" w:cs="Times New Roman"/>
          <w:szCs w:val="21"/>
        </w:rPr>
      </w:pPr>
    </w:p>
    <w:p w14:paraId="6BE0FE96">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7CDE41EF">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66258CC1">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0F1E44B4">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4CE4E2DE">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采购文件条目号</w:t>
            </w:r>
          </w:p>
        </w:tc>
        <w:tc>
          <w:tcPr>
            <w:tcW w:w="1701" w:type="dxa"/>
            <w:vAlign w:val="center"/>
          </w:tcPr>
          <w:p w14:paraId="4A6BC6A0">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采购文件商务文件要求</w:t>
            </w:r>
          </w:p>
        </w:tc>
        <w:tc>
          <w:tcPr>
            <w:tcW w:w="1843" w:type="dxa"/>
            <w:vAlign w:val="center"/>
          </w:tcPr>
          <w:p w14:paraId="7129E52B">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367FFC45">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6A994FCF">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01FC2AE3">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16BB6B0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042ACF4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4896B39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328666A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7147E361">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21391F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60D80FCD">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18B9583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72142791">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5273F0B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CCBAB9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5DEDC05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439A213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54953857">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39E7B818">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6D944694">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71E52FBA"/>
    <w:p w14:paraId="3F63E40D">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1F4C2801">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2E60C021">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3206492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2.10.2近一年内任何完税凭证或税务部门出具的税收减免证明</w:t>
      </w:r>
    </w:p>
    <w:p w14:paraId="7946E7F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5AC8986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2.10.3近一年内任何一期社会保障资金缴纳凭证</w:t>
      </w:r>
    </w:p>
    <w:p w14:paraId="088F21EA">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728C6EF7">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2.10.4财务状况证明</w:t>
      </w:r>
    </w:p>
    <w:p w14:paraId="42E03EF0">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2A3B0117">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2.10.5参加政府采购活动前三年内，在经营活动中没有重大违法记录的声明</w:t>
      </w:r>
    </w:p>
    <w:p w14:paraId="394C0B5A">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109C537D">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1728D6AE">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5898B6A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3AA730C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1E3AAF4B">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67ADADBA">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4AB0F1F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73D2FE3E">
      <w:pPr>
        <w:adjustRightInd w:val="0"/>
        <w:snapToGrid w:val="0"/>
        <w:spacing w:line="360" w:lineRule="auto"/>
        <w:ind w:firstLine="412" w:firstLineChars="196"/>
        <w:rPr>
          <w:rFonts w:ascii="Times New Roman" w:eastAsia="宋体" w:hAnsi="Times New Roman" w:cs="Times New Roman"/>
          <w:szCs w:val="20"/>
        </w:rPr>
      </w:pPr>
    </w:p>
    <w:p w14:paraId="048C1D6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1" w:name="_Hlt509739007"/>
      <w:bookmarkEnd w:id="11"/>
      <w:r>
        <w:rPr>
          <w:rFonts w:ascii="宋体" w:eastAsia="宋体" w:hAnsi="宋体" w:cs="Times New Roman" w:hint="eastAsia"/>
          <w:b/>
          <w:szCs w:val="21"/>
        </w:rPr>
        <w:t>2.10.6响应人信用查询记录。</w:t>
      </w:r>
    </w:p>
    <w:p w14:paraId="4C617A8D">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查询记录截图，查询时间为采购文件发出之日后。</w:t>
      </w:r>
    </w:p>
    <w:p w14:paraId="05B3E808">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2.10.7响应货物的《气象专用技术装备使用许可证》。</w:t>
      </w:r>
    </w:p>
    <w:p w14:paraId="26E038D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如响应货物必须取得《气象专用技术装备使用许可证》的，应提供气象行业主管部门颁发的且至提交首次响应文件截止日仍有效的《气象专用技术装备使用许可证》的复印件</w:t>
      </w:r>
      <w:r>
        <w:rPr>
          <w:rFonts w:ascii="宋体" w:eastAsia="宋体" w:hAnsi="宋体" w:cs="Times New Roman" w:hint="eastAsia"/>
          <w:szCs w:val="21"/>
        </w:rPr>
        <w:t>，且所载产品名称、规格型号应与响应货物的名称、规格型号一致</w:t>
      </w:r>
      <w:r>
        <w:rPr>
          <w:rFonts w:ascii="宋体" w:eastAsia="拒绝" w:hAnsi="宋体" w:cs="Times New Roman" w:hint="eastAsia"/>
          <w:b/>
          <w:szCs w:val="21"/>
        </w:rPr>
        <w:t>。</w:t>
      </w:r>
    </w:p>
    <w:p w14:paraId="2FA1B6A3">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2.10.8进口产品制造商授权书</w:t>
      </w:r>
    </w:p>
    <w:p w14:paraId="3142BAD3">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7855F069">
      <w:pPr>
        <w:adjustRightInd w:val="0"/>
        <w:snapToGrid w:val="0"/>
        <w:spacing w:line="360" w:lineRule="auto"/>
        <w:ind w:firstLine="412" w:firstLineChars="196"/>
        <w:rPr>
          <w:rFonts w:ascii="宋体" w:eastAsia="宋体" w:hAnsi="宋体" w:cs="Times New Roman"/>
          <w:szCs w:val="20"/>
        </w:rPr>
      </w:pPr>
    </w:p>
    <w:p w14:paraId="07EF9419">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20D8770E">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0B56255B">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6B75EA48">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采购邀请要求提供的由我方制造的货物的有关事宜，并对我方具有约束力。</w:t>
      </w:r>
    </w:p>
    <w:p w14:paraId="58F5C8C1">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（2）作为制造商，我方保证以响应合作者来约束自己，并对该响应共同和分别承担采购文件中所规定的义务。</w:t>
      </w:r>
    </w:p>
    <w:p w14:paraId="00370707">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0685EBFD">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7326E884">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79C3BE0B">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02217184">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2789BB58">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2EA7A6EF">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533ACF5A">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6137C81F">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2" w:name="_Toc86202647"/>
      <w:r>
        <w:rPr>
          <w:rFonts w:ascii="宋体" w:eastAsia="宋体" w:hAnsi="宋体" w:cs="Times New Roman" w:hint="eastAsia"/>
          <w:b/>
          <w:szCs w:val="21"/>
        </w:rPr>
        <w:t>2.10.9中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26AF39F5">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bCs/>
          <w:szCs w:val="21"/>
        </w:rPr>
        <w:t>符合条件的响应人提供，在公布成交结果时使用。</w:t>
      </w:r>
    </w:p>
    <w:p w14:paraId="74522031">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39AF1BC1">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618C04F3">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（货物）</w:t>
      </w:r>
    </w:p>
    <w:p w14:paraId="61387A6C">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14:paraId="0387D4F7">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（采购文件中明确的所属行业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314D4BC2">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（采购文件中明确的所属行业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1B4CDB9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w:t>
      </w:r>
    </w:p>
    <w:p w14:paraId="2D2CCC8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14:paraId="7E737B5F">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本企业对上述声明内容的真实性负责。如有虚假，将依法承担相应责任。</w:t>
      </w:r>
    </w:p>
    <w:p w14:paraId="2CB66546">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75E72110">
      <w:pPr>
        <w:autoSpaceDN w:val="0"/>
        <w:spacing w:line="440" w:lineRule="exact"/>
        <w:ind w:right="170"/>
        <w:rPr>
          <w:rFonts w:ascii="华文楷体" w:eastAsia="华文楷体" w:hAnsi="华文楷体" w:cs="仿宋_GB2312"/>
          <w:szCs w:val="21"/>
        </w:rPr>
      </w:pPr>
    </w:p>
    <w:p w14:paraId="0EEBB985">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14:paraId="61138734">
      <w:pPr>
        <w:adjustRightInd w:val="0"/>
        <w:snapToGrid w:val="0"/>
        <w:spacing w:line="480" w:lineRule="auto"/>
        <w:ind w:right="105" w:firstLine="3780" w:rightChars="50" w:firstLineChars="1800"/>
        <w:jc w:val="left"/>
        <w:rPr>
          <w:rFonts w:ascii="华文楷体" w:eastAsia="华文楷体" w:hAnsi="华文楷体" w:cs="仿宋_GB2312"/>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14:paraId="1FFEE032">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39D3E6B9">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3D901141">
      <w:pPr>
        <w:tabs>
          <w:tab w:val="left" w:pos="1573"/>
        </w:tabs>
        <w:autoSpaceDN w:val="0"/>
        <w:adjustRightInd w:val="0"/>
        <w:snapToGrid w:val="0"/>
        <w:spacing w:line="360" w:lineRule="auto"/>
        <w:jc w:val="center"/>
        <w:rPr>
          <w:rFonts w:ascii="华文楷体" w:eastAsia="华文楷体" w:hAnsi="华文楷体" w:cs="仿宋_GB2312"/>
          <w:b/>
          <w:szCs w:val="21"/>
        </w:rPr>
      </w:pPr>
    </w:p>
    <w:p w14:paraId="0D3CBD50">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5DBA011A">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D0FAA27">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45AB11C9">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61C7344C">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响应人名称（电子签章）：</w:t>
      </w:r>
    </w:p>
    <w:p w14:paraId="73DFF7E2">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日  期：</w:t>
      </w:r>
    </w:p>
    <w:p w14:paraId="75427F57">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1CA789DA">
      <w:pPr>
        <w:autoSpaceDN w:val="0"/>
        <w:spacing w:line="440" w:lineRule="exact"/>
        <w:ind w:firstLine="420" w:firstLineChars="200"/>
        <w:rPr>
          <w:rFonts w:ascii="宋体" w:eastAsia="宋体" w:hAnsi="宋体" w:cs="仿宋_GB2312"/>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0BC93737">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240BCF13">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2.10.10联合体协议</w:t>
      </w:r>
    </w:p>
    <w:p w14:paraId="27D50555">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41D746DF">
      <w:pPr>
        <w:tabs>
          <w:tab w:val="left" w:pos="1573"/>
        </w:tabs>
        <w:autoSpaceDN w:val="0"/>
        <w:adjustRightInd w:val="0"/>
        <w:snapToGrid w:val="0"/>
        <w:spacing w:line="360" w:lineRule="auto"/>
        <w:rPr>
          <w:rFonts w:ascii="宋体" w:eastAsia="宋体" w:hAnsi="宋体" w:cs="Times New Roman"/>
          <w:b/>
          <w:szCs w:val="21"/>
        </w:rPr>
      </w:pPr>
    </w:p>
    <w:p w14:paraId="04C773D4">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753DAA03">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5911E51F">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553D27B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78AEFEC0">
      <w:pPr>
        <w:spacing w:line="360" w:lineRule="auto"/>
        <w:ind w:firstLine="420" w:firstLineChars="200"/>
        <w:rPr>
          <w:rFonts w:ascii="华文楷体" w:eastAsia="华文楷体" w:hAnsi="华文楷体" w:cs="仿宋_GB2312"/>
          <w:szCs w:val="21"/>
          <w:u w:val="single"/>
        </w:rPr>
      </w:pPr>
      <w:bookmarkStart w:id="13" w:name="_Toc23749_WPSOffice_Level2"/>
      <w:bookmarkStart w:id="14" w:name="_Toc15561_WPSOffice_Level2"/>
      <w:r>
        <w:rPr>
          <w:rFonts w:ascii="华文楷体" w:eastAsia="华文楷体" w:hAnsi="华文楷体" w:cs="仿宋_GB2312" w:hint="eastAsia"/>
          <w:szCs w:val="21"/>
        </w:rPr>
        <w:t>1.</w:t>
      </w:r>
      <w:bookmarkEnd w:id="13"/>
      <w:bookmarkEnd w:id="14"/>
      <w:r>
        <w:rPr>
          <w:rFonts w:ascii="华文楷体" w:eastAsia="华文楷体" w:hAnsi="华文楷体" w:cs="仿宋_GB2312" w:hint="eastAsia"/>
          <w:szCs w:val="21"/>
          <w:u w:val="single"/>
        </w:rPr>
        <w:t xml:space="preserve">                  </w:t>
      </w:r>
    </w:p>
    <w:p w14:paraId="61EA2B31">
      <w:pPr>
        <w:spacing w:line="360" w:lineRule="auto"/>
        <w:ind w:firstLine="420" w:firstLineChars="200"/>
        <w:rPr>
          <w:rFonts w:ascii="华文楷体" w:eastAsia="华文楷体" w:hAnsi="华文楷体" w:cs="仿宋_GB2312"/>
          <w:szCs w:val="21"/>
        </w:rPr>
      </w:pPr>
      <w:bookmarkStart w:id="15" w:name="_Toc405_WPSOffice_Level2"/>
      <w:bookmarkStart w:id="16" w:name="_Toc22173_WPSOffice_Level2"/>
      <w:r>
        <w:rPr>
          <w:rFonts w:ascii="华文楷体" w:eastAsia="华文楷体" w:hAnsi="华文楷体" w:cs="仿宋_GB2312" w:hint="eastAsia"/>
          <w:szCs w:val="21"/>
        </w:rPr>
        <w:t>2.</w:t>
      </w:r>
      <w:bookmarkEnd w:id="15"/>
      <w:bookmarkEnd w:id="16"/>
      <w:r>
        <w:rPr>
          <w:rFonts w:ascii="华文楷体" w:eastAsia="华文楷体" w:hAnsi="华文楷体" w:cs="仿宋_GB2312" w:hint="eastAsia"/>
          <w:szCs w:val="21"/>
          <w:u w:val="single"/>
        </w:rPr>
        <w:t xml:space="preserve">                  </w:t>
      </w:r>
    </w:p>
    <w:p w14:paraId="2E5202BA">
      <w:pPr>
        <w:spacing w:line="360" w:lineRule="auto"/>
        <w:ind w:firstLine="420" w:firstLineChars="200"/>
        <w:rPr>
          <w:rFonts w:ascii="华文楷体" w:eastAsia="华文楷体" w:hAnsi="华文楷体" w:cs="仿宋_GB2312"/>
          <w:szCs w:val="21"/>
        </w:rPr>
      </w:pPr>
      <w:bookmarkStart w:id="17" w:name="_Toc23482_WPSOffice_Level2"/>
      <w:bookmarkStart w:id="18" w:name="_Toc7084_WPSOffice_Level2"/>
      <w:r>
        <w:rPr>
          <w:rFonts w:ascii="华文楷体" w:eastAsia="华文楷体" w:hAnsi="华文楷体" w:cs="仿宋_GB2312" w:hint="eastAsia"/>
          <w:szCs w:val="21"/>
        </w:rPr>
        <w:t>3.</w:t>
      </w:r>
      <w:bookmarkEnd w:id="17"/>
      <w:bookmarkEnd w:id="18"/>
      <w:r>
        <w:rPr>
          <w:rFonts w:ascii="华文楷体" w:eastAsia="华文楷体" w:hAnsi="华文楷体" w:cs="仿宋_GB2312" w:hint="eastAsia"/>
          <w:szCs w:val="21"/>
          <w:u w:val="single"/>
        </w:rPr>
        <w:t xml:space="preserve">                  </w:t>
      </w:r>
    </w:p>
    <w:p w14:paraId="3873E00C">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7A0C76EE">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3222D297">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四、联合体将严格按照采购文件的各项要求，递交响应文件，参加响应，履行成交义务和成交后的合同，并向采购人承担连带责任。</w:t>
      </w:r>
    </w:p>
    <w:p w14:paraId="0D65125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7FC9892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4994F58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0F00FD5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39A85D71">
      <w:pPr>
        <w:spacing w:line="360" w:lineRule="auto"/>
        <w:ind w:firstLine="420" w:firstLineChars="200"/>
        <w:rPr>
          <w:rFonts w:ascii="华文楷体" w:eastAsia="华文楷体" w:hAnsi="华文楷体" w:cs="仿宋_GB2312"/>
          <w:szCs w:val="21"/>
        </w:rPr>
      </w:pPr>
    </w:p>
    <w:p w14:paraId="15B5439A">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59010A82">
      <w:pPr>
        <w:spacing w:line="360" w:lineRule="auto"/>
        <w:ind w:firstLine="2835" w:firstLineChars="1350"/>
        <w:rPr>
          <w:rFonts w:ascii="华文楷体" w:eastAsia="华文楷体" w:hAnsi="华文楷体" w:cs="仿宋_GB2312"/>
          <w:szCs w:val="21"/>
        </w:rPr>
      </w:pPr>
    </w:p>
    <w:p w14:paraId="04C0C807">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60006F91">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328F9083">
      <w:pPr>
        <w:spacing w:line="360" w:lineRule="exact"/>
        <w:ind w:right="1050" w:firstLine="2835" w:rightChars="500" w:firstLineChars="1350"/>
        <w:jc w:val="left"/>
        <w:rPr>
          <w:rFonts w:ascii="华文楷体" w:eastAsia="华文楷体" w:hAnsi="华文楷体" w:cs="仿宋_GB2312"/>
          <w:szCs w:val="21"/>
        </w:rPr>
      </w:pPr>
    </w:p>
    <w:p w14:paraId="585FC66D">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707C380B">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6EA2FF54">
      <w:pPr>
        <w:spacing w:line="360" w:lineRule="exact"/>
        <w:ind w:right="1050" w:firstLine="2835" w:rightChars="500" w:firstLineChars="1350"/>
        <w:jc w:val="left"/>
        <w:rPr>
          <w:rFonts w:ascii="华文楷体" w:eastAsia="华文楷体" w:hAnsi="华文楷体" w:cs="仿宋_GB2312"/>
          <w:szCs w:val="21"/>
        </w:rPr>
      </w:pPr>
    </w:p>
    <w:p w14:paraId="12440FD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2.10.11分包意向协议</w:t>
      </w:r>
    </w:p>
    <w:p w14:paraId="1B044DB3">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4A17E9DF">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0E535015">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59832659">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258A4868">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2EB13DE4">
      <w:pPr>
        <w:autoSpaceDN w:val="0"/>
        <w:spacing w:line="440" w:lineRule="exact"/>
        <w:ind w:firstLine="420" w:firstLineChars="200"/>
        <w:rPr>
          <w:rFonts w:ascii="华文楷体" w:eastAsia="华文楷体" w:hAnsi="华文楷体" w:cs="仿宋_GB2312"/>
          <w:szCs w:val="21"/>
        </w:rPr>
      </w:pPr>
    </w:p>
    <w:p w14:paraId="7EF65905">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091F6D07">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7AB96CB2">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7C5D2762">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610B0237">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5CB25AE6">
      <w:pPr>
        <w:tabs>
          <w:tab w:val="left" w:pos="1573"/>
        </w:tabs>
        <w:autoSpaceDN w:val="0"/>
        <w:adjustRightInd w:val="0"/>
        <w:snapToGrid w:val="0"/>
        <w:spacing w:line="360" w:lineRule="auto"/>
        <w:rPr>
          <w:rFonts w:ascii="宋体" w:eastAsia="宋体" w:hAnsi="宋体" w:cs="Times New Roman"/>
          <w:b/>
          <w:szCs w:val="21"/>
        </w:rPr>
      </w:pPr>
    </w:p>
    <w:bookmarkEnd w:id="12"/>
    <w:p w14:paraId="797B54C6">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2.10.12其他资格证明文件</w:t>
      </w:r>
    </w:p>
    <w:p w14:paraId="0FFCE6D3">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136676F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1</w:t>
      </w:r>
      <w:r>
        <w:rPr>
          <w:rFonts w:ascii="宋体" w:eastAsia="宋体" w:hAnsi="宋体" w:cs="Times New Roman" w:hint="eastAsia"/>
          <w:b/>
          <w:szCs w:val="20"/>
        </w:rPr>
        <w:t>其他商务文件</w:t>
      </w:r>
    </w:p>
    <w:p w14:paraId="79A3A601">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按照第五章响应人须知专用部分5.7条规定应提交的各种商务</w:t>
      </w:r>
      <w:r>
        <w:rPr>
          <w:rFonts w:ascii="宋体" w:eastAsia="宋体" w:hAnsi="宋体" w:cs="Times New Roman" w:hint="eastAsia"/>
          <w:szCs w:val="20"/>
        </w:rPr>
        <w:t>文件。</w:t>
      </w:r>
    </w:p>
    <w:p w14:paraId="27D69143"/>
    <w:p w14:paraId="237707DD">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2</w:t>
      </w:r>
      <w:r>
        <w:rPr>
          <w:rFonts w:ascii="宋体" w:eastAsia="宋体" w:hAnsi="宋体" w:cs="Times New Roman" w:hint="eastAsia"/>
          <w:b/>
          <w:szCs w:val="20"/>
        </w:rPr>
        <w:t>响应人自行编写的商务文件</w:t>
      </w:r>
    </w:p>
    <w:p w14:paraId="53A58A25">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响应人认为需要进行介绍、说明的其他事项，由响应人自行设计格式。</w:t>
      </w:r>
    </w:p>
    <w:p w14:paraId="557E0480"/>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sectPr>
          <w:headerReference w:type="default" r:id="rId6"/>
          <w:footerReference w:type="default" r:id="rId7"/>
          <w:pgSz w:w="11906" w:h="16838"/>
          <w:pgMar w:top="1418" w:right="1418" w:bottom="1418" w:left="1701" w:header="851" w:footer="851" w:gutter="0"/>
          <w:pgNumType w:start="1"/>
          <w:cols w:num="1" w:space="720"/>
          <w:docGrid w:type="linesAndChars" w:linePitch="312" w:charSpace="0"/>
        </w:sectPr>
      </w:pPr>
      <w:bookmarkEnd w:id="8"/>
    </w:p>
    <w:p w14:paraId="7B216502">
      <w:pPr>
        <w:adjustRightInd w:val="0"/>
        <w:snapToGrid w:val="0"/>
        <w:spacing w:line="360" w:lineRule="auto"/>
        <w:ind w:firstLine="420"/>
        <w:outlineLvl w:val="9"/>
        <w:rPr>
          <w:rFonts w:ascii="宋体" w:eastAsia="宋体" w:hAnsi="宋体" w:cs="Times New Roman"/>
          <w:b/>
          <w:bCs/>
          <w:szCs w:val="44"/>
        </w:rPr>
      </w:pPr>
    </w:p>
    <w:p w14:paraId="2B5113BB">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bookmarkEnd w:id="7"/>
    <w:p w14:paraId="4905C75D">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2.13报价一览表</w:t>
      </w:r>
    </w:p>
    <w:p w14:paraId="0350C1C7">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3CF38556">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5B130884">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433AE4CE">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1D4B709B">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4B2D7F2B">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558DDA36">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45D92FE6">
            <w:pPr>
              <w:tabs>
                <w:tab w:val="left" w:pos="5580"/>
              </w:tabs>
              <w:adjustRightInd w:val="0"/>
              <w:snapToGrid w:val="0"/>
              <w:spacing w:line="360" w:lineRule="auto"/>
              <w:jc w:val="center"/>
              <w:rPr>
                <w:rFonts w:ascii="华文楷体" w:eastAsia="华文楷体" w:hAnsi="华文楷体" w:cs="Times New Roman"/>
                <w:szCs w:val="21"/>
              </w:rPr>
            </w:pPr>
          </w:p>
        </w:tc>
      </w:tr>
      <w:tr w14:paraId="0D063ECA">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232399D3">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5D057A76">
            <w:pPr>
              <w:tabs>
                <w:tab w:val="left" w:pos="5580"/>
              </w:tabs>
              <w:adjustRightInd w:val="0"/>
              <w:snapToGrid w:val="0"/>
              <w:spacing w:line="360" w:lineRule="auto"/>
              <w:jc w:val="center"/>
              <w:rPr>
                <w:rFonts w:ascii="华文楷体" w:eastAsia="华文楷体" w:hAnsi="华文楷体" w:cs="Times New Roman"/>
                <w:szCs w:val="21"/>
              </w:rPr>
            </w:pPr>
          </w:p>
        </w:tc>
      </w:tr>
    </w:tbl>
    <w:p w14:paraId="1C06F5DC">
      <w:pPr>
        <w:adjustRightInd w:val="0"/>
        <w:snapToGrid w:val="0"/>
        <w:spacing w:line="360" w:lineRule="auto"/>
        <w:rPr>
          <w:rFonts w:ascii="华文楷体" w:eastAsia="华文楷体" w:hAnsi="华文楷体" w:cs="Times New Roman"/>
          <w:szCs w:val="21"/>
        </w:rPr>
      </w:pPr>
    </w:p>
    <w:p w14:paraId="093B7AE9">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4C8E3E55">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2CFCF2AA">
      <w:pPr>
        <w:tabs>
          <w:tab w:val="left" w:pos="5580"/>
        </w:tabs>
        <w:adjustRightInd w:val="0"/>
        <w:snapToGrid w:val="0"/>
        <w:spacing w:line="360" w:lineRule="auto"/>
        <w:jc w:val="left"/>
        <w:rPr>
          <w:rFonts w:ascii="华文楷体" w:eastAsia="华文楷体" w:hAnsi="华文楷体" w:cs="Times New Roman"/>
          <w:szCs w:val="21"/>
        </w:rPr>
      </w:pPr>
    </w:p>
    <w:p w14:paraId="46EE3BCC">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33BE427E">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2、响应人对每种货物/软件开发/服务只允许有一个报价，不得有任何选择性报价和有条件的优惠报价。</w:t>
      </w:r>
    </w:p>
    <w:p w14:paraId="64B15D2A">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0969C7CC">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3FD180FA">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11FCF29A"/>
    <w:p w14:paraId="0B3BEC23">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2.14分项</w:t>
      </w:r>
      <w:r>
        <w:rPr>
          <w:rFonts w:ascii="宋体" w:eastAsia="宋体" w:hAnsi="宋体" w:cs="Times New Roman" w:hint="eastAsia"/>
          <w:b/>
          <w:szCs w:val="21"/>
        </w:rPr>
        <w:t>报价表</w:t>
      </w:r>
    </w:p>
    <w:p w14:paraId="7B73FFF8">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 xml:space="preserve">      分项报价表</w:t>
      </w:r>
    </w:p>
    <w:p w14:paraId="26FC1C0E">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w:t>
      </w:r>
      <w:r>
        <w:rPr>
          <w:rFonts w:ascii="华文楷体" w:eastAsia="华文楷体" w:hAnsi="华文楷体" w:cs="Times New Roman" w:hint="eastAsia"/>
          <w:szCs w:val="21"/>
        </w:rPr>
        <w:t>包号）</w:t>
      </w:r>
    </w:p>
    <w:p w14:paraId="1CA50BB5">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17212507">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29E660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7F6E71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EB9A8E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186633D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B16F3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品牌及型号</w:t>
            </w:r>
            <w:r>
              <w:rPr>
                <w:rFonts w:ascii="宋体" w:eastAsia="宋体" w:hAnsi="宋体" w:cs="宋体" w:hint="eastAsia"/>
                <w:color w:val="000000"/>
                <w:kern w:val="0"/>
                <w:sz w:val="20"/>
                <w:szCs w:val="20"/>
                <w:highlight w:val="none"/>
              </w:rPr>
              <w:t>、产地</w:t>
            </w:r>
          </w:p>
        </w:tc>
        <w:tc>
          <w:tcPr>
            <w:tcW w:w="2203" w:type="dxa"/>
            <w:gridSpan w:val="4"/>
            <w:tcBorders>
              <w:top w:val="single" w:sz="4" w:space="0" w:color="auto"/>
              <w:left w:val="nil"/>
              <w:bottom w:val="single" w:sz="4" w:space="0" w:color="auto"/>
              <w:right w:val="single" w:sz="4" w:space="0" w:color="auto"/>
            </w:tcBorders>
            <w:shd w:val="clear" w:color="auto" w:fill="auto"/>
            <w:vAlign w:val="center"/>
          </w:tcPr>
          <w:p w14:paraId="77705DC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E9B171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26F525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4EFB56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1EB14E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DA2D44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68429BA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针对采购人的总报价</w:t>
            </w:r>
          </w:p>
        </w:tc>
      </w:tr>
      <w:tr w14:paraId="4B0D1D27">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vAlign w:val="center"/>
          </w:tcPr>
          <w:p w14:paraId="6D162962">
            <w:pPr>
              <w:widowControl/>
              <w:jc w:val="left"/>
              <w:rPr>
                <w:rFonts w:ascii="宋体" w:eastAsia="宋体" w:hAnsi="宋体" w:cs="宋体"/>
                <w:color w:val="000000"/>
                <w:kern w:val="0"/>
                <w:sz w:val="20"/>
                <w:szCs w:val="20"/>
              </w:rPr>
            </w:pPr>
          </w:p>
        </w:tc>
        <w:tc>
          <w:tcPr>
            <w:tcW w:w="874" w:type="dxa"/>
            <w:vMerge/>
            <w:tcBorders>
              <w:top w:val="single" w:sz="4" w:space="0" w:color="auto"/>
              <w:left w:val="single" w:sz="4" w:space="0" w:color="auto"/>
              <w:bottom w:val="single" w:sz="4" w:space="0" w:color="auto"/>
              <w:right w:val="single" w:sz="4" w:space="0" w:color="auto"/>
            </w:tcBorders>
            <w:vAlign w:val="center"/>
          </w:tcPr>
          <w:p w14:paraId="2AE03B2B">
            <w:pPr>
              <w:widowControl/>
              <w:jc w:val="left"/>
              <w:rPr>
                <w:rFonts w:ascii="宋体" w:eastAsia="宋体" w:hAnsi="宋体" w:cs="宋体"/>
                <w:color w:val="000000"/>
                <w:kern w:val="0"/>
                <w:sz w:val="20"/>
                <w:szCs w:val="20"/>
              </w:rPr>
            </w:pPr>
          </w:p>
        </w:tc>
        <w:tc>
          <w:tcPr>
            <w:tcW w:w="761" w:type="dxa"/>
            <w:vMerge/>
            <w:tcBorders>
              <w:top w:val="single" w:sz="4" w:space="0" w:color="auto"/>
              <w:left w:val="single" w:sz="4" w:space="0" w:color="auto"/>
              <w:bottom w:val="single" w:sz="4" w:space="0" w:color="auto"/>
              <w:right w:val="single" w:sz="4" w:space="0" w:color="auto"/>
            </w:tcBorders>
            <w:vAlign w:val="center"/>
          </w:tcPr>
          <w:p w14:paraId="70ECD904">
            <w:pPr>
              <w:widowControl/>
              <w:jc w:val="left"/>
              <w:rPr>
                <w:rFonts w:ascii="宋体" w:eastAsia="宋体" w:hAnsi="宋体" w:cs="宋体"/>
                <w:color w:val="000000"/>
                <w:kern w:val="0"/>
                <w:sz w:val="20"/>
                <w:szCs w:val="20"/>
              </w:rPr>
            </w:pPr>
          </w:p>
        </w:tc>
        <w:tc>
          <w:tcPr>
            <w:tcW w:w="529" w:type="dxa"/>
            <w:vMerge/>
            <w:tcBorders>
              <w:top w:val="single" w:sz="4" w:space="0" w:color="auto"/>
              <w:left w:val="single" w:sz="4" w:space="0" w:color="auto"/>
              <w:bottom w:val="single" w:sz="4" w:space="0" w:color="000000"/>
              <w:right w:val="single" w:sz="4" w:space="0" w:color="auto"/>
            </w:tcBorders>
            <w:vAlign w:val="center"/>
          </w:tcPr>
          <w:p w14:paraId="0C3C47D3">
            <w:pPr>
              <w:widowControl/>
              <w:jc w:val="left"/>
              <w:rPr>
                <w:rFonts w:ascii="宋体" w:eastAsia="宋体" w:hAnsi="宋体" w:cs="宋体"/>
                <w:color w:val="000000"/>
                <w:kern w:val="0"/>
                <w:sz w:val="20"/>
                <w:szCs w:val="20"/>
              </w:rPr>
            </w:pPr>
          </w:p>
        </w:tc>
        <w:tc>
          <w:tcPr>
            <w:tcW w:w="561" w:type="dxa"/>
            <w:vMerge/>
            <w:tcBorders>
              <w:top w:val="single" w:sz="4" w:space="0" w:color="auto"/>
              <w:left w:val="single" w:sz="4" w:space="0" w:color="auto"/>
              <w:bottom w:val="single" w:sz="4" w:space="0" w:color="auto"/>
              <w:right w:val="single" w:sz="4" w:space="0" w:color="auto"/>
            </w:tcBorders>
            <w:vAlign w:val="center"/>
          </w:tcPr>
          <w:p w14:paraId="16EAEE4D">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7436D7A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名称</w:t>
            </w:r>
          </w:p>
        </w:tc>
        <w:tc>
          <w:tcPr>
            <w:tcW w:w="608" w:type="dxa"/>
            <w:tcBorders>
              <w:top w:val="nil"/>
              <w:left w:val="nil"/>
              <w:bottom w:val="single" w:sz="4" w:space="0" w:color="auto"/>
              <w:right w:val="single" w:sz="4" w:space="0" w:color="auto"/>
            </w:tcBorders>
            <w:shd w:val="clear" w:color="auto" w:fill="auto"/>
            <w:vAlign w:val="center"/>
          </w:tcPr>
          <w:p w14:paraId="4EFB774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简要描述</w:t>
            </w:r>
          </w:p>
        </w:tc>
        <w:tc>
          <w:tcPr>
            <w:tcW w:w="466" w:type="dxa"/>
            <w:tcBorders>
              <w:top w:val="nil"/>
              <w:left w:val="nil"/>
              <w:bottom w:val="single" w:sz="4" w:space="0" w:color="auto"/>
              <w:right w:val="single" w:sz="4" w:space="0" w:color="auto"/>
            </w:tcBorders>
            <w:shd w:val="clear" w:color="auto" w:fill="auto"/>
            <w:vAlign w:val="center"/>
          </w:tcPr>
          <w:p w14:paraId="21C6459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16" w:type="dxa"/>
            <w:tcBorders>
              <w:top w:val="nil"/>
              <w:left w:val="nil"/>
              <w:bottom w:val="single" w:sz="4" w:space="0" w:color="auto"/>
              <w:right w:val="single" w:sz="4" w:space="0" w:color="auto"/>
            </w:tcBorders>
            <w:shd w:val="clear" w:color="auto" w:fill="auto"/>
            <w:vAlign w:val="center"/>
          </w:tcPr>
          <w:p w14:paraId="12619DD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50" w:type="dxa"/>
            <w:vMerge/>
            <w:tcBorders>
              <w:top w:val="single" w:sz="4" w:space="0" w:color="auto"/>
              <w:left w:val="single" w:sz="4" w:space="0" w:color="auto"/>
              <w:bottom w:val="single" w:sz="4" w:space="0" w:color="auto"/>
              <w:right w:val="single" w:sz="4" w:space="0" w:color="auto"/>
            </w:tcBorders>
            <w:vAlign w:val="center"/>
          </w:tcPr>
          <w:p w14:paraId="41124264">
            <w:pPr>
              <w:widowControl/>
              <w:jc w:val="left"/>
              <w:rPr>
                <w:rFonts w:ascii="宋体" w:eastAsia="宋体" w:hAnsi="宋体" w:cs="宋体"/>
                <w:color w:val="000000"/>
                <w:kern w:val="0"/>
                <w:sz w:val="20"/>
                <w:szCs w:val="20"/>
              </w:rPr>
            </w:pPr>
          </w:p>
        </w:tc>
        <w:tc>
          <w:tcPr>
            <w:tcW w:w="450" w:type="dxa"/>
            <w:vMerge/>
            <w:tcBorders>
              <w:top w:val="single" w:sz="4" w:space="0" w:color="auto"/>
              <w:left w:val="single" w:sz="4" w:space="0" w:color="auto"/>
              <w:bottom w:val="single" w:sz="4" w:space="0" w:color="auto"/>
              <w:right w:val="single" w:sz="4" w:space="0" w:color="auto"/>
            </w:tcBorders>
            <w:vAlign w:val="center"/>
          </w:tcPr>
          <w:p w14:paraId="62FED8B1">
            <w:pPr>
              <w:widowControl/>
              <w:jc w:val="left"/>
              <w:rPr>
                <w:rFonts w:ascii="宋体" w:eastAsia="宋体" w:hAnsi="宋体" w:cs="宋体"/>
                <w:color w:val="000000"/>
                <w:kern w:val="0"/>
                <w:sz w:val="20"/>
                <w:szCs w:val="20"/>
              </w:rPr>
            </w:pPr>
          </w:p>
        </w:tc>
        <w:tc>
          <w:tcPr>
            <w:tcW w:w="416" w:type="dxa"/>
            <w:vMerge/>
            <w:tcBorders>
              <w:top w:val="single" w:sz="4" w:space="0" w:color="auto"/>
              <w:left w:val="single" w:sz="4" w:space="0" w:color="auto"/>
              <w:bottom w:val="single" w:sz="4" w:space="0" w:color="auto"/>
              <w:right w:val="single" w:sz="4" w:space="0" w:color="auto"/>
            </w:tcBorders>
            <w:vAlign w:val="center"/>
          </w:tcPr>
          <w:p w14:paraId="09A7B6DC">
            <w:pPr>
              <w:widowControl/>
              <w:jc w:val="left"/>
              <w:rPr>
                <w:rFonts w:ascii="宋体" w:eastAsia="宋体" w:hAnsi="宋体" w:cs="宋体"/>
                <w:color w:val="000000"/>
                <w:kern w:val="0"/>
                <w:sz w:val="20"/>
                <w:szCs w:val="20"/>
              </w:rPr>
            </w:pPr>
          </w:p>
        </w:tc>
        <w:tc>
          <w:tcPr>
            <w:tcW w:w="482" w:type="dxa"/>
            <w:vMerge/>
            <w:tcBorders>
              <w:top w:val="single" w:sz="4" w:space="0" w:color="auto"/>
              <w:left w:val="single" w:sz="4" w:space="0" w:color="auto"/>
              <w:bottom w:val="single" w:sz="4" w:space="0" w:color="auto"/>
              <w:right w:val="single" w:sz="4" w:space="0" w:color="auto"/>
            </w:tcBorders>
            <w:vAlign w:val="center"/>
          </w:tcPr>
          <w:p w14:paraId="035AF6D3">
            <w:pPr>
              <w:widowControl/>
              <w:jc w:val="left"/>
              <w:rPr>
                <w:rFonts w:ascii="宋体" w:eastAsia="宋体" w:hAnsi="宋体" w:cs="宋体"/>
                <w:color w:val="000000"/>
                <w:kern w:val="0"/>
                <w:sz w:val="20"/>
                <w:szCs w:val="20"/>
              </w:rPr>
            </w:pPr>
          </w:p>
        </w:tc>
        <w:tc>
          <w:tcPr>
            <w:tcW w:w="434" w:type="dxa"/>
            <w:vMerge/>
            <w:tcBorders>
              <w:top w:val="single" w:sz="4" w:space="0" w:color="auto"/>
              <w:left w:val="single" w:sz="4" w:space="0" w:color="auto"/>
              <w:bottom w:val="single" w:sz="4" w:space="0" w:color="auto"/>
              <w:right w:val="single" w:sz="4" w:space="0" w:color="auto"/>
            </w:tcBorders>
            <w:vAlign w:val="center"/>
          </w:tcPr>
          <w:p w14:paraId="3EE124BB">
            <w:pPr>
              <w:widowControl/>
              <w:jc w:val="left"/>
              <w:rPr>
                <w:rFonts w:ascii="宋体" w:eastAsia="宋体" w:hAnsi="宋体" w:cs="宋体"/>
                <w:color w:val="000000"/>
                <w:kern w:val="0"/>
                <w:sz w:val="20"/>
                <w:szCs w:val="20"/>
              </w:rPr>
            </w:pPr>
          </w:p>
        </w:tc>
        <w:tc>
          <w:tcPr>
            <w:tcW w:w="639" w:type="dxa"/>
            <w:vMerge/>
            <w:tcBorders>
              <w:top w:val="single" w:sz="4" w:space="0" w:color="auto"/>
              <w:left w:val="single" w:sz="4" w:space="0" w:color="auto"/>
              <w:bottom w:val="single" w:sz="4" w:space="0" w:color="000000"/>
              <w:right w:val="single" w:sz="4" w:space="0" w:color="auto"/>
            </w:tcBorders>
            <w:vAlign w:val="center"/>
          </w:tcPr>
          <w:p w14:paraId="283C20F1">
            <w:pPr>
              <w:widowControl/>
              <w:jc w:val="left"/>
              <w:rPr>
                <w:rFonts w:ascii="宋体" w:eastAsia="宋体" w:hAnsi="宋体" w:cs="宋体"/>
                <w:color w:val="000000"/>
                <w:kern w:val="0"/>
                <w:sz w:val="20"/>
                <w:szCs w:val="20"/>
              </w:rPr>
            </w:pPr>
          </w:p>
        </w:tc>
      </w:tr>
      <w:tr w14:paraId="0473928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18AB7C3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项</w:t>
            </w:r>
          </w:p>
        </w:tc>
        <w:tc>
          <w:tcPr>
            <w:tcW w:w="874" w:type="dxa"/>
            <w:tcBorders>
              <w:top w:val="nil"/>
              <w:left w:val="nil"/>
              <w:bottom w:val="single" w:sz="4" w:space="0" w:color="auto"/>
              <w:right w:val="single" w:sz="4" w:space="0" w:color="auto"/>
            </w:tcBorders>
            <w:shd w:val="clear" w:color="auto" w:fill="auto"/>
            <w:vAlign w:val="center"/>
          </w:tcPr>
          <w:p w14:paraId="4827691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761" w:type="dxa"/>
            <w:tcBorders>
              <w:top w:val="nil"/>
              <w:left w:val="nil"/>
              <w:bottom w:val="single" w:sz="4" w:space="0" w:color="auto"/>
              <w:right w:val="single" w:sz="4" w:space="0" w:color="auto"/>
            </w:tcBorders>
            <w:shd w:val="clear" w:color="auto" w:fill="auto"/>
            <w:vAlign w:val="center"/>
          </w:tcPr>
          <w:p w14:paraId="3319C8B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529" w:type="dxa"/>
            <w:tcBorders>
              <w:top w:val="nil"/>
              <w:left w:val="nil"/>
              <w:bottom w:val="single" w:sz="4" w:space="0" w:color="auto"/>
              <w:right w:val="single" w:sz="4" w:space="0" w:color="auto"/>
            </w:tcBorders>
            <w:shd w:val="clear" w:color="auto" w:fill="auto"/>
            <w:vAlign w:val="center"/>
          </w:tcPr>
          <w:p w14:paraId="38064EC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3</w:t>
            </w:r>
          </w:p>
        </w:tc>
        <w:tc>
          <w:tcPr>
            <w:tcW w:w="561" w:type="dxa"/>
            <w:tcBorders>
              <w:top w:val="nil"/>
              <w:left w:val="nil"/>
              <w:bottom w:val="single" w:sz="4" w:space="0" w:color="auto"/>
              <w:right w:val="single" w:sz="4" w:space="0" w:color="auto"/>
            </w:tcBorders>
            <w:shd w:val="clear" w:color="auto" w:fill="auto"/>
            <w:vAlign w:val="center"/>
          </w:tcPr>
          <w:p w14:paraId="6EF707F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4</w:t>
            </w:r>
          </w:p>
        </w:tc>
        <w:tc>
          <w:tcPr>
            <w:tcW w:w="713" w:type="dxa"/>
            <w:tcBorders>
              <w:top w:val="nil"/>
              <w:left w:val="nil"/>
              <w:bottom w:val="single" w:sz="4" w:space="0" w:color="auto"/>
              <w:right w:val="single" w:sz="4" w:space="0" w:color="auto"/>
            </w:tcBorders>
            <w:shd w:val="clear" w:color="auto" w:fill="auto"/>
            <w:vAlign w:val="center"/>
          </w:tcPr>
          <w:p w14:paraId="6E11EE9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5</w:t>
            </w:r>
          </w:p>
        </w:tc>
        <w:tc>
          <w:tcPr>
            <w:tcW w:w="608" w:type="dxa"/>
            <w:tcBorders>
              <w:top w:val="nil"/>
              <w:left w:val="nil"/>
              <w:bottom w:val="single" w:sz="4" w:space="0" w:color="auto"/>
              <w:right w:val="single" w:sz="4" w:space="0" w:color="auto"/>
            </w:tcBorders>
            <w:shd w:val="clear" w:color="auto" w:fill="auto"/>
            <w:vAlign w:val="center"/>
          </w:tcPr>
          <w:p w14:paraId="23D011D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6</w:t>
            </w:r>
          </w:p>
        </w:tc>
        <w:tc>
          <w:tcPr>
            <w:tcW w:w="466" w:type="dxa"/>
            <w:tcBorders>
              <w:top w:val="nil"/>
              <w:left w:val="nil"/>
              <w:bottom w:val="single" w:sz="4" w:space="0" w:color="auto"/>
              <w:right w:val="single" w:sz="4" w:space="0" w:color="auto"/>
            </w:tcBorders>
            <w:shd w:val="clear" w:color="auto" w:fill="auto"/>
            <w:vAlign w:val="center"/>
          </w:tcPr>
          <w:p w14:paraId="064B56C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7</w:t>
            </w:r>
          </w:p>
        </w:tc>
        <w:tc>
          <w:tcPr>
            <w:tcW w:w="416" w:type="dxa"/>
            <w:tcBorders>
              <w:top w:val="nil"/>
              <w:left w:val="nil"/>
              <w:bottom w:val="single" w:sz="4" w:space="0" w:color="auto"/>
              <w:right w:val="single" w:sz="4" w:space="0" w:color="auto"/>
            </w:tcBorders>
            <w:shd w:val="clear" w:color="auto" w:fill="auto"/>
            <w:vAlign w:val="center"/>
          </w:tcPr>
          <w:p w14:paraId="1428B5C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8</w:t>
            </w:r>
          </w:p>
        </w:tc>
        <w:tc>
          <w:tcPr>
            <w:tcW w:w="450" w:type="dxa"/>
            <w:tcBorders>
              <w:top w:val="nil"/>
              <w:left w:val="nil"/>
              <w:bottom w:val="single" w:sz="4" w:space="0" w:color="auto"/>
              <w:right w:val="single" w:sz="4" w:space="0" w:color="auto"/>
            </w:tcBorders>
            <w:shd w:val="clear" w:color="auto" w:fill="auto"/>
            <w:vAlign w:val="center"/>
          </w:tcPr>
          <w:p w14:paraId="2E5E619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9</w:t>
            </w:r>
          </w:p>
        </w:tc>
        <w:tc>
          <w:tcPr>
            <w:tcW w:w="450" w:type="dxa"/>
            <w:tcBorders>
              <w:top w:val="nil"/>
              <w:left w:val="nil"/>
              <w:bottom w:val="single" w:sz="4" w:space="0" w:color="auto"/>
              <w:right w:val="single" w:sz="4" w:space="0" w:color="auto"/>
            </w:tcBorders>
            <w:shd w:val="clear" w:color="auto" w:fill="auto"/>
            <w:vAlign w:val="center"/>
          </w:tcPr>
          <w:p w14:paraId="290DE04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10</w:t>
            </w:r>
          </w:p>
        </w:tc>
        <w:tc>
          <w:tcPr>
            <w:tcW w:w="416" w:type="dxa"/>
            <w:tcBorders>
              <w:top w:val="nil"/>
              <w:left w:val="nil"/>
              <w:bottom w:val="single" w:sz="4" w:space="0" w:color="auto"/>
              <w:right w:val="single" w:sz="4" w:space="0" w:color="auto"/>
            </w:tcBorders>
            <w:shd w:val="clear" w:color="auto" w:fill="auto"/>
            <w:vAlign w:val="center"/>
          </w:tcPr>
          <w:p w14:paraId="03C9112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11</w:t>
            </w:r>
          </w:p>
        </w:tc>
        <w:tc>
          <w:tcPr>
            <w:tcW w:w="482" w:type="dxa"/>
            <w:tcBorders>
              <w:top w:val="nil"/>
              <w:left w:val="nil"/>
              <w:bottom w:val="single" w:sz="4" w:space="0" w:color="auto"/>
              <w:right w:val="single" w:sz="4" w:space="0" w:color="auto"/>
            </w:tcBorders>
            <w:shd w:val="clear" w:color="auto" w:fill="auto"/>
            <w:vAlign w:val="center"/>
          </w:tcPr>
          <w:p w14:paraId="63D58D3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12</w:t>
            </w:r>
          </w:p>
        </w:tc>
        <w:tc>
          <w:tcPr>
            <w:tcW w:w="434" w:type="dxa"/>
            <w:tcBorders>
              <w:top w:val="nil"/>
              <w:left w:val="nil"/>
              <w:bottom w:val="single" w:sz="4" w:space="0" w:color="auto"/>
              <w:right w:val="single" w:sz="4" w:space="0" w:color="auto"/>
            </w:tcBorders>
            <w:shd w:val="clear" w:color="auto" w:fill="auto"/>
            <w:vAlign w:val="center"/>
          </w:tcPr>
          <w:p w14:paraId="185770B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13</w:t>
            </w:r>
          </w:p>
        </w:tc>
        <w:tc>
          <w:tcPr>
            <w:tcW w:w="639" w:type="dxa"/>
            <w:tcBorders>
              <w:top w:val="nil"/>
              <w:left w:val="nil"/>
              <w:bottom w:val="single" w:sz="4" w:space="0" w:color="auto"/>
              <w:right w:val="single" w:sz="4" w:space="0" w:color="auto"/>
            </w:tcBorders>
            <w:shd w:val="clear" w:color="auto" w:fill="auto"/>
            <w:vAlign w:val="center"/>
          </w:tcPr>
          <w:p w14:paraId="050C75B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14</w:t>
            </w:r>
          </w:p>
        </w:tc>
      </w:tr>
      <w:tr w14:paraId="7D0DAC7A">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19B84CE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874" w:type="dxa"/>
            <w:vMerge w:val="restart"/>
            <w:tcBorders>
              <w:top w:val="nil"/>
              <w:left w:val="single" w:sz="4" w:space="0" w:color="auto"/>
              <w:bottom w:val="single" w:sz="4" w:space="0" w:color="000000"/>
              <w:right w:val="single" w:sz="4" w:space="0" w:color="auto"/>
            </w:tcBorders>
            <w:shd w:val="clear" w:color="auto" w:fill="auto"/>
            <w:vAlign w:val="center"/>
          </w:tcPr>
          <w:p w14:paraId="760AA062">
            <w:pPr>
              <w:widowControl/>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3DB4438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26F10EA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10DE9CB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2BA2418F">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399F771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7BE4717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4799DC0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0123BB7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547966F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5CFD700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2DB17C5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4E8E0FD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4E5A504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5D2B95A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41991E0F">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7A91F49D">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3B2DF2EB">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6DD22B75">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6D631137">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501C595">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041C88B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7BE1C3A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23449B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7D84D8F9">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28F5D760">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289A95D4">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7C5B3297">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24A7EFA6">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21D70132">
            <w:pPr>
              <w:widowControl/>
              <w:jc w:val="left"/>
              <w:rPr>
                <w:rFonts w:ascii="宋体" w:eastAsia="宋体" w:hAnsi="宋体" w:cs="宋体"/>
                <w:color w:val="000000"/>
                <w:kern w:val="0"/>
                <w:sz w:val="20"/>
                <w:szCs w:val="20"/>
              </w:rPr>
            </w:pPr>
          </w:p>
        </w:tc>
      </w:tr>
      <w:tr w14:paraId="1FAEB2B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18D16256">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591AA83A">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2451CC24">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362C4F8A">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35E8CDD6">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66D3055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608" w:type="dxa"/>
            <w:tcBorders>
              <w:top w:val="nil"/>
              <w:left w:val="nil"/>
              <w:bottom w:val="single" w:sz="4" w:space="0" w:color="auto"/>
              <w:right w:val="single" w:sz="4" w:space="0" w:color="auto"/>
            </w:tcBorders>
            <w:shd w:val="clear" w:color="auto" w:fill="auto"/>
            <w:vAlign w:val="center"/>
          </w:tcPr>
          <w:p w14:paraId="6ED52AC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1F3E5A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73DD04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2B57BC74">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001E3792">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4026483B">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3FEA8D7C">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743798E2">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162A3A0F">
            <w:pPr>
              <w:widowControl/>
              <w:jc w:val="left"/>
              <w:rPr>
                <w:rFonts w:ascii="宋体" w:eastAsia="宋体" w:hAnsi="宋体" w:cs="宋体"/>
                <w:color w:val="000000"/>
                <w:kern w:val="0"/>
                <w:sz w:val="20"/>
                <w:szCs w:val="20"/>
              </w:rPr>
            </w:pPr>
          </w:p>
        </w:tc>
      </w:tr>
      <w:tr w14:paraId="2C760670">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16482C7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874" w:type="dxa"/>
            <w:vMerge/>
            <w:tcBorders>
              <w:top w:val="nil"/>
              <w:left w:val="single" w:sz="4" w:space="0" w:color="auto"/>
              <w:bottom w:val="single" w:sz="4" w:space="0" w:color="000000"/>
              <w:right w:val="single" w:sz="4" w:space="0" w:color="auto"/>
            </w:tcBorders>
            <w:vAlign w:val="center"/>
          </w:tcPr>
          <w:p w14:paraId="6A243991">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1A7836A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5CE3ACC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295A992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78A9775C">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334F23B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358CEC3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4DDA1D6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6B9307B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56D7100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76C4FB1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0B280AB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27BDB19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7CC0925E">
            <w:pPr>
              <w:widowControl/>
              <w:jc w:val="left"/>
              <w:rPr>
                <w:rFonts w:ascii="宋体" w:eastAsia="宋体" w:hAnsi="宋体" w:cs="宋体"/>
                <w:color w:val="000000"/>
                <w:kern w:val="0"/>
                <w:sz w:val="20"/>
                <w:szCs w:val="20"/>
              </w:rPr>
            </w:pPr>
          </w:p>
        </w:tc>
      </w:tr>
      <w:tr w14:paraId="1D55E036">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5C336129">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3A89466E">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6F4C42BC">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0891EAC0">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1605DEEE">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38CD18FB">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679F79D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07861B5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E6C5D8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3E219BEE">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EBC47D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20B48E0A">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2661B43F">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62B5B727">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43047782">
            <w:pPr>
              <w:widowControl/>
              <w:jc w:val="left"/>
              <w:rPr>
                <w:rFonts w:ascii="宋体" w:eastAsia="宋体" w:hAnsi="宋体" w:cs="宋体"/>
                <w:color w:val="000000"/>
                <w:kern w:val="0"/>
                <w:sz w:val="20"/>
                <w:szCs w:val="20"/>
              </w:rPr>
            </w:pPr>
          </w:p>
        </w:tc>
      </w:tr>
      <w:tr w14:paraId="6D52FD80">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0550E953">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51D03D16">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0C84EFB0">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1BC8F620">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330D669F">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59AF489C">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409374D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48D14CA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43AC52B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7F347882">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9C1BBBE">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0AB6D5D1">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67238736">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13FED4AC">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22FABBEE">
            <w:pPr>
              <w:widowControl/>
              <w:jc w:val="left"/>
              <w:rPr>
                <w:rFonts w:ascii="宋体" w:eastAsia="宋体" w:hAnsi="宋体" w:cs="宋体"/>
                <w:color w:val="000000"/>
                <w:kern w:val="0"/>
                <w:sz w:val="20"/>
                <w:szCs w:val="20"/>
              </w:rPr>
            </w:pPr>
          </w:p>
        </w:tc>
      </w:tr>
      <w:tr w14:paraId="57BA2463">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541A478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874" w:type="dxa"/>
            <w:vMerge/>
            <w:tcBorders>
              <w:top w:val="nil"/>
              <w:left w:val="single" w:sz="4" w:space="0" w:color="auto"/>
              <w:bottom w:val="single" w:sz="4" w:space="0" w:color="000000"/>
              <w:right w:val="single" w:sz="4" w:space="0" w:color="auto"/>
            </w:tcBorders>
            <w:vAlign w:val="center"/>
          </w:tcPr>
          <w:p w14:paraId="2ADE61FA">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28BC999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0CC4F91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684B1CE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58BD65A8">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　</w:t>
            </w:r>
          </w:p>
        </w:tc>
        <w:tc>
          <w:tcPr>
            <w:tcW w:w="608" w:type="dxa"/>
            <w:tcBorders>
              <w:top w:val="nil"/>
              <w:left w:val="nil"/>
              <w:bottom w:val="single" w:sz="4" w:space="0" w:color="auto"/>
              <w:right w:val="single" w:sz="4" w:space="0" w:color="auto"/>
            </w:tcBorders>
            <w:shd w:val="clear" w:color="auto" w:fill="auto"/>
            <w:vAlign w:val="center"/>
          </w:tcPr>
          <w:p w14:paraId="0401E5C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5D5C5C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099E9F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EE5045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777A19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C59C82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31286D7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6180D5F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45BFA832">
            <w:pPr>
              <w:widowControl/>
              <w:jc w:val="left"/>
              <w:rPr>
                <w:rFonts w:ascii="宋体" w:eastAsia="宋体" w:hAnsi="宋体" w:cs="宋体"/>
                <w:color w:val="000000"/>
                <w:kern w:val="0"/>
                <w:sz w:val="20"/>
                <w:szCs w:val="20"/>
              </w:rPr>
            </w:pPr>
          </w:p>
        </w:tc>
      </w:tr>
      <w:tr w14:paraId="06EEC20A">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438B749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21837437">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000000"/>
              <w:right w:val="single" w:sz="4" w:space="0" w:color="auto"/>
            </w:tcBorders>
            <w:shd w:val="clear" w:color="auto" w:fill="auto"/>
            <w:vAlign w:val="center"/>
          </w:tcPr>
          <w:p w14:paraId="1932C9CC">
            <w:pPr>
              <w:widowControl/>
              <w:jc w:val="center"/>
              <w:rPr>
                <w:rFonts w:ascii="宋体" w:eastAsia="宋体" w:hAnsi="宋体" w:cs="宋体"/>
                <w:color w:val="000000"/>
                <w:kern w:val="0"/>
                <w:sz w:val="18"/>
                <w:szCs w:val="18"/>
              </w:rPr>
            </w:pPr>
            <w:r>
              <w:rPr>
                <w:rFonts w:ascii="宋体" w:eastAsia="宋体" w:hAnsi="宋体" w:cs="宋体"/>
                <w:color w:val="000000"/>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1047B3E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000000"/>
              <w:right w:val="single" w:sz="4" w:space="0" w:color="auto"/>
            </w:tcBorders>
            <w:shd w:val="clear" w:color="auto" w:fill="auto"/>
            <w:vAlign w:val="center"/>
          </w:tcPr>
          <w:p w14:paraId="0A23380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1BE36209">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0E508A8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77A0EDB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15BC943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630F024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7F4632C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000000"/>
              <w:right w:val="single" w:sz="4" w:space="0" w:color="auto"/>
            </w:tcBorders>
            <w:shd w:val="clear" w:color="auto" w:fill="auto"/>
            <w:vAlign w:val="center"/>
          </w:tcPr>
          <w:p w14:paraId="61D4662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000000"/>
              <w:right w:val="single" w:sz="4" w:space="0" w:color="auto"/>
            </w:tcBorders>
            <w:shd w:val="clear" w:color="auto" w:fill="auto"/>
            <w:vAlign w:val="center"/>
          </w:tcPr>
          <w:p w14:paraId="7A104B2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000000"/>
              <w:right w:val="single" w:sz="4" w:space="0" w:color="auto"/>
            </w:tcBorders>
            <w:shd w:val="clear" w:color="auto" w:fill="auto"/>
            <w:vAlign w:val="center"/>
          </w:tcPr>
          <w:p w14:paraId="696F901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529562E9">
            <w:pPr>
              <w:widowControl/>
              <w:jc w:val="left"/>
              <w:rPr>
                <w:rFonts w:ascii="宋体" w:eastAsia="宋体" w:hAnsi="宋体" w:cs="宋体"/>
                <w:color w:val="000000"/>
                <w:kern w:val="0"/>
                <w:sz w:val="20"/>
                <w:szCs w:val="20"/>
              </w:rPr>
            </w:pPr>
          </w:p>
        </w:tc>
      </w:tr>
      <w:tr w14:paraId="3048F02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3A663E8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223C7654">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000000"/>
              <w:right w:val="single" w:sz="4" w:space="0" w:color="auto"/>
            </w:tcBorders>
            <w:vAlign w:val="center"/>
          </w:tcPr>
          <w:p w14:paraId="4F993AB8">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1DCD505A">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000000"/>
              <w:right w:val="single" w:sz="4" w:space="0" w:color="auto"/>
            </w:tcBorders>
            <w:vAlign w:val="center"/>
          </w:tcPr>
          <w:p w14:paraId="42FB4916">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78C6D3EC">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609FF87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04D6672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2029BA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000000"/>
              <w:right w:val="single" w:sz="4" w:space="0" w:color="auto"/>
            </w:tcBorders>
            <w:vAlign w:val="center"/>
          </w:tcPr>
          <w:p w14:paraId="71E68637">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000000"/>
              <w:right w:val="single" w:sz="4" w:space="0" w:color="auto"/>
            </w:tcBorders>
            <w:vAlign w:val="center"/>
          </w:tcPr>
          <w:p w14:paraId="3F64D8CA">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000000"/>
              <w:right w:val="single" w:sz="4" w:space="0" w:color="auto"/>
            </w:tcBorders>
            <w:vAlign w:val="center"/>
          </w:tcPr>
          <w:p w14:paraId="58029434">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000000"/>
              <w:right w:val="single" w:sz="4" w:space="0" w:color="auto"/>
            </w:tcBorders>
            <w:vAlign w:val="center"/>
          </w:tcPr>
          <w:p w14:paraId="727F3694">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000000"/>
              <w:right w:val="single" w:sz="4" w:space="0" w:color="auto"/>
            </w:tcBorders>
            <w:vAlign w:val="center"/>
          </w:tcPr>
          <w:p w14:paraId="08AD8DDF">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294BF584">
            <w:pPr>
              <w:widowControl/>
              <w:jc w:val="left"/>
              <w:rPr>
                <w:rFonts w:ascii="宋体" w:eastAsia="宋体" w:hAnsi="宋体" w:cs="宋体"/>
                <w:color w:val="000000"/>
                <w:kern w:val="0"/>
                <w:sz w:val="20"/>
                <w:szCs w:val="20"/>
              </w:rPr>
            </w:pPr>
          </w:p>
        </w:tc>
      </w:tr>
      <w:tr w14:paraId="647DC07A">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27A7126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59D95274">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62F2F6D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3ECEEAB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5F4197C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5E6494AA">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43E9F4C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7A08D5B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266096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4617B4A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60A56D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6D084F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01B8FE3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4C50398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3D086B2D">
            <w:pPr>
              <w:widowControl/>
              <w:jc w:val="left"/>
              <w:rPr>
                <w:rFonts w:ascii="宋体" w:eastAsia="宋体" w:hAnsi="宋体" w:cs="宋体"/>
                <w:color w:val="000000"/>
                <w:kern w:val="0"/>
                <w:sz w:val="20"/>
                <w:szCs w:val="20"/>
              </w:rPr>
            </w:pPr>
          </w:p>
        </w:tc>
      </w:tr>
      <w:tr w14:paraId="7868DDCF">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vAlign w:val="center"/>
          </w:tcPr>
          <w:p w14:paraId="1F16CBA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2945D8F5">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采购人2</w:t>
            </w:r>
          </w:p>
        </w:tc>
        <w:tc>
          <w:tcPr>
            <w:tcW w:w="761" w:type="dxa"/>
            <w:tcBorders>
              <w:top w:val="nil"/>
              <w:left w:val="nil"/>
              <w:bottom w:val="single" w:sz="4" w:space="0" w:color="auto"/>
              <w:right w:val="single" w:sz="4" w:space="0" w:color="auto"/>
            </w:tcBorders>
            <w:shd w:val="clear" w:color="auto" w:fill="auto"/>
            <w:vAlign w:val="center"/>
          </w:tcPr>
          <w:p w14:paraId="41277FE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11D5A86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35B4AF1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48A05796">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6201364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C00CC0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1B71753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11FF5C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139D27A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C2307E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1B63F29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7C7BDB3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54192C5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0D794819">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6493B67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3849D17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761" w:type="dxa"/>
            <w:tcBorders>
              <w:top w:val="nil"/>
              <w:left w:val="nil"/>
              <w:bottom w:val="single" w:sz="4" w:space="0" w:color="auto"/>
              <w:right w:val="single" w:sz="4" w:space="0" w:color="auto"/>
            </w:tcBorders>
            <w:shd w:val="clear" w:color="auto" w:fill="auto"/>
            <w:vAlign w:val="center"/>
          </w:tcPr>
          <w:p w14:paraId="23B0BF6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29" w:type="dxa"/>
            <w:tcBorders>
              <w:top w:val="nil"/>
              <w:left w:val="nil"/>
              <w:bottom w:val="single" w:sz="4" w:space="0" w:color="auto"/>
              <w:right w:val="single" w:sz="4" w:space="0" w:color="auto"/>
            </w:tcBorders>
            <w:shd w:val="clear" w:color="auto" w:fill="auto"/>
            <w:vAlign w:val="center"/>
          </w:tcPr>
          <w:p w14:paraId="799EF7B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1DD21BF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2FD86B2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08" w:type="dxa"/>
            <w:tcBorders>
              <w:top w:val="nil"/>
              <w:left w:val="nil"/>
              <w:bottom w:val="single" w:sz="4" w:space="0" w:color="auto"/>
              <w:right w:val="single" w:sz="4" w:space="0" w:color="auto"/>
            </w:tcBorders>
            <w:shd w:val="clear" w:color="auto" w:fill="auto"/>
            <w:vAlign w:val="center"/>
          </w:tcPr>
          <w:p w14:paraId="6F0A6C1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3E1CE19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64371B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15CDDEE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298D2A0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F95CBD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69CFB88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3C334B8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4410585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bl>
    <w:p w14:paraId="330B36D4">
      <w:pPr>
        <w:adjustRightInd w:val="0"/>
        <w:snapToGrid w:val="0"/>
        <w:spacing w:line="360" w:lineRule="auto"/>
        <w:rPr>
          <w:rFonts w:ascii="华文楷体" w:eastAsia="华文楷体" w:hAnsi="华文楷体" w:cs="Times New Roman"/>
          <w:szCs w:val="21"/>
        </w:rPr>
      </w:pPr>
    </w:p>
    <w:p w14:paraId="5688F368">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说明</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p>
    <w:p w14:paraId="70AC02B4">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1、如货物（服务）不拆分的，项5可按项2填列，项7同项9，项8同项10。</w:t>
      </w:r>
    </w:p>
    <w:p w14:paraId="2BB0585A">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2、如货物（服务）需拆分的，项5按拆分后的具体部件、具体服务名称等填列，针对某货物（服务）的项7×项8 之和应等于该货物（服务）项9。</w:t>
      </w:r>
    </w:p>
    <w:p w14:paraId="073D4B7A">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示例：如“货物1”拆分为“部件1”和“部件2”，则“货物1”项9“单价”=“部件1”项7“单价”×项8“数量”+“部件2”项7“单价”×项8“数量”</w:t>
      </w:r>
    </w:p>
    <w:p w14:paraId="7783DFB9">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3、项14应等于某采购人所有货物（服务）报价之和。</w:t>
      </w:r>
    </w:p>
    <w:p w14:paraId="7A1B83C7">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示例：如“采购人1”采购“货物1”和“货物2”，则“采购人1”项14“针对采购人的总报价单价”=“货物1”项13+“货物2”项13</w:t>
      </w:r>
    </w:p>
    <w:p w14:paraId="375B1573">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4、报价一览表中“响应总价”应等于所有采购人项14“针对采购人的总报价”之和。</w:t>
      </w:r>
    </w:p>
    <w:p w14:paraId="7E5F3820">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示例：有“采购人1”和“采购人2”共两个采购人，则报价一览表中“响应总价”=“采购人1”项14+“采购人2”项14。</w:t>
      </w:r>
    </w:p>
    <w:p w14:paraId="7BE7EDF7">
      <w:pPr>
        <w:adjustRightInd w:val="0"/>
        <w:snapToGrid w:val="0"/>
        <w:spacing w:line="360" w:lineRule="auto"/>
        <w:ind w:firstLine="0" w:firstLineChars="0"/>
        <w:jc w:val="left"/>
      </w:pPr>
      <w:r>
        <w:rPr>
          <w:rFonts w:ascii="华文楷体" w:eastAsia="华文楷体" w:hAnsi="华文楷体" w:cs="Times New Roman"/>
          <w:szCs w:val="21"/>
        </w:rPr>
        <w:t xml:space="preserve"> </w:t>
      </w:r>
      <w:r>
        <w:rPr>
          <w:rFonts w:ascii="华文楷体" w:eastAsia="华文楷体" w:hAnsi="华文楷体" w:cs="Times New Roman" w:hint="eastAsia"/>
          <w:szCs w:val="21"/>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5、响应人如认为还有需要提供的内容可另列表说明。</w:t>
      </w:r>
    </w:p>
    <w:p w14:paraId="2210743D">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2.15技术要求偏离表</w:t>
      </w:r>
    </w:p>
    <w:p w14:paraId="59B245E7">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420E108E">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027C5D02">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78E8422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00DA8B4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采购文件条目号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3B6A8D2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采购文件技术要求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0C48529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39E92BB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2282840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11BD933E">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77F9F83A">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5525EF73">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741F4D69">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13A5D4E1">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FB506FF">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167B2A4C">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74CA056D">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63C26049">
            <w:pPr>
              <w:adjustRightInd w:val="0"/>
              <w:snapToGrid w:val="0"/>
              <w:spacing w:line="360" w:lineRule="auto"/>
              <w:jc w:val="left"/>
              <w:rPr>
                <w:rFonts w:ascii="华文楷体" w:eastAsia="华文楷体" w:hAnsi="华文楷体" w:cs="Times New Roman"/>
                <w:szCs w:val="21"/>
              </w:rPr>
            </w:pPr>
          </w:p>
        </w:tc>
      </w:tr>
      <w:tr w14:paraId="79C58ED3">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2C3E9E09">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6BEC2869">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2AAD8B68">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3AF465C4">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20C8D34C">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35427645">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A35C0B3">
            <w:pPr>
              <w:adjustRightInd w:val="0"/>
              <w:snapToGrid w:val="0"/>
              <w:spacing w:line="360" w:lineRule="auto"/>
              <w:jc w:val="left"/>
              <w:rPr>
                <w:rFonts w:ascii="华文楷体" w:eastAsia="华文楷体" w:hAnsi="华文楷体" w:cs="Times New Roman"/>
                <w:szCs w:val="21"/>
              </w:rPr>
            </w:pPr>
          </w:p>
        </w:tc>
      </w:tr>
      <w:tr w14:paraId="35E11E6A">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0D35D598">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3E65C76B">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021D38B2">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0BB4B07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除以上内容，我司对采购文件的其他技术要求完全响应，无偏离。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67E2A72F">
            <w:pPr>
              <w:adjustRightInd w:val="0"/>
              <w:snapToGrid w:val="0"/>
              <w:spacing w:line="360" w:lineRule="auto"/>
              <w:jc w:val="left"/>
              <w:rPr>
                <w:rFonts w:ascii="华文楷体" w:eastAsia="华文楷体" w:hAnsi="华文楷体" w:cs="Times New Roman"/>
                <w:szCs w:val="21"/>
              </w:rPr>
            </w:pPr>
          </w:p>
        </w:tc>
      </w:tr>
    </w:tbl>
    <w:p w14:paraId="0010C96A">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货物，应符合采购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协商依据。</w:t>
      </w:r>
    </w:p>
    <w:p w14:paraId="1D5674A0">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2、采购需求标注为*的实质性条款应逐条应答，其余可填写完全满足采购文件的全部要求；</w:t>
      </w:r>
    </w:p>
    <w:p w14:paraId="2088204A">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53375E8F">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17C25136">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5382E226"/>
    <w:p w14:paraId="52E814D0">
      <w:pPr>
        <w:adjustRightInd w:val="0"/>
        <w:snapToGrid w:val="0"/>
        <w:spacing w:line="360" w:lineRule="auto"/>
        <w:ind w:firstLine="420"/>
        <w:outlineLvl w:val="3"/>
        <w:rPr>
          <w:rFonts w:ascii="宋体" w:eastAsia="宋体" w:hAnsi="宋体" w:cs="Times New Roman"/>
          <w:b/>
          <w:szCs w:val="21"/>
        </w:rPr>
      </w:pPr>
      <w:bookmarkStart w:id="20" w:name="_Ref462505472"/>
      <w:r>
        <w:rPr>
          <w:rFonts w:ascii="宋体" w:eastAsia="宋体" w:hAnsi="宋体" w:cs="Times New Roman" w:hint="eastAsia"/>
          <w:b/>
          <w:szCs w:val="21"/>
        </w:rPr>
        <w:t>2.16主要标的信息表</w:t>
      </w:r>
      <w:bookmarkEnd w:id="20"/>
    </w:p>
    <w:p w14:paraId="56274B64">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14:paraId="5C6209E4">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261B5CB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5742F07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2B628ED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2C3099C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3C5FF64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17162A6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5CC01495">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27F6498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0AEF4AF6">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29BEA4B7">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20451A57">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4AE63B2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B5B8A43">
            <w:pPr>
              <w:adjustRightInd w:val="0"/>
              <w:snapToGrid w:val="0"/>
              <w:spacing w:line="360" w:lineRule="auto"/>
              <w:jc w:val="center"/>
              <w:rPr>
                <w:rFonts w:ascii="华文楷体" w:eastAsia="华文楷体" w:hAnsi="华文楷体" w:cs="Times New Roman"/>
                <w:szCs w:val="21"/>
              </w:rPr>
            </w:pPr>
          </w:p>
        </w:tc>
      </w:tr>
      <w:tr w14:paraId="5407232F">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59D04E4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7B9B0CB7">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47B631F8">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653C3971">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1BFCD009">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4EB5A496">
            <w:pPr>
              <w:adjustRightInd w:val="0"/>
              <w:snapToGrid w:val="0"/>
              <w:spacing w:line="360" w:lineRule="auto"/>
              <w:jc w:val="center"/>
              <w:rPr>
                <w:rFonts w:ascii="华文楷体" w:eastAsia="华文楷体" w:hAnsi="华文楷体" w:cs="Times New Roman"/>
                <w:szCs w:val="21"/>
              </w:rPr>
            </w:pPr>
          </w:p>
        </w:tc>
      </w:tr>
      <w:tr w14:paraId="48C75FB6">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7418ABA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48300DBA">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C900D0B">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1F386C47">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2D9505BA">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4BA4BFCF">
            <w:pPr>
              <w:adjustRightInd w:val="0"/>
              <w:snapToGrid w:val="0"/>
              <w:spacing w:line="360" w:lineRule="auto"/>
              <w:jc w:val="center"/>
              <w:rPr>
                <w:rFonts w:ascii="华文楷体" w:eastAsia="华文楷体" w:hAnsi="华文楷体" w:cs="Times New Roman"/>
                <w:szCs w:val="21"/>
              </w:rPr>
            </w:pPr>
          </w:p>
        </w:tc>
      </w:tr>
      <w:tr w14:paraId="79CDFB07">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1F8E99A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523C25DF">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7EC5FD4A">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5474BB2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4A2D9D3D">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4558FD59">
            <w:pPr>
              <w:adjustRightInd w:val="0"/>
              <w:snapToGrid w:val="0"/>
              <w:spacing w:line="360" w:lineRule="auto"/>
              <w:jc w:val="center"/>
              <w:rPr>
                <w:rFonts w:ascii="华文楷体" w:eastAsia="华文楷体" w:hAnsi="华文楷体" w:cs="Times New Roman"/>
                <w:szCs w:val="21"/>
              </w:rPr>
            </w:pPr>
          </w:p>
        </w:tc>
      </w:tr>
    </w:tbl>
    <w:p w14:paraId="184EE3BF">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注：必须按此格式填写，用途是用来发布成交结果公告时按照中国政府采购网格式公布供应商的主要标的信息。</w:t>
      </w:r>
    </w:p>
    <w:p w14:paraId="7D17AFF8"/>
    <w:p w14:paraId="3C519994">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7</w:t>
      </w:r>
      <w:r>
        <w:rPr>
          <w:rFonts w:ascii="宋体" w:eastAsia="宋体" w:hAnsi="宋体" w:cs="Times New Roman" w:hint="eastAsia"/>
          <w:b/>
          <w:szCs w:val="21"/>
        </w:rPr>
        <w:t>响应人项目实施和售后服务方案</w:t>
      </w:r>
    </w:p>
    <w:p w14:paraId="31372052">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服务方案包括但不限于可能涉及的运行维护、升级更新、备品备件、耗材等后续采购，以及其他相关情况。格式由响应人自拟。</w:t>
      </w:r>
    </w:p>
    <w:p w14:paraId="4829A3DC"/>
    <w:p w14:paraId="4C39AAA2">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8</w:t>
      </w:r>
      <w:r>
        <w:rPr>
          <w:rFonts w:ascii="宋体" w:eastAsia="宋体" w:hAnsi="宋体" w:cs="Times New Roman" w:hint="eastAsia"/>
          <w:b/>
          <w:szCs w:val="21"/>
        </w:rPr>
        <w:t>其他技术文件</w:t>
      </w:r>
    </w:p>
    <w:p w14:paraId="687EFE7F">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按照第五章响应人须知专用部分5.7条规定应提交的各种技术文件。如采购文件第六章采购需求等章节中有专门格式要求，按专门格式编写。如无专门格式要求，由响应人自拟格式编写。</w:t>
      </w:r>
    </w:p>
    <w:p w14:paraId="7A4C0546"/>
    <w:p w14:paraId="02D9CFF6">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2.</w:t>
      </w:r>
      <w:r>
        <w:rPr>
          <w:rFonts w:ascii="宋体" w:eastAsia="宋体" w:hAnsi="宋体" w:cs="Times New Roman" w:hint="eastAsia"/>
          <w:szCs w:val="20"/>
          <w:lang w:val="en-US" w:eastAsia="zh-CN"/>
        </w:rPr>
        <w:t>19</w:t>
      </w:r>
      <w:r>
        <w:rPr>
          <w:rFonts w:ascii="宋体" w:eastAsia="宋体" w:hAnsi="宋体" w:cs="Times New Roman" w:hint="eastAsia"/>
          <w:szCs w:val="20"/>
        </w:rPr>
        <w:t>响应人自行编写的技术文件。</w:t>
      </w:r>
    </w:p>
    <w:p w14:paraId="28C3C3C5">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响应人按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w:t>
      </w:r>
      <w:r>
        <w:rPr>
          <w:rFonts w:ascii="宋体" w:eastAsia="宋体" w:hAnsi="宋体" w:cs="Times New Roman" w:hint="eastAsia"/>
          <w:szCs w:val="20"/>
        </w:rPr>
        <w:t>采购文件</w:t>
      </w:r>
      <w:r>
        <w:rPr>
          <w:rFonts w:ascii="Times New Roman" w:eastAsia="宋体" w:hAnsi="Times New Roman" w:cs="Times New Roman" w:hint="eastAsia"/>
          <w:b/>
          <w:bCs/>
          <w:szCs w:val="20"/>
        </w:rPr>
        <w:t>第六章采购需求</w:t>
      </w:r>
      <w:r>
        <w:rPr>
          <w:rFonts w:ascii="宋体" w:eastAsia="宋体" w:hAnsi="宋体" w:cs="Times New Roman" w:hint="eastAsia"/>
          <w:szCs w:val="20"/>
        </w:rPr>
        <w:t>中的要求自行编写，包括响应人认为需要提供的其它说明和资料。</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num="1" w:space="720"/>
          <w:docGrid w:type="linesAndChars" w:linePitch="312" w:charSpace="0"/>
        </w:sectPr>
      </w:pPr>
      <w:bookmarkEnd w:id="19"/>
    </w:p>
    <w:p w14:paraId="6F051652">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09B83F21">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第七章响应被拒绝条款专用部分</w:t>
      </w:r>
      <w:r>
        <w:rPr>
          <w:rFonts w:ascii="Times New Roman" w:eastAsia="宋体" w:hAnsi="Times New Roman" w:cs="Times New Roman" w:hint="eastAsia"/>
          <w:szCs w:val="21"/>
        </w:rPr>
        <w:t>以外，其它内容均不得在协商中作为拒绝响应的条件。响应人若符合下表任何要求之一的，将导致响应被拒绝。</w:t>
      </w:r>
    </w:p>
    <w:tbl>
      <w:tblPr>
        <w:tblStyle w:val="TableNormal"/>
        <w:tblpPr w:leftFromText="180" w:rightFromText="180" w:vertAnchor="text" w:horzAnchor="page" w:tblpX="1619" w:tblpY="419"/>
        <w:tblOverlap w:val="never"/>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4"/>
        <w:gridCol w:w="850"/>
        <w:gridCol w:w="7723"/>
      </w:tblGrid>
      <w:tr w14:paraId="24A954FC">
        <w:tblPrEx>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534" w:type="dxa"/>
            <w:vAlign w:val="center"/>
          </w:tcPr>
          <w:p w14:paraId="44A2F052">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50" w:type="dxa"/>
            <w:vAlign w:val="center"/>
          </w:tcPr>
          <w:p w14:paraId="57962249">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56B225ED">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23" w:type="dxa"/>
            <w:vAlign w:val="center"/>
          </w:tcPr>
          <w:p w14:paraId="013E47F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5C44B02F">
        <w:tblPrEx>
          <w:tblW w:w="9107" w:type="dxa"/>
          <w:tblInd w:w="0" w:type="dxa"/>
          <w:tblLayout w:type="fixed"/>
          <w:tblCellMar>
            <w:top w:w="0" w:type="dxa"/>
            <w:left w:w="108" w:type="dxa"/>
            <w:bottom w:w="0" w:type="dxa"/>
            <w:right w:w="108" w:type="dxa"/>
          </w:tblCellMar>
        </w:tblPrEx>
        <w:trPr>
          <w:cantSplit/>
        </w:trPr>
        <w:tc>
          <w:tcPr>
            <w:tcW w:w="9107" w:type="dxa"/>
            <w:gridSpan w:val="3"/>
            <w:vAlign w:val="center"/>
          </w:tcPr>
          <w:p w14:paraId="710803E1">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6C813F7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CE55DB6">
            <w:pPr>
              <w:numPr>
                <w:ilvl w:val="0"/>
                <w:numId w:val="2"/>
              </w:numPr>
              <w:jc w:val="left"/>
              <w:rPr>
                <w:rFonts w:ascii="宋体" w:eastAsia="宋体" w:hAnsi="宋体" w:cs="Times New Roman"/>
                <w:sz w:val="18"/>
                <w:szCs w:val="18"/>
              </w:rPr>
            </w:pPr>
          </w:p>
        </w:tc>
        <w:tc>
          <w:tcPr>
            <w:tcW w:w="850" w:type="dxa"/>
            <w:vAlign w:val="center"/>
          </w:tcPr>
          <w:p w14:paraId="307C7AA5">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7221948A">
            <w:pPr>
              <w:tabs>
                <w:tab w:val="left" w:pos="709"/>
                <w:tab w:val="left" w:pos="1573"/>
              </w:tabs>
              <w:adjustRightInd w:val="0"/>
              <w:snapToGrid w:val="0"/>
              <w:spacing w:line="360" w:lineRule="auto"/>
              <w:rPr>
                <w:rFonts w:ascii="宋体" w:eastAsia="宋体" w:hAnsi="宋体" w:cs="Times New Roman"/>
                <w:sz w:val="18"/>
                <w:szCs w:val="18"/>
              </w:rPr>
            </w:pPr>
            <w:r>
              <w:rPr>
                <w:rFonts w:ascii="Times New Roman" w:eastAsia="宋体" w:hAnsi="Times New Roman" w:cs="Times New Roman" w:hint="eastAsia"/>
                <w:sz w:val="18"/>
                <w:szCs w:val="18"/>
              </w:rPr>
              <w:t>遵守《中华人民共和国政府采购法》、《中华人民共和国政府采购法实施条例》等法律法规，并符合《中华人民共和国政府采购法》第二十二条规定的条件，具有本项目生产、制造、供应或实施能力，符合、承认并承诺履行本采购文件各项规定，没有其他不符合</w:t>
            </w:r>
            <w:r>
              <w:rPr>
                <w:rFonts w:ascii="Times New Roman" w:eastAsia="宋体" w:hAnsi="Times New Roman" w:cs="Times New Roman"/>
                <w:sz w:val="18"/>
                <w:szCs w:val="18"/>
              </w:rPr>
              <w:t>国家法律法规的</w:t>
            </w:r>
            <w:r>
              <w:rPr>
                <w:rFonts w:ascii="Times New Roman" w:eastAsia="宋体" w:hAnsi="Times New Roman" w:cs="Times New Roman" w:hint="eastAsia"/>
                <w:sz w:val="18"/>
                <w:szCs w:val="18"/>
              </w:rPr>
              <w:t>不合格</w:t>
            </w:r>
            <w:r>
              <w:rPr>
                <w:rFonts w:ascii="Times New Roman" w:eastAsia="宋体" w:hAnsi="Times New Roman" w:cs="Times New Roman"/>
                <w:sz w:val="18"/>
                <w:szCs w:val="18"/>
              </w:rPr>
              <w:t>响应人的情况</w:t>
            </w:r>
            <w:r>
              <w:rPr>
                <w:rFonts w:ascii="Times New Roman" w:eastAsia="宋体" w:hAnsi="Times New Roman" w:cs="Times New Roman" w:hint="eastAsia"/>
                <w:sz w:val="18"/>
                <w:szCs w:val="18"/>
              </w:rPr>
              <w:t>，以及</w:t>
            </w:r>
            <w:r>
              <w:rPr>
                <w:rFonts w:ascii="Times New Roman" w:eastAsia="宋体" w:hAnsi="Times New Roman" w:cs="Times New Roman"/>
                <w:sz w:val="18"/>
                <w:szCs w:val="18"/>
              </w:rPr>
              <w:t>本采购文件</w:t>
            </w:r>
            <w:r>
              <w:rPr>
                <w:rFonts w:ascii="Times New Roman" w:eastAsia="宋体" w:hAnsi="Times New Roman" w:cs="Times New Roman" w:hint="eastAsia"/>
                <w:sz w:val="18"/>
                <w:szCs w:val="18"/>
              </w:rPr>
              <w:t>所</w:t>
            </w:r>
            <w:r>
              <w:rPr>
                <w:rFonts w:ascii="Times New Roman" w:eastAsia="宋体" w:hAnsi="Times New Roman" w:cs="Times New Roman"/>
                <w:sz w:val="18"/>
                <w:szCs w:val="18"/>
              </w:rPr>
              <w:t>规定的</w:t>
            </w:r>
            <w:r>
              <w:rPr>
                <w:rFonts w:ascii="Times New Roman" w:eastAsia="宋体" w:hAnsi="Times New Roman" w:cs="Times New Roman" w:hint="eastAsia"/>
                <w:sz w:val="18"/>
                <w:szCs w:val="18"/>
              </w:rPr>
              <w:t>不合格</w:t>
            </w:r>
            <w:r>
              <w:rPr>
                <w:rFonts w:ascii="Times New Roman" w:eastAsia="宋体" w:hAnsi="Times New Roman" w:cs="Times New Roman"/>
                <w:sz w:val="18"/>
                <w:szCs w:val="18"/>
              </w:rPr>
              <w:t>响应人的情况</w:t>
            </w:r>
            <w:r>
              <w:rPr>
                <w:rFonts w:ascii="Times New Roman" w:eastAsia="宋体" w:hAnsi="Times New Roman" w:cs="Times New Roman" w:hint="eastAsia"/>
                <w:sz w:val="18"/>
                <w:szCs w:val="18"/>
              </w:rPr>
              <w:t>。否则响应将被拒绝。</w:t>
            </w:r>
          </w:p>
        </w:tc>
      </w:tr>
      <w:tr w14:paraId="38F53DC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A566B08">
            <w:pPr>
              <w:numPr>
                <w:ilvl w:val="0"/>
                <w:numId w:val="2"/>
              </w:numPr>
              <w:jc w:val="left"/>
              <w:rPr>
                <w:rFonts w:ascii="宋体" w:eastAsia="宋体" w:hAnsi="宋体" w:cs="Times New Roman"/>
                <w:sz w:val="18"/>
                <w:szCs w:val="18"/>
              </w:rPr>
            </w:pPr>
          </w:p>
        </w:tc>
        <w:tc>
          <w:tcPr>
            <w:tcW w:w="850" w:type="dxa"/>
            <w:vAlign w:val="center"/>
          </w:tcPr>
          <w:p w14:paraId="72B0DF36">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32C3212A">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37D2D7D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B52EC56">
            <w:pPr>
              <w:numPr>
                <w:ilvl w:val="0"/>
                <w:numId w:val="2"/>
              </w:numPr>
              <w:jc w:val="left"/>
              <w:rPr>
                <w:rFonts w:ascii="宋体" w:eastAsia="宋体" w:hAnsi="宋体" w:cs="Times New Roman"/>
                <w:sz w:val="18"/>
                <w:szCs w:val="18"/>
              </w:rPr>
            </w:pPr>
          </w:p>
        </w:tc>
        <w:tc>
          <w:tcPr>
            <w:tcW w:w="850" w:type="dxa"/>
            <w:vAlign w:val="center"/>
          </w:tcPr>
          <w:p w14:paraId="267818DB">
            <w:pPr>
              <w:rPr>
                <w:rFonts w:ascii="宋体" w:eastAsia="宋体" w:hAnsi="宋体" w:cs="Times New Roman"/>
                <w:bCs/>
                <w:sz w:val="18"/>
                <w:szCs w:val="18"/>
              </w:rPr>
            </w:pPr>
            <w:r>
              <w:rPr>
                <w:rFonts w:ascii="宋体" w:eastAsia="宋体" w:hAnsi="宋体" w:cs="Times New Roman" w:hint="eastAsia"/>
                <w:bCs/>
                <w:sz w:val="18"/>
                <w:szCs w:val="18"/>
              </w:rPr>
              <w:t>1.3.4</w:t>
            </w:r>
          </w:p>
        </w:tc>
        <w:tc>
          <w:tcPr>
            <w:tcW w:w="7723" w:type="dxa"/>
            <w:vAlign w:val="center"/>
          </w:tcPr>
          <w:p w14:paraId="5A0DC919">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 w:val="18"/>
                <w:szCs w:val="18"/>
              </w:rPr>
              <w:t>。</w:t>
            </w:r>
          </w:p>
        </w:tc>
      </w:tr>
      <w:tr w14:paraId="3D4D75E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5538982">
            <w:pPr>
              <w:numPr>
                <w:ilvl w:val="0"/>
                <w:numId w:val="2"/>
              </w:numPr>
              <w:jc w:val="left"/>
              <w:rPr>
                <w:rFonts w:ascii="宋体" w:eastAsia="宋体" w:hAnsi="宋体" w:cs="Times New Roman"/>
                <w:sz w:val="18"/>
                <w:szCs w:val="18"/>
              </w:rPr>
            </w:pPr>
          </w:p>
        </w:tc>
        <w:tc>
          <w:tcPr>
            <w:tcW w:w="850" w:type="dxa"/>
            <w:vAlign w:val="center"/>
          </w:tcPr>
          <w:p w14:paraId="595BC3B1">
            <w:pPr>
              <w:rPr>
                <w:rFonts w:ascii="宋体" w:eastAsia="宋体" w:hAnsi="宋体" w:cs="Times New Roman"/>
                <w:sz w:val="18"/>
                <w:szCs w:val="18"/>
              </w:rPr>
            </w:pPr>
            <w:r>
              <w:rPr>
                <w:rFonts w:ascii="宋体" w:eastAsia="宋体" w:hAnsi="宋体" w:cs="Times New Roman" w:hint="eastAsia"/>
                <w:bCs/>
                <w:sz w:val="18"/>
                <w:szCs w:val="18"/>
              </w:rPr>
              <w:t>1.3.5</w:t>
            </w:r>
          </w:p>
        </w:tc>
        <w:tc>
          <w:tcPr>
            <w:tcW w:w="7723" w:type="dxa"/>
            <w:vAlign w:val="center"/>
          </w:tcPr>
          <w:p w14:paraId="150848A2">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2DED03C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5E46804">
            <w:pPr>
              <w:numPr>
                <w:ilvl w:val="0"/>
                <w:numId w:val="2"/>
              </w:numPr>
              <w:jc w:val="left"/>
              <w:rPr>
                <w:rFonts w:ascii="宋体" w:eastAsia="宋体" w:hAnsi="宋体" w:cs="Times New Roman"/>
                <w:sz w:val="18"/>
                <w:szCs w:val="18"/>
              </w:rPr>
            </w:pPr>
          </w:p>
        </w:tc>
        <w:tc>
          <w:tcPr>
            <w:tcW w:w="850" w:type="dxa"/>
            <w:vAlign w:val="center"/>
          </w:tcPr>
          <w:p w14:paraId="1E312CDE">
            <w:pPr>
              <w:rPr>
                <w:rFonts w:ascii="宋体" w:eastAsia="宋体" w:hAnsi="宋体" w:cs="Times New Roman"/>
                <w:bCs/>
                <w:sz w:val="18"/>
                <w:szCs w:val="18"/>
              </w:rPr>
            </w:pPr>
            <w:r>
              <w:rPr>
                <w:rFonts w:ascii="宋体" w:eastAsia="宋体" w:hAnsi="宋体" w:cs="Times New Roman" w:hint="eastAsia"/>
                <w:bCs/>
                <w:sz w:val="18"/>
                <w:szCs w:val="18"/>
              </w:rPr>
              <w:t>1.3.6</w:t>
            </w:r>
          </w:p>
        </w:tc>
        <w:tc>
          <w:tcPr>
            <w:tcW w:w="7723" w:type="dxa"/>
            <w:vAlign w:val="center"/>
          </w:tcPr>
          <w:p w14:paraId="2C5B8096">
            <w:pPr>
              <w:tabs>
                <w:tab w:val="left" w:pos="8460"/>
              </w:tabs>
              <w:adjustRightInd w:val="0"/>
              <w:snapToGrid w:val="0"/>
              <w:spacing w:line="360" w:lineRule="auto"/>
              <w:jc w:val="left"/>
              <w:rPr>
                <w:rFonts w:ascii="宋体" w:eastAsia="宋体" w:hAnsi="宋体" w:cs="Times New Roman"/>
                <w:kern w:val="0"/>
                <w:sz w:val="18"/>
                <w:szCs w:val="18"/>
              </w:rPr>
            </w:pP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465E06A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943526D">
            <w:pPr>
              <w:numPr>
                <w:ilvl w:val="0"/>
                <w:numId w:val="2"/>
              </w:numPr>
              <w:jc w:val="left"/>
              <w:rPr>
                <w:rFonts w:ascii="宋体" w:eastAsia="宋体" w:hAnsi="宋体" w:cs="Times New Roman"/>
                <w:sz w:val="18"/>
                <w:szCs w:val="18"/>
              </w:rPr>
            </w:pPr>
          </w:p>
        </w:tc>
        <w:tc>
          <w:tcPr>
            <w:tcW w:w="850" w:type="dxa"/>
            <w:vAlign w:val="center"/>
          </w:tcPr>
          <w:p w14:paraId="030D818A">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7B1AB594">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5.4条有关进口产品响应要求的，响应将被拒绝。</w:t>
            </w:r>
          </w:p>
        </w:tc>
      </w:tr>
      <w:tr w14:paraId="455B3D0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32F64AC">
            <w:pPr>
              <w:numPr>
                <w:ilvl w:val="0"/>
                <w:numId w:val="2"/>
              </w:numPr>
              <w:jc w:val="left"/>
              <w:rPr>
                <w:rFonts w:ascii="宋体" w:eastAsia="宋体" w:hAnsi="宋体" w:cs="Times New Roman"/>
                <w:sz w:val="18"/>
                <w:szCs w:val="18"/>
              </w:rPr>
            </w:pPr>
          </w:p>
        </w:tc>
        <w:tc>
          <w:tcPr>
            <w:tcW w:w="850" w:type="dxa"/>
            <w:vAlign w:val="center"/>
          </w:tcPr>
          <w:p w14:paraId="6ACD065F">
            <w:pPr>
              <w:jc w:val="left"/>
              <w:rPr>
                <w:rFonts w:ascii="宋体" w:eastAsia="宋体" w:hAnsi="宋体" w:cs="Times New Roman"/>
                <w:sz w:val="18"/>
                <w:szCs w:val="18"/>
              </w:rPr>
            </w:pPr>
            <w:r>
              <w:rPr>
                <w:rFonts w:ascii="宋体" w:eastAsia="宋体" w:hAnsi="宋体" w:cs="Times New Roman" w:hint="eastAsia"/>
                <w:sz w:val="18"/>
                <w:szCs w:val="18"/>
              </w:rPr>
              <w:t>1.6</w:t>
            </w:r>
          </w:p>
        </w:tc>
        <w:tc>
          <w:tcPr>
            <w:tcW w:w="7723" w:type="dxa"/>
            <w:vAlign w:val="center"/>
          </w:tcPr>
          <w:p w14:paraId="0960A468">
            <w:pPr>
              <w:tabs>
                <w:tab w:val="left" w:pos="5580"/>
              </w:tabs>
              <w:adjustRightInd w:val="0"/>
              <w:snapToGrid w:val="0"/>
              <w:spacing w:line="360" w:lineRule="auto"/>
              <w:jc w:val="left"/>
              <w:rPr>
                <w:rFonts w:ascii="Times New Roman" w:eastAsia="宋体" w:hAnsi="Times New Roman"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3713200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9A78B1E">
            <w:pPr>
              <w:numPr>
                <w:ilvl w:val="0"/>
                <w:numId w:val="2"/>
              </w:numPr>
              <w:jc w:val="left"/>
              <w:rPr>
                <w:rFonts w:ascii="宋体" w:eastAsia="宋体" w:hAnsi="宋体" w:cs="Times New Roman"/>
                <w:sz w:val="18"/>
                <w:szCs w:val="18"/>
              </w:rPr>
            </w:pPr>
          </w:p>
        </w:tc>
        <w:tc>
          <w:tcPr>
            <w:tcW w:w="850" w:type="dxa"/>
            <w:vAlign w:val="center"/>
          </w:tcPr>
          <w:p w14:paraId="6D3DA3DB">
            <w:pPr>
              <w:jc w:val="left"/>
              <w:rPr>
                <w:rFonts w:ascii="宋体" w:eastAsia="宋体" w:hAnsi="宋体" w:cs="Times New Roman"/>
                <w:sz w:val="18"/>
                <w:szCs w:val="18"/>
              </w:rPr>
            </w:pPr>
            <w:r>
              <w:rPr>
                <w:rFonts w:ascii="宋体" w:eastAsia="宋体" w:hAnsi="宋体" w:cs="Times New Roman" w:hint="eastAsia"/>
                <w:sz w:val="18"/>
                <w:szCs w:val="18"/>
              </w:rPr>
              <w:t>1.13.2</w:t>
            </w:r>
          </w:p>
        </w:tc>
        <w:tc>
          <w:tcPr>
            <w:tcW w:w="7723" w:type="dxa"/>
            <w:vAlign w:val="center"/>
          </w:tcPr>
          <w:p w14:paraId="52083A0A">
            <w:pPr>
              <w:tabs>
                <w:tab w:val="left" w:pos="558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响应人以下商务文件（特别说明除外）若缺失或无效，可在协商时补正。补正后仍不能满足要求的，会导致响应被拒绝。（1）法定代表人身份证明或授权委托书；（2）响应函；（3）资格、资信证明文件：①响应人</w:t>
            </w:r>
            <w:r>
              <w:rPr>
                <w:rFonts w:ascii="Times New Roman" w:eastAsia="宋体" w:hAnsi="Times New Roman" w:cs="Times New Roman"/>
                <w:sz w:val="18"/>
                <w:szCs w:val="18"/>
              </w:rPr>
              <w:t>法人</w:t>
            </w:r>
            <w:r>
              <w:rPr>
                <w:rFonts w:ascii="Times New Roman" w:eastAsia="宋体" w:hAnsi="Times New Roman" w:cs="Times New Roman" w:hint="eastAsia"/>
                <w:sz w:val="18"/>
                <w:szCs w:val="18"/>
              </w:rPr>
              <w:t>资格</w:t>
            </w:r>
            <w:r>
              <w:rPr>
                <w:rFonts w:ascii="Times New Roman" w:eastAsia="宋体" w:hAnsi="Times New Roman" w:cs="Times New Roman"/>
                <w:sz w:val="18"/>
                <w:szCs w:val="18"/>
              </w:rPr>
              <w:t>证明文件</w:t>
            </w:r>
            <w:r>
              <w:rPr>
                <w:rFonts w:ascii="Times New Roman" w:eastAsia="宋体" w:hAnsi="Times New Roman" w:cs="Times New Roman" w:hint="eastAsia"/>
                <w:sz w:val="18"/>
                <w:szCs w:val="18"/>
              </w:rPr>
              <w:t>；②以提交首次响应文件截止日为基准日，近一年内任何完税凭证或税务部门出具的税收减免证明；③以提交首次响应文件截止日为基准日，近一年内任何一期社会保障资金缴纳凭证；④财务状况证明；⑤近三年内参加政府采购活动中没有重大违法记录声明；⑥响应货物的《气象专用技术装备使用许可证》（响应货物不必须取得《气象专用技术装备使用许可证》的，可以不提供）；⑦进口产品制造商授权书（响应货物不是进口产品的，不提供）；⑧中小</w:t>
            </w:r>
            <w:r>
              <w:rPr>
                <w:rFonts w:ascii="Times New Roman" w:eastAsia="宋体" w:hAnsi="Times New Roman" w:cs="Times New Roman"/>
                <w:sz w:val="18"/>
                <w:szCs w:val="18"/>
              </w:rPr>
              <w:t>企业声明函</w:t>
            </w:r>
            <w:r>
              <w:rPr>
                <w:rFonts w:ascii="Times New Roman" w:eastAsia="宋体" w:hAnsi="Times New Roman" w:cs="Times New Roman" w:hint="eastAsia"/>
                <w:sz w:val="18"/>
                <w:szCs w:val="18"/>
              </w:rPr>
              <w:t>或残疾人福利性单位声明函或监狱企业证明文件（响应人不符合1.5条</w:t>
            </w:r>
            <w:r>
              <w:rPr>
                <w:rFonts w:ascii="Times New Roman" w:eastAsia="宋体" w:hAnsi="Times New Roman" w:cs="Times New Roman" w:hint="eastAsia"/>
                <w:sz w:val="18"/>
                <w:szCs w:val="18"/>
                <w:highlight w:val="none"/>
              </w:rPr>
              <w:t>关于中小企业条件的不提供）；⑨联合体协议（如有）；⑩分包意向协议（如有）；</w:t>
            </w:r>
            <w:r>
              <w:rPr>
                <w:rFonts w:ascii="Times New Roman" w:eastAsia="宋体" w:hAnsi="Times New Roman" w:cs="Times New Roman"/>
                <w:sz w:val="18"/>
                <w:szCs w:val="18"/>
                <w:highlight w:val="none"/>
              </w:rPr>
              <w:fldChar w:fldCharType="begin"/>
            </w:r>
            <w:r>
              <w:rPr>
                <w:rFonts w:ascii="Times New Roman" w:eastAsia="宋体" w:hAnsi="Times New Roman" w:cs="Times New Roman"/>
                <w:sz w:val="18"/>
                <w:szCs w:val="18"/>
                <w:highlight w:val="none"/>
              </w:rPr>
              <w:instrText xml:space="preserve"> </w:instrText>
            </w:r>
            <w:r>
              <w:rPr>
                <w:rFonts w:ascii="Times New Roman" w:eastAsia="宋体" w:hAnsi="Times New Roman" w:cs="Times New Roman" w:hint="eastAsia"/>
                <w:sz w:val="18"/>
                <w:szCs w:val="18"/>
                <w:highlight w:val="none"/>
              </w:rPr>
              <w:instrText>eq \o\ac(○,</w:instrText>
            </w:r>
            <w:r>
              <w:rPr>
                <w:rFonts w:ascii="Times New Roman" w:eastAsia="宋体" w:hAnsi="Times New Roman" w:cs="Times New Roman" w:hint="eastAsia"/>
                <w:position w:val="2"/>
                <w:sz w:val="12"/>
                <w:szCs w:val="18"/>
                <w:highlight w:val="none"/>
              </w:rPr>
              <w:instrText>11</w:instrText>
            </w:r>
            <w:r>
              <w:rPr>
                <w:rFonts w:ascii="Times New Roman" w:eastAsia="宋体" w:hAnsi="Times New Roman" w:cs="Times New Roman" w:hint="eastAsia"/>
                <w:sz w:val="18"/>
                <w:szCs w:val="18"/>
                <w:highlight w:val="none"/>
              </w:rPr>
              <w:instrText>)</w:instrText>
            </w:r>
            <w:r>
              <w:rPr>
                <w:rFonts w:ascii="Times New Roman" w:eastAsia="宋体" w:hAnsi="Times New Roman" w:cs="Times New Roman"/>
                <w:sz w:val="18"/>
                <w:szCs w:val="18"/>
                <w:highlight w:val="none"/>
              </w:rPr>
              <w:fldChar w:fldCharType="separate"/>
            </w:r>
            <w:r>
              <w:rPr>
                <w:rFonts w:ascii="Times New Roman" w:eastAsia="宋体" w:hAnsi="Times New Roman" w:cs="Times New Roman"/>
                <w:sz w:val="18"/>
                <w:szCs w:val="18"/>
                <w:highlight w:val="none"/>
              </w:rPr>
              <w:fldChar w:fldCharType="end"/>
            </w:r>
            <w:r>
              <w:rPr>
                <w:rFonts w:ascii="Times New Roman" w:eastAsia="宋体" w:hAnsi="Times New Roman" w:cs="Times New Roman" w:hint="eastAsia"/>
                <w:sz w:val="18"/>
                <w:szCs w:val="18"/>
                <w:highlight w:val="none"/>
              </w:rPr>
              <w:t>按照第五章响应人须知专用部分5.2条规定应提交的特殊资质条件证明文件；（4）按照第五章响应人须知专用部分5.7条规定应提交的</w:t>
            </w:r>
            <w:r>
              <w:rPr>
                <w:rFonts w:ascii="Times New Roman" w:eastAsia="宋体" w:hAnsi="Times New Roman" w:cs="Times New Roman" w:hint="eastAsia"/>
                <w:sz w:val="18"/>
                <w:szCs w:val="18"/>
              </w:rPr>
              <w:t>其他商务文件。</w:t>
            </w:r>
          </w:p>
        </w:tc>
      </w:tr>
      <w:tr w14:paraId="70296CC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F4EAB04">
            <w:pPr>
              <w:numPr>
                <w:ilvl w:val="0"/>
                <w:numId w:val="2"/>
              </w:numPr>
              <w:jc w:val="left"/>
              <w:rPr>
                <w:rFonts w:ascii="宋体" w:eastAsia="宋体" w:hAnsi="宋体" w:cs="Times New Roman"/>
                <w:sz w:val="18"/>
                <w:szCs w:val="18"/>
              </w:rPr>
            </w:pPr>
          </w:p>
        </w:tc>
        <w:tc>
          <w:tcPr>
            <w:tcW w:w="850" w:type="dxa"/>
            <w:vAlign w:val="center"/>
          </w:tcPr>
          <w:p w14:paraId="66670F14">
            <w:pPr>
              <w:rPr>
                <w:rFonts w:ascii="宋体" w:eastAsia="宋体" w:hAnsi="宋体" w:cs="Times New Roman"/>
                <w:sz w:val="18"/>
                <w:szCs w:val="18"/>
              </w:rPr>
            </w:pPr>
            <w:r>
              <w:rPr>
                <w:rFonts w:ascii="宋体" w:eastAsia="宋体" w:hAnsi="宋体" w:cs="Times New Roman" w:hint="eastAsia"/>
                <w:sz w:val="18"/>
                <w:szCs w:val="18"/>
              </w:rPr>
              <w:t>1.13.3</w:t>
            </w:r>
          </w:p>
        </w:tc>
        <w:tc>
          <w:tcPr>
            <w:tcW w:w="7723" w:type="dxa"/>
          </w:tcPr>
          <w:p w14:paraId="46D2200C">
            <w:pPr>
              <w:tabs>
                <w:tab w:val="left" w:pos="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响应人以下技术文件（特别说明除外）若缺失或无效，可在协商时补正。补正后仍不能满足要求的，会导致响应被拒绝。（1）报价一览表；（2）分项报价表；（3）按照第五章响应人须知专用部分5.7条规定应提交的其他技术文件。</w:t>
            </w:r>
          </w:p>
        </w:tc>
      </w:tr>
      <w:tr w14:paraId="0A67C1A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1ECA1B8">
            <w:pPr>
              <w:numPr>
                <w:ilvl w:val="0"/>
                <w:numId w:val="2"/>
              </w:numPr>
              <w:jc w:val="left"/>
              <w:rPr>
                <w:rFonts w:ascii="宋体" w:eastAsia="宋体" w:hAnsi="宋体" w:cs="Times New Roman"/>
                <w:sz w:val="18"/>
                <w:szCs w:val="18"/>
              </w:rPr>
            </w:pPr>
          </w:p>
        </w:tc>
        <w:tc>
          <w:tcPr>
            <w:tcW w:w="850" w:type="dxa"/>
            <w:vAlign w:val="center"/>
          </w:tcPr>
          <w:p w14:paraId="7EA54E80">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456B76EC">
            <w:pPr>
              <w:tabs>
                <w:tab w:val="left" w:pos="1573"/>
              </w:tabs>
              <w:adjustRightInd w:val="0"/>
              <w:snapToGrid w:val="0"/>
              <w:spacing w:line="360" w:lineRule="auto"/>
              <w:jc w:val="left"/>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报价未超过采购预算（或最高限价）。如协商后最终报价不符合上述要求，响应将被</w:t>
            </w:r>
            <w:r>
              <w:rPr>
                <w:rFonts w:hint="eastAsia"/>
                <w:b/>
                <w:bCs/>
                <w:sz w:val="18"/>
                <w:szCs w:val="18"/>
              </w:rPr>
              <w:t>拒绝</w:t>
            </w:r>
            <w:r>
              <w:rPr>
                <w:rFonts w:ascii="宋体" w:eastAsia="宋体" w:hAnsi="宋体" w:cs="Times New Roman" w:hint="eastAsia"/>
                <w:sz w:val="18"/>
                <w:szCs w:val="18"/>
              </w:rPr>
              <w:t>。</w:t>
            </w:r>
          </w:p>
        </w:tc>
      </w:tr>
      <w:tr w14:paraId="39A28D6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C3A58E4">
            <w:pPr>
              <w:numPr>
                <w:ilvl w:val="0"/>
                <w:numId w:val="2"/>
              </w:numPr>
              <w:jc w:val="left"/>
              <w:rPr>
                <w:rFonts w:ascii="宋体" w:eastAsia="宋体" w:hAnsi="宋体" w:cs="Times New Roman"/>
                <w:sz w:val="18"/>
                <w:szCs w:val="18"/>
              </w:rPr>
            </w:pPr>
          </w:p>
        </w:tc>
        <w:tc>
          <w:tcPr>
            <w:tcW w:w="850" w:type="dxa"/>
            <w:vAlign w:val="center"/>
          </w:tcPr>
          <w:p w14:paraId="133368E5">
            <w:pPr>
              <w:rPr>
                <w:rFonts w:ascii="宋体" w:eastAsia="宋体" w:hAnsi="宋体" w:cs="Times New Roman"/>
                <w:sz w:val="18"/>
                <w:szCs w:val="18"/>
              </w:rPr>
            </w:pPr>
            <w:r>
              <w:rPr>
                <w:rFonts w:ascii="宋体" w:eastAsia="宋体" w:hAnsi="宋体" w:cs="Times New Roman" w:hint="eastAsia"/>
                <w:sz w:val="18"/>
                <w:szCs w:val="18"/>
              </w:rPr>
              <w:t>1.16</w:t>
            </w:r>
          </w:p>
        </w:tc>
        <w:tc>
          <w:tcPr>
            <w:tcW w:w="7723" w:type="dxa"/>
            <w:vAlign w:val="center"/>
          </w:tcPr>
          <w:p w14:paraId="77CFFB28">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不符合采购文件中有关分包规定的，其响应将被拒绝。</w:t>
            </w:r>
          </w:p>
        </w:tc>
      </w:tr>
      <w:tr w14:paraId="5F61670C">
        <w:tblPrEx>
          <w:tblW w:w="9107" w:type="dxa"/>
          <w:tblInd w:w="0" w:type="dxa"/>
          <w:tblLayout w:type="fixed"/>
          <w:tblCellMar>
            <w:top w:w="0" w:type="dxa"/>
            <w:left w:w="108" w:type="dxa"/>
            <w:bottom w:w="0" w:type="dxa"/>
            <w:right w:w="108" w:type="dxa"/>
          </w:tblCellMar>
        </w:tblPrEx>
        <w:trPr>
          <w:cantSplit/>
          <w:trHeight w:val="376"/>
        </w:trPr>
        <w:tc>
          <w:tcPr>
            <w:tcW w:w="9107" w:type="dxa"/>
            <w:gridSpan w:val="3"/>
            <w:vAlign w:val="center"/>
          </w:tcPr>
          <w:p w14:paraId="0A57FD9C">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6A5465A0">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DE69A8C">
            <w:pPr>
              <w:numPr>
                <w:ilvl w:val="0"/>
                <w:numId w:val="2"/>
              </w:numPr>
              <w:jc w:val="left"/>
              <w:rPr>
                <w:rFonts w:ascii="宋体" w:eastAsia="宋体" w:hAnsi="宋体" w:cs="Times New Roman"/>
                <w:sz w:val="18"/>
                <w:szCs w:val="18"/>
              </w:rPr>
            </w:pPr>
          </w:p>
        </w:tc>
        <w:tc>
          <w:tcPr>
            <w:tcW w:w="850" w:type="dxa"/>
            <w:vAlign w:val="center"/>
          </w:tcPr>
          <w:p w14:paraId="19164450">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1214DD88">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0C8D285F">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CFFD29A">
            <w:pPr>
              <w:numPr>
                <w:ilvl w:val="0"/>
                <w:numId w:val="2"/>
              </w:numPr>
              <w:jc w:val="left"/>
              <w:rPr>
                <w:rFonts w:ascii="宋体" w:eastAsia="宋体" w:hAnsi="宋体" w:cs="Times New Roman"/>
                <w:sz w:val="18"/>
                <w:szCs w:val="18"/>
              </w:rPr>
            </w:pPr>
          </w:p>
        </w:tc>
        <w:tc>
          <w:tcPr>
            <w:tcW w:w="850" w:type="dxa"/>
            <w:vAlign w:val="center"/>
          </w:tcPr>
          <w:p w14:paraId="4958FA40">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2D12A1FE">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43004BAA">
        <w:tblPrEx>
          <w:tblW w:w="9107" w:type="dxa"/>
          <w:tblInd w:w="0" w:type="dxa"/>
          <w:tblLayout w:type="fixed"/>
          <w:tblCellMar>
            <w:top w:w="0" w:type="dxa"/>
            <w:left w:w="108" w:type="dxa"/>
            <w:bottom w:w="0" w:type="dxa"/>
            <w:right w:w="108" w:type="dxa"/>
          </w:tblCellMar>
        </w:tblPrEx>
        <w:trPr>
          <w:cantSplit/>
          <w:trHeight w:val="376"/>
        </w:trPr>
        <w:tc>
          <w:tcPr>
            <w:tcW w:w="534" w:type="dxa"/>
            <w:tcBorders>
              <w:bottom w:val="single" w:sz="4" w:space="0" w:color="auto"/>
            </w:tcBorders>
            <w:vAlign w:val="center"/>
          </w:tcPr>
          <w:p w14:paraId="272EE3A8">
            <w:pPr>
              <w:numPr>
                <w:ilvl w:val="0"/>
                <w:numId w:val="2"/>
              </w:numPr>
              <w:jc w:val="left"/>
              <w:rPr>
                <w:rFonts w:ascii="宋体" w:eastAsia="宋体" w:hAnsi="宋体" w:cs="Times New Roman"/>
                <w:sz w:val="18"/>
                <w:szCs w:val="18"/>
              </w:rPr>
            </w:pPr>
          </w:p>
        </w:tc>
        <w:tc>
          <w:tcPr>
            <w:tcW w:w="850" w:type="dxa"/>
            <w:tcBorders>
              <w:bottom w:val="single" w:sz="4" w:space="0" w:color="auto"/>
            </w:tcBorders>
            <w:vAlign w:val="center"/>
          </w:tcPr>
          <w:p w14:paraId="0CE097A9">
            <w:pPr>
              <w:jc w:val="left"/>
              <w:rPr>
                <w:rFonts w:ascii="宋体" w:eastAsia="宋体" w:hAnsi="宋体" w:cs="Times New Roman"/>
                <w:sz w:val="18"/>
                <w:szCs w:val="18"/>
              </w:rPr>
            </w:pPr>
            <w:r>
              <w:rPr>
                <w:rFonts w:ascii="宋体" w:eastAsia="宋体" w:hAnsi="宋体" w:cs="Times New Roman" w:hint="eastAsia"/>
                <w:sz w:val="18"/>
                <w:szCs w:val="18"/>
              </w:rPr>
              <w:t>2.10.5</w:t>
            </w:r>
          </w:p>
        </w:tc>
        <w:tc>
          <w:tcPr>
            <w:tcW w:w="7723" w:type="dxa"/>
            <w:tcBorders>
              <w:bottom w:val="single" w:sz="4" w:space="0" w:color="auto"/>
            </w:tcBorders>
            <w:vAlign w:val="center"/>
          </w:tcPr>
          <w:p w14:paraId="5BFE72B1">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bl>
    <w:p w14:paraId="08D1AFD8">
      <w:pPr>
        <w:spacing w:line="360" w:lineRule="auto"/>
        <w:jc w:val="left"/>
        <w:rPr>
          <w:rFonts w:ascii="Times New Roman" w:eastAsia="宋体" w:hAnsi="Times New Roman" w:cs="Times New Roman"/>
          <w:b/>
          <w:bCs/>
          <w:sz w:val="44"/>
          <w:szCs w:val="44"/>
        </w:rPr>
      </w:pPr>
    </w:p>
    <w:p w14:paraId="388963FC">
      <w:pPr>
        <w:spacing w:line="360" w:lineRule="auto"/>
        <w:jc w:val="left"/>
        <w:rPr>
          <w:rFonts w:ascii="宋体" w:eastAsia="宋体" w:hAnsi="宋体" w:cs="微软雅黑"/>
          <w:b/>
          <w:color w:val="0000FF"/>
          <w:kern w:val="0"/>
          <w:szCs w:val="21"/>
        </w:rPr>
      </w:pPr>
      <w:r>
        <w:rPr>
          <w:rFonts w:ascii="Times New Roman" w:eastAsia="宋体" w:hAnsi="Times New Roman" w:cs="Times New Roman"/>
          <w:b/>
          <w:bCs/>
          <w:sz w:val="44"/>
          <w:szCs w:val="44"/>
        </w:rPr>
        <w:br w:type="page"/>
      </w:r>
    </w:p>
    <w:p w14:paraId="5C7F5A95">
      <w:pPr>
        <w:spacing w:line="360" w:lineRule="auto"/>
        <w:jc w:val="left"/>
        <w:rPr>
          <w:rFonts w:ascii="宋体" w:eastAsia="宋体" w:hAnsi="宋体" w:cs="微软雅黑"/>
          <w:b/>
          <w:color w:val="0000FF"/>
          <w:kern w:val="0"/>
          <w:szCs w:val="21"/>
        </w:rPr>
      </w:pPr>
    </w:p>
    <w:p w14:paraId="16BB6724">
      <w:pPr>
        <w:spacing w:line="360" w:lineRule="auto"/>
        <w:jc w:val="left"/>
        <w:rPr>
          <w:rFonts w:ascii="Times New Roman" w:eastAsia="宋体" w:hAnsi="Times New Roman" w:cs="Times New Roman"/>
          <w:b/>
          <w:bCs/>
          <w:sz w:val="44"/>
          <w:szCs w:val="44"/>
        </w:rPr>
      </w:pPr>
    </w:p>
    <w:p w14:paraId="1F9FDF48">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4F54E949">
      <w:pPr>
        <w:spacing w:line="360" w:lineRule="auto"/>
        <w:rPr>
          <w:rFonts w:ascii="Times New Roman" w:eastAsia="宋体" w:hAnsi="Times New Roman" w:cs="Times New Roman"/>
          <w:szCs w:val="20"/>
        </w:rPr>
      </w:pPr>
    </w:p>
    <w:p w14:paraId="525BB0D1">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7635C324">
      <w:pPr>
        <w:spacing w:line="360" w:lineRule="auto"/>
        <w:rPr>
          <w:rFonts w:ascii="Times New Roman" w:eastAsia="宋体" w:hAnsi="Times New Roman" w:cs="Times New Roman"/>
          <w:b/>
          <w:bCs/>
          <w:szCs w:val="21"/>
        </w:rPr>
      </w:pPr>
    </w:p>
    <w:p w14:paraId="53B2E25D">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采购邀请书</w:t>
      </w:r>
    </w:p>
    <w:p w14:paraId="1A0D8279">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5816D52A">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第六章  采购需求</w:t>
      </w:r>
    </w:p>
    <w:p w14:paraId="6F4AB37D">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第七章  响应被拒绝条款专用部分</w:t>
      </w:r>
    </w:p>
    <w:p w14:paraId="0E0D43E2">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312BC893">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采购邀请书</w:t>
      </w:r>
    </w:p>
    <w:p w14:paraId="110EDBAA">
      <w:pPr>
        <w:spacing w:line="360" w:lineRule="auto"/>
        <w:jc w:val="center"/>
        <w:rPr>
          <w:rFonts w:ascii="Times New Roman" w:eastAsia="宋体" w:hAnsi="Times New Roman" w:cs="Times New Roman"/>
          <w:b/>
          <w:bCs/>
          <w:sz w:val="28"/>
          <w:szCs w:val="28"/>
        </w:rPr>
      </w:pPr>
    </w:p>
    <w:p w14:paraId="2D79D854">
      <w:pPr>
        <w:spacing w:line="360" w:lineRule="auto"/>
        <w:ind w:firstLine="630" w:firstLineChars="300"/>
        <w:rPr>
          <w:rFonts w:ascii="宋体" w:eastAsia="宋体" w:hAnsi="宋体" w:cs="Times New Roman"/>
          <w:bCs/>
          <w:szCs w:val="21"/>
        </w:rPr>
      </w:pPr>
      <w:r>
        <w:rPr>
          <w:rFonts w:ascii="宋体" w:eastAsia="宋体" w:hAnsi="宋体" w:cs="Times New Roman" w:hint="eastAsia"/>
          <w:bCs/>
          <w:szCs w:val="21"/>
        </w:rPr>
        <w:t>中国气象局政府采购中心</w:t>
      </w:r>
      <w:r>
        <w:rPr>
          <w:rFonts w:ascii="宋体" w:hAnsi="宋体" w:hint="eastAsia"/>
          <w:szCs w:val="21"/>
        </w:rPr>
        <w:t>受</w:t>
      </w:r>
      <w:bookmarkStart w:id="21" w:name="采购人_recorderOrgName"/>
      <w:r>
        <w:rPr>
          <w:rFonts w:ascii="宋体" w:hAnsi="宋体" w:cs="微软雅黑"/>
          <w:b/>
          <w:color w:val="0000FF"/>
          <w:kern w:val="0"/>
          <w:szCs w:val="21"/>
        </w:rPr>
        <w:t>内蒙古自治区气象数据中心</w:t>
      </w:r>
      <w:bookmarkEnd w:id="21"/>
      <w:r>
        <w:rPr>
          <w:rFonts w:ascii="宋体" w:hAnsi="宋体" w:hint="eastAsia"/>
          <w:szCs w:val="21"/>
        </w:rPr>
        <w:t>委</w:t>
      </w:r>
      <w:r>
        <w:rPr>
          <w:rFonts w:ascii="宋体" w:eastAsia="宋体" w:hAnsi="宋体" w:cs="Times New Roman" w:hint="eastAsia"/>
          <w:szCs w:val="21"/>
        </w:rPr>
        <w:t>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的相关货物和有关服务采购进行境内单一来源采购协商，邀请合格响应人参与。</w:t>
      </w:r>
    </w:p>
    <w:p w14:paraId="1717A69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项目名</w:t>
      </w:r>
      <w:r>
        <w:rPr>
          <w:rFonts w:ascii="宋体" w:hAnsi="宋体" w:hint="eastAsia"/>
          <w:b/>
          <w:szCs w:val="21"/>
        </w:rPr>
        <w:t>称：</w:t>
      </w:r>
      <w:r>
        <w:rPr>
          <w:rFonts w:ascii="微软雅黑" w:eastAsia="微软雅黑" w:hAnsi="微软雅黑" w:cs="微软雅黑" w:hint="eastAsia"/>
          <w:color w:val="0000FF"/>
          <w:kern w:val="0"/>
          <w:szCs w:val="21"/>
        </w:rPr>
        <w:t xml:space="preserve"> </w:t>
      </w:r>
      <w:bookmarkStart w:id="22" w:name="项目名称_taskName"/>
      <w:r>
        <w:rPr>
          <w:rFonts w:ascii="宋体" w:hAnsi="宋体" w:cs="微软雅黑"/>
          <w:b/>
          <w:color w:val="0000FF"/>
          <w:kern w:val="0"/>
          <w:szCs w:val="21"/>
        </w:rPr>
        <w:t>内蒙古自治区2025年森火工程甚低频/低频（VLF/LF）全闪定位仪采购项目</w:t>
      </w:r>
      <w:bookmarkEnd w:id="22"/>
      <w:r>
        <w:rPr>
          <w:rFonts w:ascii="宋体" w:hAnsi="宋体" w:cs="宋体" w:hint="eastAsia"/>
          <w:b/>
          <w:bCs/>
          <w:szCs w:val="21"/>
        </w:rPr>
        <w:t>。</w:t>
      </w:r>
    </w:p>
    <w:p w14:paraId="32966C9E">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23" w:name="封面_projectNo_2"/>
      <w:r>
        <w:rPr>
          <w:rFonts w:ascii="宋体" w:hAnsi="宋体" w:cs="微软雅黑" w:hint="eastAsia"/>
          <w:b/>
          <w:color w:val="0000FF"/>
          <w:kern w:val="0"/>
          <w:szCs w:val="21"/>
        </w:rPr>
        <w:t>ZQCD-26057</w:t>
      </w:r>
      <w:bookmarkEnd w:id="23"/>
      <w:r>
        <w:rPr>
          <w:rFonts w:ascii="宋体" w:hAnsi="宋体" w:cs="宋体" w:hint="eastAsia"/>
          <w:b/>
          <w:bCs/>
          <w:szCs w:val="21"/>
        </w:rPr>
        <w:t>。</w:t>
      </w:r>
    </w:p>
    <w:p w14:paraId="72708E73">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三、采购</w:t>
      </w:r>
      <w:r>
        <w:rPr>
          <w:rFonts w:ascii="宋体" w:eastAsia="宋体" w:hAnsi="宋体" w:cs="Times New Roman" w:hint="eastAsia"/>
          <w:b/>
          <w:szCs w:val="21"/>
        </w:rPr>
        <w:t>内容</w:t>
      </w:r>
    </w:p>
    <w:p w14:paraId="3F3447E9">
      <w:pPr>
        <w:adjustRightInd w:val="0"/>
        <w:snapToGrid w:val="0"/>
        <w:spacing w:line="360" w:lineRule="auto"/>
        <w:ind w:firstLine="420" w:firstLineChars="20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本次采购</w:t>
      </w:r>
      <w:r>
        <w:rPr>
          <w:rFonts w:ascii="宋体" w:hAnsi="宋体" w:hint="eastAsia"/>
          <w:szCs w:val="21"/>
        </w:rPr>
        <w:t>共</w:t>
      </w:r>
      <w:r>
        <w:rPr>
          <w:rFonts w:ascii="宋体" w:hAnsi="宋体" w:cs="微软雅黑" w:hint="eastAsia"/>
          <w:b/>
          <w:color w:val="0000FF"/>
          <w:kern w:val="0"/>
          <w:szCs w:val="21"/>
        </w:rPr>
        <w:t xml:space="preserve"> </w:t>
      </w:r>
      <w:bookmarkStart w:id="24" w:name="包数量_packageCount"/>
      <w:r>
        <w:rPr>
          <w:rFonts w:ascii="宋体" w:hAnsi="宋体" w:cs="微软雅黑" w:hint="eastAsia"/>
          <w:color w:val="0000FF"/>
          <w:kern w:val="0"/>
          <w:szCs w:val="21"/>
        </w:rPr>
        <w:t>1</w:t>
      </w:r>
      <w:bookmarkEnd w:id="24"/>
      <w:r>
        <w:rPr>
          <w:rFonts w:ascii="宋体" w:hAnsi="宋体" w:cs="微软雅黑" w:hint="eastAsia"/>
          <w:b/>
          <w:color w:val="0000FF"/>
          <w:kern w:val="0"/>
          <w:szCs w:val="21"/>
        </w:rPr>
        <w:t xml:space="preserve"> </w:t>
      </w:r>
      <w:r>
        <w:rPr>
          <w:rFonts w:ascii="宋体" w:hAnsi="宋体" w:hint="eastAsia"/>
          <w:szCs w:val="21"/>
          <w:u w:val="single"/>
        </w:rPr>
        <w:t>包</w:t>
      </w:r>
      <w:r>
        <w:rPr>
          <w:rFonts w:ascii="宋体" w:eastAsia="宋体" w:hAnsi="宋体" w:cs="宋体" w:hint="eastAsia"/>
          <w:szCs w:val="21"/>
        </w:rPr>
        <w:t>。</w:t>
      </w:r>
    </w:p>
    <w:p w14:paraId="40507ED2">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（详见第六章采购需求）</w:t>
      </w:r>
    </w:p>
    <w:p w14:paraId="11CF6E24">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上述货物的供应、运输、安装调试、培训及售后服务。</w:t>
      </w:r>
    </w:p>
    <w:p w14:paraId="60D83938">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采购文件中第六章“采购需求”的相应规定为准。响应人的响应文件必须满足本次采购的实质目的，完全实现所应有的全部要求。响应人若存在任何理解上无法正确确定之处，均应当按照采购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75D734C8">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4、履约时</w:t>
      </w:r>
      <w:r>
        <w:rPr>
          <w:rFonts w:ascii="宋体" w:hAnsi="宋体" w:hint="eastAsia"/>
          <w:bCs/>
          <w:szCs w:val="21"/>
        </w:rPr>
        <w:t>间：</w:t>
      </w:r>
      <w:bookmarkStart w:id="25" w:name="合同履约期限_contractPerformancePeriod"/>
      <w:r>
        <w:rPr>
          <w:rFonts w:ascii="宋体" w:hAnsi="宋体" w:cs="微软雅黑" w:hint="eastAsia"/>
          <w:b/>
          <w:color w:val="0000FF"/>
          <w:kern w:val="0"/>
          <w:szCs w:val="21"/>
        </w:rPr>
        <w:t>详见采购需求</w:t>
      </w:r>
      <w:bookmarkEnd w:id="25"/>
      <w:r>
        <w:rPr>
          <w:rFonts w:ascii="宋体" w:hAnsi="宋体" w:cs="微软雅黑" w:hint="eastAsia"/>
          <w:b/>
          <w:color w:val="0000FF"/>
          <w:kern w:val="0"/>
          <w:szCs w:val="21"/>
        </w:rPr>
        <w:t>。</w:t>
      </w:r>
    </w:p>
    <w:p w14:paraId="1C10BE17">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6" w:name="合同履约期限_performanceAddress"/>
      <w:r>
        <w:rPr>
          <w:rFonts w:ascii="宋体" w:hAnsi="宋体" w:cs="微软雅黑" w:hint="eastAsia"/>
          <w:b/>
          <w:color w:val="0000FF"/>
          <w:kern w:val="0"/>
          <w:szCs w:val="21"/>
        </w:rPr>
        <w:t>内蒙古自治区境内指定地点</w:t>
      </w:r>
      <w:bookmarkEnd w:id="26"/>
      <w:r>
        <w:rPr>
          <w:rFonts w:ascii="宋体" w:eastAsia="宋体" w:hAnsi="宋体" w:cs="微软雅黑" w:hint="eastAsia"/>
          <w:b/>
          <w:color w:val="0000FF"/>
          <w:kern w:val="0"/>
          <w:szCs w:val="21"/>
        </w:rPr>
        <w:t>。</w:t>
      </w:r>
    </w:p>
    <w:p w14:paraId="4B505ADC">
      <w:pPr>
        <w:adjustRightInd w:val="0"/>
        <w:snapToGrid w:val="0"/>
        <w:spacing w:line="360" w:lineRule="auto"/>
        <w:ind w:firstLine="420" w:firstLineChars="200"/>
        <w:rPr>
          <w:rFonts w:ascii="宋体" w:eastAsia="宋体" w:hAnsi="宋体" w:cs="Times New Roman"/>
          <w:bCs/>
          <w:szCs w:val="21"/>
        </w:rPr>
      </w:pPr>
      <w:r>
        <w:rPr>
          <w:rFonts w:ascii="宋体" w:eastAsia="宋体" w:hAnsi="宋体" w:cs="宋体" w:hint="eastAsia"/>
          <w:b/>
          <w:szCs w:val="21"/>
        </w:rPr>
        <w:t>四、</w:t>
      </w:r>
      <w:r>
        <w:rPr>
          <w:rFonts w:ascii="宋体" w:eastAsia="宋体" w:hAnsi="宋体" w:cs="Times New Roman" w:hint="eastAsia"/>
          <w:b/>
          <w:szCs w:val="24"/>
        </w:rPr>
        <w:t>采购文件获取</w:t>
      </w:r>
    </w:p>
    <w:p w14:paraId="23716ACC">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响应人按以下步骤获取采购文件：</w:t>
      </w:r>
    </w:p>
    <w:p w14:paraId="1F52884E">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521459BD">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第二步：下载采购文件。响应人登录系统即可下载拟参加项目对应包号的采购文件。</w:t>
      </w:r>
    </w:p>
    <w:p w14:paraId="3BCAD68B">
      <w:pPr>
        <w:spacing w:line="400" w:lineRule="exact"/>
        <w:ind w:firstLine="420"/>
        <w:rPr>
          <w:rFonts w:ascii="宋体" w:eastAsia="宋体" w:hAnsi="Times New Roman" w:cs="Times New Roman"/>
          <w:b/>
          <w:bCs/>
          <w:szCs w:val="21"/>
        </w:rPr>
      </w:pPr>
      <w:r>
        <w:rPr>
          <w:rFonts w:ascii="宋体" w:eastAsia="宋体" w:hAnsi="宋体" w:cs="Times New Roman" w:hint="eastAsia"/>
          <w:bCs/>
          <w:szCs w:val="21"/>
        </w:rPr>
        <w:t>响应人在注册及下载采购文件的过程中，涉及系统平台操作的技术问题，可致电采购中心技术支持电话。</w:t>
      </w:r>
    </w:p>
    <w:p w14:paraId="5416EBD4">
      <w:pPr>
        <w:spacing w:line="400" w:lineRule="exact"/>
        <w:ind w:firstLine="422"/>
        <w:rPr>
          <w:rFonts w:ascii="宋体" w:eastAsia="宋体" w:hAnsi="Times New Roman" w:cs="Times New Roman"/>
          <w:szCs w:val="21"/>
        </w:rPr>
      </w:pPr>
      <w:r>
        <w:rPr>
          <w:rFonts w:ascii="宋体" w:eastAsia="宋体" w:hAnsi="Times New Roman" w:cs="Times New Roman" w:hint="eastAsia"/>
          <w:b/>
          <w:bCs/>
          <w:szCs w:val="21"/>
        </w:rPr>
        <w:t>五、提交首次响应文件截止时间及响应方式</w:t>
      </w:r>
    </w:p>
    <w:p w14:paraId="7A40E018">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w:t>
      </w:r>
      <w:r>
        <w:rPr>
          <w:rFonts w:ascii="宋体" w:eastAsia="宋体" w:hAnsi="Times New Roman" w:cs="Times New Roman" w:hint="eastAsia"/>
          <w:szCs w:val="21"/>
          <w:highlight w:val="none"/>
        </w:rPr>
        <w:t>止时</w:t>
      </w:r>
      <w:r>
        <w:rPr>
          <w:rFonts w:ascii="宋体" w:hint="eastAsia"/>
          <w:szCs w:val="21"/>
          <w:highlight w:val="none"/>
        </w:rPr>
        <w:t>间：</w:t>
      </w:r>
      <w:bookmarkStart w:id="27" w:name="项目公告_openBidTime"/>
      <w:r>
        <w:rPr>
          <w:rFonts w:asciiTheme="minorEastAsia" w:eastAsiaTheme="minorEastAsia" w:hAnsiTheme="minorEastAsia" w:hint="eastAsia"/>
          <w:bCs/>
          <w:szCs w:val="21"/>
          <w:highlight w:val="none"/>
        </w:rPr>
        <w:t>2026年05月13日 09:30:00</w:t>
      </w:r>
      <w:bookmarkEnd w:id="27"/>
      <w:r>
        <w:rPr>
          <w:rFonts w:ascii="宋体" w:hint="eastAsia"/>
          <w:bCs/>
          <w:szCs w:val="21"/>
          <w:highlight w:val="none"/>
        </w:rPr>
        <w:t>（</w:t>
      </w:r>
      <w:r>
        <w:rPr>
          <w:rFonts w:ascii="宋体" w:hint="eastAsia"/>
          <w:bCs/>
          <w:szCs w:val="21"/>
          <w:highlight w:val="white"/>
        </w:rPr>
        <w:t>北</w:t>
      </w:r>
      <w:r>
        <w:rPr>
          <w:rFonts w:ascii="宋体" w:eastAsia="宋体" w:hAnsi="Times New Roman" w:cs="Times New Roman" w:hint="eastAsia"/>
          <w:bCs/>
          <w:szCs w:val="21"/>
        </w:rPr>
        <w:t>京时间）</w:t>
      </w:r>
      <w:r>
        <w:rPr>
          <w:rFonts w:ascii="宋体" w:eastAsia="宋体" w:hAnsi="Times New Roman" w:cs="Times New Roman" w:hint="eastAsia"/>
          <w:szCs w:val="21"/>
        </w:rPr>
        <w:t>。</w:t>
      </w:r>
    </w:p>
    <w:p w14:paraId="393DCC0C">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在供应商专栏下载投标（响应）工具及驱动程序安装包。</w:t>
      </w:r>
    </w:p>
    <w:p w14:paraId="28E9955D">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780B8D77">
      <w:pPr>
        <w:autoSpaceDN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供应商在响应过程中，涉及系统平台操作的技术问题，可致电采购中心技术支持电话。</w:t>
      </w:r>
    </w:p>
    <w:p w14:paraId="3EE05B1E">
      <w:pPr>
        <w:tabs>
          <w:tab w:val="left" w:pos="1573"/>
        </w:tabs>
        <w:adjustRightInd w:val="0"/>
        <w:snapToGrid w:val="0"/>
        <w:spacing w:line="360" w:lineRule="auto"/>
        <w:ind w:firstLine="412" w:firstLineChars="196"/>
        <w:rPr>
          <w:rFonts w:ascii="宋体" w:eastAsia="宋体" w:hAnsi="宋体" w:cs="Times New Roman"/>
          <w:b/>
          <w:szCs w:val="21"/>
        </w:rPr>
      </w:pP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323E0408">
      <w:pPr>
        <w:tabs>
          <w:tab w:val="left" w:pos="1573"/>
        </w:tabs>
        <w:adjustRightInd w:val="0"/>
        <w:snapToGrid w:val="0"/>
        <w:spacing w:line="360" w:lineRule="auto"/>
        <w:ind w:firstLine="412" w:firstLineChars="196"/>
        <w:rPr>
          <w:rFonts w:ascii="宋体" w:eastAsia="宋体" w:hAnsi="宋体" w:cs="Times New Roman"/>
          <w:bCs/>
          <w:szCs w:val="21"/>
        </w:rPr>
      </w:pPr>
      <w:bookmarkStart w:id="28"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8"/>
    </w:p>
    <w:p w14:paraId="73C3B194">
      <w:pPr>
        <w:tabs>
          <w:tab w:val="left" w:pos="1573"/>
        </w:tabs>
        <w:adjustRightInd w:val="0"/>
        <w:snapToGrid w:val="0"/>
        <w:spacing w:line="360" w:lineRule="auto"/>
        <w:ind w:firstLine="412" w:firstLineChars="196"/>
        <w:rPr>
          <w:rFonts w:ascii="宋体" w:eastAsia="宋体" w:hAnsi="宋体" w:cs="Times New Roman"/>
          <w:b/>
          <w:bCs/>
          <w:szCs w:val="21"/>
        </w:rPr>
      </w:pPr>
      <w:r>
        <w:rPr>
          <w:rFonts w:ascii="宋体" w:eastAsia="宋体" w:hAnsi="宋体" w:cs="Times New Roman" w:hint="eastAsia"/>
          <w:b/>
          <w:bCs/>
          <w:szCs w:val="21"/>
        </w:rPr>
        <w:t>七、信息发布</w:t>
      </w:r>
    </w:p>
    <w:p w14:paraId="2E37D00D">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本项目相关信息已通知响应人。</w:t>
      </w:r>
    </w:p>
    <w:p w14:paraId="12364792">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0A69E4FD">
      <w:pPr>
        <w:tabs>
          <w:tab w:val="left" w:pos="943"/>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b/>
          <w:bCs/>
          <w:szCs w:val="21"/>
        </w:rPr>
        <w:t>采购中心</w:t>
      </w:r>
      <w:r>
        <w:rPr>
          <w:rFonts w:ascii="宋体" w:eastAsia="宋体" w:hAnsi="宋体" w:cs="Times New Roman" w:hint="eastAsia"/>
          <w:bCs/>
          <w:szCs w:val="21"/>
        </w:rPr>
        <w:t>联系方式</w:t>
      </w:r>
    </w:p>
    <w:p w14:paraId="01F99606">
      <w:pPr>
        <w:tabs>
          <w:tab w:val="left" w:pos="943"/>
          <w:tab w:val="left" w:pos="1573"/>
        </w:tabs>
        <w:adjustRightInd w:val="0"/>
        <w:snapToGrid w:val="0"/>
        <w:spacing w:line="360" w:lineRule="auto"/>
        <w:ind w:firstLine="945"/>
        <w:rPr>
          <w:rFonts w:ascii="宋体" w:eastAsia="宋体" w:hAnsi="宋体" w:cs="Times New Roman"/>
          <w:b/>
          <w:szCs w:val="21"/>
          <w:u w:val="single"/>
        </w:rPr>
      </w:pPr>
      <w:r>
        <w:rPr>
          <w:rFonts w:ascii="宋体" w:eastAsia="宋体" w:hAnsi="宋体" w:cs="Times New Roman"/>
          <w:bCs/>
          <w:szCs w:val="21"/>
        </w:rPr>
        <w:t>地址：</w:t>
      </w:r>
      <w:r>
        <w:rPr>
          <w:rFonts w:ascii="宋体" w:eastAsia="宋体" w:hAnsi="宋体" w:cs="Times New Roman" w:hint="eastAsia"/>
          <w:b/>
          <w:szCs w:val="21"/>
          <w:u w:val="single"/>
        </w:rPr>
        <w:t>北京市海淀区中关村南大街46号中国气象局北区7号楼301室（中国气象局政府采购中心），</w:t>
      </w:r>
    </w:p>
    <w:p w14:paraId="1190A487">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417FD4D">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29" w:name="contactName"/>
      <w:r>
        <w:rPr>
          <w:rFonts w:ascii="宋体" w:hAnsi="宋体" w:cs="微软雅黑"/>
          <w:b/>
          <w:color w:val="0000FF"/>
          <w:kern w:val="0"/>
          <w:szCs w:val="21"/>
        </w:rPr>
        <w:t>王妍</w:t>
      </w:r>
      <w:bookmarkEnd w:id="29"/>
    </w:p>
    <w:p w14:paraId="41997663">
      <w:pPr>
        <w:tabs>
          <w:tab w:val="left" w:pos="943"/>
          <w:tab w:val="left" w:pos="1573"/>
        </w:tabs>
        <w:adjustRightInd w:val="0"/>
        <w:snapToGrid w:val="0"/>
        <w:spacing w:line="360" w:lineRule="auto"/>
        <w:rPr>
          <w:rFonts w:ascii="宋体" w:hAnsi="宋体" w:hint="eastAsia"/>
          <w:bCs/>
          <w:szCs w:val="21"/>
          <w:u w:val="single"/>
        </w:rPr>
      </w:pPr>
      <w:r>
        <w:rPr>
          <w:rFonts w:ascii="宋体" w:hAnsi="宋体" w:hint="eastAsia"/>
          <w:bCs/>
          <w:szCs w:val="21"/>
        </w:rPr>
        <w:t xml:space="preserve">        </w:t>
      </w:r>
      <w:r>
        <w:rPr>
          <w:rFonts w:ascii="宋体" w:hAnsi="宋体"/>
          <w:bCs/>
          <w:szCs w:val="21"/>
        </w:rPr>
        <w:t xml:space="preserve"> 联系电话：</w:t>
      </w:r>
      <w:bookmarkStart w:id="30" w:name="contactPhone"/>
      <w:r>
        <w:rPr>
          <w:rFonts w:ascii="宋体" w:hAnsi="宋体" w:cs="微软雅黑"/>
          <w:b/>
          <w:color w:val="0000FF"/>
          <w:kern w:val="0"/>
          <w:szCs w:val="21"/>
        </w:rPr>
        <w:t>68406642</w:t>
      </w:r>
      <w:bookmarkEnd w:id="30"/>
    </w:p>
    <w:p w14:paraId="2543B2A0">
      <w:pPr>
        <w:tabs>
          <w:tab w:val="left" w:pos="943"/>
          <w:tab w:val="left" w:pos="1573"/>
        </w:tabs>
        <w:adjustRightInd w:val="0"/>
        <w:snapToGrid w:val="0"/>
        <w:spacing w:line="360" w:lineRule="auto"/>
        <w:rPr>
          <w:rFonts w:ascii="宋体" w:hAnsi="宋体" w:hint="eastAsia"/>
          <w:bCs/>
          <w:szCs w:val="21"/>
        </w:rPr>
      </w:pPr>
      <w:r>
        <w:rPr>
          <w:rFonts w:ascii="宋体" w:hAnsi="宋体"/>
          <w:bCs/>
          <w:szCs w:val="21"/>
        </w:rPr>
        <w:t xml:space="preserve">   </w:t>
      </w:r>
      <w:r>
        <w:rPr>
          <w:rFonts w:ascii="宋体" w:hAnsi="宋体" w:hint="eastAsia"/>
          <w:bCs/>
          <w:szCs w:val="21"/>
        </w:rPr>
        <w:t xml:space="preserve">      </w:t>
      </w:r>
    </w:p>
    <w:p w14:paraId="39FE1B7C">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24E65F8C">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1" w:name="采购人1_recorderOrgName"/>
      <w:r>
        <w:rPr>
          <w:rFonts w:ascii="宋体" w:hAnsi="宋体" w:cs="微软雅黑"/>
          <w:b/>
          <w:color w:val="0000FF"/>
          <w:kern w:val="0"/>
          <w:szCs w:val="21"/>
        </w:rPr>
        <w:t>内蒙古自治区气象数据中心</w:t>
      </w:r>
      <w:bookmarkEnd w:id="31"/>
    </w:p>
    <w:p w14:paraId="67263408">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2" w:name="采购项目负责人_contactsName"/>
      <w:r>
        <w:rPr>
          <w:rFonts w:ascii="宋体" w:hAnsi="宋体" w:cs="微软雅黑"/>
          <w:b/>
          <w:color w:val="0000FF"/>
          <w:kern w:val="0"/>
          <w:szCs w:val="21"/>
        </w:rPr>
        <w:t>赵建凯</w:t>
      </w:r>
      <w:bookmarkEnd w:id="32"/>
    </w:p>
    <w:p w14:paraId="42E252A5">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3" w:name="采购项目负责人办公电话_contactsTel"/>
      <w:r>
        <w:rPr>
          <w:rFonts w:ascii="宋体" w:hAnsi="宋体" w:cs="微软雅黑"/>
          <w:b/>
          <w:color w:val="0000FF"/>
          <w:kern w:val="0"/>
          <w:szCs w:val="21"/>
        </w:rPr>
        <w:t>0471-3335547</w:t>
      </w:r>
      <w:bookmarkEnd w:id="33"/>
    </w:p>
    <w:p w14:paraId="4863AEFC">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4" w:name="采购单位所在地址_recorderOrgAddress"/>
      <w:r>
        <w:rPr>
          <w:rFonts w:ascii="宋体" w:hAnsi="宋体" w:cs="微软雅黑"/>
          <w:b/>
          <w:color w:val="0000FF"/>
          <w:kern w:val="0"/>
          <w:szCs w:val="21"/>
        </w:rPr>
        <w:t>内蒙古自治区呼和浩特市新城区海拉尔大街49号</w:t>
      </w:r>
      <w:bookmarkEnd w:id="34"/>
    </w:p>
    <w:p w14:paraId="701F4D99">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15D199CD">
      <w:pPr>
        <w:adjustRightInd w:val="0"/>
        <w:snapToGrid w:val="0"/>
        <w:spacing w:line="360" w:lineRule="auto"/>
        <w:ind w:firstLine="420" w:firstLineChars="200"/>
        <w:rPr>
          <w:rFonts w:ascii="宋体" w:hAnsi="宋体" w:cs="宋体"/>
          <w:szCs w:val="21"/>
        </w:rPr>
      </w:pPr>
      <w:r>
        <w:rPr>
          <w:rFonts w:ascii="宋体" w:hAnsi="宋体" w:cs="宋体" w:hint="eastAsia"/>
          <w:szCs w:val="21"/>
        </w:rPr>
        <w:t>采购中心技术支持电话：</w:t>
      </w:r>
      <w:bookmarkStart w:id="35" w:name="技术电话_technicalSupportPhoneNumber"/>
      <w:r>
        <w:rPr>
          <w:rFonts w:ascii="宋体" w:hAnsi="宋体" w:cs="宋体" w:hint="eastAsia"/>
          <w:szCs w:val="21"/>
        </w:rPr>
        <w:t>010-68406701</w:t>
      </w:r>
      <w:bookmarkEnd w:id="35"/>
    </w:p>
    <w:p w14:paraId="4D6DED6C">
      <w:pPr>
        <w:spacing w:line="360" w:lineRule="auto"/>
        <w:jc w:val="center"/>
        <w:outlineLvl w:val="1"/>
        <w:rPr>
          <w:rFonts w:ascii="Times New Roman" w:eastAsia="宋体" w:hAnsi="Times New Roman" w:cs="Times New Roman"/>
          <w:b/>
          <w:bCs/>
          <w:szCs w:val="21"/>
        </w:rPr>
        <w:sectPr>
          <w:pgSz w:w="11906" w:h="16838"/>
          <w:pgMar w:top="1440" w:right="1800" w:bottom="1440" w:left="1800" w:header="851" w:footer="992" w:gutter="0"/>
          <w:cols w:num="1" w:space="425"/>
          <w:docGrid w:type="lines" w:linePitch="312" w:charSpace="0"/>
        </w:sectPr>
      </w:pPr>
      <w:r>
        <w:rPr>
          <w:rFonts w:ascii="Times New Roman" w:eastAsia="宋体" w:hAnsi="Times New Roman" w:cs="Times New Roman"/>
          <w:b/>
          <w:bCs/>
          <w:szCs w:val="21"/>
        </w:rPr>
        <w:br w:type="page"/>
      </w:r>
    </w:p>
    <w:p w14:paraId="02581826">
      <w:pPr>
        <w:spacing w:line="360" w:lineRule="auto"/>
        <w:jc w:val="center"/>
        <w:outlineLvl w:val="1"/>
        <w:rPr>
          <w:rFonts w:ascii="Times New Roman" w:eastAsia="宋体" w:hAnsi="Times New Roman" w:cs="Times New Roman"/>
          <w:b/>
          <w:sz w:val="30"/>
          <w:szCs w:val="30"/>
        </w:rPr>
      </w:pPr>
      <w:bookmarkStart w:id="36" w:name="投标人须知专用部分_TBXZ"/>
      <w:r>
        <w:rPr>
          <w:rFonts w:ascii="Times New Roman" w:eastAsia="宋体" w:hAnsi="Times New Roman" w:cs="Times New Roman" w:hint="eastAsia"/>
          <w:b/>
          <w:sz w:val="30"/>
          <w:szCs w:val="30"/>
        </w:rPr>
        <w:t>第五章  响应人须知专用部分</w:t>
      </w:r>
    </w:p>
    <w:p w14:paraId="2E3E99AE">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5EF2B7F0">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表格中要求事项已列入第三章、第七章响应被拒绝条款的，若有缺失或无效，将导致响应被拒绝</w:t>
      </w:r>
      <w:r>
        <w:rPr>
          <w:rFonts w:ascii="宋体" w:eastAsia="宋体" w:hAnsi="宋体" w:cs="Times New Roman" w:hint="eastAsia"/>
          <w:szCs w:val="21"/>
        </w:rPr>
        <w:t>。响应人须知通用部分或采购文件其余部分与本表不一致的，以本表要求为准。</w:t>
      </w:r>
    </w:p>
    <w:p w14:paraId="43D5DACB">
      <w:pPr>
        <w:adjustRightInd w:val="0"/>
        <w:snapToGrid w:val="0"/>
        <w:spacing w:line="360" w:lineRule="auto"/>
        <w:ind w:firstLine="420" w:firstLineChars="200"/>
        <w:rPr>
          <w:rFonts w:ascii="Times New Roman" w:eastAsia="宋体" w:hAnsi="Times New Roman" w:cs="Times New Roman"/>
          <w:szCs w:val="21"/>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215648D1">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4C950569">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70CF1A84">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132C558C">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125EB893">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464D54C2">
        <w:tblPrEx>
          <w:tblW w:w="0" w:type="auto"/>
          <w:tblInd w:w="0" w:type="dxa"/>
          <w:tblLayout w:type="fixed"/>
          <w:tblCellMar>
            <w:top w:w="0" w:type="dxa"/>
            <w:left w:w="108" w:type="dxa"/>
            <w:bottom w:w="0" w:type="dxa"/>
            <w:right w:w="108" w:type="dxa"/>
          </w:tblCellMar>
        </w:tblPrEx>
        <w:trPr>
          <w:trHeight w:val="302"/>
        </w:trPr>
        <w:tc>
          <w:tcPr>
            <w:tcW w:w="675" w:type="dxa"/>
            <w:vAlign w:val="center"/>
          </w:tcPr>
          <w:p w14:paraId="66D90273">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354DB04F">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1B485B3F">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654A7256">
            <w:pPr>
              <w:rPr>
                <w:rFonts w:ascii="Times New Roman" w:eastAsia="宋体" w:hAnsi="Times New Roman" w:cs="Times New Roman"/>
                <w:szCs w:val="21"/>
              </w:rPr>
            </w:pPr>
            <w:bookmarkStart w:id="37" w:name="采购人2_recorderOrgName"/>
            <w:r>
              <w:rPr>
                <w:rFonts w:ascii="宋体" w:hAnsi="宋体" w:cs="微软雅黑" w:hint="eastAsia"/>
                <w:kern w:val="0"/>
                <w:szCs w:val="21"/>
              </w:rPr>
              <w:t>内蒙古自治区气象数据中心</w:t>
            </w:r>
            <w:bookmarkEnd w:id="37"/>
          </w:p>
        </w:tc>
      </w:tr>
      <w:tr w14:paraId="0EEF3BB0">
        <w:tblPrEx>
          <w:tblW w:w="0" w:type="auto"/>
          <w:tblInd w:w="0" w:type="dxa"/>
          <w:tblLayout w:type="fixed"/>
          <w:tblCellMar>
            <w:top w:w="0" w:type="dxa"/>
            <w:left w:w="108" w:type="dxa"/>
            <w:bottom w:w="0" w:type="dxa"/>
            <w:right w:w="108" w:type="dxa"/>
          </w:tblCellMar>
        </w:tblPrEx>
        <w:trPr>
          <w:trHeight w:val="449"/>
        </w:trPr>
        <w:tc>
          <w:tcPr>
            <w:tcW w:w="675" w:type="dxa"/>
            <w:vAlign w:val="center"/>
          </w:tcPr>
          <w:p w14:paraId="070D68E6">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43685081">
            <w:pPr>
              <w:rPr>
                <w:rFonts w:ascii="Times New Roman" w:eastAsia="宋体" w:hAnsi="Times New Roman" w:cs="Times New Roman"/>
                <w:szCs w:val="21"/>
              </w:rPr>
            </w:pPr>
            <w:r>
              <w:rPr>
                <w:rFonts w:ascii="Times New Roman" w:eastAsia="宋体" w:hAnsi="Times New Roman" w:cs="Times New Roman" w:hint="eastAsia"/>
                <w:szCs w:val="21"/>
              </w:rPr>
              <w:t>1.3.2、1.13.2</w:t>
            </w:r>
          </w:p>
        </w:tc>
        <w:tc>
          <w:tcPr>
            <w:tcW w:w="1701" w:type="dxa"/>
            <w:vAlign w:val="center"/>
          </w:tcPr>
          <w:p w14:paraId="7091E3F0">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76F9AE05">
            <w:pPr>
              <w:rPr>
                <w:rFonts w:ascii="Times New Roman" w:eastAsia="宋体" w:hAnsi="Times New Roman" w:cs="Times New Roman"/>
                <w:kern w:val="0"/>
                <w:szCs w:val="21"/>
              </w:rPr>
            </w:pPr>
            <w:r>
              <w:rPr>
                <w:rFonts w:ascii="Times New Roman" w:eastAsia="宋体" w:hAnsi="Times New Roman" w:cs="微软雅黑" w:hint="eastAsia"/>
                <w:kern w:val="0"/>
                <w:szCs w:val="21"/>
              </w:rPr>
              <w:t>响应人应具有以下有效期超过提交首次响应文件截止日的资质：</w:t>
            </w:r>
            <w:bookmarkStart w:id="38" w:name="资_bidderQualificationValidBeyondDeadline"/>
            <w:r>
              <w:rPr>
                <w:rFonts w:ascii="宋体" w:eastAsia="宋体" w:hAnsi="宋体" w:cs="微软雅黑" w:hint="eastAsia"/>
                <w:kern w:val="0"/>
                <w:szCs w:val="21"/>
              </w:rPr>
              <w:t>无</w:t>
            </w:r>
            <w:bookmarkEnd w:id="38"/>
          </w:p>
        </w:tc>
      </w:tr>
      <w:tr w14:paraId="348FFCDA">
        <w:tblPrEx>
          <w:tblW w:w="0" w:type="auto"/>
          <w:tblInd w:w="0" w:type="dxa"/>
          <w:tblLayout w:type="fixed"/>
          <w:tblCellMar>
            <w:top w:w="0" w:type="dxa"/>
            <w:left w:w="108" w:type="dxa"/>
            <w:bottom w:w="0" w:type="dxa"/>
            <w:right w:w="108" w:type="dxa"/>
          </w:tblCellMar>
        </w:tblPrEx>
        <w:tc>
          <w:tcPr>
            <w:tcW w:w="675" w:type="dxa"/>
            <w:vAlign w:val="center"/>
          </w:tcPr>
          <w:p w14:paraId="3484E186">
            <w:pPr>
              <w:rPr>
                <w:rFonts w:ascii="Times New Roman" w:eastAsia="宋体" w:hAnsi="Times New Roman" w:cs="Times New Roman"/>
                <w:szCs w:val="21"/>
              </w:rPr>
            </w:pPr>
            <w:r>
              <w:rPr>
                <w:rFonts w:ascii="Times New Roman" w:eastAsia="宋体" w:hAnsi="Times New Roman" w:cs="Times New Roman" w:hint="eastAsia"/>
                <w:szCs w:val="21"/>
              </w:rPr>
              <w:t>5.3</w:t>
            </w:r>
          </w:p>
        </w:tc>
        <w:tc>
          <w:tcPr>
            <w:tcW w:w="1418" w:type="dxa"/>
            <w:vAlign w:val="center"/>
          </w:tcPr>
          <w:p w14:paraId="1555CB54">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09A29781">
            <w:pPr>
              <w:rPr>
                <w:rFonts w:ascii="Times New Roman" w:eastAsia="宋体" w:hAnsi="Times New Roman" w:cs="Times New Roman"/>
                <w:szCs w:val="21"/>
              </w:rPr>
            </w:pPr>
            <w:r>
              <w:rPr>
                <w:rFonts w:ascii="Times New Roman" w:eastAsia="宋体" w:hAnsi="Times New Roman" w:cs="Times New Roman" w:hint="eastAsia"/>
                <w:szCs w:val="21"/>
              </w:rPr>
              <w:t>响应的货物，是否必须取得《气象专用技术装备使用许可证》</w:t>
            </w:r>
          </w:p>
        </w:tc>
        <w:tc>
          <w:tcPr>
            <w:tcW w:w="5209" w:type="dxa"/>
            <w:vAlign w:val="center"/>
          </w:tcPr>
          <w:p w14:paraId="49CC0DDE">
            <w:pPr>
              <w:rPr>
                <w:rFonts w:asciiTheme="minorEastAsia" w:hAnsiTheme="minorEastAsia" w:cstheme="minorEastAsia" w:hint="eastAsia"/>
                <w:kern w:val="0"/>
                <w:szCs w:val="21"/>
              </w:rPr>
            </w:pPr>
            <w:bookmarkStart w:id="39" w:name="许可证_exclusiveLicenseFlagText"/>
            <w:r>
              <w:rPr>
                <w:rFonts w:asciiTheme="minorEastAsia" w:eastAsiaTheme="minorEastAsia" w:hAnsiTheme="minorEastAsia" w:cstheme="minorEastAsia" w:hint="eastAsia"/>
                <w:kern w:val="0"/>
                <w:szCs w:val="21"/>
              </w:rPr>
              <w:t>必须，以下产品需要提供至响应截止日仍有效的《气象专用技术装备使用许可证》：甚低频/低频（VLF/LF）全闪定位仪</w:t>
            </w:r>
            <w:bookmarkEnd w:id="39"/>
          </w:p>
        </w:tc>
      </w:tr>
      <w:tr w14:paraId="4941B14D">
        <w:tblPrEx>
          <w:tblW w:w="0" w:type="auto"/>
          <w:tblInd w:w="0" w:type="dxa"/>
          <w:tblLayout w:type="fixed"/>
          <w:tblCellMar>
            <w:top w:w="0" w:type="dxa"/>
            <w:left w:w="108" w:type="dxa"/>
            <w:bottom w:w="0" w:type="dxa"/>
            <w:right w:w="108" w:type="dxa"/>
          </w:tblCellMar>
        </w:tblPrEx>
        <w:trPr>
          <w:trHeight w:val="878"/>
        </w:trPr>
        <w:tc>
          <w:tcPr>
            <w:tcW w:w="675" w:type="dxa"/>
            <w:vAlign w:val="center"/>
          </w:tcPr>
          <w:p w14:paraId="5C7D0D17">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405D725B">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37443BE3">
            <w:pPr>
              <w:rPr>
                <w:rFonts w:ascii="Times New Roman" w:eastAsia="宋体" w:hAnsi="Times New Roman" w:cs="Times New Roman"/>
                <w:szCs w:val="21"/>
              </w:rPr>
            </w:pPr>
            <w:r>
              <w:rPr>
                <w:rFonts w:ascii="Times New Roman" w:eastAsia="宋体" w:hAnsi="Times New Roman" w:cs="Times New Roman" w:hint="eastAsia"/>
                <w:szCs w:val="21"/>
              </w:rPr>
              <w:t>是否允许进口产品响应</w:t>
            </w:r>
          </w:p>
        </w:tc>
        <w:tc>
          <w:tcPr>
            <w:tcW w:w="5209" w:type="dxa"/>
            <w:vAlign w:val="center"/>
          </w:tcPr>
          <w:p w14:paraId="3DB3AC5C">
            <w:pPr>
              <w:rPr>
                <w:rFonts w:asciiTheme="minorEastAsia" w:hAnsiTheme="minorEastAsia" w:cstheme="minorEastAsia" w:hint="eastAsia"/>
                <w:kern w:val="0"/>
                <w:szCs w:val="21"/>
                <w:highlight w:val="none"/>
              </w:rPr>
            </w:pPr>
            <w:bookmarkStart w:id="40" w:name="进口产品投标_entranceFlagText"/>
            <w:r>
              <w:rPr>
                <w:rFonts w:asciiTheme="minorEastAsia" w:eastAsiaTheme="minorEastAsia" w:hAnsiTheme="minorEastAsia" w:cstheme="minorEastAsia" w:hint="eastAsia"/>
                <w:kern w:val="0"/>
                <w:szCs w:val="21"/>
                <w:highlight w:val="none"/>
              </w:rPr>
              <w:t>不允许</w:t>
            </w:r>
            <w:bookmarkEnd w:id="40"/>
          </w:p>
        </w:tc>
      </w:tr>
      <w:tr w14:paraId="532BF77F">
        <w:tblPrEx>
          <w:tblW w:w="0" w:type="auto"/>
          <w:tblInd w:w="0" w:type="dxa"/>
          <w:tblLayout w:type="fixed"/>
          <w:tblCellMar>
            <w:top w:w="0" w:type="dxa"/>
            <w:left w:w="108" w:type="dxa"/>
            <w:bottom w:w="0" w:type="dxa"/>
            <w:right w:w="108" w:type="dxa"/>
          </w:tblCellMar>
        </w:tblPrEx>
        <w:trPr>
          <w:trHeight w:val="1009"/>
        </w:trPr>
        <w:tc>
          <w:tcPr>
            <w:tcW w:w="675" w:type="dxa"/>
            <w:vAlign w:val="center"/>
          </w:tcPr>
          <w:p w14:paraId="48D6A6A6">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7F488C6D">
            <w:pPr>
              <w:rPr>
                <w:rFonts w:ascii="Times New Roman" w:eastAsia="宋体" w:hAnsi="Times New Roman" w:cs="Times New Roman"/>
                <w:szCs w:val="21"/>
              </w:rPr>
            </w:pPr>
            <w:r>
              <w:rPr>
                <w:rFonts w:ascii="Times New Roman" w:eastAsia="宋体" w:hAnsi="Times New Roman" w:cs="Times New Roman" w:hint="eastAsia"/>
                <w:szCs w:val="21"/>
              </w:rPr>
              <w:t>1.5.1</w:t>
            </w:r>
          </w:p>
        </w:tc>
        <w:tc>
          <w:tcPr>
            <w:tcW w:w="1701" w:type="dxa"/>
            <w:vAlign w:val="center"/>
          </w:tcPr>
          <w:p w14:paraId="19323B7B">
            <w:pPr>
              <w:rPr>
                <w:rFonts w:ascii="Times New Roman" w:eastAsia="宋体" w:hAnsi="Times New Roman" w:cs="Times New Roman"/>
                <w:szCs w:val="21"/>
              </w:rPr>
            </w:pPr>
            <w:r>
              <w:rPr>
                <w:rFonts w:ascii="Times New Roman" w:eastAsia="宋体" w:hAnsi="Times New Roman" w:cs="Times New Roman" w:hint="eastAsia"/>
                <w:szCs w:val="21"/>
              </w:rPr>
              <w:t>采购标的对应的中小企业划分标准所属行业</w:t>
            </w:r>
          </w:p>
        </w:tc>
        <w:tc>
          <w:tcPr>
            <w:tcW w:w="5209" w:type="dxa"/>
            <w:vAlign w:val="center"/>
          </w:tcPr>
          <w:p w14:paraId="01F14401">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1" w:name="行业_smeIndustryClassification"/>
            <w:r>
              <w:rPr>
                <w:rFonts w:ascii="宋体" w:hAnsi="宋体" w:cs="微软雅黑" w:hint="eastAsia"/>
                <w:kern w:val="0"/>
                <w:szCs w:val="21"/>
                <w:highlight w:val="none"/>
              </w:rPr>
              <w:t>（1）标的：甚低频/低频（VLF/LF）全闪定位仪，属于 工业  行业；</w:t>
            </w:r>
            <w:bookmarkEnd w:id="41"/>
          </w:p>
        </w:tc>
      </w:tr>
      <w:tr w14:paraId="289AB02C">
        <w:tblPrEx>
          <w:tblW w:w="0" w:type="auto"/>
          <w:tblInd w:w="0" w:type="dxa"/>
          <w:tblLayout w:type="fixed"/>
          <w:tblCellMar>
            <w:top w:w="0" w:type="dxa"/>
            <w:left w:w="108" w:type="dxa"/>
            <w:bottom w:w="0" w:type="dxa"/>
            <w:right w:w="108" w:type="dxa"/>
          </w:tblCellMar>
        </w:tblPrEx>
        <w:tc>
          <w:tcPr>
            <w:tcW w:w="675" w:type="dxa"/>
            <w:vAlign w:val="center"/>
          </w:tcPr>
          <w:p w14:paraId="541F9AD8">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116C1AF2">
            <w:pPr>
              <w:rPr>
                <w:rFonts w:ascii="Times New Roman" w:eastAsia="宋体" w:hAnsi="Times New Roman" w:cs="Times New Roman"/>
                <w:szCs w:val="21"/>
              </w:rPr>
            </w:pPr>
            <w:r>
              <w:rPr>
                <w:rFonts w:ascii="Times New Roman" w:eastAsia="宋体" w:hAnsi="Times New Roman" w:cs="Times New Roman" w:hint="eastAsia"/>
                <w:szCs w:val="21"/>
              </w:rPr>
              <w:t>1.8.2</w:t>
            </w:r>
          </w:p>
        </w:tc>
        <w:tc>
          <w:tcPr>
            <w:tcW w:w="1701" w:type="dxa"/>
            <w:vAlign w:val="center"/>
          </w:tcPr>
          <w:p w14:paraId="6AF5333F">
            <w:pPr>
              <w:rPr>
                <w:rFonts w:ascii="Times New Roman" w:eastAsia="宋体" w:hAnsi="Times New Roman" w:cs="Times New Roman"/>
                <w:szCs w:val="21"/>
              </w:rPr>
            </w:pPr>
            <w:r>
              <w:rPr>
                <w:rFonts w:ascii="Times New Roman" w:eastAsia="宋体" w:hAnsi="Times New Roman" w:cs="Times New Roman" w:hint="eastAsia"/>
                <w:szCs w:val="21"/>
              </w:rPr>
              <w:t>成交供应商是否需要交纳代理服务费</w:t>
            </w:r>
          </w:p>
        </w:tc>
        <w:tc>
          <w:tcPr>
            <w:tcW w:w="5209" w:type="dxa"/>
            <w:vAlign w:val="center"/>
          </w:tcPr>
          <w:p w14:paraId="4A7F98C0">
            <w:pPr>
              <w:rPr>
                <w:rFonts w:hint="eastAsia"/>
              </w:rPr>
            </w:pPr>
            <w:bookmarkStart w:id="42" w:name="中标服务费_finalAmountText"/>
            <w:r>
              <w:rPr>
                <w:rFonts w:hint="eastAsia"/>
                <w:lang w:eastAsia="zh-CN"/>
              </w:rPr>
              <w:t>是，中标服务费：4.7万元。</w:t>
            </w:r>
            <w:bookmarkEnd w:id="42"/>
            <w:r>
              <w:rPr>
                <w:rFonts w:ascii="宋体" w:hAnsi="宋体" w:cs="微软雅黑" w:hint="eastAsia"/>
                <w:kern w:val="0"/>
                <w:szCs w:val="21"/>
              </w:rPr>
              <w:t xml:space="preserve"> </w:t>
            </w:r>
          </w:p>
        </w:tc>
      </w:tr>
      <w:tr w14:paraId="6DC76527">
        <w:tblPrEx>
          <w:tblW w:w="0" w:type="auto"/>
          <w:tblInd w:w="0" w:type="dxa"/>
          <w:tblLayout w:type="fixed"/>
          <w:tblCellMar>
            <w:top w:w="0" w:type="dxa"/>
            <w:left w:w="108" w:type="dxa"/>
            <w:bottom w:w="0" w:type="dxa"/>
            <w:right w:w="108" w:type="dxa"/>
          </w:tblCellMar>
        </w:tblPrEx>
        <w:tc>
          <w:tcPr>
            <w:tcW w:w="675" w:type="dxa"/>
            <w:vAlign w:val="center"/>
          </w:tcPr>
          <w:p w14:paraId="4ED30DFC">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4F01BC19">
            <w:pPr>
              <w:rPr>
                <w:rFonts w:ascii="Times New Roman" w:eastAsia="宋体" w:hAnsi="Times New Roman" w:cs="Times New Roman"/>
                <w:szCs w:val="21"/>
              </w:rPr>
            </w:pPr>
            <w:r>
              <w:rPr>
                <w:rFonts w:ascii="Times New Roman" w:eastAsia="宋体" w:hAnsi="Times New Roman" w:cs="Times New Roman" w:hint="eastAsia"/>
                <w:szCs w:val="21"/>
              </w:rPr>
              <w:t>1.13.2、1.13.3</w:t>
            </w:r>
          </w:p>
        </w:tc>
        <w:tc>
          <w:tcPr>
            <w:tcW w:w="1701" w:type="dxa"/>
            <w:vAlign w:val="center"/>
          </w:tcPr>
          <w:p w14:paraId="0FE05A20">
            <w:pPr>
              <w:rPr>
                <w:rFonts w:ascii="Times New Roman" w:eastAsia="宋体" w:hAnsi="Times New Roman" w:cs="Times New Roman"/>
                <w:szCs w:val="21"/>
              </w:rPr>
            </w:pPr>
            <w:r>
              <w:rPr>
                <w:rFonts w:ascii="Times New Roman" w:eastAsia="宋体" w:hAnsi="Times New Roman" w:cs="Times New Roman" w:hint="eastAsia"/>
                <w:szCs w:val="21"/>
              </w:rPr>
              <w:t>响应人应提交其他商务文件和技术文件</w:t>
            </w:r>
          </w:p>
        </w:tc>
        <w:tc>
          <w:tcPr>
            <w:tcW w:w="5209" w:type="dxa"/>
            <w:vAlign w:val="center"/>
          </w:tcPr>
          <w:p w14:paraId="10E4CF26">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644D034E">
            <w:pPr>
              <w:rPr>
                <w:rFonts w:ascii="Times New Roman" w:eastAsia="宋体" w:hAnsi="Times New Roman" w:cs="Times New Roman" w:hint="eastAsia"/>
                <w:kern w:val="0"/>
                <w:szCs w:val="21"/>
              </w:rPr>
            </w:pPr>
            <w:r>
              <w:rPr>
                <w:rFonts w:ascii="Times New Roman" w:eastAsia="宋体" w:hAnsi="Times New Roman" w:cs="Times New Roman" w:hint="eastAsia"/>
                <w:kern w:val="0"/>
                <w:szCs w:val="21"/>
                <w:lang w:val="en-US" w:eastAsia="zh-CN"/>
              </w:rPr>
              <w:t>无</w:t>
            </w:r>
          </w:p>
        </w:tc>
      </w:tr>
      <w:tr w14:paraId="0749A07B">
        <w:tblPrEx>
          <w:tblW w:w="0" w:type="auto"/>
          <w:tblInd w:w="0" w:type="dxa"/>
          <w:tblLayout w:type="fixed"/>
          <w:tblCellMar>
            <w:top w:w="0" w:type="dxa"/>
            <w:left w:w="108" w:type="dxa"/>
            <w:bottom w:w="0" w:type="dxa"/>
            <w:right w:w="108" w:type="dxa"/>
          </w:tblCellMar>
        </w:tblPrEx>
        <w:trPr>
          <w:trHeight w:val="268"/>
        </w:trPr>
        <w:tc>
          <w:tcPr>
            <w:tcW w:w="675" w:type="dxa"/>
            <w:vAlign w:val="center"/>
          </w:tcPr>
          <w:p w14:paraId="7FCBBD18">
            <w:pPr>
              <w:rPr>
                <w:rFonts w:ascii="Times New Roman" w:eastAsia="宋体" w:hAnsi="Times New Roman" w:cs="Times New Roman"/>
                <w:szCs w:val="21"/>
              </w:rPr>
            </w:pPr>
            <w:r>
              <w:rPr>
                <w:rFonts w:ascii="Times New Roman" w:eastAsia="宋体" w:hAnsi="Times New Roman" w:cs="Times New Roman" w:hint="eastAsia"/>
                <w:szCs w:val="21"/>
              </w:rPr>
              <w:t>5.8</w:t>
            </w:r>
          </w:p>
        </w:tc>
        <w:tc>
          <w:tcPr>
            <w:tcW w:w="1418" w:type="dxa"/>
            <w:vAlign w:val="center"/>
          </w:tcPr>
          <w:p w14:paraId="77818ACD">
            <w:pPr>
              <w:rPr>
                <w:rFonts w:ascii="Times New Roman" w:eastAsia="宋体" w:hAnsi="Times New Roman" w:cs="Times New Roman"/>
                <w:szCs w:val="21"/>
              </w:rPr>
            </w:pPr>
            <w:r>
              <w:rPr>
                <w:rFonts w:ascii="Times New Roman" w:eastAsia="宋体" w:hAnsi="Times New Roman" w:cs="Times New Roman" w:hint="eastAsia"/>
                <w:szCs w:val="21"/>
              </w:rPr>
              <w:t>1.15.2</w:t>
            </w:r>
          </w:p>
        </w:tc>
        <w:tc>
          <w:tcPr>
            <w:tcW w:w="1701" w:type="dxa"/>
            <w:vAlign w:val="center"/>
          </w:tcPr>
          <w:p w14:paraId="219F7F22">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64BA63DF">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r>
              <w:rPr>
                <w:rFonts w:ascii="宋体" w:hAnsi="宋体" w:cs="微软雅黑" w:hint="eastAsia"/>
                <w:kern w:val="0"/>
                <w:szCs w:val="21"/>
              </w:rPr>
              <w:t xml:space="preserve"> </w:t>
            </w:r>
            <w:bookmarkStart w:id="43" w:name="预算金额_budgetAmount"/>
            <w:r>
              <w:rPr>
                <w:rFonts w:ascii="宋体" w:hAnsi="宋体" w:cs="微软雅黑" w:hint="eastAsia"/>
                <w:kern w:val="0"/>
                <w:szCs w:val="21"/>
              </w:rPr>
              <w:t>1,196.000000</w:t>
            </w:r>
            <w:bookmarkEnd w:id="43"/>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44" w:name="预算明细_packMoneyDetail"/>
            <w:r>
              <w:rPr>
                <w:rFonts w:hint="eastAsia"/>
                <w:szCs w:val="21"/>
                <w:highlight w:val="none"/>
              </w:rPr>
              <w:t>,包 1 采购预算(或最高限价)为人民币 1,196.000000 万元</w:t>
            </w:r>
            <w:bookmarkEnd w:id="44"/>
            <w:r>
              <w:rPr>
                <w:rFonts w:hint="eastAsia"/>
                <w:szCs w:val="21"/>
                <w:highlight w:val="none"/>
              </w:rPr>
              <w:t>。</w:t>
            </w:r>
          </w:p>
        </w:tc>
      </w:tr>
      <w:tr w14:paraId="004273B6">
        <w:tblPrEx>
          <w:tblW w:w="0" w:type="auto"/>
          <w:tblInd w:w="0" w:type="dxa"/>
          <w:tblLayout w:type="fixed"/>
          <w:tblCellMar>
            <w:top w:w="0" w:type="dxa"/>
            <w:left w:w="108" w:type="dxa"/>
            <w:bottom w:w="0" w:type="dxa"/>
            <w:right w:w="108" w:type="dxa"/>
          </w:tblCellMar>
        </w:tblPrEx>
        <w:trPr>
          <w:trHeight w:val="268"/>
        </w:trPr>
        <w:tc>
          <w:tcPr>
            <w:tcW w:w="675" w:type="dxa"/>
            <w:vAlign w:val="center"/>
          </w:tcPr>
          <w:p w14:paraId="4C8C8FBF">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vAlign w:val="center"/>
          </w:tcPr>
          <w:p w14:paraId="390DA8EC">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53C80282">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2505C6D2">
            <w:pPr>
              <w:rPr>
                <w:rFonts w:ascii="宋体" w:hAnsi="宋体" w:cs="微软雅黑" w:hint="eastAsia"/>
                <w:kern w:val="0"/>
                <w:szCs w:val="21"/>
                <w:highlight w:val="none"/>
              </w:rPr>
            </w:pPr>
            <w:bookmarkStart w:id="45" w:name="关键性工作_entrustingOthersFlagText"/>
            <w:r>
              <w:rPr>
                <w:rFonts w:ascii="Wingdings 2" w:hAnsi="Wingdings 2" w:cs="微软雅黑"/>
                <w:kern w:val="0"/>
                <w:szCs w:val="21"/>
                <w:highlight w:val="none"/>
              </w:rPr>
              <w:t>不允许</w:t>
            </w:r>
            <w:bookmarkEnd w:id="45"/>
          </w:p>
        </w:tc>
      </w:tr>
      <w:tr w14:paraId="27C82C88">
        <w:tblPrEx>
          <w:tblW w:w="0" w:type="auto"/>
          <w:tblInd w:w="0" w:type="dxa"/>
          <w:tblLayout w:type="fixed"/>
          <w:tblCellMar>
            <w:top w:w="0" w:type="dxa"/>
            <w:left w:w="108" w:type="dxa"/>
            <w:bottom w:w="0" w:type="dxa"/>
            <w:right w:w="108" w:type="dxa"/>
          </w:tblCellMar>
        </w:tblPrEx>
        <w:trPr>
          <w:trHeight w:val="556"/>
        </w:trPr>
        <w:tc>
          <w:tcPr>
            <w:tcW w:w="675" w:type="dxa"/>
            <w:vAlign w:val="center"/>
          </w:tcPr>
          <w:p w14:paraId="12B590EC">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13A8FB4C">
            <w:pPr>
              <w:rPr>
                <w:rFonts w:ascii="Times New Roman" w:eastAsia="宋体" w:hAnsi="Times New Roman" w:cs="Times New Roman"/>
                <w:szCs w:val="21"/>
              </w:rPr>
            </w:pPr>
            <w:r>
              <w:rPr>
                <w:rFonts w:ascii="Times New Roman" w:eastAsia="宋体" w:hAnsi="Times New Roman" w:cs="Times New Roman" w:hint="eastAsia"/>
                <w:szCs w:val="21"/>
              </w:rPr>
              <w:t>1.18</w:t>
            </w:r>
          </w:p>
        </w:tc>
        <w:tc>
          <w:tcPr>
            <w:tcW w:w="1701" w:type="dxa"/>
            <w:vAlign w:val="center"/>
          </w:tcPr>
          <w:p w14:paraId="1BA3EDA3">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7F300948">
            <w:pPr>
              <w:rPr>
                <w:rFonts w:ascii="Times New Roman" w:eastAsia="宋体" w:hAnsi="Times New Roman" w:cs="Times New Roman"/>
                <w:szCs w:val="21"/>
              </w:rPr>
            </w:pPr>
            <w:bookmarkStart w:id="46" w:name="投标有效期_bidExpirationDate"/>
            <w:r>
              <w:rPr>
                <w:rFonts w:ascii="宋体" w:hAnsi="宋体" w:cs="微软雅黑" w:hint="eastAsia"/>
                <w:kern w:val="0"/>
                <w:szCs w:val="21"/>
              </w:rPr>
              <w:t>120日历天</w:t>
            </w:r>
            <w:bookmarkEnd w:id="46"/>
            <w:r>
              <w:rPr>
                <w:rFonts w:ascii="宋体" w:eastAsia="宋体" w:hAnsi="宋体" w:cs="微软雅黑" w:hint="eastAsia"/>
                <w:kern w:val="0"/>
                <w:szCs w:val="21"/>
              </w:rPr>
              <w:t>（从提交首次响应文件截止日起计算）</w:t>
            </w:r>
          </w:p>
        </w:tc>
      </w:tr>
      <w:tr w14:paraId="46CEA0C6">
        <w:tblPrEx>
          <w:tblW w:w="0" w:type="auto"/>
          <w:tblInd w:w="0" w:type="dxa"/>
          <w:tblLayout w:type="fixed"/>
          <w:tblCellMar>
            <w:top w:w="0" w:type="dxa"/>
            <w:left w:w="108" w:type="dxa"/>
            <w:bottom w:w="0" w:type="dxa"/>
            <w:right w:w="108" w:type="dxa"/>
          </w:tblCellMar>
        </w:tblPrEx>
        <w:trPr>
          <w:trHeight w:val="878"/>
        </w:trPr>
        <w:tc>
          <w:tcPr>
            <w:tcW w:w="675" w:type="dxa"/>
            <w:vAlign w:val="center"/>
          </w:tcPr>
          <w:p w14:paraId="0A345E44">
            <w:pPr>
              <w:rPr>
                <w:rFonts w:ascii="Times New Roman" w:eastAsia="宋体" w:hAnsi="Times New Roman" w:cs="Times New Roman"/>
                <w:szCs w:val="21"/>
              </w:rPr>
            </w:pPr>
            <w:r>
              <w:rPr>
                <w:rFonts w:ascii="Times New Roman" w:eastAsia="宋体" w:hAnsi="Times New Roman" w:cs="Times New Roman" w:hint="eastAsia"/>
                <w:szCs w:val="21"/>
              </w:rPr>
              <w:t>5.11</w:t>
            </w:r>
          </w:p>
        </w:tc>
        <w:tc>
          <w:tcPr>
            <w:tcW w:w="1418" w:type="dxa"/>
            <w:vAlign w:val="center"/>
          </w:tcPr>
          <w:p w14:paraId="66FEC2BF">
            <w:pPr>
              <w:rPr>
                <w:rFonts w:ascii="Times New Roman" w:eastAsia="宋体" w:hAnsi="Times New Roman" w:cs="Times New Roman"/>
                <w:szCs w:val="21"/>
              </w:rPr>
            </w:pPr>
            <w:r>
              <w:rPr>
                <w:rFonts w:ascii="Times New Roman" w:eastAsia="宋体" w:hAnsi="Times New Roman" w:cs="Times New Roman" w:hint="eastAsia"/>
                <w:szCs w:val="21"/>
              </w:rPr>
              <w:t>1.20</w:t>
            </w:r>
          </w:p>
        </w:tc>
        <w:tc>
          <w:tcPr>
            <w:tcW w:w="1701" w:type="dxa"/>
            <w:vAlign w:val="center"/>
          </w:tcPr>
          <w:p w14:paraId="45C545D3">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6A39D812">
            <w:pPr>
              <w:adjustRightInd w:val="0"/>
              <w:snapToGrid w:val="0"/>
              <w:spacing w:line="360" w:lineRule="auto"/>
              <w:jc w:val="left"/>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Times New Roman" w:cs="微软雅黑" w:hint="eastAsia"/>
                <w:szCs w:val="21"/>
              </w:rPr>
              <w:t>上传加密的电子响应文件</w:t>
            </w:r>
          </w:p>
        </w:tc>
      </w:tr>
      <w:tr w14:paraId="655FD37A">
        <w:tblPrEx>
          <w:tblW w:w="0" w:type="auto"/>
          <w:tblInd w:w="0" w:type="dxa"/>
          <w:tblLayout w:type="fixed"/>
          <w:tblCellMar>
            <w:top w:w="0" w:type="dxa"/>
            <w:left w:w="108" w:type="dxa"/>
            <w:bottom w:w="0" w:type="dxa"/>
            <w:right w:w="108" w:type="dxa"/>
          </w:tblCellMar>
        </w:tblPrEx>
        <w:trPr>
          <w:trHeight w:val="428"/>
        </w:trPr>
        <w:tc>
          <w:tcPr>
            <w:tcW w:w="675" w:type="dxa"/>
            <w:vAlign w:val="center"/>
          </w:tcPr>
          <w:p w14:paraId="6ED1D7A2">
            <w:pPr>
              <w:rPr>
                <w:rFonts w:ascii="Times New Roman" w:eastAsia="宋体" w:hAnsi="Times New Roman" w:cs="Times New Roman"/>
                <w:szCs w:val="21"/>
              </w:rPr>
            </w:pPr>
            <w:r>
              <w:rPr>
                <w:rFonts w:ascii="Times New Roman" w:eastAsia="宋体" w:hAnsi="Times New Roman" w:cs="Times New Roman" w:hint="eastAsia"/>
                <w:szCs w:val="21"/>
              </w:rPr>
              <w:t>5.12</w:t>
            </w:r>
          </w:p>
        </w:tc>
        <w:tc>
          <w:tcPr>
            <w:tcW w:w="1418" w:type="dxa"/>
            <w:vAlign w:val="center"/>
          </w:tcPr>
          <w:p w14:paraId="1B415988">
            <w:pPr>
              <w:rPr>
                <w:rFonts w:ascii="Times New Roman" w:eastAsia="宋体" w:hAnsi="Times New Roman" w:cs="Times New Roman"/>
                <w:szCs w:val="21"/>
              </w:rPr>
            </w:pPr>
          </w:p>
        </w:tc>
        <w:tc>
          <w:tcPr>
            <w:tcW w:w="1701" w:type="dxa"/>
            <w:vAlign w:val="center"/>
          </w:tcPr>
          <w:p w14:paraId="0464D40C">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64070654">
            <w:pPr>
              <w:rPr>
                <w:rFonts w:ascii="宋体" w:eastAsia="宋体" w:hAnsi="宋体" w:cs="Times New Roman"/>
                <w:szCs w:val="21"/>
              </w:rPr>
            </w:pPr>
            <w:r>
              <w:rPr>
                <w:rFonts w:ascii="宋体" w:eastAsia="宋体" w:hAnsi="宋体" w:cs="Times New Roman" w:hint="eastAsia"/>
                <w:szCs w:val="21"/>
              </w:rPr>
              <w:t>详见第八章采购合同</w:t>
            </w:r>
          </w:p>
        </w:tc>
      </w:tr>
      <w:tr w14:paraId="3094506C">
        <w:tblPrEx>
          <w:tblW w:w="0" w:type="auto"/>
          <w:tblInd w:w="0" w:type="dxa"/>
          <w:tblLayout w:type="fixed"/>
          <w:tblCellMar>
            <w:top w:w="0" w:type="dxa"/>
            <w:left w:w="108" w:type="dxa"/>
            <w:bottom w:w="0" w:type="dxa"/>
            <w:right w:w="108" w:type="dxa"/>
          </w:tblCellMar>
        </w:tblPrEx>
        <w:trPr>
          <w:trHeight w:val="428"/>
        </w:trPr>
        <w:tc>
          <w:tcPr>
            <w:tcW w:w="675" w:type="dxa"/>
            <w:vAlign w:val="center"/>
          </w:tcPr>
          <w:p w14:paraId="5F6239C5">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vAlign w:val="center"/>
          </w:tcPr>
          <w:p w14:paraId="354F8594">
            <w:pPr>
              <w:rPr>
                <w:rFonts w:ascii="Times New Roman" w:eastAsia="宋体" w:hAnsi="Times New Roman" w:cs="Times New Roman"/>
                <w:szCs w:val="21"/>
              </w:rPr>
            </w:pPr>
          </w:p>
        </w:tc>
        <w:tc>
          <w:tcPr>
            <w:tcW w:w="1701" w:type="dxa"/>
            <w:vAlign w:val="center"/>
          </w:tcPr>
          <w:p w14:paraId="5B74E1B1">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5C949503">
            <w:pPr>
              <w:rPr>
                <w:rFonts w:ascii="宋体" w:eastAsia="宋体" w:hAnsi="宋体" w:cs="Times New Roman"/>
                <w:szCs w:val="21"/>
              </w:rPr>
            </w:pPr>
            <w:bookmarkStart w:id="47" w:name="其他事项_ottherReemarks"/>
            <w:r>
              <w:rPr>
                <w:rFonts w:ascii="宋体" w:eastAsia="宋体" w:hAnsi="宋体" w:cs="微软雅黑" w:hint="eastAsia"/>
                <w:kern w:val="0"/>
                <w:szCs w:val="21"/>
              </w:rPr>
              <w:t>无</w:t>
            </w:r>
            <w:bookmarkEnd w:id="47"/>
          </w:p>
        </w:tc>
      </w:tr>
    </w:tbl>
    <w:p w14:paraId="3EC46353">
      <w:pPr>
        <w:widowControl/>
        <w:jc w:val="left"/>
        <w:rPr>
          <w:rFonts w:ascii="宋体" w:eastAsia="宋体" w:hAnsi="宋体" w:cs="Times New Roman"/>
          <w:szCs w:val="21"/>
        </w:rPr>
      </w:pPr>
    </w:p>
    <w:p w:rsidR="00A77B3E"/>
    <w:p w14:paraId="524C3EE0">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6"/>
    </w:p>
    <w:p>
      <w:pPr>
        <w:adjustRightInd w:val="0"/>
        <w:snapToGrid w:val="0"/>
        <w:spacing w:line="360" w:lineRule="auto"/>
        <w:jc w:val="center"/>
        <w:outlineLvl w:val="1"/>
        <w:rPr>
          <w:rFonts w:hint="default"/>
          <w:b/>
          <w:bCs/>
          <w:sz w:val="30"/>
          <w:szCs w:val="30"/>
        </w:rPr>
      </w:pPr>
      <w:bookmarkStart w:id="48" w:name="插入_采购需求书"/>
      <w:bookmarkStart w:id="49" w:name="插入_采购需求标题"/>
      <w:r>
        <w:rPr>
          <w:rFonts w:hint="default"/>
          <w:b/>
          <w:bCs/>
          <w:sz w:val="30"/>
          <w:szCs w:val="30"/>
        </w:rPr>
        <w:t>第六章  采购需求</w:t>
      </w:r>
      <w:bookmarkEnd w:id="49"/>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w:t>
      </w:r>
      <w:r>
        <w:rPr>
          <w:rFonts w:ascii="Times New Roman" w:eastAsia="仿宋" w:hAnsi="Times New Roman" w:cs="Times New Roman"/>
          <w:sz w:val="28"/>
          <w:szCs w:val="20"/>
        </w:rPr>
        <w:t>目</w:t>
      </w:r>
      <w:r>
        <w:rPr>
          <w:rFonts w:ascii="仿宋" w:eastAsia="仿宋" w:hAnsi="仿宋" w:cs="仿宋" w:hint="eastAsia"/>
          <w:sz w:val="28"/>
          <w:szCs w:val="20"/>
        </w:rPr>
        <w:t>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3.1 总体技术指标</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主要是针对5个或以上定位仪组成的一套定位系统的总体技术要求，组网一般为丘陵、山区基线距离80km～120km,平原地区90km～150km，布设站点宜按照均匀间距多边形布局，以星型为宜</w:t>
      </w:r>
      <w:r>
        <w:rPr>
          <w:rFonts w:ascii="仿宋" w:eastAsia="仿宋" w:hAnsi="仿宋" w:cs="仿宋" w:hint="eastAsia"/>
          <w:color w:val="auto"/>
          <w:sz w:val="28"/>
          <w:szCs w:val="28"/>
        </w:rPr>
        <w:t>。</w:t>
      </w:r>
      <w:r>
        <w:rPr>
          <w:rFonts w:ascii="仿宋" w:eastAsia="仿宋" w:hAnsi="仿宋" w:cs="仿宋" w:hint="eastAsia"/>
          <w:color w:val="auto"/>
          <w:sz w:val="28"/>
          <w:szCs w:val="28"/>
          <w:lang w:val="en-US" w:eastAsia="zh-CN"/>
        </w:rPr>
        <w:t>设备可融入到国家级雷电业务</w:t>
      </w:r>
      <w:r>
        <w:rPr>
          <w:rFonts w:ascii="仿宋" w:eastAsia="仿宋" w:hAnsi="仿宋" w:cs="仿宋" w:hint="eastAsia"/>
          <w:color w:val="0000FF"/>
          <w:sz w:val="28"/>
          <w:szCs w:val="28"/>
          <w:lang w:val="en-US" w:eastAsia="zh-CN"/>
        </w:rPr>
        <w:t>，</w:t>
      </w:r>
      <w:r>
        <w:rPr>
          <w:rFonts w:ascii="仿宋" w:eastAsia="仿宋" w:hAnsi="仿宋" w:cs="仿宋" w:hint="eastAsia"/>
          <w:color w:val="FF0000"/>
          <w:sz w:val="28"/>
          <w:szCs w:val="28"/>
          <w:lang w:val="en-US" w:eastAsia="zh-CN"/>
        </w:rPr>
        <w:t>支持基于特征量数据实现多站定位处理，数据处理系统通过适应性改造后可集成到国家级雷电业务软件。</w:t>
      </w:r>
      <w:r>
        <w:rPr>
          <w:rFonts w:ascii="仿宋" w:eastAsia="仿宋" w:hAnsi="仿宋" w:cs="仿宋" w:hint="eastAsia"/>
          <w:sz w:val="28"/>
          <w:szCs w:val="28"/>
        </w:rPr>
        <w:t>总体技术指标见表1。</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表1 总体技术指标</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591"/>
        <w:gridCol w:w="5927"/>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2591" w:type="dxa"/>
            <w:vAlign w:val="center"/>
          </w:tcPr>
          <w:p>
            <w:pPr>
              <w:jc w:val="center"/>
              <w:rPr>
                <w:rFonts w:ascii="仿宋" w:eastAsia="仿宋" w:hAnsi="仿宋" w:cs="仿宋" w:hint="eastAsia"/>
              </w:rPr>
            </w:pPr>
            <w:r>
              <w:rPr>
                <w:rFonts w:ascii="仿宋" w:eastAsia="仿宋" w:hAnsi="仿宋" w:cs="仿宋" w:hint="eastAsia"/>
                <w:sz w:val="24"/>
              </w:rPr>
              <w:t>项目</w:t>
            </w:r>
          </w:p>
        </w:tc>
        <w:tc>
          <w:tcPr>
            <w:tcW w:w="5927" w:type="dxa"/>
            <w:vAlign w:val="center"/>
          </w:tcPr>
          <w:p>
            <w:pPr>
              <w:jc w:val="center"/>
              <w:rPr>
                <w:rFonts w:ascii="仿宋" w:eastAsia="仿宋" w:hAnsi="仿宋" w:cs="仿宋" w:hint="eastAsia"/>
              </w:rPr>
            </w:pPr>
            <w:r>
              <w:rPr>
                <w:rFonts w:ascii="仿宋" w:eastAsia="仿宋" w:hAnsi="仿宋" w:cs="仿宋" w:hint="eastAsia"/>
                <w:sz w:val="24"/>
              </w:rPr>
              <w:t>性能指标</w:t>
            </w:r>
          </w:p>
        </w:tc>
      </w:tr>
      <w:tr>
        <w:tblPrEx>
          <w:tblW w:w="0" w:type="auto"/>
          <w:jc w:val="center"/>
          <w:tblLayout w:type="fixed"/>
          <w:tblCellMar>
            <w:top w:w="0" w:type="dxa"/>
            <w:left w:w="108" w:type="dxa"/>
            <w:bottom w:w="0" w:type="dxa"/>
            <w:right w:w="108" w:type="dxa"/>
          </w:tblCellMar>
          <w:tblLook w:val="0000"/>
        </w:tblPrEx>
        <w:trPr>
          <w:jc w:val="center"/>
        </w:trPr>
        <w:tc>
          <w:tcPr>
            <w:tcW w:w="2591" w:type="dxa"/>
            <w:vAlign w:val="center"/>
          </w:tcPr>
          <w:p>
            <w:pPr>
              <w:jc w:val="center"/>
              <w:rPr>
                <w:rFonts w:ascii="仿宋" w:eastAsia="仿宋" w:hAnsi="仿宋" w:cs="仿宋" w:hint="eastAsia"/>
              </w:rPr>
            </w:pPr>
            <w:r>
              <w:rPr>
                <w:rFonts w:ascii="仿宋" w:eastAsia="仿宋" w:hAnsi="仿宋" w:cs="仿宋" w:hint="eastAsia"/>
                <w:sz w:val="24"/>
              </w:rPr>
              <w:t>闪电放电类型</w:t>
            </w:r>
          </w:p>
        </w:tc>
        <w:tc>
          <w:tcPr>
            <w:tcW w:w="5927" w:type="dxa"/>
            <w:vAlign w:val="center"/>
          </w:tcPr>
          <w:p>
            <w:pPr>
              <w:widowControl w:val="0"/>
              <w:ind w:firstLine="0" w:firstLineChars="0"/>
              <w:jc w:val="center"/>
              <w:rPr>
                <w:rFonts w:ascii="仿宋" w:eastAsia="仿宋" w:hAnsi="仿宋" w:cs="仿宋" w:hint="eastAsia"/>
              </w:rPr>
            </w:pPr>
            <w:r>
              <w:rPr>
                <w:rFonts w:ascii="仿宋" w:eastAsia="仿宋" w:hAnsi="仿宋" w:cs="仿宋" w:hint="eastAsia"/>
                <w:kern w:val="2"/>
                <w:sz w:val="24"/>
                <w:szCs w:val="24"/>
                <w:lang w:val="en-US" w:eastAsia="zh-CN" w:bidi="ar-SA"/>
              </w:rPr>
              <w:t>地闪回击、云闪放电事件</w:t>
            </w:r>
          </w:p>
        </w:tc>
      </w:tr>
      <w:tr>
        <w:tblPrEx>
          <w:tblW w:w="0" w:type="auto"/>
          <w:jc w:val="center"/>
          <w:tblLayout w:type="fixed"/>
          <w:tblCellMar>
            <w:top w:w="0" w:type="dxa"/>
            <w:left w:w="108" w:type="dxa"/>
            <w:bottom w:w="0" w:type="dxa"/>
            <w:right w:w="108" w:type="dxa"/>
          </w:tblCellMar>
          <w:tblLook w:val="0000"/>
        </w:tblPrEx>
        <w:trPr>
          <w:jc w:val="center"/>
        </w:trPr>
        <w:tc>
          <w:tcPr>
            <w:tcW w:w="2591" w:type="dxa"/>
            <w:vAlign w:val="center"/>
          </w:tcPr>
          <w:p>
            <w:pPr>
              <w:jc w:val="center"/>
              <w:rPr>
                <w:rFonts w:ascii="仿宋" w:eastAsia="仿宋" w:hAnsi="仿宋" w:cs="仿宋" w:hint="eastAsia"/>
              </w:rPr>
            </w:pPr>
            <w:r>
              <w:rPr>
                <w:rFonts w:ascii="仿宋" w:eastAsia="仿宋" w:hAnsi="仿宋" w:cs="仿宋" w:hint="eastAsia"/>
                <w:sz w:val="24"/>
              </w:rPr>
              <w:t>极性</w:t>
            </w:r>
          </w:p>
        </w:tc>
        <w:tc>
          <w:tcPr>
            <w:tcW w:w="5927" w:type="dxa"/>
            <w:vAlign w:val="center"/>
          </w:tcPr>
          <w:p>
            <w:pPr>
              <w:widowControl w:val="0"/>
              <w:ind w:firstLine="0" w:firstLineChars="0"/>
              <w:jc w:val="center"/>
              <w:rPr>
                <w:rFonts w:ascii="仿宋" w:eastAsia="仿宋" w:hAnsi="仿宋" w:cs="仿宋" w:hint="eastAsia"/>
              </w:rPr>
            </w:pPr>
            <w:r>
              <w:rPr>
                <w:rFonts w:ascii="仿宋" w:eastAsia="仿宋" w:hAnsi="仿宋" w:cs="仿宋" w:hint="eastAsia"/>
                <w:kern w:val="2"/>
                <w:sz w:val="24"/>
                <w:szCs w:val="24"/>
                <w:lang w:val="en-US" w:eastAsia="zh-CN" w:bidi="ar-SA"/>
              </w:rPr>
              <w:t>正、负</w:t>
            </w:r>
          </w:p>
        </w:tc>
      </w:tr>
      <w:tr>
        <w:tblPrEx>
          <w:tblW w:w="0" w:type="auto"/>
          <w:jc w:val="center"/>
          <w:tblLayout w:type="fixed"/>
          <w:tblCellMar>
            <w:top w:w="0" w:type="dxa"/>
            <w:left w:w="108" w:type="dxa"/>
            <w:bottom w:w="0" w:type="dxa"/>
            <w:right w:w="108" w:type="dxa"/>
          </w:tblCellMar>
          <w:tblLook w:val="0000"/>
        </w:tblPrEx>
        <w:trPr>
          <w:jc w:val="center"/>
        </w:trPr>
        <w:tc>
          <w:tcPr>
            <w:tcW w:w="2591" w:type="dxa"/>
            <w:vAlign w:val="center"/>
          </w:tcPr>
          <w:p>
            <w:pPr>
              <w:jc w:val="cente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定位数据时间分辨率</w:t>
            </w:r>
          </w:p>
        </w:tc>
        <w:tc>
          <w:tcPr>
            <w:tcW w:w="5927" w:type="dxa"/>
            <w:vAlign w:val="center"/>
          </w:tcPr>
          <w:p>
            <w:pPr>
              <w:jc w:val="center"/>
              <w:rPr>
                <w:rFonts w:ascii="仿宋" w:eastAsia="仿宋" w:hAnsi="仿宋" w:cs="仿宋" w:hint="eastAsia"/>
              </w:rPr>
            </w:pPr>
            <w:r>
              <w:rPr>
                <w:rFonts w:ascii="仿宋" w:eastAsia="仿宋" w:hAnsi="仿宋" w:cs="仿宋" w:hint="eastAsia"/>
                <w:sz w:val="24"/>
              </w:rPr>
              <w:t>不低于100ns（量化精度）</w:t>
            </w:r>
          </w:p>
        </w:tc>
      </w:tr>
      <w:tr>
        <w:tblPrEx>
          <w:tblW w:w="0" w:type="auto"/>
          <w:jc w:val="center"/>
          <w:tblLayout w:type="fixed"/>
          <w:tblCellMar>
            <w:top w:w="0" w:type="dxa"/>
            <w:left w:w="108" w:type="dxa"/>
            <w:bottom w:w="0" w:type="dxa"/>
            <w:right w:w="108" w:type="dxa"/>
          </w:tblCellMar>
          <w:tblLook w:val="0000"/>
        </w:tblPrEx>
        <w:trPr>
          <w:jc w:val="center"/>
        </w:trPr>
        <w:tc>
          <w:tcPr>
            <w:tcW w:w="2591" w:type="dxa"/>
            <w:vAlign w:val="center"/>
          </w:tcPr>
          <w:p>
            <w:pPr>
              <w:jc w:val="cente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定位位置精度</w:t>
            </w:r>
          </w:p>
        </w:tc>
        <w:tc>
          <w:tcPr>
            <w:tcW w:w="5927" w:type="dxa"/>
            <w:vAlign w:val="center"/>
          </w:tcPr>
          <w:p>
            <w:pPr>
              <w:widowControl w:val="0"/>
              <w:ind w:firstLine="0" w:firstLineChars="0"/>
              <w:jc w:val="center"/>
              <w:rPr>
                <w:rFonts w:ascii="仿宋" w:eastAsia="仿宋" w:hAnsi="仿宋" w:cs="仿宋" w:hint="eastAsia"/>
              </w:rPr>
            </w:pPr>
            <w:r>
              <w:rPr>
                <w:rFonts w:ascii="仿宋" w:eastAsia="仿宋" w:hAnsi="仿宋" w:cs="仿宋" w:hint="eastAsia"/>
                <w:kern w:val="2"/>
                <w:sz w:val="24"/>
                <w:szCs w:val="24"/>
                <w:lang w:val="en-US" w:eastAsia="zh-CN" w:bidi="ar-SA"/>
              </w:rPr>
              <w:t>平面小于200米（网内），垂直小于1000米（网内）</w:t>
            </w:r>
          </w:p>
        </w:tc>
      </w:tr>
      <w:tr>
        <w:tblPrEx>
          <w:tblW w:w="0" w:type="auto"/>
          <w:jc w:val="center"/>
          <w:tblLayout w:type="fixed"/>
          <w:tblCellMar>
            <w:top w:w="0" w:type="dxa"/>
            <w:left w:w="108" w:type="dxa"/>
            <w:bottom w:w="0" w:type="dxa"/>
            <w:right w:w="108" w:type="dxa"/>
          </w:tblCellMar>
          <w:tblLook w:val="0000"/>
        </w:tblPrEx>
        <w:trPr>
          <w:jc w:val="center"/>
        </w:trPr>
        <w:tc>
          <w:tcPr>
            <w:tcW w:w="2591" w:type="dxa"/>
            <w:vAlign w:val="center"/>
          </w:tcPr>
          <w:p>
            <w:pPr>
              <w:jc w:val="cente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地闪回击电流与极性</w:t>
            </w:r>
          </w:p>
        </w:tc>
        <w:tc>
          <w:tcPr>
            <w:tcW w:w="5927" w:type="dxa"/>
            <w:vAlign w:val="center"/>
          </w:tcPr>
          <w:p>
            <w:pPr>
              <w:widowControl w:val="0"/>
              <w:ind w:firstLine="0" w:firstLineChars="0"/>
              <w:jc w:val="center"/>
              <w:rPr>
                <w:rFonts w:ascii="仿宋" w:eastAsia="仿宋" w:hAnsi="仿宋" w:cs="仿宋" w:hint="eastAsia"/>
                <w:bCs/>
                <w:kern w:val="0"/>
              </w:rPr>
            </w:pPr>
            <w:r>
              <w:rPr>
                <w:rFonts w:ascii="仿宋" w:eastAsia="仿宋" w:hAnsi="仿宋" w:cs="仿宋" w:hint="eastAsia"/>
                <w:bCs/>
                <w:kern w:val="0"/>
                <w:sz w:val="24"/>
                <w:szCs w:val="24"/>
                <w:lang w:val="en-US" w:eastAsia="zh-CN" w:bidi="ar-SA"/>
              </w:rPr>
              <w:t>峰值电流误差（绝对值）中值</w:t>
            </w:r>
            <w:r>
              <w:rPr>
                <w:rFonts w:ascii="仿宋" w:eastAsia="仿宋" w:hAnsi="仿宋" w:cs="仿宋" w:hint="eastAsia"/>
                <w:bCs/>
                <w:kern w:val="0"/>
                <w:sz w:val="24"/>
                <w:szCs w:val="24"/>
                <w:lang w:val="en-US" w:eastAsia="zh-CN" w:bidi="ar-SA"/>
              </w:rPr>
              <w:t>≤</w:t>
            </w:r>
            <w:r>
              <w:rPr>
                <w:rFonts w:ascii="仿宋" w:eastAsia="仿宋" w:hAnsi="仿宋" w:cs="仿宋" w:hint="eastAsia"/>
                <w:bCs/>
                <w:kern w:val="0"/>
                <w:sz w:val="24"/>
                <w:szCs w:val="24"/>
                <w:lang w:val="en-US" w:eastAsia="zh-CN" w:bidi="ar-SA"/>
              </w:rPr>
              <w:t>15%（网内），回击极性正确率</w:t>
            </w:r>
            <w:r>
              <w:rPr>
                <w:rFonts w:ascii="仿宋" w:eastAsia="仿宋" w:hAnsi="仿宋" w:cs="仿宋" w:hint="eastAsia"/>
                <w:bCs/>
                <w:kern w:val="0"/>
                <w:sz w:val="24"/>
                <w:szCs w:val="24"/>
                <w:lang w:val="en-US" w:eastAsia="zh-CN" w:bidi="ar-SA"/>
              </w:rPr>
              <w:t>≥</w:t>
            </w:r>
            <w:r>
              <w:rPr>
                <w:rFonts w:ascii="仿宋" w:eastAsia="仿宋" w:hAnsi="仿宋" w:cs="仿宋" w:hint="eastAsia"/>
                <w:bCs/>
                <w:kern w:val="0"/>
                <w:sz w:val="24"/>
                <w:szCs w:val="24"/>
                <w:lang w:val="en-US" w:eastAsia="zh-CN" w:bidi="ar-SA"/>
              </w:rPr>
              <w:t>95%</w:t>
            </w:r>
          </w:p>
        </w:tc>
      </w:tr>
      <w:tr>
        <w:tblPrEx>
          <w:tblW w:w="0" w:type="auto"/>
          <w:jc w:val="center"/>
          <w:tblLayout w:type="fixed"/>
          <w:tblCellMar>
            <w:top w:w="0" w:type="dxa"/>
            <w:left w:w="108" w:type="dxa"/>
            <w:bottom w:w="0" w:type="dxa"/>
            <w:right w:w="108" w:type="dxa"/>
          </w:tblCellMar>
          <w:tblLook w:val="0000"/>
        </w:tblPrEx>
        <w:trPr>
          <w:jc w:val="center"/>
        </w:trPr>
        <w:tc>
          <w:tcPr>
            <w:tcW w:w="2591" w:type="dxa"/>
            <w:vAlign w:val="center"/>
          </w:tcPr>
          <w:p>
            <w:pPr>
              <w:jc w:val="cente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地闪回击探测效率</w:t>
            </w:r>
          </w:p>
        </w:tc>
        <w:tc>
          <w:tcPr>
            <w:tcW w:w="5927" w:type="dxa"/>
            <w:vAlign w:val="center"/>
          </w:tcPr>
          <w:p>
            <w:pPr>
              <w:widowControl w:val="0"/>
              <w:ind w:firstLine="0" w:firstLineChars="0"/>
              <w:jc w:val="center"/>
              <w:rPr>
                <w:rFonts w:ascii="仿宋" w:eastAsia="仿宋" w:hAnsi="仿宋" w:cs="仿宋" w:hint="eastAsia"/>
              </w:rPr>
            </w:pPr>
            <w:r>
              <w:rPr>
                <w:rFonts w:ascii="仿宋" w:eastAsia="仿宋" w:hAnsi="仿宋" w:cs="仿宋" w:hint="eastAsia"/>
                <w:kern w:val="2"/>
                <w:sz w:val="24"/>
                <w:szCs w:val="24"/>
                <w:lang w:val="en-US" w:eastAsia="zh-CN" w:bidi="ar-SA"/>
              </w:rPr>
              <w:t>对于强度</w:t>
            </w:r>
            <w:r>
              <w:rPr>
                <w:rFonts w:ascii="仿宋" w:eastAsia="仿宋" w:hAnsi="仿宋" w:cs="仿宋" w:hint="eastAsia"/>
                <w:kern w:val="2"/>
                <w:sz w:val="24"/>
                <w:szCs w:val="24"/>
                <w:lang w:val="en-US" w:eastAsia="zh-CN" w:bidi="ar-SA"/>
              </w:rPr>
              <w:t>≥</w:t>
            </w:r>
            <w:r>
              <w:rPr>
                <w:rFonts w:ascii="仿宋" w:eastAsia="仿宋" w:hAnsi="仿宋" w:cs="仿宋" w:hint="eastAsia"/>
                <w:kern w:val="2"/>
                <w:sz w:val="24"/>
                <w:szCs w:val="24"/>
                <w:lang w:val="en-US" w:eastAsia="zh-CN" w:bidi="ar-SA"/>
              </w:rPr>
              <w:t>4kA的回击，平原地区探测效率</w:t>
            </w:r>
            <w:r>
              <w:rPr>
                <w:rFonts w:ascii="仿宋" w:eastAsia="仿宋" w:hAnsi="仿宋" w:cs="仿宋" w:hint="eastAsia"/>
                <w:kern w:val="2"/>
                <w:sz w:val="24"/>
                <w:szCs w:val="24"/>
                <w:lang w:val="en-US" w:eastAsia="zh-CN" w:bidi="ar-SA"/>
              </w:rPr>
              <w:t>≥</w:t>
            </w:r>
            <w:r>
              <w:rPr>
                <w:rFonts w:ascii="仿宋" w:eastAsia="仿宋" w:hAnsi="仿宋" w:cs="仿宋" w:hint="eastAsia"/>
                <w:kern w:val="2"/>
                <w:sz w:val="24"/>
                <w:szCs w:val="24"/>
                <w:lang w:val="en-US" w:eastAsia="zh-CN" w:bidi="ar-SA"/>
              </w:rPr>
              <w:t>85%（网内），其他地区探测效率</w:t>
            </w:r>
            <w:r>
              <w:rPr>
                <w:rFonts w:ascii="仿宋" w:eastAsia="仿宋" w:hAnsi="仿宋" w:cs="仿宋" w:hint="eastAsia"/>
                <w:kern w:val="2"/>
                <w:sz w:val="24"/>
                <w:szCs w:val="24"/>
                <w:lang w:val="en-US" w:eastAsia="zh-CN" w:bidi="ar-SA"/>
              </w:rPr>
              <w:t>≥</w:t>
            </w:r>
            <w:r>
              <w:rPr>
                <w:rFonts w:ascii="仿宋" w:eastAsia="仿宋" w:hAnsi="仿宋" w:cs="仿宋" w:hint="eastAsia"/>
                <w:kern w:val="2"/>
                <w:sz w:val="24"/>
                <w:szCs w:val="24"/>
                <w:lang w:val="en-US" w:eastAsia="zh-CN" w:bidi="ar-SA"/>
              </w:rPr>
              <w:t>75%（网内）</w:t>
            </w:r>
          </w:p>
        </w:tc>
      </w:tr>
      <w:tr>
        <w:tblPrEx>
          <w:tblW w:w="0" w:type="auto"/>
          <w:jc w:val="center"/>
          <w:tblLayout w:type="fixed"/>
          <w:tblCellMar>
            <w:top w:w="0" w:type="dxa"/>
            <w:left w:w="108" w:type="dxa"/>
            <w:bottom w:w="0" w:type="dxa"/>
            <w:right w:w="108" w:type="dxa"/>
          </w:tblCellMar>
          <w:tblLook w:val="0000"/>
        </w:tblPrEx>
        <w:trPr>
          <w:jc w:val="center"/>
        </w:trPr>
        <w:tc>
          <w:tcPr>
            <w:tcW w:w="2591" w:type="dxa"/>
            <w:vAlign w:val="center"/>
          </w:tcPr>
          <w:p>
            <w:pPr>
              <w:jc w:val="cente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地闪探测效率</w:t>
            </w:r>
          </w:p>
        </w:tc>
        <w:tc>
          <w:tcPr>
            <w:tcW w:w="5927" w:type="dxa"/>
            <w:vAlign w:val="center"/>
          </w:tcPr>
          <w:p>
            <w:pPr>
              <w:jc w:val="center"/>
              <w:rPr>
                <w:rFonts w:ascii="仿宋" w:eastAsia="仿宋" w:hAnsi="仿宋" w:cs="仿宋" w:hint="eastAsia"/>
              </w:rPr>
            </w:pPr>
            <w:r>
              <w:rPr>
                <w:rFonts w:ascii="仿宋" w:eastAsia="仿宋" w:hAnsi="仿宋" w:cs="仿宋" w:hint="eastAsia"/>
                <w:sz w:val="24"/>
              </w:rPr>
              <w:t>对于强度</w:t>
            </w:r>
            <w:r>
              <w:rPr>
                <w:rFonts w:ascii="仿宋" w:eastAsia="仿宋" w:hAnsi="仿宋" w:cs="仿宋" w:hint="eastAsia"/>
                <w:sz w:val="24"/>
              </w:rPr>
              <w:t>≥</w:t>
            </w:r>
            <w:r>
              <w:rPr>
                <w:rFonts w:ascii="仿宋" w:eastAsia="仿宋" w:hAnsi="仿宋" w:cs="仿宋" w:hint="eastAsia"/>
                <w:sz w:val="24"/>
              </w:rPr>
              <w:t>4kA的地闪，平原探测效率</w:t>
            </w:r>
            <w:r>
              <w:rPr>
                <w:rFonts w:ascii="仿宋" w:eastAsia="仿宋" w:hAnsi="仿宋" w:cs="仿宋" w:hint="eastAsia"/>
                <w:sz w:val="24"/>
              </w:rPr>
              <w:t>≥</w:t>
            </w:r>
            <w:r>
              <w:rPr>
                <w:rFonts w:ascii="仿宋" w:eastAsia="仿宋" w:hAnsi="仿宋" w:cs="仿宋" w:hint="eastAsia"/>
                <w:sz w:val="24"/>
              </w:rPr>
              <w:t>98%（网内），其他地区探测效率</w:t>
            </w:r>
            <w:r>
              <w:rPr>
                <w:rFonts w:ascii="仿宋" w:eastAsia="仿宋" w:hAnsi="仿宋" w:cs="仿宋" w:hint="eastAsia"/>
                <w:sz w:val="24"/>
              </w:rPr>
              <w:t>≥</w:t>
            </w:r>
            <w:r>
              <w:rPr>
                <w:rFonts w:ascii="仿宋" w:eastAsia="仿宋" w:hAnsi="仿宋" w:cs="仿宋" w:hint="eastAsia"/>
                <w:sz w:val="24"/>
              </w:rPr>
              <w:t>95%（网内）</w:t>
            </w:r>
          </w:p>
        </w:tc>
      </w:tr>
      <w:tr>
        <w:tblPrEx>
          <w:tblW w:w="0" w:type="auto"/>
          <w:jc w:val="center"/>
          <w:tblLayout w:type="fixed"/>
          <w:tblCellMar>
            <w:top w:w="0" w:type="dxa"/>
            <w:left w:w="108" w:type="dxa"/>
            <w:bottom w:w="0" w:type="dxa"/>
            <w:right w:w="108" w:type="dxa"/>
          </w:tblCellMar>
          <w:tblLook w:val="0000"/>
        </w:tblPrEx>
        <w:trPr>
          <w:jc w:val="center"/>
        </w:trPr>
        <w:tc>
          <w:tcPr>
            <w:tcW w:w="2591" w:type="dxa"/>
            <w:vAlign w:val="center"/>
          </w:tcPr>
          <w:p>
            <w:pPr>
              <w:jc w:val="cente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云闪探测效率</w:t>
            </w:r>
          </w:p>
        </w:tc>
        <w:tc>
          <w:tcPr>
            <w:tcW w:w="5927" w:type="dxa"/>
            <w:vAlign w:val="center"/>
          </w:tcPr>
          <w:p>
            <w:pPr>
              <w:jc w:val="center"/>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80%（网内）</w:t>
            </w:r>
          </w:p>
        </w:tc>
      </w:tr>
      <w:tr>
        <w:tblPrEx>
          <w:tblW w:w="0" w:type="auto"/>
          <w:jc w:val="center"/>
          <w:tblLayout w:type="fixed"/>
          <w:tblCellMar>
            <w:top w:w="0" w:type="dxa"/>
            <w:left w:w="108" w:type="dxa"/>
            <w:bottom w:w="0" w:type="dxa"/>
            <w:right w:w="108" w:type="dxa"/>
          </w:tblCellMar>
          <w:tblLook w:val="0000"/>
        </w:tblPrEx>
        <w:trPr>
          <w:jc w:val="center"/>
        </w:trPr>
        <w:tc>
          <w:tcPr>
            <w:tcW w:w="2591" w:type="dxa"/>
            <w:vAlign w:val="center"/>
          </w:tcPr>
          <w:p>
            <w:pPr>
              <w:jc w:val="cente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闪电放电类型正确率</w:t>
            </w:r>
          </w:p>
        </w:tc>
        <w:tc>
          <w:tcPr>
            <w:tcW w:w="5927" w:type="dxa"/>
            <w:vAlign w:val="center"/>
          </w:tcPr>
          <w:p>
            <w:pPr>
              <w:jc w:val="center"/>
              <w:rPr>
                <w:rFonts w:ascii="仿宋" w:eastAsia="仿宋" w:hAnsi="仿宋" w:cs="仿宋" w:hint="eastAsia"/>
              </w:rPr>
            </w:pPr>
            <w:r>
              <w:rPr>
                <w:rFonts w:ascii="仿宋" w:eastAsia="仿宋" w:hAnsi="仿宋" w:cs="仿宋" w:hint="eastAsia"/>
                <w:sz w:val="24"/>
              </w:rPr>
              <w:t>不低于85%</w:t>
            </w:r>
          </w:p>
        </w:tc>
      </w:tr>
      <w:tr>
        <w:tblPrEx>
          <w:tblW w:w="0" w:type="auto"/>
          <w:jc w:val="center"/>
          <w:tblLayout w:type="fixed"/>
          <w:tblCellMar>
            <w:top w:w="0" w:type="dxa"/>
            <w:left w:w="108" w:type="dxa"/>
            <w:bottom w:w="0" w:type="dxa"/>
            <w:right w:w="108" w:type="dxa"/>
          </w:tblCellMar>
          <w:tblLook w:val="0000"/>
        </w:tblPrEx>
        <w:trPr>
          <w:jc w:val="center"/>
        </w:trPr>
        <w:tc>
          <w:tcPr>
            <w:tcW w:w="2591" w:type="dxa"/>
            <w:vAlign w:val="center"/>
          </w:tcPr>
          <w:p>
            <w:pPr>
              <w:jc w:val="center"/>
              <w:rPr>
                <w:rFonts w:ascii="仿宋" w:eastAsia="仿宋" w:hAnsi="仿宋" w:cs="仿宋" w:hint="eastAsia"/>
              </w:rPr>
            </w:pPr>
            <w:r>
              <w:rPr>
                <w:rFonts w:ascii="仿宋" w:eastAsia="仿宋" w:hAnsi="仿宋" w:cs="仿宋" w:hint="eastAsia"/>
                <w:sz w:val="24"/>
              </w:rPr>
              <w:t>定位正确率</w:t>
            </w:r>
          </w:p>
        </w:tc>
        <w:tc>
          <w:tcPr>
            <w:tcW w:w="5927" w:type="dxa"/>
            <w:vAlign w:val="center"/>
          </w:tcPr>
          <w:p>
            <w:pPr>
              <w:jc w:val="center"/>
              <w:rPr>
                <w:rFonts w:ascii="仿宋" w:eastAsia="仿宋" w:hAnsi="仿宋" w:cs="仿宋" w:hint="eastAsia"/>
              </w:rPr>
            </w:pPr>
            <w:r>
              <w:rPr>
                <w:rFonts w:ascii="仿宋" w:eastAsia="仿宋" w:hAnsi="仿宋" w:cs="仿宋" w:hint="eastAsia"/>
                <w:sz w:val="24"/>
              </w:rPr>
              <w:t>不低于90%</w:t>
            </w:r>
          </w:p>
        </w:tc>
      </w:tr>
      <w:tr>
        <w:tblPrEx>
          <w:tblW w:w="0" w:type="auto"/>
          <w:jc w:val="center"/>
          <w:tblLayout w:type="fixed"/>
          <w:tblCellMar>
            <w:top w:w="0" w:type="dxa"/>
            <w:left w:w="108" w:type="dxa"/>
            <w:bottom w:w="0" w:type="dxa"/>
            <w:right w:w="108" w:type="dxa"/>
          </w:tblCellMar>
          <w:tblLook w:val="0000"/>
        </w:tblPrEx>
        <w:trPr>
          <w:jc w:val="center"/>
        </w:trPr>
        <w:tc>
          <w:tcPr>
            <w:tcW w:w="2591" w:type="dxa"/>
            <w:vAlign w:val="center"/>
          </w:tcPr>
          <w:p>
            <w:pPr>
              <w:jc w:val="center"/>
              <w:rPr>
                <w:rFonts w:ascii="仿宋" w:eastAsia="仿宋" w:hAnsi="仿宋" w:cs="仿宋" w:hint="eastAsia"/>
              </w:rPr>
            </w:pPr>
            <w:r>
              <w:rPr>
                <w:rFonts w:ascii="仿宋" w:eastAsia="仿宋" w:hAnsi="仿宋" w:cs="仿宋" w:hint="eastAsia"/>
                <w:sz w:val="24"/>
              </w:rPr>
              <w:t>同源配型站点数</w:t>
            </w:r>
          </w:p>
        </w:tc>
        <w:tc>
          <w:tcPr>
            <w:tcW w:w="5927" w:type="dxa"/>
            <w:vAlign w:val="center"/>
          </w:tcPr>
          <w:p>
            <w:pPr>
              <w:jc w:val="center"/>
              <w:rPr>
                <w:rFonts w:ascii="仿宋" w:eastAsia="仿宋" w:hAnsi="仿宋" w:cs="仿宋" w:hint="eastAsia"/>
              </w:rPr>
            </w:pPr>
            <w:r>
              <w:rPr>
                <w:rFonts w:ascii="仿宋" w:eastAsia="仿宋" w:hAnsi="仿宋" w:cs="仿宋" w:hint="eastAsia"/>
                <w:sz w:val="24"/>
              </w:rPr>
              <w:t>二维不低于3个，三维不低于5个</w:t>
            </w:r>
          </w:p>
        </w:tc>
      </w:tr>
      <w:tr>
        <w:tblPrEx>
          <w:tblW w:w="0" w:type="auto"/>
          <w:jc w:val="center"/>
          <w:tblLayout w:type="fixed"/>
          <w:tblCellMar>
            <w:top w:w="0" w:type="dxa"/>
            <w:left w:w="108" w:type="dxa"/>
            <w:bottom w:w="0" w:type="dxa"/>
            <w:right w:w="108" w:type="dxa"/>
          </w:tblCellMar>
          <w:tblLook w:val="0000"/>
        </w:tblPrEx>
        <w:trPr>
          <w:jc w:val="center"/>
        </w:trPr>
        <w:tc>
          <w:tcPr>
            <w:tcW w:w="2591" w:type="dxa"/>
            <w:vAlign w:val="center"/>
          </w:tcPr>
          <w:p>
            <w:pPr>
              <w:jc w:val="center"/>
              <w:rPr>
                <w:rFonts w:ascii="仿宋" w:eastAsia="仿宋" w:hAnsi="仿宋" w:cs="仿宋" w:hint="eastAsia"/>
              </w:rPr>
            </w:pPr>
            <w:r>
              <w:rPr>
                <w:rFonts w:ascii="仿宋" w:eastAsia="仿宋" w:hAnsi="仿宋" w:cs="仿宋" w:hint="eastAsia"/>
                <w:sz w:val="24"/>
              </w:rPr>
              <w:t>网内定位</w:t>
            </w:r>
          </w:p>
        </w:tc>
        <w:tc>
          <w:tcPr>
            <w:tcW w:w="5927" w:type="dxa"/>
            <w:vAlign w:val="center"/>
          </w:tcPr>
          <w:p>
            <w:pPr>
              <w:jc w:val="center"/>
              <w:rPr>
                <w:rFonts w:ascii="仿宋" w:eastAsia="仿宋" w:hAnsi="仿宋" w:cs="仿宋" w:hint="eastAsia"/>
              </w:rPr>
            </w:pPr>
            <w:r>
              <w:rPr>
                <w:rFonts w:ascii="仿宋" w:eastAsia="仿宋" w:hAnsi="仿宋" w:cs="仿宋" w:hint="eastAsia"/>
                <w:sz w:val="24"/>
              </w:rPr>
              <w:t>不低于65%</w:t>
            </w:r>
          </w:p>
        </w:tc>
      </w:tr>
      <w:tr>
        <w:tblPrEx>
          <w:tblW w:w="0" w:type="auto"/>
          <w:jc w:val="center"/>
          <w:tblLayout w:type="fixed"/>
          <w:tblCellMar>
            <w:top w:w="0" w:type="dxa"/>
            <w:left w:w="108" w:type="dxa"/>
            <w:bottom w:w="0" w:type="dxa"/>
            <w:right w:w="108" w:type="dxa"/>
          </w:tblCellMar>
          <w:tblLook w:val="0000"/>
        </w:tblPrEx>
        <w:trPr>
          <w:jc w:val="center"/>
        </w:trPr>
        <w:tc>
          <w:tcPr>
            <w:tcW w:w="2591" w:type="dxa"/>
            <w:vAlign w:val="center"/>
          </w:tcPr>
          <w:p>
            <w:pPr>
              <w:jc w:val="center"/>
              <w:rPr>
                <w:rFonts w:ascii="仿宋" w:eastAsia="仿宋" w:hAnsi="仿宋" w:cs="仿宋" w:hint="eastAsia"/>
              </w:rPr>
            </w:pPr>
            <w:r>
              <w:rPr>
                <w:rFonts w:ascii="仿宋" w:eastAsia="仿宋" w:hAnsi="仿宋" w:cs="仿宋" w:hint="eastAsia"/>
                <w:sz w:val="24"/>
              </w:rPr>
              <w:t>单站数据完整性</w:t>
            </w:r>
          </w:p>
        </w:tc>
        <w:tc>
          <w:tcPr>
            <w:tcW w:w="5927" w:type="dxa"/>
            <w:vAlign w:val="center"/>
          </w:tcPr>
          <w:p>
            <w:pPr>
              <w:widowControl w:val="0"/>
              <w:ind w:firstLine="0" w:firstLineChars="0"/>
              <w:jc w:val="center"/>
              <w:rPr>
                <w:rFonts w:ascii="仿宋" w:eastAsia="仿宋" w:hAnsi="仿宋" w:cs="仿宋" w:hint="eastAsia"/>
              </w:rPr>
            </w:pPr>
            <w:r>
              <w:rPr>
                <w:rFonts w:ascii="仿宋" w:eastAsia="仿宋" w:hAnsi="仿宋" w:cs="仿宋" w:hint="eastAsia"/>
                <w:kern w:val="2"/>
                <w:sz w:val="24"/>
                <w:szCs w:val="24"/>
                <w:lang w:val="en-US" w:eastAsia="zh-CN" w:bidi="ar-SA"/>
              </w:rPr>
              <w:t>不低于98%</w:t>
            </w:r>
          </w:p>
        </w:tc>
      </w:tr>
      <w:tr>
        <w:tblPrEx>
          <w:tblW w:w="0" w:type="auto"/>
          <w:jc w:val="center"/>
          <w:tblLayout w:type="fixed"/>
          <w:tblCellMar>
            <w:top w:w="0" w:type="dxa"/>
            <w:left w:w="108" w:type="dxa"/>
            <w:bottom w:w="0" w:type="dxa"/>
            <w:right w:w="108" w:type="dxa"/>
          </w:tblCellMar>
          <w:tblLook w:val="0000"/>
        </w:tblPrEx>
        <w:trPr>
          <w:jc w:val="center"/>
        </w:trPr>
        <w:tc>
          <w:tcPr>
            <w:tcW w:w="8518" w:type="dxa"/>
            <w:gridSpan w:val="2"/>
            <w:vAlign w:val="center"/>
          </w:tcPr>
          <w:p>
            <w:pPr>
              <w:widowControl w:val="0"/>
              <w:ind w:firstLine="0" w:firstLineChars="0"/>
              <w:jc w:val="center"/>
              <w:rPr>
                <w:rFonts w:ascii="仿宋" w:eastAsia="仿宋" w:hAnsi="仿宋" w:cs="仿宋" w:hint="eastAsia"/>
              </w:rPr>
            </w:pPr>
            <w:r>
              <w:rPr>
                <w:rFonts w:ascii="仿宋" w:eastAsia="仿宋" w:hAnsi="仿宋" w:cs="仿宋" w:hint="eastAsia"/>
                <w:color w:val="auto"/>
                <w:sz w:val="24"/>
                <w:szCs w:val="24"/>
                <w:lang w:val="en-US" w:eastAsia="zh-CN"/>
              </w:rPr>
              <w:t>提供</w:t>
            </w:r>
            <w:r>
              <w:rPr>
                <w:rFonts w:ascii="仿宋" w:eastAsia="仿宋" w:hAnsi="仿宋" w:cs="仿宋" w:hint="eastAsia"/>
                <w:color w:val="auto"/>
                <w:sz w:val="24"/>
                <w:szCs w:val="24"/>
              </w:rPr>
              <w:t>数据处理系统</w:t>
            </w:r>
            <w:r>
              <w:rPr>
                <w:rFonts w:ascii="仿宋" w:eastAsia="仿宋" w:hAnsi="仿宋" w:cs="仿宋" w:hint="eastAsia"/>
                <w:color w:val="auto"/>
                <w:sz w:val="24"/>
                <w:szCs w:val="24"/>
                <w:lang w:val="en-US" w:eastAsia="zh-CN"/>
              </w:rPr>
              <w:t>的功能和性能测试评估报告、设备融入国家级雷电业务方案、</w:t>
            </w:r>
            <w:r>
              <w:rPr>
                <w:rFonts w:ascii="仿宋" w:eastAsia="仿宋" w:hAnsi="仿宋" w:cs="仿宋" w:hint="eastAsia"/>
                <w:color w:val="auto"/>
                <w:sz w:val="24"/>
                <w:szCs w:val="24"/>
              </w:rPr>
              <w:t>数据处理系统</w:t>
            </w:r>
            <w:r>
              <w:rPr>
                <w:rFonts w:ascii="仿宋" w:eastAsia="仿宋" w:hAnsi="仿宋" w:cs="仿宋" w:hint="eastAsia"/>
                <w:color w:val="auto"/>
                <w:sz w:val="24"/>
                <w:szCs w:val="24"/>
                <w:lang w:val="en-US" w:eastAsia="zh-CN"/>
              </w:rPr>
              <w:t>与国家级雷电业务软件集成改造方案</w:t>
            </w:r>
          </w:p>
        </w:tc>
      </w:tr>
    </w:tbl>
    <w:p>
      <w:pPr>
        <w:ind w:firstLine="141" w:firstLineChars="67"/>
        <w:jc w:val="left"/>
        <w:rPr>
          <w:rFonts w:ascii="宋体" w:hAnsi="宋体" w:cs="宋体"/>
          <w:b/>
          <w:szCs w:val="21"/>
        </w:rPr>
      </w:pPr>
      <w:r>
        <w:rPr>
          <w:rFonts w:ascii="宋体" w:hAnsi="宋体" w:cs="宋体" w:hint="eastAsia"/>
          <w:b/>
          <w:szCs w:val="21"/>
        </w:rPr>
        <w:t>注：</w:t>
      </w:r>
    </w:p>
    <w:p>
      <w:pPr>
        <w:spacing w:line="520" w:lineRule="exact"/>
        <w:ind w:left="424" w:firstLine="2" w:leftChars="202"/>
        <w:jc w:val="left"/>
        <w:rPr>
          <w:rFonts w:ascii="仿宋" w:eastAsia="仿宋" w:hAnsi="仿宋" w:cs="仿宋" w:hint="eastAsia"/>
          <w:sz w:val="21"/>
          <w:szCs w:val="21"/>
        </w:rPr>
      </w:pPr>
      <w:r>
        <w:rPr>
          <w:rFonts w:ascii="仿宋" w:eastAsia="仿宋" w:hAnsi="仿宋" w:cs="仿宋" w:hint="eastAsia"/>
          <w:sz w:val="21"/>
          <w:szCs w:val="21"/>
        </w:rPr>
        <w:t>定位正确率：指在选取时段内，利用人工观测、雷达等综合资料对于闪电发生位置进行质量控制，质控正确数量占实际数据总量百分比；</w:t>
      </w:r>
    </w:p>
    <w:p>
      <w:pPr>
        <w:spacing w:line="520" w:lineRule="exact"/>
        <w:ind w:firstLine="424" w:firstLineChars="202"/>
        <w:jc w:val="left"/>
        <w:rPr>
          <w:rFonts w:ascii="仿宋" w:eastAsia="仿宋" w:hAnsi="仿宋" w:cs="仿宋" w:hint="eastAsia"/>
          <w:sz w:val="21"/>
          <w:szCs w:val="21"/>
        </w:rPr>
      </w:pPr>
      <w:r>
        <w:rPr>
          <w:rFonts w:ascii="仿宋" w:eastAsia="仿宋" w:hAnsi="仿宋" w:cs="仿宋" w:hint="eastAsia"/>
          <w:sz w:val="21"/>
          <w:szCs w:val="21"/>
        </w:rPr>
        <w:t>同源配型站点数：指在某次组网定位运算中，实际参与的VLF/LF全闪定位仪站点数；</w:t>
      </w:r>
    </w:p>
    <w:p>
      <w:pPr>
        <w:spacing w:line="520" w:lineRule="exact"/>
        <w:ind w:left="424" w:firstLine="2" w:leftChars="202"/>
        <w:jc w:val="left"/>
        <w:rPr>
          <w:rFonts w:ascii="仿宋" w:eastAsia="仿宋" w:hAnsi="仿宋" w:cs="仿宋" w:hint="eastAsia"/>
          <w:sz w:val="21"/>
          <w:szCs w:val="21"/>
        </w:rPr>
      </w:pPr>
      <w:r>
        <w:rPr>
          <w:rFonts w:ascii="仿宋" w:eastAsia="仿宋" w:hAnsi="仿宋" w:cs="仿宋" w:hint="eastAsia"/>
          <w:sz w:val="21"/>
          <w:szCs w:val="21"/>
        </w:rPr>
        <w:t>网内定位：指某次组网定位运算获得的闪电发生位置，位于参与本次定位的VLF/LF全闪定位仪站网区域内。</w:t>
      </w:r>
    </w:p>
    <w:p>
      <w:pPr>
        <w:spacing w:line="560" w:lineRule="exact"/>
        <w:ind w:firstLine="560" w:firstLineChars="200"/>
        <w:jc w:val="left"/>
        <w:rPr>
          <w:rFonts w:ascii="仿宋" w:eastAsia="仿宋" w:hAnsi="仿宋" w:cs="仿宋" w:hint="eastAsia"/>
          <w:sz w:val="28"/>
          <w:szCs w:val="28"/>
        </w:rPr>
      </w:pPr>
      <w:r>
        <w:rPr>
          <w:rFonts w:ascii="仿宋" w:eastAsia="仿宋" w:hAnsi="仿宋" w:cs="仿宋" w:hint="eastAsia"/>
          <w:sz w:val="28"/>
          <w:szCs w:val="28"/>
        </w:rPr>
        <w:t>3.2 定位仪技术指标</w:t>
      </w:r>
    </w:p>
    <w:p>
      <w:pPr>
        <w:spacing w:line="560" w:lineRule="exact"/>
        <w:ind w:firstLine="560" w:firstLineChars="200"/>
        <w:jc w:val="left"/>
        <w:rPr>
          <w:rFonts w:ascii="仿宋" w:eastAsia="仿宋" w:hAnsi="仿宋" w:cs="仿宋" w:hint="eastAsia"/>
          <w:sz w:val="28"/>
          <w:szCs w:val="28"/>
        </w:rPr>
      </w:pPr>
      <w:r>
        <w:rPr>
          <w:rFonts w:ascii="仿宋" w:eastAsia="仿宋" w:hAnsi="仿宋" w:cs="仿宋" w:hint="eastAsia"/>
          <w:sz w:val="28"/>
          <w:szCs w:val="28"/>
        </w:rPr>
        <w:t>定位仪技术指标包括：波形类型、灵敏度、探测范围、处理时效等。技术指标见表2。</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表2 甚低频/低频</w:t>
      </w:r>
      <w:r>
        <w:rPr>
          <w:rFonts w:ascii="仿宋" w:eastAsia="仿宋" w:hAnsi="仿宋" w:cs="仿宋" w:hint="eastAsia"/>
          <w:b/>
          <w:bCs/>
          <w:sz w:val="28"/>
          <w:szCs w:val="20"/>
          <w:lang w:eastAsia="zh-CN"/>
        </w:rPr>
        <w:t>（</w:t>
      </w:r>
      <w:r>
        <w:rPr>
          <w:rFonts w:ascii="仿宋" w:eastAsia="仿宋" w:hAnsi="仿宋" w:cs="仿宋" w:hint="eastAsia"/>
          <w:b/>
          <w:bCs/>
          <w:sz w:val="28"/>
          <w:szCs w:val="20"/>
        </w:rPr>
        <w:t>VLF/LF</w:t>
      </w:r>
      <w:r>
        <w:rPr>
          <w:rFonts w:ascii="仿宋" w:eastAsia="仿宋" w:hAnsi="仿宋" w:cs="仿宋" w:hint="eastAsia"/>
          <w:b/>
          <w:bCs/>
          <w:sz w:val="28"/>
          <w:szCs w:val="20"/>
          <w:lang w:eastAsia="zh-CN"/>
        </w:rPr>
        <w:t>）</w:t>
      </w:r>
      <w:r>
        <w:rPr>
          <w:rFonts w:ascii="仿宋" w:eastAsia="仿宋" w:hAnsi="仿宋" w:cs="仿宋" w:hint="eastAsia"/>
          <w:b/>
          <w:bCs/>
          <w:sz w:val="28"/>
          <w:szCs w:val="20"/>
        </w:rPr>
        <w:t>全闪定位仪技术指标</w:t>
      </w:r>
    </w:p>
    <w:tbl>
      <w:tblPr>
        <w:tblStyle w:val="TableNormal"/>
        <w:tblW w:w="499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2726"/>
        <w:gridCol w:w="6259"/>
      </w:tblGrid>
      <w:tr>
        <w:tblPrEx>
          <w:tblW w:w="499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jc w:val="center"/>
        </w:trPr>
        <w:tc>
          <w:tcPr>
            <w:tcW w:w="1517" w:type="pct"/>
            <w:vAlign w:val="center"/>
          </w:tcPr>
          <w:p>
            <w:pPr>
              <w:rPr>
                <w:rFonts w:ascii="仿宋" w:eastAsia="仿宋" w:hAnsi="仿宋" w:cs="仿宋" w:hint="eastAsia"/>
              </w:rPr>
            </w:pPr>
            <w:r>
              <w:rPr>
                <w:rFonts w:ascii="仿宋" w:eastAsia="仿宋" w:hAnsi="仿宋" w:cs="仿宋" w:hint="eastAsia"/>
                <w:sz w:val="24"/>
              </w:rPr>
              <w:t>项目</w:t>
            </w:r>
          </w:p>
        </w:tc>
        <w:tc>
          <w:tcPr>
            <w:tcW w:w="3482" w:type="pct"/>
            <w:vAlign w:val="center"/>
          </w:tcPr>
          <w:p>
            <w:pPr>
              <w:rPr>
                <w:rFonts w:ascii="仿宋" w:eastAsia="仿宋" w:hAnsi="仿宋" w:cs="仿宋" w:hint="eastAsia"/>
              </w:rPr>
            </w:pPr>
            <w:r>
              <w:rPr>
                <w:rFonts w:ascii="仿宋" w:eastAsia="仿宋" w:hAnsi="仿宋" w:cs="仿宋" w:hint="eastAsia"/>
                <w:sz w:val="24"/>
              </w:rPr>
              <w:t>性能指标</w:t>
            </w:r>
          </w:p>
        </w:tc>
      </w:tr>
      <w:tr>
        <w:tblPrEx>
          <w:tblW w:w="4990" w:type="pct"/>
          <w:jc w:val="center"/>
          <w:tblBorders>
            <w:insideH w:val="none" w:sz="0" w:space="0" w:color="auto"/>
            <w:insideV w:val="none" w:sz="0" w:space="0" w:color="auto"/>
          </w:tblBorders>
          <w:tblCellMar>
            <w:top w:w="0" w:type="dxa"/>
            <w:left w:w="108" w:type="dxa"/>
            <w:bottom w:w="0" w:type="dxa"/>
            <w:right w:w="108" w:type="dxa"/>
          </w:tblCellMar>
          <w:tblLook w:val="0000"/>
        </w:tblPrEx>
        <w:trPr>
          <w:jc w:val="center"/>
        </w:trPr>
        <w:tc>
          <w:tcPr>
            <w:tcW w:w="1517"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探测类型</w:t>
            </w:r>
          </w:p>
        </w:tc>
        <w:tc>
          <w:tcPr>
            <w:tcW w:w="3482"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云闪波形、地闪波形</w:t>
            </w:r>
          </w:p>
        </w:tc>
      </w:tr>
      <w:tr>
        <w:tblPrEx>
          <w:tblW w:w="4990" w:type="pct"/>
          <w:jc w:val="center"/>
          <w:tblCellMar>
            <w:top w:w="0" w:type="dxa"/>
            <w:left w:w="108" w:type="dxa"/>
            <w:bottom w:w="0" w:type="dxa"/>
            <w:right w:w="108" w:type="dxa"/>
          </w:tblCellMar>
          <w:tblLook w:val="0000"/>
        </w:tblPrEx>
        <w:trPr>
          <w:jc w:val="center"/>
        </w:trPr>
        <w:tc>
          <w:tcPr>
            <w:tcW w:w="1517"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探测频段</w:t>
            </w:r>
          </w:p>
        </w:tc>
        <w:tc>
          <w:tcPr>
            <w:tcW w:w="3482"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5k-400kHz频段、3dB带宽</w:t>
            </w:r>
          </w:p>
        </w:tc>
      </w:tr>
      <w:tr>
        <w:tblPrEx>
          <w:tblW w:w="4990" w:type="pct"/>
          <w:jc w:val="center"/>
          <w:tblCellMar>
            <w:top w:w="0" w:type="dxa"/>
            <w:left w:w="108" w:type="dxa"/>
            <w:bottom w:w="0" w:type="dxa"/>
            <w:right w:w="108" w:type="dxa"/>
          </w:tblCellMar>
          <w:tblLook w:val="0000"/>
        </w:tblPrEx>
        <w:trPr>
          <w:jc w:val="center"/>
        </w:trPr>
        <w:tc>
          <w:tcPr>
            <w:tcW w:w="1517" w:type="pct"/>
            <w:tcBorders>
              <w:top w:val="single" w:sz="4" w:space="0" w:color="auto"/>
              <w:left w:val="single" w:sz="4" w:space="0" w:color="auto"/>
              <w:bottom w:val="single" w:sz="4" w:space="0" w:color="auto"/>
              <w:right w:val="single" w:sz="4" w:space="0" w:color="auto"/>
            </w:tcBorders>
            <w:vAlign w:val="center"/>
          </w:tcPr>
          <w:p>
            <w:pPr>
              <w:tabs>
                <w:tab w:val="left" w:pos="1857"/>
                <w:tab w:val="center" w:pos="2858"/>
              </w:tabs>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灵敏度</w:t>
            </w:r>
          </w:p>
        </w:tc>
        <w:tc>
          <w:tcPr>
            <w:tcW w:w="3482" w:type="pct"/>
            <w:tcBorders>
              <w:top w:val="single" w:sz="4" w:space="0" w:color="auto"/>
              <w:left w:val="single" w:sz="4" w:space="0" w:color="auto"/>
              <w:bottom w:val="single" w:sz="4" w:space="0" w:color="auto"/>
              <w:right w:val="single" w:sz="4" w:space="0" w:color="auto"/>
            </w:tcBorders>
            <w:vAlign w:val="center"/>
          </w:tcPr>
          <w:p>
            <w:pPr>
              <w:tabs>
                <w:tab w:val="left" w:pos="1857"/>
                <w:tab w:val="center" w:pos="2858"/>
              </w:tabs>
              <w:rPr>
                <w:rFonts w:ascii="仿宋" w:eastAsia="仿宋" w:hAnsi="仿宋" w:cs="仿宋" w:hint="eastAsia"/>
              </w:rPr>
            </w:pPr>
            <w:r>
              <w:rPr>
                <w:rFonts w:ascii="仿宋" w:eastAsia="仿宋" w:hAnsi="仿宋" w:cs="仿宋" w:hint="eastAsia"/>
                <w:sz w:val="24"/>
              </w:rPr>
              <w:t>磁场强度</w:t>
            </w:r>
            <w:r>
              <w:rPr>
                <w:rFonts w:ascii="仿宋" w:eastAsia="仿宋" w:hAnsi="仿宋" w:cs="仿宋" w:hint="eastAsia"/>
                <w:position w:val="-6"/>
                <w:sz w:val="24"/>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5" o:spid="_x0000_i1025" type="#_x0000_t75" style="width:47pt;height:16pt" o:oleicon="f" o:ole="" o:preferrelative="t" filled="f" stroked="f">
                  <v:stroke joinstyle="miter"/>
                  <v:imagedata r:id="rId8" o:title=""/>
                  <v:path o:extrusionok="f"/>
                  <o:lock v:ext="edit" aspectratio="t"/>
                </v:shape>
                <o:OLEObject Type="Embed" ProgID="Equation.3" ShapeID="Object 5" DrawAspect="Content" ObjectID="_1234567890" r:id="rId9"/>
              </w:object>
            </w:r>
            <w:r>
              <w:rPr>
                <w:rFonts w:ascii="仿宋" w:eastAsia="仿宋" w:hAnsi="仿宋" w:cs="仿宋" w:hint="eastAsia"/>
                <w:sz w:val="24"/>
              </w:rPr>
              <w:t>A/m</w:t>
            </w:r>
          </w:p>
          <w:p>
            <w:pPr>
              <w:tabs>
                <w:tab w:val="left" w:pos="1857"/>
                <w:tab w:val="center" w:pos="2858"/>
              </w:tabs>
              <w:rPr>
                <w:rFonts w:ascii="仿宋" w:eastAsia="仿宋" w:hAnsi="仿宋" w:cs="仿宋" w:hint="eastAsia"/>
              </w:rPr>
            </w:pPr>
            <w:r>
              <w:rPr>
                <w:rFonts w:ascii="仿宋" w:eastAsia="仿宋" w:hAnsi="仿宋" w:cs="仿宋" w:hint="eastAsia"/>
                <w:sz w:val="24"/>
              </w:rPr>
              <w:t>电场强度</w:t>
            </w:r>
            <w:r>
              <w:rPr>
                <w:rFonts w:ascii="仿宋" w:eastAsia="仿宋" w:hAnsi="仿宋" w:cs="仿宋" w:hint="eastAsia"/>
                <w:position w:val="-6"/>
                <w:sz w:val="24"/>
              </w:rPr>
              <w:object>
                <v:shape id="Object 6" o:spid="_x0000_i1026" type="#_x0000_t75" style="width:18.97pt;height:13.96pt" o:oleicon="f" o:ole="" o:preferrelative="t" filled="f" stroked="f">
                  <v:stroke joinstyle="miter"/>
                  <v:imagedata r:id="rId10" o:title=""/>
                  <v:path o:extrusionok="f"/>
                  <o:lock v:ext="edit" aspectratio="t"/>
                </v:shape>
                <o:OLEObject Type="Embed" ProgID="Equation.3" ShapeID="Object 6" DrawAspect="Content" ObjectID="_1234567891" r:id="rId11"/>
              </w:object>
            </w:r>
            <w:r>
              <w:rPr>
                <w:rFonts w:ascii="仿宋" w:eastAsia="仿宋" w:hAnsi="仿宋" w:cs="仿宋" w:hint="eastAsia"/>
                <w:sz w:val="24"/>
              </w:rPr>
              <w:t>V/m</w:t>
            </w:r>
          </w:p>
        </w:tc>
      </w:tr>
      <w:tr>
        <w:tblPrEx>
          <w:tblW w:w="4990" w:type="pct"/>
          <w:jc w:val="center"/>
          <w:tblCellMar>
            <w:top w:w="0" w:type="dxa"/>
            <w:left w:w="108" w:type="dxa"/>
            <w:bottom w:w="0" w:type="dxa"/>
            <w:right w:w="108" w:type="dxa"/>
          </w:tblCellMar>
          <w:tblLook w:val="0000"/>
        </w:tblPrEx>
        <w:trPr>
          <w:jc w:val="center"/>
        </w:trPr>
        <w:tc>
          <w:tcPr>
            <w:tcW w:w="1517"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探测范围</w:t>
            </w:r>
          </w:p>
        </w:tc>
        <w:tc>
          <w:tcPr>
            <w:tcW w:w="3482"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4kA、</w:t>
            </w:r>
            <w:r>
              <w:rPr>
                <w:rFonts w:ascii="仿宋" w:eastAsia="仿宋" w:hAnsi="仿宋" w:cs="仿宋" w:hint="eastAsia"/>
                <w:sz w:val="24"/>
              </w:rPr>
              <w:t>≥</w:t>
            </w:r>
            <w:r>
              <w:rPr>
                <w:rFonts w:ascii="仿宋" w:eastAsia="仿宋" w:hAnsi="仿宋" w:cs="仿宋" w:hint="eastAsia"/>
                <w:sz w:val="24"/>
              </w:rPr>
              <w:t>300km</w:t>
            </w:r>
          </w:p>
        </w:tc>
      </w:tr>
      <w:tr>
        <w:tblPrEx>
          <w:tblW w:w="4990" w:type="pct"/>
          <w:jc w:val="center"/>
          <w:tblCellMar>
            <w:top w:w="0" w:type="dxa"/>
            <w:left w:w="108" w:type="dxa"/>
            <w:bottom w:w="0" w:type="dxa"/>
            <w:right w:w="108" w:type="dxa"/>
          </w:tblCellMar>
          <w:tblLook w:val="0000"/>
        </w:tblPrEx>
        <w:trPr>
          <w:jc w:val="center"/>
        </w:trPr>
        <w:tc>
          <w:tcPr>
            <w:tcW w:w="1517"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处理时效</w:t>
            </w:r>
          </w:p>
        </w:tc>
        <w:tc>
          <w:tcPr>
            <w:tcW w:w="3482"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color w:val="000000"/>
              </w:rPr>
            </w:pPr>
            <w:r>
              <w:rPr>
                <w:rFonts w:ascii="仿宋" w:eastAsia="仿宋" w:hAnsi="仿宋" w:cs="仿宋" w:hint="eastAsia"/>
                <w:color w:val="000000"/>
                <w:sz w:val="24"/>
              </w:rPr>
              <w:t>&lt;50ms（压缩数据）</w:t>
            </w:r>
          </w:p>
          <w:p>
            <w:pPr>
              <w:rPr>
                <w:rFonts w:ascii="仿宋" w:eastAsia="仿宋" w:hAnsi="仿宋" w:cs="仿宋" w:hint="eastAsia"/>
                <w:color w:val="FF0000"/>
              </w:rPr>
            </w:pPr>
            <w:r>
              <w:rPr>
                <w:rFonts w:ascii="仿宋" w:eastAsia="仿宋" w:hAnsi="仿宋" w:cs="仿宋" w:hint="eastAsia"/>
                <w:color w:val="000000"/>
                <w:sz w:val="24"/>
              </w:rPr>
              <w:t>&lt;10ms（非压缩数据）</w:t>
            </w:r>
          </w:p>
        </w:tc>
      </w:tr>
      <w:tr>
        <w:tblPrEx>
          <w:tblW w:w="4990" w:type="pct"/>
          <w:jc w:val="center"/>
          <w:tblCellMar>
            <w:top w:w="0" w:type="dxa"/>
            <w:left w:w="108" w:type="dxa"/>
            <w:bottom w:w="0" w:type="dxa"/>
            <w:right w:w="108" w:type="dxa"/>
          </w:tblCellMar>
          <w:tblLook w:val="0000"/>
        </w:tblPrEx>
        <w:trPr>
          <w:jc w:val="center"/>
        </w:trPr>
        <w:tc>
          <w:tcPr>
            <w:tcW w:w="1517"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观测值</w:t>
            </w:r>
          </w:p>
        </w:tc>
        <w:tc>
          <w:tcPr>
            <w:tcW w:w="3482"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电场、磁场脉冲波形，波形特征量（上升沿-起点、10%、30%、50%、70%、90%，波峰点，下降沿-90%、70%、50%、30%、10%、后过零点等瞬态的时间、幅值（场强）），波形类型</w:t>
            </w:r>
          </w:p>
        </w:tc>
      </w:tr>
      <w:tr>
        <w:tblPrEx>
          <w:tblW w:w="4990" w:type="pct"/>
          <w:jc w:val="center"/>
          <w:tblCellMar>
            <w:top w:w="0" w:type="dxa"/>
            <w:left w:w="108" w:type="dxa"/>
            <w:bottom w:w="0" w:type="dxa"/>
            <w:right w:w="108" w:type="dxa"/>
          </w:tblCellMar>
          <w:tblLook w:val="0000"/>
        </w:tblPrEx>
        <w:trPr>
          <w:jc w:val="center"/>
        </w:trPr>
        <w:tc>
          <w:tcPr>
            <w:tcW w:w="1517"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波形时间精度</w:t>
            </w:r>
          </w:p>
        </w:tc>
        <w:tc>
          <w:tcPr>
            <w:tcW w:w="3482"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不低于50ns</w:t>
            </w:r>
          </w:p>
        </w:tc>
      </w:tr>
      <w:tr>
        <w:tblPrEx>
          <w:tblW w:w="4990" w:type="pct"/>
          <w:jc w:val="center"/>
          <w:tblCellMar>
            <w:top w:w="0" w:type="dxa"/>
            <w:left w:w="108" w:type="dxa"/>
            <w:bottom w:w="0" w:type="dxa"/>
            <w:right w:w="108" w:type="dxa"/>
          </w:tblCellMar>
          <w:tblLook w:val="0000"/>
        </w:tblPrEx>
        <w:trPr>
          <w:jc w:val="center"/>
        </w:trPr>
        <w:tc>
          <w:tcPr>
            <w:tcW w:w="1517"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波形幅值误差</w:t>
            </w:r>
          </w:p>
        </w:tc>
        <w:tc>
          <w:tcPr>
            <w:tcW w:w="3482"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不超过15%</w:t>
            </w:r>
          </w:p>
        </w:tc>
      </w:tr>
      <w:tr>
        <w:tblPrEx>
          <w:tblW w:w="4990" w:type="pct"/>
          <w:jc w:val="center"/>
          <w:tblCellMar>
            <w:top w:w="0" w:type="dxa"/>
            <w:left w:w="108" w:type="dxa"/>
            <w:bottom w:w="0" w:type="dxa"/>
            <w:right w:w="108" w:type="dxa"/>
          </w:tblCellMar>
          <w:tblLook w:val="0000"/>
        </w:tblPrEx>
        <w:trPr>
          <w:jc w:val="center"/>
        </w:trPr>
        <w:tc>
          <w:tcPr>
            <w:tcW w:w="1517"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波形类型正确率</w:t>
            </w:r>
          </w:p>
        </w:tc>
        <w:tc>
          <w:tcPr>
            <w:tcW w:w="3482"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不低于85%</w:t>
            </w:r>
          </w:p>
        </w:tc>
      </w:tr>
      <w:tr>
        <w:tblPrEx>
          <w:tblW w:w="4990" w:type="pct"/>
          <w:jc w:val="center"/>
          <w:tblCellMar>
            <w:top w:w="0" w:type="dxa"/>
            <w:left w:w="108" w:type="dxa"/>
            <w:bottom w:w="0" w:type="dxa"/>
            <w:right w:w="108" w:type="dxa"/>
          </w:tblCellMar>
          <w:tblLook w:val="0000"/>
        </w:tblPrEx>
        <w:trPr>
          <w:jc w:val="center"/>
        </w:trPr>
        <w:tc>
          <w:tcPr>
            <w:tcW w:w="1517"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数据可用性</w:t>
            </w:r>
          </w:p>
        </w:tc>
        <w:tc>
          <w:tcPr>
            <w:tcW w:w="3482"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不低于95%</w:t>
            </w:r>
          </w:p>
        </w:tc>
      </w:tr>
      <w:tr>
        <w:tblPrEx>
          <w:tblW w:w="4990" w:type="pct"/>
          <w:jc w:val="center"/>
          <w:tblCellMar>
            <w:top w:w="0" w:type="dxa"/>
            <w:left w:w="108" w:type="dxa"/>
            <w:bottom w:w="0" w:type="dxa"/>
            <w:right w:w="108" w:type="dxa"/>
          </w:tblCellMar>
          <w:tblLook w:val="0000"/>
        </w:tblPrEx>
        <w:trPr>
          <w:jc w:val="center"/>
        </w:trPr>
        <w:tc>
          <w:tcPr>
            <w:tcW w:w="1517"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瞬时动态存储</w:t>
            </w:r>
          </w:p>
        </w:tc>
        <w:tc>
          <w:tcPr>
            <w:tcW w:w="3482"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64M</w:t>
            </w:r>
          </w:p>
        </w:tc>
      </w:tr>
      <w:tr>
        <w:tblPrEx>
          <w:tblW w:w="4990" w:type="pct"/>
          <w:jc w:val="center"/>
          <w:tblCellMar>
            <w:top w:w="0" w:type="dxa"/>
            <w:left w:w="108" w:type="dxa"/>
            <w:bottom w:w="0" w:type="dxa"/>
            <w:right w:w="108" w:type="dxa"/>
          </w:tblCellMar>
          <w:tblLook w:val="0000"/>
        </w:tblPrEx>
        <w:trPr>
          <w:jc w:val="center"/>
        </w:trPr>
        <w:tc>
          <w:tcPr>
            <w:tcW w:w="1517"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计量检测接口</w:t>
            </w:r>
          </w:p>
        </w:tc>
        <w:tc>
          <w:tcPr>
            <w:tcW w:w="3482"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具备</w:t>
            </w:r>
          </w:p>
        </w:tc>
      </w:tr>
      <w:tr>
        <w:tblPrEx>
          <w:tblW w:w="4990" w:type="pct"/>
          <w:jc w:val="center"/>
          <w:tblCellMar>
            <w:top w:w="0" w:type="dxa"/>
            <w:left w:w="108" w:type="dxa"/>
            <w:bottom w:w="0" w:type="dxa"/>
            <w:right w:w="108" w:type="dxa"/>
          </w:tblCellMar>
          <w:tblLook w:val="0000"/>
        </w:tblPrEx>
        <w:trPr>
          <w:jc w:val="center"/>
        </w:trPr>
        <w:tc>
          <w:tcPr>
            <w:tcW w:w="1517"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color w:val="FF0000"/>
                <w:kern w:val="0"/>
                <w:sz w:val="24"/>
                <w:lang w:bidi="ar"/>
              </w:rPr>
              <w:t>#</w:t>
            </w:r>
            <w:r>
              <w:rPr>
                <w:rFonts w:ascii="仿宋" w:eastAsia="仿宋" w:hAnsi="仿宋" w:cs="仿宋" w:hint="eastAsia"/>
                <w:sz w:val="24"/>
              </w:rPr>
              <w:t>多站数据一致性（实验室）</w:t>
            </w:r>
          </w:p>
        </w:tc>
        <w:tc>
          <w:tcPr>
            <w:tcW w:w="3482" w:type="pct"/>
            <w:tcBorders>
              <w:top w:val="single" w:sz="4" w:space="0" w:color="auto"/>
              <w:left w:val="single" w:sz="4" w:space="0" w:color="auto"/>
              <w:bottom w:val="single" w:sz="4" w:space="0" w:color="auto"/>
              <w:right w:val="single" w:sz="4" w:space="0" w:color="auto"/>
            </w:tcBorders>
            <w:vAlign w:val="center"/>
          </w:tcPr>
          <w:p>
            <w:pPr>
              <w:widowControl w:val="0"/>
              <w:ind w:firstLine="0" w:firstLineChars="0"/>
              <w:jc w:val="both"/>
              <w:rPr>
                <w:rFonts w:ascii="仿宋" w:eastAsia="仿宋" w:hAnsi="仿宋" w:cs="仿宋" w:hint="eastAsia"/>
              </w:rPr>
            </w:pPr>
            <w:r>
              <w:rPr>
                <w:rFonts w:ascii="仿宋" w:eastAsia="仿宋" w:hAnsi="仿宋" w:cs="仿宋" w:hint="eastAsia"/>
                <w:kern w:val="2"/>
                <w:sz w:val="24"/>
                <w:szCs w:val="24"/>
                <w:lang w:val="en-US" w:eastAsia="zh-CN" w:bidi="ar-SA"/>
              </w:rPr>
              <w:t>数量一致性满足</w:t>
            </w:r>
            <w:r>
              <w:rPr>
                <w:rFonts w:ascii="仿宋" w:eastAsia="仿宋" w:hAnsi="仿宋" w:cs="仿宋" w:hint="eastAsia"/>
                <w:kern w:val="2"/>
                <w:sz w:val="24"/>
                <w:szCs w:val="24"/>
                <w:lang w:val="en-US" w:eastAsia="zh-CN" w:bidi="ar-SA"/>
              </w:rPr>
              <w:t>≥</w:t>
            </w:r>
            <w:r>
              <w:rPr>
                <w:rFonts w:ascii="仿宋" w:eastAsia="仿宋" w:hAnsi="仿宋" w:cs="仿宋" w:hint="eastAsia"/>
                <w:kern w:val="2"/>
                <w:sz w:val="24"/>
                <w:szCs w:val="24"/>
                <w:lang w:val="en-US" w:eastAsia="zh-CN" w:bidi="ar-SA"/>
              </w:rPr>
              <w:t>95%；时间一致性的同步精度&lt;10</w:t>
            </w:r>
            <w:r>
              <w:rPr>
                <w:rFonts w:ascii="仿宋" w:eastAsia="仿宋" w:hAnsi="仿宋" w:cs="仿宋" w:hint="eastAsia"/>
                <w:kern w:val="2"/>
                <w:sz w:val="24"/>
                <w:szCs w:val="24"/>
                <w:vertAlign w:val="superscript"/>
                <w:lang w:val="en-US" w:eastAsia="zh-CN" w:bidi="ar-SA"/>
              </w:rPr>
              <w:t>-7</w:t>
            </w:r>
            <w:r>
              <w:rPr>
                <w:rFonts w:ascii="仿宋" w:eastAsia="仿宋" w:hAnsi="仿宋" w:cs="仿宋" w:hint="eastAsia"/>
                <w:kern w:val="2"/>
                <w:sz w:val="24"/>
                <w:szCs w:val="24"/>
                <w:lang w:val="en-US" w:eastAsia="zh-CN" w:bidi="ar-SA"/>
              </w:rPr>
              <w:t>s；幅值一致性相对误差＜10%</w:t>
            </w:r>
          </w:p>
        </w:tc>
      </w:tr>
      <w:tr>
        <w:tblPrEx>
          <w:tblW w:w="4990" w:type="pct"/>
          <w:jc w:val="center"/>
          <w:tblCellMar>
            <w:top w:w="0" w:type="dxa"/>
            <w:left w:w="108" w:type="dxa"/>
            <w:bottom w:w="0" w:type="dxa"/>
            <w:right w:w="108" w:type="dxa"/>
          </w:tblCellMar>
          <w:tblLook w:val="0000"/>
        </w:tblPrEx>
        <w:trPr>
          <w:jc w:val="center"/>
        </w:trPr>
        <w:tc>
          <w:tcPr>
            <w:tcW w:w="1517"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可扩展性</w:t>
            </w:r>
          </w:p>
        </w:tc>
        <w:tc>
          <w:tcPr>
            <w:tcW w:w="3482"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积分放大倍数、滤波带宽等可程控。</w:t>
            </w:r>
          </w:p>
        </w:tc>
      </w:tr>
      <w:tr>
        <w:tblPrEx>
          <w:tblW w:w="4990" w:type="pct"/>
          <w:jc w:val="center"/>
          <w:tblCellMar>
            <w:top w:w="0" w:type="dxa"/>
            <w:left w:w="108" w:type="dxa"/>
            <w:bottom w:w="0" w:type="dxa"/>
            <w:right w:w="108" w:type="dxa"/>
          </w:tblCellMar>
          <w:tblLook w:val="0000"/>
        </w:tblPrEx>
        <w:trPr>
          <w:jc w:val="center"/>
        </w:trPr>
        <w:tc>
          <w:tcPr>
            <w:tcW w:w="1517"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抗干扰能力</w:t>
            </w:r>
          </w:p>
        </w:tc>
        <w:tc>
          <w:tcPr>
            <w:tcW w:w="3482"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满足EMC测试标准（5k-400kHz）</w:t>
            </w:r>
          </w:p>
        </w:tc>
      </w:tr>
      <w:tr>
        <w:tblPrEx>
          <w:tblW w:w="4990" w:type="pct"/>
          <w:jc w:val="center"/>
          <w:tblCellMar>
            <w:top w:w="0" w:type="dxa"/>
            <w:left w:w="108" w:type="dxa"/>
            <w:bottom w:w="0" w:type="dxa"/>
            <w:right w:w="108" w:type="dxa"/>
          </w:tblCellMar>
          <w:tblLook w:val="0000"/>
        </w:tblPrEx>
        <w:trPr>
          <w:jc w:val="center"/>
        </w:trPr>
        <w:tc>
          <w:tcPr>
            <w:tcW w:w="1517"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设备级质控</w:t>
            </w:r>
          </w:p>
        </w:tc>
        <w:tc>
          <w:tcPr>
            <w:tcW w:w="3482"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核心模块开展质控，输出质控标识</w:t>
            </w:r>
          </w:p>
        </w:tc>
      </w:tr>
      <w:tr>
        <w:tblPrEx>
          <w:tblW w:w="4990" w:type="pct"/>
          <w:jc w:val="center"/>
          <w:tblCellMar>
            <w:top w:w="0" w:type="dxa"/>
            <w:left w:w="108" w:type="dxa"/>
            <w:bottom w:w="0" w:type="dxa"/>
            <w:right w:w="108" w:type="dxa"/>
          </w:tblCellMar>
          <w:tblLook w:val="0000"/>
        </w:tblPrEx>
        <w:trPr>
          <w:jc w:val="center"/>
        </w:trPr>
        <w:tc>
          <w:tcPr>
            <w:tcW w:w="1517"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工作方式</w:t>
            </w:r>
          </w:p>
        </w:tc>
        <w:tc>
          <w:tcPr>
            <w:tcW w:w="3482"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自动、连续、实时测量，无人值守</w:t>
            </w:r>
          </w:p>
        </w:tc>
      </w:tr>
      <w:tr>
        <w:tblPrEx>
          <w:tblW w:w="4990" w:type="pct"/>
          <w:jc w:val="center"/>
          <w:tblCellMar>
            <w:top w:w="0" w:type="dxa"/>
            <w:left w:w="108" w:type="dxa"/>
            <w:bottom w:w="0" w:type="dxa"/>
            <w:right w:w="108" w:type="dxa"/>
          </w:tblCellMar>
          <w:tblLook w:val="0000"/>
        </w:tblPrEx>
        <w:trPr>
          <w:jc w:val="center"/>
        </w:trPr>
        <w:tc>
          <w:tcPr>
            <w:tcW w:w="1517"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使用寿命</w:t>
            </w:r>
          </w:p>
        </w:tc>
        <w:tc>
          <w:tcPr>
            <w:tcW w:w="3482" w:type="pct"/>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8年</w:t>
            </w:r>
          </w:p>
        </w:tc>
      </w:tr>
      <w:tr>
        <w:tblPrEx>
          <w:tblW w:w="4990" w:type="pct"/>
          <w:jc w:val="center"/>
          <w:tblCellMar>
            <w:top w:w="0" w:type="dxa"/>
            <w:left w:w="108" w:type="dxa"/>
            <w:bottom w:w="0" w:type="dxa"/>
            <w:right w:w="108" w:type="dxa"/>
          </w:tblCellMar>
          <w:tblLook w:val="0000"/>
        </w:tblPrEx>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pPr>
              <w:rPr>
                <w:rFonts w:ascii="仿宋" w:eastAsia="仿宋" w:hAnsi="仿宋" w:cs="仿宋" w:hint="eastAsia"/>
              </w:rPr>
            </w:pPr>
            <w:r>
              <w:rPr>
                <w:rFonts w:ascii="仿宋" w:eastAsia="仿宋" w:hAnsi="仿宋" w:cs="仿宋" w:hint="eastAsia"/>
                <w:sz w:val="24"/>
              </w:rPr>
              <w:t>提供接收机信噪比、增益、动态范围</w:t>
            </w:r>
          </w:p>
          <w:p>
            <w:pPr>
              <w:rPr>
                <w:rFonts w:ascii="仿宋" w:eastAsia="仿宋" w:hAnsi="仿宋" w:cs="仿宋" w:hint="eastAsia"/>
              </w:rPr>
            </w:pPr>
            <w:r>
              <w:rPr>
                <w:rFonts w:ascii="仿宋" w:eastAsia="仿宋" w:hAnsi="仿宋" w:cs="仿宋" w:hint="eastAsia"/>
                <w:color w:val="auto"/>
                <w:sz w:val="24"/>
                <w:szCs w:val="24"/>
                <w:lang w:val="en-US" w:eastAsia="zh-CN"/>
              </w:rPr>
              <w:t>提供单北斗技术证明及测试报告</w:t>
            </w:r>
          </w:p>
        </w:tc>
      </w:tr>
    </w:tbl>
    <w:p>
      <w:pPr>
        <w:spacing w:line="560" w:lineRule="exact"/>
        <w:ind w:firstLine="560" w:firstLineChars="200"/>
        <w:rPr>
          <w:rFonts w:ascii="仿宋" w:eastAsia="仿宋" w:hAnsi="仿宋" w:cs="仿宋" w:hint="eastAsia"/>
          <w:sz w:val="28"/>
          <w:szCs w:val="28"/>
        </w:rPr>
      </w:pPr>
      <w:bookmarkStart w:id="50" w:name="_Hlk193895004"/>
      <w:r>
        <w:rPr>
          <w:rFonts w:ascii="仿宋" w:eastAsia="仿宋" w:hAnsi="仿宋" w:cs="仿宋" w:hint="eastAsia"/>
          <w:sz w:val="28"/>
          <w:szCs w:val="28"/>
        </w:rPr>
        <w:t>四、质保服务要求</w:t>
      </w:r>
    </w:p>
    <w:p>
      <w:pPr>
        <w:adjustRightInd w:val="0"/>
        <w:spacing w:line="560" w:lineRule="exact"/>
        <w:ind w:firstLine="560" w:firstLineChars="200"/>
        <w:contextualSpacing/>
        <w:jc w:val="left"/>
        <w:rPr>
          <w:rFonts w:ascii="仿宋" w:eastAsia="仿宋" w:hAnsi="仿宋" w:cs="仿宋" w:hint="eastAsia"/>
          <w:sz w:val="28"/>
          <w:szCs w:val="28"/>
        </w:rPr>
      </w:pPr>
      <w:r>
        <w:rPr>
          <w:rFonts w:ascii="仿宋" w:eastAsia="仿宋" w:hAnsi="仿宋" w:cs="仿宋" w:hint="eastAsia"/>
          <w:sz w:val="28"/>
          <w:szCs w:val="28"/>
        </w:rPr>
        <w:t>4.1 设备建设</w:t>
      </w:r>
    </w:p>
    <w:p>
      <w:pPr>
        <w:tabs>
          <w:tab w:val="left" w:pos="7140"/>
        </w:tabs>
        <w:adjustRightInd w:val="0"/>
        <w:spacing w:line="560" w:lineRule="exact"/>
        <w:ind w:firstLine="560" w:firstLineChars="200"/>
        <w:contextualSpacing/>
        <w:jc w:val="left"/>
        <w:rPr>
          <w:rFonts w:ascii="仿宋" w:eastAsia="仿宋" w:hAnsi="仿宋" w:cs="仿宋" w:hint="eastAsia"/>
          <w:spacing w:val="-2"/>
          <w:sz w:val="28"/>
          <w:szCs w:val="28"/>
        </w:rPr>
      </w:pPr>
      <w:r>
        <w:rPr>
          <w:rFonts w:ascii="仿宋" w:eastAsia="仿宋" w:hAnsi="仿宋" w:cs="仿宋" w:hint="eastAsia"/>
          <w:sz w:val="28"/>
          <w:szCs w:val="28"/>
        </w:rPr>
        <w:t>设备供应商对投标产品技术指标要求、采购人质量服务要求及项目建设特点应有全面、深入的理解</w:t>
      </w:r>
      <w:r>
        <w:rPr>
          <w:rFonts w:ascii="仿宋" w:eastAsia="仿宋" w:hAnsi="仿宋" w:cs="仿宋" w:hint="eastAsia"/>
          <w:kern w:val="0"/>
          <w:sz w:val="28"/>
          <w:szCs w:val="28"/>
        </w:rPr>
        <w:t>。</w:t>
      </w:r>
      <w:r>
        <w:rPr>
          <w:rFonts w:ascii="仿宋" w:eastAsia="仿宋" w:hAnsi="仿宋" w:cs="仿宋" w:hint="eastAsia"/>
          <w:sz w:val="28"/>
          <w:szCs w:val="28"/>
        </w:rPr>
        <w:t>设备供应商需提供详细项目建设方案，包括但不限于：</w:t>
      </w:r>
      <w:r>
        <w:rPr>
          <w:rFonts w:ascii="仿宋" w:eastAsia="仿宋" w:hAnsi="仿宋" w:cs="仿宋" w:hint="eastAsia"/>
          <w:kern w:val="0"/>
          <w:sz w:val="28"/>
          <w:szCs w:val="28"/>
        </w:rPr>
        <w:t>产品质量检测方案、</w:t>
      </w:r>
      <w:r>
        <w:rPr>
          <w:rFonts w:ascii="仿宋" w:eastAsia="仿宋" w:hAnsi="仿宋" w:cs="仿宋" w:hint="eastAsia"/>
          <w:sz w:val="28"/>
          <w:szCs w:val="28"/>
        </w:rPr>
        <w:t>设备安装建设方案、</w:t>
      </w:r>
      <w:r>
        <w:rPr>
          <w:rFonts w:ascii="仿宋" w:eastAsia="仿宋" w:hAnsi="仿宋" w:cs="仿宋" w:hint="eastAsia"/>
          <w:color w:val="FF0000"/>
          <w:sz w:val="28"/>
          <w:szCs w:val="28"/>
          <w:lang w:val="en-US" w:eastAsia="zh-CN"/>
        </w:rPr>
        <w:t>数据处理系统软件安装建设方案、</w:t>
      </w:r>
      <w:r>
        <w:rPr>
          <w:rFonts w:ascii="仿宋" w:eastAsia="仿宋" w:hAnsi="仿宋" w:cs="仿宋" w:hint="eastAsia"/>
          <w:sz w:val="28"/>
          <w:szCs w:val="28"/>
        </w:rPr>
        <w:t>建设工期安排、工期保证措施等。由设备供应商负责</w:t>
      </w:r>
      <w:r>
        <w:rPr>
          <w:rFonts w:ascii="仿宋" w:eastAsia="仿宋" w:hAnsi="仿宋" w:cs="仿宋" w:hint="eastAsia"/>
          <w:color w:val="FF0000"/>
          <w:sz w:val="28"/>
          <w:szCs w:val="28"/>
        </w:rPr>
        <w:t>设备</w:t>
      </w:r>
      <w:r>
        <w:rPr>
          <w:rFonts w:ascii="仿宋" w:eastAsia="仿宋" w:hAnsi="仿宋" w:cs="仿宋" w:hint="eastAsia"/>
          <w:color w:val="FF0000"/>
          <w:sz w:val="28"/>
          <w:szCs w:val="28"/>
          <w:lang w:val="en-US" w:eastAsia="zh-CN"/>
        </w:rPr>
        <w:t>及数据处理系统软件的</w:t>
      </w:r>
      <w:r>
        <w:rPr>
          <w:rFonts w:ascii="仿宋" w:eastAsia="仿宋" w:hAnsi="仿宋" w:cs="仿宋" w:hint="eastAsia"/>
          <w:color w:val="FF0000"/>
          <w:sz w:val="28"/>
          <w:szCs w:val="28"/>
        </w:rPr>
        <w:t>安装、</w:t>
      </w:r>
      <w:r>
        <w:rPr>
          <w:rFonts w:ascii="仿宋" w:eastAsia="仿宋" w:hAnsi="仿宋" w:cs="仿宋" w:hint="eastAsia"/>
          <w:color w:val="auto"/>
          <w:sz w:val="28"/>
          <w:szCs w:val="28"/>
        </w:rPr>
        <w:t>调试</w:t>
      </w:r>
      <w:r>
        <w:rPr>
          <w:rFonts w:ascii="仿宋" w:eastAsia="仿宋" w:hAnsi="仿宋" w:cs="仿宋" w:hint="eastAsia"/>
          <w:color w:val="auto"/>
          <w:sz w:val="28"/>
          <w:szCs w:val="28"/>
          <w:lang w:eastAsia="zh-CN"/>
        </w:rPr>
        <w:t>、</w:t>
      </w:r>
      <w:r>
        <w:rPr>
          <w:rFonts w:ascii="仿宋" w:eastAsia="仿宋" w:hAnsi="仿宋" w:cs="仿宋" w:hint="eastAsia"/>
          <w:color w:val="FF0000"/>
          <w:sz w:val="28"/>
          <w:szCs w:val="28"/>
          <w:lang w:val="en-US" w:eastAsia="zh-CN"/>
        </w:rPr>
        <w:t>设备融入国家级雷电业务、</w:t>
      </w:r>
      <w:r>
        <w:rPr>
          <w:rFonts w:ascii="仿宋" w:eastAsia="仿宋" w:hAnsi="仿宋" w:cs="仿宋" w:hint="eastAsia"/>
          <w:color w:val="FF0000"/>
          <w:sz w:val="28"/>
          <w:szCs w:val="28"/>
        </w:rPr>
        <w:t>数据处理系统</w:t>
      </w:r>
      <w:r>
        <w:rPr>
          <w:rFonts w:ascii="仿宋" w:eastAsia="仿宋" w:hAnsi="仿宋" w:cs="仿宋" w:hint="eastAsia"/>
          <w:color w:val="FF0000"/>
          <w:sz w:val="28"/>
          <w:szCs w:val="28"/>
          <w:lang w:val="en-US" w:eastAsia="zh-CN"/>
        </w:rPr>
        <w:t>与国家级雷电业务软件集成适应性改造</w:t>
      </w:r>
      <w:r>
        <w:rPr>
          <w:rFonts w:ascii="仿宋" w:eastAsia="仿宋" w:hAnsi="仿宋" w:cs="仿宋" w:hint="eastAsia"/>
          <w:sz w:val="28"/>
          <w:szCs w:val="28"/>
        </w:rPr>
        <w:t>等工作，</w:t>
      </w:r>
      <w:r>
        <w:rPr>
          <w:rFonts w:ascii="仿宋" w:eastAsia="仿宋" w:hAnsi="仿宋" w:cs="仿宋" w:hint="eastAsia"/>
          <w:spacing w:val="-2"/>
          <w:sz w:val="28"/>
          <w:szCs w:val="28"/>
        </w:rPr>
        <w:t>用户方负责提供安装场地、供电及通讯，设备安装调试、验收等相关工作,费用由</w:t>
      </w:r>
      <w:r>
        <w:rPr>
          <w:rFonts w:ascii="仿宋" w:eastAsia="仿宋" w:hAnsi="仿宋" w:cs="仿宋" w:hint="eastAsia"/>
          <w:sz w:val="28"/>
          <w:szCs w:val="28"/>
        </w:rPr>
        <w:t>设备供应商</w:t>
      </w:r>
      <w:r>
        <w:rPr>
          <w:rFonts w:ascii="仿宋" w:eastAsia="仿宋" w:hAnsi="仿宋" w:cs="仿宋" w:hint="eastAsia"/>
          <w:spacing w:val="-2"/>
          <w:sz w:val="28"/>
          <w:szCs w:val="28"/>
        </w:rPr>
        <w:t>负责。</w:t>
      </w:r>
      <w:r>
        <w:rPr>
          <w:rFonts w:ascii="仿宋" w:eastAsia="仿宋" w:hAnsi="仿宋" w:cs="仿宋" w:hint="eastAsia"/>
          <w:color w:val="FF0000"/>
          <w:sz w:val="28"/>
          <w:szCs w:val="28"/>
          <w:lang w:val="en-US" w:eastAsia="zh-CN"/>
        </w:rPr>
        <w:t>设备及数据处理系统软件</w:t>
      </w:r>
      <w:r>
        <w:rPr>
          <w:rFonts w:ascii="仿宋" w:eastAsia="仿宋" w:hAnsi="仿宋" w:cs="仿宋" w:hint="eastAsia"/>
          <w:spacing w:val="-2"/>
          <w:sz w:val="28"/>
          <w:szCs w:val="28"/>
        </w:rPr>
        <w:t>不合格或不符合质量要求，供应商除无条件退货、返工外，还应承担采购人的一切损失。</w:t>
      </w:r>
    </w:p>
    <w:p>
      <w:pPr>
        <w:adjustRightInd w:val="0"/>
        <w:spacing w:line="560" w:lineRule="exact"/>
        <w:ind w:firstLine="560" w:firstLineChars="200"/>
        <w:contextualSpacing/>
        <w:jc w:val="left"/>
        <w:rPr>
          <w:rFonts w:ascii="仿宋" w:eastAsia="仿宋" w:hAnsi="仿宋" w:cs="仿宋" w:hint="eastAsia"/>
          <w:sz w:val="28"/>
          <w:szCs w:val="28"/>
        </w:rPr>
      </w:pPr>
      <w:r>
        <w:rPr>
          <w:rFonts w:ascii="仿宋" w:eastAsia="仿宋" w:hAnsi="仿宋" w:cs="仿宋" w:hint="eastAsia"/>
          <w:sz w:val="28"/>
          <w:szCs w:val="28"/>
        </w:rPr>
        <w:t>4.2技术服务</w:t>
      </w:r>
    </w:p>
    <w:p>
      <w:pPr>
        <w:adjustRightInd w:val="0"/>
        <w:spacing w:line="560" w:lineRule="exact"/>
        <w:ind w:firstLine="560" w:firstLineChars="200"/>
        <w:contextualSpacing/>
        <w:jc w:val="left"/>
        <w:rPr>
          <w:rFonts w:ascii="仿宋" w:eastAsia="仿宋" w:hAnsi="仿宋" w:cs="仿宋" w:hint="eastAsia"/>
          <w:sz w:val="28"/>
          <w:szCs w:val="28"/>
        </w:rPr>
      </w:pPr>
      <w:r>
        <w:rPr>
          <w:rFonts w:ascii="仿宋" w:eastAsia="仿宋" w:hAnsi="仿宋" w:cs="仿宋" w:hint="eastAsia"/>
          <w:sz w:val="28"/>
          <w:szCs w:val="28"/>
        </w:rPr>
        <w:t>（1）设备供应商需提供详细技术服务方案，包括但不限于：设备安装建设规范、设备工作原理、设备部件结构组成、设备操作手册、设备运行维护手册、设备软件使用手册、</w:t>
      </w:r>
      <w:r>
        <w:rPr>
          <w:rFonts w:ascii="仿宋" w:eastAsia="仿宋" w:hAnsi="仿宋" w:cs="仿宋" w:hint="eastAsia"/>
          <w:color w:val="auto"/>
          <w:sz w:val="28"/>
          <w:szCs w:val="28"/>
          <w:lang w:val="en-US" w:eastAsia="zh-CN"/>
        </w:rPr>
        <w:t>设备融入国家级雷电业务的技术方案、</w:t>
      </w:r>
      <w:r>
        <w:rPr>
          <w:rFonts w:ascii="仿宋" w:eastAsia="仿宋" w:hAnsi="仿宋" w:cs="仿宋" w:hint="eastAsia"/>
          <w:color w:val="auto"/>
          <w:sz w:val="28"/>
          <w:szCs w:val="28"/>
        </w:rPr>
        <w:t>数据处理系统</w:t>
      </w:r>
      <w:r>
        <w:rPr>
          <w:rFonts w:ascii="仿宋" w:eastAsia="仿宋" w:hAnsi="仿宋" w:cs="仿宋" w:hint="eastAsia"/>
          <w:color w:val="auto"/>
          <w:sz w:val="28"/>
          <w:szCs w:val="28"/>
          <w:lang w:val="en-US" w:eastAsia="zh-CN"/>
        </w:rPr>
        <w:t>使用手册、</w:t>
      </w:r>
      <w:r>
        <w:rPr>
          <w:rFonts w:ascii="仿宋" w:eastAsia="仿宋" w:hAnsi="仿宋" w:cs="仿宋" w:hint="eastAsia"/>
          <w:color w:val="auto"/>
          <w:sz w:val="28"/>
          <w:szCs w:val="28"/>
        </w:rPr>
        <w:t>数据处理系统</w:t>
      </w:r>
      <w:r>
        <w:rPr>
          <w:rFonts w:ascii="仿宋" w:eastAsia="仿宋" w:hAnsi="仿宋" w:cs="仿宋" w:hint="eastAsia"/>
          <w:color w:val="auto"/>
          <w:sz w:val="28"/>
          <w:szCs w:val="28"/>
          <w:lang w:val="en-US" w:eastAsia="zh-CN"/>
        </w:rPr>
        <w:t>与国家级雷电业务软件集成</w:t>
      </w:r>
      <w:r>
        <w:rPr>
          <w:rFonts w:ascii="仿宋" w:eastAsia="仿宋" w:hAnsi="仿宋" w:cs="仿宋" w:hint="eastAsia"/>
          <w:color w:val="FF0000"/>
          <w:sz w:val="28"/>
          <w:szCs w:val="28"/>
          <w:highlight w:val="none"/>
          <w:lang w:val="en-US" w:eastAsia="zh-CN"/>
        </w:rPr>
        <w:t>适应性改造</w:t>
      </w:r>
      <w:r>
        <w:rPr>
          <w:rFonts w:ascii="仿宋" w:eastAsia="仿宋" w:hAnsi="仿宋" w:cs="仿宋" w:hint="eastAsia"/>
          <w:color w:val="auto"/>
          <w:sz w:val="28"/>
          <w:szCs w:val="28"/>
          <w:lang w:val="en-US" w:eastAsia="zh-CN"/>
        </w:rPr>
        <w:t>技术方案、</w:t>
      </w:r>
      <w:r>
        <w:rPr>
          <w:rFonts w:ascii="仿宋" w:eastAsia="仿宋" w:hAnsi="仿宋" w:cs="仿宋" w:hint="eastAsia"/>
          <w:color w:val="auto"/>
          <w:sz w:val="28"/>
          <w:szCs w:val="28"/>
        </w:rPr>
        <w:t>数据处理系统</w:t>
      </w:r>
      <w:r>
        <w:rPr>
          <w:rFonts w:ascii="仿宋" w:eastAsia="仿宋" w:hAnsi="仿宋" w:cs="仿宋" w:hint="eastAsia"/>
          <w:color w:val="auto"/>
          <w:sz w:val="28"/>
          <w:szCs w:val="28"/>
          <w:lang w:val="en-US" w:eastAsia="zh-CN"/>
        </w:rPr>
        <w:t>核心算法说明及功能和性能测试评估技术报告、</w:t>
      </w:r>
      <w:r>
        <w:rPr>
          <w:rFonts w:ascii="仿宋" w:eastAsia="仿宋" w:hAnsi="仿宋" w:cs="仿宋" w:hint="eastAsia"/>
          <w:color w:val="auto"/>
          <w:sz w:val="28"/>
          <w:szCs w:val="28"/>
        </w:rPr>
        <w:t>数据处理系统相关产品算法说明文档等</w:t>
      </w:r>
      <w:r>
        <w:rPr>
          <w:rFonts w:ascii="仿宋" w:eastAsia="仿宋" w:hAnsi="仿宋" w:cs="仿宋" w:hint="eastAsia"/>
          <w:sz w:val="28"/>
          <w:szCs w:val="28"/>
        </w:rPr>
        <w:t>。</w:t>
      </w:r>
    </w:p>
    <w:p>
      <w:pPr>
        <w:adjustRightInd w:val="0"/>
        <w:spacing w:line="560" w:lineRule="exact"/>
        <w:ind w:firstLine="560" w:firstLineChars="200"/>
        <w:contextualSpacing/>
        <w:jc w:val="left"/>
        <w:rPr>
          <w:rFonts w:ascii="仿宋" w:eastAsia="仿宋" w:hAnsi="仿宋" w:cs="仿宋" w:hint="eastAsia"/>
          <w:sz w:val="28"/>
          <w:szCs w:val="28"/>
        </w:rPr>
      </w:pPr>
      <w:r>
        <w:rPr>
          <w:rFonts w:ascii="仿宋" w:eastAsia="仿宋" w:hAnsi="仿宋" w:cs="仿宋" w:hint="eastAsia"/>
          <w:sz w:val="28"/>
          <w:szCs w:val="28"/>
        </w:rPr>
        <w:t>（2）设备供应商需提供详细售后服务方案</w:t>
      </w:r>
      <w:r>
        <w:rPr>
          <w:rFonts w:ascii="仿宋" w:eastAsia="仿宋" w:hAnsi="仿宋" w:cs="仿宋" w:hint="eastAsia"/>
          <w:color w:val="FF0000"/>
          <w:sz w:val="28"/>
          <w:szCs w:val="28"/>
          <w:lang w:val="en-US" w:eastAsia="zh-CN"/>
        </w:rPr>
        <w:t>（含设备与国家雷电业务的接入及维护和系统评估、数据处理系统与国家业务软件的集成适应性改造及维护和系统评估）</w:t>
      </w:r>
      <w:r>
        <w:rPr>
          <w:rFonts w:ascii="仿宋" w:eastAsia="仿宋" w:hAnsi="仿宋" w:cs="仿宋" w:hint="eastAsia"/>
          <w:color w:val="FF0000"/>
          <w:sz w:val="28"/>
          <w:szCs w:val="28"/>
        </w:rPr>
        <w:t>，</w:t>
      </w:r>
      <w:r>
        <w:rPr>
          <w:rFonts w:ascii="仿宋" w:eastAsia="仿宋" w:hAnsi="仿宋" w:cs="仿宋" w:hint="eastAsia"/>
          <w:sz w:val="28"/>
          <w:szCs w:val="28"/>
        </w:rPr>
        <w:t>包括设备售后服务组织机构、人员组成、技术支持文档等。其中，售后服务组织机构设置合理，</w:t>
      </w:r>
      <w:r>
        <w:rPr>
          <w:rFonts w:ascii="仿宋" w:eastAsia="仿宋" w:hAnsi="仿宋" w:cs="仿宋" w:hint="eastAsia"/>
          <w:color w:val="FF0000"/>
          <w:sz w:val="28"/>
          <w:szCs w:val="28"/>
          <w:lang w:val="en-US" w:eastAsia="zh-CN"/>
        </w:rPr>
        <w:t>服务内容完整</w:t>
      </w:r>
      <w:r>
        <w:rPr>
          <w:rFonts w:ascii="仿宋" w:eastAsia="仿宋" w:hAnsi="仿宋" w:cs="仿宋" w:hint="eastAsia"/>
          <w:color w:val="0000FF"/>
          <w:sz w:val="28"/>
          <w:szCs w:val="28"/>
          <w:lang w:val="en-US" w:eastAsia="zh-CN"/>
        </w:rPr>
        <w:t>、</w:t>
      </w:r>
      <w:r>
        <w:rPr>
          <w:rFonts w:ascii="仿宋" w:eastAsia="仿宋" w:hAnsi="仿宋" w:cs="仿宋" w:hint="eastAsia"/>
          <w:sz w:val="28"/>
          <w:szCs w:val="28"/>
        </w:rPr>
        <w:t>人员技术能力强，技术文档内容全面。</w:t>
      </w:r>
    </w:p>
    <w:p>
      <w:pPr>
        <w:adjustRightInd w:val="0"/>
        <w:spacing w:line="560" w:lineRule="exact"/>
        <w:ind w:firstLine="560" w:firstLineChars="200"/>
        <w:contextualSpacing/>
        <w:jc w:val="left"/>
        <w:rPr>
          <w:rFonts w:ascii="仿宋" w:eastAsia="仿宋" w:hAnsi="仿宋" w:cs="仿宋" w:hint="eastAsia"/>
          <w:sz w:val="28"/>
          <w:szCs w:val="28"/>
        </w:rPr>
      </w:pPr>
      <w:r>
        <w:rPr>
          <w:rFonts w:ascii="仿宋" w:eastAsia="仿宋" w:hAnsi="仿宋" w:cs="仿宋" w:hint="eastAsia"/>
          <w:sz w:val="28"/>
          <w:szCs w:val="28"/>
        </w:rPr>
        <w:t>（3）设备供应商对每套投标产品提供至少2次技术培训，培训内容包括设备</w:t>
      </w:r>
      <w:r>
        <w:rPr>
          <w:rFonts w:ascii="仿宋" w:eastAsia="仿宋" w:hAnsi="仿宋" w:cs="仿宋" w:hint="eastAsia"/>
          <w:color w:val="FF0000"/>
          <w:sz w:val="28"/>
          <w:szCs w:val="28"/>
          <w:lang w:val="en-US" w:eastAsia="zh-CN"/>
        </w:rPr>
        <w:t>及数据处理系统软件</w:t>
      </w:r>
      <w:r>
        <w:rPr>
          <w:rFonts w:ascii="仿宋" w:eastAsia="仿宋" w:hAnsi="仿宋" w:cs="仿宋" w:hint="eastAsia"/>
          <w:sz w:val="28"/>
          <w:szCs w:val="28"/>
        </w:rPr>
        <w:t>安装、使用、日常维护、观测原理及产品应用，培训时间及地点双方协商确定。</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（4）设备供应商提供数据处理系统核心算法源码，以及</w:t>
      </w:r>
      <w:r>
        <w:rPr>
          <w:rFonts w:ascii="仿宋" w:eastAsia="仿宋" w:hAnsi="仿宋" w:cs="仿宋" w:hint="eastAsia"/>
          <w:sz w:val="28"/>
          <w:szCs w:val="28"/>
          <w:lang w:val="en-US" w:eastAsia="zh-CN"/>
        </w:rPr>
        <w:t>与国家级雷电业务软件</w:t>
      </w:r>
      <w:r>
        <w:rPr>
          <w:rFonts w:ascii="仿宋" w:eastAsia="仿宋" w:hAnsi="仿宋" w:cs="仿宋" w:hint="eastAsia"/>
          <w:sz w:val="28"/>
          <w:szCs w:val="28"/>
        </w:rPr>
        <w:t>集成</w:t>
      </w:r>
      <w:r>
        <w:rPr>
          <w:rFonts w:ascii="仿宋" w:eastAsia="仿宋" w:hAnsi="仿宋" w:cs="仿宋" w:hint="eastAsia"/>
          <w:color w:val="FF0000"/>
          <w:sz w:val="28"/>
          <w:szCs w:val="28"/>
          <w:lang w:val="en-US" w:eastAsia="zh-CN"/>
        </w:rPr>
        <w:t>适应性改造</w:t>
      </w:r>
      <w:r>
        <w:rPr>
          <w:rFonts w:ascii="仿宋" w:eastAsia="仿宋" w:hAnsi="仿宋" w:cs="仿宋" w:hint="eastAsia"/>
          <w:sz w:val="28"/>
          <w:szCs w:val="28"/>
        </w:rPr>
        <w:t>相关服务和技术支持。</w:t>
      </w:r>
    </w:p>
    <w:p>
      <w:pPr>
        <w:adjustRightInd w:val="0"/>
        <w:spacing w:line="560" w:lineRule="exact"/>
        <w:ind w:firstLine="560" w:firstLineChars="200"/>
        <w:contextualSpacing/>
        <w:jc w:val="left"/>
        <w:rPr>
          <w:rFonts w:ascii="仿宋" w:eastAsia="仿宋" w:hAnsi="仿宋" w:cs="仿宋" w:hint="eastAsia"/>
          <w:sz w:val="28"/>
          <w:szCs w:val="28"/>
        </w:rPr>
      </w:pPr>
      <w:r>
        <w:rPr>
          <w:rFonts w:ascii="仿宋" w:eastAsia="仿宋" w:hAnsi="仿宋" w:cs="仿宋" w:hint="eastAsia"/>
          <w:sz w:val="28"/>
          <w:szCs w:val="28"/>
        </w:rPr>
        <w:t xml:space="preserve">4.3 </w:t>
      </w:r>
      <w:r>
        <w:rPr>
          <w:rFonts w:ascii="仿宋" w:eastAsia="仿宋" w:hAnsi="仿宋" w:cs="仿宋" w:hint="eastAsia"/>
          <w:bCs/>
          <w:sz w:val="28"/>
          <w:szCs w:val="28"/>
        </w:rPr>
        <w:t>质保期服务*</w:t>
      </w:r>
    </w:p>
    <w:p>
      <w:pPr>
        <w:widowControl/>
        <w:adjustRightInd w:val="0"/>
        <w:spacing w:line="560" w:lineRule="exact"/>
        <w:ind w:firstLine="560" w:firstLineChars="200"/>
        <w:contextualSpacing/>
        <w:jc w:val="left"/>
        <w:rPr>
          <w:rFonts w:ascii="仿宋" w:eastAsia="仿宋" w:hAnsi="仿宋" w:cs="仿宋" w:hint="eastAsia"/>
          <w:sz w:val="28"/>
          <w:szCs w:val="28"/>
        </w:rPr>
      </w:pPr>
      <w:r>
        <w:rPr>
          <w:rFonts w:ascii="仿宋" w:eastAsia="仿宋" w:hAnsi="仿宋" w:cs="仿宋" w:hint="eastAsia"/>
          <w:sz w:val="28"/>
          <w:szCs w:val="28"/>
        </w:rPr>
        <w:t>（1）</w:t>
      </w:r>
      <w:r>
        <w:rPr>
          <w:rFonts w:ascii="仿宋" w:eastAsia="仿宋" w:hAnsi="仿宋" w:cs="仿宋" w:hint="eastAsia"/>
          <w:sz w:val="28"/>
          <w:szCs w:val="28"/>
          <w:highlight w:val="yellow"/>
        </w:rPr>
        <w:t>设备供应商对所有设备提供自验收合格后8年的免费维护维修服务</w:t>
      </w:r>
      <w:r>
        <w:rPr>
          <w:rFonts w:ascii="仿宋" w:eastAsia="仿宋" w:hAnsi="仿宋" w:cs="仿宋" w:hint="eastAsia"/>
          <w:b/>
          <w:kern w:val="0"/>
          <w:sz w:val="28"/>
          <w:szCs w:val="28"/>
          <w:highlight w:val="yellow"/>
        </w:rPr>
        <w:t>*</w:t>
      </w:r>
      <w:r>
        <w:rPr>
          <w:rFonts w:ascii="仿宋" w:eastAsia="仿宋" w:hAnsi="仿宋" w:cs="仿宋" w:hint="eastAsia"/>
          <w:sz w:val="28"/>
          <w:szCs w:val="28"/>
          <w:highlight w:val="yellow"/>
        </w:rPr>
        <w:t>，并提供相关承诺函。</w:t>
      </w:r>
      <w:r>
        <w:rPr>
          <w:rFonts w:ascii="仿宋" w:eastAsia="仿宋" w:hAnsi="仿宋" w:cs="仿宋" w:hint="eastAsia"/>
          <w:sz w:val="28"/>
          <w:szCs w:val="28"/>
        </w:rPr>
        <w:t>按照业务运行规范要求执行，确保设备</w:t>
      </w:r>
      <w:r>
        <w:rPr>
          <w:rFonts w:ascii="仿宋" w:eastAsia="仿宋" w:hAnsi="仿宋" w:cs="仿宋" w:hint="eastAsia"/>
          <w:color w:val="FF0000"/>
          <w:sz w:val="28"/>
          <w:szCs w:val="28"/>
          <w:lang w:val="en-US" w:eastAsia="zh-CN"/>
        </w:rPr>
        <w:t>及数据处理系统</w:t>
      </w:r>
      <w:r>
        <w:rPr>
          <w:rFonts w:ascii="仿宋" w:eastAsia="仿宋" w:hAnsi="仿宋" w:cs="仿宋" w:hint="eastAsia"/>
          <w:sz w:val="28"/>
          <w:szCs w:val="28"/>
        </w:rPr>
        <w:t>可稳定运行，主要工作包括：汛前巡检、周维护、月维护、年维护等巡检巡查工作，以及关键器件及系统故障的维修</w:t>
      </w:r>
      <w:r>
        <w:rPr>
          <w:rFonts w:ascii="仿宋" w:eastAsia="仿宋" w:hAnsi="仿宋" w:cs="仿宋" w:hint="eastAsia"/>
          <w:sz w:val="28"/>
          <w:szCs w:val="28"/>
          <w:lang w:eastAsia="zh-CN"/>
        </w:rPr>
        <w:t>、</w:t>
      </w:r>
      <w:r>
        <w:rPr>
          <w:rFonts w:ascii="仿宋" w:eastAsia="仿宋" w:hAnsi="仿宋" w:cs="仿宋" w:hint="eastAsia"/>
          <w:color w:val="FF0000"/>
          <w:sz w:val="28"/>
          <w:szCs w:val="28"/>
          <w:lang w:val="en-US" w:eastAsia="zh-CN"/>
        </w:rPr>
        <w:t>数据处理系统的维护和故障修复、观测及定位数据对比分析评估</w:t>
      </w:r>
      <w:r>
        <w:rPr>
          <w:rFonts w:ascii="仿宋" w:eastAsia="仿宋" w:hAnsi="仿宋" w:cs="仿宋" w:hint="eastAsia"/>
          <w:sz w:val="28"/>
          <w:szCs w:val="28"/>
        </w:rPr>
        <w:t>等。</w:t>
      </w:r>
    </w:p>
    <w:p>
      <w:pPr>
        <w:adjustRightInd w:val="0"/>
        <w:spacing w:line="560" w:lineRule="exact"/>
        <w:ind w:firstLine="560" w:firstLineChars="200"/>
        <w:contextualSpacing/>
        <w:jc w:val="left"/>
        <w:rPr>
          <w:rFonts w:ascii="仿宋" w:eastAsia="仿宋" w:hAnsi="仿宋" w:cs="仿宋" w:hint="eastAsia"/>
          <w:sz w:val="28"/>
          <w:szCs w:val="28"/>
        </w:rPr>
      </w:pPr>
      <w:r>
        <w:rPr>
          <w:rFonts w:ascii="仿宋" w:eastAsia="仿宋" w:hAnsi="仿宋" w:cs="仿宋" w:hint="eastAsia"/>
          <w:sz w:val="28"/>
          <w:szCs w:val="28"/>
        </w:rPr>
        <w:t>（2）在质保期内，设备供应商服务时间应为 7</w:t>
      </w:r>
      <w:r>
        <w:rPr>
          <w:rFonts w:ascii="仿宋" w:eastAsia="仿宋" w:hAnsi="仿宋" w:cs="仿宋" w:hint="eastAsia"/>
          <w:sz w:val="28"/>
          <w:szCs w:val="28"/>
        </w:rPr>
        <w:t>×</w:t>
      </w:r>
      <w:r>
        <w:rPr>
          <w:rFonts w:ascii="仿宋" w:eastAsia="仿宋" w:hAnsi="仿宋" w:cs="仿宋" w:hint="eastAsia"/>
          <w:sz w:val="28"/>
          <w:szCs w:val="28"/>
        </w:rPr>
        <w:t xml:space="preserve">24小时，当投标产品或软件遭到损坏或出现故障时，要在用户报修之时起4小时内做出响应，开展维修维护工作，视情况双方协商设备恢复正常运行时限。 </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（3）质保期过后，设备供应商仍有义务提供技术服务（包括</w:t>
      </w:r>
      <w:r>
        <w:rPr>
          <w:rFonts w:ascii="仿宋" w:eastAsia="仿宋" w:hAnsi="仿宋" w:cs="仿宋" w:hint="eastAsia"/>
          <w:color w:val="FF0000"/>
          <w:sz w:val="28"/>
          <w:szCs w:val="28"/>
          <w:lang w:val="en-US" w:eastAsia="zh-CN"/>
        </w:rPr>
        <w:t>数据处理系统升级更新、观测及定位数据对比分析评估、</w:t>
      </w:r>
      <w:r>
        <w:rPr>
          <w:rFonts w:ascii="仿宋" w:eastAsia="仿宋" w:hAnsi="仿宋" w:cs="仿宋" w:hint="eastAsia"/>
          <w:sz w:val="28"/>
          <w:szCs w:val="28"/>
        </w:rPr>
        <w:t>提供设备维护、备件等）。</w:t>
      </w:r>
    </w:p>
    <w:p>
      <w:pPr>
        <w:spacing w:line="560" w:lineRule="exact"/>
        <w:ind w:firstLine="560" w:firstLineChars="200"/>
        <w:rPr>
          <w:rFonts w:ascii="仿宋" w:eastAsia="仿宋" w:hAnsi="仿宋" w:cs="仿宋" w:hint="eastAsia"/>
          <w:sz w:val="28"/>
          <w:szCs w:val="28"/>
        </w:rPr>
      </w:pPr>
      <w:bookmarkEnd w:id="50"/>
      <w:r>
        <w:rPr>
          <w:rFonts w:ascii="仿宋" w:eastAsia="仿宋" w:hAnsi="仿宋" w:cs="仿宋" w:hint="eastAsia"/>
          <w:sz w:val="28"/>
          <w:szCs w:val="28"/>
        </w:rPr>
        <w:t>五、验收要求（检验考核要求等）</w:t>
      </w:r>
    </w:p>
    <w:p>
      <w:pPr>
        <w:tabs>
          <w:tab w:val="left" w:pos="7140"/>
        </w:tabs>
        <w:adjustRightInd w:val="0"/>
        <w:spacing w:line="560" w:lineRule="exact"/>
        <w:ind w:firstLine="560" w:firstLineChars="200"/>
        <w:contextualSpacing/>
        <w:jc w:val="left"/>
        <w:rPr>
          <w:rFonts w:ascii="仿宋" w:eastAsia="仿宋" w:hAnsi="仿宋" w:cs="仿宋" w:hint="eastAsia"/>
          <w:spacing w:val="-2"/>
          <w:sz w:val="28"/>
          <w:szCs w:val="28"/>
        </w:rPr>
      </w:pPr>
      <w:bookmarkStart w:id="51" w:name="_Hlk168594784"/>
      <w:r>
        <w:rPr>
          <w:rFonts w:ascii="仿宋" w:eastAsia="仿宋" w:hAnsi="仿宋" w:cs="仿宋" w:hint="eastAsia"/>
          <w:color w:val="FF0000"/>
          <w:spacing w:val="-2"/>
          <w:sz w:val="28"/>
          <w:szCs w:val="28"/>
          <w:lang w:val="en-US" w:eastAsia="zh-CN"/>
        </w:rPr>
        <w:t>按照业务要求，完成</w:t>
      </w:r>
      <w:r>
        <w:rPr>
          <w:rFonts w:ascii="仿宋" w:eastAsia="仿宋" w:hAnsi="仿宋" w:cs="仿宋" w:hint="eastAsia"/>
          <w:color w:val="FF0000"/>
          <w:sz w:val="28"/>
          <w:szCs w:val="28"/>
          <w:lang w:val="en-US" w:eastAsia="zh-CN"/>
        </w:rPr>
        <w:t>设备与国家雷电业务的接入和数据处理系统与国家业务软件的集成适应性改造，完成</w:t>
      </w:r>
      <w:r>
        <w:rPr>
          <w:rFonts w:ascii="仿宋" w:eastAsia="仿宋" w:hAnsi="仿宋" w:cs="仿宋" w:hint="eastAsia"/>
          <w:color w:val="FF0000"/>
          <w:spacing w:val="-2"/>
          <w:sz w:val="28"/>
          <w:szCs w:val="28"/>
          <w:lang w:val="en-US" w:eastAsia="zh-CN"/>
        </w:rPr>
        <w:t>设备及数据处理系统平行对比观测评估，数据完整性、探测效率、定位精度、定位正确率、定位处理时效等指标符合</w:t>
      </w:r>
      <w:r>
        <w:rPr>
          <w:rFonts w:ascii="仿宋" w:eastAsia="仿宋" w:hAnsi="仿宋" w:cs="仿宋" w:hint="eastAsia"/>
          <w:color w:val="FF0000"/>
          <w:sz w:val="28"/>
          <w:szCs w:val="20"/>
          <w:lang w:val="en-US" w:eastAsia="zh-CN"/>
        </w:rPr>
        <w:t>甲方相关要求和规范，</w:t>
      </w:r>
      <w:r>
        <w:rPr>
          <w:rFonts w:ascii="仿宋" w:eastAsia="仿宋" w:hAnsi="仿宋" w:cs="仿宋" w:hint="eastAsia"/>
          <w:spacing w:val="-2"/>
          <w:sz w:val="28"/>
          <w:szCs w:val="28"/>
        </w:rPr>
        <w:t>参照《甚低频/低频（VLF/LF）全闪定位仪功能规格需求书》</w:t>
      </w:r>
      <w:r>
        <w:rPr>
          <w:rFonts w:ascii="仿宋" w:eastAsia="仿宋" w:hAnsi="仿宋" w:cs="仿宋" w:hint="eastAsia"/>
          <w:spacing w:val="-2"/>
          <w:sz w:val="28"/>
          <w:szCs w:val="28"/>
          <w:lang w:eastAsia="zh-CN"/>
        </w:rPr>
        <w:t>、</w:t>
      </w:r>
      <w:r>
        <w:rPr>
          <w:rFonts w:ascii="仿宋" w:eastAsia="仿宋" w:hAnsi="仿宋" w:cs="仿宋" w:hint="eastAsia"/>
          <w:spacing w:val="-2"/>
          <w:sz w:val="28"/>
          <w:szCs w:val="28"/>
        </w:rPr>
        <w:t>《甚低频/低频（VLF/LF）全闪定位仪测试大纲》以及中国气象局最新业务管理规定等有关文件要求开展检验考核。</w:t>
      </w:r>
    </w:p>
    <w:p>
      <w:pPr>
        <w:spacing w:line="560" w:lineRule="exact"/>
        <w:ind w:firstLine="560" w:firstLineChars="200"/>
        <w:rPr>
          <w:rFonts w:ascii="仿宋" w:eastAsia="仿宋" w:hAnsi="仿宋" w:cs="仿宋" w:hint="eastAsia"/>
          <w:sz w:val="28"/>
          <w:szCs w:val="20"/>
        </w:rPr>
      </w:pPr>
      <w:bookmarkEnd w:id="51"/>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 xml:space="preserve">    详见采购需求-其他技术及商务需求。</w:t>
      </w:r>
    </w:p>
    <w:p>
      <w:pPr>
        <w:spacing w:line="560" w:lineRule="exact"/>
        <w:ind w:left="420" w:leftChars="200"/>
        <w:outlineLvl w:val="9"/>
        <w:rPr>
          <w:rFonts w:ascii="Times New Roman" w:hAnsi="Times New Roman" w:cs="Times New Roman" w:hint="default"/>
        </w:rPr>
      </w:pPr>
      <w:r>
        <w:rPr>
          <w:rFonts w:ascii="仿宋" w:eastAsia="仿宋" w:hAnsi="仿宋" w:cs="仿宋" w:hint="eastAsia"/>
          <w:sz w:val="28"/>
          <w:szCs w:val="20"/>
        </w:rPr>
        <w:t>采购需求 附表</w:t>
      </w:r>
    </w:p>
    <w:p w14:paraId="488C13C6">
      <w:pPr>
        <w:spacing w:line="360" w:lineRule="auto"/>
        <w:jc w:val="center"/>
        <w:rPr>
          <w:rFonts w:ascii="宋体" w:eastAsia="宋体" w:hAnsi="宋体" w:cs="Times New Roman" w:hint="eastAsia"/>
          <w:szCs w:val="21"/>
        </w:rPr>
      </w:pPr>
    </w:p>
    <w:p w14:paraId="43B91B77">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346"/>
        <w:gridCol w:w="1731"/>
        <w:gridCol w:w="568"/>
        <w:gridCol w:w="789"/>
        <w:gridCol w:w="900"/>
        <w:gridCol w:w="3282"/>
        <w:gridCol w:w="945"/>
      </w:tblGrid>
      <w:tr w14:paraId="18DC382B">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376DA0AA">
            <w:pPr>
              <w:autoSpaceDE w:val="0"/>
              <w:jc w:val="center"/>
              <w:rPr>
                <w:rFonts w:asciiTheme="minorEastAsia" w:hAnsiTheme="minorEastAsia" w:cstheme="minorEastAsia"/>
                <w:kern w:val="0"/>
                <w:szCs w:val="21"/>
              </w:rPr>
            </w:pPr>
            <w:bookmarkStart w:id="52" w:name="货物一览表_index"/>
            <w:r>
              <w:rPr>
                <w:rFonts w:asciiTheme="minorEastAsia" w:eastAsiaTheme="minorEastAsia" w:hAnsiTheme="minorEastAsia" w:cstheme="minorEastAsia" w:hint="eastAsia"/>
                <w:kern w:val="0"/>
                <w:szCs w:val="21"/>
              </w:rPr>
              <w:t>序号</w:t>
            </w:r>
            <w:bookmarkEnd w:id="52"/>
          </w:p>
        </w:tc>
        <w:tc>
          <w:tcPr>
            <w:tcW w:w="1135" w:type="dxa"/>
          </w:tcPr>
          <w:p w14:paraId="6B7F00AC">
            <w:pPr>
              <w:autoSpaceDE w:val="0"/>
              <w:jc w:val="center"/>
              <w:rPr>
                <w:rFonts w:asciiTheme="minorEastAsia" w:hAnsiTheme="minorEastAsia" w:cstheme="minorEastAsia"/>
                <w:kern w:val="0"/>
                <w:szCs w:val="21"/>
              </w:rPr>
            </w:pPr>
            <w:bookmarkStart w:id="53" w:name="货物一览表_goodsName"/>
            <w:r>
              <w:rPr>
                <w:rFonts w:asciiTheme="minorEastAsia" w:eastAsiaTheme="minorEastAsia" w:hAnsiTheme="minorEastAsia" w:cstheme="minorEastAsia" w:hint="eastAsia"/>
                <w:kern w:val="0"/>
                <w:szCs w:val="21"/>
              </w:rPr>
              <w:t>设备名称</w:t>
            </w:r>
            <w:bookmarkEnd w:id="53"/>
          </w:p>
        </w:tc>
        <w:tc>
          <w:tcPr>
            <w:tcW w:w="965" w:type="dxa"/>
          </w:tcPr>
          <w:p w14:paraId="7B8390AF">
            <w:pPr>
              <w:autoSpaceDE w:val="0"/>
              <w:jc w:val="center"/>
              <w:rPr>
                <w:rFonts w:asciiTheme="minorEastAsia" w:hAnsiTheme="minorEastAsia" w:cstheme="minorEastAsia"/>
                <w:kern w:val="0"/>
                <w:szCs w:val="21"/>
              </w:rPr>
            </w:pPr>
            <w:bookmarkStart w:id="54" w:name="货物一览表_nums"/>
            <w:r>
              <w:rPr>
                <w:rFonts w:asciiTheme="minorEastAsia" w:eastAsiaTheme="minorEastAsia" w:hAnsiTheme="minorEastAsia" w:cstheme="minorEastAsia" w:hint="eastAsia"/>
                <w:kern w:val="0"/>
                <w:szCs w:val="21"/>
              </w:rPr>
              <w:t>采购数量</w:t>
            </w:r>
            <w:bookmarkEnd w:id="54"/>
          </w:p>
        </w:tc>
        <w:tc>
          <w:tcPr>
            <w:tcW w:w="1062" w:type="dxa"/>
          </w:tcPr>
          <w:p w14:paraId="72F33D6D">
            <w:pPr>
              <w:autoSpaceDE w:val="0"/>
              <w:jc w:val="center"/>
              <w:rPr>
                <w:rFonts w:asciiTheme="minorEastAsia" w:hAnsiTheme="minorEastAsia" w:cstheme="minorEastAsia"/>
                <w:kern w:val="0"/>
                <w:szCs w:val="21"/>
              </w:rPr>
            </w:pPr>
            <w:bookmarkStart w:id="55" w:name="货物一览表_units"/>
            <w:r>
              <w:rPr>
                <w:rFonts w:asciiTheme="minorEastAsia" w:eastAsiaTheme="minorEastAsia" w:hAnsiTheme="minorEastAsia" w:cstheme="minorEastAsia" w:hint="eastAsia"/>
                <w:kern w:val="0"/>
                <w:szCs w:val="21"/>
              </w:rPr>
              <w:t>计量单位</w:t>
            </w:r>
            <w:bookmarkEnd w:id="55"/>
          </w:p>
        </w:tc>
        <w:tc>
          <w:tcPr>
            <w:tcW w:w="1220" w:type="dxa"/>
          </w:tcPr>
          <w:p w14:paraId="24892D20">
            <w:pPr>
              <w:autoSpaceDE w:val="0"/>
              <w:jc w:val="center"/>
              <w:rPr>
                <w:rFonts w:asciiTheme="minorEastAsia" w:hAnsiTheme="minorEastAsia" w:cstheme="minorEastAsia"/>
                <w:kern w:val="0"/>
                <w:szCs w:val="21"/>
              </w:rPr>
            </w:pPr>
            <w:bookmarkStart w:id="56" w:name="货物一览表_procurementBudget"/>
            <w:r>
              <w:rPr>
                <w:rFonts w:asciiTheme="minorEastAsia" w:eastAsiaTheme="minorEastAsia" w:hAnsiTheme="minorEastAsia" w:cstheme="minorEastAsia" w:hint="eastAsia"/>
                <w:kern w:val="0"/>
                <w:szCs w:val="21"/>
              </w:rPr>
              <w:t>采购预算（元）</w:t>
            </w:r>
            <w:bookmarkEnd w:id="56"/>
          </w:p>
        </w:tc>
        <w:tc>
          <w:tcPr>
            <w:tcW w:w="1329" w:type="dxa"/>
          </w:tcPr>
          <w:p w14:paraId="27138270">
            <w:pPr>
              <w:autoSpaceDE w:val="0"/>
              <w:jc w:val="center"/>
              <w:rPr>
                <w:rFonts w:asciiTheme="minorEastAsia" w:hAnsiTheme="minorEastAsia" w:cstheme="minorEastAsia" w:hint="eastAsia"/>
                <w:kern w:val="0"/>
                <w:szCs w:val="21"/>
              </w:rPr>
            </w:pPr>
            <w:bookmarkStart w:id="57"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57"/>
          </w:p>
        </w:tc>
        <w:tc>
          <w:tcPr>
            <w:tcW w:w="2673" w:type="dxa"/>
            <w:shd w:val="clear" w:color="auto" w:fill="auto"/>
          </w:tcPr>
          <w:p w14:paraId="04B1055C">
            <w:pPr>
              <w:autoSpaceDE w:val="0"/>
              <w:autoSpaceDN w:val="0"/>
              <w:adjustRightInd w:val="0"/>
              <w:spacing w:before="48"/>
              <w:ind w:right="-20"/>
              <w:jc w:val="center"/>
              <w:rPr>
                <w:rFonts w:asciiTheme="minorEastAsia" w:hAnsiTheme="minorEastAsia" w:cstheme="minorEastAsia"/>
                <w:kern w:val="0"/>
                <w:szCs w:val="21"/>
              </w:rPr>
            </w:pPr>
            <w:bookmarkStart w:id="58" w:name="货物一览表_remark"/>
            <w:r>
              <w:rPr>
                <w:rFonts w:asciiTheme="minorEastAsia" w:eastAsiaTheme="minorEastAsia" w:hAnsiTheme="minorEastAsia" w:cstheme="minorEastAsia" w:hint="eastAsia"/>
                <w:kern w:val="0"/>
                <w:szCs w:val="21"/>
              </w:rPr>
              <w:t>备注</w:t>
            </w:r>
            <w:bookmarkEnd w:id="58"/>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甚低频/低频(VLF/LF)全闪定位仪</w:t>
            </w:r>
          </w:p>
        </w:tc>
        <w:tc>
          <w:tcPr/>
          <w:p>
            <w:pPr>
              <w:autoSpaceDE w:val="0"/>
              <w:jc w:val="center"/>
              <w:rPr>
                <w:rFonts w:asciiTheme="minorEastAsia" w:hAnsiTheme="minorEastAsia" w:cstheme="minorEastAsia"/>
                <w:kern w:val="0"/>
                <w:szCs w:val="21"/>
              </w:rPr>
            </w:pPr>
            <w:r>
              <w:t>65</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11,960,000.00</w:t>
            </w:r>
          </w:p>
        </w:tc>
        <w:tc>
          <w:tcPr/>
          <w:p>
            <w:pPr>
              <w:autoSpaceDE w:val="0"/>
              <w:jc w:val="center"/>
              <w:rPr>
                <w:rFonts w:asciiTheme="minorEastAsia" w:hAnsiTheme="minorEastAsia" w:cstheme="minorEastAsia" w:hint="eastAsia"/>
                <w:kern w:val="0"/>
                <w:szCs w:val="21"/>
              </w:rPr>
            </w:pPr>
            <w:r>
              <w:t>合同签订后150天内完成供货,180内完成安装调试具备验收条件。</w:t>
            </w:r>
          </w:p>
        </w:tc>
        <w:tc>
          <w:tcPr/>
          <w:p>
            <w:pPr>
              <w:autoSpaceDE w:val="0"/>
              <w:autoSpaceDN w:val="0"/>
              <w:adjustRightInd w:val="0"/>
              <w:spacing w:before="48"/>
              <w:ind w:right="-20"/>
              <w:jc w:val="center"/>
              <w:rPr>
                <w:rFonts w:asciiTheme="minorEastAsia" w:hAnsiTheme="minorEastAsia" w:cstheme="minorEastAsia"/>
                <w:kern w:val="0"/>
                <w:szCs w:val="21"/>
              </w:rPr>
            </w:pPr>
            <w:r>
              <w:t>含设备、8年质保</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11,960,000.00</w:t>
            </w:r>
          </w:p>
        </w:tc>
      </w:tr>
    </w:tbl>
    <w:p w14:paraId="5755352C">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2CBBAA00">
      <w:pPr>
        <w:spacing w:line="360" w:lineRule="auto"/>
        <w:ind w:firstLine="420" w:firstLineChars="200"/>
        <w:rPr>
          <w:rFonts w:ascii="宋体" w:eastAsia="宋体" w:hAnsi="宋体" w:cs="Times New Roman"/>
          <w:szCs w:val="21"/>
        </w:rPr>
      </w:pPr>
    </w:p>
    <w:p w14:paraId="6F06C055">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05"/>
        <w:gridCol w:w="1376"/>
        <w:gridCol w:w="2023"/>
        <w:gridCol w:w="405"/>
        <w:gridCol w:w="922"/>
        <w:gridCol w:w="834"/>
        <w:gridCol w:w="922"/>
        <w:gridCol w:w="163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59"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数据中心(001035024)</w:t>
            </w:r>
          </w:p>
        </w:tc>
        <w:tc>
          <w:tcPr/>
          <w:p>
            <w:r>
              <w:t>甚低频/低频(VLF/LF)全闪定位仪</w:t>
            </w:r>
          </w:p>
        </w:tc>
        <w:tc>
          <w:tcPr/>
          <w:p>
            <w:r>
              <w:t>65</w:t>
            </w:r>
          </w:p>
        </w:tc>
        <w:tc>
          <w:tcPr/>
          <w:p>
            <w:r>
              <w:t>11960000.00</w:t>
            </w:r>
          </w:p>
        </w:tc>
        <w:tc>
          <w:tcPr/>
          <w:p>
            <w:r>
              <w:t xml:space="preserve">11960000.00  </w:t>
            </w:r>
          </w:p>
        </w:tc>
        <w:tc>
          <w:tcPr/>
          <w:p>
            <w:r>
              <w:t>甲方指定地点</w:t>
            </w:r>
          </w:p>
        </w:tc>
        <w:tc>
          <w:tcPr/>
          <w:p>
            <w:r>
              <w:t>含设备、8年质保（赵建凯 联系方式：15034995112）</w:t>
            </w:r>
          </w:p>
        </w:tc>
      </w:tr>
    </w:tbl>
    <w:p w:rsidR="00A77B3E"/>
    <w:p w14:paraId="51954372">
      <w:pPr>
        <w:spacing w:line="360" w:lineRule="auto"/>
        <w:rPr>
          <w:rFonts w:ascii="宋体" w:hAnsi="宋体"/>
          <w:szCs w:val="21"/>
        </w:rPr>
      </w:pPr>
      <w:bookmarkEnd w:id="59"/>
    </w:p>
    <w:p w14:paraId="70EB4EAC">
      <w:pPr>
        <w:spacing w:line="360" w:lineRule="auto"/>
        <w:jc w:val="center"/>
        <w:rPr>
          <w:rFonts w:ascii="宋体" w:eastAsia="宋体" w:hAnsi="宋体" w:cs="Times New Roman"/>
          <w:szCs w:val="21"/>
        </w:rPr>
      </w:pPr>
    </w:p>
    <w:p w14:paraId="7DB6105A">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527A6830">
      <w:pPr>
        <w:spacing w:line="360" w:lineRule="auto"/>
        <w:ind w:firstLine="420" w:firstLineChars="200"/>
        <w:rPr>
          <w:rFonts w:ascii="宋体" w:eastAsia="宋体" w:hAnsi="宋体" w:cs="Times New Roman"/>
          <w:szCs w:val="21"/>
        </w:rPr>
      </w:pPr>
    </w:p>
    <w:p w14:paraId="00558E24"/>
    <w:p w14:paraId="418AFB45">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14:paraId="7F6DB9E3">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14:paraId="063D32D4">
      <w:pPr>
        <w:ind w:firstLine="560" w:firstLineChars="200"/>
        <w:rPr>
          <w:rFonts w:ascii="仿宋" w:eastAsia="仿宋" w:hAnsi="仿宋" w:cs="仿宋" w:hint="eastAsia"/>
          <w:sz w:val="28"/>
          <w:szCs w:val="20"/>
        </w:rPr>
      </w:pPr>
      <w:r>
        <w:rPr>
          <w:rFonts w:ascii="仿宋" w:eastAsia="仿宋" w:hAnsi="仿宋" w:cs="仿宋" w:hint="eastAsia"/>
          <w:sz w:val="28"/>
          <w:szCs w:val="20"/>
        </w:rPr>
        <w:t>为深入贯彻落实习近平总书记关于气象工作的重要指示精神重要指示精神，着力推进观测站网、运行保障、观测产品等高质量发展，进一步强化气象监测预警能力。依据《综合气象观测业务发展“十四五”规划》和《2025年内蒙古呼伦贝尔市、兴安盟新建全闪探测设备及可燃物监测站项目实施方案》</w:t>
      </w:r>
      <w:r>
        <w:rPr>
          <w:rFonts w:ascii="仿宋" w:eastAsia="仿宋" w:hAnsi="仿宋" w:cs="仿宋" w:hint="eastAsia"/>
          <w:sz w:val="28"/>
          <w:szCs w:val="20"/>
          <w:lang w:eastAsia="zh-CN"/>
        </w:rPr>
        <w:t>，</w:t>
      </w:r>
      <w:r>
        <w:rPr>
          <w:rFonts w:ascii="仿宋" w:eastAsia="仿宋" w:hAnsi="仿宋" w:cs="仿宋" w:hint="eastAsia"/>
          <w:sz w:val="28"/>
          <w:szCs w:val="20"/>
          <w:lang w:val="en-US" w:eastAsia="zh-CN"/>
        </w:rPr>
        <w:t>开展全闪探测设备建设</w:t>
      </w:r>
      <w:r>
        <w:rPr>
          <w:rFonts w:ascii="仿宋" w:eastAsia="仿宋" w:hAnsi="仿宋" w:cs="仿宋" w:hint="eastAsia"/>
          <w:sz w:val="28"/>
          <w:szCs w:val="20"/>
        </w:rPr>
        <w:t>。</w:t>
      </w:r>
    </w:p>
    <w:p w14:paraId="5DE94F7A">
      <w:pPr>
        <w:ind w:firstLine="560" w:firstLineChars="200"/>
        <w:rPr>
          <w:rFonts w:ascii="仿宋" w:eastAsia="仿宋" w:hAnsi="仿宋" w:cs="仿宋"/>
          <w:sz w:val="28"/>
          <w:szCs w:val="20"/>
        </w:rPr>
      </w:pPr>
      <w:r>
        <w:rPr>
          <w:rFonts w:ascii="仿宋" w:eastAsia="仿宋" w:hAnsi="仿宋" w:cs="仿宋" w:hint="eastAsia"/>
          <w:sz w:val="28"/>
          <w:szCs w:val="20"/>
        </w:rPr>
        <w:t>项目建成后，雷电全闪监测站点空白区得以有效弥补，闪电定位数据进一步丰富，将有效提升雷电气象监测与气象服务综合能力，更好发挥防灾减灾等气象监测和服务作用。</w:t>
      </w:r>
    </w:p>
    <w:p w14:paraId="40B7F1CF">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14:paraId="66B7419E">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含设备与国家雷电业务的接入及维护和系统评估、数据处理系统与国家业务软件的集成适应性改造及维护和系统评估），包括设备售后服务组织机构、人员组成、技术支持文档等。其中，售后服务组织机构设置合理，服务内容完整，人员技术能力强，技术文档内容全面。</w:t>
      </w:r>
    </w:p>
    <w:p w14:paraId="1583050D">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14:paraId="1204C070">
      <w:pPr>
        <w:ind w:firstLine="560" w:firstLineChars="200"/>
        <w:rPr>
          <w:rFonts w:ascii="仿宋" w:eastAsia="仿宋" w:hAnsi="仿宋" w:cs="仿宋" w:hint="eastAsia"/>
          <w:sz w:val="28"/>
          <w:szCs w:val="20"/>
        </w:rPr>
      </w:pPr>
      <w:r>
        <w:rPr>
          <w:rFonts w:ascii="仿宋" w:eastAsia="仿宋" w:hAnsi="仿宋" w:cs="仿宋" w:hint="eastAsia"/>
          <w:sz w:val="28"/>
          <w:szCs w:val="20"/>
        </w:rPr>
        <w:t>通过培训，使工作人员掌握本项目各系统设备的基本结构和原理、</w:t>
      </w:r>
      <w:r>
        <w:rPr>
          <w:rFonts w:ascii="仿宋" w:eastAsia="仿宋" w:hAnsi="仿宋" w:cs="仿宋" w:hint="eastAsia"/>
          <w:color w:val="0000FF"/>
          <w:sz w:val="28"/>
          <w:szCs w:val="28"/>
          <w:lang w:val="en-US" w:eastAsia="zh-CN"/>
        </w:rPr>
        <w:t>安装建设、故障处理、操作规范和业务流程、数据处理系统软件的功能和安装及使用方法，</w:t>
      </w:r>
      <w:r>
        <w:rPr>
          <w:rFonts w:ascii="仿宋" w:eastAsia="仿宋" w:hAnsi="仿宋" w:cs="仿宋" w:hint="eastAsia"/>
          <w:sz w:val="28"/>
          <w:szCs w:val="20"/>
        </w:rPr>
        <w:t>具备常规操作、日常维护、中小故障排除、软件使用和系统管理的能力；熟练掌握所负责业务的</w:t>
      </w:r>
      <w:r>
        <w:rPr>
          <w:rFonts w:ascii="仿宋" w:eastAsia="仿宋" w:hAnsi="仿宋" w:cs="仿宋" w:hint="eastAsia"/>
          <w:color w:val="0000FF"/>
          <w:sz w:val="28"/>
          <w:szCs w:val="28"/>
          <w:lang w:val="en-US" w:eastAsia="zh-CN"/>
        </w:rPr>
        <w:t>数据分析、</w:t>
      </w:r>
      <w:r>
        <w:rPr>
          <w:rFonts w:ascii="仿宋" w:eastAsia="仿宋" w:hAnsi="仿宋" w:cs="仿宋" w:hint="eastAsia"/>
          <w:sz w:val="28"/>
          <w:szCs w:val="20"/>
        </w:rPr>
        <w:t>质量控制、</w:t>
      </w:r>
      <w:r>
        <w:rPr>
          <w:rFonts w:ascii="仿宋" w:eastAsia="仿宋" w:hAnsi="仿宋" w:cs="仿宋" w:hint="eastAsia"/>
          <w:color w:val="0000FF"/>
          <w:sz w:val="28"/>
          <w:szCs w:val="28"/>
          <w:lang w:val="en-US" w:eastAsia="zh-CN"/>
        </w:rPr>
        <w:t>系统评估、</w:t>
      </w:r>
      <w:r>
        <w:rPr>
          <w:rFonts w:ascii="仿宋" w:eastAsia="仿宋" w:hAnsi="仿宋" w:cs="仿宋" w:hint="eastAsia"/>
          <w:sz w:val="28"/>
          <w:szCs w:val="20"/>
        </w:rPr>
        <w:t>质量保证方法和措施；掌握本项目进一步开发、应用所需的知识和技能。书面承诺每种设备的培训讲师具有中级以上职称或从事该设备技术工作至少2年；</w:t>
      </w:r>
    </w:p>
    <w:p w14:paraId="3BA163B4">
      <w:pPr>
        <w:ind w:firstLine="560" w:firstLineChars="200"/>
        <w:rPr>
          <w:rFonts w:ascii="仿宋" w:eastAsia="仿宋" w:hAnsi="仿宋" w:cs="仿宋"/>
          <w:sz w:val="28"/>
          <w:szCs w:val="20"/>
        </w:rPr>
      </w:pPr>
      <w:r>
        <w:rPr>
          <w:rFonts w:ascii="仿宋" w:eastAsia="仿宋" w:hAnsi="仿宋" w:cs="仿宋" w:hint="eastAsia"/>
          <w:sz w:val="28"/>
          <w:szCs w:val="20"/>
          <w:highlight w:val="yellow"/>
        </w:rPr>
        <w:t>培训课时</w:t>
      </w:r>
      <w:r>
        <w:rPr>
          <w:rFonts w:ascii="仿宋" w:eastAsia="仿宋" w:hAnsi="仿宋" w:cs="仿宋"/>
          <w:sz w:val="28"/>
          <w:szCs w:val="20"/>
          <w:highlight w:val="yellow"/>
        </w:rPr>
        <w:t>不少于</w:t>
      </w:r>
      <w:r>
        <w:rPr>
          <w:rFonts w:ascii="仿宋" w:eastAsia="仿宋" w:hAnsi="仿宋" w:cs="仿宋" w:hint="eastAsia"/>
          <w:sz w:val="28"/>
          <w:szCs w:val="20"/>
          <w:highlight w:val="yellow"/>
          <w:lang w:val="en-US" w:eastAsia="zh-CN"/>
        </w:rPr>
        <w:t>4</w:t>
      </w:r>
      <w:r>
        <w:rPr>
          <w:rFonts w:ascii="仿宋" w:eastAsia="仿宋" w:hAnsi="仿宋" w:cs="仿宋" w:hint="eastAsia"/>
          <w:sz w:val="28"/>
          <w:szCs w:val="20"/>
          <w:highlight w:val="yellow"/>
        </w:rPr>
        <w:t>个</w:t>
      </w:r>
      <w:r>
        <w:rPr>
          <w:rFonts w:ascii="仿宋" w:eastAsia="仿宋" w:hAnsi="仿宋" w:cs="仿宋"/>
          <w:sz w:val="28"/>
          <w:szCs w:val="20"/>
          <w:highlight w:val="yellow"/>
        </w:rPr>
        <w:t>课时，培训人数不少于</w:t>
      </w:r>
      <w:r>
        <w:rPr>
          <w:rFonts w:ascii="仿宋" w:eastAsia="仿宋" w:hAnsi="仿宋" w:cs="仿宋" w:hint="eastAsia"/>
          <w:sz w:val="28"/>
          <w:szCs w:val="20"/>
          <w:highlight w:val="yellow"/>
          <w:lang w:val="en-US" w:eastAsia="zh-CN"/>
        </w:rPr>
        <w:t>130</w:t>
      </w:r>
      <w:r>
        <w:rPr>
          <w:rFonts w:ascii="仿宋" w:eastAsia="仿宋" w:hAnsi="仿宋" w:cs="仿宋" w:hint="eastAsia"/>
          <w:sz w:val="28"/>
          <w:szCs w:val="20"/>
          <w:highlight w:val="yellow"/>
        </w:rPr>
        <w:t>人</w:t>
      </w:r>
      <w:r>
        <w:rPr>
          <w:rFonts w:ascii="仿宋" w:eastAsia="仿宋" w:hAnsi="仿宋" w:cs="仿宋" w:hint="eastAsia"/>
          <w:sz w:val="28"/>
          <w:szCs w:val="20"/>
          <w:highlight w:val="yellow"/>
          <w:lang w:eastAsia="zh-CN"/>
        </w:rPr>
        <w:t>（</w:t>
      </w:r>
      <w:r>
        <w:rPr>
          <w:rFonts w:ascii="仿宋" w:eastAsia="仿宋" w:hAnsi="仿宋" w:cs="仿宋" w:hint="eastAsia"/>
          <w:sz w:val="28"/>
          <w:szCs w:val="20"/>
          <w:highlight w:val="yellow"/>
          <w:lang w:val="en-US" w:eastAsia="zh-CN"/>
        </w:rPr>
        <w:t>每个站点2人</w:t>
      </w:r>
      <w:r>
        <w:rPr>
          <w:rFonts w:ascii="仿宋" w:eastAsia="仿宋" w:hAnsi="仿宋" w:cs="仿宋" w:hint="eastAsia"/>
          <w:sz w:val="28"/>
          <w:szCs w:val="20"/>
          <w:highlight w:val="yellow"/>
          <w:lang w:eastAsia="zh-CN"/>
        </w:rPr>
        <w:t>）</w:t>
      </w:r>
      <w:r>
        <w:rPr>
          <w:rFonts w:ascii="仿宋" w:eastAsia="仿宋" w:hAnsi="仿宋" w:cs="仿宋"/>
          <w:sz w:val="28"/>
          <w:szCs w:val="20"/>
          <w:highlight w:val="yellow"/>
        </w:rPr>
        <w:t>。</w:t>
      </w:r>
      <w:r>
        <w:rPr>
          <w:rFonts w:ascii="仿宋" w:eastAsia="仿宋" w:hAnsi="仿宋" w:cs="仿宋" w:hint="eastAsia"/>
          <w:sz w:val="28"/>
          <w:szCs w:val="20"/>
        </w:rPr>
        <w:t>培训内容包括设备</w:t>
      </w:r>
      <w:r>
        <w:rPr>
          <w:rFonts w:ascii="仿宋" w:eastAsia="仿宋" w:hAnsi="仿宋" w:cs="仿宋" w:hint="eastAsia"/>
          <w:sz w:val="28"/>
          <w:szCs w:val="20"/>
          <w:lang w:val="en-US" w:eastAsia="zh-CN"/>
        </w:rPr>
        <w:t>及</w:t>
      </w:r>
      <w:r>
        <w:rPr>
          <w:rFonts w:ascii="仿宋" w:eastAsia="仿宋" w:hAnsi="仿宋" w:cs="仿宋" w:hint="eastAsia"/>
          <w:color w:val="0000FF"/>
          <w:sz w:val="28"/>
          <w:szCs w:val="28"/>
          <w:lang w:val="en-US" w:eastAsia="zh-CN"/>
        </w:rPr>
        <w:t>数据处理系统软件</w:t>
      </w:r>
      <w:r>
        <w:rPr>
          <w:rFonts w:ascii="仿宋" w:eastAsia="仿宋" w:hAnsi="仿宋" w:cs="仿宋" w:hint="eastAsia"/>
          <w:sz w:val="28"/>
          <w:szCs w:val="20"/>
        </w:rPr>
        <w:t>安装、使用、日常维护、观测原理及产品应用，培训时间及地点双方协商确定。</w:t>
      </w:r>
    </w:p>
    <w:p w14:paraId="25222842">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14:paraId="728221D3">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lang w:val="en-US" w:eastAsia="zh-CN"/>
        </w:rPr>
        <w:t>内蒙古的甲方指定</w:t>
      </w:r>
      <w:r>
        <w:rPr>
          <w:rFonts w:ascii="仿宋" w:eastAsia="仿宋" w:hAnsi="仿宋" w:cs="仿宋" w:hint="eastAsia"/>
          <w:sz w:val="28"/>
          <w:szCs w:val="20"/>
        </w:rPr>
        <w:t>地点（运输相关费用由供应商负责），并负责安装调试。</w:t>
      </w:r>
    </w:p>
    <w:p w14:paraId="783ABCDD">
      <w:pPr>
        <w:rPr>
          <w:rFonts w:ascii="仿宋" w:eastAsia="仿宋" w:hAnsi="仿宋" w:cs="仿宋" w:hint="eastAsia"/>
          <w:sz w:val="28"/>
          <w:szCs w:val="20"/>
        </w:rPr>
      </w:pPr>
      <w:r>
        <w:rPr>
          <w:rFonts w:ascii="仿宋" w:eastAsia="仿宋" w:hAnsi="仿宋" w:cs="仿宋" w:hint="eastAsia"/>
          <w:sz w:val="28"/>
          <w:szCs w:val="20"/>
        </w:rPr>
        <w:t>合同签订后1</w:t>
      </w:r>
      <w:r>
        <w:rPr>
          <w:rFonts w:ascii="仿宋" w:eastAsia="仿宋" w:hAnsi="仿宋" w:cs="仿宋" w:hint="eastAsia"/>
          <w:sz w:val="28"/>
          <w:szCs w:val="20"/>
          <w:lang w:val="en-US" w:eastAsia="zh-CN"/>
        </w:rPr>
        <w:t>5</w:t>
      </w:r>
      <w:r>
        <w:rPr>
          <w:rFonts w:ascii="仿宋" w:eastAsia="仿宋" w:hAnsi="仿宋" w:cs="仿宋" w:hint="eastAsia"/>
          <w:sz w:val="28"/>
          <w:szCs w:val="20"/>
        </w:rPr>
        <w:t>0天内完成供货</w:t>
      </w:r>
      <w:r>
        <w:rPr>
          <w:rFonts w:ascii="仿宋" w:eastAsia="仿宋" w:hAnsi="仿宋" w:cs="仿宋" w:hint="eastAsia"/>
          <w:sz w:val="28"/>
          <w:szCs w:val="20"/>
          <w:lang w:val="en-US" w:eastAsia="zh-CN"/>
        </w:rPr>
        <w:t>,180内完成安装调试具备验收条件</w:t>
      </w:r>
      <w:r>
        <w:rPr>
          <w:rFonts w:ascii="仿宋" w:eastAsia="仿宋" w:hAnsi="仿宋" w:cs="仿宋" w:hint="eastAsia"/>
          <w:sz w:val="28"/>
          <w:szCs w:val="20"/>
        </w:rPr>
        <w:t>。</w:t>
      </w:r>
    </w:p>
    <w:p w14:paraId="16B53586">
      <w:pPr>
        <w:ind w:firstLine="560" w:firstLineChars="200"/>
        <w:rPr>
          <w:rFonts w:ascii="仿宋" w:eastAsia="仿宋" w:hAnsi="仿宋" w:cs="仿宋"/>
          <w:b/>
          <w:bCs/>
          <w:sz w:val="28"/>
          <w:szCs w:val="20"/>
        </w:rPr>
      </w:pPr>
      <w:r>
        <w:rPr>
          <w:rFonts w:ascii="仿宋" w:eastAsia="仿宋" w:hAnsi="仿宋" w:cs="仿宋" w:hint="eastAsia"/>
          <w:b/>
          <w:bCs/>
          <w:sz w:val="28"/>
          <w:szCs w:val="20"/>
        </w:rPr>
        <w:t>五、服务团队要求</w:t>
      </w:r>
    </w:p>
    <w:p w14:paraId="4565892B">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14:paraId="0CEB6874">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14:paraId="1D434E6E">
      <w:pPr>
        <w:ind w:firstLine="560" w:firstLineChars="200"/>
        <w:rPr>
          <w:rFonts w:ascii="仿宋" w:eastAsia="仿宋" w:hAnsi="仿宋" w:cs="仿宋"/>
          <w:sz w:val="28"/>
          <w:szCs w:val="20"/>
        </w:rPr>
      </w:pPr>
      <w:r>
        <w:rPr>
          <w:rFonts w:ascii="仿宋" w:eastAsia="仿宋" w:hAnsi="仿宋" w:cs="仿宋" w:hint="eastAsia"/>
          <w:sz w:val="28"/>
          <w:szCs w:val="20"/>
        </w:rPr>
        <w:t>设备支持业务平台无缝接入，完全符合甲方相关要求和规范，保证其系统的兼容性和功能的完整性。实现设备与国家雷电业务系统无缝接入，完全符合甲方相关要求和规范，提供设备单北斗技术证明及测试报告。提供数据处理系统核心算法源码，保证其功能和性能符合《VLF_LF全闪定位仪功能需求书》中要求，支持基于特征量数据实现多站定位处理，实现数据处理系统与国家雷电业务软件的集成适应性改造，完全符合甲方相关要求和规范。</w:t>
      </w:r>
    </w:p>
    <w:p w14:paraId="5DCA0CB2">
      <w:pPr>
        <w:ind w:firstLine="560" w:firstLineChars="200"/>
        <w:rPr>
          <w:rFonts w:ascii="仿宋" w:eastAsia="仿宋" w:hAnsi="仿宋" w:cs="仿宋"/>
          <w:sz w:val="28"/>
          <w:szCs w:val="20"/>
        </w:rPr>
      </w:pP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num="1" w:space="720"/>
          <w:docGrid w:type="linesAndChars" w:linePitch="312" w:charSpace="0"/>
        </w:sectPr>
      </w:pPr>
      <w:bookmarkEnd w:id="48"/>
    </w:p>
    <w:p w14:paraId="6A5D2D1F">
      <w:pPr>
        <w:tabs>
          <w:tab w:val="left" w:pos="1573"/>
        </w:tabs>
        <w:adjustRightInd w:val="0"/>
        <w:snapToGrid w:val="0"/>
        <w:spacing w:line="360" w:lineRule="auto"/>
        <w:jc w:val="center"/>
        <w:outlineLvl w:val="1"/>
        <w:rPr>
          <w:b/>
          <w:bCs/>
          <w:sz w:val="30"/>
          <w:szCs w:val="30"/>
          <w:highlight w:val="none"/>
        </w:rPr>
      </w:pPr>
      <w:bookmarkStart w:id="60" w:name="投标被拒绝条款专用部分_JJTK"/>
      <w:r>
        <w:rPr>
          <w:rFonts w:hint="eastAsia"/>
          <w:b/>
          <w:sz w:val="30"/>
          <w:szCs w:val="30"/>
          <w:highlight w:val="none"/>
        </w:rPr>
        <w:t>第八章  投标被拒绝条款专用部分</w:t>
      </w:r>
    </w:p>
    <w:p w14:paraId="4FB105EC">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14:paraId="297BC5EE">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14:paraId="5B831E20">
            <w:pPr>
              <w:rPr>
                <w:rFonts w:hint="eastAsia"/>
                <w:sz w:val="18"/>
                <w:szCs w:val="18"/>
                <w:highlight w:val="none"/>
              </w:rPr>
            </w:pPr>
            <w:r>
              <w:rPr>
                <w:rFonts w:hint="eastAsia"/>
                <w:sz w:val="18"/>
                <w:szCs w:val="18"/>
                <w:highlight w:val="none"/>
              </w:rPr>
              <w:t>序号</w:t>
            </w:r>
          </w:p>
        </w:tc>
        <w:tc>
          <w:tcPr>
            <w:tcW w:w="898" w:type="dxa"/>
            <w:noWrap w:val="0"/>
            <w:vAlign w:val="center"/>
          </w:tcPr>
          <w:p w14:paraId="6FCAD12C">
            <w:pPr>
              <w:jc w:val="center"/>
              <w:rPr>
                <w:rFonts w:hint="eastAsia"/>
                <w:sz w:val="18"/>
                <w:szCs w:val="18"/>
                <w:highlight w:val="none"/>
              </w:rPr>
            </w:pPr>
            <w:r>
              <w:rPr>
                <w:rFonts w:hint="eastAsia"/>
                <w:sz w:val="18"/>
                <w:szCs w:val="18"/>
                <w:highlight w:val="none"/>
              </w:rPr>
              <w:t>对应</w:t>
            </w:r>
          </w:p>
          <w:p w14:paraId="641B9743">
            <w:pPr>
              <w:jc w:val="center"/>
              <w:rPr>
                <w:rFonts w:hint="eastAsia"/>
                <w:sz w:val="18"/>
                <w:szCs w:val="18"/>
                <w:highlight w:val="none"/>
              </w:rPr>
            </w:pPr>
            <w:r>
              <w:rPr>
                <w:rFonts w:hint="eastAsia"/>
                <w:sz w:val="18"/>
                <w:szCs w:val="18"/>
                <w:highlight w:val="none"/>
              </w:rPr>
              <w:t>条款号</w:t>
            </w:r>
          </w:p>
        </w:tc>
        <w:tc>
          <w:tcPr>
            <w:tcW w:w="7347" w:type="dxa"/>
            <w:noWrap w:val="0"/>
            <w:vAlign w:val="center"/>
          </w:tcPr>
          <w:p w14:paraId="6116AFB3">
            <w:pPr>
              <w:jc w:val="center"/>
              <w:rPr>
                <w:rFonts w:hint="eastAsia"/>
                <w:sz w:val="18"/>
                <w:szCs w:val="18"/>
                <w:highlight w:val="none"/>
              </w:rPr>
            </w:pPr>
            <w:r>
              <w:rPr>
                <w:rFonts w:hint="eastAsia"/>
                <w:sz w:val="18"/>
                <w:szCs w:val="18"/>
                <w:highlight w:val="none"/>
              </w:rPr>
              <w:t>内 容</w:t>
            </w:r>
          </w:p>
        </w:tc>
      </w:tr>
      <w:tr w14:paraId="65024191">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14:paraId="20BD32C3">
            <w:pPr>
              <w:jc w:val="center"/>
              <w:rPr>
                <w:rFonts w:hint="eastAsia"/>
                <w:b/>
                <w:sz w:val="18"/>
                <w:szCs w:val="18"/>
                <w:highlight w:val="none"/>
              </w:rPr>
            </w:pPr>
            <w:r>
              <w:rPr>
                <w:rFonts w:hint="eastAsia"/>
                <w:b/>
                <w:sz w:val="18"/>
                <w:szCs w:val="18"/>
                <w:highlight w:val="none"/>
              </w:rPr>
              <w:t>第五章 投标人须知专用部分</w:t>
            </w:r>
          </w:p>
        </w:tc>
      </w:tr>
      <w:tr w14:paraId="2DFEBFD6">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14:paraId="157C90C4">
            <w:pPr>
              <w:numPr>
                <w:ilvl w:val="0"/>
                <w:numId w:val="11"/>
              </w:numPr>
              <w:rPr>
                <w:rFonts w:ascii="宋体" w:hAnsi="宋体" w:hint="eastAsia"/>
                <w:sz w:val="18"/>
                <w:szCs w:val="18"/>
                <w:highlight w:val="none"/>
              </w:rPr>
            </w:pPr>
          </w:p>
        </w:tc>
        <w:tc>
          <w:tcPr>
            <w:tcW w:w="898" w:type="dxa"/>
            <w:noWrap w:val="0"/>
            <w:vAlign w:val="center"/>
          </w:tcPr>
          <w:p w14:paraId="2DE62436">
            <w:pPr>
              <w:jc w:val="center"/>
              <w:rPr>
                <w:rFonts w:ascii="宋体" w:hAnsi="宋体" w:hint="eastAsia"/>
                <w:sz w:val="18"/>
                <w:szCs w:val="18"/>
                <w:highlight w:val="none"/>
              </w:rPr>
            </w:pPr>
            <w:r>
              <w:rPr>
                <w:rFonts w:ascii="宋体" w:hAnsi="宋体" w:hint="eastAsia"/>
                <w:sz w:val="18"/>
                <w:szCs w:val="18"/>
                <w:highlight w:val="none"/>
              </w:rPr>
              <w:t>5</w:t>
            </w:r>
            <w:r>
              <w:rPr>
                <w:rFonts w:ascii="宋体" w:hAnsi="宋体" w:hint="eastAsia"/>
                <w:sz w:val="18"/>
                <w:szCs w:val="18"/>
                <w:highlight w:val="none"/>
                <w:lang w:val="en-US" w:eastAsia="zh-CN"/>
              </w:rPr>
              <w:t>.7</w:t>
            </w:r>
          </w:p>
        </w:tc>
        <w:tc>
          <w:tcPr>
            <w:tcW w:w="7347" w:type="dxa"/>
            <w:noWrap w:val="0"/>
            <w:vAlign w:val="top"/>
          </w:tcPr>
          <w:p w14:paraId="391DEE11">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lang w:val="en-US" w:eastAsia="zh-CN"/>
              </w:rPr>
              <w:t>以下产品需要提供至投标截止日仍有效的《气象专用技术装备使用许可证》：甚低频/低频（VLF/LF）全闪定位仪</w:t>
            </w:r>
          </w:p>
        </w:tc>
      </w:tr>
      <w:tr w14:paraId="3C238DD3">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14:paraId="1198A650">
            <w:pPr>
              <w:jc w:val="center"/>
              <w:rPr>
                <w:rFonts w:hint="eastAsia"/>
                <w:sz w:val="18"/>
                <w:szCs w:val="18"/>
                <w:highlight w:val="none"/>
              </w:rPr>
            </w:pPr>
            <w:r>
              <w:rPr>
                <w:rFonts w:hint="eastAsia"/>
                <w:b/>
                <w:sz w:val="18"/>
                <w:szCs w:val="18"/>
                <w:highlight w:val="none"/>
              </w:rPr>
              <w:t>第七章  采购需求</w:t>
            </w:r>
          </w:p>
        </w:tc>
      </w:tr>
      <w:tr w14:paraId="373426A3">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14:paraId="511A8B07">
            <w:pPr>
              <w:numPr>
                <w:ilvl w:val="0"/>
                <w:numId w:val="11"/>
              </w:numPr>
              <w:rPr>
                <w:rFonts w:ascii="宋体" w:hAnsi="宋体" w:hint="eastAsia"/>
                <w:sz w:val="18"/>
                <w:szCs w:val="18"/>
                <w:highlight w:val="none"/>
              </w:rPr>
            </w:pPr>
          </w:p>
        </w:tc>
        <w:tc>
          <w:tcPr>
            <w:tcW w:w="898" w:type="dxa"/>
            <w:noWrap w:val="0"/>
            <w:vAlign w:val="center"/>
          </w:tcPr>
          <w:p w14:paraId="45987AF0">
            <w:pPr>
              <w:jc w:val="center"/>
              <w:rPr>
                <w:rFonts w:ascii="宋体" w:hAnsi="宋体" w:hint="default"/>
                <w:sz w:val="18"/>
                <w:szCs w:val="18"/>
                <w:highlight w:val="none"/>
              </w:rPr>
            </w:pPr>
            <w:r>
              <w:rPr>
                <w:rFonts w:ascii="宋体" w:hAnsi="宋体" w:hint="eastAsia"/>
                <w:sz w:val="18"/>
                <w:szCs w:val="18"/>
                <w:highlight w:val="none"/>
                <w:lang w:val="en-US" w:eastAsia="zh-CN"/>
              </w:rPr>
              <w:t>7.4</w:t>
            </w:r>
          </w:p>
        </w:tc>
        <w:tc>
          <w:tcPr>
            <w:tcW w:w="7347" w:type="dxa"/>
            <w:noWrap w:val="0"/>
            <w:vAlign w:val="center"/>
          </w:tcPr>
          <w:p w14:paraId="436DE110">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rPr>
              <w:t>设备供应商对所有设备提供自验收合格后8年的免费维护维修服务*，并提供相关承诺函。</w:t>
            </w:r>
          </w:p>
        </w:tc>
      </w:tr>
    </w:tbl>
    <w:p w14:paraId="150CE49F">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w:t>
      </w:r>
      <w:r>
        <w:rPr>
          <w:rFonts w:ascii="宋体" w:hAnsi="宋体" w:hint="eastAsia"/>
          <w:szCs w:val="21"/>
          <w:highlight w:val="none"/>
        </w:rPr>
        <w:t>遵守的，逐条列出。</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12"/>
          <w:footerReference w:type="default" r:id="rId13"/>
          <w:pgSz w:w="11906" w:h="16838"/>
          <w:pgMar w:top="1440" w:right="1800" w:bottom="1440" w:left="1800" w:header="851" w:footer="992" w:gutter="0"/>
          <w:cols w:num="1" w:space="425"/>
          <w:docGrid w:type="lines" w:linePitch="312" w:charSpace="0"/>
        </w:sectPr>
      </w:pPr>
      <w:bookmarkEnd w:id="60"/>
    </w:p>
    <w:p w14:paraId="6CA461DA">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76C3792C">
      <w:pPr>
        <w:spacing w:line="360" w:lineRule="auto"/>
        <w:rPr>
          <w:rFonts w:ascii="Times New Roman" w:eastAsia="宋体" w:hAnsi="Times New Roman" w:cs="Times New Roman"/>
          <w:b/>
          <w:bCs/>
          <w:sz w:val="28"/>
          <w:szCs w:val="28"/>
        </w:rPr>
      </w:pPr>
    </w:p>
    <w:p w14:paraId="086355A9">
      <w:pPr>
        <w:spacing w:line="360" w:lineRule="auto"/>
        <w:ind w:firstLine="3066" w:firstLineChars="1460"/>
        <w:jc w:val="left"/>
        <w:rPr>
          <w:rFonts w:ascii="Times New Roman" w:eastAsia="宋体" w:hAnsi="Times New Roman" w:cs="Times New Roman"/>
          <w:b/>
          <w:bCs/>
          <w:szCs w:val="21"/>
        </w:rPr>
      </w:pPr>
      <w:bookmarkStart w:id="61" w:name="采购公告合同部分_ZBGGHT"/>
      <w:r>
        <w:rPr>
          <w:rFonts w:ascii="Times New Roman" w:eastAsia="宋体" w:hAnsi="Times New Roman" w:cs="Times New Roman" w:hint="eastAsia"/>
          <w:b/>
          <w:bCs/>
          <w:szCs w:val="21"/>
        </w:rPr>
        <w:t>第八章  采购合同</w:t>
      </w:r>
    </w:p>
    <w:p w14:paraId="4C57B1C9">
      <w:pPr>
        <w:widowControl/>
        <w:jc w:val="left"/>
        <w:rPr>
          <w:rFonts w:ascii="宋体" w:eastAsia="微软雅黑" w:hAnsi="宋体" w:cs="宋体"/>
          <w:b/>
          <w:bCs/>
          <w:color w:val="595959"/>
          <w:spacing w:val="-20"/>
          <w:kern w:val="44"/>
          <w:sz w:val="48"/>
          <w:szCs w:val="48"/>
          <w:lang w:val="zh-CN"/>
        </w:rPr>
      </w:pPr>
      <w:r>
        <w:rPr>
          <w:rFonts w:ascii="宋体" w:eastAsia="微软雅黑" w:hAnsi="宋体" w:cs="宋体"/>
          <w:b/>
          <w:bCs/>
          <w:color w:val="595959"/>
          <w:spacing w:val="-20"/>
          <w:kern w:val="44"/>
          <w:sz w:val="48"/>
          <w:szCs w:val="48"/>
          <w:lang w:val="zh-CN"/>
        </w:rPr>
        <w:br w:type="page"/>
      </w:r>
    </w:p>
    <w:p w14:paraId="7A8887F6">
      <w:pPr>
        <w:widowControl/>
        <w:jc w:val="center"/>
        <w:rPr>
          <w:rFonts w:ascii="宋体" w:eastAsia="微软雅黑" w:hAnsi="宋体" w:cs="宋体"/>
          <w:b/>
          <w:bCs/>
          <w:color w:val="595959"/>
          <w:spacing w:val="-20"/>
          <w:kern w:val="44"/>
          <w:sz w:val="48"/>
          <w:szCs w:val="48"/>
          <w:lang w:val="zh-CN"/>
        </w:rPr>
      </w:pPr>
    </w:p>
    <w:p w14:paraId="2737B50A">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政府采购货物买卖合同</w:t>
      </w:r>
    </w:p>
    <w:p w14:paraId="4230CAEA">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（试行）</w:t>
      </w:r>
    </w:p>
    <w:p w14:paraId="7C5B1E99">
      <w:pPr>
        <w:rPr>
          <w:rFonts w:ascii="宋体" w:eastAsia="宋体" w:hAnsi="宋体" w:cs="宋体"/>
          <w:b/>
          <w:bCs/>
          <w:spacing w:val="-20"/>
          <w:kern w:val="44"/>
          <w:sz w:val="40"/>
          <w:szCs w:val="40"/>
        </w:rPr>
      </w:pPr>
    </w:p>
    <w:p w14:paraId="05FC6CAD">
      <w:pPr>
        <w:rPr>
          <w:rFonts w:ascii="宋体" w:eastAsia="宋体" w:hAnsi="宋体" w:cs="宋体"/>
          <w:b/>
          <w:bCs/>
          <w:spacing w:val="-20"/>
          <w:kern w:val="44"/>
          <w:sz w:val="40"/>
          <w:szCs w:val="40"/>
        </w:rPr>
      </w:pPr>
    </w:p>
    <w:p w14:paraId="62F0F2C2">
      <w:pPr>
        <w:rPr>
          <w:rFonts w:ascii="宋体" w:eastAsia="宋体" w:hAnsi="宋体" w:cs="宋体"/>
          <w:b/>
          <w:bCs/>
          <w:spacing w:val="-20"/>
          <w:kern w:val="44"/>
          <w:sz w:val="40"/>
          <w:szCs w:val="40"/>
        </w:rPr>
      </w:pPr>
    </w:p>
    <w:p w14:paraId="560577B0">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14:paraId="79EABEF3">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14:paraId="17AB1E02">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    方：</w:t>
      </w:r>
      <w:r>
        <w:rPr>
          <w:rFonts w:ascii="Times New Roman" w:eastAsia="宋体" w:hAnsi="Times New Roman" w:cs="Times New Roman" w:hint="eastAsia"/>
          <w:sz w:val="32"/>
          <w:szCs w:val="32"/>
          <w:u w:val="single"/>
        </w:rPr>
        <w:t xml:space="preserve">                             </w:t>
      </w:r>
    </w:p>
    <w:p w14:paraId="0E9530BE">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    方：</w:t>
      </w:r>
      <w:r>
        <w:rPr>
          <w:rFonts w:ascii="Times New Roman" w:eastAsia="宋体" w:hAnsi="Times New Roman" w:cs="Times New Roman" w:hint="eastAsia"/>
          <w:sz w:val="32"/>
          <w:szCs w:val="32"/>
          <w:u w:val="single"/>
        </w:rPr>
        <w:t xml:space="preserve">                             </w:t>
      </w:r>
    </w:p>
    <w:p w14:paraId="73BE82FB">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14:paraId="424F4C3F">
      <w:pPr>
        <w:rPr>
          <w:rFonts w:ascii="Times New Roman" w:eastAsia="宋体" w:hAnsi="Times New Roman" w:cs="Times New Roman"/>
          <w:szCs w:val="20"/>
        </w:rPr>
      </w:pPr>
    </w:p>
    <w:p w14:paraId="0A4366FB">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14:paraId="050552AA">
      <w:pPr>
        <w:rPr>
          <w:rFonts w:ascii="Times New Roman" w:eastAsia="黑体" w:hAnsi="Times New Roman" w:cs="Times New Roman"/>
          <w:sz w:val="44"/>
          <w:szCs w:val="44"/>
        </w:rPr>
      </w:pPr>
    </w:p>
    <w:p w14:paraId="4B1FABD1">
      <w:pPr>
        <w:rPr>
          <w:rFonts w:ascii="Times New Roman" w:eastAsia="黑体" w:hAnsi="Times New Roman" w:cs="Times New Roman"/>
          <w:sz w:val="44"/>
          <w:szCs w:val="44"/>
        </w:rPr>
      </w:pPr>
    </w:p>
    <w:p w14:paraId="6B9FB279">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 用 说 明</w:t>
      </w:r>
    </w:p>
    <w:p w14:paraId="3A575B3D">
      <w:pPr>
        <w:ind w:firstLine="640" w:firstLineChars="200"/>
        <w:rPr>
          <w:rFonts w:ascii="仿宋_GB2312" w:eastAsia="仿宋_GB2312" w:hAnsi="仿宋_GB2312" w:cs="仿宋_GB2312"/>
          <w:sz w:val="32"/>
          <w:szCs w:val="32"/>
        </w:rPr>
      </w:pPr>
    </w:p>
    <w:p w14:paraId="31A9BFDB">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14:paraId="2BDE4097">
      <w:pPr>
        <w:rPr>
          <w:rFonts w:ascii="Times New Roman" w:eastAsia="黑体" w:hAnsi="Times New Roman" w:cs="Times New Roman"/>
          <w:sz w:val="44"/>
          <w:szCs w:val="44"/>
        </w:rPr>
      </w:pPr>
      <w:r>
        <w:rPr>
          <w:rFonts w:ascii="Times New Roman" w:eastAsia="黑体" w:hAnsi="Times New Roman" w:cs="Times New Roman"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14:paraId="35F255BF">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14:paraId="1F57E485">
      <w:pPr>
        <w:rPr>
          <w:rFonts w:ascii="Times New Roman" w:eastAsia="黑体" w:hAnsi="Times New Roman" w:cs="Times New Roman"/>
          <w:sz w:val="44"/>
          <w:szCs w:val="44"/>
        </w:rPr>
        <w:sectPr>
          <w:pgSz w:w="11906" w:h="16838"/>
          <w:pgMar w:top="1440" w:right="1800" w:bottom="1440" w:left="1800" w:header="851" w:footer="992" w:gutter="0"/>
          <w:cols w:num="1" w:space="425"/>
          <w:docGrid w:type="lines" w:linePitch="312" w:charSpace="0"/>
        </w:sectPr>
      </w:pPr>
    </w:p>
    <w:p w14:paraId="176EBF01">
      <w:pPr>
        <w:keepNext/>
        <w:keepLines/>
        <w:adjustRightInd w:val="0"/>
        <w:snapToGrid w:val="0"/>
        <w:spacing w:before="260" w:after="260" w:line="400" w:lineRule="exact"/>
        <w:jc w:val="center"/>
        <w:outlineLvl w:val="1"/>
        <w:rPr>
          <w:rFonts w:ascii="黑体" w:eastAsia="黑体" w:hAnsi="华文中宋" w:cs="Times New Roman"/>
          <w:sz w:val="28"/>
          <w:szCs w:val="28"/>
        </w:rPr>
      </w:pPr>
      <w:bookmarkStart w:id="62" w:name="_Toc22209"/>
      <w:r>
        <w:rPr>
          <w:rFonts w:ascii="黑体" w:eastAsia="黑体" w:hAnsi="黑体" w:cs="Times New Roman" w:hint="eastAsia"/>
          <w:sz w:val="28"/>
          <w:szCs w:val="28"/>
        </w:rPr>
        <w:t xml:space="preserve">第一节 </w:t>
      </w:r>
      <w:r>
        <w:rPr>
          <w:rFonts w:ascii="黑体" w:eastAsia="黑体" w:hAnsi="华文中宋" w:cs="Times New Roman" w:hint="eastAsia"/>
          <w:sz w:val="28"/>
          <w:szCs w:val="28"/>
        </w:rPr>
        <w:t>政府采购合同协议书</w:t>
      </w:r>
      <w:bookmarkEnd w:id="62"/>
    </w:p>
    <w:p w14:paraId="1B2696C4">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甲方（全称）：</w:t>
      </w:r>
      <w:r>
        <w:rPr>
          <w:rFonts w:ascii="宋体" w:eastAsia="宋体" w:hAnsi="宋体" w:cs="Times New Roman" w:hint="eastAsia"/>
          <w:szCs w:val="21"/>
          <w:u w:val="single"/>
        </w:rPr>
        <w:t xml:space="preserve">                        </w:t>
      </w:r>
      <w:r>
        <w:rPr>
          <w:rFonts w:ascii="宋体" w:eastAsia="宋体" w:hAnsi="宋体" w:cs="Times New Roman" w:hint="eastAsia"/>
          <w:szCs w:val="21"/>
        </w:rPr>
        <w:t>（采购人、受采购人委托签订合同的单位或采购</w:t>
      </w:r>
      <w:r>
        <w:rPr>
          <w:rFonts w:ascii="宋体" w:eastAsia="宋体" w:hAnsi="宋体" w:cs="Times New Roman" w:hint="eastAsia"/>
          <w:szCs w:val="21"/>
        </w:rPr>
        <w:tab/>
      </w:r>
      <w:r>
        <w:rPr>
          <w:rFonts w:ascii="宋体" w:eastAsia="宋体" w:hAnsi="宋体" w:cs="Times New Roman" w:hint="eastAsia"/>
          <w:szCs w:val="21"/>
        </w:rPr>
        <w:t xml:space="preserve">                                   文件约定的合同甲方）</w:t>
      </w:r>
    </w:p>
    <w:p w14:paraId="4372D571">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乙方1（全称）：</w:t>
      </w:r>
      <w:r>
        <w:rPr>
          <w:rFonts w:ascii="宋体" w:eastAsia="宋体" w:hAnsi="宋体" w:cs="Times New Roman" w:hint="eastAsia"/>
          <w:szCs w:val="21"/>
          <w:u w:val="single"/>
        </w:rPr>
        <w:t xml:space="preserve">                       </w:t>
      </w:r>
      <w:r>
        <w:rPr>
          <w:rFonts w:ascii="宋体" w:eastAsia="宋体" w:hAnsi="宋体" w:cs="Times New Roman" w:hint="eastAsia"/>
          <w:szCs w:val="21"/>
        </w:rPr>
        <w:t>（供应商）</w:t>
      </w:r>
    </w:p>
    <w:p w14:paraId="7E54153C">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乙方2（全称）：</w:t>
      </w:r>
      <w:r>
        <w:rPr>
          <w:rFonts w:ascii="宋体" w:eastAsia="宋体" w:hAnsi="宋体" w:cs="Times New Roman" w:hint="eastAsia"/>
          <w:szCs w:val="21"/>
          <w:u w:val="single"/>
        </w:rPr>
        <w:t xml:space="preserve">                        </w:t>
      </w:r>
      <w:r>
        <w:rPr>
          <w:rFonts w:ascii="宋体" w:eastAsia="宋体" w:hAnsi="宋体" w:cs="Times New Roman" w:hint="eastAsia"/>
          <w:szCs w:val="21"/>
        </w:rPr>
        <w:t>（联合体成员供应商或其他合同主体）（如有）</w:t>
      </w:r>
    </w:p>
    <w:p w14:paraId="2EB8A86B">
      <w:pPr>
        <w:adjustRightInd w:val="0"/>
        <w:snapToGrid w:val="0"/>
        <w:spacing w:line="400" w:lineRule="exact"/>
        <w:rPr>
          <w:rFonts w:ascii="宋体" w:eastAsia="宋体" w:hAnsi="宋体" w:cs="Times New Roman"/>
          <w:szCs w:val="21"/>
        </w:rPr>
      </w:pPr>
      <w:r>
        <w:rPr>
          <w:rFonts w:ascii="Times New Roman" w:eastAsia="宋体" w:hAnsi="Times New Roman" w:cs="Times New Roman" w:hint="eastAsia"/>
          <w:szCs w:val="20"/>
        </w:rPr>
        <w:t>乙方</w:t>
      </w:r>
      <w:r>
        <w:rPr>
          <w:rFonts w:ascii="宋体" w:eastAsia="宋体" w:hAnsi="宋体" w:cs="Times New Roman" w:hint="eastAsia"/>
          <w:szCs w:val="21"/>
        </w:rPr>
        <w:t>3</w:t>
      </w:r>
      <w:r>
        <w:rPr>
          <w:rFonts w:ascii="Times New Roman" w:eastAsia="宋体" w:hAnsi="Times New Roman" w:cs="Times New Roman" w:hint="eastAsia"/>
          <w:szCs w:val="20"/>
        </w:rPr>
        <w:t>（全称）</w:t>
      </w:r>
      <w:r>
        <w:rPr>
          <w:rFonts w:ascii="宋体" w:eastAsia="宋体" w:hAnsi="宋体" w:cs="Times New Roman" w:hint="eastAsia"/>
          <w:szCs w:val="21"/>
          <w:u w:val="single"/>
        </w:rPr>
        <w:t xml:space="preserve">                          </w:t>
      </w:r>
      <w:r>
        <w:rPr>
          <w:rFonts w:ascii="宋体" w:eastAsia="宋体" w:hAnsi="宋体" w:cs="Times New Roman" w:hint="eastAsia"/>
          <w:szCs w:val="21"/>
        </w:rPr>
        <w:t>（联合体成员供应商或其他合同主体）（如有）</w:t>
      </w:r>
    </w:p>
    <w:p w14:paraId="27A87AF7">
      <w:pPr>
        <w:spacing w:line="400" w:lineRule="exact"/>
        <w:rPr>
          <w:rFonts w:ascii="Times New Roman" w:eastAsia="宋体" w:hAnsi="Times New Roman" w:cs="Times New Roman"/>
          <w:szCs w:val="20"/>
        </w:rPr>
      </w:pPr>
    </w:p>
    <w:p w14:paraId="025CA87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614C00A9">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项目信息</w:t>
      </w:r>
    </w:p>
    <w:p w14:paraId="647F58C1">
      <w:pPr>
        <w:numPr>
          <w:ilvl w:val="0"/>
          <w:numId w:val="4"/>
        </w:numPr>
        <w:adjustRightInd w:val="0"/>
        <w:snapToGrid w:val="0"/>
        <w:spacing w:line="400" w:lineRule="exact"/>
        <w:ind w:firstLine="420" w:firstLineChars="200"/>
        <w:rPr>
          <w:rFonts w:ascii="宋体" w:eastAsia="宋体" w:hAnsi="宋体" w:cs="Times New Roman"/>
          <w:szCs w:val="21"/>
          <w:u w:val="single"/>
        </w:rPr>
      </w:pPr>
      <w:r>
        <w:rPr>
          <w:rFonts w:ascii="宋体" w:eastAsia="宋体" w:hAnsi="宋体" w:cs="Times New Roman" w:hint="eastAsia"/>
          <w:szCs w:val="21"/>
        </w:rPr>
        <w:t>采购项目名称：</w:t>
      </w:r>
      <w:r>
        <w:rPr>
          <w:rFonts w:ascii="宋体" w:eastAsia="宋体" w:hAnsi="宋体" w:cs="Times New Roman"/>
          <w:szCs w:val="21"/>
          <w:u w:val="single"/>
        </w:rPr>
        <w:t xml:space="preserve">                                          </w:t>
      </w:r>
    </w:p>
    <w:p w14:paraId="4255DC68">
      <w:pPr>
        <w:numPr>
          <w:ilvl w:val="12"/>
          <w:numId w:val="0"/>
        </w:numPr>
        <w:tabs>
          <w:tab w:val="left" w:pos="999"/>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采购项目编号：</w:t>
      </w:r>
      <w:r>
        <w:rPr>
          <w:rFonts w:ascii="宋体" w:eastAsia="宋体" w:hAnsi="宋体" w:cs="Times New Roman"/>
          <w:szCs w:val="21"/>
          <w:u w:val="single"/>
        </w:rPr>
        <w:t xml:space="preserve">                                          </w:t>
      </w:r>
    </w:p>
    <w:p w14:paraId="752DF3B9">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（2）采购计划编号：</w:t>
      </w:r>
      <w:r>
        <w:rPr>
          <w:rFonts w:ascii="宋体" w:eastAsia="宋体" w:hAnsi="宋体" w:cs="Times New Roman"/>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szCs w:val="21"/>
          <w:u w:val="single"/>
        </w:rPr>
        <w:t xml:space="preserve">     </w:t>
      </w:r>
      <w:r>
        <w:rPr>
          <w:rFonts w:ascii="宋体" w:eastAsia="宋体" w:hAnsi="宋体" w:cs="Times New Roman"/>
          <w:szCs w:val="21"/>
        </w:rPr>
        <w:t xml:space="preserve"> </w:t>
      </w:r>
    </w:p>
    <w:p w14:paraId="57E833EA">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（3）项目内容：</w:t>
      </w:r>
    </w:p>
    <w:p w14:paraId="476D1C8C">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 xml:space="preserve">     采购标的及数量（台/套</w:t>
      </w:r>
      <w:r>
        <w:rPr>
          <w:rFonts w:ascii="宋体" w:eastAsia="宋体" w:hAnsi="宋体" w:cs="Times New Roman"/>
          <w:szCs w:val="21"/>
          <w:lang w:val="en"/>
        </w:rPr>
        <w:t>/</w:t>
      </w:r>
      <w:r>
        <w:rPr>
          <w:rFonts w:ascii="宋体" w:eastAsia="宋体" w:hAnsi="宋体" w:cs="Times New Roman" w:hint="eastAsia"/>
          <w:szCs w:val="21"/>
          <w:lang w:val="en"/>
        </w:rPr>
        <w:t>个</w:t>
      </w:r>
      <w:r>
        <w:rPr>
          <w:rFonts w:ascii="宋体" w:eastAsia="宋体" w:hAnsi="宋体" w:cs="Times New Roman"/>
          <w:szCs w:val="21"/>
          <w:lang w:val="en"/>
        </w:rPr>
        <w:t>/</w:t>
      </w:r>
      <w:r>
        <w:rPr>
          <w:rFonts w:ascii="宋体" w:eastAsia="宋体" w:hAnsi="宋体" w:cs="Times New Roman" w:hint="eastAsia"/>
          <w:szCs w:val="21"/>
          <w:lang w:val="en"/>
        </w:rPr>
        <w:t>架</w:t>
      </w:r>
      <w:r>
        <w:rPr>
          <w:rFonts w:ascii="宋体" w:eastAsia="宋体" w:hAnsi="宋体" w:cs="Times New Roman"/>
          <w:szCs w:val="21"/>
          <w:lang w:val="en"/>
        </w:rPr>
        <w:t>/</w:t>
      </w:r>
      <w:r>
        <w:rPr>
          <w:rFonts w:ascii="宋体" w:eastAsia="宋体" w:hAnsi="宋体" w:cs="Times New Roman" w:hint="eastAsia"/>
          <w:szCs w:val="21"/>
          <w:lang w:val="en"/>
        </w:rPr>
        <w:t>组等</w:t>
      </w:r>
      <w:r>
        <w:rPr>
          <w:rFonts w:ascii="宋体" w:eastAsia="宋体" w:hAnsi="宋体" w:cs="Times New Roman" w:hint="eastAsia"/>
          <w:szCs w:val="21"/>
        </w:rPr>
        <w:t>）：</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p>
    <w:p w14:paraId="06240CC1">
      <w:pPr>
        <w:numPr>
          <w:ilvl w:val="12"/>
          <w:numId w:val="0"/>
        </w:numPr>
        <w:adjustRightInd w:val="0"/>
        <w:snapToGrid w:val="0"/>
        <w:spacing w:line="400" w:lineRule="exact"/>
        <w:ind w:firstLine="420" w:firstLineChars="200"/>
        <w:rPr>
          <w:rFonts w:ascii="宋体" w:eastAsia="宋体" w:hAnsi="宋体" w:cs="宋体"/>
          <w:szCs w:val="21"/>
          <w:lang w:val="en"/>
        </w:rPr>
      </w:pPr>
      <w:r>
        <w:rPr>
          <w:rFonts w:ascii="宋体" w:eastAsia="宋体" w:hAnsi="宋体" w:cs="Times New Roman" w:hint="eastAsia"/>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lang w:val="en"/>
        </w:rPr>
        <w:t xml:space="preserve">     </w:t>
      </w:r>
      <w:r>
        <w:rPr>
          <w:rFonts w:ascii="宋体" w:eastAsia="宋体" w:hAnsi="宋体" w:cs="宋体" w:hint="eastAsia"/>
          <w:szCs w:val="21"/>
        </w:rPr>
        <w:t>规格型号：</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p>
    <w:p w14:paraId="5B0E5035">
      <w:pPr>
        <w:adjustRightInd w:val="0"/>
        <w:snapToGrid w:val="0"/>
        <w:spacing w:line="400" w:lineRule="exact"/>
        <w:ind w:firstLine="945" w:firstLineChars="450"/>
        <w:rPr>
          <w:rFonts w:ascii="宋体" w:eastAsia="宋体" w:hAnsi="宋体" w:cs="Times New Roman"/>
          <w:szCs w:val="21"/>
          <w:u w:val="single"/>
        </w:rPr>
      </w:pPr>
      <w:r>
        <w:rPr>
          <w:rFonts w:ascii="宋体" w:eastAsia="宋体" w:hAnsi="宋体" w:cs="Times New Roman" w:hint="eastAsia"/>
          <w:szCs w:val="21"/>
        </w:rPr>
        <w:t>采购标的的技术要求、商务要求具体见附件。</w:t>
      </w:r>
    </w:p>
    <w:p w14:paraId="03FD31A1">
      <w:pPr>
        <w:numPr>
          <w:ilvl w:val="12"/>
          <w:numId w:val="0"/>
        </w:numPr>
        <w:adjustRightInd w:val="0"/>
        <w:snapToGrid w:val="0"/>
        <w:spacing w:line="400" w:lineRule="exact"/>
        <w:ind w:firstLine="945" w:firstLineChars="450"/>
        <w:rPr>
          <w:rFonts w:ascii="宋体" w:eastAsia="宋体" w:hAnsi="宋体" w:cs="宋体"/>
          <w:szCs w:val="21"/>
        </w:rPr>
      </w:pPr>
      <w:r>
        <w:rPr>
          <w:rFonts w:ascii="汉仪书宋二S" w:eastAsia="汉仪书宋二S" w:hAnsi="汉仪书宋二S" w:cs="汉仪书宋二S" w:hint="eastAsia"/>
          <w:szCs w:val="21"/>
        </w:rPr>
        <w:t>①</w:t>
      </w:r>
      <w:r>
        <w:rPr>
          <w:rFonts w:ascii="宋体" w:eastAsia="宋体" w:hAnsi="宋体" w:cs="宋体" w:hint="eastAsia"/>
          <w:szCs w:val="21"/>
        </w:rPr>
        <w:t>涉及信息类产品，请填写该产品关键部件的品牌、型号：</w:t>
      </w:r>
    </w:p>
    <w:p w14:paraId="06E35D2A">
      <w:pPr>
        <w:numPr>
          <w:ilvl w:val="12"/>
          <w:numId w:val="0"/>
        </w:numPr>
        <w:adjustRightInd w:val="0"/>
        <w:snapToGrid w:val="0"/>
        <w:spacing w:line="400" w:lineRule="exact"/>
        <w:ind w:firstLine="420" w:firstLineChars="200"/>
        <w:rPr>
          <w:rFonts w:ascii="宋体" w:eastAsia="宋体" w:hAnsi="宋体" w:cs="宋体"/>
          <w:kern w:val="0"/>
          <w:szCs w:val="21"/>
          <w:u w:val="single"/>
        </w:rPr>
      </w:pPr>
      <w:r>
        <w:rPr>
          <w:rFonts w:ascii="宋体" w:eastAsia="宋体" w:hAnsi="宋体" w:cs="宋体" w:hint="eastAsia"/>
          <w:szCs w:val="21"/>
        </w:rPr>
        <w:t xml:space="preserve">     标的名称：</w:t>
      </w:r>
      <w:r>
        <w:rPr>
          <w:rFonts w:ascii="宋体" w:eastAsia="宋体" w:hAnsi="宋体" w:cs="宋体" w:hint="eastAsia"/>
          <w:kern w:val="0"/>
          <w:szCs w:val="21"/>
          <w:u w:val="single"/>
        </w:rPr>
        <w:t xml:space="preserve">      </w:t>
      </w:r>
      <w:r>
        <w:rPr>
          <w:rFonts w:ascii="宋体" w:eastAsia="宋体" w:hAnsi="宋体" w:cs="宋体"/>
          <w:kern w:val="0"/>
          <w:szCs w:val="21"/>
          <w:u w:val="single"/>
          <w:lang w:val="en"/>
        </w:rPr>
        <w:t xml:space="preserve">               </w:t>
      </w:r>
      <w:r>
        <w:rPr>
          <w:rFonts w:ascii="宋体" w:eastAsia="宋体" w:hAnsi="宋体" w:cs="宋体" w:hint="eastAsia"/>
          <w:kern w:val="0"/>
          <w:szCs w:val="21"/>
          <w:u w:val="single"/>
        </w:rPr>
        <w:t xml:space="preserve">    </w:t>
      </w:r>
    </w:p>
    <w:p w14:paraId="09FF2396">
      <w:pPr>
        <w:numPr>
          <w:ilvl w:val="12"/>
          <w:numId w:val="0"/>
        </w:num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 xml:space="preserve">     关键部件：</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hint="eastAsia"/>
          <w:szCs w:val="21"/>
        </w:rPr>
        <w:t xml:space="preserve"> 型号：</w:t>
      </w:r>
      <w:r>
        <w:rPr>
          <w:rFonts w:ascii="宋体" w:eastAsia="宋体" w:hAnsi="宋体" w:cs="宋体" w:hint="eastAsia"/>
          <w:szCs w:val="21"/>
          <w:u w:val="single"/>
        </w:rPr>
        <w:t xml:space="preserve">       </w:t>
      </w:r>
      <w:r>
        <w:rPr>
          <w:rFonts w:ascii="宋体" w:eastAsia="宋体" w:hAnsi="宋体" w:cs="宋体" w:hint="eastAsia"/>
          <w:szCs w:val="21"/>
        </w:rPr>
        <w:t xml:space="preserve"> </w:t>
      </w:r>
    </w:p>
    <w:p w14:paraId="062620CB">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hint="eastAsia"/>
          <w:szCs w:val="21"/>
        </w:rPr>
        <w:t>关键部件</w:t>
      </w:r>
      <w:r>
        <w:rPr>
          <w:rFonts w:ascii="宋体" w:eastAsia="宋体" w:hAnsi="宋体" w:cs="宋体" w:hint="eastAsia"/>
          <w:kern w:val="0"/>
          <w:szCs w:val="21"/>
        </w:rPr>
        <w:t>：</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品牌：</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型号：</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p>
    <w:p w14:paraId="624E3DD9">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关键部件：</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品牌：</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型号：</w:t>
      </w:r>
      <w:r>
        <w:rPr>
          <w:rFonts w:ascii="宋体" w:eastAsia="宋体" w:hAnsi="宋体" w:cs="宋体" w:hint="eastAsia"/>
          <w:kern w:val="0"/>
          <w:szCs w:val="21"/>
          <w:u w:val="single"/>
        </w:rPr>
        <w:t xml:space="preserve">       </w:t>
      </w:r>
    </w:p>
    <w:p w14:paraId="1ABC334B">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（注：关键部件是指财政部会同有关部门发布的政府采购需求标准规定的需要通过国家有关部门指定的测评机构开展的安全可靠测评的软硬件，如CPU芯片、操作系统、数据库等。）</w:t>
      </w:r>
    </w:p>
    <w:p w14:paraId="4F35D2E3">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汉仪书宋二S" w:eastAsia="汉仪书宋二S" w:hAnsi="汉仪书宋二S" w:cs="汉仪书宋二S" w:hint="eastAsia"/>
          <w:kern w:val="0"/>
          <w:szCs w:val="21"/>
        </w:rPr>
        <w:t>②</w:t>
      </w:r>
      <w:r>
        <w:rPr>
          <w:rFonts w:ascii="宋体" w:eastAsia="宋体" w:hAnsi="宋体" w:cs="宋体" w:hint="eastAsia"/>
          <w:kern w:val="0"/>
          <w:szCs w:val="21"/>
        </w:rPr>
        <w:t>涉及车辆采购，请填写是否属于新能源汽车：</w:t>
      </w:r>
    </w:p>
    <w:p w14:paraId="3ED98348">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是，《政府采购品目分类目录》底级品目名称：</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数量：</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金额：</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p>
    <w:p w14:paraId="5277D541">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否</w:t>
      </w:r>
    </w:p>
    <w:p w14:paraId="3F20CB33">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kern w:val="0"/>
          <w:szCs w:val="21"/>
          <w:lang w:val="en"/>
        </w:rPr>
        <w:t>4</w:t>
      </w:r>
      <w:r>
        <w:rPr>
          <w:rFonts w:ascii="宋体" w:eastAsia="宋体" w:hAnsi="宋体" w:cs="宋体" w:hint="eastAsia"/>
          <w:kern w:val="0"/>
          <w:szCs w:val="21"/>
        </w:rPr>
        <w:t>）政府采购组织形式：</w:t>
      </w:r>
      <w:r>
        <w:rPr>
          <w:rFonts w:ascii="Wingdings" w:eastAsia="宋体" w:hAnsi="Wingdings" w:cs="宋体"/>
          <w:kern w:val="0"/>
          <w:szCs w:val="21"/>
        </w:rPr>
        <w:sym w:font="Wingdings" w:char="F0A8"/>
      </w:r>
      <w:r>
        <w:rPr>
          <w:rFonts w:ascii="宋体" w:eastAsia="宋体" w:hAnsi="宋体" w:cs="宋体" w:hint="eastAsia"/>
          <w:kern w:val="0"/>
          <w:szCs w:val="21"/>
        </w:rPr>
        <w:t xml:space="preserve">政府集中采购  </w:t>
      </w:r>
      <w:r>
        <w:rPr>
          <w:rFonts w:ascii="Wingdings" w:eastAsia="宋体" w:hAnsi="Wingdings" w:cs="宋体"/>
          <w:kern w:val="0"/>
          <w:szCs w:val="21"/>
        </w:rPr>
        <w:sym w:font="Wingdings" w:char="F0A8"/>
      </w:r>
      <w:r>
        <w:rPr>
          <w:rFonts w:ascii="宋体" w:eastAsia="宋体" w:hAnsi="宋体" w:cs="宋体" w:hint="eastAsia"/>
          <w:kern w:val="0"/>
          <w:szCs w:val="21"/>
        </w:rPr>
        <w:t xml:space="preserve">部门集中采购  </w:t>
      </w:r>
      <w:r>
        <w:rPr>
          <w:rFonts w:ascii="Wingdings" w:eastAsia="宋体" w:hAnsi="Wingdings" w:cs="宋体"/>
          <w:kern w:val="0"/>
          <w:szCs w:val="21"/>
        </w:rPr>
        <w:sym w:font="Wingdings" w:char="F0A8"/>
      </w:r>
      <w:r>
        <w:rPr>
          <w:rFonts w:ascii="宋体" w:eastAsia="宋体" w:hAnsi="宋体" w:cs="宋体" w:hint="eastAsia"/>
          <w:kern w:val="0"/>
          <w:szCs w:val="21"/>
        </w:rPr>
        <w:t>分散采购</w:t>
      </w:r>
    </w:p>
    <w:p w14:paraId="49CBC485">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rPr>
      </w:pPr>
      <w:r>
        <w:rPr>
          <w:rFonts w:ascii="宋体" w:eastAsia="宋体" w:hAnsi="宋体" w:cs="宋体" w:hint="eastAsia"/>
          <w:kern w:val="0"/>
          <w:szCs w:val="21"/>
        </w:rPr>
        <w:t>（</w:t>
      </w:r>
      <w:r>
        <w:rPr>
          <w:rFonts w:ascii="宋体" w:eastAsia="宋体" w:hAnsi="宋体" w:cs="宋体"/>
          <w:kern w:val="0"/>
          <w:szCs w:val="21"/>
          <w:lang w:val="en"/>
        </w:rPr>
        <w:t>5</w:t>
      </w:r>
      <w:r>
        <w:rPr>
          <w:rFonts w:ascii="宋体" w:eastAsia="宋体" w:hAnsi="宋体" w:cs="宋体" w:hint="eastAsia"/>
          <w:kern w:val="0"/>
          <w:szCs w:val="21"/>
        </w:rPr>
        <w:t>）政府采购方式：</w:t>
      </w:r>
      <w:r>
        <w:rPr>
          <w:rFonts w:ascii="Wingdings" w:eastAsia="宋体" w:hAnsi="Wingdings" w:cs="宋体"/>
          <w:kern w:val="0"/>
          <w:szCs w:val="21"/>
        </w:rPr>
        <w:sym w:font="Wingdings" w:char="F0A8"/>
      </w:r>
      <w:r>
        <w:rPr>
          <w:rFonts w:ascii="宋体" w:eastAsia="宋体" w:hAnsi="宋体" w:cs="宋体" w:hint="eastAsia"/>
          <w:kern w:val="0"/>
          <w:szCs w:val="21"/>
        </w:rPr>
        <w:t xml:space="preserve">公开招标 </w:t>
      </w:r>
      <w:r>
        <w:rPr>
          <w:rFonts w:ascii="Wingdings" w:eastAsia="宋体" w:hAnsi="Wingdings" w:cs="宋体"/>
          <w:kern w:val="0"/>
          <w:szCs w:val="21"/>
        </w:rPr>
        <w:sym w:font="Wingdings" w:char="F0A8"/>
      </w:r>
      <w:r>
        <w:rPr>
          <w:rFonts w:ascii="宋体" w:eastAsia="宋体" w:hAnsi="宋体" w:cs="宋体" w:hint="eastAsia"/>
          <w:kern w:val="0"/>
          <w:szCs w:val="21"/>
        </w:rPr>
        <w:t xml:space="preserve">邀请招标 </w:t>
      </w:r>
      <w:r>
        <w:rPr>
          <w:rFonts w:ascii="Wingdings" w:eastAsia="宋体" w:hAnsi="Wingdings" w:cs="宋体"/>
          <w:kern w:val="0"/>
          <w:szCs w:val="21"/>
        </w:rPr>
        <w:sym w:font="Wingdings" w:char="F0A8"/>
      </w:r>
      <w:r>
        <w:rPr>
          <w:rFonts w:ascii="宋体" w:eastAsia="宋体" w:hAnsi="宋体" w:cs="宋体" w:hint="eastAsia"/>
          <w:kern w:val="0"/>
          <w:szCs w:val="21"/>
        </w:rPr>
        <w:t xml:space="preserve">竞争性谈判 </w:t>
      </w:r>
      <w:r>
        <w:rPr>
          <w:rFonts w:ascii="Wingdings" w:eastAsia="宋体" w:hAnsi="Wingdings" w:cs="宋体"/>
          <w:kern w:val="0"/>
          <w:szCs w:val="21"/>
        </w:rPr>
        <w:sym w:font="Wingdings" w:char="F0A8"/>
      </w:r>
      <w:r>
        <w:rPr>
          <w:rFonts w:ascii="宋体" w:eastAsia="宋体" w:hAnsi="宋体" w:cs="宋体" w:hint="eastAsia"/>
          <w:kern w:val="0"/>
          <w:szCs w:val="21"/>
        </w:rPr>
        <w:t>竞争性磋商</w:t>
      </w:r>
    </w:p>
    <w:p w14:paraId="22E8ACA8">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u w:val="single"/>
        </w:rPr>
      </w:pPr>
      <w:r>
        <w:rPr>
          <w:rFonts w:ascii="宋体" w:eastAsia="华文楷体" w:hAnsi="宋体" w:cs="宋体" w:hint="eastAsia"/>
          <w:kern w:val="0"/>
          <w:sz w:val="22"/>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 xml:space="preserve">询价 </w:t>
      </w:r>
      <w:r>
        <w:rPr>
          <w:rFonts w:ascii="Wingdings" w:eastAsia="宋体" w:hAnsi="Wingdings" w:cs="宋体"/>
          <w:kern w:val="0"/>
          <w:szCs w:val="21"/>
        </w:rPr>
        <w:sym w:font="Wingdings" w:char="F0A8"/>
      </w:r>
      <w:r>
        <w:rPr>
          <w:rFonts w:ascii="宋体" w:eastAsia="宋体" w:hAnsi="宋体" w:cs="宋体" w:hint="eastAsia"/>
          <w:kern w:val="0"/>
          <w:szCs w:val="21"/>
        </w:rPr>
        <w:t xml:space="preserve">单一来源 </w:t>
      </w:r>
      <w:r>
        <w:rPr>
          <w:rFonts w:ascii="Wingdings" w:eastAsia="宋体" w:hAnsi="Wingdings" w:cs="宋体"/>
          <w:kern w:val="0"/>
          <w:szCs w:val="21"/>
        </w:rPr>
        <w:sym w:font="Wingdings" w:char="F0A8"/>
      </w:r>
      <w:r>
        <w:rPr>
          <w:rFonts w:ascii="宋体" w:eastAsia="宋体" w:hAnsi="宋体" w:cs="宋体" w:hint="eastAsia"/>
          <w:kern w:val="0"/>
          <w:szCs w:val="21"/>
        </w:rPr>
        <w:t xml:space="preserve">框架协议 </w:t>
      </w:r>
      <w:r>
        <w:rPr>
          <w:rFonts w:ascii="Wingdings" w:eastAsia="宋体" w:hAnsi="Wingdings" w:cs="宋体"/>
          <w:kern w:val="0"/>
          <w:szCs w:val="21"/>
        </w:rPr>
        <w:sym w:font="Wingdings" w:char="F0A8"/>
      </w:r>
      <w:r>
        <w:rPr>
          <w:rFonts w:ascii="宋体" w:eastAsia="宋体" w:hAnsi="宋体" w:cs="宋体" w:hint="eastAsia"/>
          <w:kern w:val="0"/>
          <w:szCs w:val="21"/>
        </w:rPr>
        <w:t>其他：</w:t>
      </w:r>
      <w:r>
        <w:rPr>
          <w:rFonts w:ascii="宋体" w:eastAsia="宋体" w:hAnsi="宋体" w:cs="宋体" w:hint="eastAsia"/>
          <w:kern w:val="0"/>
          <w:szCs w:val="21"/>
          <w:u w:val="single"/>
        </w:rPr>
        <w:t xml:space="preserve">          </w:t>
      </w:r>
    </w:p>
    <w:p w14:paraId="46D81834">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rPr>
      </w:pPr>
      <w:r>
        <w:rPr>
          <w:rFonts w:ascii="宋体" w:eastAsia="宋体" w:hAnsi="宋体" w:cs="宋体" w:hint="eastAsia"/>
          <w:kern w:val="0"/>
          <w:szCs w:val="21"/>
        </w:rPr>
        <w:t>（注：在框架协议采购的第二阶段，可选择使用该合同文本）</w:t>
      </w:r>
    </w:p>
    <w:p w14:paraId="1C54AB55">
      <w:pPr>
        <w:widowControl/>
        <w:numPr>
          <w:ilvl w:val="12"/>
          <w:numId w:val="0"/>
        </w:numPr>
        <w:autoSpaceDE w:val="0"/>
        <w:autoSpaceDN w:val="0"/>
        <w:adjustRightInd w:val="0"/>
        <w:snapToGrid w:val="0"/>
        <w:spacing w:line="400" w:lineRule="exact"/>
        <w:ind w:firstLine="220" w:firstLineChars="100"/>
        <w:jc w:val="left"/>
        <w:rPr>
          <w:rFonts w:ascii="宋体" w:eastAsia="宋体" w:hAnsi="宋体" w:cs="Times New Roman"/>
          <w:szCs w:val="21"/>
        </w:rPr>
      </w:pPr>
      <w:r>
        <w:rPr>
          <w:rFonts w:ascii="宋体" w:eastAsia="华文楷体" w:hAnsi="宋体" w:cs="华文楷体" w:hint="eastAsia"/>
          <w:kern w:val="0"/>
          <w:sz w:val="22"/>
          <w:szCs w:val="21"/>
        </w:rPr>
        <w:t xml:space="preserve"> （</w:t>
      </w:r>
      <w:r>
        <w:rPr>
          <w:rFonts w:ascii="宋体" w:eastAsia="华文楷体" w:hAnsi="宋体" w:cs="华文楷体"/>
          <w:kern w:val="0"/>
          <w:sz w:val="22"/>
          <w:szCs w:val="21"/>
          <w:lang w:val="en"/>
        </w:rPr>
        <w:t>6</w:t>
      </w:r>
      <w:r>
        <w:rPr>
          <w:rFonts w:ascii="宋体" w:eastAsia="华文楷体" w:hAnsi="宋体" w:cs="华文楷体" w:hint="eastAsia"/>
          <w:kern w:val="0"/>
          <w:sz w:val="22"/>
          <w:szCs w:val="21"/>
        </w:rPr>
        <w:t>）</w:t>
      </w:r>
      <w:r>
        <w:rPr>
          <w:rFonts w:ascii="宋体" w:eastAsia="宋体" w:hAnsi="宋体" w:cs="Times New Roman" w:hint="eastAsia"/>
          <w:szCs w:val="21"/>
        </w:rPr>
        <w:t>中标（成交）采购标的制造商是否为中小企业：</w:t>
      </w:r>
      <w:r>
        <w:rPr>
          <w:rFonts w:ascii="Wingdings" w:eastAsia="宋体" w:hAnsi="Wingdings" w:cs="Times New Roman"/>
          <w:szCs w:val="21"/>
        </w:rPr>
        <w:sym w:font="Wingdings" w:char="F0A8"/>
      </w:r>
      <w:r>
        <w:rPr>
          <w:rFonts w:ascii="宋体" w:eastAsia="宋体" w:hAnsi="宋体" w:cs="Times New Roman" w:hint="eastAsia"/>
          <w:szCs w:val="21"/>
        </w:rPr>
        <w:t xml:space="preserve">是      </w:t>
      </w:r>
      <w:r>
        <w:rPr>
          <w:rFonts w:ascii="Wingdings" w:eastAsia="宋体" w:hAnsi="Wingdings" w:cs="Times New Roman"/>
          <w:szCs w:val="21"/>
        </w:rPr>
        <w:sym w:font="Wingdings" w:char="F0A8"/>
      </w:r>
      <w:r>
        <w:rPr>
          <w:rFonts w:ascii="宋体" w:eastAsia="宋体" w:hAnsi="宋体" w:cs="Times New Roman" w:hint="eastAsia"/>
          <w:szCs w:val="21"/>
        </w:rPr>
        <w:t>否</w:t>
      </w:r>
    </w:p>
    <w:p w14:paraId="6A5AE018">
      <w:pPr>
        <w:numPr>
          <w:ilvl w:val="12"/>
          <w:numId w:val="0"/>
        </w:numPr>
        <w:adjustRightInd w:val="0"/>
        <w:snapToGrid w:val="0"/>
        <w:spacing w:line="400" w:lineRule="exact"/>
        <w:rPr>
          <w:rFonts w:ascii="宋体" w:eastAsia="宋体" w:hAnsi="宋体" w:cs="Times New Roman"/>
          <w:iCs/>
          <w:szCs w:val="21"/>
        </w:rPr>
      </w:pPr>
      <w:r>
        <w:rPr>
          <w:rFonts w:ascii="宋体" w:eastAsia="宋体" w:hAnsi="宋体" w:cs="Times New Roman" w:hint="eastAsia"/>
          <w:szCs w:val="21"/>
        </w:rPr>
        <w:t xml:space="preserve">         本合同是否为专门面向中小企业的采购合同（中小企业预留合同）：</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6F676EDB">
      <w:pPr>
        <w:numPr>
          <w:ilvl w:val="12"/>
          <w:numId w:val="0"/>
        </w:numPr>
        <w:adjustRightInd w:val="0"/>
        <w:snapToGrid w:val="0"/>
        <w:spacing w:line="400" w:lineRule="exact"/>
        <w:rPr>
          <w:rFonts w:ascii="宋体" w:eastAsia="宋体" w:hAnsi="宋体" w:cs="Times New Roman"/>
          <w:iCs/>
          <w:szCs w:val="21"/>
        </w:rPr>
      </w:pPr>
      <w:r>
        <w:rPr>
          <w:rFonts w:ascii="Times New Roman" w:eastAsia="宋体" w:hAnsi="Times New Roman" w:cs="Times New Roman" w:hint="eastAsia"/>
          <w:szCs w:val="20"/>
        </w:rPr>
        <w:t xml:space="preserve">         若本项目不专门面向中小企业采购，是否给予小微企业评审优惠：</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1DACBA63">
      <w:pPr>
        <w:numPr>
          <w:ilvl w:val="12"/>
          <w:numId w:val="0"/>
        </w:numPr>
        <w:adjustRightInd w:val="0"/>
        <w:snapToGrid w:val="0"/>
        <w:spacing w:line="400" w:lineRule="exact"/>
        <w:rPr>
          <w:rFonts w:ascii="宋体" w:eastAsia="宋体" w:hAnsi="宋体" w:cs="Times New Roman"/>
          <w:iCs/>
          <w:szCs w:val="21"/>
        </w:rPr>
      </w:pPr>
      <w:r>
        <w:rPr>
          <w:rFonts w:ascii="Times New Roman" w:eastAsia="宋体" w:hAnsi="Times New Roman" w:cs="Times New Roman" w:hint="eastAsia"/>
          <w:szCs w:val="20"/>
        </w:rPr>
        <w:t xml:space="preserve">         中标（成交）采购标的制造商是否为残疾人福利性单位：</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2FF787AB">
      <w:pPr>
        <w:snapToGrid w:val="0"/>
        <w:spacing w:line="400" w:lineRule="exact"/>
        <w:rPr>
          <w:rFonts w:ascii="Times New Roman" w:eastAsia="宋体" w:hAnsi="Times New Roman" w:cs="Times New Roman"/>
          <w:szCs w:val="20"/>
        </w:rPr>
      </w:pPr>
      <w:r>
        <w:rPr>
          <w:rFonts w:ascii="Times New Roman" w:eastAsia="宋体" w:hAnsi="Times New Roman" w:cs="Times New Roman" w:hint="eastAsia"/>
          <w:szCs w:val="20"/>
        </w:rPr>
        <w:t xml:space="preserve">         中标（成交）采购标的制造商是否为监狱企业：</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4BE5D45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lang w:val="en"/>
        </w:rPr>
        <w:t>7</w:t>
      </w:r>
      <w:r>
        <w:rPr>
          <w:rFonts w:ascii="宋体" w:eastAsia="宋体" w:hAnsi="宋体" w:cs="Times New Roman" w:hint="eastAsia"/>
          <w:szCs w:val="21"/>
        </w:rPr>
        <w:t>）合同是否分包：</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216371F3">
      <w:pPr>
        <w:adjustRightInd w:val="0"/>
        <w:snapToGrid w:val="0"/>
        <w:spacing w:line="400" w:lineRule="exact"/>
        <w:ind w:firstLine="840" w:firstLineChars="400"/>
        <w:rPr>
          <w:rFonts w:ascii="宋体" w:eastAsia="宋体" w:hAnsi="宋体" w:cs="Times New Roman"/>
          <w:szCs w:val="21"/>
          <w:u w:val="single"/>
        </w:rPr>
      </w:pPr>
      <w:r>
        <w:rPr>
          <w:rFonts w:ascii="宋体" w:eastAsia="宋体" w:hAnsi="宋体" w:cs="Times New Roman" w:hint="eastAsia"/>
          <w:szCs w:val="21"/>
        </w:rPr>
        <w:t xml:space="preserve"> 分包主要内容：</w:t>
      </w:r>
      <w:r>
        <w:rPr>
          <w:rFonts w:ascii="宋体" w:eastAsia="宋体" w:hAnsi="宋体" w:cs="Times New Roman" w:hint="eastAsia"/>
          <w:szCs w:val="21"/>
          <w:u w:val="single"/>
        </w:rPr>
        <w:t xml:space="preserve">                                            </w:t>
      </w:r>
    </w:p>
    <w:p w14:paraId="072254E1">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分包供应商/制造商名称（如供应商和制造商不同，请分别填写）：</w:t>
      </w:r>
    </w:p>
    <w:p w14:paraId="08B8AEAD">
      <w:pPr>
        <w:adjustRightInd w:val="0"/>
        <w:snapToGrid w:val="0"/>
        <w:spacing w:line="400" w:lineRule="exact"/>
        <w:ind w:firstLine="840" w:firstLineChars="400"/>
        <w:rPr>
          <w:rFonts w:ascii="宋体" w:eastAsia="宋体" w:hAnsi="宋体" w:cs="Times New Roman"/>
          <w:szCs w:val="21"/>
          <w:u w:val="single"/>
        </w:rPr>
      </w:pP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p>
    <w:p w14:paraId="5892D301">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分包供应商/制造商类型（如果供应商和制造商不同，只填写制造商类型）：</w:t>
      </w:r>
    </w:p>
    <w:p w14:paraId="6F16E839">
      <w:pPr>
        <w:adjustRightInd w:val="0"/>
        <w:snapToGrid w:val="0"/>
        <w:spacing w:line="400" w:lineRule="exact"/>
        <w:ind w:firstLine="840" w:firstLineChars="400"/>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大型企业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中型企业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小微型企业  </w:t>
      </w:r>
    </w:p>
    <w:p w14:paraId="74E4510D">
      <w:pPr>
        <w:adjustRightInd w:val="0"/>
        <w:snapToGrid w:val="0"/>
        <w:spacing w:line="400" w:lineRule="exact"/>
        <w:ind w:firstLine="840" w:firstLineChars="400"/>
        <w:rPr>
          <w:rFonts w:ascii="Times New Roman" w:eastAsia="华文楷体" w:hAnsi="Times New Roman" w:cs="Times New Roman"/>
          <w:szCs w:val="20"/>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残疾人福利性单位 </w:t>
      </w:r>
      <w:r>
        <w:rPr>
          <w:rFonts w:ascii="Wingdings" w:eastAsia="宋体" w:hAnsi="Wingdings" w:cs="Times New Roman"/>
          <w:iCs/>
          <w:szCs w:val="21"/>
        </w:rPr>
        <w:sym w:font="Wingdings" w:char="F0A8"/>
      </w:r>
      <w:r>
        <w:rPr>
          <w:rFonts w:ascii="宋体" w:eastAsia="宋体" w:hAnsi="宋体" w:cs="Times New Roman" w:hint="eastAsia"/>
          <w:iCs/>
          <w:szCs w:val="21"/>
        </w:rPr>
        <w:t xml:space="preserve">监狱企业 </w:t>
      </w:r>
      <w:r>
        <w:rPr>
          <w:rFonts w:ascii="Wingdings" w:eastAsia="宋体" w:hAnsi="Wingdings" w:cs="Times New Roman"/>
          <w:iCs/>
          <w:szCs w:val="21"/>
        </w:rPr>
        <w:sym w:font="Wingdings" w:char="F0A8"/>
      </w:r>
      <w:r>
        <w:rPr>
          <w:rFonts w:ascii="宋体" w:eastAsia="宋体" w:hAnsi="宋体" w:cs="Times New Roman" w:hint="eastAsia"/>
          <w:iCs/>
          <w:szCs w:val="21"/>
        </w:rPr>
        <w:t>其他</w:t>
      </w:r>
    </w:p>
    <w:p w14:paraId="00AD964B">
      <w:pPr>
        <w:numPr>
          <w:ilvl w:val="12"/>
          <w:numId w:val="0"/>
        </w:numPr>
        <w:adjustRightInd w:val="0"/>
        <w:snapToGrid w:val="0"/>
        <w:spacing w:line="400" w:lineRule="exact"/>
        <w:rPr>
          <w:rFonts w:ascii="宋体" w:eastAsia="宋体" w:hAnsi="宋体" w:cs="宋体"/>
          <w:iCs/>
          <w:szCs w:val="21"/>
        </w:rPr>
      </w:pPr>
      <w:r>
        <w:rPr>
          <w:rFonts w:ascii="宋体" w:eastAsia="宋体" w:hAnsi="宋体" w:cs="Times New Roman" w:hint="eastAsia"/>
          <w:szCs w:val="21"/>
        </w:rPr>
        <w:t xml:space="preserve">    </w:t>
      </w:r>
      <w:r>
        <w:rPr>
          <w:rFonts w:ascii="宋体" w:eastAsia="宋体" w:hAnsi="宋体" w:cs="宋体" w:hint="eastAsia"/>
          <w:szCs w:val="21"/>
        </w:rPr>
        <w:t>（</w:t>
      </w:r>
      <w:r>
        <w:rPr>
          <w:rFonts w:ascii="宋体" w:eastAsia="宋体" w:hAnsi="宋体" w:cs="宋体"/>
          <w:szCs w:val="21"/>
          <w:lang w:val="en"/>
        </w:rPr>
        <w:t>8</w:t>
      </w:r>
      <w:r>
        <w:rPr>
          <w:rFonts w:ascii="宋体" w:eastAsia="宋体" w:hAnsi="宋体" w:cs="宋体" w:hint="eastAsia"/>
          <w:szCs w:val="21"/>
        </w:rPr>
        <w:t>）中标（成交）供应商是否为外商投资企业：</w:t>
      </w:r>
      <w:r>
        <w:rPr>
          <w:rFonts w:ascii="Wingdings" w:eastAsia="宋体" w:hAnsi="Wingdings" w:cs="宋体"/>
          <w:iCs/>
          <w:szCs w:val="21"/>
        </w:rPr>
        <w:sym w:font="Wingdings" w:char="F0A8"/>
      </w:r>
      <w:r>
        <w:rPr>
          <w:rFonts w:ascii="宋体" w:eastAsia="宋体" w:hAnsi="宋体" w:cs="宋体" w:hint="eastAsia"/>
          <w:iCs/>
          <w:szCs w:val="21"/>
        </w:rPr>
        <w:t xml:space="preserve">是       </w:t>
      </w:r>
      <w:r>
        <w:rPr>
          <w:rFonts w:ascii="Wingdings" w:eastAsia="宋体" w:hAnsi="Wingdings" w:cs="宋体"/>
          <w:iCs/>
          <w:szCs w:val="21"/>
        </w:rPr>
        <w:sym w:font="Wingdings" w:char="F0A8"/>
      </w:r>
      <w:r>
        <w:rPr>
          <w:rFonts w:ascii="宋体" w:eastAsia="宋体" w:hAnsi="宋体" w:cs="宋体" w:hint="eastAsia"/>
          <w:iCs/>
          <w:szCs w:val="21"/>
        </w:rPr>
        <w:t>否</w:t>
      </w:r>
    </w:p>
    <w:p w14:paraId="02FABEDC">
      <w:pPr>
        <w:widowControl/>
        <w:tabs>
          <w:tab w:val="left" w:pos="1340"/>
        </w:tabs>
        <w:autoSpaceDE w:val="0"/>
        <w:autoSpaceDN w:val="0"/>
        <w:adjustRightInd w:val="0"/>
        <w:spacing w:line="400" w:lineRule="exact"/>
        <w:ind w:firstLine="420" w:firstLineChars="200"/>
        <w:jc w:val="left"/>
        <w:rPr>
          <w:rFonts w:ascii="宋体" w:eastAsia="宋体" w:hAnsi="宋体" w:cs="宋体"/>
          <w:kern w:val="0"/>
          <w:szCs w:val="21"/>
          <w:u w:val="single"/>
        </w:rPr>
      </w:pPr>
      <w:r>
        <w:rPr>
          <w:rFonts w:ascii="宋体" w:eastAsia="宋体" w:hAnsi="宋体" w:cs="宋体" w:hint="eastAsia"/>
          <w:kern w:val="0"/>
          <w:szCs w:val="21"/>
        </w:rPr>
        <w:t xml:space="preserve">     外商投资企业类型：</w:t>
      </w:r>
      <w:r>
        <w:rPr>
          <w:rFonts w:ascii="Wingdings" w:eastAsia="宋体" w:hAnsi="Wingdings" w:cs="宋体"/>
          <w:iCs/>
          <w:kern w:val="0"/>
          <w:szCs w:val="21"/>
        </w:rPr>
        <w:sym w:font="Wingdings" w:char="F0A8"/>
      </w:r>
      <w:r>
        <w:rPr>
          <w:rFonts w:ascii="宋体" w:eastAsia="宋体" w:hAnsi="宋体" w:cs="宋体" w:hint="eastAsia"/>
          <w:kern w:val="0"/>
          <w:szCs w:val="21"/>
        </w:rPr>
        <w:t xml:space="preserve">全部由外国投资者投资  </w:t>
      </w:r>
      <w:r>
        <w:rPr>
          <w:rFonts w:ascii="Wingdings" w:eastAsia="宋体" w:hAnsi="Wingdings" w:cs="宋体"/>
          <w:iCs/>
          <w:kern w:val="0"/>
          <w:szCs w:val="21"/>
        </w:rPr>
        <w:sym w:font="Wingdings" w:char="F0A8"/>
      </w:r>
      <w:r>
        <w:rPr>
          <w:rFonts w:ascii="宋体" w:eastAsia="宋体" w:hAnsi="宋体" w:cs="宋体" w:hint="eastAsia"/>
          <w:iCs/>
          <w:kern w:val="0"/>
          <w:szCs w:val="21"/>
        </w:rPr>
        <w:t>部分由外国投资者投资</w:t>
      </w:r>
    </w:p>
    <w:p w14:paraId="0F743E64">
      <w:pPr>
        <w:numPr>
          <w:ilvl w:val="12"/>
          <w:numId w:val="0"/>
        </w:num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w:t>
      </w:r>
      <w:r>
        <w:rPr>
          <w:rFonts w:ascii="宋体" w:eastAsia="宋体" w:hAnsi="宋体" w:cs="宋体"/>
          <w:szCs w:val="21"/>
          <w:lang w:val="en"/>
        </w:rPr>
        <w:t>9</w:t>
      </w:r>
      <w:r>
        <w:rPr>
          <w:rFonts w:ascii="宋体" w:eastAsia="宋体" w:hAnsi="宋体" w:cs="宋体" w:hint="eastAsia"/>
          <w:szCs w:val="21"/>
        </w:rPr>
        <w:t>）是否涉及进口产品：</w:t>
      </w:r>
    </w:p>
    <w:p w14:paraId="1349141F">
      <w:pPr>
        <w:numPr>
          <w:ilvl w:val="12"/>
          <w:numId w:val="0"/>
        </w:numPr>
        <w:adjustRightInd w:val="0"/>
        <w:snapToGrid w:val="0"/>
        <w:spacing w:line="400" w:lineRule="exact"/>
        <w:ind w:firstLine="840" w:firstLineChars="400"/>
        <w:rPr>
          <w:rFonts w:ascii="宋体" w:eastAsia="宋体" w:hAnsi="宋体" w:cs="宋体"/>
          <w:szCs w:val="21"/>
          <w:u w:val="single"/>
        </w:rPr>
      </w:pPr>
      <w:r>
        <w:rPr>
          <w:rFonts w:ascii="宋体" w:eastAsia="宋体" w:hAnsi="宋体" w:cs="宋体" w:hint="eastAsia"/>
          <w:szCs w:val="21"/>
        </w:rPr>
        <w:t xml:space="preserve"> </w:t>
      </w:r>
      <w:r>
        <w:rPr>
          <w:rFonts w:ascii="Wingdings" w:eastAsia="宋体" w:hAnsi="Wingdings" w:cs="宋体"/>
          <w:szCs w:val="21"/>
        </w:rPr>
        <w:sym w:font="Wingdings" w:char="F0A8"/>
      </w:r>
      <w:r>
        <w:rPr>
          <w:rFonts w:ascii="宋体" w:eastAsia="宋体" w:hAnsi="宋体" w:cs="宋体" w:hint="eastAsia"/>
          <w:szCs w:val="21"/>
        </w:rPr>
        <w:t>是，《政府采购品目分类目录》底级品目名称：</w:t>
      </w:r>
      <w:r>
        <w:rPr>
          <w:rFonts w:ascii="宋体" w:eastAsia="宋体" w:hAnsi="宋体" w:cs="宋体" w:hint="eastAsia"/>
          <w:szCs w:val="21"/>
          <w:u w:val="single"/>
        </w:rPr>
        <w:t xml:space="preserve">         </w:t>
      </w:r>
      <w:r>
        <w:rPr>
          <w:rFonts w:ascii="宋体" w:eastAsia="宋体" w:hAnsi="宋体" w:cs="宋体" w:hint="eastAsia"/>
          <w:szCs w:val="21"/>
        </w:rPr>
        <w:t xml:space="preserve"> 金额：</w:t>
      </w:r>
      <w:r>
        <w:rPr>
          <w:rFonts w:ascii="宋体" w:eastAsia="宋体" w:hAnsi="宋体" w:cs="宋体" w:hint="eastAsia"/>
          <w:szCs w:val="21"/>
          <w:u w:val="single"/>
        </w:rPr>
        <w:t xml:space="preserve">        </w:t>
      </w:r>
    </w:p>
    <w:p w14:paraId="4B2F1E19">
      <w:pPr>
        <w:numPr>
          <w:ilvl w:val="12"/>
          <w:numId w:val="0"/>
        </w:numPr>
        <w:adjustRightInd w:val="0"/>
        <w:snapToGrid w:val="0"/>
        <w:spacing w:line="400" w:lineRule="exact"/>
        <w:ind w:firstLine="840" w:firstLineChars="400"/>
        <w:rPr>
          <w:rFonts w:ascii="宋体" w:eastAsia="宋体" w:hAnsi="宋体" w:cs="Times New Roman"/>
          <w:szCs w:val="21"/>
        </w:rPr>
      </w:pPr>
      <w:r>
        <w:rPr>
          <w:rFonts w:ascii="宋体" w:eastAsia="宋体" w:hAnsi="宋体" w:cs="宋体" w:hint="eastAsia"/>
          <w:szCs w:val="21"/>
        </w:rPr>
        <w:t xml:space="preserve">        国别：</w:t>
      </w:r>
      <w:r>
        <w:rPr>
          <w:rFonts w:ascii="宋体" w:eastAsia="宋体" w:hAnsi="宋体" w:cs="宋体" w:hint="eastAsia"/>
          <w:szCs w:val="21"/>
          <w:u w:val="single"/>
        </w:rPr>
        <w:t xml:space="preserve">        </w:t>
      </w:r>
      <w:r>
        <w:rPr>
          <w:rFonts w:ascii="宋体" w:eastAsia="宋体" w:hAnsi="宋体" w:cs="宋体" w:hint="eastAsia"/>
          <w:szCs w:val="21"/>
        </w:rPr>
        <w:t xml:space="preserve"> 品牌：</w:t>
      </w:r>
      <w:r>
        <w:rPr>
          <w:rFonts w:ascii="宋体" w:eastAsia="宋体" w:hAnsi="宋体" w:cs="宋体" w:hint="eastAsia"/>
          <w:szCs w:val="21"/>
          <w:u w:val="single"/>
        </w:rPr>
        <w:t xml:space="preserve">        </w:t>
      </w:r>
      <w:r>
        <w:rPr>
          <w:rFonts w:ascii="宋体" w:eastAsia="宋体" w:hAnsi="宋体" w:cs="宋体" w:hint="eastAsia"/>
          <w:szCs w:val="21"/>
        </w:rPr>
        <w:t xml:space="preserve"> 规格型号：</w:t>
      </w:r>
      <w:r>
        <w:rPr>
          <w:rFonts w:ascii="宋体" w:eastAsia="宋体" w:hAnsi="宋体" w:cs="宋体" w:hint="eastAsia"/>
          <w:szCs w:val="21"/>
          <w:u w:val="single"/>
        </w:rPr>
        <w:t xml:space="preserve">        </w:t>
      </w:r>
      <w:r>
        <w:rPr>
          <w:rFonts w:ascii="宋体" w:eastAsia="宋体" w:hAnsi="宋体" w:cs="Times New Roman" w:hint="eastAsia"/>
          <w:szCs w:val="21"/>
        </w:rPr>
        <w:t xml:space="preserve">      </w:t>
      </w:r>
    </w:p>
    <w:p w14:paraId="18A381D1">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3E9817FF">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（1</w:t>
      </w:r>
      <w:r>
        <w:rPr>
          <w:rFonts w:ascii="宋体" w:eastAsia="宋体" w:hAnsi="宋体" w:cs="Times New Roman"/>
          <w:szCs w:val="21"/>
          <w:lang w:val="en"/>
        </w:rPr>
        <w:t>0</w:t>
      </w:r>
      <w:r>
        <w:rPr>
          <w:rFonts w:ascii="宋体" w:eastAsia="宋体" w:hAnsi="宋体" w:cs="Times New Roman" w:hint="eastAsia"/>
          <w:szCs w:val="21"/>
        </w:rPr>
        <w:t>）是否涉及节能产品：</w:t>
      </w:r>
    </w:p>
    <w:p w14:paraId="1DE0E308">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是，《节能产品政府采购品目清单》的底级品目名称：</w:t>
      </w:r>
      <w:r>
        <w:rPr>
          <w:rFonts w:ascii="宋体" w:eastAsia="宋体" w:hAnsi="宋体" w:cs="Times New Roman" w:hint="eastAsia"/>
          <w:szCs w:val="21"/>
          <w:u w:val="single"/>
        </w:rPr>
        <w:t xml:space="preserve">         </w:t>
      </w:r>
      <w:r>
        <w:rPr>
          <w:rFonts w:ascii="宋体" w:eastAsia="宋体" w:hAnsi="宋体" w:cs="Times New Roman" w:hint="eastAsia"/>
          <w:iCs/>
          <w:szCs w:val="21"/>
        </w:rPr>
        <w:t xml:space="preserve">     </w:t>
      </w:r>
    </w:p>
    <w:p w14:paraId="357036D8">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14:paraId="2E0A6824">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74851AE4">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是否涉及环境标志产品：</w:t>
      </w:r>
    </w:p>
    <w:p w14:paraId="06CE353C">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是，《环境标志产品政府采购品目清单》的底级品目名称：</w:t>
      </w:r>
      <w:r>
        <w:rPr>
          <w:rFonts w:ascii="宋体" w:eastAsia="宋体" w:hAnsi="宋体" w:cs="Times New Roman" w:hint="eastAsia"/>
          <w:szCs w:val="21"/>
          <w:u w:val="single"/>
        </w:rPr>
        <w:t xml:space="preserve">         </w:t>
      </w:r>
      <w:r>
        <w:rPr>
          <w:rFonts w:ascii="宋体" w:eastAsia="宋体" w:hAnsi="宋体" w:cs="Times New Roman" w:hint="eastAsia"/>
          <w:iCs/>
          <w:szCs w:val="21"/>
        </w:rPr>
        <w:t xml:space="preserve"> </w:t>
      </w:r>
    </w:p>
    <w:p w14:paraId="690EA5D9">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14:paraId="1D4F30B7">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1AE69BC1">
      <w:pPr>
        <w:widowControl/>
        <w:numPr>
          <w:ilvl w:val="12"/>
          <w:numId w:val="0"/>
        </w:numPr>
        <w:autoSpaceDE w:val="0"/>
        <w:autoSpaceDN w:val="0"/>
        <w:adjustRightInd w:val="0"/>
        <w:snapToGrid w:val="0"/>
        <w:spacing w:line="400" w:lineRule="exact"/>
        <w:jc w:val="left"/>
        <w:rPr>
          <w:rFonts w:ascii="宋体" w:eastAsia="宋体" w:hAnsi="宋体" w:cs="Times New Roman"/>
          <w:szCs w:val="21"/>
        </w:rPr>
      </w:pPr>
      <w:r>
        <w:rPr>
          <w:rFonts w:ascii="宋体" w:eastAsia="华文楷体" w:hAnsi="宋体" w:cs="华文楷体" w:hint="eastAsia"/>
          <w:kern w:val="0"/>
          <w:szCs w:val="21"/>
        </w:rPr>
        <w:t xml:space="preserve">          </w:t>
      </w:r>
      <w:r>
        <w:rPr>
          <w:rFonts w:ascii="宋体" w:eastAsia="宋体" w:hAnsi="宋体" w:cs="Times New Roman" w:hint="eastAsia"/>
          <w:szCs w:val="21"/>
        </w:rPr>
        <w:t xml:space="preserve">是否涉及绿色产品： </w:t>
      </w:r>
    </w:p>
    <w:p w14:paraId="71507633">
      <w:pPr>
        <w:widowControl/>
        <w:autoSpaceDE w:val="0"/>
        <w:autoSpaceDN w:val="0"/>
        <w:adjustRightInd w:val="0"/>
        <w:spacing w:line="400" w:lineRule="exact"/>
        <w:ind w:firstLine="420"/>
        <w:jc w:val="left"/>
        <w:rPr>
          <w:rFonts w:ascii="宋体" w:eastAsia="宋体" w:hAnsi="宋体" w:cs="华文楷体"/>
          <w:kern w:val="0"/>
          <w:sz w:val="22"/>
          <w:szCs w:val="21"/>
          <w:u w:val="single"/>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是，绿色产品政府采购相关政策确定的底级品目名称：</w:t>
      </w:r>
      <w:r>
        <w:rPr>
          <w:rFonts w:ascii="宋体" w:eastAsia="宋体" w:hAnsi="宋体" w:cs="华文楷体" w:hint="eastAsia"/>
          <w:kern w:val="0"/>
          <w:sz w:val="22"/>
          <w:szCs w:val="21"/>
          <w:u w:val="single"/>
        </w:rPr>
        <w:t xml:space="preserve">         </w:t>
      </w:r>
    </w:p>
    <w:p w14:paraId="7FE7A532">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14:paraId="10F6A4B5">
      <w:pPr>
        <w:widowControl/>
        <w:autoSpaceDE w:val="0"/>
        <w:autoSpaceDN w:val="0"/>
        <w:adjustRightInd w:val="0"/>
        <w:spacing w:line="400" w:lineRule="exact"/>
        <w:ind w:firstLine="420"/>
        <w:jc w:val="left"/>
        <w:rPr>
          <w:rFonts w:ascii="宋体" w:eastAsia="华文楷体" w:hAnsi="宋体" w:cs="华文楷体"/>
          <w:kern w:val="0"/>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602B530B">
      <w:pPr>
        <w:numPr>
          <w:ilvl w:val="12"/>
          <w:numId w:val="0"/>
        </w:num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（1</w:t>
      </w:r>
      <w:r>
        <w:rPr>
          <w:rFonts w:ascii="宋体" w:eastAsia="宋体" w:hAnsi="宋体" w:cs="Times New Roman"/>
          <w:szCs w:val="21"/>
          <w:lang w:val="en"/>
        </w:rPr>
        <w:t>1</w:t>
      </w:r>
      <w:r>
        <w:rPr>
          <w:rFonts w:ascii="宋体" w:eastAsia="宋体" w:hAnsi="宋体" w:cs="Times New Roman" w:hint="eastAsia"/>
          <w:szCs w:val="21"/>
        </w:rPr>
        <w:t>）涉及商品包装和快递包装的，是否参考《商品包装政府采购需求标准（试行）》、《快递包装政府采购需求标准（试行）》明确产品及相关快递服务的具体包装要求：</w:t>
      </w:r>
    </w:p>
    <w:p w14:paraId="2563D0D4">
      <w:pPr>
        <w:numPr>
          <w:ilvl w:val="12"/>
          <w:numId w:val="0"/>
        </w:numPr>
        <w:adjustRightInd w:val="0"/>
        <w:snapToGrid w:val="0"/>
        <w:spacing w:line="400" w:lineRule="exact"/>
        <w:ind w:firstLine="840" w:firstLineChars="400"/>
        <w:rPr>
          <w:rFonts w:ascii="宋体" w:eastAsia="宋体" w:hAnsi="宋体" w:cs="Times New Roman"/>
          <w:szCs w:val="21"/>
        </w:rPr>
      </w:pPr>
      <w:r>
        <w:rPr>
          <w:rFonts w:ascii="Wingdings" w:eastAsia="宋体" w:hAnsi="Wingdings" w:cs="Times New Roman"/>
          <w:szCs w:val="21"/>
        </w:rPr>
        <w:sym w:font="Wingdings" w:char="F0A8"/>
      </w:r>
      <w:r>
        <w:rPr>
          <w:rFonts w:ascii="宋体" w:eastAsia="宋体" w:hAnsi="宋体" w:cs="Times New Roman" w:hint="eastAsia"/>
          <w:szCs w:val="21"/>
        </w:rPr>
        <w:t xml:space="preserve">是       </w:t>
      </w:r>
      <w:r>
        <w:rPr>
          <w:rFonts w:ascii="Wingdings" w:eastAsia="宋体" w:hAnsi="Wingdings" w:cs="Times New Roman"/>
          <w:szCs w:val="21"/>
        </w:rPr>
        <w:sym w:font="Wingdings" w:char="F0A8"/>
      </w:r>
      <w:r>
        <w:rPr>
          <w:rFonts w:ascii="宋体" w:eastAsia="宋体" w:hAnsi="宋体" w:cs="Times New Roman" w:hint="eastAsia"/>
          <w:szCs w:val="21"/>
        </w:rPr>
        <w:t xml:space="preserve">否      </w:t>
      </w:r>
      <w:r>
        <w:rPr>
          <w:rFonts w:ascii="Wingdings" w:eastAsia="宋体" w:hAnsi="Wingdings" w:cs="Times New Roman"/>
          <w:szCs w:val="21"/>
        </w:rPr>
        <w:sym w:font="Wingdings" w:char="F0A8"/>
      </w:r>
      <w:r>
        <w:rPr>
          <w:rFonts w:ascii="宋体" w:eastAsia="宋体" w:hAnsi="宋体" w:cs="Times New Roman" w:hint="eastAsia"/>
          <w:szCs w:val="21"/>
        </w:rPr>
        <w:t>不涉及</w:t>
      </w:r>
    </w:p>
    <w:p w14:paraId="2EF90DED">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合同金额</w:t>
      </w:r>
    </w:p>
    <w:p w14:paraId="3C6524CE">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（1）合同金额小写：</w:t>
      </w:r>
      <w:r>
        <w:rPr>
          <w:rFonts w:ascii="宋体" w:eastAsia="宋体" w:hAnsi="宋体" w:cs="Times New Roman" w:hint="eastAsia"/>
          <w:szCs w:val="21"/>
          <w:u w:val="single"/>
        </w:rPr>
        <w:t xml:space="preserve">                           </w:t>
      </w:r>
    </w:p>
    <w:p w14:paraId="1781299D">
      <w:pPr>
        <w:adjustRightInd w:val="0"/>
        <w:snapToGrid w:val="0"/>
        <w:spacing w:line="400" w:lineRule="exact"/>
        <w:rPr>
          <w:rFonts w:ascii="宋体" w:eastAsia="宋体" w:hAnsi="宋体" w:cs="Times New Roman"/>
          <w:szCs w:val="21"/>
          <w:u w:val="single"/>
        </w:rPr>
      </w:pPr>
      <w:r>
        <w:rPr>
          <w:rFonts w:ascii="宋体" w:eastAsia="宋体" w:hAnsi="宋体" w:cs="Times New Roman" w:hint="eastAsia"/>
          <w:szCs w:val="21"/>
        </w:rPr>
        <w:t xml:space="preserve">                 大写：</w:t>
      </w:r>
      <w:r>
        <w:rPr>
          <w:rFonts w:ascii="宋体" w:eastAsia="宋体" w:hAnsi="宋体" w:cs="Times New Roman" w:hint="eastAsia"/>
          <w:szCs w:val="21"/>
          <w:u w:val="single"/>
        </w:rPr>
        <w:t xml:space="preserve">                           </w:t>
      </w:r>
    </w:p>
    <w:p w14:paraId="56FC1238">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分包金额（如有）小写：</w:t>
      </w:r>
      <w:r>
        <w:rPr>
          <w:rFonts w:ascii="宋体" w:eastAsia="宋体" w:hAnsi="宋体" w:cs="Times New Roman" w:hint="eastAsia"/>
          <w:szCs w:val="21"/>
          <w:u w:val="single"/>
        </w:rPr>
        <w:t xml:space="preserve">                   </w:t>
      </w:r>
    </w:p>
    <w:p w14:paraId="4016DB93">
      <w:pPr>
        <w:adjustRightInd w:val="0"/>
        <w:snapToGrid w:val="0"/>
        <w:spacing w:line="400" w:lineRule="exact"/>
        <w:rPr>
          <w:rFonts w:ascii="宋体" w:eastAsia="宋体" w:hAnsi="宋体" w:cs="Times New Roman"/>
          <w:szCs w:val="21"/>
          <w:u w:val="single"/>
        </w:rPr>
      </w:pPr>
      <w:r>
        <w:rPr>
          <w:rFonts w:ascii="宋体" w:eastAsia="宋体" w:hAnsi="宋体" w:cs="Times New Roman" w:hint="eastAsia"/>
          <w:szCs w:val="21"/>
        </w:rPr>
        <w:t xml:space="preserve">                     大写：</w:t>
      </w:r>
      <w:r>
        <w:rPr>
          <w:rFonts w:ascii="宋体" w:eastAsia="宋体" w:hAnsi="宋体" w:cs="Times New Roman" w:hint="eastAsia"/>
          <w:szCs w:val="21"/>
          <w:u w:val="single"/>
        </w:rPr>
        <w:t xml:space="preserve">                       </w:t>
      </w:r>
    </w:p>
    <w:p w14:paraId="5CBE7B63">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（注：固定单价合同应填写单价和最高限价）</w:t>
      </w:r>
    </w:p>
    <w:p w14:paraId="2D965399">
      <w:pPr>
        <w:numPr>
          <w:ilvl w:val="12"/>
          <w:numId w:val="0"/>
        </w:num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（2）合同定价方式（采用组合定价方式的，可以勾选多项）：</w:t>
      </w:r>
    </w:p>
    <w:p w14:paraId="46984E07">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固定总价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固定单价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固定费率 </w:t>
      </w:r>
      <w:r>
        <w:rPr>
          <w:rFonts w:ascii="Wingdings" w:eastAsia="宋体" w:hAnsi="Wingdings" w:cs="Times New Roman"/>
          <w:iCs/>
          <w:szCs w:val="21"/>
        </w:rPr>
        <w:sym w:font="Wingdings" w:char="F0A8"/>
      </w:r>
      <w:r>
        <w:rPr>
          <w:rFonts w:ascii="宋体" w:eastAsia="宋体" w:hAnsi="宋体" w:cs="Times New Roman" w:hint="eastAsia"/>
          <w:iCs/>
          <w:szCs w:val="21"/>
        </w:rPr>
        <w:t xml:space="preserve">成本补偿 </w:t>
      </w:r>
      <w:r>
        <w:rPr>
          <w:rFonts w:ascii="Wingdings" w:eastAsia="宋体" w:hAnsi="Wingdings" w:cs="Times New Roman"/>
          <w:iCs/>
          <w:szCs w:val="21"/>
        </w:rPr>
        <w:sym w:font="Wingdings" w:char="F0A8"/>
      </w:r>
      <w:r>
        <w:rPr>
          <w:rFonts w:ascii="宋体" w:eastAsia="宋体" w:hAnsi="宋体" w:cs="Times New Roman" w:hint="eastAsia"/>
          <w:iCs/>
          <w:szCs w:val="21"/>
        </w:rPr>
        <w:t xml:space="preserve">绩效激励 </w:t>
      </w:r>
      <w:r>
        <w:rPr>
          <w:rFonts w:ascii="Wingdings" w:eastAsia="宋体" w:hAnsi="Wingdings" w:cs="Times New Roman"/>
          <w:iCs/>
          <w:szCs w:val="21"/>
        </w:rPr>
        <w:sym w:font="Wingdings" w:char="F0A8"/>
      </w:r>
      <w:r>
        <w:rPr>
          <w:rFonts w:ascii="宋体" w:eastAsia="宋体" w:hAnsi="宋体" w:cs="Times New Roman" w:hint="eastAsia"/>
          <w:iCs/>
          <w:szCs w:val="21"/>
        </w:rPr>
        <w:t>其他</w:t>
      </w:r>
      <w:r>
        <w:rPr>
          <w:rFonts w:ascii="宋体" w:eastAsia="宋体" w:hAnsi="宋体" w:cs="Times New Roman" w:hint="eastAsia"/>
          <w:szCs w:val="21"/>
          <w:u w:val="single"/>
        </w:rPr>
        <w:t xml:space="preserve">       </w:t>
      </w:r>
    </w:p>
    <w:p w14:paraId="46D73305">
      <w:pPr>
        <w:spacing w:line="400" w:lineRule="exact"/>
        <w:ind w:firstLine="420" w:firstLineChars="200"/>
        <w:rPr>
          <w:rFonts w:ascii="Times New Roman" w:eastAsia="宋体" w:hAnsi="Times New Roman" w:cs="Times New Roman"/>
          <w:szCs w:val="21"/>
        </w:rPr>
      </w:pPr>
      <w:r>
        <w:rPr>
          <w:rFonts w:ascii="宋体" w:eastAsia="宋体" w:hAnsi="宋体" w:cs="Times New Roman" w:hint="eastAsia"/>
          <w:szCs w:val="21"/>
        </w:rPr>
        <w:t>（3）付款方式（按项目实际勾选填写）：</w:t>
      </w:r>
    </w:p>
    <w:p w14:paraId="086BC0E8">
      <w:pPr>
        <w:adjustRightInd w:val="0"/>
        <w:snapToGrid w:val="0"/>
        <w:spacing w:line="400" w:lineRule="exact"/>
        <w:ind w:firstLine="630" w:firstLineChars="300"/>
        <w:rPr>
          <w:rFonts w:ascii="宋体" w:eastAsia="宋体" w:hAnsi="宋体" w:cs="Times New Roman"/>
          <w:szCs w:val="21"/>
          <w:u w:val="single"/>
        </w:rPr>
      </w:pPr>
      <w:r>
        <w:rPr>
          <w:rFonts w:ascii="Wingdings" w:eastAsia="宋体" w:hAnsi="Wingdings" w:cs="Times New Roman"/>
          <w:szCs w:val="21"/>
        </w:rPr>
        <w:sym w:font="Wingdings" w:char="F0A8"/>
      </w:r>
      <w:r>
        <w:rPr>
          <w:rFonts w:ascii="宋体" w:eastAsia="宋体" w:hAnsi="宋体" w:cs="Times New Roman" w:hint="eastAsia"/>
          <w:szCs w:val="21"/>
        </w:rPr>
        <w:t>全额付款：</w:t>
      </w:r>
      <w:r>
        <w:rPr>
          <w:rFonts w:ascii="宋体" w:eastAsia="宋体" w:hAnsi="宋体" w:cs="Times New Roman" w:hint="eastAsia"/>
          <w:szCs w:val="21"/>
          <w:u w:val="single"/>
        </w:rPr>
        <w:t xml:space="preserve">     （应明确一次性支付合同款项的条件）                    </w:t>
      </w:r>
    </w:p>
    <w:p w14:paraId="518CF383">
      <w:pPr>
        <w:snapToGrid w:val="0"/>
        <w:spacing w:line="400" w:lineRule="exact"/>
        <w:ind w:firstLine="630" w:firstLineChars="300"/>
        <w:rPr>
          <w:rFonts w:ascii="Times New Roman" w:eastAsia="宋体" w:hAnsi="Times New Roman" w:cs="Times New Roman"/>
          <w:szCs w:val="20"/>
        </w:rPr>
      </w:pPr>
      <w:r>
        <w:rPr>
          <w:rFonts w:ascii="Wingdings" w:eastAsia="宋体" w:hAnsi="Wingdings" w:cs="Times New Roman"/>
          <w:szCs w:val="21"/>
        </w:rPr>
        <w:sym w:font="Wingdings" w:char="F0FE"/>
      </w:r>
      <w:r>
        <w:rPr>
          <w:rFonts w:ascii="宋体" w:eastAsia="宋体" w:hAnsi="宋体" w:cs="Times New Roman" w:hint="eastAsia"/>
          <w:szCs w:val="21"/>
        </w:rPr>
        <w:t>分期付款：</w:t>
      </w:r>
      <w:r>
        <w:rPr>
          <w:rFonts w:ascii="宋体" w:eastAsia="宋体" w:hAnsi="宋体" w:cs="Times New Roman" w:hint="eastAsia"/>
          <w:szCs w:val="21"/>
          <w:u w:val="single"/>
        </w:rPr>
        <w:t xml:space="preserve">  </w:t>
      </w:r>
      <w:r>
        <w:rPr>
          <w:rFonts w:ascii="宋体" w:hAnsi="宋体" w:hint="eastAsia"/>
          <w:szCs w:val="21"/>
          <w:highlight w:val="none"/>
          <w:u w:val="single"/>
        </w:rPr>
        <w:t>双方签署合同后</w:t>
      </w:r>
      <w:r>
        <w:rPr>
          <w:rFonts w:ascii="宋体" w:hAnsi="宋体" w:hint="eastAsia"/>
          <w:szCs w:val="21"/>
          <w:highlight w:val="none"/>
          <w:u w:val="single"/>
          <w:lang w:val="en-US" w:eastAsia="zh-CN"/>
        </w:rPr>
        <w:t>30</w:t>
      </w:r>
      <w:r>
        <w:rPr>
          <w:rFonts w:ascii="宋体" w:hAnsi="宋体" w:hint="eastAsia"/>
          <w:szCs w:val="21"/>
          <w:highlight w:val="none"/>
          <w:u w:val="single"/>
        </w:rPr>
        <w:t>个工作日内，甲方向乙方支付合同总金额的</w:t>
      </w:r>
      <w:r>
        <w:rPr>
          <w:rFonts w:ascii="宋体" w:hAnsi="宋体" w:hint="eastAsia"/>
          <w:szCs w:val="21"/>
          <w:highlight w:val="none"/>
          <w:u w:val="single"/>
          <w:lang w:val="en-US" w:eastAsia="zh-CN"/>
        </w:rPr>
        <w:t>90</w:t>
      </w:r>
      <w:r>
        <w:rPr>
          <w:rFonts w:ascii="宋体" w:hAnsi="宋体" w:hint="eastAsia"/>
          <w:szCs w:val="21"/>
          <w:highlight w:val="none"/>
          <w:u w:val="single"/>
        </w:rPr>
        <w:t>%</w:t>
      </w:r>
      <w:r>
        <w:rPr>
          <w:rFonts w:ascii="宋体" w:hAnsi="宋体" w:hint="eastAsia"/>
          <w:szCs w:val="21"/>
          <w:highlight w:val="none"/>
        </w:rPr>
        <w:t>，</w:t>
      </w:r>
      <w:r>
        <w:rPr>
          <w:rFonts w:ascii="宋体" w:hAnsi="宋体" w:hint="eastAsia"/>
          <w:szCs w:val="21"/>
          <w:highlight w:val="none"/>
          <w:u w:val="single"/>
        </w:rPr>
        <w:t>到货、检验后付款：双方签署验收报告后</w:t>
      </w:r>
      <w:r>
        <w:rPr>
          <w:rFonts w:ascii="宋体" w:hAnsi="宋体" w:hint="eastAsia"/>
          <w:szCs w:val="21"/>
          <w:highlight w:val="none"/>
          <w:u w:val="single"/>
          <w:lang w:val="en-US" w:eastAsia="zh-CN"/>
        </w:rPr>
        <w:t>30</w:t>
      </w:r>
      <w:r>
        <w:rPr>
          <w:rFonts w:ascii="宋体" w:hAnsi="宋体" w:hint="eastAsia"/>
          <w:szCs w:val="21"/>
          <w:highlight w:val="none"/>
          <w:u w:val="single"/>
        </w:rPr>
        <w:t>个工作日内，甲方向乙方支付合同总金额的</w:t>
      </w:r>
      <w:r>
        <w:rPr>
          <w:rFonts w:ascii="宋体" w:hAnsi="宋体" w:hint="eastAsia"/>
          <w:szCs w:val="21"/>
          <w:highlight w:val="none"/>
          <w:u w:val="single"/>
          <w:lang w:val="en-US" w:eastAsia="zh-CN"/>
        </w:rPr>
        <w:t>10</w:t>
      </w:r>
      <w:r>
        <w:rPr>
          <w:rFonts w:ascii="宋体" w:hAnsi="宋体" w:hint="eastAsia"/>
          <w:szCs w:val="21"/>
          <w:highlight w:val="none"/>
          <w:u w:val="single"/>
        </w:rPr>
        <w:t xml:space="preserve"> %</w:t>
      </w:r>
      <w:r>
        <w:rPr>
          <w:rFonts w:ascii="宋体" w:eastAsia="宋体" w:hAnsi="宋体" w:cs="Times New Roman" w:hint="eastAsia"/>
          <w:szCs w:val="21"/>
          <w:u w:val="single"/>
        </w:rPr>
        <w:t xml:space="preserve"> </w:t>
      </w:r>
    </w:p>
    <w:p w14:paraId="34B79959">
      <w:pPr>
        <w:adjustRightInd w:val="0"/>
        <w:snapToGrid w:val="0"/>
        <w:spacing w:line="400" w:lineRule="exact"/>
        <w:ind w:firstLine="630" w:firstLineChars="300"/>
        <w:rPr>
          <w:rFonts w:ascii="宋体" w:eastAsia="宋体" w:hAnsi="宋体" w:cs="Times New Roman"/>
          <w:szCs w:val="21"/>
          <w:u w:val="single"/>
        </w:rPr>
      </w:pPr>
      <w:r>
        <w:rPr>
          <w:rFonts w:ascii="Wingdings" w:eastAsia="宋体" w:hAnsi="Wingdings" w:cs="Times New Roman"/>
          <w:szCs w:val="21"/>
        </w:rPr>
        <w:sym w:font="Wingdings" w:char="F0A8"/>
      </w:r>
      <w:r>
        <w:rPr>
          <w:rFonts w:ascii="宋体" w:eastAsia="宋体" w:hAnsi="宋体" w:cs="Times New Roman" w:hint="eastAsia"/>
          <w:szCs w:val="21"/>
        </w:rPr>
        <w:t>成本补偿：</w:t>
      </w:r>
      <w:r>
        <w:rPr>
          <w:rFonts w:ascii="宋体" w:eastAsia="宋体" w:hAnsi="宋体" w:cs="Times New Roman" w:hint="eastAsia"/>
          <w:szCs w:val="21"/>
          <w:u w:val="single"/>
        </w:rPr>
        <w:t xml:space="preserve">      （应明确按照成本补偿方式的支付方式和支付条件）   </w:t>
      </w:r>
    </w:p>
    <w:p w14:paraId="146A2C2B">
      <w:pPr>
        <w:adjustRightInd w:val="0"/>
        <w:snapToGrid w:val="0"/>
        <w:spacing w:line="400" w:lineRule="exact"/>
        <w:ind w:firstLine="630" w:firstLineChars="300"/>
        <w:rPr>
          <w:rFonts w:ascii="宋体" w:eastAsia="宋体" w:hAnsi="宋体" w:cs="Times New Roman"/>
          <w:szCs w:val="21"/>
        </w:rPr>
      </w:pPr>
      <w:r>
        <w:rPr>
          <w:rFonts w:ascii="Wingdings" w:eastAsia="宋体" w:hAnsi="Wingdings" w:cs="Times New Roman"/>
          <w:szCs w:val="21"/>
        </w:rPr>
        <w:sym w:font="Wingdings" w:char="F0A8"/>
      </w:r>
      <w:r>
        <w:rPr>
          <w:rFonts w:ascii="宋体" w:eastAsia="宋体" w:hAnsi="宋体" w:cs="Times New Roman" w:hint="eastAsia"/>
          <w:szCs w:val="21"/>
        </w:rPr>
        <w:t>绩效激励：</w:t>
      </w:r>
      <w:r>
        <w:rPr>
          <w:rFonts w:ascii="宋体" w:eastAsia="宋体" w:hAnsi="宋体" w:cs="Times New Roman" w:hint="eastAsia"/>
          <w:szCs w:val="21"/>
          <w:u w:val="single"/>
        </w:rPr>
        <w:t xml:space="preserve">      （应明确按照绩效激励方式的支付方式和支付条件）   </w:t>
      </w:r>
    </w:p>
    <w:p w14:paraId="27310645">
      <w:pPr>
        <w:numPr>
          <w:ilvl w:val="0"/>
          <w:numId w:val="3"/>
        </w:numPr>
        <w:adjustRightInd w:val="0"/>
        <w:snapToGrid w:val="0"/>
        <w:spacing w:line="400" w:lineRule="exact"/>
        <w:ind w:firstLine="420" w:firstLineChars="200"/>
        <w:rPr>
          <w:rFonts w:ascii="宋体" w:eastAsia="宋体" w:hAnsi="宋体" w:cs="Times New Roman"/>
          <w:b/>
          <w:szCs w:val="21"/>
          <w:u w:val="single"/>
        </w:rPr>
      </w:pPr>
      <w:r>
        <w:rPr>
          <w:rFonts w:ascii="宋体" w:eastAsia="宋体" w:hAnsi="宋体" w:cs="Times New Roman" w:hint="eastAsia"/>
          <w:b/>
          <w:szCs w:val="21"/>
        </w:rPr>
        <w:t>合同履行</w:t>
      </w:r>
    </w:p>
    <w:p w14:paraId="6479F176">
      <w:p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（1）起始日期：</w:t>
      </w:r>
      <w:r>
        <w:rPr>
          <w:rFonts w:ascii="宋体" w:eastAsia="宋体" w:hAnsi="宋体" w:cs="宋体" w:hint="eastAsia"/>
          <w:szCs w:val="21"/>
          <w:u w:val="single"/>
        </w:rPr>
        <w:t xml:space="preserve">    </w:t>
      </w:r>
      <w:r>
        <w:rPr>
          <w:rFonts w:ascii="宋体" w:eastAsia="宋体" w:hAnsi="宋体" w:cs="宋体" w:hint="eastAsia"/>
          <w:szCs w:val="21"/>
        </w:rPr>
        <w:t>年</w:t>
      </w:r>
      <w:r>
        <w:rPr>
          <w:rFonts w:ascii="宋体" w:eastAsia="宋体" w:hAnsi="宋体" w:cs="宋体" w:hint="eastAsia"/>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hint="eastAsia"/>
          <w:szCs w:val="21"/>
        </w:rPr>
        <w:t>日，完成日期：</w:t>
      </w:r>
      <w:r>
        <w:rPr>
          <w:rFonts w:ascii="宋体" w:eastAsia="宋体" w:hAnsi="宋体" w:cs="宋体" w:hint="eastAsia"/>
          <w:szCs w:val="21"/>
          <w:u w:val="single"/>
        </w:rPr>
        <w:t xml:space="preserve">    </w:t>
      </w:r>
      <w:r>
        <w:rPr>
          <w:rFonts w:ascii="宋体" w:eastAsia="宋体" w:hAnsi="宋体" w:cs="宋体" w:hint="eastAsia"/>
          <w:szCs w:val="21"/>
        </w:rPr>
        <w:t>年</w:t>
      </w:r>
      <w:r>
        <w:rPr>
          <w:rFonts w:ascii="宋体" w:eastAsia="宋体" w:hAnsi="宋体" w:cs="宋体" w:hint="eastAsia"/>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hint="eastAsia"/>
          <w:szCs w:val="21"/>
        </w:rPr>
        <w:t>日。</w:t>
      </w:r>
    </w:p>
    <w:p w14:paraId="4BF4B249">
      <w:pPr>
        <w:adjustRightInd w:val="0"/>
        <w:snapToGrid w:val="0"/>
        <w:spacing w:line="400" w:lineRule="exact"/>
        <w:ind w:firstLine="420" w:firstLineChars="200"/>
        <w:rPr>
          <w:rFonts w:ascii="宋体" w:eastAsia="宋体" w:hAnsi="宋体" w:cs="宋体"/>
          <w:szCs w:val="21"/>
          <w:u w:val="single"/>
        </w:rPr>
      </w:pPr>
      <w:r>
        <w:rPr>
          <w:rFonts w:ascii="宋体" w:eastAsia="宋体" w:hAnsi="宋体" w:cs="宋体" w:hint="eastAsia"/>
          <w:szCs w:val="21"/>
        </w:rPr>
        <w:t>（2）履约地点</w:t>
      </w:r>
      <w:r>
        <w:rPr>
          <w:rFonts w:ascii="宋体" w:eastAsia="宋体" w:hAnsi="宋体" w:cs="宋体" w:hint="eastAsia"/>
          <w:bCs/>
          <w:szCs w:val="21"/>
        </w:rPr>
        <w:t>：</w:t>
      </w:r>
      <w:r>
        <w:rPr>
          <w:rFonts w:ascii="宋体" w:eastAsia="宋体" w:hAnsi="宋体" w:cs="宋体" w:hint="eastAsia"/>
          <w:szCs w:val="21"/>
          <w:u w:val="single"/>
        </w:rPr>
        <w:t xml:space="preserve">                             </w:t>
      </w:r>
    </w:p>
    <w:p w14:paraId="0AA0142F">
      <w:p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bCs/>
          <w:szCs w:val="21"/>
        </w:rPr>
        <w:t>（3）履约担保：</w:t>
      </w:r>
      <w:r>
        <w:rPr>
          <w:rFonts w:ascii="宋体" w:eastAsia="宋体" w:hAnsi="宋体" w:cs="宋体" w:hint="eastAsia"/>
          <w:szCs w:val="20"/>
        </w:rPr>
        <w:t>是否收取履约保证金：</w:t>
      </w:r>
      <w:r>
        <w:rPr>
          <w:rFonts w:ascii="Wingdings" w:eastAsia="宋体" w:hAnsi="Wingdings" w:cs="宋体"/>
          <w:szCs w:val="21"/>
        </w:rPr>
        <w:sym w:font="Wingdings" w:char="F0A8"/>
      </w:r>
      <w:r>
        <w:rPr>
          <w:rFonts w:ascii="宋体" w:eastAsia="宋体" w:hAnsi="宋体" w:cs="宋体" w:hint="eastAsia"/>
          <w:szCs w:val="21"/>
        </w:rPr>
        <w:t xml:space="preserve">是    </w:t>
      </w:r>
      <w:r>
        <w:rPr>
          <w:rFonts w:ascii="Wingdings" w:eastAsia="宋体" w:hAnsi="Wingdings" w:cs="宋体"/>
          <w:szCs w:val="21"/>
        </w:rPr>
        <w:sym w:font="Wingdings" w:char="F0A8"/>
      </w:r>
      <w:r>
        <w:rPr>
          <w:rFonts w:ascii="宋体" w:eastAsia="宋体" w:hAnsi="宋体" w:cs="宋体" w:hint="eastAsia"/>
          <w:szCs w:val="21"/>
        </w:rPr>
        <w:t>否</w:t>
      </w:r>
    </w:p>
    <w:p w14:paraId="4B65786A">
      <w:pPr>
        <w:widowControl/>
        <w:autoSpaceDE w:val="0"/>
        <w:autoSpaceDN w:val="0"/>
        <w:adjustRightInd w:val="0"/>
        <w:spacing w:line="400" w:lineRule="exact"/>
        <w:ind w:firstLine="440" w:firstLineChars="200"/>
        <w:jc w:val="left"/>
        <w:rPr>
          <w:rFonts w:ascii="宋体" w:eastAsia="宋体" w:hAnsi="宋体" w:cs="宋体"/>
          <w:kern w:val="0"/>
          <w:szCs w:val="21"/>
        </w:rPr>
      </w:pPr>
      <w:r>
        <w:rPr>
          <w:rFonts w:ascii="宋体" w:eastAsia="华文楷体" w:hAnsi="宋体" w:cs="宋体" w:hint="eastAsia"/>
          <w:bCs/>
          <w:kern w:val="0"/>
          <w:sz w:val="22"/>
          <w:szCs w:val="21"/>
        </w:rPr>
        <w:t xml:space="preserve">  </w:t>
      </w:r>
      <w:r>
        <w:rPr>
          <w:rFonts w:ascii="宋体" w:eastAsia="宋体" w:hAnsi="宋体" w:cs="宋体" w:hint="eastAsia"/>
          <w:kern w:val="0"/>
          <w:szCs w:val="21"/>
        </w:rPr>
        <w:t xml:space="preserve">  收取履约保证金形式：</w:t>
      </w:r>
      <w:r>
        <w:rPr>
          <w:rFonts w:ascii="宋体" w:eastAsia="宋体" w:hAnsi="宋体" w:cs="宋体" w:hint="eastAsia"/>
          <w:bCs/>
          <w:kern w:val="0"/>
          <w:szCs w:val="21"/>
          <w:u w:val="single"/>
        </w:rPr>
        <w:t xml:space="preserve">                            </w:t>
      </w:r>
    </w:p>
    <w:p w14:paraId="63F89940">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收取履约保证金金额：</w:t>
      </w:r>
      <w:r>
        <w:rPr>
          <w:rFonts w:ascii="宋体" w:eastAsia="宋体" w:hAnsi="宋体" w:cs="宋体" w:hint="eastAsia"/>
          <w:bCs/>
          <w:kern w:val="0"/>
          <w:szCs w:val="21"/>
          <w:u w:val="single"/>
        </w:rPr>
        <w:t xml:space="preserve">                            </w:t>
      </w:r>
    </w:p>
    <w:p w14:paraId="40F291CA">
      <w:pPr>
        <w:snapToGrid w:val="0"/>
        <w:spacing w:line="400" w:lineRule="exact"/>
        <w:ind w:firstLine="420" w:firstLineChars="200"/>
        <w:rPr>
          <w:rFonts w:ascii="宋体" w:eastAsia="宋体" w:hAnsi="宋体" w:cs="宋体"/>
          <w:szCs w:val="20"/>
        </w:rPr>
      </w:pPr>
      <w:r>
        <w:rPr>
          <w:rFonts w:ascii="宋体" w:eastAsia="宋体" w:hAnsi="宋体" w:cs="宋体" w:hint="eastAsia"/>
          <w:bCs/>
          <w:szCs w:val="21"/>
        </w:rPr>
        <w:t xml:space="preserve">    履约担保期限：</w:t>
      </w:r>
      <w:r>
        <w:rPr>
          <w:rFonts w:ascii="宋体" w:eastAsia="宋体" w:hAnsi="宋体" w:cs="宋体" w:hint="eastAsia"/>
          <w:bCs/>
          <w:szCs w:val="21"/>
          <w:u w:val="single"/>
        </w:rPr>
        <w:t xml:space="preserve">                                  </w:t>
      </w:r>
    </w:p>
    <w:p w14:paraId="5F359D1B">
      <w:pPr>
        <w:adjustRightInd w:val="0"/>
        <w:snapToGrid w:val="0"/>
        <w:spacing w:line="400" w:lineRule="exact"/>
        <w:ind w:firstLine="420" w:firstLineChars="200"/>
        <w:rPr>
          <w:rFonts w:ascii="宋体" w:eastAsia="宋体" w:hAnsi="宋体" w:cs="宋体"/>
          <w:bCs/>
          <w:szCs w:val="21"/>
        </w:rPr>
      </w:pPr>
      <w:r>
        <w:rPr>
          <w:rFonts w:ascii="宋体" w:eastAsia="宋体" w:hAnsi="宋体" w:cs="宋体" w:hint="eastAsia"/>
          <w:bCs/>
          <w:szCs w:val="21"/>
        </w:rPr>
        <w:t>（4）分期履行要求：</w:t>
      </w:r>
      <w:r>
        <w:rPr>
          <w:rFonts w:ascii="宋体" w:eastAsia="宋体" w:hAnsi="宋体" w:cs="宋体" w:hint="eastAsia"/>
          <w:bCs/>
          <w:szCs w:val="21"/>
          <w:u w:val="single"/>
        </w:rPr>
        <w:t xml:space="preserve">                                                        </w:t>
      </w:r>
    </w:p>
    <w:p w14:paraId="19C08443">
      <w:pPr>
        <w:adjustRightInd w:val="0"/>
        <w:snapToGrid w:val="0"/>
        <w:spacing w:line="400" w:lineRule="exact"/>
        <w:ind w:firstLine="420" w:firstLineChars="200"/>
        <w:rPr>
          <w:rFonts w:ascii="宋体" w:eastAsia="宋体" w:hAnsi="宋体" w:cs="宋体"/>
          <w:szCs w:val="21"/>
          <w:u w:val="single"/>
        </w:rPr>
      </w:pPr>
      <w:r>
        <w:rPr>
          <w:rFonts w:ascii="宋体" w:eastAsia="宋体" w:hAnsi="宋体" w:cs="宋体" w:hint="eastAsia"/>
          <w:bCs/>
          <w:szCs w:val="21"/>
        </w:rPr>
        <w:t>（5）风险处置措施和替代方案：</w:t>
      </w:r>
      <w:r>
        <w:rPr>
          <w:rFonts w:ascii="宋体" w:eastAsia="宋体" w:hAnsi="宋体" w:cs="宋体" w:hint="eastAsia"/>
          <w:color w:val="0000FF"/>
          <w:szCs w:val="21"/>
          <w:u w:val="single"/>
        </w:rPr>
        <w:t xml:space="preserve"> </w:t>
      </w:r>
      <w:r>
        <w:rPr>
          <w:rFonts w:ascii="宋体" w:eastAsia="宋体" w:hAnsi="宋体" w:cs="宋体" w:hint="eastAsia"/>
          <w:color w:val="000000"/>
          <w:szCs w:val="21"/>
          <w:u w:val="single"/>
        </w:rPr>
        <w:t xml:space="preserve">              </w:t>
      </w:r>
      <w:r>
        <w:rPr>
          <w:rFonts w:ascii="宋体" w:eastAsia="宋体" w:hAnsi="宋体" w:cs="宋体" w:hint="eastAsia"/>
          <w:szCs w:val="21"/>
          <w:u w:val="single"/>
        </w:rPr>
        <w:t xml:space="preserve">                                                </w:t>
      </w:r>
    </w:p>
    <w:p w14:paraId="02B8ADA2">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合同验收</w:t>
      </w:r>
    </w:p>
    <w:p w14:paraId="229CC00D">
      <w:pPr>
        <w:numPr>
          <w:ilvl w:val="0"/>
          <w:numId w:val="5"/>
        </w:num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验收组织方式：</w:t>
      </w:r>
      <w:r>
        <w:rPr>
          <w:rFonts w:ascii="Wingdings" w:eastAsia="宋体" w:hAnsi="Wingdings" w:cs="宋体"/>
          <w:szCs w:val="21"/>
        </w:rPr>
        <w:sym w:font="Wingdings" w:char="F0A8"/>
      </w:r>
      <w:r>
        <w:rPr>
          <w:rFonts w:ascii="宋体" w:eastAsia="宋体" w:hAnsi="宋体" w:cs="Times New Roman" w:hint="eastAsia"/>
          <w:bCs/>
          <w:szCs w:val="21"/>
        </w:rPr>
        <w:t xml:space="preserve">自行组织 </w:t>
      </w:r>
      <w:r>
        <w:rPr>
          <w:rFonts w:ascii="Wingdings" w:eastAsia="宋体" w:hAnsi="Wingdings" w:cs="宋体"/>
          <w:szCs w:val="21"/>
        </w:rPr>
        <w:sym w:font="Wingdings" w:char="F0A8"/>
      </w:r>
      <w:r>
        <w:rPr>
          <w:rFonts w:ascii="宋体" w:eastAsia="宋体" w:hAnsi="宋体" w:cs="Times New Roman" w:hint="eastAsia"/>
          <w:bCs/>
          <w:szCs w:val="21"/>
        </w:rPr>
        <w:t>委托第三方组织</w:t>
      </w:r>
    </w:p>
    <w:p w14:paraId="4D6B86C7">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验收主体：</w:t>
      </w:r>
      <w:r>
        <w:rPr>
          <w:rFonts w:ascii="宋体" w:eastAsia="宋体" w:hAnsi="宋体" w:cs="Times New Roman" w:hint="eastAsia"/>
          <w:bCs/>
          <w:szCs w:val="21"/>
          <w:u w:val="single"/>
        </w:rPr>
        <w:t xml:space="preserve">                  </w:t>
      </w:r>
    </w:p>
    <w:p w14:paraId="0AE52062">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是否邀请本项目的其他供应商参加验收：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09AA4A3B">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是否邀请专家参加验收：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22B88DBE">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是否邀请服务对象参加验收：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70BB1F1A">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是否邀请第三方检测机构参加验收：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29D0DBF7">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是否进行抽查检测：</w:t>
      </w:r>
      <w:r>
        <w:rPr>
          <w:rFonts w:ascii="Wingdings" w:eastAsia="宋体" w:hAnsi="Wingdings" w:cs="宋体"/>
          <w:szCs w:val="21"/>
        </w:rPr>
        <w:sym w:font="Wingdings" w:char="F0A8"/>
      </w:r>
      <w:r>
        <w:rPr>
          <w:rFonts w:ascii="宋体" w:eastAsia="宋体" w:hAnsi="宋体" w:cs="Times New Roman" w:hint="eastAsia"/>
          <w:bCs/>
          <w:szCs w:val="21"/>
        </w:rPr>
        <w:t>是，抽查比例：</w:t>
      </w:r>
      <w:r>
        <w:rPr>
          <w:rFonts w:ascii="宋体" w:eastAsia="宋体" w:hAnsi="宋体" w:cs="Times New Roman" w:hint="eastAsia"/>
          <w:bCs/>
          <w:szCs w:val="21"/>
          <w:u w:val="single"/>
        </w:rPr>
        <w:t xml:space="preserve">        </w:t>
      </w: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14:paraId="62BD215A">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是否存在破坏性检测：</w:t>
      </w:r>
      <w:r>
        <w:rPr>
          <w:rFonts w:ascii="Wingdings" w:eastAsia="宋体" w:hAnsi="Wingdings" w:cs="宋体"/>
          <w:szCs w:val="21"/>
        </w:rPr>
        <w:sym w:font="Wingdings" w:char="F0A8"/>
      </w:r>
      <w:r>
        <w:rPr>
          <w:rFonts w:ascii="宋体" w:eastAsia="宋体" w:hAnsi="宋体" w:cs="Times New Roman" w:hint="eastAsia"/>
          <w:bCs/>
          <w:szCs w:val="21"/>
        </w:rPr>
        <w:t>是，</w:t>
      </w:r>
      <w:r>
        <w:rPr>
          <w:rFonts w:ascii="宋体" w:eastAsia="宋体" w:hAnsi="宋体" w:cs="Times New Roman" w:hint="eastAsia"/>
          <w:bCs/>
          <w:szCs w:val="21"/>
          <w:u w:val="single"/>
        </w:rPr>
        <w:t>（应明确对被破坏的检测产品的处理方式）</w:t>
      </w:r>
    </w:p>
    <w:p w14:paraId="77A0924B">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14:paraId="5381C560">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验收组织的其他事项：</w:t>
      </w:r>
      <w:r>
        <w:rPr>
          <w:rFonts w:ascii="宋体" w:eastAsia="宋体" w:hAnsi="宋体" w:cs="Times New Roman" w:hint="eastAsia"/>
          <w:bCs/>
          <w:szCs w:val="21"/>
          <w:u w:val="single"/>
        </w:rPr>
        <w:t xml:space="preserve">                </w:t>
      </w:r>
    </w:p>
    <w:p w14:paraId="484B2E70">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（2）履约验收时间：</w:t>
      </w:r>
      <w:r>
        <w:rPr>
          <w:rFonts w:ascii="宋体" w:eastAsia="宋体" w:hAnsi="宋体" w:cs="Times New Roman" w:hint="eastAsia"/>
          <w:bCs/>
          <w:szCs w:val="21"/>
          <w:u w:val="single"/>
        </w:rPr>
        <w:t xml:space="preserve">（计划于何时验收/供应商提出验收申请之日起   日内组织验收） </w:t>
      </w:r>
    </w:p>
    <w:p w14:paraId="72EC883C">
      <w:p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（3）履约验收方式：</w:t>
      </w:r>
      <w:r>
        <w:rPr>
          <w:rFonts w:ascii="Wingdings" w:eastAsia="宋体" w:hAnsi="Wingdings" w:cs="宋体"/>
          <w:szCs w:val="21"/>
        </w:rPr>
        <w:sym w:font="Wingdings" w:char="F0A8"/>
      </w:r>
      <w:r>
        <w:rPr>
          <w:rFonts w:ascii="宋体" w:eastAsia="宋体" w:hAnsi="宋体" w:cs="Times New Roman" w:hint="eastAsia"/>
          <w:bCs/>
          <w:szCs w:val="21"/>
        </w:rPr>
        <w:t xml:space="preserve">一次性验收         </w:t>
      </w:r>
    </w:p>
    <w:p w14:paraId="3B58C1CA">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分期/分项验收：</w:t>
      </w:r>
      <w:r>
        <w:rPr>
          <w:rFonts w:ascii="宋体" w:eastAsia="宋体" w:hAnsi="宋体" w:cs="Times New Roman" w:hint="eastAsia"/>
          <w:bCs/>
          <w:szCs w:val="21"/>
          <w:u w:val="single"/>
        </w:rPr>
        <w:t xml:space="preserve"> （应明确分期</w:t>
      </w:r>
      <w:r>
        <w:rPr>
          <w:rFonts w:ascii="宋体" w:eastAsia="宋体" w:hAnsi="宋体" w:cs="Times New Roman"/>
          <w:bCs/>
          <w:szCs w:val="21"/>
          <w:u w:val="single"/>
          <w:lang w:val="en"/>
        </w:rPr>
        <w:t>/</w:t>
      </w:r>
      <w:r>
        <w:rPr>
          <w:rFonts w:ascii="宋体" w:eastAsia="宋体" w:hAnsi="宋体" w:cs="Times New Roman" w:hint="eastAsia"/>
          <w:bCs/>
          <w:szCs w:val="21"/>
          <w:u w:val="single"/>
          <w:lang w:val="en"/>
        </w:rPr>
        <w:t>分项验收的工作安排</w:t>
      </w:r>
      <w:r>
        <w:rPr>
          <w:rFonts w:ascii="宋体" w:eastAsia="宋体" w:hAnsi="宋体" w:cs="Times New Roman" w:hint="eastAsia"/>
          <w:bCs/>
          <w:szCs w:val="21"/>
          <w:u w:val="single"/>
        </w:rPr>
        <w:t xml:space="preserve">）  </w:t>
      </w:r>
    </w:p>
    <w:p w14:paraId="5F5FA720">
      <w:p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（4）履约验收程序：</w:t>
      </w:r>
      <w:r>
        <w:rPr>
          <w:rFonts w:ascii="宋体" w:eastAsia="宋体" w:hAnsi="宋体" w:cs="Times New Roman" w:hint="eastAsia"/>
          <w:bCs/>
          <w:szCs w:val="21"/>
          <w:u w:val="single"/>
        </w:rPr>
        <w:t xml:space="preserve">                                         </w:t>
      </w:r>
    </w:p>
    <w:p w14:paraId="5C50DF90">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（5）履约验收的内容：</w:t>
      </w:r>
      <w:r>
        <w:rPr>
          <w:rFonts w:ascii="宋体" w:eastAsia="宋体" w:hAnsi="宋体" w:cs="Times New Roman" w:hint="eastAsia"/>
          <w:bCs/>
          <w:szCs w:val="21"/>
          <w:u w:val="single"/>
        </w:rPr>
        <w:t xml:space="preserve"> （应当包括每一项技术和商务要求的履约情况，特别是落实政府采购扶持中小企业，支持绿色发展和乡村振兴等政策情况）                                      </w:t>
      </w:r>
    </w:p>
    <w:p w14:paraId="1AEE2918">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（6）履约验收标准：</w:t>
      </w:r>
      <w:r>
        <w:rPr>
          <w:rFonts w:ascii="宋体" w:eastAsia="宋体" w:hAnsi="宋体" w:cs="Times New Roman" w:hint="eastAsia"/>
          <w:bCs/>
          <w:szCs w:val="21"/>
          <w:u w:val="single"/>
        </w:rPr>
        <w:t xml:space="preserve">                                         </w:t>
      </w:r>
    </w:p>
    <w:p w14:paraId="6D73BAA9">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bCs/>
          <w:kern w:val="0"/>
          <w:szCs w:val="21"/>
        </w:rPr>
        <w:t>（7）是否以采购活动中供应商提供的样品作为参考：</w:t>
      </w:r>
      <w:r>
        <w:rPr>
          <w:rFonts w:ascii="Wingdings" w:eastAsia="宋体" w:hAnsi="Wingdings" w:cs="宋体"/>
          <w:kern w:val="0"/>
          <w:szCs w:val="21"/>
        </w:rPr>
        <w:sym w:font="Wingdings" w:char="F0A8"/>
      </w:r>
      <w:r>
        <w:rPr>
          <w:rFonts w:ascii="宋体" w:eastAsia="宋体" w:hAnsi="宋体" w:cs="宋体" w:hint="eastAsia"/>
          <w:bCs/>
          <w:kern w:val="0"/>
          <w:szCs w:val="21"/>
        </w:rPr>
        <w:t xml:space="preserve">是  </w:t>
      </w:r>
      <w:r>
        <w:rPr>
          <w:rFonts w:ascii="Wingdings" w:eastAsia="宋体" w:hAnsi="Wingdings" w:cs="宋体"/>
          <w:kern w:val="0"/>
          <w:szCs w:val="21"/>
        </w:rPr>
        <w:sym w:font="Wingdings" w:char="F0A8"/>
      </w:r>
      <w:r>
        <w:rPr>
          <w:rFonts w:ascii="宋体" w:eastAsia="宋体" w:hAnsi="宋体" w:cs="宋体" w:hint="eastAsia"/>
          <w:bCs/>
          <w:kern w:val="0"/>
          <w:szCs w:val="21"/>
        </w:rPr>
        <w:t>否</w:t>
      </w:r>
    </w:p>
    <w:p w14:paraId="161EF7FD">
      <w:pPr>
        <w:adjustRightInd w:val="0"/>
        <w:snapToGrid w:val="0"/>
        <w:spacing w:line="400" w:lineRule="exact"/>
        <w:ind w:firstLine="420" w:firstLineChars="200"/>
        <w:rPr>
          <w:rFonts w:ascii="宋体" w:eastAsia="宋体" w:hAnsi="宋体" w:cs="宋体"/>
          <w:bCs/>
          <w:szCs w:val="21"/>
          <w:u w:val="single"/>
        </w:rPr>
      </w:pPr>
      <w:r>
        <w:rPr>
          <w:rFonts w:ascii="宋体" w:eastAsia="宋体" w:hAnsi="宋体" w:cs="宋体" w:hint="eastAsia"/>
          <w:bCs/>
          <w:szCs w:val="21"/>
        </w:rPr>
        <w:t>（8）履约验收其他事项：</w:t>
      </w:r>
      <w:r>
        <w:rPr>
          <w:rFonts w:ascii="宋体" w:eastAsia="宋体" w:hAnsi="宋体" w:cs="宋体" w:hint="eastAsia"/>
          <w:bCs/>
          <w:szCs w:val="21"/>
          <w:u w:val="single"/>
        </w:rPr>
        <w:t xml:space="preserve">      （产权过户登记等）          </w:t>
      </w:r>
    </w:p>
    <w:p w14:paraId="466C1BC9">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组成合同的文件</w:t>
      </w:r>
    </w:p>
    <w:p w14:paraId="3687CE4A">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本协议书与下列文件一起构成合同文件，如下述文件之间有任何抵触、矛盾或歧义，应按以下顺序解释：</w:t>
      </w:r>
    </w:p>
    <w:p w14:paraId="60A84580">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（1）政府采购合同协议书及其变更、补充协议</w:t>
      </w:r>
    </w:p>
    <w:p w14:paraId="07D11B03">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（2）政府采购合同专用条款</w:t>
      </w:r>
    </w:p>
    <w:p w14:paraId="3C1B7CE2">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（3）政府采购合同通用条款</w:t>
      </w:r>
    </w:p>
    <w:p w14:paraId="24F6E6AC">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（4）中标（成交）通知书</w:t>
      </w:r>
    </w:p>
    <w:p w14:paraId="10B68725">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（5）投标（响应）文件</w:t>
      </w:r>
    </w:p>
    <w:p w14:paraId="47B16FE0">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（6）采购文件</w:t>
      </w:r>
    </w:p>
    <w:p w14:paraId="01235C43">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（7）有关技术文件，图纸</w:t>
      </w:r>
    </w:p>
    <w:p w14:paraId="5DD90773">
      <w:pPr>
        <w:widowControl/>
        <w:autoSpaceDE w:val="0"/>
        <w:autoSpaceDN w:val="0"/>
        <w:adjustRightInd w:val="0"/>
        <w:spacing w:line="400" w:lineRule="exact"/>
        <w:ind w:firstLine="420" w:firstLineChars="200"/>
        <w:jc w:val="left"/>
        <w:rPr>
          <w:rFonts w:ascii="宋体" w:eastAsia="宋体" w:hAnsi="宋体" w:cs="宋体"/>
          <w:szCs w:val="21"/>
        </w:rPr>
      </w:pPr>
      <w:r>
        <w:rPr>
          <w:rFonts w:ascii="宋体" w:eastAsia="宋体" w:hAnsi="宋体" w:cs="宋体" w:hint="eastAsia"/>
          <w:kern w:val="0"/>
          <w:szCs w:val="21"/>
        </w:rPr>
        <w:t>（8）</w:t>
      </w:r>
      <w:r>
        <w:rPr>
          <w:rFonts w:ascii="宋体" w:eastAsia="宋体" w:hAnsi="宋体" w:cs="宋体" w:hint="eastAsia"/>
          <w:color w:val="000000"/>
          <w:szCs w:val="21"/>
        </w:rPr>
        <w:t>国家法律、行政法规和规章制度规定或合同约定的作为合同组成部分的其他文件</w:t>
      </w:r>
    </w:p>
    <w:p w14:paraId="7291DB5F">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合同生效</w:t>
      </w:r>
    </w:p>
    <w:p w14:paraId="69444F55">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本合同自</w:t>
      </w:r>
      <w:r>
        <w:rPr>
          <w:rFonts w:ascii="宋体" w:eastAsia="宋体" w:hAnsi="宋体" w:cs="Times New Roman" w:hint="eastAsia"/>
          <w:szCs w:val="21"/>
          <w:u w:val="single"/>
        </w:rPr>
        <w:t xml:space="preserve">                             </w:t>
      </w:r>
      <w:r>
        <w:rPr>
          <w:rFonts w:ascii="宋体" w:eastAsia="宋体" w:hAnsi="宋体" w:cs="Times New Roman" w:hint="eastAsia"/>
          <w:szCs w:val="21"/>
        </w:rPr>
        <w:t>生效。</w:t>
      </w:r>
    </w:p>
    <w:p w14:paraId="403DD6C8">
      <w:pPr>
        <w:numPr>
          <w:ilvl w:val="0"/>
          <w:numId w:val="3"/>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合同份数</w:t>
      </w:r>
    </w:p>
    <w:p w14:paraId="263DF912">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本合同一式</w:t>
      </w:r>
      <w:r>
        <w:rPr>
          <w:rFonts w:ascii="宋体" w:eastAsia="宋体" w:hAnsi="宋体" w:cs="Times New Roman" w:hint="eastAsia"/>
          <w:szCs w:val="21"/>
          <w:u w:val="single"/>
        </w:rPr>
        <w:t xml:space="preserve">    </w:t>
      </w:r>
      <w:r>
        <w:rPr>
          <w:rFonts w:ascii="宋体" w:eastAsia="宋体" w:hAnsi="宋体" w:cs="Times New Roman" w:hint="eastAsia"/>
          <w:szCs w:val="21"/>
        </w:rPr>
        <w:t>份，甲方执</w:t>
      </w:r>
      <w:r>
        <w:rPr>
          <w:rFonts w:ascii="宋体" w:eastAsia="宋体" w:hAnsi="宋体" w:cs="Times New Roman" w:hint="eastAsia"/>
          <w:szCs w:val="21"/>
          <w:u w:val="single"/>
        </w:rPr>
        <w:t xml:space="preserve">    </w:t>
      </w:r>
      <w:r>
        <w:rPr>
          <w:rFonts w:ascii="宋体" w:eastAsia="宋体" w:hAnsi="宋体" w:cs="Times New Roman" w:hint="eastAsia"/>
          <w:szCs w:val="21"/>
        </w:rPr>
        <w:t>份，乙方执</w:t>
      </w:r>
      <w:r>
        <w:rPr>
          <w:rFonts w:ascii="宋体" w:eastAsia="宋体" w:hAnsi="宋体" w:cs="Times New Roman" w:hint="eastAsia"/>
          <w:szCs w:val="21"/>
          <w:u w:val="single"/>
        </w:rPr>
        <w:t xml:space="preserve">    </w:t>
      </w:r>
      <w:r>
        <w:rPr>
          <w:rFonts w:ascii="宋体" w:eastAsia="宋体" w:hAnsi="宋体" w:cs="Times New Roman" w:hint="eastAsia"/>
          <w:szCs w:val="21"/>
        </w:rPr>
        <w:t>份，均具有同等法律效力。</w:t>
      </w:r>
    </w:p>
    <w:p w14:paraId="6ECDC1D1">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合同订立时间：</w:t>
      </w:r>
      <w:r>
        <w:rPr>
          <w:rFonts w:ascii="宋体" w:eastAsia="宋体" w:hAnsi="宋体" w:cs="Times New Roman" w:hint="eastAsia"/>
          <w:szCs w:val="21"/>
          <w:u w:val="single"/>
        </w:rPr>
        <w:t xml:space="preserve">         </w:t>
      </w:r>
      <w:r>
        <w:rPr>
          <w:rFonts w:ascii="宋体" w:eastAsia="宋体" w:hAnsi="宋体" w:cs="Times New Roman" w:hint="eastAsia"/>
          <w:szCs w:val="21"/>
        </w:rPr>
        <w:t>年</w:t>
      </w:r>
      <w:r>
        <w:rPr>
          <w:rFonts w:ascii="宋体" w:eastAsia="宋体" w:hAnsi="宋体" w:cs="Times New Roman" w:hint="eastAsia"/>
          <w:szCs w:val="21"/>
          <w:u w:val="single"/>
        </w:rPr>
        <w:t xml:space="preserve">      </w:t>
      </w:r>
      <w:r>
        <w:rPr>
          <w:rFonts w:ascii="宋体" w:eastAsia="宋体" w:hAnsi="宋体" w:cs="Times New Roman" w:hint="eastAsia"/>
          <w:szCs w:val="21"/>
        </w:rPr>
        <w:t>月</w:t>
      </w:r>
      <w:r>
        <w:rPr>
          <w:rFonts w:ascii="宋体" w:eastAsia="宋体" w:hAnsi="宋体" w:cs="Times New Roman" w:hint="eastAsia"/>
          <w:szCs w:val="21"/>
          <w:u w:val="single"/>
        </w:rPr>
        <w:t xml:space="preserve">      </w:t>
      </w:r>
      <w:r>
        <w:rPr>
          <w:rFonts w:ascii="宋体" w:eastAsia="宋体" w:hAnsi="宋体" w:cs="Times New Roman" w:hint="eastAsia"/>
          <w:szCs w:val="21"/>
        </w:rPr>
        <w:t>日</w:t>
      </w:r>
    </w:p>
    <w:p w14:paraId="459E28A9">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合同订立地点：</w:t>
      </w:r>
      <w:r>
        <w:rPr>
          <w:rFonts w:ascii="宋体" w:eastAsia="宋体" w:hAnsi="宋体" w:cs="Times New Roman" w:hint="eastAsia"/>
          <w:szCs w:val="21"/>
          <w:u w:val="single"/>
        </w:rPr>
        <w:t xml:space="preserve">                           </w:t>
      </w:r>
    </w:p>
    <w:p w14:paraId="1CFF191C">
      <w:pPr>
        <w:adjustRightInd w:val="0"/>
        <w:snapToGrid w:val="0"/>
        <w:spacing w:line="400" w:lineRule="exact"/>
        <w:ind w:firstLine="420" w:firstLineChars="200"/>
        <w:rPr>
          <w:rFonts w:ascii="Times New Roman" w:eastAsia="宋体" w:hAnsi="Times New Roman" w:cs="Times New Roman"/>
          <w:szCs w:val="20"/>
        </w:rPr>
      </w:pPr>
      <w:r>
        <w:rPr>
          <w:rFonts w:ascii="宋体" w:eastAsia="宋体" w:hAnsi="宋体" w:cs="Times New Roman" w:hint="eastAsia"/>
          <w:szCs w:val="21"/>
        </w:rPr>
        <w:t>附件：具体标的及其技术要求和商务要求、联合协议、分包意向协议等。</w:t>
      </w:r>
    </w:p>
    <w:p w14:paraId="302E7EF2">
      <w:pPr>
        <w:rPr>
          <w:rFonts w:ascii="Times New Roman" w:eastAsia="宋体" w:hAnsi="Times New Roman" w:cs="Times New Roman"/>
          <w:szCs w:val="20"/>
        </w:rPr>
      </w:pPr>
      <w:r>
        <w:rPr>
          <w:rFonts w:ascii="Times New Roman" w:eastAsia="宋体" w:hAnsi="Times New Roman" w:cs="Times New Roman" w:hint="eastAsia"/>
          <w:szCs w:val="20"/>
        </w:rPr>
        <w:br w:type="page"/>
      </w:r>
    </w:p>
    <w:p w14:paraId="26BACD7B">
      <w:pPr>
        <w:ind w:firstLine="420" w:firstLineChars="200"/>
        <w:rPr>
          <w:rFonts w:ascii="Times New Roman" w:eastAsia="宋体" w:hAnsi="Times New Roman" w:cs="Times New Roman"/>
          <w:szCs w:val="21"/>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9"/>
        <w:gridCol w:w="2116"/>
      </w:tblGrid>
      <w:tr w14:paraId="704F37B7">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vAlign w:val="center"/>
          </w:tcPr>
          <w:p w14:paraId="68E8B941">
            <w:pPr>
              <w:adjustRightInd w:val="0"/>
              <w:snapToGrid w:val="0"/>
              <w:spacing w:line="300" w:lineRule="exact"/>
              <w:jc w:val="center"/>
              <w:rPr>
                <w:rFonts w:ascii="Times New Roman" w:eastAsia="宋体" w:hAnsi="Times New Roman" w:cs="Times New Roman"/>
                <w:szCs w:val="20"/>
              </w:rPr>
            </w:pPr>
            <w:r>
              <w:rPr>
                <w:rFonts w:ascii="Times New Roman" w:eastAsia="宋体" w:hAnsi="Times New Roman" w:cs="Times New Roman"/>
                <w:szCs w:val="21"/>
              </w:rPr>
              <w:t>甲方</w:t>
            </w:r>
            <w:r>
              <w:rPr>
                <w:rFonts w:ascii="Times New Roman" w:eastAsia="宋体" w:hAnsi="Times New Roman" w:cs="Times New Roman" w:hint="eastAsia"/>
                <w:szCs w:val="21"/>
              </w:rPr>
              <w:t>（采购人</w:t>
            </w:r>
            <w:r>
              <w:rPr>
                <w:rFonts w:ascii="宋体" w:eastAsia="宋体" w:hAnsi="宋体" w:cs="Times New Roman" w:hint="eastAsia"/>
                <w:szCs w:val="21"/>
              </w:rPr>
              <w:t>、受采购人委托签订合同的单位或</w:t>
            </w:r>
            <w:r>
              <w:rPr>
                <w:rFonts w:ascii="Times New Roman" w:eastAsia="宋体" w:hAnsi="Times New Roman" w:cs="Times New Roman" w:hint="eastAsia"/>
                <w:szCs w:val="21"/>
              </w:rPr>
              <w:t>采购文件约定的合同甲方）</w:t>
            </w:r>
          </w:p>
        </w:tc>
        <w:tc>
          <w:tcPr>
            <w:tcW w:w="2437" w:type="pct"/>
            <w:gridSpan w:val="2"/>
            <w:tcBorders>
              <w:left w:val="single" w:sz="2" w:space="0" w:color="auto"/>
              <w:bottom w:val="single" w:sz="2" w:space="0" w:color="auto"/>
            </w:tcBorders>
            <w:vAlign w:val="center"/>
          </w:tcPr>
          <w:p w14:paraId="5D0F5C7B">
            <w:pPr>
              <w:adjustRightInd w:val="0"/>
              <w:snapToGrid w:val="0"/>
              <w:spacing w:line="300" w:lineRule="exact"/>
              <w:jc w:val="center"/>
              <w:rPr>
                <w:rFonts w:ascii="Times New Roman" w:eastAsia="宋体" w:hAnsi="Times New Roman" w:cs="Times New Roman"/>
                <w:szCs w:val="20"/>
              </w:rPr>
            </w:pPr>
            <w:r>
              <w:rPr>
                <w:rFonts w:ascii="Times New Roman" w:eastAsia="宋体" w:hAnsi="Times New Roman" w:cs="Times New Roman"/>
                <w:szCs w:val="21"/>
              </w:rPr>
              <w:t>乙方</w:t>
            </w:r>
            <w:r>
              <w:rPr>
                <w:rFonts w:ascii="Times New Roman" w:eastAsia="宋体" w:hAnsi="Times New Roman" w:cs="Times New Roman" w:hint="eastAsia"/>
                <w:szCs w:val="21"/>
              </w:rPr>
              <w:t>（供应商）</w:t>
            </w:r>
          </w:p>
        </w:tc>
      </w:tr>
      <w:tr w14:paraId="054154B2">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vAlign w:val="center"/>
          </w:tcPr>
          <w:p w14:paraId="0E0B2C2F">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单位名称</w:t>
            </w:r>
            <w:r>
              <w:rPr>
                <w:rFonts w:ascii="Times New Roman" w:eastAsia="宋体" w:hAnsi="Times New Roman" w:cs="Times New Roman"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14:paraId="73F51802">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6BBD1DFD">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单位名称</w:t>
            </w:r>
            <w:r>
              <w:rPr>
                <w:rFonts w:ascii="Times New Roman" w:eastAsia="宋体" w:hAnsi="Times New Roman" w:cs="Times New Roman" w:hint="eastAsia"/>
                <w:szCs w:val="21"/>
              </w:rPr>
              <w:t>（公章或合同章）</w:t>
            </w:r>
          </w:p>
        </w:tc>
        <w:tc>
          <w:tcPr>
            <w:tcW w:w="1259" w:type="pct"/>
            <w:tcBorders>
              <w:top w:val="single" w:sz="2" w:space="0" w:color="auto"/>
              <w:left w:val="single" w:sz="2" w:space="0" w:color="auto"/>
              <w:bottom w:val="single" w:sz="2" w:space="0" w:color="auto"/>
            </w:tcBorders>
            <w:vAlign w:val="center"/>
          </w:tcPr>
          <w:p w14:paraId="04803887">
            <w:pPr>
              <w:adjustRightInd w:val="0"/>
              <w:snapToGrid w:val="0"/>
              <w:spacing w:line="300" w:lineRule="exact"/>
              <w:jc w:val="center"/>
              <w:rPr>
                <w:rFonts w:ascii="Times New Roman" w:eastAsia="宋体" w:hAnsi="Times New Roman" w:cs="Times New Roman"/>
                <w:spacing w:val="20"/>
                <w:szCs w:val="21"/>
              </w:rPr>
            </w:pPr>
          </w:p>
        </w:tc>
      </w:tr>
      <w:tr w14:paraId="225859BB">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vAlign w:val="center"/>
          </w:tcPr>
          <w:p w14:paraId="0EDE373F">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法定代表人</w:t>
            </w:r>
          </w:p>
          <w:p w14:paraId="6B17DA74">
            <w:pPr>
              <w:adjustRightInd w:val="0"/>
              <w:snapToGrid w:val="0"/>
              <w:spacing w:line="300" w:lineRule="exact"/>
              <w:ind w:firstLine="101" w:firstLineChars="48"/>
              <w:jc w:val="center"/>
              <w:rPr>
                <w:rFonts w:ascii="Times New Roman" w:eastAsia="宋体" w:hAnsi="Times New Roman" w:cs="Times New Roman"/>
                <w:szCs w:val="21"/>
              </w:rPr>
            </w:pPr>
            <w:r>
              <w:rPr>
                <w:rFonts w:ascii="Times New Roman" w:eastAsia="宋体" w:hAnsi="Times New Roman" w:cs="Times New Roman" w:hint="eastAsia"/>
                <w:szCs w:val="21"/>
              </w:rPr>
              <w:t>或其</w:t>
            </w:r>
            <w:r>
              <w:rPr>
                <w:rFonts w:ascii="Times New Roman" w:eastAsia="宋体" w:hAnsi="Times New Roman" w:cs="Times New Roman"/>
                <w:szCs w:val="21"/>
              </w:rPr>
              <w:t>委托代理人</w:t>
            </w:r>
            <w:r>
              <w:rPr>
                <w:rFonts w:ascii="Times New Roman" w:eastAsia="宋体" w:hAnsi="Times New Roman" w:cs="Times New Roman" w:hint="eastAsia"/>
                <w:szCs w:val="21"/>
              </w:rPr>
              <w:t>（签章）</w:t>
            </w:r>
          </w:p>
        </w:tc>
        <w:tc>
          <w:tcPr>
            <w:tcW w:w="1436" w:type="pct"/>
            <w:vMerge w:val="restart"/>
            <w:tcBorders>
              <w:top w:val="single" w:sz="2" w:space="0" w:color="auto"/>
              <w:left w:val="single" w:sz="2" w:space="0" w:color="auto"/>
              <w:right w:val="single" w:sz="2" w:space="0" w:color="auto"/>
            </w:tcBorders>
            <w:vAlign w:val="center"/>
          </w:tcPr>
          <w:p w14:paraId="33B07E9A">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right w:val="single" w:sz="2" w:space="0" w:color="auto"/>
            </w:tcBorders>
            <w:vAlign w:val="center"/>
          </w:tcPr>
          <w:p w14:paraId="5ECFB98C">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法定代表人</w:t>
            </w:r>
          </w:p>
          <w:p w14:paraId="053A231E">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或其</w:t>
            </w:r>
            <w:r>
              <w:rPr>
                <w:rFonts w:ascii="Times New Roman" w:eastAsia="宋体" w:hAnsi="Times New Roman" w:cs="Times New Roman"/>
                <w:szCs w:val="21"/>
              </w:rPr>
              <w:t>委托代理人</w:t>
            </w:r>
            <w:r>
              <w:rPr>
                <w:rFonts w:ascii="Times New Roman" w:eastAsia="宋体" w:hAnsi="Times New Roman" w:cs="Times New Roman" w:hint="eastAsia"/>
                <w:szCs w:val="21"/>
              </w:rPr>
              <w:t>（签章）</w:t>
            </w:r>
          </w:p>
        </w:tc>
        <w:tc>
          <w:tcPr>
            <w:tcW w:w="1259" w:type="pct"/>
            <w:tcBorders>
              <w:top w:val="single" w:sz="2" w:space="0" w:color="auto"/>
              <w:left w:val="single" w:sz="2" w:space="0" w:color="auto"/>
              <w:bottom w:val="single" w:sz="2" w:space="0" w:color="auto"/>
            </w:tcBorders>
            <w:vAlign w:val="center"/>
          </w:tcPr>
          <w:p w14:paraId="5ABF6838">
            <w:pPr>
              <w:adjustRightInd w:val="0"/>
              <w:snapToGrid w:val="0"/>
              <w:spacing w:line="300" w:lineRule="exact"/>
              <w:jc w:val="center"/>
              <w:rPr>
                <w:rFonts w:ascii="Times New Roman" w:eastAsia="宋体" w:hAnsi="Times New Roman" w:cs="Times New Roman"/>
                <w:szCs w:val="21"/>
              </w:rPr>
            </w:pPr>
          </w:p>
        </w:tc>
      </w:tr>
      <w:tr w14:paraId="5D4D40F2">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vAlign w:val="center"/>
          </w:tcPr>
          <w:p w14:paraId="26D35016">
            <w:pPr>
              <w:adjustRightInd w:val="0"/>
              <w:snapToGrid w:val="0"/>
              <w:spacing w:line="300" w:lineRule="exact"/>
              <w:jc w:val="center"/>
              <w:rPr>
                <w:rFonts w:ascii="Times New Roman" w:eastAsia="宋体" w:hAnsi="Times New Roman" w:cs="Times New Roman"/>
                <w:szCs w:val="21"/>
              </w:rPr>
            </w:pPr>
          </w:p>
        </w:tc>
        <w:tc>
          <w:tcPr>
            <w:tcW w:w="1436" w:type="pct"/>
            <w:vMerge/>
            <w:tcBorders>
              <w:left w:val="single" w:sz="2" w:space="0" w:color="auto"/>
              <w:bottom w:val="single" w:sz="2" w:space="0" w:color="auto"/>
              <w:right w:val="single" w:sz="2" w:space="0" w:color="auto"/>
            </w:tcBorders>
            <w:vAlign w:val="center"/>
          </w:tcPr>
          <w:p w14:paraId="1D626D25">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766B1496">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拥有者性别</w:t>
            </w:r>
          </w:p>
        </w:tc>
        <w:tc>
          <w:tcPr>
            <w:tcW w:w="1259" w:type="pct"/>
            <w:tcBorders>
              <w:top w:val="single" w:sz="2" w:space="0" w:color="auto"/>
              <w:left w:val="single" w:sz="2" w:space="0" w:color="auto"/>
              <w:bottom w:val="single" w:sz="2" w:space="0" w:color="auto"/>
            </w:tcBorders>
            <w:vAlign w:val="center"/>
          </w:tcPr>
          <w:p w14:paraId="679A5C67">
            <w:pPr>
              <w:adjustRightInd w:val="0"/>
              <w:snapToGrid w:val="0"/>
              <w:spacing w:line="300" w:lineRule="exact"/>
              <w:jc w:val="center"/>
              <w:rPr>
                <w:rFonts w:ascii="Times New Roman" w:eastAsia="宋体" w:hAnsi="Times New Roman" w:cs="Times New Roman"/>
                <w:spacing w:val="20"/>
                <w:szCs w:val="21"/>
              </w:rPr>
            </w:pPr>
          </w:p>
        </w:tc>
      </w:tr>
      <w:tr w14:paraId="6670CF96">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09ACFFCA">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住  所</w:t>
            </w:r>
          </w:p>
        </w:tc>
        <w:tc>
          <w:tcPr>
            <w:tcW w:w="1436" w:type="pct"/>
            <w:tcBorders>
              <w:top w:val="single" w:sz="2" w:space="0" w:color="auto"/>
              <w:left w:val="single" w:sz="2" w:space="0" w:color="auto"/>
              <w:bottom w:val="single" w:sz="2" w:space="0" w:color="auto"/>
              <w:right w:val="single" w:sz="2" w:space="0" w:color="auto"/>
            </w:tcBorders>
            <w:vAlign w:val="center"/>
          </w:tcPr>
          <w:p w14:paraId="101D1EC5">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6D057A55">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住  所</w:t>
            </w:r>
          </w:p>
        </w:tc>
        <w:tc>
          <w:tcPr>
            <w:tcW w:w="1259" w:type="pct"/>
            <w:tcBorders>
              <w:top w:val="single" w:sz="2" w:space="0" w:color="auto"/>
              <w:left w:val="single" w:sz="2" w:space="0" w:color="auto"/>
              <w:bottom w:val="single" w:sz="2" w:space="0" w:color="auto"/>
            </w:tcBorders>
            <w:vAlign w:val="center"/>
          </w:tcPr>
          <w:p w14:paraId="2561AFFE">
            <w:pPr>
              <w:adjustRightInd w:val="0"/>
              <w:snapToGrid w:val="0"/>
              <w:spacing w:line="300" w:lineRule="exact"/>
              <w:jc w:val="center"/>
              <w:rPr>
                <w:rFonts w:ascii="Times New Roman" w:eastAsia="宋体" w:hAnsi="Times New Roman" w:cs="Times New Roman"/>
                <w:spacing w:val="20"/>
                <w:szCs w:val="21"/>
              </w:rPr>
            </w:pPr>
          </w:p>
        </w:tc>
      </w:tr>
      <w:tr w14:paraId="426AFB21">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6AAED555">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14:paraId="3EC9D335">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503D1BE">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 系 人</w:t>
            </w:r>
          </w:p>
        </w:tc>
        <w:tc>
          <w:tcPr>
            <w:tcW w:w="1259" w:type="pct"/>
            <w:tcBorders>
              <w:top w:val="single" w:sz="2" w:space="0" w:color="auto"/>
              <w:left w:val="single" w:sz="2" w:space="0" w:color="auto"/>
              <w:bottom w:val="single" w:sz="2" w:space="0" w:color="auto"/>
            </w:tcBorders>
            <w:vAlign w:val="center"/>
          </w:tcPr>
          <w:p w14:paraId="341C644B">
            <w:pPr>
              <w:adjustRightInd w:val="0"/>
              <w:snapToGrid w:val="0"/>
              <w:spacing w:line="300" w:lineRule="exact"/>
              <w:jc w:val="center"/>
              <w:rPr>
                <w:rFonts w:ascii="Times New Roman" w:eastAsia="宋体" w:hAnsi="Times New Roman" w:cs="Times New Roman"/>
                <w:spacing w:val="20"/>
                <w:szCs w:val="21"/>
              </w:rPr>
            </w:pPr>
          </w:p>
        </w:tc>
      </w:tr>
      <w:tr w14:paraId="77A84727">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4F3A0D35">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14:paraId="4684BC7B">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6D50497C">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联系电话</w:t>
            </w:r>
          </w:p>
        </w:tc>
        <w:tc>
          <w:tcPr>
            <w:tcW w:w="1259" w:type="pct"/>
            <w:tcBorders>
              <w:top w:val="single" w:sz="2" w:space="0" w:color="auto"/>
              <w:left w:val="single" w:sz="2" w:space="0" w:color="auto"/>
              <w:bottom w:val="single" w:sz="2" w:space="0" w:color="auto"/>
            </w:tcBorders>
            <w:vAlign w:val="center"/>
          </w:tcPr>
          <w:p w14:paraId="688E7BF8">
            <w:pPr>
              <w:adjustRightInd w:val="0"/>
              <w:snapToGrid w:val="0"/>
              <w:spacing w:line="300" w:lineRule="exact"/>
              <w:jc w:val="center"/>
              <w:rPr>
                <w:rFonts w:ascii="Times New Roman" w:eastAsia="宋体" w:hAnsi="Times New Roman" w:cs="Times New Roman"/>
                <w:spacing w:val="20"/>
                <w:szCs w:val="21"/>
              </w:rPr>
            </w:pPr>
          </w:p>
        </w:tc>
      </w:tr>
      <w:tr w14:paraId="021B1603">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47357E73">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14:paraId="2BE80EFC">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4259772C">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通信地址</w:t>
            </w:r>
          </w:p>
        </w:tc>
        <w:tc>
          <w:tcPr>
            <w:tcW w:w="1259" w:type="pct"/>
            <w:tcBorders>
              <w:top w:val="single" w:sz="2" w:space="0" w:color="auto"/>
              <w:left w:val="single" w:sz="2" w:space="0" w:color="auto"/>
              <w:bottom w:val="single" w:sz="2" w:space="0" w:color="auto"/>
            </w:tcBorders>
            <w:vAlign w:val="center"/>
          </w:tcPr>
          <w:p w14:paraId="6668089F">
            <w:pPr>
              <w:adjustRightInd w:val="0"/>
              <w:snapToGrid w:val="0"/>
              <w:spacing w:line="300" w:lineRule="exact"/>
              <w:jc w:val="center"/>
              <w:rPr>
                <w:rFonts w:ascii="Times New Roman" w:eastAsia="宋体" w:hAnsi="Times New Roman" w:cs="Times New Roman"/>
                <w:spacing w:val="20"/>
                <w:szCs w:val="21"/>
              </w:rPr>
            </w:pPr>
          </w:p>
        </w:tc>
      </w:tr>
      <w:tr w14:paraId="45486F1E">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71715A2F">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14:paraId="35E52F8A">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42615C5">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邮政编码</w:t>
            </w:r>
          </w:p>
        </w:tc>
        <w:tc>
          <w:tcPr>
            <w:tcW w:w="1259" w:type="pct"/>
            <w:tcBorders>
              <w:top w:val="single" w:sz="2" w:space="0" w:color="auto"/>
              <w:left w:val="single" w:sz="2" w:space="0" w:color="auto"/>
              <w:bottom w:val="single" w:sz="2" w:space="0" w:color="auto"/>
            </w:tcBorders>
            <w:vAlign w:val="center"/>
          </w:tcPr>
          <w:p w14:paraId="01504F58">
            <w:pPr>
              <w:adjustRightInd w:val="0"/>
              <w:snapToGrid w:val="0"/>
              <w:spacing w:line="300" w:lineRule="exact"/>
              <w:jc w:val="center"/>
              <w:rPr>
                <w:rFonts w:ascii="Times New Roman" w:eastAsia="宋体" w:hAnsi="Times New Roman" w:cs="Times New Roman"/>
                <w:spacing w:val="20"/>
                <w:szCs w:val="21"/>
              </w:rPr>
            </w:pPr>
          </w:p>
        </w:tc>
      </w:tr>
      <w:tr w14:paraId="058662B5">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77B30923">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14:paraId="08FB4412">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63164504">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电子邮箱</w:t>
            </w:r>
          </w:p>
        </w:tc>
        <w:tc>
          <w:tcPr>
            <w:tcW w:w="1259" w:type="pct"/>
            <w:tcBorders>
              <w:top w:val="single" w:sz="2" w:space="0" w:color="auto"/>
              <w:left w:val="single" w:sz="2" w:space="0" w:color="auto"/>
              <w:bottom w:val="single" w:sz="2" w:space="0" w:color="auto"/>
            </w:tcBorders>
            <w:vAlign w:val="center"/>
          </w:tcPr>
          <w:p w14:paraId="2F3AD2D1">
            <w:pPr>
              <w:adjustRightInd w:val="0"/>
              <w:snapToGrid w:val="0"/>
              <w:spacing w:line="300" w:lineRule="exact"/>
              <w:jc w:val="center"/>
              <w:rPr>
                <w:rFonts w:ascii="Times New Roman" w:eastAsia="宋体" w:hAnsi="Times New Roman" w:cs="Times New Roman"/>
                <w:spacing w:val="20"/>
                <w:szCs w:val="21"/>
              </w:rPr>
            </w:pPr>
          </w:p>
        </w:tc>
      </w:tr>
      <w:tr w14:paraId="79C7C914">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54871D1C">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14:paraId="16DA2664">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402CC2E4">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统一社会信用代码</w:t>
            </w:r>
          </w:p>
        </w:tc>
        <w:tc>
          <w:tcPr>
            <w:tcW w:w="1259" w:type="pct"/>
            <w:tcBorders>
              <w:top w:val="single" w:sz="2" w:space="0" w:color="auto"/>
              <w:left w:val="single" w:sz="2" w:space="0" w:color="auto"/>
              <w:bottom w:val="single" w:sz="2" w:space="0" w:color="auto"/>
            </w:tcBorders>
            <w:vAlign w:val="center"/>
          </w:tcPr>
          <w:p w14:paraId="5262EE28">
            <w:pPr>
              <w:adjustRightInd w:val="0"/>
              <w:snapToGrid w:val="0"/>
              <w:spacing w:line="300" w:lineRule="exact"/>
              <w:jc w:val="center"/>
              <w:rPr>
                <w:rFonts w:ascii="Times New Roman" w:eastAsia="宋体" w:hAnsi="Times New Roman" w:cs="Times New Roman"/>
                <w:spacing w:val="20"/>
                <w:szCs w:val="21"/>
              </w:rPr>
            </w:pPr>
          </w:p>
        </w:tc>
      </w:tr>
      <w:tr w14:paraId="5020BE48">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22B176DB">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4E301403">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46D51F5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开户名称</w:t>
            </w:r>
          </w:p>
        </w:tc>
        <w:tc>
          <w:tcPr>
            <w:tcW w:w="1259" w:type="pct"/>
            <w:tcBorders>
              <w:top w:val="single" w:sz="2" w:space="0" w:color="auto"/>
              <w:left w:val="single" w:sz="2" w:space="0" w:color="auto"/>
              <w:bottom w:val="single" w:sz="2" w:space="0" w:color="auto"/>
            </w:tcBorders>
            <w:vAlign w:val="center"/>
          </w:tcPr>
          <w:p w14:paraId="746610B3">
            <w:pPr>
              <w:adjustRightInd w:val="0"/>
              <w:snapToGrid w:val="0"/>
              <w:spacing w:line="300" w:lineRule="exact"/>
              <w:jc w:val="center"/>
              <w:rPr>
                <w:rFonts w:ascii="Times New Roman" w:eastAsia="宋体" w:hAnsi="Times New Roman" w:cs="Times New Roman"/>
                <w:spacing w:val="20"/>
                <w:szCs w:val="21"/>
              </w:rPr>
            </w:pPr>
          </w:p>
        </w:tc>
      </w:tr>
      <w:tr w14:paraId="18DEBE31">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62BAB8BF">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34CCEEFF">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296F10A9">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开户银行</w:t>
            </w:r>
          </w:p>
        </w:tc>
        <w:tc>
          <w:tcPr>
            <w:tcW w:w="1259" w:type="pct"/>
            <w:tcBorders>
              <w:top w:val="single" w:sz="2" w:space="0" w:color="auto"/>
              <w:left w:val="single" w:sz="2" w:space="0" w:color="auto"/>
              <w:bottom w:val="single" w:sz="2" w:space="0" w:color="auto"/>
            </w:tcBorders>
            <w:vAlign w:val="center"/>
          </w:tcPr>
          <w:p w14:paraId="768699A6">
            <w:pPr>
              <w:adjustRightInd w:val="0"/>
              <w:snapToGrid w:val="0"/>
              <w:spacing w:line="300" w:lineRule="exact"/>
              <w:jc w:val="center"/>
              <w:rPr>
                <w:rFonts w:ascii="Times New Roman" w:eastAsia="宋体" w:hAnsi="Times New Roman" w:cs="Times New Roman"/>
                <w:spacing w:val="20"/>
                <w:szCs w:val="21"/>
              </w:rPr>
            </w:pPr>
          </w:p>
        </w:tc>
      </w:tr>
      <w:tr w14:paraId="0D03BB34">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2D78DE5F">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623437CC">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6B4563ED">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银行账号</w:t>
            </w:r>
          </w:p>
        </w:tc>
        <w:tc>
          <w:tcPr>
            <w:tcW w:w="1259" w:type="pct"/>
            <w:tcBorders>
              <w:top w:val="single" w:sz="2" w:space="0" w:color="auto"/>
              <w:left w:val="single" w:sz="2" w:space="0" w:color="auto"/>
              <w:bottom w:val="single" w:sz="2" w:space="0" w:color="auto"/>
            </w:tcBorders>
            <w:vAlign w:val="center"/>
          </w:tcPr>
          <w:p w14:paraId="4623D254">
            <w:pPr>
              <w:adjustRightInd w:val="0"/>
              <w:snapToGrid w:val="0"/>
              <w:spacing w:line="300" w:lineRule="exact"/>
              <w:jc w:val="center"/>
              <w:rPr>
                <w:rFonts w:ascii="Times New Roman" w:eastAsia="宋体" w:hAnsi="Times New Roman" w:cs="Times New Roman"/>
                <w:spacing w:val="20"/>
                <w:szCs w:val="21"/>
              </w:rPr>
            </w:pPr>
          </w:p>
        </w:tc>
      </w:tr>
      <w:tr w14:paraId="79AD851F">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vAlign w:val="center"/>
          </w:tcPr>
          <w:p w14:paraId="23287857">
            <w:pPr>
              <w:adjustRightInd w:val="0"/>
              <w:snapToGrid w:val="0"/>
              <w:spacing w:before="156" w:beforeLines="50" w:line="360" w:lineRule="auto"/>
              <w:jc w:val="left"/>
              <w:rPr>
                <w:rFonts w:ascii="Times New Roman" w:eastAsia="宋体" w:hAnsi="Times New Roman" w:cs="Times New Roman"/>
                <w:spacing w:val="20"/>
                <w:szCs w:val="21"/>
              </w:rPr>
            </w:pPr>
            <w:r>
              <w:rPr>
                <w:rFonts w:ascii="宋体" w:eastAsia="宋体" w:hAnsi="宋体" w:cs="Times New Roman" w:hint="eastAsia"/>
                <w:szCs w:val="21"/>
              </w:rPr>
              <w:t>注：涉及联合体或其他合同主体的信息应按上表格式加列。</w:t>
            </w:r>
          </w:p>
        </w:tc>
      </w:tr>
    </w:tbl>
    <w:p w14:paraId="7BBECD43">
      <w:pPr>
        <w:keepNext/>
        <w:keepLines/>
        <w:adjustRightInd w:val="0"/>
        <w:snapToGrid w:val="0"/>
        <w:spacing w:before="156" w:beforeLines="50" w:after="260" w:line="416" w:lineRule="atLeast"/>
        <w:jc w:val="center"/>
        <w:outlineLvl w:val="1"/>
        <w:rPr>
          <w:rFonts w:ascii="黑体" w:eastAsia="黑体" w:hAnsi="黑体" w:cs="Times New Roman"/>
          <w:b/>
          <w:bCs/>
          <w:sz w:val="28"/>
          <w:szCs w:val="28"/>
        </w:rPr>
      </w:pPr>
      <w:r>
        <w:rPr>
          <w:rFonts w:ascii="宋体" w:eastAsia="黑体" w:hAnsi="宋体" w:cs="Times New Roman"/>
          <w:b/>
          <w:bCs/>
          <w:szCs w:val="21"/>
          <w:u w:val="single"/>
        </w:rPr>
        <w:br w:type="page"/>
      </w:r>
      <w:bookmarkStart w:id="63" w:name="_Toc27624"/>
      <w:r>
        <w:rPr>
          <w:rFonts w:ascii="黑体" w:eastAsia="黑体" w:hAnsi="黑体" w:cs="Times New Roman" w:hint="eastAsia"/>
          <w:sz w:val="28"/>
          <w:szCs w:val="28"/>
        </w:rPr>
        <w:t>第二节 政府采购合同通用条款</w:t>
      </w:r>
      <w:bookmarkEnd w:id="63"/>
    </w:p>
    <w:p w14:paraId="0F9EA1E8">
      <w:pPr>
        <w:tabs>
          <w:tab w:val="left" w:pos="8820"/>
          <w:tab w:val="left" w:pos="9345"/>
          <w:tab w:val="left" w:pos="9765"/>
        </w:tabs>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sz w:val="24"/>
          <w:szCs w:val="20"/>
        </w:rPr>
        <w:t xml:space="preserve">1. </w:t>
      </w:r>
      <w:r>
        <w:rPr>
          <w:rFonts w:ascii="宋体" w:eastAsia="宋体" w:hAnsi="宋体" w:cs="Times New Roman" w:hint="eastAsia"/>
          <w:b/>
          <w:bCs/>
          <w:sz w:val="24"/>
          <w:szCs w:val="20"/>
        </w:rPr>
        <w:t>定义</w:t>
      </w:r>
    </w:p>
    <w:p w14:paraId="349D568F">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1.1合同当事人</w:t>
      </w:r>
    </w:p>
    <w:p w14:paraId="58772036">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（1）采购人（以下称甲方）是指使用财政性资金，通过政府采购方式向供应商购买货物及其相关服务的国家机关、事业单位、团体组织。</w:t>
      </w:r>
    </w:p>
    <w:p w14:paraId="2B302A6B">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（2）供应商（以下称乙方）是指参加政府采购活动并且中标（成交），向采购人提供合同约定的货物及其相关服务的法人、非法人组织或者自然人。</w:t>
      </w:r>
    </w:p>
    <w:p w14:paraId="6F6224A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（3）其他合同主体是指除采购人和供应商以外，</w:t>
      </w:r>
      <w:r>
        <w:rPr>
          <w:rFonts w:ascii="宋体" w:eastAsia="宋体" w:hAnsi="宋体" w:cs="宋体" w:hint="eastAsia"/>
          <w:bCs/>
          <w:color w:val="000000"/>
          <w:szCs w:val="21"/>
        </w:rPr>
        <w:t>依法参与合同缔结或履行，享有权利、承担义务的合同当事人</w:t>
      </w:r>
      <w:r>
        <w:rPr>
          <w:rFonts w:ascii="宋体" w:eastAsia="宋体" w:hAnsi="宋体" w:cs="Times New Roman" w:hint="eastAsia"/>
          <w:szCs w:val="21"/>
        </w:rPr>
        <w:t>。</w:t>
      </w:r>
    </w:p>
    <w:p w14:paraId="4AD0EF87">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1.2本合同下列术语应解释为：</w:t>
      </w:r>
    </w:p>
    <w:p w14:paraId="763114BD">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（1）“合同”系指</w:t>
      </w:r>
      <w:r>
        <w:rPr>
          <w:rFonts w:ascii="宋体" w:eastAsia="宋体" w:hAnsi="宋体" w:cs="宋体" w:hint="eastAsia"/>
          <w:bCs/>
          <w:color w:val="000000"/>
          <w:szCs w:val="21"/>
        </w:rPr>
        <w:t>合同当事人意思表示达成一致的任何协议，包括签署的</w:t>
      </w:r>
      <w:r>
        <w:rPr>
          <w:rFonts w:ascii="宋体" w:eastAsia="宋体" w:hAnsi="宋体" w:cs="Times New Roman" w:hint="eastAsia"/>
          <w:szCs w:val="21"/>
        </w:rPr>
        <w:t>政府采购合同协议书及其变更、补充协议，政府采购合同专用条款，政府采购合同通用条款，中标（成交）通知书，投标（响应）文件，采购文件，有关技术文件和图纸，以及</w:t>
      </w:r>
      <w:r>
        <w:rPr>
          <w:rFonts w:ascii="宋体" w:eastAsia="宋体" w:hAnsi="宋体" w:cs="宋体" w:hint="eastAsia"/>
          <w:color w:val="000000"/>
          <w:szCs w:val="21"/>
        </w:rPr>
        <w:t>国家法律、行政法规和规章制度规定或合同约定的作为合同组成部分的其他文件</w:t>
      </w:r>
      <w:r>
        <w:rPr>
          <w:rFonts w:ascii="宋体" w:eastAsia="宋体" w:hAnsi="宋体" w:cs="Times New Roman" w:hint="eastAsia"/>
          <w:szCs w:val="21"/>
        </w:rPr>
        <w:t>。</w:t>
      </w:r>
    </w:p>
    <w:p w14:paraId="2D0E0FA1">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（2）“合同价款”系指根据本合同规定乙方在全面履行合同义务后甲方应支付给乙方的价款。</w:t>
      </w:r>
    </w:p>
    <w:p w14:paraId="682FE8EB">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szCs w:val="21"/>
        </w:rPr>
        <w:t>（3）“货物”系指乙方根据本合同规定须向甲方提供的各种形态和种类的物品，包括原材料、设备、产品（</w:t>
      </w:r>
      <w:r>
        <w:rPr>
          <w:rFonts w:ascii="宋体" w:eastAsia="宋体" w:hAnsi="宋体" w:cs="Times New Roman" w:hint="eastAsia"/>
          <w:color w:val="000000"/>
          <w:szCs w:val="21"/>
        </w:rPr>
        <w:t>包括软件）及相关的其备品备件、工具、手册及</w:t>
      </w:r>
      <w:r>
        <w:rPr>
          <w:rFonts w:ascii="宋体" w:eastAsia="宋体" w:hAnsi="宋体" w:cs="Times New Roman"/>
          <w:color w:val="000000"/>
          <w:szCs w:val="21"/>
          <w:lang w:val="en"/>
        </w:rPr>
        <w:t>其他</w:t>
      </w:r>
      <w:r>
        <w:rPr>
          <w:rFonts w:ascii="宋体" w:eastAsia="宋体" w:hAnsi="宋体" w:cs="Times New Roman" w:hint="eastAsia"/>
          <w:color w:val="000000"/>
          <w:szCs w:val="21"/>
        </w:rPr>
        <w:t>技术资料和材料等。</w:t>
      </w:r>
    </w:p>
    <w:p w14:paraId="6F4BE6C0">
      <w:pPr>
        <w:adjustRightInd w:val="0"/>
        <w:snapToGrid w:val="0"/>
        <w:spacing w:line="400" w:lineRule="exact"/>
        <w:ind w:firstLine="420" w:firstLineChars="200"/>
        <w:jc w:val="left"/>
        <w:rPr>
          <w:rFonts w:ascii="宋体" w:eastAsia="宋体" w:hAnsi="宋体" w:cs="Times New Roman"/>
          <w:color w:val="000000"/>
          <w:szCs w:val="21"/>
          <w:highlight w:val="yellow"/>
        </w:rPr>
      </w:pPr>
      <w:r>
        <w:rPr>
          <w:rFonts w:ascii="宋体" w:eastAsia="宋体" w:hAnsi="宋体" w:cs="Times New Roman" w:hint="eastAsia"/>
          <w:color w:val="000000"/>
          <w:szCs w:val="21"/>
        </w:rPr>
        <w:t>（4）“</w:t>
      </w:r>
      <w:r>
        <w:rPr>
          <w:rFonts w:ascii="宋体" w:eastAsia="宋体" w:hAnsi="宋体" w:cs="Times New Roman" w:hint="eastAsia"/>
          <w:szCs w:val="21"/>
        </w:rPr>
        <w:t>相关</w:t>
      </w:r>
      <w:r>
        <w:rPr>
          <w:rFonts w:ascii="宋体" w:eastAsia="宋体" w:hAnsi="宋体" w:cs="Times New Roman" w:hint="eastAsia"/>
          <w:color w:val="000000"/>
          <w:szCs w:val="21"/>
        </w:rPr>
        <w:t>服务”系指根据合同规定，乙方应提供的与货物有关的技术、管理和</w:t>
      </w:r>
      <w:r>
        <w:rPr>
          <w:rFonts w:ascii="宋体" w:eastAsia="宋体" w:hAnsi="宋体" w:cs="Times New Roman"/>
          <w:color w:val="000000"/>
          <w:szCs w:val="21"/>
          <w:lang w:val="en"/>
        </w:rPr>
        <w:t>其他</w:t>
      </w:r>
      <w:r>
        <w:rPr>
          <w:rFonts w:ascii="宋体" w:eastAsia="宋体" w:hAnsi="宋体" w:cs="Times New Roman" w:hint="eastAsia"/>
          <w:color w:val="000000"/>
          <w:szCs w:val="21"/>
        </w:rPr>
        <w:t>服务，包括但不限于：管理和质量保证、运输、保险、检验、现场准备、安装、集成、调试、培训、维修、废弃处置、技术支持等以及合同中规定乙方应承担的</w:t>
      </w:r>
      <w:r>
        <w:rPr>
          <w:rFonts w:ascii="宋体" w:eastAsia="宋体" w:hAnsi="宋体" w:cs="Times New Roman"/>
          <w:color w:val="000000"/>
          <w:szCs w:val="21"/>
          <w:lang w:val="en"/>
        </w:rPr>
        <w:t>其他</w:t>
      </w:r>
      <w:r>
        <w:rPr>
          <w:rFonts w:ascii="宋体" w:eastAsia="宋体" w:hAnsi="宋体" w:cs="Times New Roman" w:hint="eastAsia"/>
          <w:color w:val="000000"/>
          <w:szCs w:val="21"/>
        </w:rPr>
        <w:t>义务。</w:t>
      </w:r>
    </w:p>
    <w:p w14:paraId="38900AFB">
      <w:pPr>
        <w:adjustRightInd w:val="0"/>
        <w:snapToGrid w:val="0"/>
        <w:spacing w:line="400" w:lineRule="exact"/>
        <w:ind w:firstLine="420" w:firstLineChars="200"/>
        <w:jc w:val="left"/>
        <w:rPr>
          <w:rFonts w:ascii="宋体" w:eastAsia="宋体" w:hAnsi="宋体" w:cs="Times New Roman"/>
          <w:color w:val="000000"/>
          <w:szCs w:val="21"/>
          <w:highlight w:val="yellow"/>
        </w:rPr>
      </w:pPr>
      <w:r>
        <w:rPr>
          <w:rFonts w:ascii="宋体" w:eastAsia="宋体" w:hAnsi="宋体" w:cs="Times New Roman" w:hint="eastAsia"/>
          <w:color w:val="000000"/>
          <w:szCs w:val="21"/>
        </w:rPr>
        <w:t>（5）“分包”系指中标（成交）供应商按采购文件、投标（响应）文件的规定，根据分包意向协议，将中标（成交）项目中的部分履约内容，分给具有相应资质条件的供应商履行合同的行为。</w:t>
      </w:r>
    </w:p>
    <w:p w14:paraId="284CB9B0">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（6）</w:t>
      </w:r>
      <w:r>
        <w:rPr>
          <w:rFonts w:ascii="宋体" w:eastAsia="宋体" w:hAnsi="宋体" w:cs="Times New Roman" w:hint="eastAsia"/>
          <w:szCs w:val="21"/>
        </w:rPr>
        <w:t>“联合体”系指由两个以上的自然人、法人或者非法人组织组成，以一个供应商的身份共同参加政府采购的主体</w:t>
      </w:r>
      <w:r>
        <w:rPr>
          <w:rFonts w:ascii="宋体" w:eastAsia="宋体" w:hAnsi="宋体" w:cs="Times New Roman"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eastAsia="宋体" w:hAnsi="宋体" w:cs="Times New Roman" w:hint="eastAsia"/>
          <w:b/>
          <w:bCs/>
          <w:color w:val="000000"/>
          <w:szCs w:val="21"/>
        </w:rPr>
        <w:t>政府采购合同专用条款</w:t>
      </w:r>
      <w:r>
        <w:rPr>
          <w:rFonts w:ascii="宋体" w:eastAsia="宋体" w:hAnsi="宋体" w:cs="Times New Roman" w:hint="eastAsia"/>
          <w:color w:val="000000"/>
          <w:szCs w:val="21"/>
        </w:rPr>
        <w:t>】。</w:t>
      </w:r>
    </w:p>
    <w:p w14:paraId="7BCA5CF5">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（7）其他术语解释，见【</w:t>
      </w:r>
      <w:r>
        <w:rPr>
          <w:rFonts w:ascii="宋体" w:eastAsia="宋体" w:hAnsi="宋体" w:cs="Times New Roman" w:hint="eastAsia"/>
          <w:b/>
          <w:bCs/>
          <w:color w:val="000000"/>
          <w:szCs w:val="21"/>
        </w:rPr>
        <w:t>政府采购合同专用条款</w:t>
      </w:r>
      <w:r>
        <w:rPr>
          <w:rFonts w:ascii="宋体" w:eastAsia="宋体" w:hAnsi="宋体" w:cs="Times New Roman" w:hint="eastAsia"/>
          <w:color w:val="000000"/>
          <w:szCs w:val="21"/>
        </w:rPr>
        <w:t>】。</w:t>
      </w:r>
    </w:p>
    <w:p w14:paraId="67283C14">
      <w:pPr>
        <w:numPr>
          <w:ilvl w:val="0"/>
          <w:numId w:val="6"/>
        </w:num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color w:val="000000"/>
          <w:sz w:val="24"/>
          <w:szCs w:val="20"/>
        </w:rPr>
        <w:t>合同标的及金额</w:t>
      </w:r>
    </w:p>
    <w:p w14:paraId="28C76D5B">
      <w:pPr>
        <w:autoSpaceDE w:val="0"/>
        <w:autoSpaceDN w:val="0"/>
        <w:adjustRightInd w:val="0"/>
        <w:snapToGrid w:val="0"/>
        <w:spacing w:line="400" w:lineRule="exact"/>
        <w:ind w:firstLine="420" w:firstLineChars="200"/>
        <w:jc w:val="left"/>
        <w:rPr>
          <w:rFonts w:ascii="宋体" w:eastAsia="宋体" w:hAnsi="宋体" w:cs="Times New Roman"/>
          <w:b/>
          <w:bCs/>
          <w:i/>
          <w:iCs/>
          <w:color w:val="000000"/>
          <w:szCs w:val="21"/>
        </w:rPr>
      </w:pPr>
      <w:r>
        <w:rPr>
          <w:rFonts w:ascii="宋体" w:eastAsia="宋体" w:hAnsi="宋体" w:cs="Times New Roman" w:hint="eastAsia"/>
          <w:color w:val="000000"/>
          <w:szCs w:val="21"/>
        </w:rPr>
        <w:t>2.1 合同标的及金额应与中标（成交）结果一致。乙方为履行本合同而发生的所有费用均应包含在合同价款中，甲方不再另行支付</w:t>
      </w:r>
      <w:r>
        <w:rPr>
          <w:rFonts w:ascii="宋体" w:eastAsia="宋体" w:hAnsi="宋体" w:cs="Times New Roman"/>
          <w:color w:val="000000"/>
          <w:szCs w:val="21"/>
          <w:lang w:val="en"/>
        </w:rPr>
        <w:t>其他</w:t>
      </w:r>
      <w:r>
        <w:rPr>
          <w:rFonts w:ascii="宋体" w:eastAsia="宋体" w:hAnsi="宋体" w:cs="Times New Roman" w:hint="eastAsia"/>
          <w:color w:val="000000"/>
          <w:szCs w:val="21"/>
        </w:rPr>
        <w:t>任何费用。</w:t>
      </w:r>
    </w:p>
    <w:p w14:paraId="39CE5F0F">
      <w:pPr>
        <w:adjustRightInd w:val="0"/>
        <w:snapToGrid w:val="0"/>
        <w:spacing w:line="400" w:lineRule="exact"/>
        <w:jc w:val="left"/>
        <w:rPr>
          <w:rFonts w:ascii="宋体" w:eastAsia="宋体" w:hAnsi="宋体" w:cs="Times New Roman"/>
          <w:b/>
          <w:color w:val="000000"/>
          <w:szCs w:val="20"/>
        </w:rPr>
      </w:pPr>
      <w:r>
        <w:rPr>
          <w:rFonts w:ascii="宋体" w:eastAsia="宋体" w:hAnsi="宋体" w:cs="Times New Roman" w:hint="eastAsia"/>
          <w:b/>
          <w:color w:val="000000"/>
          <w:sz w:val="24"/>
          <w:szCs w:val="20"/>
        </w:rPr>
        <w:t>3. 履行合同的时间、地点和方式</w:t>
      </w:r>
    </w:p>
    <w:p w14:paraId="304495B1">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3.1 </w:t>
      </w:r>
      <w:r>
        <w:rPr>
          <w:rFonts w:ascii="宋体" w:eastAsia="宋体" w:hAnsi="宋体" w:cs="宋体" w:hint="eastAsia"/>
          <w:szCs w:val="21"/>
        </w:rPr>
        <w:t>乙方应当在约定的时间、地点，按照约定方式履行合同。</w:t>
      </w:r>
    </w:p>
    <w:p w14:paraId="38B62460">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4. 甲方的权利和义务</w:t>
      </w:r>
    </w:p>
    <w:p w14:paraId="148ACC7F">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4.1</w:t>
      </w:r>
      <w:r>
        <w:rPr>
          <w:rFonts w:ascii="宋体" w:eastAsia="宋体" w:hAnsi="宋体" w:cs="Times New Roman"/>
          <w:color w:val="000000"/>
          <w:szCs w:val="21"/>
        </w:rPr>
        <w:t xml:space="preserve"> 签署合同后，甲方</w:t>
      </w:r>
      <w:r>
        <w:rPr>
          <w:rFonts w:ascii="宋体" w:eastAsia="宋体" w:hAnsi="宋体" w:cs="Times New Roman" w:hint="eastAsia"/>
          <w:color w:val="000000"/>
          <w:szCs w:val="21"/>
        </w:rPr>
        <w:t>应</w:t>
      </w:r>
      <w:r>
        <w:rPr>
          <w:rFonts w:ascii="宋体" w:eastAsia="宋体" w:hAnsi="宋体" w:cs="Times New Roman"/>
          <w:color w:val="000000"/>
          <w:szCs w:val="21"/>
        </w:rPr>
        <w:t>确定</w:t>
      </w:r>
      <w:r>
        <w:rPr>
          <w:rFonts w:ascii="宋体" w:eastAsia="宋体" w:hAnsi="宋体" w:cs="Times New Roman" w:hint="eastAsia"/>
          <w:color w:val="000000"/>
          <w:szCs w:val="21"/>
        </w:rPr>
        <w:t>项目负责人（或项目联系人）</w:t>
      </w:r>
      <w:r>
        <w:rPr>
          <w:rFonts w:ascii="宋体" w:eastAsia="宋体" w:hAnsi="宋体" w:cs="Times New Roman"/>
          <w:color w:val="000000"/>
          <w:szCs w:val="21"/>
        </w:rPr>
        <w:t>，负责与本合同有关的事务。</w:t>
      </w:r>
      <w:r>
        <w:rPr>
          <w:rFonts w:ascii="宋体" w:eastAsia="宋体" w:hAnsi="宋体" w:cs="Times New Roman" w:hint="eastAsia"/>
          <w:color w:val="000000"/>
          <w:szCs w:val="21"/>
        </w:rPr>
        <w:t>甲方有权对乙方的履约行为进行检查，并</w:t>
      </w:r>
      <w:r>
        <w:rPr>
          <w:rFonts w:ascii="宋体" w:eastAsia="宋体" w:hAnsi="宋体" w:cs="Times New Roman"/>
          <w:color w:val="000000"/>
          <w:szCs w:val="21"/>
        </w:rPr>
        <w:t>及时确认乙方提交的事项</w:t>
      </w:r>
      <w:r>
        <w:rPr>
          <w:rFonts w:ascii="宋体" w:eastAsia="宋体" w:hAnsi="宋体" w:cs="Times New Roman" w:hint="eastAsia"/>
          <w:color w:val="000000"/>
          <w:szCs w:val="21"/>
        </w:rPr>
        <w:t>。甲方应当</w:t>
      </w:r>
      <w:r>
        <w:rPr>
          <w:rFonts w:ascii="宋体" w:eastAsia="宋体" w:hAnsi="宋体" w:cs="Times New Roman"/>
          <w:color w:val="000000"/>
          <w:szCs w:val="21"/>
        </w:rPr>
        <w:t>配合乙方完成</w:t>
      </w:r>
      <w:r>
        <w:rPr>
          <w:rFonts w:ascii="宋体" w:eastAsia="宋体" w:hAnsi="宋体" w:cs="Times New Roman" w:hint="eastAsia"/>
          <w:color w:val="000000"/>
          <w:szCs w:val="21"/>
        </w:rPr>
        <w:t>相关项目</w:t>
      </w:r>
      <w:r>
        <w:rPr>
          <w:rFonts w:ascii="宋体" w:eastAsia="宋体" w:hAnsi="宋体" w:cs="Times New Roman"/>
          <w:color w:val="000000"/>
          <w:szCs w:val="21"/>
        </w:rPr>
        <w:t>实施工作。</w:t>
      </w:r>
    </w:p>
    <w:p w14:paraId="0E2921AC">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4.2 </w:t>
      </w:r>
      <w:r>
        <w:rPr>
          <w:rFonts w:ascii="宋体" w:eastAsia="宋体" w:hAnsi="宋体" w:cs="Times New Roman"/>
          <w:color w:val="000000"/>
          <w:szCs w:val="21"/>
        </w:rPr>
        <w:t>甲方有权要求乙方按时提交各阶段有关</w:t>
      </w:r>
      <w:r>
        <w:rPr>
          <w:rFonts w:ascii="宋体" w:eastAsia="宋体" w:hAnsi="宋体" w:cs="Times New Roman" w:hint="eastAsia"/>
          <w:color w:val="000000"/>
          <w:szCs w:val="21"/>
        </w:rPr>
        <w:t>安排计划</w:t>
      </w:r>
      <w:r>
        <w:rPr>
          <w:rFonts w:ascii="宋体" w:eastAsia="宋体" w:hAnsi="宋体" w:cs="Times New Roman"/>
          <w:color w:val="000000"/>
          <w:szCs w:val="21"/>
        </w:rPr>
        <w:t>，并有权</w:t>
      </w:r>
      <w:r>
        <w:rPr>
          <w:rFonts w:ascii="宋体" w:eastAsia="宋体" w:hAnsi="宋体" w:cs="Times New Roman" w:hint="eastAsia"/>
          <w:color w:val="000000"/>
          <w:szCs w:val="21"/>
        </w:rPr>
        <w:t>定期核对乙方提供货物数量、规格、质量等内容。甲方</w:t>
      </w:r>
      <w:r>
        <w:rPr>
          <w:rFonts w:ascii="宋体" w:eastAsia="宋体" w:hAnsi="宋体" w:cs="Times New Roman"/>
          <w:color w:val="000000"/>
          <w:szCs w:val="21"/>
        </w:rPr>
        <w:t>有权督促乙方工作并要求乙方</w:t>
      </w:r>
      <w:r>
        <w:rPr>
          <w:rFonts w:ascii="宋体" w:eastAsia="宋体" w:hAnsi="宋体" w:cs="Times New Roman" w:hint="eastAsia"/>
          <w:color w:val="000000"/>
          <w:szCs w:val="21"/>
        </w:rPr>
        <w:t>更</w:t>
      </w:r>
      <w:r>
        <w:rPr>
          <w:rFonts w:ascii="宋体" w:eastAsia="宋体" w:hAnsi="宋体" w:cs="Times New Roman"/>
          <w:color w:val="000000"/>
          <w:szCs w:val="21"/>
        </w:rPr>
        <w:t>换不符合要求的</w:t>
      </w:r>
      <w:r>
        <w:rPr>
          <w:rFonts w:ascii="宋体" w:eastAsia="宋体" w:hAnsi="宋体" w:cs="Times New Roman" w:hint="eastAsia"/>
          <w:color w:val="000000"/>
          <w:szCs w:val="21"/>
        </w:rPr>
        <w:t>货物</w:t>
      </w:r>
      <w:r>
        <w:rPr>
          <w:rFonts w:ascii="宋体" w:eastAsia="宋体" w:hAnsi="宋体" w:cs="Times New Roman"/>
          <w:color w:val="000000"/>
          <w:szCs w:val="21"/>
        </w:rPr>
        <w:t>。</w:t>
      </w:r>
    </w:p>
    <w:p w14:paraId="54C440EB">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w:t>
      </w:r>
      <w:r>
        <w:rPr>
          <w:rFonts w:ascii="宋体" w:eastAsia="宋体" w:hAnsi="宋体" w:cs="Times New Roman"/>
          <w:color w:val="000000"/>
          <w:szCs w:val="21"/>
        </w:rPr>
        <w:t>3</w:t>
      </w:r>
      <w:r>
        <w:rPr>
          <w:rFonts w:ascii="宋体" w:eastAsia="宋体" w:hAnsi="宋体" w:cs="Times New Roman" w:hint="eastAsia"/>
          <w:color w:val="000000"/>
          <w:szCs w:val="21"/>
        </w:rPr>
        <w:t xml:space="preserve"> </w:t>
      </w:r>
      <w:r>
        <w:rPr>
          <w:rFonts w:ascii="宋体" w:eastAsia="宋体" w:hAnsi="宋体" w:cs="Times New Roman"/>
          <w:color w:val="000000"/>
          <w:szCs w:val="21"/>
        </w:rPr>
        <w:t>甲方</w:t>
      </w:r>
      <w:r>
        <w:rPr>
          <w:rFonts w:ascii="宋体" w:eastAsia="宋体" w:hAnsi="宋体" w:cs="Times New Roman" w:hint="eastAsia"/>
          <w:color w:val="000000"/>
          <w:szCs w:val="21"/>
        </w:rPr>
        <w:t>有权要求乙方对缺陷部分予以修复，并按合同约定享有货物保修及其他合同约定的权利。</w:t>
      </w:r>
    </w:p>
    <w:p w14:paraId="3AF5AB1C">
      <w:pPr>
        <w:snapToGrid w:val="0"/>
        <w:spacing w:line="400" w:lineRule="exact"/>
        <w:ind w:firstLine="420" w:firstLineChars="200"/>
        <w:rPr>
          <w:rFonts w:ascii="Times New Roman" w:eastAsia="华文楷体" w:hAnsi="Times New Roman" w:cs="Times New Roman"/>
          <w:szCs w:val="20"/>
        </w:rPr>
      </w:pPr>
      <w:r>
        <w:rPr>
          <w:rFonts w:ascii="宋体" w:eastAsia="宋体" w:hAnsi="宋体" w:cs="Times New Roman"/>
          <w:color w:val="000000"/>
          <w:szCs w:val="21"/>
        </w:rPr>
        <w:t>4.4 甲方应当按照合同约定及时对交付的货物进行验收</w:t>
      </w:r>
      <w:r>
        <w:rPr>
          <w:rFonts w:ascii="宋体" w:eastAsia="宋体" w:hAnsi="宋体" w:cs="Times New Roman" w:hint="eastAsia"/>
          <w:color w:val="000000"/>
          <w:szCs w:val="21"/>
        </w:rPr>
        <w:t>，</w:t>
      </w:r>
      <w:r>
        <w:rPr>
          <w:rFonts w:ascii="宋体" w:eastAsia="宋体" w:hAnsi="宋体" w:cs="宋体" w:hint="eastAsia"/>
          <w:szCs w:val="21"/>
        </w:rPr>
        <w:t>未</w:t>
      </w:r>
      <w:r>
        <w:rPr>
          <w:rFonts w:ascii="宋体" w:eastAsia="宋体" w:hAnsi="宋体" w:cs="Times New Roman" w:hint="eastAsia"/>
          <w:color w:val="000000"/>
          <w:szCs w:val="21"/>
        </w:rPr>
        <w:t>在</w:t>
      </w:r>
      <w:r>
        <w:rPr>
          <w:rFonts w:ascii="宋体" w:eastAsia="宋体" w:hAnsi="宋体" w:cs="宋体" w:hint="eastAsia"/>
          <w:b/>
          <w:bCs/>
          <w:szCs w:val="21"/>
        </w:rPr>
        <w:t>【政府采购合同专用条款】</w:t>
      </w:r>
      <w:r>
        <w:rPr>
          <w:rFonts w:ascii="宋体" w:eastAsia="宋体" w:hAnsi="宋体" w:cs="宋体" w:hint="eastAsia"/>
          <w:szCs w:val="21"/>
        </w:rPr>
        <w:t>约定的期限内对乙方履约提出任何异议或者向乙方作出任何说明的，</w:t>
      </w:r>
      <w:r>
        <w:rPr>
          <w:rFonts w:ascii="宋体" w:eastAsia="宋体" w:hAnsi="宋体" w:cs="Times New Roman" w:hint="eastAsia"/>
          <w:color w:val="000000"/>
          <w:szCs w:val="21"/>
        </w:rPr>
        <w:t>视为验收通过。</w:t>
      </w:r>
    </w:p>
    <w:p w14:paraId="6BDAEE43">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color w:val="000000"/>
          <w:szCs w:val="21"/>
        </w:rPr>
        <w:t>4</w:t>
      </w:r>
      <w:r>
        <w:rPr>
          <w:rFonts w:ascii="宋体" w:eastAsia="宋体" w:hAnsi="宋体" w:cs="Times New Roman" w:hint="eastAsia"/>
          <w:color w:val="000000"/>
          <w:szCs w:val="21"/>
        </w:rPr>
        <w:t>.</w:t>
      </w:r>
      <w:r>
        <w:rPr>
          <w:rFonts w:ascii="宋体" w:eastAsia="宋体" w:hAnsi="宋体" w:cs="Times New Roman"/>
          <w:color w:val="000000"/>
          <w:szCs w:val="21"/>
        </w:rPr>
        <w:t xml:space="preserve">5 </w:t>
      </w:r>
      <w:r>
        <w:rPr>
          <w:rFonts w:ascii="宋体" w:eastAsia="宋体" w:hAnsi="宋体" w:cs="Times New Roman" w:hint="eastAsia"/>
          <w:color w:val="000000"/>
          <w:szCs w:val="21"/>
        </w:rPr>
        <w:t>甲方应当根据合同约定及时向乙方支付合同价款</w:t>
      </w:r>
      <w:r>
        <w:rPr>
          <w:rFonts w:ascii="宋体" w:eastAsia="宋体" w:hAnsi="宋体" w:cs="Times New Roman"/>
          <w:color w:val="000000"/>
          <w:szCs w:val="21"/>
        </w:rPr>
        <w:t>，不得以内部人员变更、履行内部付款流程等为由，拒绝或迟延支付。</w:t>
      </w:r>
    </w:p>
    <w:p w14:paraId="0BF4E39C">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4.6</w:t>
      </w:r>
      <w:r>
        <w:rPr>
          <w:rFonts w:ascii="宋体" w:eastAsia="宋体" w:hAnsi="宋体" w:cs="Times New Roman"/>
          <w:color w:val="000000"/>
          <w:szCs w:val="21"/>
        </w:rPr>
        <w:t xml:space="preserve"> </w:t>
      </w:r>
      <w:r>
        <w:rPr>
          <w:rFonts w:ascii="宋体" w:eastAsia="宋体" w:hAnsi="宋体" w:cs="Times New Roman" w:hint="eastAsia"/>
          <w:color w:val="000000"/>
          <w:szCs w:val="21"/>
        </w:rPr>
        <w:t>国家法律法规规定及</w:t>
      </w:r>
      <w:r>
        <w:rPr>
          <w:rFonts w:ascii="宋体" w:eastAsia="宋体" w:hAnsi="宋体" w:cs="宋体" w:hint="eastAsia"/>
          <w:b/>
          <w:bCs/>
          <w:szCs w:val="21"/>
        </w:rPr>
        <w:t>【政府采购合同专用条款】</w:t>
      </w:r>
      <w:r>
        <w:rPr>
          <w:rFonts w:ascii="宋体" w:eastAsia="宋体" w:hAnsi="宋体" w:cs="Times New Roman" w:hint="eastAsia"/>
          <w:color w:val="000000"/>
          <w:szCs w:val="21"/>
        </w:rPr>
        <w:t>约定应由甲方承担的其他义务和责任。</w:t>
      </w:r>
    </w:p>
    <w:p w14:paraId="449C58E3">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5. 乙方的权利和义务</w:t>
      </w:r>
    </w:p>
    <w:p w14:paraId="449D5464">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5.1 </w:t>
      </w:r>
      <w:r>
        <w:rPr>
          <w:rFonts w:ascii="宋体" w:eastAsia="宋体" w:hAnsi="宋体" w:cs="Times New Roman"/>
          <w:color w:val="000000"/>
          <w:szCs w:val="21"/>
        </w:rPr>
        <w:t>签署合同后，乙方</w:t>
      </w:r>
      <w:r>
        <w:rPr>
          <w:rFonts w:ascii="宋体" w:eastAsia="宋体" w:hAnsi="宋体" w:cs="Times New Roman" w:hint="eastAsia"/>
          <w:color w:val="000000"/>
          <w:szCs w:val="21"/>
        </w:rPr>
        <w:t>应</w:t>
      </w:r>
      <w:r>
        <w:rPr>
          <w:rFonts w:ascii="宋体" w:eastAsia="宋体" w:hAnsi="宋体" w:cs="Times New Roman"/>
          <w:color w:val="000000"/>
          <w:szCs w:val="21"/>
        </w:rPr>
        <w:t>确定</w:t>
      </w:r>
      <w:r>
        <w:rPr>
          <w:rFonts w:ascii="宋体" w:eastAsia="宋体" w:hAnsi="宋体" w:cs="Times New Roman" w:hint="eastAsia"/>
          <w:color w:val="000000"/>
          <w:szCs w:val="21"/>
        </w:rPr>
        <w:t>项目负责人（或项目联系人）</w:t>
      </w:r>
      <w:r>
        <w:rPr>
          <w:rFonts w:ascii="宋体" w:eastAsia="宋体" w:hAnsi="宋体" w:cs="Times New Roman"/>
          <w:color w:val="000000"/>
          <w:szCs w:val="21"/>
        </w:rPr>
        <w:t>，负责与本合同有关的事务。</w:t>
      </w:r>
    </w:p>
    <w:p w14:paraId="46BE03BA">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5.</w:t>
      </w:r>
      <w:r>
        <w:rPr>
          <w:rFonts w:ascii="宋体" w:eastAsia="宋体" w:hAnsi="宋体" w:cs="Times New Roman"/>
          <w:color w:val="000000"/>
          <w:szCs w:val="21"/>
        </w:rPr>
        <w:t>2 乙方应按照合同要求</w:t>
      </w:r>
      <w:r>
        <w:rPr>
          <w:rFonts w:ascii="宋体" w:eastAsia="宋体" w:hAnsi="宋体" w:cs="Times New Roman" w:hint="eastAsia"/>
          <w:color w:val="000000"/>
          <w:szCs w:val="21"/>
        </w:rPr>
        <w:t>履约</w:t>
      </w:r>
      <w:r>
        <w:rPr>
          <w:rFonts w:ascii="宋体" w:eastAsia="宋体" w:hAnsi="宋体" w:cs="Times New Roman"/>
          <w:color w:val="000000"/>
          <w:szCs w:val="21"/>
        </w:rPr>
        <w:t>，充分合理安排，确保</w:t>
      </w:r>
      <w:r>
        <w:rPr>
          <w:rFonts w:ascii="宋体" w:eastAsia="宋体" w:hAnsi="宋体" w:cs="Times New Roman" w:hint="eastAsia"/>
          <w:color w:val="000000"/>
          <w:szCs w:val="21"/>
        </w:rPr>
        <w:t>提供的货物及相关服务符合合同有关</w:t>
      </w:r>
      <w:r>
        <w:rPr>
          <w:rFonts w:ascii="宋体" w:eastAsia="宋体" w:hAnsi="宋体" w:cs="Times New Roman"/>
          <w:color w:val="000000"/>
          <w:szCs w:val="21"/>
        </w:rPr>
        <w:t>要求</w:t>
      </w:r>
      <w:r>
        <w:rPr>
          <w:rFonts w:ascii="宋体" w:eastAsia="宋体" w:hAnsi="宋体" w:cs="Times New Roman" w:hint="eastAsia"/>
          <w:color w:val="000000"/>
          <w:szCs w:val="21"/>
        </w:rPr>
        <w:t>。接受项目行业管理部门及政府有关部门的指导，配合甲方的履约检查及验收，并</w:t>
      </w:r>
      <w:r>
        <w:rPr>
          <w:rFonts w:ascii="宋体" w:eastAsia="宋体" w:hAnsi="宋体" w:cs="Times New Roman"/>
          <w:color w:val="000000"/>
          <w:szCs w:val="21"/>
        </w:rPr>
        <w:t>负责项目实施过程中的所有协调工作。</w:t>
      </w:r>
    </w:p>
    <w:p w14:paraId="266666BF">
      <w:pPr>
        <w:widowControl/>
        <w:spacing w:line="400" w:lineRule="exact"/>
        <w:ind w:firstLine="370" w:firstLineChars="176"/>
        <w:jc w:val="left"/>
        <w:rPr>
          <w:rFonts w:ascii="宋体" w:eastAsia="微软雅黑" w:hAnsi="宋体" w:cs="宋体"/>
          <w:color w:val="000000"/>
          <w:kern w:val="20"/>
          <w:szCs w:val="21"/>
          <w:lang w:val="zh-CN"/>
        </w:rPr>
      </w:pPr>
      <w:r>
        <w:rPr>
          <w:rFonts w:ascii="宋体" w:eastAsia="微软雅黑" w:hAnsi="宋体" w:cs="Times New Roman" w:hint="eastAsia"/>
          <w:color w:val="000000"/>
          <w:kern w:val="20"/>
          <w:szCs w:val="21"/>
          <w:lang w:val="zh-CN"/>
        </w:rPr>
        <w:t>5.</w:t>
      </w:r>
      <w:r>
        <w:rPr>
          <w:rFonts w:ascii="宋体" w:eastAsia="微软雅黑" w:hAnsi="宋体" w:cs="Times New Roman"/>
          <w:color w:val="000000"/>
          <w:kern w:val="20"/>
          <w:szCs w:val="21"/>
          <w:lang w:val="zh-CN"/>
        </w:rPr>
        <w:t>3</w:t>
      </w:r>
      <w:r>
        <w:rPr>
          <w:rFonts w:ascii="宋体" w:eastAsia="微软雅黑" w:hAnsi="宋体" w:cs="Times New Roman" w:hint="eastAsia"/>
          <w:color w:val="000000"/>
          <w:kern w:val="20"/>
          <w:szCs w:val="21"/>
          <w:lang w:val="zh-CN"/>
        </w:rPr>
        <w:t>乙方有权</w:t>
      </w:r>
      <w:r>
        <w:rPr>
          <w:rFonts w:ascii="宋体" w:eastAsia="微软雅黑" w:hAnsi="宋体" w:cs="宋体" w:hint="eastAsia"/>
          <w:color w:val="000000"/>
          <w:kern w:val="20"/>
          <w:szCs w:val="21"/>
          <w:lang w:val="zh-CN"/>
        </w:rPr>
        <w:t>根据合同约定向甲方收取合同价款。</w:t>
      </w:r>
    </w:p>
    <w:p w14:paraId="3E126D19">
      <w:pPr>
        <w:widowControl/>
        <w:spacing w:line="400" w:lineRule="exact"/>
        <w:ind w:firstLine="370" w:firstLineChars="176"/>
        <w:jc w:val="left"/>
        <w:rPr>
          <w:rFonts w:ascii="宋体" w:eastAsia="微软雅黑" w:hAnsi="宋体" w:cs="宋体"/>
          <w:color w:val="000000"/>
          <w:kern w:val="20"/>
          <w:szCs w:val="21"/>
          <w:lang w:val="zh-CN"/>
        </w:rPr>
      </w:pPr>
      <w:r>
        <w:rPr>
          <w:rFonts w:ascii="宋体" w:eastAsia="微软雅黑" w:hAnsi="宋体" w:cs="Times New Roman" w:hint="eastAsia"/>
          <w:color w:val="000000"/>
          <w:kern w:val="20"/>
          <w:szCs w:val="21"/>
          <w:lang w:val="zh-CN"/>
        </w:rPr>
        <w:t>5.</w:t>
      </w:r>
      <w:r>
        <w:rPr>
          <w:rFonts w:ascii="宋体" w:eastAsia="微软雅黑" w:hAnsi="宋体" w:cs="Times New Roman"/>
          <w:color w:val="000000"/>
          <w:kern w:val="20"/>
          <w:szCs w:val="21"/>
          <w:lang w:val="zh-CN"/>
        </w:rPr>
        <w:t>4</w:t>
      </w:r>
      <w:r>
        <w:rPr>
          <w:rFonts w:ascii="宋体" w:eastAsia="微软雅黑" w:hAnsi="宋体" w:cs="宋体" w:hint="eastAsia"/>
          <w:color w:val="000000"/>
          <w:kern w:val="20"/>
          <w:szCs w:val="21"/>
          <w:lang w:val="zh-CN"/>
        </w:rPr>
        <w:t>国家法律法规规定</w:t>
      </w:r>
      <w:r>
        <w:rPr>
          <w:rFonts w:ascii="宋体" w:eastAsia="微软雅黑" w:hAnsi="宋体" w:cs="Times New Roman" w:hint="eastAsia"/>
          <w:color w:val="000000"/>
          <w:kern w:val="20"/>
          <w:szCs w:val="21"/>
          <w:lang w:val="zh-CN"/>
        </w:rPr>
        <w:t>及</w:t>
      </w:r>
      <w:r>
        <w:rPr>
          <w:rFonts w:ascii="宋体" w:eastAsia="宋体" w:hAnsi="宋体" w:cs="宋体" w:hint="eastAsia"/>
          <w:b/>
          <w:bCs/>
          <w:color w:val="595959"/>
          <w:kern w:val="20"/>
          <w:szCs w:val="21"/>
          <w:lang w:val="zh-CN"/>
        </w:rPr>
        <w:t>【政府采购合同专用条款】</w:t>
      </w:r>
      <w:r>
        <w:rPr>
          <w:rFonts w:ascii="宋体" w:eastAsia="微软雅黑" w:hAnsi="宋体" w:cs="宋体" w:hint="eastAsia"/>
          <w:color w:val="595959"/>
          <w:kern w:val="20"/>
          <w:szCs w:val="21"/>
          <w:lang w:val="zh-CN"/>
        </w:rPr>
        <w:t>约定应</w:t>
      </w:r>
      <w:r>
        <w:rPr>
          <w:rFonts w:ascii="宋体" w:eastAsia="微软雅黑" w:hAnsi="宋体" w:cs="宋体" w:hint="eastAsia"/>
          <w:color w:val="000000"/>
          <w:kern w:val="20"/>
          <w:szCs w:val="21"/>
          <w:lang w:val="zh-CN"/>
        </w:rPr>
        <w:t>由乙方承担的其他义务和责任。</w:t>
      </w:r>
    </w:p>
    <w:p w14:paraId="23952E1D">
      <w:pPr>
        <w:numPr>
          <w:ilvl w:val="0"/>
          <w:numId w:val="7"/>
        </w:num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合同履行</w:t>
      </w:r>
    </w:p>
    <w:p w14:paraId="2C247EEE">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6.1 甲乙双方应当按照</w:t>
      </w:r>
      <w:r>
        <w:rPr>
          <w:rFonts w:ascii="宋体" w:eastAsia="宋体" w:hAnsi="宋体" w:cs="宋体" w:hint="eastAsia"/>
          <w:b/>
          <w:bCs/>
          <w:szCs w:val="21"/>
        </w:rPr>
        <w:t>【政府采购合同专用条款】</w:t>
      </w:r>
      <w:r>
        <w:rPr>
          <w:rFonts w:ascii="宋体" w:eastAsia="宋体" w:hAnsi="宋体" w:cs="Times New Roman" w:hint="eastAsia"/>
          <w:color w:val="000000"/>
          <w:szCs w:val="21"/>
        </w:rPr>
        <w:t>约定顺序履行合同义务；如果没有先后顺序的，应当同时履行。</w:t>
      </w:r>
    </w:p>
    <w:p w14:paraId="59105F31">
      <w:pPr>
        <w:autoSpaceDE w:val="0"/>
        <w:autoSpaceDN w:val="0"/>
        <w:adjustRightInd w:val="0"/>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14:paraId="3011524F">
      <w:pPr>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7. 货物包装、运输、保险和交付要求</w:t>
      </w:r>
    </w:p>
    <w:p w14:paraId="6F3F626E">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7.1 本合同</w:t>
      </w:r>
      <w:r>
        <w:rPr>
          <w:rFonts w:ascii="宋体" w:eastAsia="宋体" w:hAnsi="宋体" w:cs="Times New Roman" w:hint="eastAsia"/>
          <w:bCs/>
          <w:color w:val="000000"/>
          <w:szCs w:val="21"/>
        </w:rPr>
        <w:t>涉及商品包装、快递包装的，</w:t>
      </w:r>
      <w:r>
        <w:rPr>
          <w:rFonts w:ascii="宋体" w:eastAsia="宋体" w:hAnsi="宋体" w:cs="Times New Roman" w:hint="eastAsia"/>
          <w:color w:val="000000"/>
          <w:szCs w:val="21"/>
        </w:rPr>
        <w:t>除</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另有约定外，</w:t>
      </w:r>
      <w:r>
        <w:rPr>
          <w:rFonts w:ascii="宋体" w:eastAsia="宋体" w:hAnsi="宋体" w:cs="Times New Roman" w:hint="eastAsia"/>
          <w:color w:val="000000"/>
          <w:szCs w:val="21"/>
        </w:rPr>
        <w:t>包装应适应远距离运输、防潮、防震、防锈和防野蛮装卸等要求，确保货物安全无损地运抵</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约定的</w:t>
      </w:r>
      <w:r>
        <w:rPr>
          <w:rFonts w:ascii="宋体" w:eastAsia="宋体" w:hAnsi="宋体" w:cs="Times New Roman" w:hint="eastAsia"/>
          <w:color w:val="000000"/>
          <w:szCs w:val="21"/>
        </w:rPr>
        <w:t>指定现场。</w:t>
      </w:r>
    </w:p>
    <w:p w14:paraId="4E5B0DF7">
      <w:pPr>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7.2 除</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另有约定外，</w:t>
      </w:r>
      <w:r>
        <w:rPr>
          <w:rFonts w:ascii="宋体" w:eastAsia="宋体" w:hAnsi="宋体" w:cs="Times New Roman" w:hint="eastAsia"/>
          <w:color w:val="000000"/>
          <w:szCs w:val="21"/>
        </w:rPr>
        <w:t>乙方负责办理将货物运抵本合同规定的交货地点，并装卸、交付至甲方的一切运输事项，相关费用应包含在合同价款中。</w:t>
      </w:r>
    </w:p>
    <w:p w14:paraId="4DEC7D6C">
      <w:pPr>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7.3 货物保险要求按</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规定执行</w:t>
      </w:r>
      <w:r>
        <w:rPr>
          <w:rFonts w:ascii="宋体" w:eastAsia="宋体" w:hAnsi="宋体" w:cs="Times New Roman" w:hint="eastAsia"/>
          <w:color w:val="000000"/>
          <w:szCs w:val="21"/>
        </w:rPr>
        <w:t>。</w:t>
      </w:r>
    </w:p>
    <w:p w14:paraId="10ED0D25">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6D606B7B">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7.5 </w:t>
      </w:r>
      <w:r>
        <w:rPr>
          <w:rFonts w:ascii="宋体" w:eastAsia="宋体" w:hAnsi="宋体" w:cs="宋体" w:hint="eastAsia"/>
          <w:color w:val="000000"/>
          <w:szCs w:val="21"/>
        </w:rPr>
        <w:t>乙方在运输到达之前应提前通知甲方，并提示货物运输装卸的注意事项，甲方配合乙方做好货物的接收工作。</w:t>
      </w:r>
    </w:p>
    <w:p w14:paraId="47EBBAC7">
      <w:pPr>
        <w:widowControl/>
        <w:autoSpaceDE w:val="0"/>
        <w:autoSpaceDN w:val="0"/>
        <w:adjustRightInd w:val="0"/>
        <w:spacing w:line="400" w:lineRule="exact"/>
        <w:ind w:firstLine="420" w:firstLineChars="200"/>
        <w:jc w:val="left"/>
        <w:rPr>
          <w:rFonts w:ascii="华文楷体" w:eastAsia="华文楷体" w:hAnsi="华文楷体" w:cs="华文楷体"/>
          <w:kern w:val="0"/>
          <w:szCs w:val="21"/>
        </w:rPr>
      </w:pPr>
      <w:r>
        <w:rPr>
          <w:rFonts w:ascii="宋体" w:eastAsia="宋体" w:hAnsi="宋体" w:cs="Times New Roman" w:hint="eastAsia"/>
          <w:color w:val="000000"/>
          <w:szCs w:val="21"/>
        </w:rPr>
        <w:t>7.6 如因包装、运输问题导致货物损毁、丢失或者品质下降，甲方有权要求降价、换货、拒收部分或整批货物，由此产生的费用和损失，均由乙方承担。</w:t>
      </w:r>
    </w:p>
    <w:p w14:paraId="21D7F858">
      <w:pPr>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color w:val="000000"/>
          <w:sz w:val="24"/>
          <w:szCs w:val="20"/>
        </w:rPr>
        <w:t xml:space="preserve">8. </w:t>
      </w:r>
      <w:r>
        <w:rPr>
          <w:rFonts w:ascii="宋体" w:eastAsia="宋体" w:hAnsi="宋体" w:cs="Times New Roman" w:hint="eastAsia"/>
          <w:b/>
          <w:sz w:val="24"/>
          <w:szCs w:val="20"/>
        </w:rPr>
        <w:t>质量标准和保证</w:t>
      </w:r>
    </w:p>
    <w:p w14:paraId="646061B2">
      <w:pPr>
        <w:adjustRightInd w:val="0"/>
        <w:snapToGrid w:val="0"/>
        <w:spacing w:line="400" w:lineRule="exact"/>
        <w:ind w:firstLine="420" w:firstLineChars="200"/>
        <w:jc w:val="left"/>
        <w:rPr>
          <w:rFonts w:ascii="宋体" w:eastAsia="宋体" w:hAnsi="宋体" w:cs="Times New Roman"/>
          <w:b/>
          <w:szCs w:val="21"/>
        </w:rPr>
      </w:pPr>
      <w:r>
        <w:rPr>
          <w:rFonts w:ascii="宋体" w:eastAsia="宋体" w:hAnsi="宋体" w:cs="Times New Roman" w:hint="eastAsia"/>
          <w:szCs w:val="21"/>
        </w:rPr>
        <w:t>8.1 质量标准</w:t>
      </w:r>
    </w:p>
    <w:p w14:paraId="19334E79">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（1）本合同下提供的货物应符合合同</w:t>
      </w:r>
      <w:r>
        <w:rPr>
          <w:rFonts w:ascii="宋体" w:eastAsia="宋体" w:hAnsi="宋体" w:cs="宋体" w:hint="eastAsia"/>
          <w:color w:val="000000"/>
          <w:szCs w:val="21"/>
        </w:rPr>
        <w:t>约定的</w:t>
      </w:r>
      <w:r>
        <w:rPr>
          <w:rFonts w:ascii="宋体" w:eastAsia="宋体" w:hAnsi="宋体" w:cs="宋体" w:hint="eastAsia"/>
          <w:szCs w:val="21"/>
        </w:rPr>
        <w:t>品牌、规格型号、技术性能、配置、质量、数量等要求。</w:t>
      </w:r>
      <w:r>
        <w:rPr>
          <w:rFonts w:ascii="宋体" w:eastAsia="宋体" w:hAnsi="宋体" w:cs="Times New Roman"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7566744A">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（2）采用中华人民共和国法定计量单位。</w:t>
      </w:r>
    </w:p>
    <w:p w14:paraId="6AAEED50">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（3）乙方所提供的货物应符合国家有关安全、环保、卫生的规定。</w:t>
      </w:r>
    </w:p>
    <w:p w14:paraId="101C7BDF">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（4）乙方应向甲方提交所提供货物的技术文件，包括相应的中文技术文件，如：产品目录、图纸、操作手册、使用说明、维护手册或服务指南等。上述文件应包装好随货物一同发运。</w:t>
      </w:r>
    </w:p>
    <w:p w14:paraId="6F5C6B30">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8.2 保证</w:t>
      </w:r>
    </w:p>
    <w:p w14:paraId="3781B4D1">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（1）乙方应保证提供的货物完全符合合同规定的质量、规格和性能要求。乙方应保证货物在正确安装、正常使用和保养条件下，</w:t>
      </w:r>
      <w:r>
        <w:rPr>
          <w:rFonts w:ascii="宋体" w:eastAsia="宋体" w:hAnsi="宋体" w:cs="宋体" w:hint="eastAsia"/>
          <w:szCs w:val="21"/>
        </w:rPr>
        <w:t>在其使用寿命期内具备合同约定的性能</w:t>
      </w:r>
      <w:r>
        <w:rPr>
          <w:rFonts w:ascii="宋体" w:eastAsia="宋体" w:hAnsi="宋体" w:cs="Times New Roman" w:hint="eastAsia"/>
          <w:szCs w:val="21"/>
        </w:rPr>
        <w:t>。存在质量保证期的，货物最终交付验收合格后在</w:t>
      </w:r>
      <w:r>
        <w:rPr>
          <w:rFonts w:ascii="宋体" w:eastAsia="宋体" w:hAnsi="宋体" w:cs="Times New Roman" w:hint="eastAsia"/>
          <w:b/>
          <w:szCs w:val="21"/>
        </w:rPr>
        <w:t>【政府采购合同专用条款】</w:t>
      </w:r>
      <w:r>
        <w:rPr>
          <w:rFonts w:ascii="宋体" w:eastAsia="宋体" w:hAnsi="宋体" w:cs="Times New Roman" w:hint="eastAsia"/>
          <w:szCs w:val="21"/>
        </w:rPr>
        <w:t>规定或乙方书面承诺（两者以较长的为准）的质量保证期内，本保证保持有效。</w:t>
      </w:r>
    </w:p>
    <w:p w14:paraId="12C7F4F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（2）在质量保证期内所发现的缺陷，甲方应尽快以书面形式通知乙方。</w:t>
      </w:r>
    </w:p>
    <w:p w14:paraId="3A3ED8BC">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（3）乙方收到通知后，应在</w:t>
      </w:r>
      <w:r>
        <w:rPr>
          <w:rFonts w:ascii="宋体" w:eastAsia="宋体" w:hAnsi="宋体" w:cs="Times New Roman" w:hint="eastAsia"/>
          <w:b/>
          <w:szCs w:val="21"/>
        </w:rPr>
        <w:t>【政府采购合同专用条款】</w:t>
      </w:r>
      <w:r>
        <w:rPr>
          <w:rFonts w:ascii="宋体" w:eastAsia="宋体" w:hAnsi="宋体" w:cs="Times New Roman" w:hint="eastAsia"/>
          <w:szCs w:val="21"/>
        </w:rPr>
        <w:t>规定的响应时间内以合理的速度免费维修或更换有缺陷的货物或部件。</w:t>
      </w:r>
    </w:p>
    <w:p w14:paraId="4D31E53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（4）在质量保证期内，如果货物的质量或规格与合同不符，或证实货物是有缺陷的，包括潜在的缺陷或使用不符合要求的材料等，甲方可以根据本合同第1</w:t>
      </w:r>
      <w:r>
        <w:rPr>
          <w:rFonts w:ascii="宋体" w:eastAsia="宋体" w:hAnsi="宋体" w:cs="Times New Roman" w:hint="eastAsia"/>
          <w:color w:val="000000"/>
          <w:szCs w:val="21"/>
        </w:rPr>
        <w:t>5</w:t>
      </w:r>
      <w:r>
        <w:rPr>
          <w:rFonts w:ascii="宋体" w:eastAsia="宋体" w:hAnsi="宋体" w:cs="Times New Roman" w:hint="eastAsia"/>
          <w:szCs w:val="21"/>
        </w:rPr>
        <w:t>.1条规定以书面形式</w:t>
      </w:r>
      <w:r>
        <w:rPr>
          <w:rFonts w:ascii="宋体" w:eastAsia="宋体" w:hAnsi="宋体" w:cs="Times New Roman" w:hint="eastAsia"/>
          <w:color w:val="000000"/>
          <w:szCs w:val="21"/>
        </w:rPr>
        <w:t>追究</w:t>
      </w:r>
      <w:r>
        <w:rPr>
          <w:rFonts w:ascii="宋体" w:eastAsia="宋体" w:hAnsi="宋体" w:cs="Times New Roman" w:hint="eastAsia"/>
          <w:szCs w:val="21"/>
        </w:rPr>
        <w:t>乙方</w:t>
      </w:r>
      <w:r>
        <w:rPr>
          <w:rFonts w:ascii="宋体" w:eastAsia="宋体" w:hAnsi="宋体" w:cs="Times New Roman" w:hint="eastAsia"/>
          <w:color w:val="000000"/>
          <w:szCs w:val="21"/>
        </w:rPr>
        <w:t>的违约责任</w:t>
      </w:r>
      <w:r>
        <w:rPr>
          <w:rFonts w:ascii="宋体" w:eastAsia="宋体" w:hAnsi="宋体" w:cs="Times New Roman" w:hint="eastAsia"/>
          <w:szCs w:val="21"/>
        </w:rPr>
        <w:t>。</w:t>
      </w:r>
    </w:p>
    <w:p w14:paraId="5C359EBA">
      <w:pPr>
        <w:adjustRightInd w:val="0"/>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szCs w:val="21"/>
        </w:rPr>
        <w:t>（5）乙方在约定的时间内未能弥补缺陷，甲方可采取必要的补救措施，但其风险和费用将由乙方承担，甲方根据合同约定对乙方行使的其他权利不受影响。</w:t>
      </w:r>
    </w:p>
    <w:p w14:paraId="02B71370">
      <w:p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color w:val="000000"/>
          <w:sz w:val="24"/>
          <w:szCs w:val="20"/>
        </w:rPr>
        <w:t>9</w:t>
      </w:r>
      <w:r>
        <w:rPr>
          <w:rFonts w:ascii="宋体" w:eastAsia="宋体" w:hAnsi="宋体" w:cs="Times New Roman" w:hint="eastAsia"/>
          <w:b/>
          <w:bCs/>
          <w:sz w:val="24"/>
          <w:szCs w:val="20"/>
        </w:rPr>
        <w:t>.</w:t>
      </w:r>
      <w:r>
        <w:rPr>
          <w:rFonts w:ascii="宋体" w:eastAsia="宋体" w:hAnsi="宋体" w:cs="Times New Roman" w:hint="eastAsia"/>
          <w:b/>
          <w:bCs/>
          <w:color w:val="000000"/>
          <w:sz w:val="24"/>
          <w:szCs w:val="20"/>
        </w:rPr>
        <w:t xml:space="preserve"> </w:t>
      </w:r>
      <w:r>
        <w:rPr>
          <w:rFonts w:ascii="宋体" w:eastAsia="宋体" w:hAnsi="宋体" w:cs="Times New Roman" w:hint="eastAsia"/>
          <w:b/>
          <w:bCs/>
          <w:sz w:val="24"/>
          <w:szCs w:val="20"/>
        </w:rPr>
        <w:t>权利瑕疵担保</w:t>
      </w:r>
    </w:p>
    <w:p w14:paraId="1EFE99EF">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9.1 乙方保证对其出售的货物享有合法的权利。</w:t>
      </w:r>
    </w:p>
    <w:p w14:paraId="501062A3">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9.2 </w:t>
      </w:r>
      <w:r>
        <w:rPr>
          <w:rFonts w:ascii="宋体" w:eastAsia="宋体" w:hAnsi="宋体" w:cs="宋体" w:hint="eastAsia"/>
          <w:szCs w:val="15"/>
        </w:rPr>
        <w:t>乙方保证在交付的货物上不存在抵押权等担保物权。</w:t>
      </w:r>
    </w:p>
    <w:p w14:paraId="1F7065D8">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9.3 如甲方使用上述货物构成对第三人侵权的，则由乙方承担全部责任。</w:t>
      </w:r>
    </w:p>
    <w:p w14:paraId="393D4CB9">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10. 知识产权保护</w:t>
      </w:r>
    </w:p>
    <w:p w14:paraId="58DB4DE5">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color w:val="000000"/>
          <w:szCs w:val="21"/>
        </w:rPr>
        <w:t>10.1 乙方对其所销售的货物应当享有知识产权或经权利人合法授权，保证没有侵犯任</w:t>
      </w:r>
      <w:r>
        <w:rPr>
          <w:rFonts w:ascii="宋体" w:eastAsia="宋体" w:hAnsi="宋体" w:cs="Times New Roman" w:hint="eastAsia"/>
          <w:szCs w:val="21"/>
        </w:rPr>
        <w:t>何第三人的知识产权等权利。</w:t>
      </w:r>
      <w:bookmarkStart w:id="64" w:name="_Hlk163047038"/>
      <w:r>
        <w:rPr>
          <w:rFonts w:ascii="宋体" w:eastAsia="宋体" w:hAnsi="宋体" w:cs="宋体" w:hint="eastAsia"/>
          <w:szCs w:val="15"/>
        </w:rPr>
        <w:t>因违反前述约定对第三人构成侵权的，应当由乙方向第三人承担法律责任；甲方依法向第三人赔偿后，有权向乙方追偿。甲方有其他损失的，乙方应当赔偿</w:t>
      </w:r>
      <w:bookmarkEnd w:id="64"/>
      <w:r>
        <w:rPr>
          <w:rFonts w:ascii="宋体" w:eastAsia="宋体" w:hAnsi="宋体" w:cs="Times New Roman" w:hint="eastAsia"/>
          <w:szCs w:val="21"/>
        </w:rPr>
        <w:t>。</w:t>
      </w:r>
    </w:p>
    <w:p w14:paraId="22CC7A46">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11. 保密义务</w:t>
      </w:r>
    </w:p>
    <w:p w14:paraId="6177C870">
      <w:pPr>
        <w:autoSpaceDE w:val="0"/>
        <w:autoSpaceDN w:val="0"/>
        <w:adjustRightInd w:val="0"/>
        <w:snapToGrid w:val="0"/>
        <w:spacing w:line="400" w:lineRule="exact"/>
        <w:ind w:firstLine="420" w:firstLineChars="200"/>
        <w:jc w:val="left"/>
        <w:rPr>
          <w:rFonts w:ascii="宋体" w:eastAsia="宋体" w:hAnsi="宋体" w:cs="宋体"/>
          <w:szCs w:val="15"/>
        </w:rPr>
      </w:pPr>
      <w:r>
        <w:rPr>
          <w:rFonts w:ascii="宋体" w:eastAsia="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eastAsia="宋体" w:hAnsi="宋体" w:cs="宋体" w:hint="eastAsia"/>
          <w:b/>
          <w:bCs/>
          <w:szCs w:val="15"/>
        </w:rPr>
        <w:t>【政府采购合同专用条款】</w:t>
      </w:r>
      <w:r>
        <w:rPr>
          <w:rFonts w:ascii="宋体" w:eastAsia="宋体" w:hAnsi="宋体" w:cs="宋体" w:hint="eastAsia"/>
          <w:szCs w:val="15"/>
        </w:rPr>
        <w:t>中约定。</w:t>
      </w:r>
    </w:p>
    <w:p w14:paraId="14394499">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12. 合同价款支付</w:t>
      </w:r>
    </w:p>
    <w:p w14:paraId="07510B46">
      <w:pPr>
        <w:numPr>
          <w:ilvl w:val="1"/>
          <w:numId w:val="8"/>
        </w:numPr>
        <w:adjustRightInd w:val="0"/>
        <w:snapToGrid w:val="0"/>
        <w:spacing w:line="400" w:lineRule="exact"/>
        <w:ind w:left="1140" w:hanging="720"/>
        <w:jc w:val="left"/>
        <w:rPr>
          <w:rFonts w:ascii="宋体" w:eastAsia="宋体" w:hAnsi="宋体" w:cs="Times New Roman"/>
          <w:szCs w:val="21"/>
        </w:rPr>
      </w:pPr>
      <w:r>
        <w:rPr>
          <w:rFonts w:ascii="宋体" w:eastAsia="宋体" w:hAnsi="宋体" w:cs="Times New Roman" w:hint="eastAsia"/>
          <w:szCs w:val="21"/>
        </w:rPr>
        <w:t>合同价款支付按照国库集中支付制度及财政管理相关规定执行。</w:t>
      </w:r>
    </w:p>
    <w:p w14:paraId="24EA72F5">
      <w:pPr>
        <w:keepNext/>
        <w:keepLines/>
        <w:spacing w:before="260" w:after="260" w:line="400" w:lineRule="exact"/>
        <w:ind w:firstLine="420" w:firstLineChars="200"/>
        <w:outlineLvl w:val="9"/>
        <w:rPr>
          <w:rFonts w:ascii="Arial" w:eastAsia="黑体" w:hAnsi="Arial" w:cs="Times New Roman"/>
          <w:b/>
          <w:bCs/>
          <w:sz w:val="32"/>
          <w:szCs w:val="32"/>
        </w:rPr>
      </w:pPr>
      <w:r>
        <w:rPr>
          <w:rFonts w:ascii="宋体" w:eastAsia="黑体" w:hAnsi="宋体" w:cs="Times New Roman" w:hint="eastAsia"/>
          <w:szCs w:val="21"/>
        </w:rPr>
        <w:t xml:space="preserve">12.2 </w:t>
      </w:r>
      <w:r>
        <w:rPr>
          <w:rFonts w:ascii="宋体" w:eastAsia="宋体" w:hAnsi="宋体" w:cs="Times New Roman" w:hint="eastAsia"/>
          <w:szCs w:val="21"/>
        </w:rPr>
        <w:t>对于满足合同约定支付条件的，甲方原则上应当自收到发票后10个工作日内将资金支付到合同约定的</w:t>
      </w:r>
      <w:r>
        <w:rPr>
          <w:rFonts w:ascii="宋体" w:eastAsia="黑体" w:hAnsi="宋体" w:cs="Times New Roman" w:hint="eastAsia"/>
          <w:szCs w:val="21"/>
        </w:rPr>
        <w:t>乙方</w:t>
      </w:r>
      <w:r>
        <w:rPr>
          <w:rFonts w:ascii="宋体" w:eastAsia="宋体" w:hAnsi="宋体" w:cs="Times New Roman"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cs="Times New Roman" w:hint="eastAsia"/>
          <w:b/>
          <w:bCs/>
          <w:szCs w:val="21"/>
        </w:rPr>
        <w:t>政府采购合同专用条款</w:t>
      </w:r>
      <w:r>
        <w:rPr>
          <w:rFonts w:ascii="宋体" w:eastAsia="宋体" w:hAnsi="宋体" w:cs="Times New Roman" w:hint="eastAsia"/>
          <w:szCs w:val="21"/>
        </w:rPr>
        <w:t>】中</w:t>
      </w:r>
      <w:r>
        <w:rPr>
          <w:rFonts w:ascii="宋体" w:eastAsia="黑体" w:hAnsi="宋体" w:cs="Times New Roman" w:hint="eastAsia"/>
          <w:szCs w:val="21"/>
        </w:rPr>
        <w:t>约</w:t>
      </w:r>
      <w:r>
        <w:rPr>
          <w:rFonts w:ascii="宋体" w:eastAsia="宋体" w:hAnsi="宋体" w:cs="Times New Roman" w:hint="eastAsia"/>
          <w:szCs w:val="21"/>
        </w:rPr>
        <w:t>定。</w:t>
      </w:r>
    </w:p>
    <w:p w14:paraId="4FAC1279">
      <w:pPr>
        <w:widowControl/>
        <w:spacing w:line="400" w:lineRule="exact"/>
        <w:jc w:val="left"/>
        <w:rPr>
          <w:rFonts w:ascii="宋体" w:eastAsia="微软雅黑" w:hAnsi="宋体" w:cs="Times New Roman"/>
          <w:b/>
          <w:bCs/>
          <w:color w:val="595959"/>
          <w:kern w:val="20"/>
          <w:lang w:val="zh-CN"/>
        </w:rPr>
      </w:pPr>
      <w:r>
        <w:rPr>
          <w:rFonts w:ascii="宋体" w:eastAsia="微软雅黑" w:hAnsi="宋体" w:cs="Times New Roman" w:hint="eastAsia"/>
          <w:b/>
          <w:bCs/>
          <w:kern w:val="20"/>
          <w:sz w:val="24"/>
          <w:szCs w:val="24"/>
          <w:lang w:val="zh-CN"/>
        </w:rPr>
        <w:t>13.</w:t>
      </w:r>
      <w:r>
        <w:rPr>
          <w:rFonts w:ascii="宋体" w:eastAsia="微软雅黑" w:hAnsi="宋体" w:cs="Times New Roman" w:hint="eastAsia"/>
          <w:b/>
          <w:bCs/>
          <w:kern w:val="20"/>
          <w:sz w:val="24"/>
          <w:szCs w:val="24"/>
        </w:rPr>
        <w:t xml:space="preserve"> </w:t>
      </w:r>
      <w:r>
        <w:rPr>
          <w:rFonts w:ascii="宋体" w:eastAsia="微软雅黑" w:hAnsi="宋体" w:cs="Times New Roman" w:hint="eastAsia"/>
          <w:b/>
          <w:bCs/>
          <w:kern w:val="20"/>
          <w:sz w:val="24"/>
          <w:szCs w:val="24"/>
          <w:lang w:val="zh-CN"/>
        </w:rPr>
        <w:t>履约保证金</w:t>
      </w:r>
    </w:p>
    <w:p w14:paraId="1E89E10C">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13.1 </w:t>
      </w:r>
      <w:r>
        <w:rPr>
          <w:rFonts w:ascii="宋体" w:eastAsia="宋体" w:hAnsi="宋体" w:cs="宋体" w:hint="eastAsia"/>
          <w:szCs w:val="15"/>
        </w:rPr>
        <w:t>乙方应当以支票、汇票、本票或者金融机构、担保机构出具的保函等非现金形式提交。</w:t>
      </w:r>
    </w:p>
    <w:p w14:paraId="2FA2C966">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13.2 如果乙方出现</w:t>
      </w:r>
      <w:r>
        <w:rPr>
          <w:rFonts w:ascii="宋体" w:eastAsia="宋体" w:hAnsi="宋体" w:cs="宋体" w:hint="eastAsia"/>
          <w:b/>
          <w:bCs/>
          <w:szCs w:val="15"/>
        </w:rPr>
        <w:t>【政府采购合同专用条款】</w:t>
      </w:r>
      <w:r>
        <w:rPr>
          <w:rFonts w:ascii="宋体" w:eastAsia="宋体" w:hAnsi="宋体" w:cs="宋体" w:hint="eastAsia"/>
          <w:szCs w:val="15"/>
        </w:rPr>
        <w:t>约定情形的</w:t>
      </w:r>
      <w:r>
        <w:rPr>
          <w:rFonts w:ascii="宋体" w:eastAsia="宋体" w:hAnsi="宋体" w:cs="Times New Roman" w:hint="eastAsia"/>
          <w:szCs w:val="21"/>
        </w:rPr>
        <w:t>，履约保证金不予退还；如果乙方未能按合同约定全面履行义务，甲方有权从履约保证金中取得补偿或赔偿，且不影响甲方要求乙方承担合同约定的超过履约保证金的违约责任的权利。</w:t>
      </w:r>
    </w:p>
    <w:p w14:paraId="154E4DB5">
      <w:pPr>
        <w:spacing w:line="400" w:lineRule="exact"/>
        <w:ind w:firstLine="420"/>
        <w:rPr>
          <w:rFonts w:ascii="Times New Roman" w:eastAsia="宋体" w:hAnsi="Times New Roman" w:cs="Times New Roman"/>
          <w:szCs w:val="20"/>
        </w:rPr>
      </w:pPr>
      <w:r>
        <w:rPr>
          <w:rFonts w:ascii="宋体" w:eastAsia="宋体" w:hAnsi="宋体" w:cs="Times New Roman" w:hint="eastAsia"/>
          <w:szCs w:val="21"/>
        </w:rPr>
        <w:t>13.3 甲方在项目通过验收后按照</w:t>
      </w:r>
      <w:r>
        <w:rPr>
          <w:rFonts w:ascii="宋体" w:eastAsia="宋体" w:hAnsi="宋体" w:cs="Times New Roman" w:hint="eastAsia"/>
          <w:b/>
          <w:szCs w:val="21"/>
        </w:rPr>
        <w:t>【政府采购合同专用条款】</w:t>
      </w:r>
      <w:r>
        <w:rPr>
          <w:rFonts w:ascii="宋体" w:eastAsia="宋体" w:hAnsi="宋体" w:cs="Times New Roman" w:hint="eastAsia"/>
          <w:szCs w:val="21"/>
        </w:rPr>
        <w:t>规定的时间内将履约保证金退还乙方；逾期退还的，乙方可要求甲方支付违约金，违约金按照</w:t>
      </w:r>
      <w:r>
        <w:rPr>
          <w:rFonts w:ascii="宋体" w:eastAsia="宋体" w:hAnsi="宋体" w:cs="Times New Roman" w:hint="eastAsia"/>
          <w:b/>
          <w:szCs w:val="21"/>
        </w:rPr>
        <w:t>【政府采购合同专用条款】</w:t>
      </w:r>
      <w:r>
        <w:rPr>
          <w:rFonts w:ascii="宋体" w:eastAsia="宋体" w:hAnsi="宋体" w:cs="Times New Roman" w:hint="eastAsia"/>
          <w:szCs w:val="21"/>
        </w:rPr>
        <w:t>规定支付。</w:t>
      </w:r>
    </w:p>
    <w:p w14:paraId="69A6EDE4">
      <w:p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bCs/>
          <w:sz w:val="24"/>
          <w:szCs w:val="20"/>
        </w:rPr>
        <w:t xml:space="preserve">14. </w:t>
      </w:r>
      <w:r>
        <w:rPr>
          <w:rFonts w:ascii="Times New Roman" w:eastAsia="宋体" w:hAnsi="Times New Roman" w:cs="Times New Roman" w:hint="eastAsia"/>
          <w:b/>
          <w:sz w:val="24"/>
          <w:szCs w:val="20"/>
        </w:rPr>
        <w:t>售后</w:t>
      </w:r>
      <w:r>
        <w:rPr>
          <w:rFonts w:ascii="宋体" w:eastAsia="宋体" w:hAnsi="宋体" w:cs="Times New Roman" w:hint="eastAsia"/>
          <w:b/>
          <w:sz w:val="24"/>
          <w:szCs w:val="20"/>
        </w:rPr>
        <w:t>服务</w:t>
      </w:r>
    </w:p>
    <w:p w14:paraId="07E297CB">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14.1 除项目不涉及或采购活动中明确约定无须承担外，乙方还应提供下列服务：</w:t>
      </w:r>
    </w:p>
    <w:p w14:paraId="370DCA8C">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（1）货物的现场移动、安装、调试、启动监督及技术支持；</w:t>
      </w:r>
    </w:p>
    <w:p w14:paraId="6D641D23">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（2）提供货物组装和维修所需的专用工具和辅助材料；</w:t>
      </w:r>
    </w:p>
    <w:p w14:paraId="1D303AE3">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（3）在</w:t>
      </w:r>
      <w:r>
        <w:rPr>
          <w:rFonts w:ascii="宋体" w:eastAsia="宋体" w:hAnsi="宋体" w:cs="宋体" w:hint="eastAsia"/>
          <w:b/>
          <w:bCs/>
          <w:szCs w:val="15"/>
        </w:rPr>
        <w:t>【政府采购合同专用条款】</w:t>
      </w:r>
      <w:r>
        <w:rPr>
          <w:rFonts w:ascii="宋体" w:eastAsia="宋体" w:hAnsi="宋体" w:cs="Times New Roman" w:hint="eastAsia"/>
          <w:szCs w:val="21"/>
        </w:rPr>
        <w:t>约定的期限内对所有的货物实施运行监督、维修，但前提条件是该服务并不能免除乙方在质量保证期内所承担的义务；</w:t>
      </w:r>
    </w:p>
    <w:p w14:paraId="0F94E6ED">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（4）在制造商所在地或指定现场就货物的安装、启动、运营、维护、废弃处置等对甲方操作人员进行培训</w:t>
      </w:r>
      <w:r>
        <w:rPr>
          <w:rFonts w:ascii="宋体" w:eastAsia="宋体" w:hAnsi="宋体" w:cs="宋体" w:hint="eastAsia"/>
          <w:szCs w:val="15"/>
        </w:rPr>
        <w:t>；</w:t>
      </w:r>
    </w:p>
    <w:p w14:paraId="78931636">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（5）依照法律、行政法规的规定或者按照</w:t>
      </w:r>
      <w:r>
        <w:rPr>
          <w:rFonts w:ascii="宋体" w:eastAsia="宋体" w:hAnsi="宋体" w:cs="宋体" w:hint="eastAsia"/>
          <w:b/>
          <w:bCs/>
          <w:kern w:val="0"/>
          <w:szCs w:val="21"/>
        </w:rPr>
        <w:t>【政府采购合同专用条款】</w:t>
      </w:r>
      <w:r>
        <w:rPr>
          <w:rFonts w:ascii="宋体" w:eastAsia="宋体" w:hAnsi="宋体" w:cs="宋体" w:hint="eastAsia"/>
          <w:kern w:val="0"/>
          <w:szCs w:val="21"/>
        </w:rPr>
        <w:t>约定，货物在有效使用年限届满后应予回收的，乙方负有自行或者委托第三人对货物予以回收的义务；</w:t>
      </w:r>
    </w:p>
    <w:p w14:paraId="6F0A36F1">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b/>
          <w:szCs w:val="21"/>
        </w:rPr>
        <w:t>【政府采购合同专用条款】</w:t>
      </w:r>
      <w:r>
        <w:rPr>
          <w:rFonts w:ascii="宋体" w:eastAsia="宋体" w:hAnsi="宋体" w:cs="Times New Roman" w:hint="eastAsia"/>
          <w:szCs w:val="21"/>
        </w:rPr>
        <w:t>规定由乙方提供的其他服务。</w:t>
      </w:r>
    </w:p>
    <w:p w14:paraId="328F51C3">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14.2 乙方提供的售后服务的费用已包含在合同价款中，甲方不再另行支付。</w:t>
      </w:r>
    </w:p>
    <w:p w14:paraId="1A00E06D">
      <w:p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15. 违约责任</w:t>
      </w:r>
    </w:p>
    <w:p w14:paraId="361F1963">
      <w:pPr>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15.1质量瑕疵的违约责任</w:t>
      </w:r>
    </w:p>
    <w:p w14:paraId="5CD58613">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乙方提供的产品不符合合同约定的质量标准或存在产品质量缺陷，甲方有权要求乙方根据</w:t>
      </w:r>
      <w:r>
        <w:rPr>
          <w:rFonts w:ascii="宋体" w:eastAsia="宋体" w:hAnsi="宋体" w:cs="Times New Roman" w:hint="eastAsia"/>
          <w:b/>
          <w:szCs w:val="21"/>
        </w:rPr>
        <w:t>【政府采购合同专用条款】</w:t>
      </w:r>
      <w:r>
        <w:rPr>
          <w:rFonts w:ascii="宋体" w:eastAsia="宋体" w:hAnsi="宋体" w:cs="Times New Roman" w:hint="eastAsia"/>
          <w:bCs/>
          <w:szCs w:val="21"/>
        </w:rPr>
        <w:t>要求</w:t>
      </w:r>
      <w:r>
        <w:rPr>
          <w:rFonts w:ascii="宋体" w:eastAsia="宋体" w:hAnsi="宋体" w:cs="Times New Roman" w:hint="eastAsia"/>
          <w:szCs w:val="21"/>
        </w:rPr>
        <w:t>及时修理、重作、更换，并承担由此给甲方造成的损失。</w:t>
      </w:r>
    </w:p>
    <w:p w14:paraId="2EE7A3DE">
      <w:pPr>
        <w:autoSpaceDE w:val="0"/>
        <w:autoSpaceDN w:val="0"/>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15.2 迟延交货的违约责任</w:t>
      </w:r>
    </w:p>
    <w:p w14:paraId="09ED82A3">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29AAFC44">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（2）如果乙方没有按照合同规定的时间交货和提供相关服务，甲方有权从货款中扣除误期赔偿费而不影响合同项下的其他补救方法，赔偿费按</w:t>
      </w:r>
      <w:r>
        <w:rPr>
          <w:rFonts w:ascii="宋体" w:eastAsia="宋体" w:hAnsi="宋体" w:cs="Times New Roman" w:hint="eastAsia"/>
          <w:b/>
          <w:szCs w:val="21"/>
        </w:rPr>
        <w:t>【政府采购合同专用条款】</w:t>
      </w:r>
      <w:r>
        <w:rPr>
          <w:rFonts w:ascii="宋体" w:eastAsia="宋体" w:hAnsi="宋体" w:cs="Times New Roman" w:hint="eastAsia"/>
          <w:szCs w:val="21"/>
        </w:rPr>
        <w:t>规定执行。如果涉及公共利益，且赔偿金额无法弥补公共利益损失，甲方可要求继续履行或者采取其他补救措施。</w:t>
      </w:r>
    </w:p>
    <w:p w14:paraId="53B3394F">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15.3 迟延支付的违约责任</w:t>
      </w:r>
    </w:p>
    <w:p w14:paraId="26311855">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甲方存在迟延支付乙方合同款项的，应当承担</w:t>
      </w:r>
      <w:r>
        <w:rPr>
          <w:rFonts w:ascii="宋体" w:eastAsia="宋体" w:hAnsi="宋体" w:cs="Times New Roman" w:hint="eastAsia"/>
          <w:b/>
          <w:bCs/>
          <w:szCs w:val="21"/>
        </w:rPr>
        <w:t>【政府采购合同专用条款】</w:t>
      </w:r>
      <w:r>
        <w:rPr>
          <w:rFonts w:ascii="宋体" w:eastAsia="宋体" w:hAnsi="宋体" w:cs="Times New Roman" w:hint="eastAsia"/>
          <w:szCs w:val="21"/>
        </w:rPr>
        <w:t>规定的逾期付款利息。</w:t>
      </w:r>
    </w:p>
    <w:p w14:paraId="39F41D61">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bCs/>
          <w:szCs w:val="21"/>
        </w:rPr>
        <w:t>15.4其他违约责任根据项目实际需要按</w:t>
      </w:r>
      <w:r>
        <w:rPr>
          <w:rFonts w:ascii="宋体" w:eastAsia="宋体" w:hAnsi="宋体" w:cs="Times New Roman" w:hint="eastAsia"/>
          <w:b/>
          <w:bCs/>
          <w:szCs w:val="21"/>
        </w:rPr>
        <w:t>【政府采购合同专用条款】</w:t>
      </w:r>
      <w:r>
        <w:rPr>
          <w:rFonts w:ascii="宋体" w:eastAsia="宋体" w:hAnsi="宋体" w:cs="Times New Roman" w:hint="eastAsia"/>
          <w:szCs w:val="21"/>
        </w:rPr>
        <w:t>规定执行。</w:t>
      </w:r>
    </w:p>
    <w:p w14:paraId="6A3D5B0D">
      <w:pPr>
        <w:numPr>
          <w:ilvl w:val="0"/>
          <w:numId w:val="9"/>
        </w:num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合同变更、中止与终止</w:t>
      </w:r>
    </w:p>
    <w:p w14:paraId="08A66E9F">
      <w:pPr>
        <w:adjustRightInd w:val="0"/>
        <w:snapToGrid w:val="0"/>
        <w:spacing w:line="400" w:lineRule="exact"/>
        <w:jc w:val="left"/>
        <w:rPr>
          <w:rFonts w:ascii="宋体" w:eastAsia="宋体" w:hAnsi="宋体" w:cs="Times New Roman"/>
          <w:szCs w:val="21"/>
        </w:rPr>
      </w:pPr>
      <w:r>
        <w:rPr>
          <w:rFonts w:ascii="宋体" w:eastAsia="宋体" w:hAnsi="宋体" w:cs="Times New Roman" w:hint="eastAsia"/>
          <w:szCs w:val="21"/>
        </w:rPr>
        <w:t xml:space="preserve">    16.1合同的变更</w:t>
      </w:r>
    </w:p>
    <w:p w14:paraId="59BA6AC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政府采购合同履行中，在不改变合同其他条款的前提下，甲方可以在合同价款10%的范围内追加与合同标的相同的货物，并就此与乙方协商一致后签订补充协议。</w:t>
      </w:r>
    </w:p>
    <w:p w14:paraId="05A0F1C0">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16.2合同的中止</w:t>
      </w:r>
    </w:p>
    <w:p w14:paraId="2894225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（1）合同履行过程中因供应商就采购文件、采购过程或结果提起投诉的，甲方认为有必要的，可以中止合同的履行。</w:t>
      </w:r>
    </w:p>
    <w:p w14:paraId="02A92EAC">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518D9791">
      <w:pPr>
        <w:widowControl/>
        <w:autoSpaceDE w:val="0"/>
        <w:autoSpaceDN w:val="0"/>
        <w:adjustRightInd w:val="0"/>
        <w:spacing w:line="400" w:lineRule="exact"/>
        <w:ind w:firstLine="420" w:firstLineChars="200"/>
        <w:rPr>
          <w:rFonts w:ascii="华文楷体" w:eastAsia="华文楷体" w:hAnsi="华文楷体" w:cs="华文楷体"/>
          <w:kern w:val="0"/>
          <w:szCs w:val="21"/>
        </w:rPr>
      </w:pPr>
      <w:r>
        <w:rPr>
          <w:rFonts w:ascii="宋体" w:eastAsia="宋体" w:hAnsi="宋体" w:cs="宋体" w:hint="eastAsia"/>
          <w:kern w:val="0"/>
          <w:szCs w:val="21"/>
        </w:rPr>
        <w:t>（3）乙方分立、合并或者变更住所的，应当及时以书面形式告知甲方。乙方没有及时告知甲方，致使合同履行发生困难的，甲方可以中止合同履行并要求乙方承担由此给甲方造成的损失。</w:t>
      </w:r>
    </w:p>
    <w:p w14:paraId="05ECC7AA">
      <w:pPr>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szCs w:val="21"/>
        </w:rPr>
        <w:t>（4）甲方不得以行政区划调整、政府换届、机构或者职能调整以及相关责任人更替为由中止合同。</w:t>
      </w:r>
    </w:p>
    <w:p w14:paraId="0C32574F">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16.3合同的终止</w:t>
      </w:r>
    </w:p>
    <w:p w14:paraId="13942242">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（1）合同因有效期限届满而终止；</w:t>
      </w:r>
    </w:p>
    <w:p w14:paraId="6798B7A7">
      <w:pPr>
        <w:snapToGrid w:val="0"/>
        <w:spacing w:line="400" w:lineRule="exact"/>
        <w:ind w:firstLine="420" w:firstLineChars="200"/>
        <w:rPr>
          <w:rFonts w:ascii="宋体" w:eastAsia="宋体" w:hAnsi="宋体" w:cs="宋体"/>
          <w:szCs w:val="21"/>
        </w:rPr>
      </w:pPr>
      <w:r>
        <w:rPr>
          <w:rFonts w:ascii="宋体" w:eastAsia="宋体" w:hAnsi="宋体" w:cs="Times New Roman" w:hint="eastAsia"/>
          <w:szCs w:val="21"/>
        </w:rPr>
        <w:t>（2）乙方未按合同约定履行，构成根本性违约的，甲方有权终止合同，</w:t>
      </w:r>
      <w:r>
        <w:rPr>
          <w:rFonts w:ascii="宋体" w:eastAsia="宋体" w:hAnsi="宋体" w:cs="宋体" w:hint="eastAsia"/>
          <w:szCs w:val="21"/>
        </w:rPr>
        <w:t>并追究乙方的违约责任</w:t>
      </w:r>
      <w:r>
        <w:rPr>
          <w:rFonts w:ascii="宋体" w:eastAsia="宋体" w:hAnsi="宋体" w:cs="Times New Roman" w:hint="eastAsia"/>
          <w:szCs w:val="21"/>
        </w:rPr>
        <w:t>。</w:t>
      </w:r>
    </w:p>
    <w:p w14:paraId="15CF54DB">
      <w:pPr>
        <w:widowControl/>
        <w:autoSpaceDE w:val="0"/>
        <w:autoSpaceDN w:val="0"/>
        <w:adjustRightInd w:val="0"/>
        <w:spacing w:line="400" w:lineRule="exact"/>
        <w:ind w:firstLine="440" w:firstLineChars="200"/>
        <w:jc w:val="left"/>
        <w:rPr>
          <w:rFonts w:ascii="宋体" w:eastAsia="华文楷体" w:hAnsi="宋体" w:cs="华文楷体"/>
          <w:kern w:val="0"/>
          <w:sz w:val="22"/>
          <w:szCs w:val="21"/>
        </w:rPr>
      </w:pPr>
      <w:r>
        <w:rPr>
          <w:rFonts w:ascii="宋体" w:eastAsia="华文楷体" w:hAnsi="宋体" w:cs="华文楷体" w:hint="eastAsia"/>
          <w:kern w:val="0"/>
          <w:sz w:val="22"/>
          <w:szCs w:val="21"/>
        </w:rPr>
        <w:t xml:space="preserve">16.4 </w:t>
      </w:r>
      <w:r>
        <w:rPr>
          <w:rFonts w:ascii="宋体" w:eastAsia="宋体" w:hAnsi="宋体" w:cs="Times New Roman" w:hint="eastAsia"/>
          <w:szCs w:val="21"/>
        </w:rPr>
        <w:t>涉及国家利益、社会公共利益的情形</w:t>
      </w:r>
    </w:p>
    <w:p w14:paraId="66EB167A">
      <w:pPr>
        <w:widowControl/>
        <w:autoSpaceDE w:val="0"/>
        <w:autoSpaceDN w:val="0"/>
        <w:adjustRightInd w:val="0"/>
        <w:spacing w:line="400" w:lineRule="exact"/>
        <w:ind w:firstLine="420" w:firstLineChars="200"/>
        <w:rPr>
          <w:rFonts w:ascii="华文楷体" w:eastAsia="华文楷体" w:hAnsi="华文楷体" w:cs="华文楷体"/>
          <w:kern w:val="0"/>
          <w:szCs w:val="21"/>
        </w:rPr>
      </w:pPr>
      <w:r>
        <w:rPr>
          <w:rFonts w:ascii="宋体" w:eastAsia="宋体" w:hAnsi="宋体" w:cs="宋体" w:hint="eastAsia"/>
          <w:kern w:val="0"/>
          <w:szCs w:val="21"/>
        </w:rPr>
        <w:t>政府采购合同继续履行将损害国家利益和社会公共利益的，双方当事人应当变更、中止或者终止合同。有过错的一方应当承担赔偿责任，双方都有过错的，各自承担相应的责任。</w:t>
      </w:r>
    </w:p>
    <w:p w14:paraId="571EE401">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17. 合同分包</w:t>
      </w:r>
    </w:p>
    <w:p w14:paraId="56F6FF00">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17.1 乙方不得将合同转包给其他供应商。涉及合同分包的，乙方应根据采购文件和投标（响应）文件规定进行合同分包。</w:t>
      </w:r>
    </w:p>
    <w:p w14:paraId="539EF411">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17.2 乙方执行政府采购政策向中小企业依法分包的，乙方应当按采购文件和投标（响应）文件签订分包意向协议，分包意向协议属于本合同组成部分。</w:t>
      </w:r>
    </w:p>
    <w:p w14:paraId="38E43BB9">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18. 不可抗力</w:t>
      </w:r>
    </w:p>
    <w:p w14:paraId="7123E331">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18.1 不可抗力是指合同双方不能预见、不能避免且不能克服的客观情况。</w:t>
      </w:r>
    </w:p>
    <w:p w14:paraId="79A44CDF">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18.2 任何一方对由于不可抗力造成的部分或全部不能履行合同不承担违约责任。但迟延履行后发生不可抗力的，不能免除责任。</w:t>
      </w:r>
    </w:p>
    <w:p w14:paraId="70F1E6AC">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32F700CC">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19. 解决争议的方法</w:t>
      </w:r>
    </w:p>
    <w:p w14:paraId="519DC9F3">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19.1 因本合同及合同有关事项发生的争议，由甲乙双方友好协商解决。协商不成时，可以向有关组织申请调解。合同一方或双方不愿调解或调解不成的，可以通过仲裁或诉讼的方式解决争议。</w:t>
      </w:r>
    </w:p>
    <w:p w14:paraId="2B8F4531">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19.2 选择仲裁的，应在</w:t>
      </w:r>
      <w:r>
        <w:rPr>
          <w:rFonts w:ascii="宋体" w:eastAsia="宋体" w:hAnsi="宋体" w:cs="宋体" w:hint="eastAsia"/>
          <w:b/>
          <w:bCs/>
          <w:kern w:val="0"/>
          <w:szCs w:val="21"/>
        </w:rPr>
        <w:t>【政府采购合同专用条款】</w:t>
      </w:r>
      <w:r>
        <w:rPr>
          <w:rFonts w:ascii="宋体" w:eastAsia="宋体" w:hAnsi="宋体" w:cs="宋体" w:hint="eastAsia"/>
          <w:kern w:val="0"/>
          <w:szCs w:val="21"/>
        </w:rPr>
        <w:t>中明确仲裁机构及仲裁地；通过诉讼方式解决的，可以在</w:t>
      </w:r>
      <w:r>
        <w:rPr>
          <w:rFonts w:ascii="宋体" w:eastAsia="宋体" w:hAnsi="宋体" w:cs="宋体" w:hint="eastAsia"/>
          <w:b/>
          <w:bCs/>
          <w:kern w:val="0"/>
          <w:szCs w:val="21"/>
        </w:rPr>
        <w:t>【政府采购合同专用条款】</w:t>
      </w:r>
      <w:r>
        <w:rPr>
          <w:rFonts w:ascii="宋体" w:eastAsia="宋体" w:hAnsi="宋体" w:cs="宋体" w:hint="eastAsia"/>
          <w:kern w:val="0"/>
          <w:szCs w:val="21"/>
        </w:rPr>
        <w:t>中进一步约定选择与争议有实际联系的地点的人民法院管辖，但管辖法院的约定不得违反级别管辖和专属管辖的规定。</w:t>
      </w:r>
    </w:p>
    <w:p w14:paraId="78CFE31A">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19.3 如甲乙双方有争议的事项不影响合同其他部分的履行，在争议解决期间，合同其他部分应当继续履行。</w:t>
      </w:r>
    </w:p>
    <w:p w14:paraId="0FE2C4F9">
      <w:pPr>
        <w:autoSpaceDE w:val="0"/>
        <w:autoSpaceDN w:val="0"/>
        <w:adjustRightInd w:val="0"/>
        <w:snapToGrid w:val="0"/>
        <w:spacing w:line="400" w:lineRule="exact"/>
        <w:jc w:val="left"/>
        <w:rPr>
          <w:rFonts w:ascii="宋体" w:eastAsia="宋体" w:hAnsi="宋体" w:cs="Times New Roman"/>
          <w:szCs w:val="20"/>
        </w:rPr>
      </w:pPr>
      <w:r>
        <w:rPr>
          <w:rFonts w:ascii="宋体" w:eastAsia="宋体" w:hAnsi="宋体" w:cs="Times New Roman" w:hint="eastAsia"/>
          <w:b/>
          <w:sz w:val="24"/>
          <w:szCs w:val="20"/>
        </w:rPr>
        <w:t>20. 政府采购政策</w:t>
      </w:r>
    </w:p>
    <w:p w14:paraId="5E9313BB">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20.1 </w:t>
      </w:r>
      <w:r>
        <w:rPr>
          <w:rFonts w:ascii="宋体" w:eastAsia="宋体" w:hAnsi="宋体" w:cs="宋体" w:hint="eastAsia"/>
          <w:szCs w:val="20"/>
          <w:lang w:val="en-GB"/>
        </w:rPr>
        <w:t>本合同应当按照规定执行政府采购政策。</w:t>
      </w:r>
    </w:p>
    <w:p w14:paraId="1C8BDD92">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szCs w:val="21"/>
        </w:rPr>
        <w:t>2</w:t>
      </w:r>
      <w:r>
        <w:rPr>
          <w:rFonts w:ascii="宋体" w:eastAsia="宋体" w:hAnsi="宋体" w:cs="Times New Roman" w:hint="eastAsia"/>
          <w:szCs w:val="21"/>
        </w:rPr>
        <w:t>0.2 本合同依法执行政府采购政策的方式和内容，属于合同履约验收的范围。</w:t>
      </w:r>
      <w:r>
        <w:rPr>
          <w:rFonts w:ascii="宋体" w:eastAsia="宋体" w:hAnsi="宋体" w:cs="宋体" w:hint="eastAsia"/>
          <w:szCs w:val="20"/>
        </w:rPr>
        <w:t>甲乙双方</w:t>
      </w:r>
      <w:r>
        <w:rPr>
          <w:rFonts w:ascii="宋体" w:eastAsia="宋体" w:hAnsi="宋体" w:cs="宋体" w:hint="eastAsia"/>
          <w:szCs w:val="20"/>
          <w:lang w:val="en-GB"/>
        </w:rPr>
        <w:t>未按规定要求执行政府采购政策造成损失的</w:t>
      </w:r>
      <w:r>
        <w:rPr>
          <w:rFonts w:ascii="宋体" w:eastAsia="宋体" w:hAnsi="宋体" w:cs="Times New Roman" w:hint="eastAsia"/>
          <w:szCs w:val="21"/>
        </w:rPr>
        <w:t>，有过错的一方应当承担赔偿责任，双方都有过错的，各自承担相应的责任。</w:t>
      </w:r>
    </w:p>
    <w:p w14:paraId="4D79D4A3">
      <w:pPr>
        <w:widowControl/>
        <w:spacing w:line="400" w:lineRule="exact"/>
        <w:ind w:firstLine="420" w:firstLineChars="200"/>
        <w:jc w:val="left"/>
        <w:rPr>
          <w:rFonts w:ascii="Cambria" w:eastAsia="微软雅黑" w:hAnsi="Cambria" w:cs="Times New Roman"/>
          <w:color w:val="595959"/>
          <w:kern w:val="20"/>
          <w:szCs w:val="20"/>
          <w:lang w:val="zh-CN"/>
        </w:rPr>
      </w:pPr>
      <w:r>
        <w:rPr>
          <w:rFonts w:ascii="宋体" w:eastAsia="微软雅黑" w:hAnsi="宋体" w:cs="Times New Roman"/>
          <w:kern w:val="20"/>
          <w:szCs w:val="21"/>
          <w:lang w:val="zh-CN"/>
        </w:rPr>
        <w:t>2</w:t>
      </w:r>
      <w:r>
        <w:rPr>
          <w:rFonts w:ascii="宋体" w:eastAsia="微软雅黑" w:hAnsi="宋体" w:cs="Times New Roman" w:hint="eastAsia"/>
          <w:kern w:val="20"/>
          <w:szCs w:val="21"/>
        </w:rPr>
        <w:t>0</w:t>
      </w:r>
      <w:r>
        <w:rPr>
          <w:rFonts w:ascii="宋体" w:eastAsia="微软雅黑" w:hAnsi="宋体" w:cs="Times New Roman" w:hint="eastAsia"/>
          <w:kern w:val="20"/>
          <w:szCs w:val="21"/>
          <w:lang w:val="zh-CN"/>
        </w:rPr>
        <w:t>.</w:t>
      </w:r>
      <w:r>
        <w:rPr>
          <w:rFonts w:ascii="宋体" w:eastAsia="微软雅黑" w:hAnsi="宋体" w:cs="Times New Roman" w:hint="eastAsia"/>
          <w:kern w:val="20"/>
          <w:szCs w:val="21"/>
        </w:rPr>
        <w:t>3</w:t>
      </w:r>
      <w:r>
        <w:rPr>
          <w:rFonts w:ascii="宋体" w:eastAsia="微软雅黑" w:hAnsi="宋体" w:cs="Times New Roman" w:hint="eastAsia"/>
          <w:kern w:val="20"/>
          <w:szCs w:val="21"/>
          <w:lang w:val="zh-CN"/>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1F405FF">
      <w:p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21. 法律适用</w:t>
      </w:r>
    </w:p>
    <w:p w14:paraId="345938C4">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21.1 本合同的订立、生效、解释、履行及与本合同有关的争议解决，均适用法律、行政法规。</w:t>
      </w:r>
    </w:p>
    <w:p w14:paraId="11BD6210">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21.2 本合同条款与法律、行政法规的强制性规定不一致的，双方当事人应按照法律、行政法规的强制性规定修改本合同的相关条款。</w:t>
      </w:r>
    </w:p>
    <w:p w14:paraId="2EE599C0">
      <w:pPr>
        <w:numPr>
          <w:ilvl w:val="12"/>
          <w:numId w:val="0"/>
        </w:num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22. 通知</w:t>
      </w:r>
    </w:p>
    <w:p w14:paraId="4A01BDD4">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22.1 本合同任何一方向对方发出的通知、信件、数据电文等，应当发送至本合同第一部分《政府采购合同协议书》所约定的通讯地址、联系人、联系电话或电子邮箱。</w:t>
      </w:r>
    </w:p>
    <w:p w14:paraId="7D2156ED">
      <w:pPr>
        <w:widowControl/>
        <w:autoSpaceDE w:val="0"/>
        <w:autoSpaceDN w:val="0"/>
        <w:adjustRightInd w:val="0"/>
        <w:spacing w:line="400" w:lineRule="exact"/>
        <w:rPr>
          <w:rFonts w:ascii="华文楷体" w:eastAsia="华文楷体" w:hAnsi="华文楷体" w:cs="华文楷体"/>
          <w:kern w:val="0"/>
          <w:szCs w:val="21"/>
        </w:rPr>
      </w:pPr>
      <w:r>
        <w:rPr>
          <w:rFonts w:ascii="宋体" w:eastAsia="宋体" w:hAnsi="宋体" w:cs="宋体" w:hint="eastAsia"/>
          <w:kern w:val="0"/>
          <w:szCs w:val="21"/>
        </w:rPr>
        <w:t xml:space="preserve">    22.2 一方当事人变更名称、住所、联系人、联系电话或电子邮箱等信息的，应当在变更后3日内及时书面通知对方，对方实际收到变更通知前的送达仍为有效送达。</w:t>
      </w:r>
    </w:p>
    <w:p w14:paraId="38DF523D">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22.3本合同一方给另一方的通知均应采用书面形式，传真或快递送到本合同中规定的对方的地址和办理签收手续。</w:t>
      </w:r>
    </w:p>
    <w:p w14:paraId="1CF53B50">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22.4通知以送达之日或通知书中规定的生效之日起生效，两者中以较迟之日为准。</w:t>
      </w:r>
    </w:p>
    <w:p w14:paraId="3B929DC9">
      <w:pPr>
        <w:numPr>
          <w:ilvl w:val="0"/>
          <w:numId w:val="10"/>
        </w:num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合同未尽事项</w:t>
      </w:r>
    </w:p>
    <w:p w14:paraId="08ABD342">
      <w:pPr>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23.1合同未尽事项见</w:t>
      </w:r>
      <w:r>
        <w:rPr>
          <w:rFonts w:ascii="宋体" w:eastAsia="宋体" w:hAnsi="宋体" w:cs="Times New Roman" w:hint="eastAsia"/>
          <w:b/>
          <w:szCs w:val="21"/>
        </w:rPr>
        <w:t>【政府采购合同专用条款】</w:t>
      </w:r>
      <w:r>
        <w:rPr>
          <w:rFonts w:ascii="宋体" w:eastAsia="宋体" w:hAnsi="宋体" w:cs="Times New Roman" w:hint="eastAsia"/>
          <w:bCs/>
          <w:szCs w:val="21"/>
        </w:rPr>
        <w:t>。</w:t>
      </w:r>
    </w:p>
    <w:p w14:paraId="153B83CF">
      <w:pPr>
        <w:adjustRightInd w:val="0"/>
        <w:snapToGrid w:val="0"/>
        <w:spacing w:line="400" w:lineRule="exact"/>
        <w:jc w:val="left"/>
        <w:rPr>
          <w:rFonts w:ascii="黑体" w:eastAsia="黑体" w:hAnsi="华文中宋" w:cs="Times New Roman"/>
          <w:sz w:val="28"/>
          <w:szCs w:val="28"/>
        </w:rPr>
      </w:pPr>
      <w:r>
        <w:rPr>
          <w:rFonts w:ascii="宋体" w:eastAsia="宋体" w:hAnsi="宋体" w:cs="Times New Roman" w:hint="eastAsia"/>
          <w:bCs/>
          <w:szCs w:val="21"/>
        </w:rPr>
        <w:t xml:space="preserve">    23.2 合同附件与合同正文具有同等的法律效力。</w:t>
      </w:r>
      <w:bookmarkStart w:id="65" w:name="_Toc20313"/>
    </w:p>
    <w:p w14:paraId="06A35407">
      <w:pPr>
        <w:adjustRightInd w:val="0"/>
        <w:snapToGrid w:val="0"/>
        <w:jc w:val="center"/>
        <w:rPr>
          <w:rFonts w:ascii="黑体" w:eastAsia="黑体" w:hAnsi="华文中宋" w:cs="Times New Roman"/>
          <w:sz w:val="28"/>
          <w:szCs w:val="28"/>
        </w:rPr>
      </w:pPr>
      <w:r>
        <w:rPr>
          <w:rFonts w:ascii="黑体" w:eastAsia="黑体" w:hAnsi="华文中宋" w:cs="Times New Roman" w:hint="eastAsia"/>
          <w:sz w:val="28"/>
          <w:szCs w:val="28"/>
        </w:rPr>
        <w:br w:type="page"/>
      </w:r>
    </w:p>
    <w:p w14:paraId="01E11C54">
      <w:pPr>
        <w:keepNext/>
        <w:keepLines/>
        <w:adjustRightInd w:val="0"/>
        <w:snapToGrid w:val="0"/>
        <w:spacing w:before="260" w:after="260" w:line="416" w:lineRule="atLeast"/>
        <w:jc w:val="center"/>
        <w:outlineLvl w:val="1"/>
        <w:rPr>
          <w:rFonts w:ascii="黑体" w:eastAsia="黑体" w:hAnsi="华文中宋" w:cs="Times New Roman"/>
          <w:sz w:val="28"/>
          <w:szCs w:val="28"/>
        </w:rPr>
      </w:pPr>
      <w:r>
        <w:rPr>
          <w:rFonts w:ascii="黑体" w:eastAsia="黑体" w:hAnsi="华文中宋" w:cs="Times New Roman" w:hint="eastAsia"/>
          <w:sz w:val="28"/>
          <w:szCs w:val="28"/>
        </w:rPr>
        <w:t>第三节 政府采购合同专用条款</w:t>
      </w:r>
      <w:bookmarkEnd w:id="6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14:paraId="298CE2EE">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vAlign w:val="center"/>
          </w:tcPr>
          <w:p w14:paraId="5EA406EA">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6B8EB70">
            <w:pPr>
              <w:adjustRightInd w:val="0"/>
              <w:snapToGrid w:val="0"/>
              <w:jc w:val="center"/>
              <w:rPr>
                <w:rFonts w:ascii="宋体" w:eastAsia="宋体" w:hAnsi="宋体" w:cs="Times New Roman"/>
                <w:szCs w:val="21"/>
              </w:rPr>
            </w:pPr>
            <w:r>
              <w:rPr>
                <w:rFonts w:ascii="宋体" w:eastAsia="宋体" w:hAnsi="宋体" w:cs="Times New Roman" w:hint="eastAsia"/>
                <w:szCs w:val="21"/>
              </w:rPr>
              <w:t>第1.2（6）项</w:t>
            </w:r>
          </w:p>
        </w:tc>
        <w:tc>
          <w:tcPr>
            <w:tcW w:w="1742" w:type="dxa"/>
            <w:vAlign w:val="center"/>
          </w:tcPr>
          <w:p w14:paraId="44D22427">
            <w:pPr>
              <w:adjustRightInd w:val="0"/>
              <w:snapToGrid w:val="0"/>
              <w:jc w:val="left"/>
              <w:rPr>
                <w:rFonts w:ascii="宋体" w:eastAsia="宋体" w:hAnsi="宋体" w:cs="Times New Roman"/>
                <w:szCs w:val="21"/>
              </w:rPr>
            </w:pPr>
            <w:r>
              <w:rPr>
                <w:rFonts w:ascii="宋体" w:eastAsia="宋体" w:hAnsi="宋体" w:cs="Times New Roman" w:hint="eastAsia"/>
                <w:szCs w:val="21"/>
              </w:rPr>
              <w:t>联合体具体要求</w:t>
            </w:r>
          </w:p>
        </w:tc>
        <w:tc>
          <w:tcPr>
            <w:tcW w:w="5170" w:type="dxa"/>
            <w:vAlign w:val="center"/>
          </w:tcPr>
          <w:p w14:paraId="79816FD7">
            <w:pPr>
              <w:adjustRightInd w:val="0"/>
              <w:snapToGrid w:val="0"/>
              <w:jc w:val="left"/>
              <w:rPr>
                <w:rFonts w:ascii="宋体" w:eastAsia="宋体" w:hAnsi="宋体" w:cs="Times New Roman"/>
                <w:szCs w:val="21"/>
              </w:rPr>
            </w:pPr>
          </w:p>
        </w:tc>
      </w:tr>
      <w:tr w14:paraId="66311C0A">
        <w:tblPrEx>
          <w:tblW w:w="8519" w:type="dxa"/>
          <w:tblInd w:w="108" w:type="dxa"/>
          <w:tblLayout w:type="fixed"/>
          <w:tblCellMar>
            <w:top w:w="0" w:type="dxa"/>
            <w:left w:w="108" w:type="dxa"/>
            <w:bottom w:w="0" w:type="dxa"/>
            <w:right w:w="108" w:type="dxa"/>
          </w:tblCellMar>
        </w:tblPrEx>
        <w:trPr>
          <w:trHeight w:val="604"/>
        </w:trPr>
        <w:tc>
          <w:tcPr>
            <w:tcW w:w="1607" w:type="dxa"/>
            <w:vAlign w:val="center"/>
          </w:tcPr>
          <w:p w14:paraId="6D3C29EF">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046CCD07">
            <w:pPr>
              <w:adjustRightInd w:val="0"/>
              <w:snapToGrid w:val="0"/>
              <w:jc w:val="center"/>
              <w:rPr>
                <w:rFonts w:ascii="宋体" w:eastAsia="宋体" w:hAnsi="宋体" w:cs="Times New Roman"/>
                <w:szCs w:val="21"/>
              </w:rPr>
            </w:pPr>
            <w:r>
              <w:rPr>
                <w:rFonts w:ascii="宋体" w:eastAsia="宋体" w:hAnsi="宋体" w:cs="Times New Roman" w:hint="eastAsia"/>
                <w:szCs w:val="21"/>
              </w:rPr>
              <w:t>第1.2（7）项</w:t>
            </w:r>
          </w:p>
        </w:tc>
        <w:tc>
          <w:tcPr>
            <w:tcW w:w="1742" w:type="dxa"/>
            <w:vAlign w:val="center"/>
          </w:tcPr>
          <w:p w14:paraId="632A938C">
            <w:pPr>
              <w:adjustRightInd w:val="0"/>
              <w:snapToGrid w:val="0"/>
              <w:jc w:val="left"/>
              <w:rPr>
                <w:rFonts w:ascii="宋体" w:eastAsia="宋体" w:hAnsi="宋体" w:cs="Times New Roman"/>
                <w:szCs w:val="21"/>
              </w:rPr>
            </w:pPr>
            <w:r>
              <w:rPr>
                <w:rFonts w:ascii="宋体" w:eastAsia="宋体" w:hAnsi="宋体" w:cs="Times New Roman" w:hint="eastAsia"/>
                <w:szCs w:val="21"/>
              </w:rPr>
              <w:t>其他术语解释</w:t>
            </w:r>
          </w:p>
        </w:tc>
        <w:tc>
          <w:tcPr>
            <w:tcW w:w="5170" w:type="dxa"/>
            <w:vAlign w:val="center"/>
          </w:tcPr>
          <w:p w14:paraId="3DF9B528">
            <w:pPr>
              <w:adjustRightInd w:val="0"/>
              <w:snapToGrid w:val="0"/>
              <w:jc w:val="left"/>
              <w:rPr>
                <w:rFonts w:ascii="宋体" w:eastAsia="宋体" w:hAnsi="宋体" w:cs="Times New Roman"/>
                <w:szCs w:val="21"/>
              </w:rPr>
            </w:pPr>
          </w:p>
        </w:tc>
      </w:tr>
      <w:tr w14:paraId="7D5AB528">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02B81CC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358B71CC">
            <w:pPr>
              <w:adjustRightInd w:val="0"/>
              <w:snapToGrid w:val="0"/>
              <w:jc w:val="center"/>
              <w:rPr>
                <w:rFonts w:ascii="宋体" w:eastAsia="宋体" w:hAnsi="宋体" w:cs="Times New Roman"/>
                <w:szCs w:val="21"/>
              </w:rPr>
            </w:pPr>
            <w:r>
              <w:rPr>
                <w:rFonts w:ascii="宋体" w:eastAsia="宋体" w:hAnsi="宋体" w:cs="Times New Roman" w:hint="eastAsia"/>
                <w:szCs w:val="21"/>
              </w:rPr>
              <w:t>第4.4款</w:t>
            </w:r>
          </w:p>
        </w:tc>
        <w:tc>
          <w:tcPr>
            <w:tcW w:w="1742" w:type="dxa"/>
            <w:vAlign w:val="center"/>
          </w:tcPr>
          <w:p w14:paraId="2C97845F">
            <w:pPr>
              <w:adjustRightInd w:val="0"/>
              <w:snapToGrid w:val="0"/>
              <w:jc w:val="left"/>
              <w:rPr>
                <w:rFonts w:ascii="宋体" w:eastAsia="宋体" w:hAnsi="宋体" w:cs="Times New Roman"/>
                <w:szCs w:val="21"/>
              </w:rPr>
            </w:pPr>
            <w:r>
              <w:rPr>
                <w:rFonts w:ascii="宋体" w:eastAsia="宋体" w:hAnsi="宋体" w:cs="Times New Roman" w:hint="eastAsia"/>
                <w:szCs w:val="21"/>
              </w:rPr>
              <w:t>履约验收中甲方提出异议或作出说明的期限</w:t>
            </w:r>
          </w:p>
        </w:tc>
        <w:tc>
          <w:tcPr>
            <w:tcW w:w="5170" w:type="dxa"/>
            <w:vAlign w:val="center"/>
          </w:tcPr>
          <w:p w14:paraId="57029D66">
            <w:pPr>
              <w:adjustRightInd w:val="0"/>
              <w:snapToGrid w:val="0"/>
              <w:jc w:val="left"/>
              <w:rPr>
                <w:rFonts w:ascii="宋体" w:eastAsia="宋体" w:hAnsi="宋体" w:cs="Times New Roman"/>
                <w:szCs w:val="21"/>
              </w:rPr>
            </w:pPr>
          </w:p>
        </w:tc>
      </w:tr>
      <w:tr w14:paraId="797396A8">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6055A162">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7DDA7B8F">
            <w:pPr>
              <w:adjustRightInd w:val="0"/>
              <w:snapToGrid w:val="0"/>
              <w:jc w:val="center"/>
              <w:rPr>
                <w:rFonts w:ascii="宋体" w:eastAsia="宋体" w:hAnsi="宋体" w:cs="Times New Roman"/>
                <w:szCs w:val="21"/>
              </w:rPr>
            </w:pPr>
            <w:r>
              <w:rPr>
                <w:rFonts w:ascii="宋体" w:eastAsia="宋体" w:hAnsi="宋体" w:cs="Times New Roman" w:hint="eastAsia"/>
                <w:szCs w:val="21"/>
              </w:rPr>
              <w:t>第4.6款</w:t>
            </w:r>
          </w:p>
        </w:tc>
        <w:tc>
          <w:tcPr>
            <w:tcW w:w="1742" w:type="dxa"/>
            <w:vAlign w:val="center"/>
          </w:tcPr>
          <w:p w14:paraId="434388A1">
            <w:pPr>
              <w:adjustRightInd w:val="0"/>
              <w:snapToGrid w:val="0"/>
              <w:jc w:val="left"/>
              <w:rPr>
                <w:rFonts w:ascii="宋体" w:eastAsia="宋体" w:hAnsi="宋体" w:cs="Times New Roman"/>
                <w:szCs w:val="21"/>
              </w:rPr>
            </w:pPr>
            <w:r>
              <w:rPr>
                <w:rFonts w:ascii="宋体" w:eastAsia="宋体" w:hAnsi="宋体" w:cs="Times New Roman" w:hint="eastAsia"/>
                <w:szCs w:val="21"/>
              </w:rPr>
              <w:t>约定甲方承担的其他义务和责任</w:t>
            </w:r>
          </w:p>
        </w:tc>
        <w:tc>
          <w:tcPr>
            <w:tcW w:w="5170" w:type="dxa"/>
            <w:vAlign w:val="center"/>
          </w:tcPr>
          <w:p w14:paraId="1C5E9FD8">
            <w:pPr>
              <w:adjustRightInd w:val="0"/>
              <w:snapToGrid w:val="0"/>
              <w:jc w:val="left"/>
              <w:rPr>
                <w:rFonts w:ascii="宋体" w:eastAsia="宋体" w:hAnsi="宋体" w:cs="Times New Roman"/>
                <w:szCs w:val="21"/>
              </w:rPr>
            </w:pPr>
          </w:p>
        </w:tc>
      </w:tr>
      <w:tr w14:paraId="16417AEB">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11729EC4">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78C2D794">
            <w:pPr>
              <w:snapToGrid w:val="0"/>
              <w:jc w:val="center"/>
              <w:rPr>
                <w:rFonts w:ascii="Times New Roman" w:eastAsia="宋体" w:hAnsi="Times New Roman" w:cs="Times New Roman"/>
                <w:szCs w:val="20"/>
              </w:rPr>
            </w:pPr>
            <w:r>
              <w:rPr>
                <w:rFonts w:ascii="宋体" w:eastAsia="宋体" w:hAnsi="宋体" w:cs="Times New Roman" w:hint="eastAsia"/>
                <w:szCs w:val="21"/>
              </w:rPr>
              <w:t>第5.4款</w:t>
            </w:r>
          </w:p>
        </w:tc>
        <w:tc>
          <w:tcPr>
            <w:tcW w:w="1742" w:type="dxa"/>
            <w:vAlign w:val="center"/>
          </w:tcPr>
          <w:p w14:paraId="1B05AC75">
            <w:pPr>
              <w:adjustRightInd w:val="0"/>
              <w:snapToGrid w:val="0"/>
              <w:jc w:val="left"/>
              <w:rPr>
                <w:rFonts w:ascii="宋体" w:eastAsia="宋体" w:hAnsi="宋体" w:cs="Times New Roman"/>
                <w:szCs w:val="21"/>
              </w:rPr>
            </w:pPr>
            <w:r>
              <w:rPr>
                <w:rFonts w:ascii="宋体" w:eastAsia="宋体" w:hAnsi="宋体" w:cs="Times New Roman" w:hint="eastAsia"/>
                <w:szCs w:val="21"/>
              </w:rPr>
              <w:t>约定乙方承担的其他义务和责任</w:t>
            </w:r>
          </w:p>
        </w:tc>
        <w:tc>
          <w:tcPr>
            <w:tcW w:w="5170" w:type="dxa"/>
            <w:vAlign w:val="center"/>
          </w:tcPr>
          <w:p w14:paraId="07EE2F51">
            <w:pPr>
              <w:adjustRightInd w:val="0"/>
              <w:snapToGrid w:val="0"/>
              <w:jc w:val="left"/>
              <w:rPr>
                <w:rFonts w:ascii="宋体" w:eastAsia="宋体" w:hAnsi="宋体" w:cs="Times New Roman"/>
                <w:szCs w:val="21"/>
              </w:rPr>
            </w:pPr>
          </w:p>
        </w:tc>
      </w:tr>
      <w:tr w14:paraId="254A6188">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7AF4FE45">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22A3584A">
            <w:pPr>
              <w:snapToGrid w:val="0"/>
              <w:jc w:val="center"/>
              <w:rPr>
                <w:rFonts w:ascii="宋体" w:eastAsia="宋体" w:hAnsi="宋体" w:cs="Times New Roman"/>
                <w:szCs w:val="21"/>
              </w:rPr>
            </w:pPr>
            <w:r>
              <w:rPr>
                <w:rFonts w:ascii="宋体" w:eastAsia="宋体" w:hAnsi="宋体" w:cs="Times New Roman" w:hint="eastAsia"/>
                <w:szCs w:val="21"/>
              </w:rPr>
              <w:t>第6.1款</w:t>
            </w:r>
          </w:p>
        </w:tc>
        <w:tc>
          <w:tcPr>
            <w:tcW w:w="1742" w:type="dxa"/>
            <w:vAlign w:val="center"/>
          </w:tcPr>
          <w:p w14:paraId="5BDFAF32">
            <w:pPr>
              <w:adjustRightInd w:val="0"/>
              <w:snapToGrid w:val="0"/>
              <w:jc w:val="left"/>
              <w:rPr>
                <w:rFonts w:ascii="宋体" w:eastAsia="宋体" w:hAnsi="宋体" w:cs="Times New Roman"/>
                <w:szCs w:val="21"/>
              </w:rPr>
            </w:pPr>
            <w:r>
              <w:rPr>
                <w:rFonts w:ascii="宋体" w:eastAsia="宋体" w:hAnsi="宋体" w:cs="Times New Roman" w:hint="eastAsia"/>
                <w:szCs w:val="21"/>
              </w:rPr>
              <w:t>履行合同义务的顺序</w:t>
            </w:r>
          </w:p>
        </w:tc>
        <w:tc>
          <w:tcPr>
            <w:tcW w:w="5170" w:type="dxa"/>
            <w:vAlign w:val="center"/>
          </w:tcPr>
          <w:p w14:paraId="268975AF">
            <w:pPr>
              <w:adjustRightInd w:val="0"/>
              <w:snapToGrid w:val="0"/>
              <w:jc w:val="left"/>
              <w:rPr>
                <w:rFonts w:ascii="宋体" w:eastAsia="宋体" w:hAnsi="宋体" w:cs="Times New Roman"/>
                <w:szCs w:val="21"/>
              </w:rPr>
            </w:pPr>
          </w:p>
        </w:tc>
      </w:tr>
      <w:tr w14:paraId="5A5FA328">
        <w:tblPrEx>
          <w:tblW w:w="8519" w:type="dxa"/>
          <w:tblInd w:w="108" w:type="dxa"/>
          <w:tblLayout w:type="fixed"/>
          <w:tblCellMar>
            <w:top w:w="0" w:type="dxa"/>
            <w:left w:w="108" w:type="dxa"/>
            <w:bottom w:w="0" w:type="dxa"/>
            <w:right w:w="108" w:type="dxa"/>
          </w:tblCellMar>
        </w:tblPrEx>
        <w:trPr>
          <w:trHeight w:val="667"/>
        </w:trPr>
        <w:tc>
          <w:tcPr>
            <w:tcW w:w="1607" w:type="dxa"/>
            <w:vMerge w:val="restart"/>
            <w:vAlign w:val="center"/>
          </w:tcPr>
          <w:p w14:paraId="007DB769">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0C595596">
            <w:pPr>
              <w:adjustRightInd w:val="0"/>
              <w:snapToGrid w:val="0"/>
              <w:jc w:val="center"/>
              <w:rPr>
                <w:rFonts w:ascii="宋体" w:eastAsia="宋体" w:hAnsi="宋体" w:cs="Times New Roman"/>
                <w:szCs w:val="21"/>
              </w:rPr>
            </w:pPr>
            <w:r>
              <w:rPr>
                <w:rFonts w:ascii="宋体" w:eastAsia="宋体" w:hAnsi="宋体" w:cs="Times New Roman" w:hint="eastAsia"/>
                <w:szCs w:val="21"/>
              </w:rPr>
              <w:t>第7.1款</w:t>
            </w:r>
          </w:p>
        </w:tc>
        <w:tc>
          <w:tcPr>
            <w:tcW w:w="1742" w:type="dxa"/>
            <w:vAlign w:val="center"/>
          </w:tcPr>
          <w:p w14:paraId="3B79AD9F">
            <w:pPr>
              <w:adjustRightInd w:val="0"/>
              <w:snapToGrid w:val="0"/>
              <w:jc w:val="left"/>
              <w:rPr>
                <w:rFonts w:ascii="宋体" w:eastAsia="宋体" w:hAnsi="宋体" w:cs="Times New Roman"/>
                <w:szCs w:val="21"/>
              </w:rPr>
            </w:pPr>
            <w:r>
              <w:rPr>
                <w:rFonts w:ascii="宋体" w:eastAsia="宋体" w:hAnsi="宋体" w:cs="Times New Roman" w:hint="eastAsia"/>
                <w:szCs w:val="21"/>
              </w:rPr>
              <w:t>包装特殊要求</w:t>
            </w:r>
          </w:p>
        </w:tc>
        <w:tc>
          <w:tcPr>
            <w:tcW w:w="5170" w:type="dxa"/>
            <w:vAlign w:val="center"/>
          </w:tcPr>
          <w:p w14:paraId="551D5C11">
            <w:pPr>
              <w:rPr>
                <w:rFonts w:ascii="Times New Roman" w:eastAsia="宋体" w:hAnsi="Times New Roman" w:cs="Times New Roman"/>
                <w:szCs w:val="20"/>
              </w:rPr>
            </w:pPr>
          </w:p>
        </w:tc>
      </w:tr>
      <w:tr w14:paraId="6DE8A192">
        <w:tblPrEx>
          <w:tblW w:w="8519" w:type="dxa"/>
          <w:tblInd w:w="108" w:type="dxa"/>
          <w:tblLayout w:type="fixed"/>
          <w:tblCellMar>
            <w:top w:w="0" w:type="dxa"/>
            <w:left w:w="108" w:type="dxa"/>
            <w:bottom w:w="0" w:type="dxa"/>
            <w:right w:w="108" w:type="dxa"/>
          </w:tblCellMar>
        </w:tblPrEx>
        <w:trPr>
          <w:trHeight w:val="667"/>
        </w:trPr>
        <w:tc>
          <w:tcPr>
            <w:tcW w:w="1607" w:type="dxa"/>
            <w:vMerge/>
            <w:vAlign w:val="center"/>
          </w:tcPr>
          <w:p w14:paraId="7D949386">
            <w:pPr>
              <w:adjustRightInd w:val="0"/>
              <w:snapToGrid w:val="0"/>
              <w:jc w:val="center"/>
              <w:rPr>
                <w:rFonts w:ascii="宋体" w:eastAsia="宋体" w:hAnsi="宋体" w:cs="Times New Roman"/>
                <w:szCs w:val="21"/>
              </w:rPr>
            </w:pPr>
          </w:p>
        </w:tc>
        <w:tc>
          <w:tcPr>
            <w:tcW w:w="1742" w:type="dxa"/>
            <w:vAlign w:val="center"/>
          </w:tcPr>
          <w:p w14:paraId="25AB683D">
            <w:pPr>
              <w:adjustRightInd w:val="0"/>
              <w:snapToGrid w:val="0"/>
              <w:jc w:val="left"/>
              <w:rPr>
                <w:rFonts w:ascii="宋体" w:eastAsia="宋体" w:hAnsi="宋体" w:cs="Times New Roman"/>
                <w:szCs w:val="21"/>
              </w:rPr>
            </w:pPr>
            <w:r>
              <w:rPr>
                <w:rFonts w:ascii="宋体" w:eastAsia="宋体" w:hAnsi="宋体" w:cs="Times New Roman" w:hint="eastAsia"/>
                <w:szCs w:val="21"/>
              </w:rPr>
              <w:t>指定现场</w:t>
            </w:r>
          </w:p>
        </w:tc>
        <w:tc>
          <w:tcPr>
            <w:tcW w:w="5170" w:type="dxa"/>
            <w:vAlign w:val="center"/>
          </w:tcPr>
          <w:p w14:paraId="71C9A509">
            <w:pPr>
              <w:rPr>
                <w:rFonts w:ascii="Times New Roman" w:eastAsia="宋体" w:hAnsi="Times New Roman" w:cs="Times New Roman"/>
                <w:szCs w:val="20"/>
              </w:rPr>
            </w:pPr>
          </w:p>
        </w:tc>
      </w:tr>
      <w:tr w14:paraId="2FF8DD9B">
        <w:tblPrEx>
          <w:tblW w:w="8519" w:type="dxa"/>
          <w:tblInd w:w="108" w:type="dxa"/>
          <w:tblLayout w:type="fixed"/>
          <w:tblCellMar>
            <w:top w:w="0" w:type="dxa"/>
            <w:left w:w="108" w:type="dxa"/>
            <w:bottom w:w="0" w:type="dxa"/>
            <w:right w:w="108" w:type="dxa"/>
          </w:tblCellMar>
        </w:tblPrEx>
        <w:trPr>
          <w:trHeight w:val="772"/>
        </w:trPr>
        <w:tc>
          <w:tcPr>
            <w:tcW w:w="1607" w:type="dxa"/>
            <w:vAlign w:val="center"/>
          </w:tcPr>
          <w:p w14:paraId="0B1EC0BB">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A329367">
            <w:pPr>
              <w:adjustRightInd w:val="0"/>
              <w:snapToGrid w:val="0"/>
              <w:jc w:val="center"/>
              <w:rPr>
                <w:rFonts w:ascii="宋体" w:eastAsia="宋体" w:hAnsi="宋体" w:cs="Times New Roman"/>
                <w:szCs w:val="21"/>
              </w:rPr>
            </w:pPr>
            <w:r>
              <w:rPr>
                <w:rFonts w:ascii="宋体" w:eastAsia="宋体" w:hAnsi="宋体" w:cs="Times New Roman" w:hint="eastAsia"/>
                <w:szCs w:val="21"/>
              </w:rPr>
              <w:t>第7.2款</w:t>
            </w:r>
          </w:p>
        </w:tc>
        <w:tc>
          <w:tcPr>
            <w:tcW w:w="1742" w:type="dxa"/>
            <w:vAlign w:val="center"/>
          </w:tcPr>
          <w:p w14:paraId="6C12B12A">
            <w:pPr>
              <w:adjustRightInd w:val="0"/>
              <w:snapToGrid w:val="0"/>
              <w:jc w:val="left"/>
              <w:rPr>
                <w:rFonts w:ascii="宋体" w:eastAsia="宋体" w:hAnsi="宋体" w:cs="Times New Roman"/>
                <w:szCs w:val="21"/>
              </w:rPr>
            </w:pPr>
            <w:r>
              <w:rPr>
                <w:rFonts w:ascii="宋体" w:eastAsia="宋体" w:hAnsi="宋体" w:cs="Times New Roman" w:hint="eastAsia"/>
                <w:szCs w:val="21"/>
              </w:rPr>
              <w:t>运输特殊要求</w:t>
            </w:r>
          </w:p>
        </w:tc>
        <w:tc>
          <w:tcPr>
            <w:tcW w:w="5170" w:type="dxa"/>
            <w:vAlign w:val="center"/>
          </w:tcPr>
          <w:p w14:paraId="7448AFC6">
            <w:pPr>
              <w:rPr>
                <w:rFonts w:ascii="Times New Roman" w:eastAsia="宋体" w:hAnsi="Times New Roman" w:cs="Times New Roman"/>
                <w:szCs w:val="20"/>
              </w:rPr>
            </w:pPr>
          </w:p>
        </w:tc>
      </w:tr>
      <w:tr w14:paraId="6E7A9404">
        <w:tblPrEx>
          <w:tblW w:w="8519" w:type="dxa"/>
          <w:tblInd w:w="108" w:type="dxa"/>
          <w:tblLayout w:type="fixed"/>
          <w:tblCellMar>
            <w:top w:w="0" w:type="dxa"/>
            <w:left w:w="108" w:type="dxa"/>
            <w:bottom w:w="0" w:type="dxa"/>
            <w:right w:w="108" w:type="dxa"/>
          </w:tblCellMar>
        </w:tblPrEx>
        <w:trPr>
          <w:trHeight w:val="667"/>
        </w:trPr>
        <w:tc>
          <w:tcPr>
            <w:tcW w:w="1607" w:type="dxa"/>
            <w:vAlign w:val="center"/>
          </w:tcPr>
          <w:p w14:paraId="1CA7B052">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30F5576F">
            <w:pPr>
              <w:adjustRightInd w:val="0"/>
              <w:snapToGrid w:val="0"/>
              <w:jc w:val="center"/>
              <w:rPr>
                <w:rFonts w:ascii="宋体" w:eastAsia="宋体" w:hAnsi="宋体" w:cs="Times New Roman"/>
                <w:szCs w:val="21"/>
              </w:rPr>
            </w:pPr>
            <w:r>
              <w:rPr>
                <w:rFonts w:ascii="宋体" w:eastAsia="宋体" w:hAnsi="宋体" w:cs="Times New Roman" w:hint="eastAsia"/>
                <w:szCs w:val="21"/>
              </w:rPr>
              <w:t>第7.3款</w:t>
            </w:r>
          </w:p>
        </w:tc>
        <w:tc>
          <w:tcPr>
            <w:tcW w:w="1742" w:type="dxa"/>
            <w:vAlign w:val="center"/>
          </w:tcPr>
          <w:p w14:paraId="027396B8">
            <w:pPr>
              <w:adjustRightInd w:val="0"/>
              <w:snapToGrid w:val="0"/>
              <w:jc w:val="left"/>
              <w:rPr>
                <w:rFonts w:ascii="宋体" w:eastAsia="宋体" w:hAnsi="宋体" w:cs="Times New Roman"/>
                <w:szCs w:val="21"/>
              </w:rPr>
            </w:pPr>
            <w:r>
              <w:rPr>
                <w:rFonts w:ascii="宋体" w:eastAsia="宋体" w:hAnsi="宋体" w:cs="Times New Roman" w:hint="eastAsia"/>
                <w:szCs w:val="21"/>
              </w:rPr>
              <w:t>保险要求</w:t>
            </w:r>
          </w:p>
        </w:tc>
        <w:tc>
          <w:tcPr>
            <w:tcW w:w="5170" w:type="dxa"/>
            <w:vAlign w:val="center"/>
          </w:tcPr>
          <w:p w14:paraId="07ED5F3B">
            <w:pPr>
              <w:rPr>
                <w:rFonts w:ascii="Times New Roman" w:eastAsia="宋体" w:hAnsi="Times New Roman" w:cs="Times New Roman"/>
                <w:szCs w:val="20"/>
              </w:rPr>
            </w:pPr>
          </w:p>
        </w:tc>
      </w:tr>
      <w:tr w14:paraId="345DC0EF">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12B300ED">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62C904EA">
            <w:pPr>
              <w:adjustRightInd w:val="0"/>
              <w:snapToGrid w:val="0"/>
              <w:jc w:val="center"/>
              <w:rPr>
                <w:rFonts w:ascii="宋体" w:eastAsia="宋体" w:hAnsi="宋体" w:cs="Times New Roman"/>
                <w:szCs w:val="21"/>
              </w:rPr>
            </w:pPr>
            <w:r>
              <w:rPr>
                <w:rFonts w:ascii="宋体" w:eastAsia="宋体" w:hAnsi="宋体" w:cs="Times New Roman" w:hint="eastAsia"/>
                <w:szCs w:val="21"/>
              </w:rPr>
              <w:t>第8.2（1）项</w:t>
            </w:r>
          </w:p>
        </w:tc>
        <w:tc>
          <w:tcPr>
            <w:tcW w:w="1742" w:type="dxa"/>
            <w:vAlign w:val="center"/>
          </w:tcPr>
          <w:p w14:paraId="46F94109">
            <w:pPr>
              <w:adjustRightInd w:val="0"/>
              <w:snapToGrid w:val="0"/>
              <w:jc w:val="left"/>
              <w:rPr>
                <w:rFonts w:ascii="宋体" w:eastAsia="宋体" w:hAnsi="宋体" w:cs="Times New Roman"/>
                <w:szCs w:val="21"/>
              </w:rPr>
            </w:pPr>
            <w:r>
              <w:rPr>
                <w:rFonts w:ascii="宋体" w:eastAsia="宋体" w:hAnsi="宋体" w:cs="Times New Roman" w:hint="eastAsia"/>
                <w:szCs w:val="21"/>
              </w:rPr>
              <w:t>质量保证期</w:t>
            </w:r>
          </w:p>
        </w:tc>
        <w:tc>
          <w:tcPr>
            <w:tcW w:w="5170" w:type="dxa"/>
            <w:vAlign w:val="center"/>
          </w:tcPr>
          <w:p w14:paraId="4CEF7AB1">
            <w:pPr>
              <w:autoSpaceDE w:val="0"/>
              <w:autoSpaceDN w:val="0"/>
              <w:adjustRightInd w:val="0"/>
              <w:snapToGrid w:val="0"/>
              <w:ind w:firstLine="420" w:firstLineChars="200"/>
              <w:jc w:val="left"/>
              <w:rPr>
                <w:rFonts w:ascii="宋体" w:eastAsia="宋体" w:hAnsi="宋体" w:cs="Times New Roman"/>
                <w:szCs w:val="21"/>
              </w:rPr>
            </w:pPr>
          </w:p>
        </w:tc>
      </w:tr>
      <w:tr w14:paraId="2ADFACCB">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13B3B83F">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08BBC69">
            <w:pPr>
              <w:adjustRightInd w:val="0"/>
              <w:snapToGrid w:val="0"/>
              <w:jc w:val="center"/>
              <w:rPr>
                <w:rFonts w:ascii="宋体" w:eastAsia="宋体" w:hAnsi="宋体" w:cs="Times New Roman"/>
                <w:szCs w:val="21"/>
              </w:rPr>
            </w:pPr>
            <w:r>
              <w:rPr>
                <w:rFonts w:ascii="宋体" w:eastAsia="宋体" w:hAnsi="宋体" w:cs="Times New Roman" w:hint="eastAsia"/>
                <w:szCs w:val="21"/>
              </w:rPr>
              <w:t>第8.2（3）项</w:t>
            </w:r>
          </w:p>
        </w:tc>
        <w:tc>
          <w:tcPr>
            <w:tcW w:w="1742" w:type="dxa"/>
            <w:vAlign w:val="center"/>
          </w:tcPr>
          <w:p w14:paraId="3BA59669">
            <w:pPr>
              <w:adjustRightInd w:val="0"/>
              <w:snapToGrid w:val="0"/>
              <w:jc w:val="left"/>
              <w:rPr>
                <w:rFonts w:ascii="宋体" w:eastAsia="宋体" w:hAnsi="宋体" w:cs="Times New Roman"/>
                <w:szCs w:val="21"/>
              </w:rPr>
            </w:pPr>
            <w:r>
              <w:rPr>
                <w:rFonts w:ascii="宋体" w:eastAsia="宋体" w:hAnsi="宋体" w:cs="Times New Roman" w:hint="eastAsia"/>
                <w:szCs w:val="21"/>
              </w:rPr>
              <w:t>货物质量缺陷</w:t>
            </w:r>
          </w:p>
          <w:p w14:paraId="6F3DCE7A">
            <w:pPr>
              <w:adjustRightInd w:val="0"/>
              <w:snapToGrid w:val="0"/>
              <w:jc w:val="left"/>
              <w:rPr>
                <w:rFonts w:ascii="宋体" w:eastAsia="宋体" w:hAnsi="宋体" w:cs="Times New Roman"/>
                <w:szCs w:val="21"/>
              </w:rPr>
            </w:pPr>
            <w:r>
              <w:rPr>
                <w:rFonts w:ascii="宋体" w:eastAsia="宋体" w:hAnsi="宋体" w:cs="Times New Roman" w:hint="eastAsia"/>
                <w:szCs w:val="21"/>
              </w:rPr>
              <w:t>响应时间</w:t>
            </w:r>
          </w:p>
        </w:tc>
        <w:tc>
          <w:tcPr>
            <w:tcW w:w="5170" w:type="dxa"/>
            <w:vAlign w:val="center"/>
          </w:tcPr>
          <w:p w14:paraId="28BA6039">
            <w:pPr>
              <w:adjustRightInd w:val="0"/>
              <w:snapToGrid w:val="0"/>
              <w:jc w:val="left"/>
              <w:rPr>
                <w:rFonts w:ascii="宋体" w:eastAsia="宋体" w:hAnsi="宋体" w:cs="Times New Roman"/>
                <w:szCs w:val="21"/>
              </w:rPr>
            </w:pPr>
          </w:p>
        </w:tc>
      </w:tr>
      <w:tr w14:paraId="7A53F1D2">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605832A7">
            <w:pPr>
              <w:snapToGrid w:val="0"/>
              <w:jc w:val="center"/>
              <w:rPr>
                <w:rFonts w:ascii="宋体" w:eastAsia="宋体" w:hAnsi="宋体" w:cs="宋体"/>
                <w:szCs w:val="21"/>
              </w:rPr>
            </w:pPr>
            <w:r>
              <w:rPr>
                <w:rFonts w:ascii="宋体" w:eastAsia="宋体" w:hAnsi="宋体" w:cs="宋体" w:hint="eastAsia"/>
                <w:szCs w:val="21"/>
              </w:rPr>
              <w:t>第二节</w:t>
            </w:r>
          </w:p>
          <w:p w14:paraId="53E55BA4">
            <w:pPr>
              <w:widowControl/>
              <w:autoSpaceDE w:val="0"/>
              <w:autoSpaceDN w:val="0"/>
              <w:adjustRightInd w:val="0"/>
              <w:spacing w:line="400" w:lineRule="exact"/>
              <w:jc w:val="center"/>
              <w:rPr>
                <w:rFonts w:ascii="华文楷体" w:eastAsia="华文楷体" w:hAnsi="华文楷体" w:cs="华文楷体"/>
                <w:kern w:val="0"/>
                <w:sz w:val="22"/>
                <w:szCs w:val="21"/>
              </w:rPr>
            </w:pPr>
            <w:r>
              <w:rPr>
                <w:rFonts w:ascii="宋体" w:eastAsia="宋体" w:hAnsi="宋体" w:cs="宋体" w:hint="eastAsia"/>
                <w:kern w:val="0"/>
                <w:sz w:val="22"/>
                <w:szCs w:val="21"/>
              </w:rPr>
              <w:t>第11.1款</w:t>
            </w:r>
          </w:p>
        </w:tc>
        <w:tc>
          <w:tcPr>
            <w:tcW w:w="1742" w:type="dxa"/>
            <w:vAlign w:val="center"/>
          </w:tcPr>
          <w:p w14:paraId="261157FA">
            <w:pPr>
              <w:adjustRightInd w:val="0"/>
              <w:snapToGrid w:val="0"/>
              <w:rPr>
                <w:rFonts w:ascii="宋体" w:eastAsia="宋体" w:hAnsi="宋体" w:cs="Times New Roman"/>
                <w:szCs w:val="21"/>
              </w:rPr>
            </w:pPr>
            <w:r>
              <w:rPr>
                <w:rFonts w:ascii="宋体" w:eastAsia="宋体" w:hAnsi="宋体" w:cs="Times New Roman" w:hint="eastAsia"/>
                <w:szCs w:val="21"/>
              </w:rPr>
              <w:t>其他应当保密的信息</w:t>
            </w:r>
          </w:p>
        </w:tc>
        <w:tc>
          <w:tcPr>
            <w:tcW w:w="5170" w:type="dxa"/>
            <w:vAlign w:val="center"/>
          </w:tcPr>
          <w:p w14:paraId="254118BC">
            <w:pPr>
              <w:adjustRightInd w:val="0"/>
              <w:snapToGrid w:val="0"/>
              <w:jc w:val="left"/>
              <w:rPr>
                <w:rFonts w:ascii="宋体" w:eastAsia="宋体" w:hAnsi="宋体" w:cs="Times New Roman"/>
                <w:szCs w:val="21"/>
              </w:rPr>
            </w:pPr>
          </w:p>
        </w:tc>
      </w:tr>
      <w:tr w14:paraId="6ECB39EE">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14:paraId="0AA1B18B">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A3E96E3">
            <w:pPr>
              <w:adjustRightInd w:val="0"/>
              <w:snapToGrid w:val="0"/>
              <w:jc w:val="center"/>
              <w:rPr>
                <w:rFonts w:ascii="宋体" w:eastAsia="宋体" w:hAnsi="宋体" w:cs="Times New Roman"/>
                <w:szCs w:val="21"/>
              </w:rPr>
            </w:pPr>
            <w:r>
              <w:rPr>
                <w:rFonts w:ascii="宋体" w:eastAsia="宋体" w:hAnsi="宋体" w:cs="Times New Roman" w:hint="eastAsia"/>
                <w:szCs w:val="21"/>
              </w:rPr>
              <w:t>第12.2款</w:t>
            </w:r>
          </w:p>
        </w:tc>
        <w:tc>
          <w:tcPr>
            <w:tcW w:w="1742" w:type="dxa"/>
            <w:vAlign w:val="center"/>
          </w:tcPr>
          <w:p w14:paraId="62FE14F1">
            <w:pPr>
              <w:adjustRightInd w:val="0"/>
              <w:snapToGrid w:val="0"/>
              <w:jc w:val="left"/>
              <w:rPr>
                <w:rFonts w:ascii="宋体" w:eastAsia="宋体" w:hAnsi="宋体" w:cs="Times New Roman"/>
                <w:szCs w:val="21"/>
              </w:rPr>
            </w:pPr>
            <w:r>
              <w:rPr>
                <w:rFonts w:ascii="宋体" w:eastAsia="宋体" w:hAnsi="宋体" w:cs="Times New Roman" w:hint="eastAsia"/>
                <w:szCs w:val="21"/>
              </w:rPr>
              <w:t>合同价款支付时间</w:t>
            </w:r>
          </w:p>
        </w:tc>
        <w:tc>
          <w:tcPr>
            <w:tcW w:w="5170" w:type="dxa"/>
            <w:vAlign w:val="center"/>
          </w:tcPr>
          <w:p w14:paraId="57E349A3">
            <w:pPr>
              <w:adjustRightInd w:val="0"/>
              <w:snapToGrid w:val="0"/>
              <w:jc w:val="left"/>
              <w:rPr>
                <w:rFonts w:ascii="宋体" w:eastAsia="宋体" w:hAnsi="宋体" w:cs="Times New Roman"/>
                <w:szCs w:val="21"/>
              </w:rPr>
            </w:pPr>
          </w:p>
        </w:tc>
      </w:tr>
      <w:tr w14:paraId="67D1A263">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14:paraId="5BEE39E1">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1980EC4A">
            <w:pPr>
              <w:adjustRightInd w:val="0"/>
              <w:snapToGrid w:val="0"/>
              <w:jc w:val="center"/>
              <w:rPr>
                <w:rFonts w:ascii="宋体" w:eastAsia="宋体" w:hAnsi="宋体" w:cs="Times New Roman"/>
                <w:szCs w:val="21"/>
              </w:rPr>
            </w:pPr>
            <w:r>
              <w:rPr>
                <w:rFonts w:ascii="宋体" w:eastAsia="宋体" w:hAnsi="宋体" w:cs="Times New Roman" w:hint="eastAsia"/>
                <w:szCs w:val="21"/>
              </w:rPr>
              <w:t>第13.2款</w:t>
            </w:r>
          </w:p>
        </w:tc>
        <w:tc>
          <w:tcPr>
            <w:tcW w:w="1742" w:type="dxa"/>
            <w:vAlign w:val="center"/>
          </w:tcPr>
          <w:p w14:paraId="2E4001C9">
            <w:pPr>
              <w:adjustRightInd w:val="0"/>
              <w:snapToGrid w:val="0"/>
              <w:jc w:val="left"/>
              <w:rPr>
                <w:rFonts w:ascii="宋体" w:eastAsia="宋体" w:hAnsi="宋体" w:cs="Times New Roman"/>
                <w:szCs w:val="21"/>
              </w:rPr>
            </w:pPr>
            <w:r>
              <w:rPr>
                <w:rFonts w:ascii="宋体" w:eastAsia="宋体" w:hAnsi="宋体" w:cs="Times New Roman" w:hint="eastAsia"/>
                <w:szCs w:val="21"/>
              </w:rPr>
              <w:t>履约保证金不予退还的情形</w:t>
            </w:r>
          </w:p>
        </w:tc>
        <w:tc>
          <w:tcPr>
            <w:tcW w:w="5170" w:type="dxa"/>
            <w:vAlign w:val="center"/>
          </w:tcPr>
          <w:p w14:paraId="0D13F284">
            <w:pPr>
              <w:adjustRightInd w:val="0"/>
              <w:snapToGrid w:val="0"/>
              <w:jc w:val="left"/>
              <w:rPr>
                <w:rFonts w:ascii="宋体" w:eastAsia="宋体" w:hAnsi="宋体" w:cs="Times New Roman"/>
                <w:szCs w:val="21"/>
              </w:rPr>
            </w:pPr>
          </w:p>
        </w:tc>
      </w:tr>
      <w:tr w14:paraId="336D1300">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0BC3C3BC">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DB3CBBF">
            <w:pPr>
              <w:adjustRightInd w:val="0"/>
              <w:snapToGrid w:val="0"/>
              <w:jc w:val="center"/>
              <w:rPr>
                <w:rFonts w:ascii="宋体" w:eastAsia="宋体" w:hAnsi="宋体" w:cs="Times New Roman"/>
                <w:szCs w:val="21"/>
              </w:rPr>
            </w:pPr>
            <w:r>
              <w:rPr>
                <w:rFonts w:ascii="宋体" w:eastAsia="宋体" w:hAnsi="宋体" w:cs="Times New Roman" w:hint="eastAsia"/>
                <w:szCs w:val="21"/>
              </w:rPr>
              <w:t>第13.3款</w:t>
            </w:r>
          </w:p>
        </w:tc>
        <w:tc>
          <w:tcPr>
            <w:tcW w:w="1742" w:type="dxa"/>
            <w:vAlign w:val="center"/>
          </w:tcPr>
          <w:p w14:paraId="127D3B17">
            <w:pPr>
              <w:adjustRightInd w:val="0"/>
              <w:snapToGrid w:val="0"/>
              <w:jc w:val="left"/>
              <w:rPr>
                <w:rFonts w:ascii="宋体" w:eastAsia="宋体" w:hAnsi="宋体" w:cs="Times New Roman"/>
                <w:szCs w:val="21"/>
              </w:rPr>
            </w:pPr>
            <w:r>
              <w:rPr>
                <w:rFonts w:ascii="宋体" w:eastAsia="宋体" w:hAnsi="宋体" w:cs="Times New Roman" w:hint="eastAsia"/>
                <w:szCs w:val="21"/>
              </w:rPr>
              <w:t>履约保证金退还时间及逾期退还的违约金</w:t>
            </w:r>
          </w:p>
        </w:tc>
        <w:tc>
          <w:tcPr>
            <w:tcW w:w="5170" w:type="dxa"/>
            <w:vAlign w:val="center"/>
          </w:tcPr>
          <w:p w14:paraId="4A340DB8">
            <w:pPr>
              <w:adjustRightInd w:val="0"/>
              <w:snapToGrid w:val="0"/>
              <w:jc w:val="left"/>
              <w:rPr>
                <w:rFonts w:ascii="宋体" w:eastAsia="宋体" w:hAnsi="宋体" w:cs="Times New Roman"/>
                <w:szCs w:val="21"/>
              </w:rPr>
            </w:pPr>
          </w:p>
        </w:tc>
      </w:tr>
      <w:tr w14:paraId="25B5C1E3">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14:paraId="7BE1FA9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28C64933">
            <w:pPr>
              <w:adjustRightInd w:val="0"/>
              <w:snapToGrid w:val="0"/>
              <w:jc w:val="center"/>
              <w:rPr>
                <w:rFonts w:ascii="宋体" w:eastAsia="宋体" w:hAnsi="宋体" w:cs="Times New Roman"/>
                <w:szCs w:val="21"/>
              </w:rPr>
            </w:pPr>
            <w:r>
              <w:rPr>
                <w:rFonts w:ascii="宋体" w:eastAsia="宋体" w:hAnsi="宋体" w:cs="Times New Roman" w:hint="eastAsia"/>
                <w:szCs w:val="21"/>
              </w:rPr>
              <w:t>第14.1（3）项</w:t>
            </w:r>
          </w:p>
        </w:tc>
        <w:tc>
          <w:tcPr>
            <w:tcW w:w="1742" w:type="dxa"/>
            <w:vAlign w:val="center"/>
          </w:tcPr>
          <w:p w14:paraId="669EF3D5">
            <w:pPr>
              <w:adjustRightInd w:val="0"/>
              <w:snapToGrid w:val="0"/>
              <w:jc w:val="left"/>
              <w:rPr>
                <w:rFonts w:ascii="宋体" w:eastAsia="宋体" w:hAnsi="宋体" w:cs="Times New Roman"/>
                <w:szCs w:val="21"/>
              </w:rPr>
            </w:pPr>
            <w:r>
              <w:rPr>
                <w:rFonts w:ascii="宋体" w:eastAsia="宋体" w:hAnsi="宋体" w:cs="Times New Roman" w:hint="eastAsia"/>
                <w:szCs w:val="21"/>
              </w:rPr>
              <w:t>运行监督、维修期限</w:t>
            </w:r>
          </w:p>
        </w:tc>
        <w:tc>
          <w:tcPr>
            <w:tcW w:w="5170" w:type="dxa"/>
            <w:vAlign w:val="center"/>
          </w:tcPr>
          <w:p w14:paraId="7F097305">
            <w:pPr>
              <w:adjustRightInd w:val="0"/>
              <w:snapToGrid w:val="0"/>
              <w:jc w:val="left"/>
              <w:rPr>
                <w:rFonts w:ascii="宋体" w:eastAsia="宋体" w:hAnsi="宋体" w:cs="Times New Roman"/>
                <w:szCs w:val="21"/>
              </w:rPr>
            </w:pPr>
          </w:p>
        </w:tc>
      </w:tr>
      <w:tr w14:paraId="39D8474E">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14:paraId="7D98DE96">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2727374">
            <w:pPr>
              <w:adjustRightInd w:val="0"/>
              <w:snapToGrid w:val="0"/>
              <w:jc w:val="center"/>
              <w:rPr>
                <w:rFonts w:ascii="宋体" w:eastAsia="宋体" w:hAnsi="宋体" w:cs="Times New Roman"/>
                <w:szCs w:val="21"/>
              </w:rPr>
            </w:pPr>
            <w:r>
              <w:rPr>
                <w:rFonts w:ascii="宋体" w:eastAsia="宋体" w:hAnsi="宋体" w:cs="Times New Roman" w:hint="eastAsia"/>
                <w:szCs w:val="21"/>
              </w:rPr>
              <w:t>第14.1（5）项</w:t>
            </w:r>
          </w:p>
        </w:tc>
        <w:tc>
          <w:tcPr>
            <w:tcW w:w="1742" w:type="dxa"/>
            <w:vAlign w:val="center"/>
          </w:tcPr>
          <w:p w14:paraId="6DB7AA38">
            <w:pPr>
              <w:adjustRightInd w:val="0"/>
              <w:snapToGrid w:val="0"/>
              <w:jc w:val="left"/>
              <w:rPr>
                <w:rFonts w:ascii="宋体" w:eastAsia="宋体" w:hAnsi="宋体" w:cs="Times New Roman"/>
                <w:szCs w:val="21"/>
              </w:rPr>
            </w:pPr>
            <w:r>
              <w:rPr>
                <w:rFonts w:ascii="宋体" w:eastAsia="宋体" w:hAnsi="宋体" w:cs="Times New Roman" w:hint="eastAsia"/>
                <w:szCs w:val="21"/>
              </w:rPr>
              <w:t>货物回收的约定</w:t>
            </w:r>
          </w:p>
        </w:tc>
        <w:tc>
          <w:tcPr>
            <w:tcW w:w="5170" w:type="dxa"/>
            <w:vAlign w:val="center"/>
          </w:tcPr>
          <w:p w14:paraId="7F8F53F6">
            <w:pPr>
              <w:adjustRightInd w:val="0"/>
              <w:snapToGrid w:val="0"/>
              <w:jc w:val="left"/>
              <w:rPr>
                <w:rFonts w:ascii="宋体" w:eastAsia="宋体" w:hAnsi="宋体" w:cs="Times New Roman"/>
                <w:szCs w:val="21"/>
              </w:rPr>
            </w:pPr>
          </w:p>
        </w:tc>
      </w:tr>
      <w:tr w14:paraId="73F434BB">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067DB97E">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6ADD0DD2">
            <w:pPr>
              <w:adjustRightInd w:val="0"/>
              <w:snapToGrid w:val="0"/>
              <w:jc w:val="center"/>
              <w:rPr>
                <w:rFonts w:ascii="宋体" w:eastAsia="宋体" w:hAnsi="宋体" w:cs="Times New Roman"/>
                <w:szCs w:val="21"/>
              </w:rPr>
            </w:pPr>
            <w:r>
              <w:rPr>
                <w:rFonts w:ascii="宋体" w:eastAsia="宋体" w:hAnsi="宋体" w:cs="Times New Roman" w:hint="eastAsia"/>
                <w:szCs w:val="21"/>
              </w:rPr>
              <w:t>第14.1（6）项</w:t>
            </w:r>
          </w:p>
        </w:tc>
        <w:tc>
          <w:tcPr>
            <w:tcW w:w="1742" w:type="dxa"/>
            <w:vAlign w:val="center"/>
          </w:tcPr>
          <w:p w14:paraId="6937C21D">
            <w:pPr>
              <w:adjustRightInd w:val="0"/>
              <w:snapToGrid w:val="0"/>
              <w:jc w:val="left"/>
              <w:rPr>
                <w:rFonts w:ascii="宋体" w:eastAsia="宋体" w:hAnsi="宋体" w:cs="Times New Roman"/>
                <w:szCs w:val="21"/>
              </w:rPr>
            </w:pPr>
            <w:r>
              <w:rPr>
                <w:rFonts w:ascii="宋体" w:eastAsia="宋体" w:hAnsi="宋体" w:cs="Times New Roman" w:hint="eastAsia"/>
                <w:szCs w:val="21"/>
              </w:rPr>
              <w:t>乙方提供的其他服务</w:t>
            </w:r>
          </w:p>
        </w:tc>
        <w:tc>
          <w:tcPr>
            <w:tcW w:w="5170" w:type="dxa"/>
            <w:vAlign w:val="center"/>
          </w:tcPr>
          <w:p w14:paraId="698C3558">
            <w:pPr>
              <w:adjustRightInd w:val="0"/>
              <w:snapToGrid w:val="0"/>
              <w:jc w:val="left"/>
              <w:rPr>
                <w:rFonts w:ascii="宋体" w:eastAsia="宋体" w:hAnsi="宋体" w:cs="Times New Roman"/>
                <w:szCs w:val="21"/>
              </w:rPr>
            </w:pPr>
          </w:p>
        </w:tc>
      </w:tr>
      <w:tr w14:paraId="03BA3642">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4D1C4C9C">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04B60CAB">
            <w:pPr>
              <w:adjustRightInd w:val="0"/>
              <w:snapToGrid w:val="0"/>
              <w:jc w:val="center"/>
              <w:rPr>
                <w:rFonts w:ascii="宋体" w:eastAsia="宋体" w:hAnsi="宋体" w:cs="Times New Roman"/>
                <w:szCs w:val="21"/>
              </w:rPr>
            </w:pPr>
            <w:r>
              <w:rPr>
                <w:rFonts w:ascii="宋体" w:eastAsia="宋体" w:hAnsi="宋体" w:cs="Times New Roman" w:hint="eastAsia"/>
                <w:szCs w:val="21"/>
              </w:rPr>
              <w:t>第15.1款</w:t>
            </w:r>
          </w:p>
        </w:tc>
        <w:tc>
          <w:tcPr>
            <w:tcW w:w="1742" w:type="dxa"/>
            <w:vAlign w:val="center"/>
          </w:tcPr>
          <w:p w14:paraId="339EC96C">
            <w:pPr>
              <w:adjustRightInd w:val="0"/>
              <w:snapToGrid w:val="0"/>
              <w:jc w:val="left"/>
              <w:rPr>
                <w:rFonts w:ascii="宋体" w:eastAsia="宋体" w:hAnsi="宋体" w:cs="Times New Roman"/>
                <w:szCs w:val="21"/>
              </w:rPr>
            </w:pPr>
            <w:r>
              <w:rPr>
                <w:rFonts w:ascii="宋体" w:eastAsia="宋体" w:hAnsi="宋体" w:cs="Times New Roman" w:hint="eastAsia"/>
                <w:szCs w:val="21"/>
              </w:rPr>
              <w:t>修理、重作、更换相关具体规定</w:t>
            </w:r>
          </w:p>
        </w:tc>
        <w:tc>
          <w:tcPr>
            <w:tcW w:w="5170" w:type="dxa"/>
            <w:vAlign w:val="center"/>
          </w:tcPr>
          <w:p w14:paraId="3306EA5C">
            <w:pPr>
              <w:adjustRightInd w:val="0"/>
              <w:snapToGrid w:val="0"/>
              <w:jc w:val="left"/>
              <w:rPr>
                <w:rFonts w:ascii="宋体" w:eastAsia="宋体" w:hAnsi="宋体" w:cs="Times New Roman"/>
                <w:szCs w:val="21"/>
              </w:rPr>
            </w:pPr>
          </w:p>
        </w:tc>
      </w:tr>
      <w:tr w14:paraId="71BE414B">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51B3B6AC">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D118306">
            <w:pPr>
              <w:adjustRightInd w:val="0"/>
              <w:snapToGrid w:val="0"/>
              <w:jc w:val="center"/>
              <w:rPr>
                <w:rFonts w:ascii="宋体" w:eastAsia="宋体" w:hAnsi="宋体" w:cs="Times New Roman"/>
                <w:szCs w:val="21"/>
              </w:rPr>
            </w:pPr>
            <w:r>
              <w:rPr>
                <w:rFonts w:ascii="宋体" w:eastAsia="宋体" w:hAnsi="宋体" w:cs="Times New Roman" w:hint="eastAsia"/>
                <w:szCs w:val="21"/>
              </w:rPr>
              <w:t>第15.2（2）项</w:t>
            </w:r>
          </w:p>
        </w:tc>
        <w:tc>
          <w:tcPr>
            <w:tcW w:w="1742" w:type="dxa"/>
            <w:vAlign w:val="center"/>
          </w:tcPr>
          <w:p w14:paraId="195A03F7">
            <w:pPr>
              <w:adjustRightInd w:val="0"/>
              <w:snapToGrid w:val="0"/>
              <w:jc w:val="left"/>
              <w:rPr>
                <w:rFonts w:ascii="宋体" w:eastAsia="宋体" w:hAnsi="宋体" w:cs="Times New Roman"/>
                <w:szCs w:val="21"/>
              </w:rPr>
            </w:pPr>
            <w:r>
              <w:rPr>
                <w:rFonts w:ascii="宋体" w:eastAsia="宋体" w:hAnsi="宋体" w:cs="Times New Roman" w:hint="eastAsia"/>
                <w:szCs w:val="21"/>
              </w:rPr>
              <w:t>迟延交货赔偿费</w:t>
            </w:r>
          </w:p>
        </w:tc>
        <w:tc>
          <w:tcPr>
            <w:tcW w:w="5170" w:type="dxa"/>
            <w:vAlign w:val="center"/>
          </w:tcPr>
          <w:p w14:paraId="04AF1529">
            <w:pPr>
              <w:adjustRightInd w:val="0"/>
              <w:snapToGrid w:val="0"/>
              <w:jc w:val="left"/>
              <w:rPr>
                <w:rFonts w:ascii="宋体" w:eastAsia="宋体" w:hAnsi="宋体" w:cs="Times New Roman"/>
                <w:szCs w:val="21"/>
                <w:u w:val="single"/>
              </w:rPr>
            </w:pPr>
          </w:p>
        </w:tc>
      </w:tr>
      <w:tr w14:paraId="473808EE">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49E441C9">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86CDF5B">
            <w:pPr>
              <w:adjustRightInd w:val="0"/>
              <w:snapToGrid w:val="0"/>
              <w:jc w:val="center"/>
              <w:rPr>
                <w:rFonts w:ascii="宋体" w:eastAsia="宋体" w:hAnsi="宋体" w:cs="Times New Roman"/>
                <w:szCs w:val="21"/>
              </w:rPr>
            </w:pPr>
            <w:r>
              <w:rPr>
                <w:rFonts w:ascii="宋体" w:eastAsia="宋体" w:hAnsi="宋体" w:cs="Times New Roman" w:hint="eastAsia"/>
                <w:szCs w:val="21"/>
              </w:rPr>
              <w:t>第15.3款</w:t>
            </w:r>
          </w:p>
        </w:tc>
        <w:tc>
          <w:tcPr>
            <w:tcW w:w="1742" w:type="dxa"/>
            <w:vAlign w:val="center"/>
          </w:tcPr>
          <w:p w14:paraId="1ED4864A">
            <w:pPr>
              <w:adjustRightInd w:val="0"/>
              <w:snapToGrid w:val="0"/>
              <w:jc w:val="left"/>
              <w:rPr>
                <w:rFonts w:ascii="宋体" w:eastAsia="宋体" w:hAnsi="宋体" w:cs="Times New Roman"/>
                <w:szCs w:val="21"/>
              </w:rPr>
            </w:pPr>
            <w:r>
              <w:rPr>
                <w:rFonts w:ascii="宋体" w:eastAsia="宋体" w:hAnsi="宋体" w:cs="Times New Roman" w:hint="eastAsia"/>
                <w:szCs w:val="21"/>
              </w:rPr>
              <w:t>逾期付款利息</w:t>
            </w:r>
          </w:p>
        </w:tc>
        <w:tc>
          <w:tcPr>
            <w:tcW w:w="5170" w:type="dxa"/>
            <w:vAlign w:val="center"/>
          </w:tcPr>
          <w:p w14:paraId="0C638690">
            <w:pPr>
              <w:adjustRightInd w:val="0"/>
              <w:snapToGrid w:val="0"/>
              <w:jc w:val="left"/>
              <w:rPr>
                <w:rFonts w:ascii="宋体" w:eastAsia="宋体" w:hAnsi="宋体" w:cs="Times New Roman"/>
                <w:szCs w:val="21"/>
                <w:u w:val="single"/>
              </w:rPr>
            </w:pPr>
          </w:p>
        </w:tc>
      </w:tr>
      <w:tr w14:paraId="03C57514">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vAlign w:val="center"/>
          </w:tcPr>
          <w:p w14:paraId="605970A1">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FC01B80">
            <w:pPr>
              <w:adjustRightInd w:val="0"/>
              <w:snapToGrid w:val="0"/>
              <w:jc w:val="center"/>
              <w:rPr>
                <w:rFonts w:ascii="宋体" w:eastAsia="宋体" w:hAnsi="宋体" w:cs="Times New Roman"/>
                <w:szCs w:val="21"/>
              </w:rPr>
            </w:pPr>
            <w:r>
              <w:rPr>
                <w:rFonts w:ascii="宋体" w:eastAsia="宋体" w:hAnsi="宋体" w:cs="Times New Roman" w:hint="eastAsia"/>
                <w:szCs w:val="21"/>
              </w:rPr>
              <w:t>第15.4款</w:t>
            </w:r>
          </w:p>
        </w:tc>
        <w:tc>
          <w:tcPr>
            <w:tcW w:w="1742" w:type="dxa"/>
            <w:tcBorders>
              <w:left w:val="single" w:sz="2" w:space="0" w:color="auto"/>
              <w:bottom w:val="single" w:sz="2" w:space="0" w:color="auto"/>
              <w:right w:val="single" w:sz="2" w:space="0" w:color="auto"/>
            </w:tcBorders>
            <w:vAlign w:val="center"/>
          </w:tcPr>
          <w:p w14:paraId="6599E078">
            <w:pPr>
              <w:adjustRightInd w:val="0"/>
              <w:snapToGrid w:val="0"/>
              <w:jc w:val="left"/>
              <w:rPr>
                <w:rFonts w:ascii="宋体" w:eastAsia="宋体" w:hAnsi="宋体" w:cs="Times New Roman"/>
                <w:szCs w:val="21"/>
              </w:rPr>
            </w:pPr>
            <w:r>
              <w:rPr>
                <w:rFonts w:ascii="宋体" w:eastAsia="宋体" w:hAnsi="宋体" w:cs="Times New Roman" w:hint="eastAsia"/>
                <w:szCs w:val="21"/>
              </w:rPr>
              <w:t>其他违约责任</w:t>
            </w:r>
          </w:p>
        </w:tc>
        <w:tc>
          <w:tcPr>
            <w:tcW w:w="5170" w:type="dxa"/>
            <w:tcBorders>
              <w:left w:val="single" w:sz="2" w:space="0" w:color="auto"/>
              <w:bottom w:val="single" w:sz="2" w:space="0" w:color="auto"/>
            </w:tcBorders>
            <w:vAlign w:val="center"/>
          </w:tcPr>
          <w:p w14:paraId="13280426">
            <w:pPr>
              <w:adjustRightInd w:val="0"/>
              <w:snapToGrid w:val="0"/>
              <w:jc w:val="left"/>
              <w:rPr>
                <w:rFonts w:ascii="宋体" w:eastAsia="宋体" w:hAnsi="宋体" w:cs="Times New Roman"/>
                <w:szCs w:val="21"/>
                <w:u w:val="single"/>
              </w:rPr>
            </w:pPr>
          </w:p>
        </w:tc>
      </w:tr>
      <w:tr w14:paraId="12135F25">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vAlign w:val="center"/>
          </w:tcPr>
          <w:p w14:paraId="623E77C5">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792D1E1">
            <w:pPr>
              <w:adjustRightInd w:val="0"/>
              <w:snapToGrid w:val="0"/>
              <w:jc w:val="center"/>
              <w:rPr>
                <w:rFonts w:ascii="宋体" w:eastAsia="宋体" w:hAnsi="宋体" w:cs="Times New Roman"/>
                <w:szCs w:val="21"/>
              </w:rPr>
            </w:pPr>
            <w:r>
              <w:rPr>
                <w:rFonts w:ascii="宋体" w:eastAsia="宋体" w:hAnsi="宋体" w:cs="Times New Roman" w:hint="eastAsia"/>
                <w:szCs w:val="21"/>
              </w:rPr>
              <w:t>第19.2款</w:t>
            </w:r>
          </w:p>
        </w:tc>
        <w:tc>
          <w:tcPr>
            <w:tcW w:w="1742" w:type="dxa"/>
            <w:tcBorders>
              <w:top w:val="single" w:sz="2" w:space="0" w:color="auto"/>
              <w:left w:val="single" w:sz="2" w:space="0" w:color="auto"/>
              <w:right w:val="single" w:sz="2" w:space="0" w:color="auto"/>
            </w:tcBorders>
            <w:vAlign w:val="center"/>
          </w:tcPr>
          <w:p w14:paraId="7D233DE6">
            <w:pPr>
              <w:adjustRightInd w:val="0"/>
              <w:snapToGrid w:val="0"/>
              <w:jc w:val="left"/>
              <w:rPr>
                <w:rFonts w:ascii="宋体" w:eastAsia="宋体" w:hAnsi="宋体" w:cs="Times New Roman"/>
                <w:szCs w:val="21"/>
              </w:rPr>
            </w:pPr>
            <w:r>
              <w:rPr>
                <w:rFonts w:ascii="宋体" w:eastAsia="宋体" w:hAnsi="宋体" w:cs="Times New Roman" w:hint="eastAsia"/>
                <w:szCs w:val="21"/>
              </w:rPr>
              <w:t>解决争议的方法</w:t>
            </w:r>
          </w:p>
        </w:tc>
        <w:tc>
          <w:tcPr>
            <w:tcW w:w="5170" w:type="dxa"/>
            <w:tcBorders>
              <w:top w:val="single" w:sz="2" w:space="0" w:color="auto"/>
              <w:left w:val="single" w:sz="2" w:space="0" w:color="auto"/>
            </w:tcBorders>
            <w:vAlign w:val="center"/>
          </w:tcPr>
          <w:p w14:paraId="79807C45">
            <w:pPr>
              <w:autoSpaceDE w:val="0"/>
              <w:autoSpaceDN w:val="0"/>
              <w:adjustRightInd w:val="0"/>
              <w:snapToGrid w:val="0"/>
              <w:spacing w:line="400" w:lineRule="exact"/>
              <w:jc w:val="left"/>
              <w:rPr>
                <w:rFonts w:ascii="宋体" w:eastAsia="宋体" w:hAnsi="宋体" w:cs="宋体"/>
                <w:iCs/>
                <w:szCs w:val="21"/>
              </w:rPr>
            </w:pPr>
            <w:r>
              <w:rPr>
                <w:rFonts w:ascii="宋体" w:eastAsia="宋体" w:hAnsi="宋体" w:cs="宋体" w:hint="eastAsia"/>
                <w:iCs/>
                <w:szCs w:val="21"/>
              </w:rPr>
              <w:t>因本合同及合同有关事项发生的争议，按下列第</w:t>
            </w:r>
            <w:r>
              <w:rPr>
                <w:rFonts w:ascii="宋体" w:eastAsia="宋体" w:hAnsi="宋体" w:cs="宋体" w:hint="eastAsia"/>
                <w:iCs/>
                <w:szCs w:val="21"/>
                <w:u w:val="single"/>
              </w:rPr>
              <w:t xml:space="preserve">   </w:t>
            </w:r>
            <w:r>
              <w:rPr>
                <w:rFonts w:ascii="宋体" w:eastAsia="宋体" w:hAnsi="宋体" w:cs="宋体" w:hint="eastAsia"/>
                <w:iCs/>
                <w:szCs w:val="21"/>
              </w:rPr>
              <w:t>种方式解决：</w:t>
            </w:r>
          </w:p>
          <w:p w14:paraId="4003C46C">
            <w:pPr>
              <w:autoSpaceDE w:val="0"/>
              <w:autoSpaceDN w:val="0"/>
              <w:adjustRightInd w:val="0"/>
              <w:snapToGrid w:val="0"/>
              <w:spacing w:line="400" w:lineRule="exact"/>
              <w:jc w:val="left"/>
              <w:rPr>
                <w:rFonts w:ascii="宋体" w:eastAsia="宋体" w:hAnsi="宋体" w:cs="宋体"/>
                <w:iCs/>
                <w:szCs w:val="21"/>
              </w:rPr>
            </w:pPr>
            <w:r>
              <w:rPr>
                <w:rFonts w:ascii="宋体" w:eastAsia="宋体" w:hAnsi="宋体" w:cs="宋体" w:hint="eastAsia"/>
                <w:iCs/>
                <w:szCs w:val="21"/>
              </w:rPr>
              <w:t>（1）向</w:t>
            </w:r>
            <w:r>
              <w:rPr>
                <w:rFonts w:ascii="宋体" w:eastAsia="宋体" w:hAnsi="宋体" w:cs="宋体" w:hint="eastAsia"/>
                <w:iCs/>
                <w:szCs w:val="21"/>
                <w:u w:val="single"/>
              </w:rPr>
              <w:t xml:space="preserve">                    </w:t>
            </w:r>
            <w:r>
              <w:rPr>
                <w:rFonts w:ascii="宋体" w:eastAsia="宋体" w:hAnsi="宋体" w:cs="宋体" w:hint="eastAsia"/>
                <w:iCs/>
                <w:szCs w:val="21"/>
              </w:rPr>
              <w:t>仲裁委员会申请仲裁，仲裁地点为</w:t>
            </w:r>
            <w:r>
              <w:rPr>
                <w:rFonts w:ascii="宋体" w:eastAsia="宋体" w:hAnsi="宋体" w:cs="宋体" w:hint="eastAsia"/>
                <w:iCs/>
                <w:szCs w:val="21"/>
                <w:u w:val="single"/>
              </w:rPr>
              <w:t xml:space="preserve">           </w:t>
            </w:r>
            <w:r>
              <w:rPr>
                <w:rFonts w:ascii="宋体" w:eastAsia="宋体" w:hAnsi="宋体" w:cs="宋体" w:hint="eastAsia"/>
                <w:iCs/>
                <w:szCs w:val="21"/>
              </w:rPr>
              <w:t>；</w:t>
            </w:r>
          </w:p>
          <w:p w14:paraId="75E20F7F">
            <w:pPr>
              <w:adjustRightInd w:val="0"/>
              <w:snapToGrid w:val="0"/>
              <w:jc w:val="left"/>
              <w:rPr>
                <w:rFonts w:ascii="宋体" w:eastAsia="宋体" w:hAnsi="宋体" w:cs="Times New Roman"/>
                <w:szCs w:val="21"/>
                <w:u w:val="single"/>
              </w:rPr>
            </w:pPr>
            <w:r>
              <w:rPr>
                <w:rFonts w:ascii="宋体" w:eastAsia="宋体" w:hAnsi="宋体" w:cs="宋体" w:hint="eastAsia"/>
                <w:iCs/>
                <w:szCs w:val="21"/>
              </w:rPr>
              <w:t>（2）向</w:t>
            </w:r>
            <w:r>
              <w:rPr>
                <w:rFonts w:ascii="宋体" w:eastAsia="宋体" w:hAnsi="宋体" w:cs="宋体" w:hint="eastAsia"/>
                <w:iCs/>
                <w:szCs w:val="21"/>
                <w:u w:val="single"/>
              </w:rPr>
              <w:t xml:space="preserve">                    </w:t>
            </w:r>
            <w:r>
              <w:rPr>
                <w:rFonts w:ascii="宋体" w:eastAsia="宋体" w:hAnsi="宋体" w:cs="宋体" w:hint="eastAsia"/>
                <w:iCs/>
                <w:szCs w:val="21"/>
              </w:rPr>
              <w:t>人民法院起诉。</w:t>
            </w:r>
          </w:p>
        </w:tc>
      </w:tr>
      <w:tr w14:paraId="64E84AEF">
        <w:tblPrEx>
          <w:tblW w:w="8519" w:type="dxa"/>
          <w:tblInd w:w="108" w:type="dxa"/>
          <w:tblLayout w:type="fixed"/>
          <w:tblCellMar>
            <w:top w:w="0" w:type="dxa"/>
            <w:left w:w="108" w:type="dxa"/>
            <w:bottom w:w="0" w:type="dxa"/>
            <w:right w:w="108" w:type="dxa"/>
          </w:tblCellMar>
        </w:tblPrEx>
        <w:trPr>
          <w:trHeight w:val="770"/>
        </w:trPr>
        <w:tc>
          <w:tcPr>
            <w:tcW w:w="1607" w:type="dxa"/>
            <w:vAlign w:val="center"/>
          </w:tcPr>
          <w:p w14:paraId="347A34D9">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764E8DFD">
            <w:pPr>
              <w:adjustRightInd w:val="0"/>
              <w:snapToGrid w:val="0"/>
              <w:jc w:val="center"/>
              <w:rPr>
                <w:rFonts w:ascii="宋体" w:eastAsia="宋体" w:hAnsi="宋体" w:cs="Times New Roman"/>
                <w:szCs w:val="21"/>
              </w:rPr>
            </w:pPr>
            <w:r>
              <w:rPr>
                <w:rFonts w:ascii="宋体" w:eastAsia="宋体" w:hAnsi="宋体" w:cs="Times New Roman" w:hint="eastAsia"/>
                <w:szCs w:val="21"/>
              </w:rPr>
              <w:t>第23.1款</w:t>
            </w:r>
          </w:p>
        </w:tc>
        <w:tc>
          <w:tcPr>
            <w:tcW w:w="1742" w:type="dxa"/>
            <w:vAlign w:val="center"/>
          </w:tcPr>
          <w:p w14:paraId="30F99197">
            <w:pPr>
              <w:adjustRightInd w:val="0"/>
              <w:snapToGrid w:val="0"/>
              <w:jc w:val="left"/>
              <w:rPr>
                <w:rFonts w:ascii="宋体" w:eastAsia="宋体" w:hAnsi="宋体" w:cs="Times New Roman"/>
                <w:szCs w:val="21"/>
              </w:rPr>
            </w:pPr>
            <w:r>
              <w:rPr>
                <w:rFonts w:ascii="宋体" w:eastAsia="宋体" w:hAnsi="宋体" w:cs="Times New Roman" w:hint="eastAsia"/>
                <w:bCs/>
                <w:szCs w:val="21"/>
              </w:rPr>
              <w:t>其他专用条款</w:t>
            </w:r>
          </w:p>
        </w:tc>
        <w:tc>
          <w:tcPr>
            <w:tcW w:w="5170" w:type="dxa"/>
            <w:vAlign w:val="center"/>
          </w:tcPr>
          <w:p w14:paraId="733727A2">
            <w:pPr>
              <w:adjustRightInd w:val="0"/>
              <w:snapToGrid w:val="0"/>
              <w:jc w:val="left"/>
              <w:rPr>
                <w:rFonts w:ascii="宋体" w:eastAsia="宋体" w:hAnsi="宋体" w:cs="Times New Roman"/>
                <w:szCs w:val="21"/>
              </w:rPr>
            </w:pPr>
          </w:p>
        </w:tc>
      </w:tr>
    </w:tbl>
    <w:p w14:paraId="314DE75D">
      <w:pPr>
        <w:rPr>
          <w:rFonts w:ascii="Times New Roman" w:eastAsia="宋体" w:hAnsi="Times New Roman" w:cs="Times New Roman"/>
          <w:szCs w:val="20"/>
        </w:rPr>
      </w:pPr>
    </w:p>
    <w:p w14:paraId="79293EF8">
      <w:pPr>
        <w:rPr>
          <w:rFonts w:ascii="Times New Roman" w:eastAsia="宋体" w:hAnsi="Times New Roman" w:cs="Times New Roman"/>
          <w:b/>
          <w:bCs/>
          <w:sz w:val="44"/>
          <w:szCs w:val="44"/>
        </w:rPr>
      </w:pPr>
    </w:p>
    <w:p w14:paraId="127499B5">
      <w:pPr>
        <w:spacing w:before="156" w:beforeLines="50" w:line="360" w:lineRule="auto"/>
        <w:ind w:firstLine="420"/>
        <w:rPr>
          <w:rFonts w:ascii="宋体" w:eastAsia="宋体" w:hAnsi="宋体" w:cs="Times New Roman"/>
          <w:szCs w:val="21"/>
        </w:rPr>
      </w:pPr>
    </w:p>
    <w:p w14:paraId="468F6C3C"/>
    <w:p w:rsidR="00A77B3E"/>
    <w:p>
      <w:pPr>
        <w:spacing w:line="360" w:lineRule="auto"/>
        <w:ind w:firstLine="3066" w:firstLineChars="1460"/>
        <w:jc w:val="left"/>
        <w:rPr>
          <w:rFonts w:ascii="Times New Roman" w:eastAsia="宋体" w:hAnsi="Times New Roman" w:cs="Times New Roman"/>
          <w:b/>
          <w:bCs/>
          <w:szCs w:val="21"/>
        </w:rPr>
      </w:pPr>
      <w:bookmarkEnd w:id="61"/>
    </w:p>
    <w:sectPr>
      <w:pgSz w:w="11906" w:h="16838"/>
      <w:pgMar w:top="1440" w:right="1800" w:bottom="1440" w:left="1800" w:header="851" w:footer="992" w:gutter="0"/>
      <w:cols w:num="1" w:space="425"/>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altName w:val="方正舒体"/>
    <w:panose1 w:val="02010600010101010101"/>
    <w:charset w:val="86"/>
    <w:family w:val="auto"/>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3A0E599">
    <w:pPr>
      <w:pStyle w:val="Footer"/>
      <w:jc w:val="center"/>
    </w:pPr>
    <w:r>
      <w:fldChar w:fldCharType="begin"/>
    </w:r>
    <w:r>
      <w:instrText xml:space="preserve"> PAGE   \* MERGEFORMAT </w:instrText>
    </w:r>
    <w:r>
      <w:fldChar w:fldCharType="separate"/>
    </w:r>
    <w:r>
      <w:rPr>
        <w:lang w:val="zh-CN" w:eastAsia="zh-CN"/>
      </w:rPr>
      <w:t>61</w:t>
    </w:r>
    <w:r>
      <w:fldChar w:fldCharType="end"/>
    </w:r>
  </w:p>
  <w:p w14:paraId="061645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B684B29">
    <w:pPr>
      <w:pStyle w:val="Footer"/>
      <w:jc w:val="center"/>
    </w:pPr>
    <w:r>
      <w:fldChar w:fldCharType="begin"/>
    </w:r>
    <w:r>
      <w:instrText xml:space="preserve"> PAGE   \* MERGEFORMAT </w:instrText>
    </w:r>
    <w:r>
      <w:fldChar w:fldCharType="separate"/>
    </w:r>
    <w:r>
      <w:rPr>
        <w:lang w:val="zh-CN" w:eastAsia="zh-CN"/>
      </w:rPr>
      <w:t>1</w:t>
    </w:r>
    <w:r>
      <w:fldChar w:fldCharType="end"/>
    </w:r>
  </w:p>
  <w:p w14:paraId="284B6CBD">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296F847">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7"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EC48D3A">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8"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7">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0">
    <w:nsid w:val="7A0F6431"/>
    <w:multiLevelType w:val="singleLevel"/>
    <w:tmpl w:val="7A0F6431"/>
    <w:lvl w:ilvl="0">
      <w:start w:val="1"/>
      <w:numFmt w:val="decimal"/>
      <w:suff w:val="space"/>
      <w:lvlText w:val="%1."/>
      <w:lvlJc w:val="left"/>
    </w:lvl>
  </w:abstractNum>
  <w:num w:numId="1">
    <w:abstractNumId w:val="6"/>
  </w:num>
  <w:num w:numId="2">
    <w:abstractNumId w:val="7"/>
  </w:num>
  <w:num w:numId="3">
    <w:abstractNumId w:val="10"/>
  </w:num>
  <w:num w:numId="4">
    <w:abstractNumId w:val="1"/>
  </w:num>
  <w:num w:numId="5">
    <w:abstractNumId w:val="5"/>
  </w:num>
  <w:num w:numId="6">
    <w:abstractNumId w:val="3"/>
  </w:num>
  <w:num w:numId="7">
    <w:abstractNumId w:val="2"/>
  </w:num>
  <w:num w:numId="8">
    <w:abstractNumId w:val="9"/>
  </w:num>
  <w:num w:numId="9">
    <w:abstractNumId w:val="0"/>
  </w:num>
  <w:num w:numId="10">
    <w:abstractNumId w:val="4"/>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01D"/>
    <w:rsid w:val="0002683A"/>
    <w:rsid w:val="00030A35"/>
    <w:rsid w:val="00034E47"/>
    <w:rsid w:val="00037FF8"/>
    <w:rsid w:val="000432A7"/>
    <w:rsid w:val="00045653"/>
    <w:rsid w:val="00050586"/>
    <w:rsid w:val="00056F45"/>
    <w:rsid w:val="000727F4"/>
    <w:rsid w:val="0007588F"/>
    <w:rsid w:val="000941CA"/>
    <w:rsid w:val="000944BD"/>
    <w:rsid w:val="000A0242"/>
    <w:rsid w:val="000A16E1"/>
    <w:rsid w:val="000C3266"/>
    <w:rsid w:val="000E081F"/>
    <w:rsid w:val="000E5864"/>
    <w:rsid w:val="000E6200"/>
    <w:rsid w:val="000E7870"/>
    <w:rsid w:val="000F6D0B"/>
    <w:rsid w:val="000F7895"/>
    <w:rsid w:val="00106520"/>
    <w:rsid w:val="00110F6C"/>
    <w:rsid w:val="00123A96"/>
    <w:rsid w:val="001268FA"/>
    <w:rsid w:val="0013192F"/>
    <w:rsid w:val="00131C64"/>
    <w:rsid w:val="00147D0F"/>
    <w:rsid w:val="00152C30"/>
    <w:rsid w:val="0016708A"/>
    <w:rsid w:val="00176A5E"/>
    <w:rsid w:val="00187684"/>
    <w:rsid w:val="00197F1B"/>
    <w:rsid w:val="001C1A65"/>
    <w:rsid w:val="001C3ED3"/>
    <w:rsid w:val="001C7EFC"/>
    <w:rsid w:val="001D171F"/>
    <w:rsid w:val="001D257B"/>
    <w:rsid w:val="001D43A6"/>
    <w:rsid w:val="001D784F"/>
    <w:rsid w:val="001E22E4"/>
    <w:rsid w:val="001E35E0"/>
    <w:rsid w:val="001F3A3B"/>
    <w:rsid w:val="00212EA7"/>
    <w:rsid w:val="0021525A"/>
    <w:rsid w:val="00223224"/>
    <w:rsid w:val="002503CA"/>
    <w:rsid w:val="002552E6"/>
    <w:rsid w:val="00256DDC"/>
    <w:rsid w:val="00271216"/>
    <w:rsid w:val="00282D5E"/>
    <w:rsid w:val="00295140"/>
    <w:rsid w:val="002B7975"/>
    <w:rsid w:val="002C33FE"/>
    <w:rsid w:val="002D2820"/>
    <w:rsid w:val="002D6BD3"/>
    <w:rsid w:val="002D7404"/>
    <w:rsid w:val="002D761D"/>
    <w:rsid w:val="002E33DD"/>
    <w:rsid w:val="00306A54"/>
    <w:rsid w:val="00320852"/>
    <w:rsid w:val="003212E8"/>
    <w:rsid w:val="0032528D"/>
    <w:rsid w:val="003252C9"/>
    <w:rsid w:val="00331088"/>
    <w:rsid w:val="003414CE"/>
    <w:rsid w:val="00346214"/>
    <w:rsid w:val="0034705B"/>
    <w:rsid w:val="00354288"/>
    <w:rsid w:val="00364E8F"/>
    <w:rsid w:val="00367AB7"/>
    <w:rsid w:val="00375B34"/>
    <w:rsid w:val="0037764A"/>
    <w:rsid w:val="003934B9"/>
    <w:rsid w:val="0039635B"/>
    <w:rsid w:val="0039653C"/>
    <w:rsid w:val="003A16E0"/>
    <w:rsid w:val="003A3902"/>
    <w:rsid w:val="003B0E00"/>
    <w:rsid w:val="003C2C43"/>
    <w:rsid w:val="003E4247"/>
    <w:rsid w:val="003E479B"/>
    <w:rsid w:val="003E552D"/>
    <w:rsid w:val="003F4BBC"/>
    <w:rsid w:val="003F56F2"/>
    <w:rsid w:val="00405E1B"/>
    <w:rsid w:val="00407EC7"/>
    <w:rsid w:val="00417D37"/>
    <w:rsid w:val="00440FCF"/>
    <w:rsid w:val="00444AF7"/>
    <w:rsid w:val="00451CD1"/>
    <w:rsid w:val="00456D0E"/>
    <w:rsid w:val="00462328"/>
    <w:rsid w:val="00472166"/>
    <w:rsid w:val="00477F37"/>
    <w:rsid w:val="004872DC"/>
    <w:rsid w:val="004916C2"/>
    <w:rsid w:val="0049742F"/>
    <w:rsid w:val="004A48A7"/>
    <w:rsid w:val="004C2CE8"/>
    <w:rsid w:val="004D268D"/>
    <w:rsid w:val="004E1FDE"/>
    <w:rsid w:val="004E4187"/>
    <w:rsid w:val="004F38CB"/>
    <w:rsid w:val="004F7454"/>
    <w:rsid w:val="005020A4"/>
    <w:rsid w:val="00503B9A"/>
    <w:rsid w:val="00522BC4"/>
    <w:rsid w:val="0054008D"/>
    <w:rsid w:val="0054746A"/>
    <w:rsid w:val="005478D2"/>
    <w:rsid w:val="005513D9"/>
    <w:rsid w:val="0055485B"/>
    <w:rsid w:val="00577C4D"/>
    <w:rsid w:val="005820D5"/>
    <w:rsid w:val="005857DD"/>
    <w:rsid w:val="00590714"/>
    <w:rsid w:val="005A3DD0"/>
    <w:rsid w:val="005C02CB"/>
    <w:rsid w:val="005D133C"/>
    <w:rsid w:val="005D2766"/>
    <w:rsid w:val="005D2B0E"/>
    <w:rsid w:val="005D3961"/>
    <w:rsid w:val="005F1203"/>
    <w:rsid w:val="00605343"/>
    <w:rsid w:val="0061056B"/>
    <w:rsid w:val="0061686C"/>
    <w:rsid w:val="00616FD8"/>
    <w:rsid w:val="00622F53"/>
    <w:rsid w:val="00623632"/>
    <w:rsid w:val="00627306"/>
    <w:rsid w:val="006413EB"/>
    <w:rsid w:val="00662339"/>
    <w:rsid w:val="006669F7"/>
    <w:rsid w:val="00670945"/>
    <w:rsid w:val="006B4488"/>
    <w:rsid w:val="006D0426"/>
    <w:rsid w:val="006E29FF"/>
    <w:rsid w:val="006E764E"/>
    <w:rsid w:val="006F33FE"/>
    <w:rsid w:val="006F6DCC"/>
    <w:rsid w:val="00701ED1"/>
    <w:rsid w:val="007130E2"/>
    <w:rsid w:val="00713DB8"/>
    <w:rsid w:val="007218D9"/>
    <w:rsid w:val="00722507"/>
    <w:rsid w:val="00737427"/>
    <w:rsid w:val="007436ED"/>
    <w:rsid w:val="007533F4"/>
    <w:rsid w:val="00763869"/>
    <w:rsid w:val="00782219"/>
    <w:rsid w:val="00786766"/>
    <w:rsid w:val="00791204"/>
    <w:rsid w:val="0079628C"/>
    <w:rsid w:val="007A1A3D"/>
    <w:rsid w:val="007A45F3"/>
    <w:rsid w:val="007A5427"/>
    <w:rsid w:val="007A6CA5"/>
    <w:rsid w:val="007B00A8"/>
    <w:rsid w:val="007B040D"/>
    <w:rsid w:val="007C0FCA"/>
    <w:rsid w:val="007C2E04"/>
    <w:rsid w:val="007D1A74"/>
    <w:rsid w:val="007D1ABE"/>
    <w:rsid w:val="007D2C85"/>
    <w:rsid w:val="007D486D"/>
    <w:rsid w:val="007D6CBE"/>
    <w:rsid w:val="007F2ED6"/>
    <w:rsid w:val="007F333E"/>
    <w:rsid w:val="007F773D"/>
    <w:rsid w:val="00810B20"/>
    <w:rsid w:val="0081162D"/>
    <w:rsid w:val="00815BCE"/>
    <w:rsid w:val="0083110D"/>
    <w:rsid w:val="0083152D"/>
    <w:rsid w:val="00835585"/>
    <w:rsid w:val="0083731C"/>
    <w:rsid w:val="00842B36"/>
    <w:rsid w:val="00844BB6"/>
    <w:rsid w:val="00857AA6"/>
    <w:rsid w:val="00873A80"/>
    <w:rsid w:val="00874C25"/>
    <w:rsid w:val="00876B6F"/>
    <w:rsid w:val="008813AF"/>
    <w:rsid w:val="0089009C"/>
    <w:rsid w:val="00891946"/>
    <w:rsid w:val="008934AD"/>
    <w:rsid w:val="008B5874"/>
    <w:rsid w:val="008B62D6"/>
    <w:rsid w:val="008E3942"/>
    <w:rsid w:val="008F1996"/>
    <w:rsid w:val="009124CA"/>
    <w:rsid w:val="0091751C"/>
    <w:rsid w:val="00930695"/>
    <w:rsid w:val="00933107"/>
    <w:rsid w:val="00933E37"/>
    <w:rsid w:val="00951DFB"/>
    <w:rsid w:val="00953D65"/>
    <w:rsid w:val="0096515D"/>
    <w:rsid w:val="00966562"/>
    <w:rsid w:val="0096795D"/>
    <w:rsid w:val="00974FE7"/>
    <w:rsid w:val="00980C5F"/>
    <w:rsid w:val="00985B68"/>
    <w:rsid w:val="009917DD"/>
    <w:rsid w:val="009A5346"/>
    <w:rsid w:val="009B0B6B"/>
    <w:rsid w:val="009B3D76"/>
    <w:rsid w:val="009C1A40"/>
    <w:rsid w:val="009C7DC3"/>
    <w:rsid w:val="009D6303"/>
    <w:rsid w:val="009E1CD9"/>
    <w:rsid w:val="009E2BC2"/>
    <w:rsid w:val="009E7020"/>
    <w:rsid w:val="009F4FE3"/>
    <w:rsid w:val="009F5E38"/>
    <w:rsid w:val="00A17668"/>
    <w:rsid w:val="00A206F6"/>
    <w:rsid w:val="00A21119"/>
    <w:rsid w:val="00A23403"/>
    <w:rsid w:val="00A31B0B"/>
    <w:rsid w:val="00A67413"/>
    <w:rsid w:val="00A74637"/>
    <w:rsid w:val="00A7578D"/>
    <w:rsid w:val="00A77B3E"/>
    <w:rsid w:val="00A85099"/>
    <w:rsid w:val="00A96F0C"/>
    <w:rsid w:val="00AA335A"/>
    <w:rsid w:val="00AB4667"/>
    <w:rsid w:val="00AB4811"/>
    <w:rsid w:val="00AC54A0"/>
    <w:rsid w:val="00AC79D0"/>
    <w:rsid w:val="00AE1687"/>
    <w:rsid w:val="00AF513E"/>
    <w:rsid w:val="00B26500"/>
    <w:rsid w:val="00B331BA"/>
    <w:rsid w:val="00B33692"/>
    <w:rsid w:val="00B444BA"/>
    <w:rsid w:val="00B52F13"/>
    <w:rsid w:val="00B72BAD"/>
    <w:rsid w:val="00B779E8"/>
    <w:rsid w:val="00B87AF5"/>
    <w:rsid w:val="00B907EB"/>
    <w:rsid w:val="00BA16A9"/>
    <w:rsid w:val="00BA2C93"/>
    <w:rsid w:val="00BA4B32"/>
    <w:rsid w:val="00BC5111"/>
    <w:rsid w:val="00BD2942"/>
    <w:rsid w:val="00BE4D92"/>
    <w:rsid w:val="00C22DED"/>
    <w:rsid w:val="00C24976"/>
    <w:rsid w:val="00C3565F"/>
    <w:rsid w:val="00C43F3D"/>
    <w:rsid w:val="00C46FE8"/>
    <w:rsid w:val="00C527C3"/>
    <w:rsid w:val="00C536B2"/>
    <w:rsid w:val="00C73611"/>
    <w:rsid w:val="00C760FB"/>
    <w:rsid w:val="00C83037"/>
    <w:rsid w:val="00C847C9"/>
    <w:rsid w:val="00C85838"/>
    <w:rsid w:val="00C905D4"/>
    <w:rsid w:val="00C91EF5"/>
    <w:rsid w:val="00CB1FD5"/>
    <w:rsid w:val="00CB7527"/>
    <w:rsid w:val="00CC63F6"/>
    <w:rsid w:val="00CD4BD4"/>
    <w:rsid w:val="00CD4D5B"/>
    <w:rsid w:val="00CD6B48"/>
    <w:rsid w:val="00CE0FCF"/>
    <w:rsid w:val="00CF4F25"/>
    <w:rsid w:val="00D40654"/>
    <w:rsid w:val="00D40A3E"/>
    <w:rsid w:val="00D43756"/>
    <w:rsid w:val="00D513FE"/>
    <w:rsid w:val="00D66514"/>
    <w:rsid w:val="00D76F30"/>
    <w:rsid w:val="00D775A3"/>
    <w:rsid w:val="00D77A6C"/>
    <w:rsid w:val="00D85CE7"/>
    <w:rsid w:val="00D85E1A"/>
    <w:rsid w:val="00D93363"/>
    <w:rsid w:val="00D9369D"/>
    <w:rsid w:val="00D937CB"/>
    <w:rsid w:val="00D93F8C"/>
    <w:rsid w:val="00DC1A59"/>
    <w:rsid w:val="00DC2A82"/>
    <w:rsid w:val="00DC5D46"/>
    <w:rsid w:val="00DD64F4"/>
    <w:rsid w:val="00DF7111"/>
    <w:rsid w:val="00E01033"/>
    <w:rsid w:val="00E10766"/>
    <w:rsid w:val="00E127E2"/>
    <w:rsid w:val="00E21E23"/>
    <w:rsid w:val="00E22077"/>
    <w:rsid w:val="00E259EF"/>
    <w:rsid w:val="00E4020B"/>
    <w:rsid w:val="00E42569"/>
    <w:rsid w:val="00E50FFE"/>
    <w:rsid w:val="00E5303B"/>
    <w:rsid w:val="00E70775"/>
    <w:rsid w:val="00E71E29"/>
    <w:rsid w:val="00E7790D"/>
    <w:rsid w:val="00E82DFD"/>
    <w:rsid w:val="00E85F8F"/>
    <w:rsid w:val="00E90C4E"/>
    <w:rsid w:val="00EA0A3B"/>
    <w:rsid w:val="00EA1DC8"/>
    <w:rsid w:val="00EA50A3"/>
    <w:rsid w:val="00EB443D"/>
    <w:rsid w:val="00EC0B55"/>
    <w:rsid w:val="00EC5B63"/>
    <w:rsid w:val="00EE1A3A"/>
    <w:rsid w:val="00F0301D"/>
    <w:rsid w:val="00F1429E"/>
    <w:rsid w:val="00F26946"/>
    <w:rsid w:val="00F56C8B"/>
    <w:rsid w:val="00F624D3"/>
    <w:rsid w:val="00F671EC"/>
    <w:rsid w:val="00F819A6"/>
    <w:rsid w:val="00F81BC4"/>
    <w:rsid w:val="00F9693D"/>
    <w:rsid w:val="00FA036F"/>
    <w:rsid w:val="00FA52E7"/>
    <w:rsid w:val="00FC117A"/>
    <w:rsid w:val="00FC3970"/>
    <w:rsid w:val="00FC3B1A"/>
    <w:rsid w:val="00FC6AD6"/>
    <w:rsid w:val="00FC71B0"/>
    <w:rsid w:val="00FD6BEF"/>
    <w:rsid w:val="00FD7CE3"/>
    <w:rsid w:val="00FF2E6C"/>
    <w:rsid w:val="00FF4447"/>
    <w:rsid w:val="0DB62B73"/>
    <w:rsid w:val="14795F64"/>
    <w:rsid w:val="1D943902"/>
    <w:rsid w:val="23423D9F"/>
    <w:rsid w:val="257E0146"/>
    <w:rsid w:val="37F45271"/>
    <w:rsid w:val="3A2F07E2"/>
    <w:rsid w:val="42D52A0C"/>
    <w:rsid w:val="4D310259"/>
    <w:rsid w:val="50EF74D3"/>
    <w:rsid w:val="56226FF5"/>
    <w:rsid w:val="579D2DD8"/>
    <w:rsid w:val="5DC7227F"/>
    <w:rsid w:val="692A347B"/>
    <w:rsid w:val="76BE2C75"/>
    <w:rsid w:val="7D806657"/>
    <w:rsid w:val="7DB5237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unhideWhenUsed="0" w:qFormat="1"/>
    <w:lsdException w:name="header" w:semiHidden="0" w:uiPriority="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semiHidden="0" w:qFormat="1"/>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qFormat="1"/>
    <w:lsdException w:name="Table Grid" w:semiHidden="0" w:uiPriority="5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2"/>
    <w:qFormat/>
    <w:pPr>
      <w:jc w:val="left"/>
    </w:pPr>
  </w:style>
  <w:style w:type="paragraph" w:styleId="BodyText3">
    <w:name w:val="Body Text 3"/>
    <w:basedOn w:val="Normal"/>
    <w:link w:val="3Char0"/>
    <w:uiPriority w:val="99"/>
    <w:unhideWhenUsed/>
    <w:qFormat/>
    <w:pPr>
      <w:spacing w:after="120"/>
    </w:pPr>
    <w:rPr>
      <w:sz w:val="16"/>
      <w:szCs w:val="16"/>
    </w:rPr>
  </w:style>
  <w:style w:type="paragraph" w:styleId="BodyText">
    <w:name w:val="Body Text"/>
    <w:basedOn w:val="Normal"/>
    <w:link w:val="Char16"/>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BodyTextIndent">
    <w:name w:val="Body Text Indent"/>
    <w:basedOn w:val="Normal"/>
    <w:link w:val="Char18"/>
    <w:uiPriority w:val="99"/>
    <w:semiHidden/>
    <w:unhideWhenUsed/>
    <w:qFormat/>
    <w:pPr>
      <w:spacing w:after="120"/>
      <w:ind w:left="420" w:leftChars="200"/>
    </w:pPr>
  </w:style>
  <w:style w:type="paragraph" w:styleId="PlainText">
    <w:name w:val="Plain Text"/>
    <w:basedOn w:val="Normal"/>
    <w:link w:val="Char6"/>
    <w:qFormat/>
    <w:rPr>
      <w:rFonts w:ascii="宋体" w:eastAsia="宋体" w:hAnsi="Courier New" w:cs="Times New Roman"/>
      <w:szCs w:val="21"/>
    </w:rPr>
  </w:style>
  <w:style w:type="paragraph" w:styleId="Date">
    <w:name w:val="Date"/>
    <w:basedOn w:val="Normal"/>
    <w:next w:val="Normal"/>
    <w:link w:val="Char9"/>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4"/>
    <w:qFormat/>
    <w:rPr>
      <w:sz w:val="18"/>
      <w:szCs w:val="18"/>
    </w:rPr>
  </w:style>
  <w:style w:type="paragraph" w:styleId="Footer">
    <w:name w:val="footer"/>
    <w:basedOn w:val="Normal"/>
    <w:link w:val="Char0"/>
    <w:uiPriority w:val="99"/>
    <w:qFormat/>
    <w:pPr>
      <w:tabs>
        <w:tab w:val="center" w:pos="4153"/>
        <w:tab w:val="right" w:pos="8306"/>
      </w:tabs>
      <w:snapToGrid w:val="0"/>
      <w:jc w:val="left"/>
    </w:pPr>
    <w:rPr>
      <w:sz w:val="18"/>
    </w:rPr>
  </w:style>
  <w:style w:type="paragraph" w:styleId="Header">
    <w:name w:val="header"/>
    <w:basedOn w:val="Normal"/>
    <w:link w:val="Char8"/>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5"/>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3"/>
    <w:qFormat/>
  </w:style>
  <w:style w:type="table" w:styleId="TableGrid">
    <w:name w:val="Table Grid"/>
    <w:basedOn w:val="TableNormal"/>
    <w:uiPriority w:val="59"/>
    <w:qFormat/>
    <w:rPr>
      <w:rFonts w:ascii="Cambria" w:eastAsia="黑体" w:hAnsi="Cambria"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qFormat/>
    <w:rPr>
      <w:sz w:val="21"/>
      <w:szCs w:val="21"/>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
    <w:name w:val="文档结构图 Char"/>
    <w:link w:val="DocumentMap"/>
    <w:uiPriority w:val="99"/>
    <w:qFormat/>
    <w:rPr>
      <w:rFonts w:ascii="宋体"/>
      <w:sz w:val="18"/>
      <w:szCs w:val="18"/>
    </w:rPr>
  </w:style>
  <w:style w:type="character" w:customStyle="1" w:styleId="Char1">
    <w:name w:val="文档结构图 Char1"/>
    <w:basedOn w:val="DefaultParagraphFont"/>
    <w:uiPriority w:val="99"/>
    <w:semiHidden/>
    <w:qFormat/>
    <w:rPr>
      <w:rFonts w:ascii="宋体" w:eastAsia="宋体"/>
      <w:sz w:val="18"/>
      <w:szCs w:val="18"/>
    </w:rPr>
  </w:style>
  <w:style w:type="character" w:customStyle="1" w:styleId="Char0">
    <w:name w:val="页脚 Char"/>
    <w:link w:val="Footer"/>
    <w:uiPriority w:val="99"/>
    <w:qFormat/>
    <w:rPr>
      <w:sz w:val="18"/>
    </w:rPr>
  </w:style>
  <w:style w:type="character" w:customStyle="1" w:styleId="Char10">
    <w:name w:val="页脚 Char1"/>
    <w:basedOn w:val="DefaultParagraphFont"/>
    <w:uiPriority w:val="99"/>
    <w:semiHidden/>
    <w:qFormat/>
    <w:rPr>
      <w:sz w:val="18"/>
      <w:szCs w:val="18"/>
    </w:rPr>
  </w:style>
  <w:style w:type="character" w:customStyle="1" w:styleId="Char2">
    <w:name w:val="批注文字 Char"/>
    <w:link w:val="CommentText"/>
    <w:qFormat/>
  </w:style>
  <w:style w:type="character" w:customStyle="1" w:styleId="Char11">
    <w:name w:val="批注文字 Char1"/>
    <w:basedOn w:val="DefaultParagraphFont"/>
    <w:uiPriority w:val="99"/>
    <w:semiHidden/>
    <w:qFormat/>
  </w:style>
  <w:style w:type="character" w:customStyle="1" w:styleId="px10">
    <w:name w:val="px_10"/>
    <w:basedOn w:val="DefaultParagraphFont"/>
    <w:qFormat/>
  </w:style>
  <w:style w:type="character" w:customStyle="1" w:styleId="Char3">
    <w:name w:val="批注主题 Char"/>
    <w:link w:val="CommentSubject"/>
    <w:qFormat/>
  </w:style>
  <w:style w:type="character" w:customStyle="1" w:styleId="Char12">
    <w:name w:val="批注主题 Char1"/>
    <w:basedOn w:val="Char11"/>
    <w:uiPriority w:val="99"/>
    <w:semiHidden/>
    <w:qFormat/>
    <w:rPr>
      <w:b/>
      <w:bCs/>
    </w:rPr>
  </w:style>
  <w:style w:type="character" w:customStyle="1" w:styleId="Char4">
    <w:name w:val="批注框文本 Char"/>
    <w:link w:val="BalloonText"/>
    <w:qFormat/>
    <w:rPr>
      <w:sz w:val="18"/>
      <w:szCs w:val="18"/>
    </w:rPr>
  </w:style>
  <w:style w:type="character" w:customStyle="1" w:styleId="Char13">
    <w:name w:val="批注框文本 Char1"/>
    <w:basedOn w:val="DefaultParagraphFont"/>
    <w:uiPriority w:val="99"/>
    <w:semiHidden/>
    <w:qFormat/>
    <w:rPr>
      <w:sz w:val="18"/>
      <w:szCs w:val="18"/>
    </w:rPr>
  </w:style>
  <w:style w:type="character" w:customStyle="1" w:styleId="Char5">
    <w:name w:val="标题 Char"/>
    <w:link w:val="Title"/>
    <w:qFormat/>
    <w:rPr>
      <w:rFonts w:ascii="Cambria" w:hAnsi="Cambria" w:cs="Times New Roman"/>
      <w:b/>
      <w:bCs/>
      <w:sz w:val="32"/>
      <w:szCs w:val="32"/>
    </w:rPr>
  </w:style>
  <w:style w:type="character" w:customStyle="1" w:styleId="Char14">
    <w:name w:val="标题 Char1"/>
    <w:basedOn w:val="DefaultParagraphFont"/>
    <w:uiPriority w:val="10"/>
    <w:qFormat/>
    <w:rPr>
      <w:rFonts w:eastAsia="宋体" w:asciiTheme="majorHAnsi" w:hAnsiTheme="majorHAnsi" w:cstheme="majorBidi"/>
      <w:b/>
      <w:bCs/>
      <w:sz w:val="32"/>
      <w:szCs w:val="32"/>
    </w:rPr>
  </w:style>
  <w:style w:type="character" w:customStyle="1" w:styleId="Char6">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7">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8">
    <w:name w:val="页眉 Char"/>
    <w:basedOn w:val="DefaultParagraphFont"/>
    <w:link w:val="Header"/>
    <w:qFormat/>
    <w:rPr>
      <w:rFonts w:ascii="Times New Roman" w:eastAsia="宋体" w:hAnsi="Times New Roman" w:cs="Times New Roman"/>
      <w:sz w:val="18"/>
      <w:szCs w:val="20"/>
    </w:rPr>
  </w:style>
  <w:style w:type="character" w:customStyle="1" w:styleId="Char9">
    <w:name w:val="日期 Char"/>
    <w:basedOn w:val="DefaultParagraphFont"/>
    <w:link w:val="Date"/>
    <w:qFormat/>
    <w:rPr>
      <w:rFonts w:ascii="宋体" w:eastAsia="宋体" w:hAnsi="Times New Roman" w:cs="Times New Roman"/>
      <w:sz w:val="24"/>
      <w:szCs w:val="20"/>
    </w:rPr>
  </w:style>
  <w:style w:type="paragraph" w:customStyle="1" w:styleId="10">
    <w:name w:val="样式1"/>
    <w:basedOn w:val="Normal"/>
    <w:qFormat/>
    <w:pPr>
      <w:tabs>
        <w:tab w:val="left" w:pos="709"/>
      </w:tabs>
      <w:ind w:left="709" w:hanging="709"/>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5"/>
    <w:qFormat/>
    <w:pPr>
      <w:ind w:firstLine="420" w:firstLineChars="200"/>
    </w:pPr>
    <w:rPr>
      <w:rFonts w:ascii="Times New Roman" w:eastAsia="宋体" w:hAnsi="Times New Roman" w:cs="Times New Roman"/>
      <w:szCs w:val="21"/>
    </w:rPr>
  </w:style>
  <w:style w:type="character" w:customStyle="1" w:styleId="Char15">
    <w:name w:val="列出段落 Char"/>
    <w:link w:val="12"/>
    <w:qFormat/>
    <w:rPr>
      <w:rFonts w:ascii="Times New Roman" w:eastAsia="宋体" w:hAnsi="Times New Roman" w:cs="Times New Roman"/>
      <w:szCs w:val="21"/>
    </w:rPr>
  </w:style>
  <w:style w:type="character" w:customStyle="1" w:styleId="Char16">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99"/>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7">
    <w:name w:val="表格正文 Char"/>
    <w:link w:val="a1"/>
    <w:qFormat/>
  </w:style>
  <w:style w:type="paragraph" w:customStyle="1" w:styleId="a1">
    <w:name w:val="表格正文"/>
    <w:link w:val="Char17"/>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 w:type="character" w:customStyle="1" w:styleId="3Char0">
    <w:name w:val="正文文本 3 Char"/>
    <w:basedOn w:val="DefaultParagraphFont"/>
    <w:link w:val="BodyText3"/>
    <w:uiPriority w:val="99"/>
    <w:qFormat/>
    <w:rPr>
      <w:sz w:val="16"/>
      <w:szCs w:val="16"/>
    </w:rPr>
  </w:style>
  <w:style w:type="character" w:customStyle="1" w:styleId="CharChar">
    <w:name w:val="列出段落 Char Char"/>
    <w:qFormat/>
    <w:rPr>
      <w:rFonts w:ascii="Cambria" w:eastAsia="微软雅黑" w:hAnsi="Cambria"/>
      <w:color w:val="595959"/>
      <w:kern w:val="20"/>
      <w:sz w:val="21"/>
      <w:lang w:val="zh-CN"/>
    </w:rPr>
  </w:style>
  <w:style w:type="character" w:customStyle="1" w:styleId="Char18">
    <w:name w:val="正文文本缩进 Char"/>
    <w:basedOn w:val="DefaultParagraphFont"/>
    <w:link w:val="BodyTextIndent"/>
    <w:uiPriority w:val="99"/>
    <w:semiHidden/>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2.wmf" /><Relationship Id="rId11" Type="http://schemas.openxmlformats.org/officeDocument/2006/relationships/oleObject" Target="embeddings/oleObject2.bin" /><Relationship Id="rId12" Type="http://schemas.openxmlformats.org/officeDocument/2006/relationships/header" Target="header2.xml" /><Relationship Id="rId13" Type="http://schemas.openxmlformats.org/officeDocument/2006/relationships/footer" Target="footer2.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image" Target="media/image1.wmf" /><Relationship Id="rId9" Type="http://schemas.openxmlformats.org/officeDocument/2006/relationships/oleObject" Target="embeddings/oleObject1.bin"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097"/>
    <customShpInfo spid="_x0000_s4098"/>
    <customShpInfo spid="_x0000_s4100"/>
    <customShpInfo spid="_x0000_s4101"/>
    <customShpInfo spid="_x0000_s409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A95F0FE-F3AC-43ED-B26B-E1322DAEF9F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12970</Words>
  <Characters>13876</Characters>
  <Application>Microsoft Office Word</Application>
  <DocSecurity>0</DocSecurity>
  <Lines>426</Lines>
  <Paragraphs>119</Paragraphs>
  <ScaleCrop>false</ScaleCrop>
  <Company/>
  <LinksUpToDate>false</LinksUpToDate>
  <CharactersWithSpaces>14038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257</cp:revision>
  <dcterms:created xsi:type="dcterms:W3CDTF">2025-03-06T07:43:00Z</dcterms:created>
  <dcterms:modified xsi:type="dcterms:W3CDTF">2026-02-02T10:36:11Z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6259A60F4FFD4991AE9ACA0AE7D2AA19_12</vt:lpwstr>
  </property>
  <property fmtid="{D5CDD505-2E9C-101B-9397-08002B2CF9AE}" pid="3" name="KSOProductBuildVer">
    <vt:lpwstr>2052-12.1.0.24657</vt:lpwstr>
  </property>
  <property fmtid="{D5CDD505-2E9C-101B-9397-08002B2CF9AE}" pid="4" name="KSOTemplateDocerSaveRecord">
    <vt:lpwstr>eyJoZGlkIjoiM2FkMjdjNjAxZjdmYjI5MjMyNmE5MTA5ZjJkMDM4NmEiLCJ1c2VySWQiOiI0MTI2MjIxMDYifQ==</vt:lpwstr>
  </property>
</Properties>
</file>