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湖北省通量观测仪</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ZQCD-25246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湖北省气象信息与技术保障中心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湖北省通量观测仪</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ZQCD-25246</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湖北</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2025年08月25日 00:00:00</w:t>
      </w:r>
      <w:bookmarkEnd w:id="26"/>
      <w:r>
        <w:rPr>
          <w:rFonts w:ascii="宋体" w:hint="eastAsia"/>
          <w:szCs w:val="21"/>
          <w:highlight w:val="none"/>
        </w:rPr>
        <w:t>至</w:t>
      </w:r>
      <w:bookmarkStart w:id="27" w:name="项目公告_signUpLastTime"/>
      <w:r>
        <w:rPr>
          <w:rFonts w:ascii="宋体" w:hint="eastAsia"/>
          <w:szCs w:val="21"/>
          <w:highlight w:val="none"/>
        </w:rPr>
        <w:t>2025年09月01日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2025年09月18日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湖北省气象信息与技术保障中心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田丹</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027-67848019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湖北省武汉市洪山区东湖东路3号湖北省气象局</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湖北省气象信息与技术保障中心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不允许（仅针对以下产品：通量观测仪（水、二氧化碳气体分析仪加三维超声风）不允许代理商投标）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进口产品制造商授权书</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必须，以下产品需要提供至投标截止日仍有效的《气象专用技术装备使用许可证》：通量观测仪（水、二氧化碳气体分析仪加三维超声风）</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（1）标的：通量观测仪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是，中标服务费：3.3万元。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330.000000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330.000000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290"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1296"/>
        <w:gridCol w:w="254"/>
        <w:gridCol w:w="71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销售合同必须包括通量观测仪，每提供1份合同得1分，最多得5分。否则不得分。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针对本项目采购的通量观测仪，承诺每提前10天交货的得0.5分，最多得1分。否则不得分。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针对通量观测仪设备，每提供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2、除项目经理外至少5人具有2年及以上相关工作经验的，得2分；否则不得分。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针对通量观测仪设备，测试报告应涵盖自然环境、探测环境（环境指标）等内容，每包含一项得1.5分，最多得3分。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29"/>
        <w:gridCol w:w="694"/>
        <w:gridCol w:w="2375"/>
        <w:gridCol w:w="5470"/>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blHeader/>
          <w:jc w:val="center"/>
        </w:trPr>
        <w:tc>
          <w:tcPr>
            <w:tcW w:w="393" w:type="pct"/>
            <w:vAlign w:val="center"/>
          </w:tcPr>
          <w:p>
            <w:pPr>
              <w:rPr>
                <w:rFonts w:ascii="仿宋" w:eastAsia="仿宋" w:hAnsi="仿宋" w:cs="仿宋" w:hint="eastAsia"/>
                <w:b/>
                <w:bCs/>
              </w:rPr>
            </w:pPr>
            <w:r>
              <w:rPr>
                <w:rFonts w:ascii="仿宋" w:eastAsia="仿宋" w:hAnsi="仿宋" w:cs="仿宋" w:hint="eastAsia"/>
                <w:b/>
                <w:bCs/>
                <w:sz w:val="24"/>
              </w:rPr>
              <w:t>序号</w:t>
            </w:r>
          </w:p>
        </w:tc>
        <w:tc>
          <w:tcPr>
            <w:tcW w:w="1655" w:type="pct"/>
            <w:gridSpan w:val="2"/>
            <w:vAlign w:val="center"/>
          </w:tcPr>
          <w:p>
            <w:pPr>
              <w:jc w:val="center"/>
              <w:rPr>
                <w:rFonts w:ascii="仿宋" w:eastAsia="仿宋" w:hAnsi="仿宋" w:cs="仿宋" w:hint="eastAsia"/>
                <w:b/>
                <w:bCs/>
              </w:rPr>
            </w:pPr>
            <w:r>
              <w:rPr>
                <w:rFonts w:ascii="仿宋" w:eastAsia="仿宋" w:hAnsi="仿宋" w:cs="仿宋" w:hint="eastAsia"/>
                <w:b/>
                <w:bCs/>
                <w:sz w:val="24"/>
              </w:rPr>
              <w:t>名称</w:t>
            </w:r>
          </w:p>
        </w:tc>
        <w:tc>
          <w:tcPr>
            <w:tcW w:w="2950" w:type="pct"/>
            <w:vAlign w:val="center"/>
          </w:tcPr>
          <w:p>
            <w:pPr>
              <w:jc w:val="center"/>
              <w:rPr>
                <w:rFonts w:ascii="仿宋" w:eastAsia="仿宋" w:hAnsi="仿宋" w:cs="仿宋" w:hint="eastAsia"/>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PrEx>
        <w:trPr>
          <w:trHeight w:val="2280"/>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restart"/>
            <w:vAlign w:val="center"/>
          </w:tcPr>
          <w:p>
            <w:pPr>
              <w:rPr>
                <w:rFonts w:ascii="仿宋" w:eastAsia="仿宋" w:hAnsi="仿宋" w:cs="仿宋" w:hint="eastAsia"/>
              </w:rPr>
            </w:pPr>
            <w:r>
              <w:rPr>
                <w:rFonts w:ascii="仿宋" w:eastAsia="仿宋" w:hAnsi="仿宋" w:cs="仿宋" w:hint="eastAsia"/>
                <w:color w:val="000000"/>
                <w:kern w:val="0"/>
                <w:sz w:val="24"/>
              </w:rPr>
              <w:t>通量观测仪</w:t>
            </w:r>
          </w:p>
        </w:tc>
        <w:tc>
          <w:tcPr>
            <w:tcW w:w="1280" w:type="pct"/>
            <w:vAlign w:val="center"/>
          </w:tcPr>
          <w:p>
            <w:pPr>
              <w:rPr>
                <w:rFonts w:ascii="仿宋" w:eastAsia="仿宋" w:hAnsi="仿宋" w:cs="仿宋" w:hint="eastAsia"/>
              </w:rPr>
            </w:pPr>
            <w:r>
              <w:rPr>
                <w:rFonts w:ascii="仿宋" w:eastAsia="仿宋" w:hAnsi="仿宋" w:cs="仿宋" w:hint="eastAsia"/>
                <w:sz w:val="24"/>
              </w:rPr>
              <w:t>红外CO</w:t>
            </w:r>
            <w:r>
              <w:rPr>
                <w:rFonts w:ascii="仿宋" w:eastAsia="仿宋" w:hAnsi="仿宋" w:cs="仿宋" w:hint="eastAsia"/>
                <w:sz w:val="24"/>
                <w:vertAlign w:val="subscript"/>
              </w:rPr>
              <w:t>2</w:t>
            </w: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O分析仪</w:t>
            </w:r>
          </w:p>
        </w:tc>
        <w:tc>
          <w:tcPr>
            <w:tcW w:w="2950" w:type="pct"/>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#测量范围：CO</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浓度：0～1000μmol/mol，H</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O浓度：0～72mmol/mol</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分辨力：CO</w:t>
            </w:r>
            <w:r>
              <w:rPr>
                <w:rFonts w:ascii="仿宋" w:eastAsia="仿宋" w:hAnsi="仿宋" w:cs="仿宋" w:hint="eastAsia"/>
                <w:sz w:val="24"/>
                <w:szCs w:val="24"/>
                <w:vertAlign w:val="subscript"/>
              </w:rPr>
              <w:t>2</w:t>
            </w:r>
            <w:r>
              <w:rPr>
                <w:rFonts w:ascii="仿宋" w:eastAsia="仿宋" w:hAnsi="仿宋" w:cs="仿宋" w:hint="eastAsia"/>
                <w:sz w:val="24"/>
                <w:szCs w:val="24"/>
              </w:rPr>
              <w:t>：0.15μmol/mol，H</w:t>
            </w:r>
            <w:r>
              <w:rPr>
                <w:rFonts w:ascii="仿宋" w:eastAsia="仿宋" w:hAnsi="仿宋" w:cs="仿宋" w:hint="eastAsia"/>
                <w:sz w:val="24"/>
                <w:szCs w:val="24"/>
                <w:vertAlign w:val="subscript"/>
              </w:rPr>
              <w:t>2</w:t>
            </w:r>
            <w:r>
              <w:rPr>
                <w:rFonts w:ascii="仿宋" w:eastAsia="仿宋" w:hAnsi="仿宋" w:cs="仿宋" w:hint="eastAsia"/>
                <w:sz w:val="24"/>
                <w:szCs w:val="24"/>
              </w:rPr>
              <w:t>O：0.006mmol/mol</w:t>
            </w:r>
          </w:p>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#最大允许误差：CO</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：1%，H</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O：2%</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rPr>
                <w:rFonts w:ascii="仿宋" w:eastAsia="仿宋" w:hAnsi="仿宋" w:cs="仿宋" w:hint="eastAsia"/>
              </w:rPr>
            </w:pPr>
            <w:r>
              <w:rPr>
                <w:rFonts w:ascii="仿宋" w:eastAsia="仿宋" w:hAnsi="仿宋" w:cs="仿宋" w:hint="eastAsia"/>
                <w:sz w:val="24"/>
              </w:rPr>
              <w:t>接口标准：SDM/RS485</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0" w:type="pct"/>
            <w:vAlign w:val="center"/>
          </w:tcPr>
          <w:p>
            <w:pPr>
              <w:rPr>
                <w:rFonts w:ascii="仿宋" w:eastAsia="仿宋" w:hAnsi="仿宋" w:cs="仿宋" w:hint="eastAsia"/>
              </w:rPr>
            </w:pPr>
            <w:r>
              <w:rPr>
                <w:rFonts w:ascii="仿宋" w:eastAsia="仿宋" w:hAnsi="仿宋" w:cs="仿宋" w:hint="eastAsia"/>
                <w:sz w:val="24"/>
              </w:rPr>
              <w:t>三维超声风传感器</w:t>
            </w:r>
          </w:p>
        </w:tc>
        <w:tc>
          <w:tcPr>
            <w:tcW w:w="2950" w:type="pct"/>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测量范围：Ux风速：±60m/s，Uy风速：±60m/s，Uz风速：±8m/s</w:t>
            </w:r>
          </w:p>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#分辨力：0.1m/s</w:t>
            </w:r>
          </w:p>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#最大允许误差：±3%</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rPr>
                <w:rFonts w:ascii="仿宋" w:eastAsia="仿宋" w:hAnsi="仿宋" w:cs="仿宋" w:hint="eastAsia"/>
              </w:rPr>
            </w:pPr>
            <w:r>
              <w:rPr>
                <w:rFonts w:ascii="仿宋" w:eastAsia="仿宋" w:hAnsi="仿宋" w:cs="仿宋" w:hint="eastAsia"/>
                <w:sz w:val="24"/>
              </w:rPr>
              <w:t>接口标准：SDM/RS485</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0" w:type="pct"/>
            <w:vAlign w:val="center"/>
          </w:tcPr>
          <w:p>
            <w:pPr>
              <w:rPr>
                <w:rFonts w:ascii="仿宋" w:eastAsia="仿宋" w:hAnsi="仿宋" w:cs="仿宋" w:hint="eastAsia"/>
              </w:rPr>
            </w:pPr>
            <w:r>
              <w:rPr>
                <w:rFonts w:ascii="仿宋" w:eastAsia="仿宋" w:hAnsi="仿宋" w:cs="仿宋" w:hint="eastAsia"/>
                <w:sz w:val="24"/>
              </w:rPr>
              <w:t>气压传感器</w:t>
            </w:r>
          </w:p>
        </w:tc>
        <w:tc>
          <w:tcPr>
            <w:tcW w:w="2950" w:type="pct"/>
            <w:vAlign w:val="center"/>
          </w:tcPr>
          <w:p>
            <w:pPr>
              <w:rPr>
                <w:rFonts w:ascii="仿宋" w:eastAsia="仿宋" w:hAnsi="仿宋" w:cs="仿宋" w:hint="eastAsia"/>
              </w:rPr>
            </w:pPr>
            <w:r>
              <w:rPr>
                <w:rFonts w:ascii="仿宋" w:eastAsia="仿宋" w:hAnsi="仿宋" w:cs="仿宋" w:hint="eastAsia"/>
                <w:sz w:val="24"/>
              </w:rPr>
              <w:t>测量范围：500hPa～1100hPa</w:t>
            </w:r>
          </w:p>
          <w:p>
            <w:pPr>
              <w:rPr>
                <w:rFonts w:ascii="仿宋" w:eastAsia="仿宋" w:hAnsi="仿宋" w:cs="仿宋" w:hint="eastAsia"/>
                <w:highlight w:val="yellow"/>
              </w:rPr>
            </w:pPr>
            <w:r>
              <w:rPr>
                <w:rFonts w:ascii="仿宋" w:eastAsia="仿宋" w:hAnsi="仿宋" w:cs="仿宋" w:hint="eastAsia"/>
                <w:sz w:val="24"/>
                <w:highlight w:val="yellow"/>
              </w:rPr>
              <w:t>#分辨力：0.1hP</w:t>
            </w:r>
          </w:p>
          <w:p>
            <w:pPr>
              <w:rPr>
                <w:rFonts w:ascii="仿宋" w:eastAsia="仿宋" w:hAnsi="仿宋" w:cs="仿宋" w:hint="eastAsia"/>
                <w:highlight w:val="yellow"/>
              </w:rPr>
            </w:pPr>
            <w:r>
              <w:rPr>
                <w:rFonts w:ascii="仿宋" w:eastAsia="仿宋" w:hAnsi="仿宋" w:cs="仿宋" w:hint="eastAsia"/>
                <w:sz w:val="24"/>
                <w:highlight w:val="yellow"/>
              </w:rPr>
              <w:t>#最大允许误差：±0.3hPa</w:t>
            </w:r>
          </w:p>
          <w:p>
            <w:pPr>
              <w:rPr>
                <w:rFonts w:ascii="仿宋" w:eastAsia="仿宋" w:hAnsi="仿宋" w:cs="仿宋" w:hint="eastAsia"/>
              </w:rPr>
            </w:pPr>
            <w:r>
              <w:rPr>
                <w:rFonts w:ascii="仿宋" w:eastAsia="仿宋" w:hAnsi="仿宋" w:cs="仿宋" w:hint="eastAsia"/>
                <w:sz w:val="24"/>
              </w:rPr>
              <w:t>信号输出方式：数字型传感器</w:t>
            </w:r>
          </w:p>
          <w:p>
            <w:pPr>
              <w:rPr>
                <w:rFonts w:ascii="仿宋" w:eastAsia="仿宋" w:hAnsi="仿宋" w:cs="仿宋" w:hint="eastAsia"/>
              </w:rPr>
            </w:pPr>
            <w:r>
              <w:rPr>
                <w:rFonts w:ascii="仿宋" w:eastAsia="仿宋" w:hAnsi="仿宋" w:cs="仿宋" w:hint="eastAsia"/>
                <w:sz w:val="24"/>
              </w:rPr>
              <w:t>接口标准：SDM/RSRS232</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0" w:type="pct"/>
            <w:vAlign w:val="center"/>
          </w:tcPr>
          <w:p>
            <w:pPr>
              <w:rPr>
                <w:rFonts w:ascii="仿宋" w:eastAsia="仿宋" w:hAnsi="仿宋" w:cs="仿宋" w:hint="eastAsia"/>
              </w:rPr>
            </w:pPr>
            <w:r>
              <w:rPr>
                <w:rFonts w:ascii="仿宋" w:eastAsia="仿宋" w:hAnsi="仿宋" w:cs="仿宋" w:hint="eastAsia"/>
                <w:sz w:val="24"/>
              </w:rPr>
              <w:t>空气温湿度传感器</w:t>
            </w:r>
          </w:p>
        </w:tc>
        <w:tc>
          <w:tcPr>
            <w:tcW w:w="2950" w:type="pct"/>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测量范围：气温：－50℃～50℃，相对湿度：0%～100%</w:t>
            </w:r>
          </w:p>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分辨力：#</w:t>
            </w:r>
            <w:r>
              <w:rPr>
                <w:rFonts w:ascii="仿宋" w:eastAsia="仿宋" w:hAnsi="仿宋" w:cs="仿宋" w:hint="eastAsia"/>
                <w:sz w:val="24"/>
                <w:szCs w:val="24"/>
                <w:highlight w:val="yellow"/>
              </w:rPr>
              <w:t>气温：0.1℃，#相对湿度：1%</w:t>
            </w:r>
          </w:p>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rPr>
              <w:t>最大允许误差：</w:t>
            </w:r>
            <w:r>
              <w:rPr>
                <w:rFonts w:ascii="仿宋" w:eastAsia="仿宋" w:hAnsi="仿宋" w:cs="仿宋" w:hint="eastAsia"/>
                <w:sz w:val="24"/>
                <w:szCs w:val="24"/>
                <w:highlight w:val="yellow"/>
              </w:rPr>
              <w:t>#气温：±0.2℃，#相对湿度：±3%（≤80%）±5%（＞80%）</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rPr>
                <w:rFonts w:ascii="仿宋" w:eastAsia="仿宋" w:hAnsi="仿宋" w:cs="仿宋" w:hint="eastAsia"/>
              </w:rPr>
            </w:pPr>
            <w:r>
              <w:rPr>
                <w:rFonts w:ascii="仿宋" w:eastAsia="仿宋" w:hAnsi="仿宋" w:cs="仿宋" w:hint="eastAsia"/>
                <w:sz w:val="24"/>
              </w:rPr>
              <w:t>接口标准：RS232/四线制电阻</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0" w:type="pct"/>
            <w:vAlign w:val="center"/>
          </w:tcPr>
          <w:p>
            <w:pPr>
              <w:rPr>
                <w:rFonts w:ascii="仿宋" w:eastAsia="仿宋" w:hAnsi="仿宋" w:cs="仿宋" w:hint="eastAsia"/>
              </w:rPr>
            </w:pPr>
            <w:r>
              <w:rPr>
                <w:rFonts w:ascii="仿宋" w:eastAsia="仿宋" w:hAnsi="仿宋" w:cs="仿宋" w:hint="eastAsia"/>
                <w:sz w:val="24"/>
              </w:rPr>
              <w:t>状态监测传感器</w:t>
            </w:r>
          </w:p>
        </w:tc>
        <w:tc>
          <w:tcPr>
            <w:tcW w:w="2950" w:type="pct"/>
            <w:vAlign w:val="center"/>
          </w:tcPr>
          <w:p>
            <w:pPr>
              <w:snapToGrid w:val="0"/>
              <w:rPr>
                <w:rFonts w:ascii="仿宋" w:eastAsia="仿宋" w:hAnsi="仿宋" w:cs="仿宋" w:hint="eastAsia"/>
              </w:rPr>
            </w:pPr>
            <w:r>
              <w:rPr>
                <w:rFonts w:ascii="仿宋" w:eastAsia="仿宋" w:hAnsi="仿宋" w:cs="仿宋" w:hint="eastAsia"/>
                <w:sz w:val="24"/>
              </w:rPr>
              <w:t>输出图像格式：JPG或TIF等；</w:t>
            </w:r>
          </w:p>
          <w:p>
            <w:pPr>
              <w:snapToGrid w:val="0"/>
              <w:rPr>
                <w:rFonts w:ascii="仿宋" w:eastAsia="仿宋" w:hAnsi="仿宋" w:cs="仿宋" w:hint="eastAsia"/>
              </w:rPr>
            </w:pPr>
            <w:r>
              <w:rPr>
                <w:rFonts w:ascii="仿宋" w:eastAsia="仿宋" w:hAnsi="仿宋" w:cs="仿宋" w:hint="eastAsia"/>
                <w:sz w:val="24"/>
              </w:rPr>
              <w:t>有效分辨率：≥400万像素；</w:t>
            </w:r>
          </w:p>
          <w:p>
            <w:pPr>
              <w:snapToGrid w:val="0"/>
              <w:rPr>
                <w:rFonts w:ascii="仿宋" w:eastAsia="仿宋" w:hAnsi="仿宋" w:cs="仿宋" w:hint="eastAsia"/>
              </w:rPr>
            </w:pPr>
            <w:r>
              <w:rPr>
                <w:rFonts w:ascii="仿宋" w:eastAsia="仿宋" w:hAnsi="仿宋" w:cs="仿宋" w:hint="eastAsia"/>
                <w:sz w:val="24"/>
              </w:rPr>
              <w:t>采集高度：与红外CO</w:t>
            </w:r>
            <w:r>
              <w:rPr>
                <w:rFonts w:ascii="仿宋" w:eastAsia="仿宋" w:hAnsi="仿宋" w:cs="仿宋" w:hint="eastAsia"/>
                <w:kern w:val="0"/>
                <w:sz w:val="24"/>
                <w:vertAlign w:val="subscript"/>
              </w:rPr>
              <w:t>2</w:t>
            </w:r>
            <w:r>
              <w:rPr>
                <w:rFonts w:ascii="仿宋" w:eastAsia="仿宋" w:hAnsi="仿宋" w:cs="仿宋" w:hint="eastAsia"/>
                <w:sz w:val="24"/>
              </w:rPr>
              <w:t>/H</w:t>
            </w:r>
            <w:r>
              <w:rPr>
                <w:rFonts w:ascii="仿宋" w:eastAsia="仿宋" w:hAnsi="仿宋" w:cs="仿宋" w:hint="eastAsia"/>
                <w:kern w:val="0"/>
                <w:sz w:val="24"/>
                <w:vertAlign w:val="subscript"/>
              </w:rPr>
              <w:t>2</w:t>
            </w:r>
            <w:r>
              <w:rPr>
                <w:rFonts w:ascii="仿宋" w:eastAsia="仿宋" w:hAnsi="仿宋" w:cs="仿宋" w:hint="eastAsia"/>
                <w:sz w:val="24"/>
              </w:rPr>
              <w:t>O分析仪安装高度相同；</w:t>
            </w:r>
          </w:p>
          <w:p>
            <w:pPr>
              <w:snapToGrid w:val="0"/>
              <w:rPr>
                <w:rFonts w:ascii="仿宋" w:eastAsia="仿宋" w:hAnsi="仿宋" w:cs="仿宋" w:hint="eastAsia"/>
              </w:rPr>
            </w:pPr>
            <w:r>
              <w:rPr>
                <w:rFonts w:ascii="仿宋" w:eastAsia="仿宋" w:hAnsi="仿宋" w:cs="仿宋" w:hint="eastAsia"/>
                <w:sz w:val="24"/>
              </w:rPr>
              <w:t>拍摄目标面积：≥2 m</w:t>
            </w:r>
            <w:r>
              <w:rPr>
                <w:rFonts w:ascii="仿宋" w:eastAsia="仿宋" w:hAnsi="仿宋" w:cs="仿宋" w:hint="eastAsia"/>
                <w:sz w:val="24"/>
                <w:vertAlign w:val="superscript"/>
              </w:rPr>
              <w:t>2</w:t>
            </w:r>
            <w:r>
              <w:rPr>
                <w:rFonts w:ascii="仿宋" w:eastAsia="仿宋" w:hAnsi="仿宋" w:cs="仿宋" w:hint="eastAsia"/>
                <w:sz w:val="24"/>
              </w:rPr>
              <w:t>；</w:t>
            </w:r>
          </w:p>
          <w:p>
            <w:pPr>
              <w:snapToGrid w:val="0"/>
              <w:rPr>
                <w:rFonts w:ascii="仿宋" w:eastAsia="仿宋" w:hAnsi="仿宋" w:cs="仿宋" w:hint="eastAsia"/>
              </w:rPr>
            </w:pPr>
            <w:r>
              <w:rPr>
                <w:rFonts w:ascii="仿宋" w:eastAsia="仿宋" w:hAnsi="仿宋" w:cs="仿宋" w:hint="eastAsia"/>
                <w:sz w:val="24"/>
              </w:rPr>
              <w:t>采集频率，每天自动采集次数不少于2次（固定图像采集时次为10:00和15:00），可根据业务需要，实时增加图像采集频次。</w:t>
            </w:r>
          </w:p>
          <w:p>
            <w:pPr>
              <w:shd w:val="clear" w:color="auto" w:fill="FFFFFF"/>
              <w:snapToGrid w:val="0"/>
              <w:contextualSpacing/>
              <w:rPr>
                <w:rFonts w:ascii="仿宋" w:eastAsia="仿宋" w:hAnsi="仿宋" w:cs="仿宋" w:hint="eastAsia"/>
              </w:rPr>
            </w:pPr>
            <w:r>
              <w:rPr>
                <w:rFonts w:ascii="仿宋" w:eastAsia="仿宋" w:hAnsi="仿宋" w:cs="仿宋" w:hint="eastAsia"/>
                <w:sz w:val="24"/>
              </w:rPr>
              <w:t>信号输出方式：数字型传感器，接口标准：RJ45。</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0" w:type="pct"/>
            <w:vAlign w:val="center"/>
          </w:tcPr>
          <w:p>
            <w:pPr>
              <w:rPr>
                <w:rFonts w:ascii="仿宋" w:eastAsia="仿宋" w:hAnsi="仿宋" w:cs="仿宋" w:hint="eastAsia"/>
              </w:rPr>
            </w:pPr>
            <w:r>
              <w:rPr>
                <w:rFonts w:ascii="仿宋" w:eastAsia="仿宋" w:hAnsi="仿宋" w:cs="仿宋" w:hint="eastAsia"/>
                <w:sz w:val="24"/>
              </w:rPr>
              <w:t>下垫面传感器</w:t>
            </w:r>
          </w:p>
        </w:tc>
        <w:tc>
          <w:tcPr>
            <w:tcW w:w="2950" w:type="pct"/>
            <w:vAlign w:val="center"/>
          </w:tcPr>
          <w:p>
            <w:pPr>
              <w:snapToGrid w:val="0"/>
              <w:rPr>
                <w:rFonts w:ascii="仿宋" w:eastAsia="仿宋" w:hAnsi="仿宋" w:cs="仿宋" w:hint="eastAsia"/>
              </w:rPr>
            </w:pPr>
            <w:r>
              <w:rPr>
                <w:rFonts w:ascii="仿宋" w:eastAsia="仿宋" w:hAnsi="仿宋" w:cs="仿宋" w:hint="eastAsia"/>
                <w:sz w:val="24"/>
              </w:rPr>
              <w:t>输出图像格式：JPG或TIF等；</w:t>
            </w:r>
          </w:p>
          <w:p>
            <w:pPr>
              <w:snapToGrid w:val="0"/>
              <w:rPr>
                <w:rFonts w:ascii="仿宋" w:eastAsia="仿宋" w:hAnsi="仿宋" w:cs="仿宋" w:hint="eastAsia"/>
              </w:rPr>
            </w:pPr>
            <w:r>
              <w:rPr>
                <w:rFonts w:ascii="仿宋" w:eastAsia="仿宋" w:hAnsi="仿宋" w:cs="仿宋" w:hint="eastAsia"/>
                <w:sz w:val="24"/>
              </w:rPr>
              <w:t>有效分辨率：≥400万像素；</w:t>
            </w:r>
          </w:p>
          <w:p>
            <w:pPr>
              <w:snapToGrid w:val="0"/>
              <w:rPr>
                <w:rFonts w:ascii="仿宋" w:eastAsia="仿宋" w:hAnsi="仿宋" w:cs="仿宋" w:hint="eastAsia"/>
              </w:rPr>
            </w:pPr>
            <w:r>
              <w:rPr>
                <w:rFonts w:ascii="仿宋" w:eastAsia="仿宋" w:hAnsi="仿宋" w:cs="仿宋" w:hint="eastAsia"/>
                <w:sz w:val="24"/>
              </w:rPr>
              <w:t>采集高度：与红外CO</w:t>
            </w:r>
            <w:r>
              <w:rPr>
                <w:rFonts w:ascii="仿宋" w:eastAsia="仿宋" w:hAnsi="仿宋" w:cs="仿宋" w:hint="eastAsia"/>
                <w:kern w:val="0"/>
                <w:sz w:val="24"/>
                <w:vertAlign w:val="subscript"/>
              </w:rPr>
              <w:t>2</w:t>
            </w:r>
            <w:r>
              <w:rPr>
                <w:rFonts w:ascii="仿宋" w:eastAsia="仿宋" w:hAnsi="仿宋" w:cs="仿宋" w:hint="eastAsia"/>
                <w:sz w:val="24"/>
              </w:rPr>
              <w:t>/H</w:t>
            </w:r>
            <w:r>
              <w:rPr>
                <w:rFonts w:ascii="仿宋" w:eastAsia="仿宋" w:hAnsi="仿宋" w:cs="仿宋" w:hint="eastAsia"/>
                <w:kern w:val="0"/>
                <w:sz w:val="24"/>
                <w:vertAlign w:val="subscript"/>
              </w:rPr>
              <w:t>2</w:t>
            </w:r>
            <w:r>
              <w:rPr>
                <w:rFonts w:ascii="仿宋" w:eastAsia="仿宋" w:hAnsi="仿宋" w:cs="仿宋" w:hint="eastAsia"/>
                <w:sz w:val="24"/>
              </w:rPr>
              <w:t>O分析仪安装高度相同；</w:t>
            </w:r>
          </w:p>
          <w:p>
            <w:pPr>
              <w:snapToGrid w:val="0"/>
              <w:rPr>
                <w:rFonts w:ascii="仿宋" w:eastAsia="仿宋" w:hAnsi="仿宋" w:cs="仿宋" w:hint="eastAsia"/>
              </w:rPr>
            </w:pPr>
            <w:r>
              <w:rPr>
                <w:rFonts w:ascii="仿宋" w:eastAsia="仿宋" w:hAnsi="仿宋" w:cs="仿宋" w:hint="eastAsia"/>
                <w:sz w:val="24"/>
              </w:rPr>
              <w:t>拍摄角度：镜头中心延长线与地面垂直间的夹角不大于45度；</w:t>
            </w:r>
          </w:p>
          <w:p>
            <w:pPr>
              <w:snapToGrid w:val="0"/>
              <w:rPr>
                <w:rFonts w:ascii="仿宋" w:eastAsia="仿宋" w:hAnsi="仿宋" w:cs="仿宋" w:hint="eastAsia"/>
              </w:rPr>
            </w:pPr>
            <w:r>
              <w:rPr>
                <w:rFonts w:ascii="仿宋" w:eastAsia="仿宋" w:hAnsi="仿宋" w:cs="仿宋" w:hint="eastAsia"/>
                <w:sz w:val="24"/>
              </w:rPr>
              <w:t>拍摄目标面积：≥5 m</w:t>
            </w:r>
            <w:r>
              <w:rPr>
                <w:rFonts w:ascii="仿宋" w:eastAsia="仿宋" w:hAnsi="仿宋" w:cs="仿宋" w:hint="eastAsia"/>
                <w:sz w:val="24"/>
                <w:vertAlign w:val="superscript"/>
              </w:rPr>
              <w:t>2</w:t>
            </w:r>
            <w:r>
              <w:rPr>
                <w:rFonts w:ascii="仿宋" w:eastAsia="仿宋" w:hAnsi="仿宋" w:cs="仿宋" w:hint="eastAsia"/>
                <w:sz w:val="24"/>
              </w:rPr>
              <w:t>；</w:t>
            </w:r>
          </w:p>
          <w:p>
            <w:pPr>
              <w:snapToGrid w:val="0"/>
              <w:rPr>
                <w:rFonts w:ascii="仿宋" w:eastAsia="仿宋" w:hAnsi="仿宋" w:cs="仿宋" w:hint="eastAsia"/>
              </w:rPr>
            </w:pPr>
            <w:r>
              <w:rPr>
                <w:rFonts w:ascii="仿宋" w:eastAsia="仿宋" w:hAnsi="仿宋" w:cs="仿宋" w:hint="eastAsia"/>
                <w:sz w:val="24"/>
              </w:rPr>
              <w:t>采集频率，每天自动采集次数不少于2次（固定图像采集时次为10:00和15:00），可根据业务需要，实时增加图像采集频次。</w:t>
            </w:r>
          </w:p>
          <w:p>
            <w:pPr>
              <w:shd w:val="clear" w:color="auto" w:fill="FFFFFF"/>
              <w:snapToGrid w:val="0"/>
              <w:contextualSpacing/>
              <w:rPr>
                <w:rFonts w:ascii="仿宋" w:eastAsia="仿宋" w:hAnsi="仿宋" w:cs="仿宋" w:hint="eastAsia"/>
              </w:rPr>
            </w:pPr>
            <w:r>
              <w:rPr>
                <w:rFonts w:ascii="仿宋" w:eastAsia="仿宋" w:hAnsi="仿宋" w:cs="仿宋" w:hint="eastAsia"/>
                <w:sz w:val="24"/>
              </w:rPr>
              <w:t>信号输出方式：数字型传感器，接口标准：RJ45。</w:t>
            </w:r>
          </w:p>
        </w:tc>
      </w:tr>
    </w:tbl>
    <w:p>
      <w:pPr>
        <w:widowControl/>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（2）在质保期内，设备供应商服务时间应为7×24小时，当投标产品或软件遭到损坏或出现故障时，要在用户报修之时起4小时内做出响应，开展维修维护工作，视情况双方协商设备恢复正常运行时限。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参照功能规格需求书、测试大纲，以及中国气象局最新业务管理规定等有关文件要求开展检验考核。</w:t>
      </w:r>
    </w:p>
    <w:p>
      <w:pPr>
        <w:ind w:firstLine="560" w:firstLineChars="200"/>
        <w:rPr>
          <w:rFonts w:ascii="仿宋" w:eastAsia="仿宋" w:hAnsi="仿宋" w:cs="仿宋"/>
          <w:sz w:val="28"/>
          <w:szCs w:val="20"/>
        </w:rPr>
      </w:pPr>
      <w:r>
        <w:rPr>
          <w:rFonts w:ascii="仿宋" w:eastAsia="仿宋" w:hAnsi="仿宋" w:cs="仿宋" w:hint="eastAsia"/>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ind w:firstLine="560" w:firstLineChars="200"/>
        <w:rPr>
          <w:rFonts w:ascii="仿宋" w:eastAsia="仿宋" w:hAnsi="仿宋" w:cs="仿宋"/>
          <w:sz w:val="28"/>
          <w:szCs w:val="20"/>
        </w:rPr>
      </w:pPr>
      <w:r>
        <w:rPr>
          <w:rFonts w:ascii="仿宋" w:eastAsia="仿宋" w:hAnsi="仿宋" w:cs="仿宋" w:hint="eastAsia"/>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ascii="仿宋" w:eastAsia="仿宋" w:hAnsi="仿宋" w:cs="仿宋"/>
          <w:sz w:val="28"/>
          <w:szCs w:val="20"/>
        </w:rPr>
      </w:pPr>
      <w:r>
        <w:rPr>
          <w:rFonts w:ascii="仿宋" w:eastAsia="仿宋" w:hAnsi="仿宋" w:cs="仿宋" w:hint="eastAsia"/>
          <w:sz w:val="28"/>
          <w:szCs w:val="20"/>
        </w:rPr>
        <w:t>（3）设备经过3个月试运行期，达到功能规格需求书的要求时，可进行最终验收。在试运行期间，由于设备质量等造成某些指标达不到要求，允许中标人更换或进行修复，但试运行期另加3个月。</w:t>
      </w:r>
    </w:p>
    <w:p>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中标人已提供合同中签署的全部货物及完整技术资料；</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货物符合技术规格，性能满足要求；</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sectPr>
          <w:pgSz w:w="11906" w:h="16838"/>
          <w:pgMar w:top="2154" w:right="1474" w:bottom="2041" w:left="1587" w:header="709" w:footer="1417" w:gutter="0"/>
          <w:cols w:num="1" w:space="708"/>
          <w:docGrid w:type="linesAndChars" w:linePitch="579" w:charSpace="-849"/>
        </w:sectPr>
      </w:pP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rPr>
          <w:rFonts w:ascii="仿宋" w:eastAsia="仿宋" w:hAnsi="仿宋" w:cs="仿宋" w:hint="eastAsia"/>
          <w:sz w:val="28"/>
          <w:szCs w:val="28"/>
        </w:rPr>
      </w:pPr>
    </w:p>
    <w:p>
      <w:pPr>
        <w:spacing w:line="560" w:lineRule="exact"/>
        <w:jc w:val="both"/>
        <w:outlineLvl w:val="1"/>
        <w:rPr>
          <w:rFonts w:ascii="黑体" w:eastAsia="黑体" w:hAnsi="黑体" w:hint="eastAsia"/>
          <w:bCs/>
          <w:snapToGrid w:val="0"/>
          <w:kern w:val="0"/>
          <w:sz w:val="44"/>
          <w:szCs w:val="44"/>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82"/>
        <w:gridCol w:w="1294"/>
        <w:gridCol w:w="1089"/>
        <w:gridCol w:w="1496"/>
        <w:gridCol w:w="1706"/>
        <w:gridCol w:w="1135"/>
        <w:gridCol w:w="92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通量观测仪</w:t>
            </w:r>
          </w:p>
        </w:tc>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3,300,000.00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3,300,000.00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11"/>
        <w:gridCol w:w="937"/>
        <w:gridCol w:w="805"/>
        <w:gridCol w:w="411"/>
        <w:gridCol w:w="937"/>
        <w:gridCol w:w="781"/>
        <w:gridCol w:w="674"/>
        <w:gridCol w:w="356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信息保障中心</w:t>
            </w:r>
          </w:p>
        </w:tc>
        <w:tc>
          <w:tcPr/>
          <w:p>
            <w:r>
              <w:t>通量观测仪</w:t>
            </w:r>
          </w:p>
        </w:tc>
        <w:tc>
          <w:tcPr/>
          <w:p>
            <w:r>
              <w:t>6</w:t>
            </w:r>
          </w:p>
        </w:tc>
        <w:tc>
          <w:tcPr/>
          <w:p>
            <w:r>
              <w:t>3300000.00</w:t>
            </w:r>
          </w:p>
        </w:tc>
        <w:tc>
          <w:tcPr/>
          <w:p>
            <w:r>
              <w:t xml:space="preserve">3300000.00  </w:t>
            </w:r>
          </w:p>
        </w:tc>
        <w:tc>
          <w:tcPr/>
          <w:p>
            <w:r>
              <w:t>湖北</w:t>
            </w:r>
          </w:p>
        </w:tc>
        <w:tc>
          <w:tcPr/>
          <w:p>
            <w:r>
              <w:t>采购人全称：湖北省气象信息与技术保障中心，联系电话： 027-67848019</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color w:val="auto"/>
          <w:sz w:val="28"/>
          <w:szCs w:val="20"/>
          <w:highlight w:val="none"/>
        </w:rPr>
      </w:pPr>
      <w:r>
        <w:rPr>
          <w:rFonts w:ascii="仿宋" w:eastAsia="仿宋" w:hAnsi="仿宋" w:cs="仿宋" w:hint="eastAsia"/>
          <w:b/>
          <w:bCs/>
          <w:color w:val="auto"/>
          <w:sz w:val="28"/>
          <w:szCs w:val="20"/>
          <w:highlight w:val="none"/>
        </w:rPr>
        <w:t>一、项目概况及总体要求</w:t>
      </w:r>
    </w:p>
    <w:p>
      <w:pPr>
        <w:ind w:firstLine="560" w:firstLineChars="200"/>
        <w:rPr>
          <w:rFonts w:ascii="仿宋" w:eastAsia="仿宋" w:hAnsi="仿宋" w:cs="仿宋" w:hint="eastAsia"/>
          <w:color w:val="auto"/>
          <w:sz w:val="28"/>
          <w:szCs w:val="20"/>
          <w:highlight w:val="none"/>
        </w:rPr>
      </w:pPr>
      <w:r>
        <w:rPr>
          <w:rFonts w:ascii="仿宋" w:eastAsia="仿宋" w:hAnsi="仿宋" w:cs="仿宋" w:hint="eastAsia"/>
          <w:color w:val="auto"/>
          <w:sz w:val="28"/>
          <w:szCs w:val="20"/>
          <w:highlight w:val="none"/>
          <w:lang w:val="en-US" w:eastAsia="zh-CN"/>
        </w:rPr>
        <w:t>在武汉市、十堰市、宜昌市、荆门市、荆州市、孝感市共计6个国家气象观测站分别建设1套通量观测仪以及相关配套设施。</w:t>
      </w:r>
      <w:r>
        <w:rPr>
          <w:rFonts w:ascii="仿宋" w:eastAsia="仿宋" w:hAnsi="仿宋" w:cs="仿宋" w:hint="eastAsia"/>
          <w:color w:val="auto"/>
          <w:sz w:val="28"/>
          <w:szCs w:val="20"/>
          <w:highlight w:val="none"/>
        </w:rPr>
        <w:t>提升</w:t>
      </w:r>
      <w:r>
        <w:rPr>
          <w:rFonts w:ascii="仿宋" w:eastAsia="仿宋" w:hAnsi="仿宋" w:cs="仿宋" w:hint="eastAsia"/>
          <w:color w:val="auto"/>
          <w:sz w:val="28"/>
          <w:szCs w:val="20"/>
          <w:highlight w:val="none"/>
          <w:lang w:val="en-US" w:eastAsia="zh-CN"/>
        </w:rPr>
        <w:t>湖北</w:t>
      </w:r>
      <w:r>
        <w:rPr>
          <w:rFonts w:ascii="仿宋" w:eastAsia="仿宋" w:hAnsi="仿宋" w:cs="仿宋" w:hint="eastAsia"/>
          <w:color w:val="auto"/>
          <w:sz w:val="28"/>
          <w:szCs w:val="20"/>
          <w:highlight w:val="none"/>
        </w:rPr>
        <w:t>省气候变化监测能力，服务“碳达峰、碳中和”国家战略。</w:t>
      </w:r>
    </w:p>
    <w:p>
      <w:pPr>
        <w:ind w:firstLine="560" w:firstLineChars="200"/>
        <w:rPr>
          <w:rFonts w:ascii="仿宋" w:eastAsia="仿宋" w:hAnsi="仿宋" w:cs="仿宋"/>
          <w:b/>
          <w:bCs/>
          <w:color w:val="auto"/>
          <w:sz w:val="28"/>
          <w:szCs w:val="20"/>
          <w:highlight w:val="none"/>
        </w:rPr>
      </w:pPr>
      <w:r>
        <w:rPr>
          <w:rFonts w:ascii="仿宋" w:eastAsia="仿宋" w:hAnsi="仿宋" w:cs="仿宋" w:hint="eastAsia"/>
          <w:b/>
          <w:bCs/>
          <w:color w:val="auto"/>
          <w:sz w:val="28"/>
          <w:szCs w:val="20"/>
          <w:highlight w:val="none"/>
        </w:rPr>
        <w:t>二、售后服务要求</w:t>
      </w:r>
    </w:p>
    <w:p>
      <w:pPr>
        <w:ind w:firstLine="560" w:firstLineChars="200"/>
        <w:rPr>
          <w:rFonts w:ascii="仿宋" w:eastAsia="仿宋" w:hAnsi="仿宋" w:cs="仿宋"/>
          <w:color w:val="auto"/>
          <w:sz w:val="28"/>
          <w:szCs w:val="20"/>
          <w:highlight w:val="none"/>
        </w:rPr>
      </w:pPr>
      <w:r>
        <w:rPr>
          <w:rFonts w:ascii="仿宋" w:eastAsia="仿宋" w:hAnsi="仿宋" w:cs="仿宋" w:hint="eastAsia"/>
          <w:color w:val="auto"/>
          <w:sz w:val="28"/>
          <w:szCs w:val="20"/>
          <w:highlight w:val="none"/>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color w:val="auto"/>
          <w:sz w:val="28"/>
          <w:szCs w:val="20"/>
          <w:highlight w:val="none"/>
        </w:rPr>
      </w:pPr>
      <w:r>
        <w:rPr>
          <w:rFonts w:ascii="仿宋" w:eastAsia="仿宋" w:hAnsi="仿宋" w:cs="仿宋" w:hint="eastAsia"/>
          <w:b/>
          <w:bCs/>
          <w:color w:val="auto"/>
          <w:sz w:val="28"/>
          <w:szCs w:val="20"/>
          <w:highlight w:val="none"/>
        </w:rPr>
        <w:t>三、培训要求</w:t>
      </w:r>
    </w:p>
    <w:p>
      <w:pPr>
        <w:ind w:firstLine="560" w:firstLineChars="200"/>
        <w:rPr>
          <w:rFonts w:ascii="仿宋" w:eastAsia="仿宋" w:hAnsi="仿宋" w:cs="仿宋"/>
          <w:color w:val="auto"/>
          <w:sz w:val="28"/>
          <w:szCs w:val="20"/>
          <w:highlight w:val="none"/>
        </w:rPr>
      </w:pPr>
      <w:r>
        <w:rPr>
          <w:rFonts w:ascii="仿宋" w:eastAsia="仿宋" w:hAnsi="仿宋" w:cs="仿宋" w:hint="eastAsia"/>
          <w:color w:val="auto"/>
          <w:sz w:val="28"/>
          <w:szCs w:val="20"/>
          <w:highlight w:val="none"/>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color w:val="auto"/>
          <w:sz w:val="28"/>
          <w:szCs w:val="20"/>
          <w:highlight w:val="none"/>
        </w:rPr>
      </w:pPr>
      <w:r>
        <w:rPr>
          <w:rFonts w:ascii="仿宋" w:eastAsia="仿宋" w:hAnsi="仿宋" w:cs="仿宋" w:hint="eastAsia"/>
          <w:color w:val="auto"/>
          <w:sz w:val="28"/>
          <w:szCs w:val="20"/>
          <w:highlight w:val="none"/>
        </w:rPr>
        <w:t>设备供应商对每套投标产品提供至少2次技术培训，培训课时</w:t>
      </w:r>
      <w:r>
        <w:rPr>
          <w:rFonts w:ascii="仿宋" w:eastAsia="仿宋" w:hAnsi="仿宋" w:cs="仿宋"/>
          <w:color w:val="auto"/>
          <w:sz w:val="28"/>
          <w:szCs w:val="20"/>
          <w:highlight w:val="none"/>
        </w:rPr>
        <w:t>不少于</w:t>
      </w:r>
      <w:r>
        <w:rPr>
          <w:rFonts w:ascii="仿宋" w:eastAsia="仿宋" w:hAnsi="仿宋" w:cs="仿宋" w:hint="eastAsia"/>
          <w:color w:val="auto"/>
          <w:sz w:val="28"/>
          <w:szCs w:val="20"/>
          <w:highlight w:val="none"/>
          <w:lang w:val="en-US" w:eastAsia="zh-CN"/>
        </w:rPr>
        <w:t>40</w:t>
      </w:r>
      <w:r>
        <w:rPr>
          <w:rFonts w:ascii="仿宋" w:eastAsia="仿宋" w:hAnsi="仿宋" w:cs="仿宋" w:hint="eastAsia"/>
          <w:color w:val="auto"/>
          <w:sz w:val="28"/>
          <w:szCs w:val="20"/>
          <w:highlight w:val="none"/>
        </w:rPr>
        <w:t>个</w:t>
      </w:r>
      <w:r>
        <w:rPr>
          <w:rFonts w:ascii="仿宋" w:eastAsia="仿宋" w:hAnsi="仿宋" w:cs="仿宋"/>
          <w:color w:val="auto"/>
          <w:sz w:val="28"/>
          <w:szCs w:val="20"/>
          <w:highlight w:val="none"/>
        </w:rPr>
        <w:t>课时，培训人数不少于</w:t>
      </w:r>
      <w:r>
        <w:rPr>
          <w:rFonts w:ascii="仿宋" w:eastAsia="仿宋" w:hAnsi="仿宋" w:cs="仿宋" w:hint="eastAsia"/>
          <w:color w:val="auto"/>
          <w:sz w:val="28"/>
          <w:szCs w:val="20"/>
          <w:highlight w:val="none"/>
          <w:lang w:val="en-US" w:eastAsia="zh-CN"/>
        </w:rPr>
        <w:t>10</w:t>
      </w:r>
      <w:r>
        <w:rPr>
          <w:rFonts w:ascii="仿宋" w:eastAsia="仿宋" w:hAnsi="仿宋" w:cs="仿宋" w:hint="eastAsia"/>
          <w:color w:val="auto"/>
          <w:sz w:val="28"/>
          <w:szCs w:val="20"/>
          <w:highlight w:val="none"/>
        </w:rPr>
        <w:t>人</w:t>
      </w:r>
      <w:r>
        <w:rPr>
          <w:rFonts w:ascii="仿宋" w:eastAsia="仿宋" w:hAnsi="仿宋" w:cs="仿宋"/>
          <w:color w:val="auto"/>
          <w:sz w:val="28"/>
          <w:szCs w:val="20"/>
          <w:highlight w:val="none"/>
        </w:rPr>
        <w:t>。</w:t>
      </w:r>
      <w:r>
        <w:rPr>
          <w:rFonts w:ascii="仿宋" w:eastAsia="仿宋" w:hAnsi="仿宋" w:cs="仿宋" w:hint="eastAsia"/>
          <w:color w:val="auto"/>
          <w:sz w:val="28"/>
          <w:szCs w:val="20"/>
          <w:highlight w:val="none"/>
        </w:rPr>
        <w:t>培训内容包括设备安装、使用、日常维护、观测原理及产品应用，培训时间及地点双方协商确定。</w:t>
      </w:r>
    </w:p>
    <w:p>
      <w:pPr>
        <w:ind w:firstLine="560" w:firstLineChars="200"/>
        <w:rPr>
          <w:rFonts w:ascii="仿宋" w:eastAsia="仿宋" w:hAnsi="仿宋" w:cs="仿宋"/>
          <w:b/>
          <w:bCs/>
          <w:color w:val="auto"/>
          <w:sz w:val="28"/>
          <w:szCs w:val="20"/>
          <w:highlight w:val="none"/>
        </w:rPr>
      </w:pPr>
      <w:r>
        <w:rPr>
          <w:rFonts w:ascii="仿宋" w:eastAsia="仿宋" w:hAnsi="仿宋" w:cs="仿宋" w:hint="eastAsia"/>
          <w:b/>
          <w:bCs/>
          <w:color w:val="auto"/>
          <w:sz w:val="28"/>
          <w:szCs w:val="20"/>
          <w:highlight w:val="none"/>
        </w:rPr>
        <w:t>四、交货要求及履约地点</w:t>
      </w:r>
    </w:p>
    <w:p>
      <w:pPr>
        <w:ind w:firstLine="560" w:firstLineChars="200"/>
        <w:rPr>
          <w:rFonts w:ascii="仿宋" w:eastAsia="仿宋" w:hAnsi="仿宋" w:cs="仿宋" w:hint="eastAsia"/>
          <w:color w:val="auto"/>
          <w:sz w:val="28"/>
          <w:szCs w:val="20"/>
          <w:highlight w:val="none"/>
        </w:rPr>
      </w:pPr>
      <w:r>
        <w:rPr>
          <w:rFonts w:ascii="仿宋" w:eastAsia="仿宋" w:hAnsi="仿宋" w:cs="仿宋" w:hint="eastAsia"/>
          <w:color w:val="auto"/>
          <w:sz w:val="28"/>
          <w:szCs w:val="20"/>
          <w:highlight w:val="none"/>
        </w:rPr>
        <w:t>中标供应商将所有设备运送至蔡甸、郧西、宜昌、荆门、荆州、大悟</w:t>
      </w:r>
      <w:r>
        <w:rPr>
          <w:rFonts w:ascii="仿宋" w:eastAsia="仿宋" w:hAnsi="仿宋" w:cs="仿宋" w:hint="eastAsia"/>
          <w:color w:val="auto"/>
          <w:sz w:val="28"/>
          <w:szCs w:val="20"/>
          <w:highlight w:val="none"/>
          <w:lang w:val="en-US" w:eastAsia="zh-CN"/>
        </w:rPr>
        <w:t>等</w:t>
      </w:r>
      <w:r>
        <w:rPr>
          <w:rFonts w:ascii="仿宋" w:eastAsia="仿宋" w:hAnsi="仿宋" w:cs="仿宋" w:hint="eastAsia"/>
          <w:color w:val="auto"/>
          <w:sz w:val="28"/>
          <w:szCs w:val="20"/>
          <w:highlight w:val="none"/>
        </w:rPr>
        <w:t>6个国家气象观测站（运输相关费用由供应商负责），并负责安装调试。合同签订后</w:t>
      </w:r>
      <w:r>
        <w:rPr>
          <w:rFonts w:ascii="仿宋" w:eastAsia="仿宋" w:hAnsi="仿宋" w:cs="仿宋" w:hint="eastAsia"/>
          <w:color w:val="auto"/>
          <w:sz w:val="28"/>
          <w:szCs w:val="20"/>
          <w:highlight w:val="none"/>
          <w:lang w:val="en-US" w:eastAsia="zh-CN"/>
        </w:rPr>
        <w:t>90</w:t>
      </w:r>
      <w:r>
        <w:rPr>
          <w:rFonts w:ascii="仿宋" w:eastAsia="仿宋" w:hAnsi="仿宋" w:cs="仿宋" w:hint="eastAsia"/>
          <w:color w:val="auto"/>
          <w:sz w:val="28"/>
          <w:szCs w:val="20"/>
          <w:highlight w:val="none"/>
        </w:rPr>
        <w:t>天内完成供货、</w:t>
      </w:r>
      <w:r>
        <w:rPr>
          <w:rFonts w:ascii="仿宋" w:eastAsia="仿宋" w:hAnsi="仿宋" w:cs="仿宋" w:hint="eastAsia"/>
          <w:color w:val="auto"/>
          <w:sz w:val="28"/>
          <w:szCs w:val="20"/>
          <w:highlight w:val="none"/>
          <w:lang w:val="en-US" w:eastAsia="zh-CN"/>
        </w:rPr>
        <w:t>30天内完成</w:t>
      </w:r>
      <w:r>
        <w:rPr>
          <w:rFonts w:ascii="仿宋" w:eastAsia="仿宋" w:hAnsi="仿宋" w:cs="仿宋" w:hint="eastAsia"/>
          <w:color w:val="auto"/>
          <w:sz w:val="28"/>
          <w:szCs w:val="20"/>
          <w:highlight w:val="none"/>
        </w:rPr>
        <w:t>安装调试并具备验收条件。</w:t>
      </w:r>
    </w:p>
    <w:p>
      <w:pPr>
        <w:ind w:left="559" w:leftChars="266"/>
        <w:rPr>
          <w:rFonts w:ascii="仿宋" w:eastAsia="仿宋" w:hAnsi="仿宋" w:cs="仿宋"/>
          <w:b/>
          <w:bCs/>
          <w:color w:val="auto"/>
          <w:sz w:val="28"/>
          <w:szCs w:val="20"/>
          <w:highlight w:val="none"/>
        </w:rPr>
      </w:pPr>
      <w:r>
        <w:rPr>
          <w:rFonts w:ascii="仿宋" w:eastAsia="仿宋" w:hAnsi="仿宋" w:cs="仿宋" w:hint="eastAsia"/>
          <w:b/>
          <w:bCs/>
          <w:color w:val="auto"/>
          <w:sz w:val="28"/>
          <w:szCs w:val="20"/>
          <w:highlight w:val="none"/>
        </w:rPr>
        <w:t>五、服务团队要求</w:t>
      </w:r>
    </w:p>
    <w:p>
      <w:pPr>
        <w:ind w:firstLine="560" w:firstLineChars="200"/>
        <w:rPr>
          <w:rFonts w:ascii="仿宋" w:eastAsia="仿宋" w:hAnsi="仿宋" w:cs="仿宋"/>
          <w:color w:val="auto"/>
          <w:sz w:val="28"/>
          <w:szCs w:val="20"/>
          <w:highlight w:val="none"/>
        </w:rPr>
      </w:pPr>
      <w:r>
        <w:rPr>
          <w:rFonts w:ascii="仿宋" w:eastAsia="仿宋" w:hAnsi="仿宋" w:cs="仿宋" w:hint="eastAsia"/>
          <w:color w:val="auto"/>
          <w:sz w:val="28"/>
          <w:szCs w:val="20"/>
          <w:highlight w:val="none"/>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color w:val="auto"/>
          <w:sz w:val="28"/>
          <w:szCs w:val="20"/>
          <w:highlight w:val="none"/>
        </w:rPr>
      </w:pPr>
      <w:r>
        <w:rPr>
          <w:rFonts w:ascii="仿宋" w:eastAsia="仿宋" w:hAnsi="仿宋" w:cs="仿宋" w:hint="eastAsia"/>
          <w:b/>
          <w:bCs/>
          <w:color w:val="auto"/>
          <w:sz w:val="28"/>
          <w:szCs w:val="20"/>
          <w:highlight w:val="none"/>
        </w:rPr>
        <w:t>六、投标产品软件兼容性要求</w:t>
      </w:r>
    </w:p>
    <w:p>
      <w:pPr>
        <w:ind w:firstLine="560" w:firstLineChars="200"/>
        <w:rPr>
          <w:rFonts w:ascii="仿宋" w:eastAsia="仿宋" w:hAnsi="仿宋" w:cs="仿宋"/>
          <w:color w:val="auto"/>
          <w:sz w:val="28"/>
          <w:szCs w:val="20"/>
          <w:highlight w:val="none"/>
        </w:rPr>
      </w:pPr>
      <w:r>
        <w:rPr>
          <w:rFonts w:ascii="仿宋" w:eastAsia="仿宋" w:hAnsi="仿宋" w:cs="仿宋" w:hint="eastAsia"/>
          <w:color w:val="auto"/>
          <w:sz w:val="28"/>
          <w:szCs w:val="20"/>
          <w:highlight w:val="none"/>
        </w:rPr>
        <w:t>设备支持实现地面气象观测监控管理平台（SMOS）无缝接入，完全符合甲方相关要求和规范，保证其系统的兼容性和功能的完整性。</w:t>
      </w:r>
      <w:r>
        <w:rPr>
          <w:rFonts w:ascii="仿宋" w:eastAsia="仿宋" w:hAnsi="仿宋" w:cs="仿宋" w:hint="eastAsia"/>
          <w:color w:val="auto"/>
          <w:sz w:val="28"/>
          <w:szCs w:val="20"/>
          <w:highlight w:val="none"/>
        </w:rPr>
        <w:t xml:space="preserve">   </w:t>
      </w:r>
    </w:p>
    <w:p>
      <w:pPr>
        <w:ind w:firstLine="560" w:firstLineChars="200"/>
        <w:rPr>
          <w:rFonts w:ascii="仿宋" w:eastAsia="仿宋" w:hAnsi="仿宋" w:cs="仿宋"/>
          <w:sz w:val="28"/>
          <w:szCs w:val="20"/>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BA33C0">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BA33C0">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BA33C0">
            <w:pPr>
              <w:rPr>
                <w:sz w:val="18"/>
                <w:szCs w:val="18"/>
              </w:rPr>
            </w:pPr>
            <w:r>
              <w:rPr>
                <w:rFonts w:hint="eastAsia"/>
                <w:sz w:val="18"/>
                <w:szCs w:val="18"/>
              </w:rPr>
              <w:t>序号</w:t>
            </w:r>
          </w:p>
        </w:tc>
        <w:tc>
          <w:tcPr>
            <w:tcW w:w="898" w:type="dxa"/>
            <w:vAlign w:val="center"/>
          </w:tcPr>
          <w:p w:rsidR="00BA33C0">
            <w:pPr>
              <w:jc w:val="center"/>
              <w:rPr>
                <w:sz w:val="18"/>
                <w:szCs w:val="18"/>
              </w:rPr>
            </w:pPr>
            <w:r>
              <w:rPr>
                <w:rFonts w:hint="eastAsia"/>
                <w:sz w:val="18"/>
                <w:szCs w:val="18"/>
              </w:rPr>
              <w:t>对应</w:t>
            </w:r>
          </w:p>
          <w:p w:rsidR="00BA33C0">
            <w:pPr>
              <w:jc w:val="center"/>
              <w:rPr>
                <w:sz w:val="18"/>
                <w:szCs w:val="18"/>
              </w:rPr>
            </w:pPr>
            <w:r>
              <w:rPr>
                <w:rFonts w:hint="eastAsia"/>
                <w:sz w:val="18"/>
                <w:szCs w:val="18"/>
              </w:rPr>
              <w:t>条款号</w:t>
            </w:r>
          </w:p>
        </w:tc>
        <w:tc>
          <w:tcPr>
            <w:tcW w:w="7347" w:type="dxa"/>
            <w:vAlign w:val="center"/>
          </w:tcPr>
          <w:p w:rsidR="00BA33C0">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8789" w:type="dxa"/>
          <w:tblLayout w:type="fixed"/>
          <w:tblLook w:val="04A0"/>
        </w:tblPrEx>
        <w:trPr>
          <w:cantSplit/>
        </w:trPr>
        <w:tc>
          <w:tcPr>
            <w:tcW w:w="8789" w:type="dxa"/>
            <w:gridSpan w:val="3"/>
            <w:vAlign w:val="center"/>
          </w:tcPr>
          <w:p w:rsidR="00BA33C0">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8789" w:type="dxa"/>
          <w:tblLayout w:type="fixed"/>
          <w:tblLook w:val="04A0"/>
        </w:tblPrEx>
        <w:trPr>
          <w:cantSplit/>
        </w:trPr>
        <w:tc>
          <w:tcPr>
            <w:tcW w:w="544" w:type="dxa"/>
            <w:vAlign w:val="center"/>
          </w:tcPr>
          <w:p w:rsidR="00BA33C0">
            <w:pPr>
              <w:numPr>
                <w:ilvl w:val="0"/>
                <w:numId w:val="14"/>
              </w:numPr>
              <w:rPr>
                <w:rFonts w:ascii="宋体" w:hAnsi="宋体"/>
                <w:sz w:val="18"/>
                <w:szCs w:val="18"/>
              </w:rPr>
            </w:pPr>
          </w:p>
        </w:tc>
        <w:tc>
          <w:tcPr>
            <w:tcW w:w="898" w:type="dxa"/>
            <w:vAlign w:val="center"/>
          </w:tcPr>
          <w:p w:rsidR="00BA33C0">
            <w:pPr>
              <w:jc w:val="center"/>
              <w:rPr>
                <w:rFonts w:ascii="宋体" w:hAnsi="宋体"/>
                <w:sz w:val="18"/>
                <w:szCs w:val="18"/>
              </w:rPr>
            </w:pPr>
            <w:r>
              <w:rPr>
                <w:rFonts w:ascii="宋体" w:hAnsi="宋体" w:hint="eastAsia"/>
                <w:sz w:val="18"/>
                <w:szCs w:val="18"/>
              </w:rPr>
              <w:t>5.7</w:t>
            </w:r>
          </w:p>
        </w:tc>
        <w:tc>
          <w:tcPr>
            <w:tcW w:w="7347" w:type="dxa"/>
          </w:tcPr>
          <w:p w:rsidR="00BA33C0">
            <w:pPr>
              <w:tabs>
                <w:tab w:val="left" w:pos="709"/>
              </w:tabs>
              <w:spacing w:line="360" w:lineRule="auto"/>
              <w:jc w:val="left"/>
              <w:rPr>
                <w:rFonts w:ascii="宋体" w:hAnsi="宋体" w:eastAsiaTheme="minorEastAsia" w:cs="微软雅黑"/>
                <w:b/>
                <w:color w:val="0000FF"/>
                <w:kern w:val="0"/>
                <w:sz w:val="18"/>
                <w:szCs w:val="18"/>
              </w:rPr>
            </w:pPr>
            <w:r w:rsidRPr="00625CA9">
              <w:rPr>
                <w:rFonts w:ascii="宋体" w:hAnsi="宋体" w:cs="微软雅黑" w:hint="eastAsia"/>
                <w:b/>
                <w:color w:val="0000FF"/>
                <w:kern w:val="0"/>
                <w:sz w:val="18"/>
                <w:szCs w:val="18"/>
              </w:rPr>
              <w:t>以下产品需要提供至投标截止日仍有效的《气象专用技术装备使用许可证》：通量观测仪（水、二氧化碳气体分析仪加三维超声风）</w:t>
            </w:r>
          </w:p>
        </w:tc>
      </w:tr>
      <w:tr>
        <w:tblPrEx>
          <w:tblW w:w="8789" w:type="dxa"/>
          <w:tblLayout w:type="fixed"/>
          <w:tblLook w:val="04A0"/>
        </w:tblPrEx>
        <w:trPr>
          <w:cantSplit/>
        </w:trPr>
        <w:tc>
          <w:tcPr>
            <w:tcW w:w="8789" w:type="dxa"/>
            <w:gridSpan w:val="3"/>
            <w:vAlign w:val="center"/>
          </w:tcPr>
          <w:p w:rsidR="00BA33C0">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8789" w:type="dxa"/>
          <w:tblLayout w:type="fixed"/>
          <w:tblLook w:val="04A0"/>
        </w:tblPrEx>
        <w:trPr>
          <w:cantSplit/>
        </w:trPr>
        <w:tc>
          <w:tcPr>
            <w:tcW w:w="544" w:type="dxa"/>
            <w:vAlign w:val="center"/>
          </w:tcPr>
          <w:p w:rsidR="00BA33C0">
            <w:pPr>
              <w:numPr>
                <w:ilvl w:val="0"/>
                <w:numId w:val="14"/>
              </w:numPr>
              <w:rPr>
                <w:rFonts w:ascii="宋体" w:hAnsi="宋体"/>
                <w:sz w:val="18"/>
                <w:szCs w:val="18"/>
              </w:rPr>
            </w:pPr>
          </w:p>
        </w:tc>
        <w:tc>
          <w:tcPr>
            <w:tcW w:w="898" w:type="dxa"/>
            <w:vAlign w:val="center"/>
          </w:tcPr>
          <w:p w:rsidR="00BA33C0">
            <w:pPr>
              <w:jc w:val="center"/>
              <w:rPr>
                <w:rFonts w:ascii="宋体" w:hAnsi="宋体"/>
                <w:sz w:val="18"/>
                <w:szCs w:val="18"/>
              </w:rPr>
            </w:pPr>
          </w:p>
        </w:tc>
        <w:tc>
          <w:tcPr>
            <w:tcW w:w="7347" w:type="dxa"/>
            <w:vAlign w:val="center"/>
          </w:tcPr>
          <w:p w:rsidR="00BA33C0">
            <w:pPr>
              <w:tabs>
                <w:tab w:val="left" w:pos="709"/>
              </w:tabs>
              <w:spacing w:line="360" w:lineRule="auto"/>
              <w:jc w:val="left"/>
              <w:rPr>
                <w:rFonts w:ascii="宋体" w:hAnsi="宋体"/>
                <w:sz w:val="18"/>
                <w:szCs w:val="18"/>
              </w:rPr>
            </w:pPr>
            <w:r w:rsidRPr="00B805A5">
              <w:rPr>
                <w:rFonts w:ascii="宋体" w:hAnsi="宋体" w:hint="eastAsia"/>
                <w:sz w:val="18"/>
                <w:szCs w:val="18"/>
              </w:rPr>
              <w:t>设备供应商对所有设备提供自验收合格后8年的质保服务*</w:t>
            </w:r>
          </w:p>
        </w:tc>
      </w:tr>
    </w:tbl>
    <w:p w:rsidR="00BA33C0">
      <w:pPr>
        <w:spacing w:before="156" w:beforeLines="50" w:line="360" w:lineRule="auto"/>
        <w:ind w:firstLine="420"/>
      </w:pPr>
      <w:r>
        <w:rPr>
          <w:rFonts w:ascii="宋体" w:hAnsi="宋体" w:hint="eastAsia"/>
          <w:szCs w:val="21"/>
        </w:rPr>
        <w:t>注：根据项目具体情况，</w:t>
      </w:r>
      <w:r>
        <w:rPr>
          <w:rFonts w:ascii="宋体" w:hAnsi="宋体" w:hint="eastAsia"/>
          <w:szCs w:val="21"/>
        </w:rPr>
        <w:t>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w:t>
      </w:r>
      <w:r>
        <w:rPr>
          <w:rFonts w:ascii="宋体" w:hAnsi="宋体" w:hint="eastAsia"/>
          <w:szCs w:val="21"/>
          <w:highlight w:val="none"/>
          <w:u w:val="single"/>
          <w:lang w:val="en-US" w:eastAsia="zh-CN"/>
        </w:rPr>
        <w:t>/</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val="en-US" w:eastAsia="zh-CN"/>
        </w:rPr>
        <w:t>签订合同后支付总合同款的50%，到货安装后支付至总合同款的90%，</w:t>
      </w:r>
      <w:r>
        <w:rPr>
          <w:rFonts w:ascii="宋体" w:hAnsi="宋体" w:hint="eastAsia"/>
          <w:szCs w:val="21"/>
          <w:highlight w:val="none"/>
          <w:u w:val="single"/>
        </w:rPr>
        <w:t xml:space="preserve"> </w:t>
      </w:r>
      <w:r>
        <w:rPr>
          <w:rFonts w:ascii="宋体" w:hAnsi="宋体" w:hint="eastAsia"/>
          <w:szCs w:val="21"/>
          <w:highlight w:val="none"/>
          <w:u w:val="single"/>
          <w:lang w:val="en-US" w:eastAsia="zh-CN"/>
        </w:rPr>
        <w:t>验收通过后支付至总合同款100%</w:t>
      </w:r>
      <w:r>
        <w:rPr>
          <w:rFonts w:ascii="宋体" w:hAnsi="宋体" w:hint="eastAsia"/>
          <w:szCs w:val="21"/>
          <w:highlight w:val="none"/>
        </w:rPr>
        <w:t>，其中涉及预付款的：</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         </w:t>
      </w:r>
      <w:r>
        <w:rPr>
          <w:rFonts w:ascii="宋体" w:hAnsi="宋体" w:hint="eastAsia"/>
          <w:szCs w:val="21"/>
          <w:highlight w:val="none"/>
          <w:u w:val="single"/>
        </w:rPr>
        <w:t xml:space="preserve">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2"/>
  </w:num>
  <w:num w:numId="6">
    <w:abstractNumId w:val="13"/>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5CA9"/>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5A5"/>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3C0"/>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ListParagraph0">
    <w:name w:val="List Paragraph_0"/>
    <w:basedOn w:val="Normal"/>
    <w:qFormat/>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