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2025年站网雷达工程大气本底站二氧化碳甲烷分析仪（离轴积分腔输入光谱法）采购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郑州市气象局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2025年站网雷达工程大气本底站二氧化碳甲烷分析仪（离轴积分腔输入光谱法）采购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郑州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2025年11月05日 11:00:00</w:t>
      </w:r>
      <w:bookmarkEnd w:id="26"/>
      <w:r>
        <w:rPr>
          <w:rFonts w:ascii="宋体" w:hint="eastAsia"/>
          <w:szCs w:val="21"/>
          <w:highlight w:val="none"/>
        </w:rPr>
        <w:t>至</w:t>
      </w:r>
      <w:bookmarkStart w:id="27" w:name="项目公告_signUpLastTime"/>
      <w:r>
        <w:rPr>
          <w:rFonts w:ascii="宋体" w:hint="eastAsia"/>
          <w:szCs w:val="21"/>
          <w:highlight w:val="none"/>
        </w:rPr>
        <w:t>2025年11月12日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郑州市气象局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马赛飞</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郑州市管城区南三环与中州大道交叉口</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郑州市气象局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不允许（仅针对以下产品：C02CH4H20分析仪(离轴积分腔输出光谱法)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C02CH4H20分析仪(离轴积分腔输出光谱法)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配套设施</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销售合同必须包括C02CH4H20分析仪(离轴积分腔输出光谱法)，每提供1份合同得1分，最多得5分。否则不得分。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针对本项目采购的C02CH4H20分析仪(离轴积分腔输出光谱法)，</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针对C02CH4H20分析仪(离轴积分腔输出光谱法)，每提供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针对C02CH4H20分析仪(离轴积分腔输出光谱法)，测试报告应涵盖低温试验、高温试验、低气压试验等内容，每包含一项得1分，最多得3分。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085"/>
        <w:gridCol w:w="503"/>
        <w:gridCol w:w="1457"/>
        <w:gridCol w:w="5439"/>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3"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3"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restart"/>
            <w:vAlign w:val="center"/>
          </w:tcPr>
          <w:p>
            <w:pPr>
              <w:rPr>
                <w:rFonts w:ascii="仿宋" w:eastAsia="仿宋" w:hAnsi="仿宋" w:cs="仿宋" w:hint="eastAsia"/>
              </w:rPr>
            </w:pPr>
            <w:r>
              <w:rPr>
                <w:rFonts w:ascii="仿宋" w:eastAsia="仿宋" w:hAnsi="仿宋" w:cs="仿宋" w:hint="eastAsia"/>
                <w:sz w:val="24"/>
              </w:rPr>
              <w:t>C0</w:t>
            </w:r>
            <w:r>
              <w:rPr>
                <w:rFonts w:ascii="仿宋" w:eastAsia="仿宋" w:hAnsi="仿宋" w:cs="仿宋" w:hint="eastAsia"/>
                <w:sz w:val="24"/>
                <w:vertAlign w:val="subscript"/>
              </w:rPr>
              <w:t>2</w:t>
            </w: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0分析仪(离轴积分腔输出光谱法)</w:t>
            </w:r>
          </w:p>
        </w:tc>
        <w:tc>
          <w:tcPr>
            <w:tcW w:w="4017" w:type="pct"/>
            <w:gridSpan w:val="3"/>
            <w:vAlign w:val="center"/>
          </w:tcPr>
          <w:p>
            <w:pPr>
              <w:rPr>
                <w:rFonts w:ascii="仿宋" w:eastAsia="仿宋" w:hAnsi="仿宋" w:cs="仿宋" w:hint="eastAsia"/>
              </w:rPr>
            </w:pPr>
            <w:r>
              <w:rPr>
                <w:rFonts w:ascii="仿宋" w:eastAsia="仿宋" w:hAnsi="仿宋" w:cs="仿宋" w:hint="eastAsia"/>
                <w:sz w:val="24"/>
                <w:highlight w:val="yellow"/>
              </w:rPr>
              <w:t>#在标气条件下（5min平均，1</w:t>
            </w:r>
            <w:r>
              <w:rPr>
                <w:rFonts w:ascii="仿宋" w:eastAsia="仿宋" w:hAnsi="仿宋" w:cs="仿宋" w:hint="eastAsia"/>
                <w:sz w:val="24"/>
                <w:highlight w:val="yellow"/>
              </w:rPr>
              <w:t>σ</w:t>
            </w: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浓度测量精度 &lt; 0.1</w:t>
            </w:r>
            <w:r>
              <w:rPr>
                <w:rFonts w:ascii="仿宋" w:eastAsia="仿宋" w:hAnsi="仿宋" w:cs="仿宋" w:hint="eastAsia"/>
                <w:sz w:val="24"/>
                <w:highlight w:val="yellow"/>
              </w:rPr>
              <w:t>μ</w:t>
            </w:r>
            <w:r>
              <w:rPr>
                <w:rFonts w:ascii="仿宋" w:eastAsia="仿宋" w:hAnsi="仿宋" w:cs="仿宋" w:hint="eastAsia"/>
                <w:sz w:val="24"/>
                <w:highlight w:val="yellow"/>
              </w:rPr>
              <w:t>mol/mol（ppm）  ；CH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ign w:val="center"/>
          </w:tcPr>
          <w:p>
            <w:pPr>
              <w:rPr>
                <w:rFonts w:ascii="仿宋" w:eastAsia="仿宋" w:hAnsi="仿宋" w:cs="仿宋" w:hint="eastAsia"/>
              </w:rPr>
            </w:pPr>
          </w:p>
        </w:tc>
        <w:tc>
          <w:tcPr>
            <w:tcW w:w="273" w:type="pct"/>
            <w:vAlign w:val="center"/>
          </w:tcPr>
          <w:p>
            <w:pPr>
              <w:rPr>
                <w:rFonts w:ascii="仿宋" w:eastAsia="仿宋" w:hAnsi="仿宋" w:cs="仿宋" w:hint="eastAsia"/>
              </w:rPr>
            </w:pPr>
            <w:r>
              <w:rPr>
                <w:rFonts w:ascii="仿宋" w:eastAsia="仿宋" w:hAnsi="仿宋" w:cs="仿宋" w:hint="eastAsia"/>
                <w:sz w:val="24"/>
              </w:rPr>
              <w:t>测量单元</w:t>
            </w:r>
          </w:p>
        </w:tc>
        <w:tc>
          <w:tcPr>
            <w:tcW w:w="790" w:type="pct"/>
            <w:vAlign w:val="center"/>
          </w:tcPr>
          <w:p>
            <w:pPr>
              <w:rPr>
                <w:rFonts w:ascii="仿宋" w:eastAsia="仿宋" w:hAnsi="仿宋" w:cs="仿宋" w:hint="eastAsia"/>
              </w:rPr>
            </w:pPr>
            <w:r>
              <w:rPr>
                <w:rFonts w:ascii="仿宋" w:eastAsia="仿宋" w:hAnsi="仿宋" w:cs="仿宋" w:hint="eastAsia"/>
                <w:sz w:val="24"/>
              </w:rPr>
              <w:t>分析主机</w:t>
            </w:r>
          </w:p>
        </w:tc>
        <w:tc>
          <w:tcPr>
            <w:tcW w:w="2953" w:type="pct"/>
            <w:vAlign w:val="center"/>
          </w:tcPr>
          <w:p>
            <w:pPr>
              <w:rPr>
                <w:rFonts w:ascii="仿宋" w:eastAsia="仿宋" w:hAnsi="仿宋" w:cs="仿宋"/>
              </w:rPr>
            </w:pPr>
            <w:r>
              <w:rPr>
                <w:rFonts w:ascii="仿宋" w:eastAsia="仿宋" w:hAnsi="仿宋" w:cs="仿宋" w:hint="eastAsia"/>
                <w:sz w:val="24"/>
              </w:rPr>
              <w:t>（1）测量原理：离轴积分腔输出光谱法</w:t>
            </w:r>
          </w:p>
          <w:p>
            <w:pPr>
              <w:rPr>
                <w:rFonts w:ascii="仿宋" w:eastAsia="仿宋" w:hAnsi="仿宋" w:cs="仿宋" w:hint="eastAsia"/>
              </w:rPr>
            </w:pPr>
            <w:r>
              <w:rPr>
                <w:rFonts w:ascii="仿宋" w:eastAsia="仿宋" w:hAnsi="仿宋" w:cs="仿宋" w:hint="eastAsia"/>
                <w:sz w:val="24"/>
              </w:rPr>
              <w:t>（2）秒级数据精度</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0.25ppm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1.2ppb</w:t>
            </w:r>
          </w:p>
          <w:p>
            <w:pPr>
              <w:rPr>
                <w:rFonts w:ascii="仿宋" w:eastAsia="仿宋" w:hAnsi="仿宋" w:cs="仿宋" w:hint="eastAsia"/>
              </w:rPr>
            </w:pPr>
            <w:r>
              <w:rPr>
                <w:rFonts w:ascii="仿宋" w:eastAsia="仿宋" w:hAnsi="仿宋" w:cs="仿宋" w:hint="eastAsia"/>
                <w:sz w:val="24"/>
              </w:rPr>
              <w:t>（3）量程</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：200～20000ppm（精度保证：300ppm～700ppm）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：0.01～100ppm（精度保证：1ppm～3ppm）</w:t>
            </w:r>
          </w:p>
          <w:p>
            <w:pPr>
              <w:rPr>
                <w:rFonts w:ascii="仿宋" w:eastAsia="仿宋" w:hAnsi="仿宋" w:cs="仿宋" w:hint="eastAsia"/>
                <w:highlight w:val="yellow"/>
              </w:rPr>
            </w:pPr>
            <w:r>
              <w:rPr>
                <w:rFonts w:ascii="仿宋" w:eastAsia="仿宋" w:hAnsi="仿宋" w:cs="仿宋" w:hint="eastAsia"/>
                <w:sz w:val="24"/>
                <w:highlight w:val="yellow"/>
              </w:rPr>
              <w:t>#H</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O：0-3%v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rPr>
            </w:pPr>
            <w:r>
              <w:rPr>
                <w:rFonts w:ascii="仿宋" w:eastAsia="仿宋" w:hAnsi="仿宋" w:cs="仿宋" w:hint="eastAsia"/>
                <w:sz w:val="24"/>
              </w:rPr>
              <w:t>（4）最大漂移（标准温度压下，15分钟平均，24小时）</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3ppb</w:t>
            </w:r>
          </w:p>
          <w:p>
            <w:pPr>
              <w:rPr>
                <w:rFonts w:ascii="仿宋" w:eastAsia="仿宋" w:hAnsi="仿宋" w:cs="仿宋" w:hint="eastAsia"/>
              </w:rPr>
            </w:pPr>
            <w:r>
              <w:rPr>
                <w:rFonts w:ascii="仿宋" w:eastAsia="仿宋" w:hAnsi="仿宋" w:cs="仿宋" w:hint="eastAsia"/>
                <w:sz w:val="24"/>
              </w:rPr>
              <w:t>（5）线性</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0.1 ppm</w:t>
            </w:r>
          </w:p>
          <w:p>
            <w:pPr>
              <w:rPr>
                <w:rFonts w:ascii="仿宋" w:eastAsia="仿宋" w:hAnsi="仿宋" w:cs="仿宋" w:hint="eastAsia"/>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1 ppb</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质保期：C0</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CH</w:t>
      </w:r>
      <w:r>
        <w:rPr>
          <w:rFonts w:ascii="仿宋" w:eastAsia="仿宋" w:hAnsi="仿宋" w:cs="仿宋" w:hint="eastAsia"/>
          <w:sz w:val="28"/>
          <w:szCs w:val="20"/>
          <w:highlight w:val="yellow"/>
          <w:vertAlign w:val="subscript"/>
        </w:rPr>
        <w:t>4</w:t>
      </w:r>
      <w:r>
        <w:rPr>
          <w:rFonts w:ascii="仿宋" w:eastAsia="仿宋" w:hAnsi="仿宋" w:cs="仿宋" w:hint="eastAsia"/>
          <w:sz w:val="28"/>
          <w:szCs w:val="20"/>
          <w:highlight w:val="yellow"/>
        </w:rPr>
        <w:t>H</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0分析仪(离轴积分腔输出光谱法)质保6年*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1"/>
        <w:gridCol w:w="1650"/>
        <w:gridCol w:w="642"/>
        <w:gridCol w:w="893"/>
        <w:gridCol w:w="1018"/>
        <w:gridCol w:w="642"/>
        <w:gridCol w:w="332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C02CH4H20分析仪(离轴积分腔输出光谱法)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包含设备80万和配套设施（UPS55万、黑碳仪干燥管20万）</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2"/>
        <w:gridCol w:w="1538"/>
        <w:gridCol w:w="1907"/>
        <w:gridCol w:w="452"/>
        <w:gridCol w:w="1032"/>
        <w:gridCol w:w="860"/>
        <w:gridCol w:w="1032"/>
        <w:gridCol w:w="12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郑州市局(001046023)</w:t>
            </w:r>
          </w:p>
        </w:tc>
        <w:tc>
          <w:tcPr/>
          <w:p>
            <w:r>
              <w:t>C02CH4H20分析仪(离轴积分腔输出光谱法)</w:t>
            </w:r>
          </w:p>
        </w:tc>
        <w:tc>
          <w:tcPr/>
          <w:p>
            <w:r>
              <w:t>1</w:t>
            </w:r>
          </w:p>
        </w:tc>
        <w:tc>
          <w:tcPr/>
          <w:p>
            <w:r>
              <w:t>1550000.00</w:t>
            </w:r>
          </w:p>
        </w:tc>
        <w:tc>
          <w:tcPr/>
          <w:p>
            <w:r>
              <w:t xml:space="preserve">1550000.00  </w:t>
            </w:r>
          </w:p>
        </w:tc>
        <w:tc>
          <w:tcPr/>
          <w:p>
            <w:r>
              <w:t>郑州市气象局</w:t>
            </w:r>
          </w:p>
        </w:tc>
        <w:tc>
          <w:tcPr/>
          <w:p>
            <w:r>
              <w:t>郑州市气象局 冯冲13592480521</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082782" w:rsidP="0036391F">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082782" w:rsidP="0036391F">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36391F" w:rsidP="0036391F">
      <w:pPr>
        <w:spacing w:line="572" w:lineRule="exact"/>
        <w:ind w:firstLine="560" w:firstLineChars="200"/>
        <w:rPr>
          <w:rFonts w:ascii="仿宋" w:eastAsia="仿宋" w:hAnsi="仿宋" w:cs="仿宋"/>
          <w:sz w:val="28"/>
        </w:rPr>
      </w:pPr>
      <w:r>
        <w:rPr>
          <w:rFonts w:ascii="仿宋" w:eastAsia="仿宋" w:hAnsi="仿宋" w:cs="仿宋" w:hint="eastAsia"/>
          <w:sz w:val="28"/>
          <w:szCs w:val="20"/>
        </w:rPr>
        <w:t>在郑州地区建设一套</w:t>
      </w:r>
      <w:r w:rsidRPr="0036391F">
        <w:rPr>
          <w:rFonts w:ascii="仿宋" w:eastAsia="仿宋" w:hAnsi="仿宋" w:cs="仿宋"/>
          <w:sz w:val="28"/>
          <w:szCs w:val="20"/>
        </w:rPr>
        <w:t>C02/CH4/H20分析仪(离轴积分腔输出光谱法)</w:t>
      </w:r>
      <w:r w:rsidR="00FB126F">
        <w:rPr>
          <w:rFonts w:ascii="仿宋" w:eastAsia="仿宋" w:hAnsi="仿宋" w:cs="仿宋"/>
          <w:sz w:val="28"/>
          <w:szCs w:val="20"/>
        </w:rPr>
        <w:t>及配套设施（</w:t>
      </w:r>
      <w:r w:rsidR="00FB126F">
        <w:rPr>
          <w:rFonts w:ascii="仿宋" w:eastAsia="仿宋" w:hAnsi="仿宋" w:cs="仿宋" w:hint="eastAsia"/>
          <w:sz w:val="28"/>
          <w:szCs w:val="20"/>
        </w:rPr>
        <w:t>UPS和</w:t>
      </w:r>
      <w:r w:rsidR="00FB126F">
        <w:rPr>
          <w:rFonts w:ascii="仿宋" w:eastAsia="仿宋" w:hAnsi="仿宋" w:cs="仿宋" w:hint="eastAsia"/>
          <w:sz w:val="28"/>
          <w:szCs w:val="20"/>
        </w:rPr>
        <w:t>黑碳仪</w:t>
      </w:r>
      <w:r w:rsidR="00FB126F">
        <w:rPr>
          <w:rFonts w:ascii="仿宋" w:eastAsia="仿宋" w:hAnsi="仿宋" w:cs="仿宋" w:hint="eastAsia"/>
          <w:sz w:val="28"/>
          <w:szCs w:val="20"/>
        </w:rPr>
        <w:t>干燥管</w:t>
      </w:r>
      <w:r w:rsidR="00FB126F">
        <w:rPr>
          <w:rFonts w:ascii="仿宋" w:eastAsia="仿宋" w:hAnsi="仿宋" w:cs="仿宋"/>
          <w:sz w:val="28"/>
          <w:szCs w:val="20"/>
        </w:rPr>
        <w:t>）</w:t>
      </w:r>
      <w:r>
        <w:rPr>
          <w:rFonts w:ascii="仿宋" w:eastAsia="仿宋" w:hAnsi="仿宋" w:cs="仿宋" w:hint="eastAsia"/>
          <w:sz w:val="28"/>
          <w:szCs w:val="20"/>
        </w:rPr>
        <w:t>，促进郑州地区的绿色低碳发展，更重要的是，通过长期科学监测得到的数据，为服务国家应对气候变化、生态文明建设和“双碳”目标实现等方面做出贡献，对促进减少温室气体排放、积极应对气候变化，具有非常重要的意义。</w:t>
      </w:r>
    </w:p>
    <w:p w:rsidR="00082782" w:rsidP="0036391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082782" w:rsidP="0036391F">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sidR="0036391F">
        <w:rPr>
          <w:rFonts w:ascii="仿宋" w:eastAsia="仿宋" w:hAnsi="仿宋" w:cs="仿宋" w:hint="eastAsia"/>
          <w:sz w:val="28"/>
          <w:szCs w:val="20"/>
          <w:highlight w:val="yellow"/>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sidR="0036391F">
        <w:rPr>
          <w:rFonts w:ascii="仿宋" w:eastAsia="仿宋" w:hAnsi="仿宋" w:cs="仿宋" w:hint="eastAsia"/>
          <w:sz w:val="28"/>
          <w:szCs w:val="20"/>
          <w:highlight w:val="yellow"/>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082782" w:rsidP="0036391F">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36391F">
        <w:rPr>
          <w:rFonts w:ascii="仿宋" w:eastAsia="仿宋" w:hAnsi="仿宋" w:cs="仿宋" w:hint="eastAsia"/>
          <w:sz w:val="28"/>
          <w:szCs w:val="20"/>
        </w:rPr>
        <w:t>郑州市气象局</w:t>
      </w:r>
      <w:r>
        <w:rPr>
          <w:rFonts w:ascii="仿宋" w:eastAsia="仿宋" w:hAnsi="仿宋" w:cs="仿宋" w:hint="eastAsia"/>
          <w:sz w:val="28"/>
          <w:szCs w:val="20"/>
        </w:rPr>
        <w:t>（运输相关费用由供</w:t>
      </w:r>
      <w:r>
        <w:rPr>
          <w:rFonts w:ascii="仿宋" w:eastAsia="仿宋" w:hAnsi="仿宋" w:cs="仿宋" w:hint="eastAsia"/>
          <w:sz w:val="28"/>
          <w:szCs w:val="20"/>
        </w:rPr>
        <w:t>应商负责），并负责安装调试。</w:t>
      </w:r>
    </w:p>
    <w:p w:rsidR="00082782" w:rsidP="0036391F">
      <w:pPr>
        <w:ind w:firstLine="560" w:firstLineChars="200"/>
        <w:rPr>
          <w:rFonts w:ascii="仿宋" w:eastAsia="仿宋" w:hAnsi="仿宋" w:cs="仿宋"/>
          <w:b/>
          <w:bCs/>
          <w:sz w:val="28"/>
          <w:szCs w:val="20"/>
        </w:rPr>
      </w:pPr>
      <w:r w:rsidRPr="0036391F">
        <w:rPr>
          <w:rFonts w:ascii="仿宋" w:eastAsia="仿宋" w:hAnsi="仿宋" w:cs="仿宋" w:hint="eastAsia"/>
          <w:sz w:val="28"/>
          <w:szCs w:val="20"/>
        </w:rPr>
        <w:t>合同签订后120天内交货，30天内完成安装调试并具备验收条件</w:t>
      </w:r>
      <w:r w:rsidR="003C2E28">
        <w:rPr>
          <w:rFonts w:ascii="仿宋" w:eastAsia="仿宋" w:hAnsi="仿宋" w:cs="仿宋" w:hint="eastAsia"/>
          <w:sz w:val="28"/>
          <w:szCs w:val="20"/>
        </w:rPr>
        <w:t>。</w:t>
      </w:r>
      <w:r w:rsidR="003C2E28">
        <w:rPr>
          <w:rFonts w:ascii="仿宋" w:eastAsia="仿宋" w:hAnsi="仿宋" w:cs="仿宋" w:hint="eastAsia"/>
          <w:sz w:val="28"/>
          <w:szCs w:val="20"/>
        </w:rPr>
        <w:br/>
      </w:r>
      <w:r w:rsidR="003C2E28">
        <w:rPr>
          <w:rFonts w:ascii="仿宋" w:eastAsia="仿宋" w:hAnsi="仿宋" w:cs="仿宋" w:hint="eastAsia"/>
          <w:b/>
          <w:bCs/>
          <w:sz w:val="28"/>
          <w:szCs w:val="20"/>
        </w:rPr>
        <w:t>五、服务团队要求</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082782" w:rsidP="0036391F">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082782">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rsidR="00082782" w:rsidP="0036391F">
      <w:pPr>
        <w:ind w:firstLine="560" w:firstLineChars="200"/>
        <w:rPr>
          <w:rFonts w:ascii="仿宋" w:eastAsia="仿宋" w:hAnsi="仿宋" w:cs="仿宋"/>
          <w:sz w:val="28"/>
          <w:szCs w:val="20"/>
        </w:rPr>
      </w:pPr>
      <w:r>
        <w:rPr>
          <w:rFonts w:ascii="仿宋" w:eastAsia="仿宋" w:hAnsi="仿宋" w:cs="仿宋" w:hint="eastAsia"/>
          <w:b/>
          <w:bCs/>
          <w:sz w:val="28"/>
          <w:szCs w:val="20"/>
        </w:rPr>
        <w:t>七、</w:t>
      </w:r>
      <w:r w:rsidR="00E96450">
        <w:rPr>
          <w:rFonts w:ascii="仿宋" w:eastAsia="仿宋" w:hAnsi="仿宋" w:cs="仿宋" w:hint="eastAsia"/>
          <w:b/>
          <w:bCs/>
          <w:sz w:val="28"/>
          <w:szCs w:val="20"/>
        </w:rPr>
        <w:t>其他</w:t>
      </w:r>
    </w:p>
    <w:p w:rsidR="003C2E28">
      <w:pPr>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0"/>
        </w:rPr>
        <w:t>.UPS</w:t>
      </w:r>
    </w:p>
    <w:p w:rsidR="003C2E28" w:rsidP="003C2E28">
      <w:pPr>
        <w:ind w:firstLine="560" w:firstLineChars="200"/>
        <w:rPr>
          <w:rFonts w:ascii="仿宋" w:eastAsia="仿宋" w:hAnsi="仿宋" w:cs="仿宋"/>
          <w:sz w:val="28"/>
          <w:szCs w:val="20"/>
        </w:rPr>
      </w:pPr>
      <w:r w:rsidRPr="003C2E28">
        <w:rPr>
          <w:rFonts w:ascii="仿宋" w:eastAsia="仿宋" w:hAnsi="仿宋" w:cs="仿宋" w:hint="eastAsia"/>
          <w:sz w:val="28"/>
          <w:szCs w:val="20"/>
        </w:rPr>
        <w:t>主机：80KW，蓄电池：12V100AH/块*96块*3个电池柜。</w:t>
      </w:r>
      <w:r>
        <w:rPr>
          <w:rFonts w:ascii="仿宋" w:eastAsia="仿宋" w:hAnsi="仿宋" w:cs="仿宋" w:hint="eastAsia"/>
          <w:sz w:val="28"/>
          <w:szCs w:val="20"/>
        </w:rPr>
        <w:t>设备质保期为8年。</w:t>
      </w:r>
    </w:p>
    <w:p w:rsidR="003C2E28" w:rsidP="003C2E28">
      <w:pPr>
        <w:ind w:firstLine="560" w:firstLineChars="200"/>
        <w:rPr>
          <w:rFonts w:ascii="仿宋" w:eastAsia="仿宋" w:hAnsi="仿宋" w:cs="仿宋"/>
          <w:sz w:val="28"/>
          <w:szCs w:val="20"/>
        </w:rPr>
      </w:pPr>
      <w:r>
        <w:rPr>
          <w:rFonts w:ascii="仿宋" w:eastAsia="仿宋" w:hAnsi="仿宋" w:cs="仿宋" w:hint="eastAsia"/>
          <w:sz w:val="28"/>
          <w:szCs w:val="20"/>
        </w:rPr>
        <w:t>2</w:t>
      </w:r>
      <w:r>
        <w:rPr>
          <w:rFonts w:ascii="仿宋" w:eastAsia="仿宋" w:hAnsi="仿宋" w:cs="仿宋" w:hint="eastAsia"/>
          <w:sz w:val="28"/>
          <w:szCs w:val="20"/>
        </w:rPr>
        <w:t>.</w:t>
      </w:r>
      <w:r w:rsidRPr="003C2E28">
        <w:rPr>
          <w:rFonts w:hint="eastAsia"/>
        </w:rPr>
        <w:t xml:space="preserve"> </w:t>
      </w:r>
      <w:r w:rsidRPr="003C2E28">
        <w:rPr>
          <w:rFonts w:ascii="仿宋" w:eastAsia="仿宋" w:hAnsi="仿宋" w:cs="仿宋" w:hint="eastAsia"/>
          <w:sz w:val="28"/>
          <w:szCs w:val="20"/>
        </w:rPr>
        <w:t>黑碳仪</w:t>
      </w:r>
      <w:r w:rsidRPr="003C2E28">
        <w:rPr>
          <w:rFonts w:ascii="仿宋" w:eastAsia="仿宋" w:hAnsi="仿宋" w:cs="仿宋" w:hint="eastAsia"/>
          <w:sz w:val="28"/>
          <w:szCs w:val="20"/>
        </w:rPr>
        <w:t>干燥管</w:t>
      </w:r>
    </w:p>
    <w:p w:rsidR="003C2E28" w:rsidRPr="003C2E28" w:rsidP="003C2E28">
      <w:pPr>
        <w:ind w:firstLine="560" w:firstLineChars="200"/>
        <w:rPr>
          <w:rFonts w:ascii="仿宋" w:eastAsia="仿宋" w:hAnsi="仿宋" w:cs="仿宋"/>
          <w:sz w:val="28"/>
          <w:szCs w:val="20"/>
        </w:rPr>
      </w:pPr>
      <w:r>
        <w:rPr>
          <w:rFonts w:ascii="仿宋" w:eastAsia="仿宋" w:hAnsi="仿宋" w:cs="仿宋" w:hint="eastAsia"/>
          <w:sz w:val="28"/>
          <w:szCs w:val="20"/>
        </w:rPr>
        <w:t>（1）设备质保期为8年，主要</w:t>
      </w:r>
      <w:r w:rsidRPr="003C2E28">
        <w:rPr>
          <w:rFonts w:ascii="仿宋" w:eastAsia="仿宋" w:hAnsi="仿宋" w:cs="仿宋" w:hint="eastAsia"/>
          <w:sz w:val="28"/>
          <w:szCs w:val="20"/>
        </w:rPr>
        <w:t>功能</w:t>
      </w:r>
      <w:r>
        <w:rPr>
          <w:rFonts w:ascii="仿宋" w:eastAsia="仿宋" w:hAnsi="仿宋" w:cs="仿宋" w:hint="eastAsia"/>
          <w:sz w:val="28"/>
          <w:szCs w:val="20"/>
        </w:rPr>
        <w:t>为</w:t>
      </w:r>
      <w:r w:rsidRPr="003C2E28">
        <w:rPr>
          <w:rFonts w:ascii="仿宋" w:eastAsia="仿宋" w:hAnsi="仿宋" w:cs="仿宋" w:hint="eastAsia"/>
          <w:sz w:val="28"/>
          <w:szCs w:val="20"/>
        </w:rPr>
        <w:t>除水。</w:t>
      </w:r>
    </w:p>
    <w:p w:rsidR="003C2E28" w:rsidRPr="003C2E28" w:rsidP="003C2E28">
      <w:pPr>
        <w:ind w:left="560"/>
        <w:rPr>
          <w:rFonts w:ascii="仿宋" w:eastAsia="仿宋" w:hAnsi="仿宋" w:cs="仿宋"/>
          <w:sz w:val="28"/>
          <w:szCs w:val="20"/>
        </w:rPr>
      </w:pPr>
      <w:r>
        <w:rPr>
          <w:rFonts w:ascii="仿宋" w:eastAsia="仿宋" w:hAnsi="仿宋" w:cs="仿宋" w:hint="eastAsia"/>
          <w:sz w:val="28"/>
          <w:szCs w:val="20"/>
        </w:rPr>
        <w:t>（2）</w:t>
      </w:r>
      <w:r w:rsidRPr="003C2E28">
        <w:rPr>
          <w:rFonts w:ascii="仿宋" w:eastAsia="仿宋" w:hAnsi="仿宋" w:cs="仿宋" w:hint="eastAsia"/>
          <w:sz w:val="28"/>
          <w:szCs w:val="20"/>
        </w:rPr>
        <w:t>设备（含软件）配置清单</w:t>
      </w:r>
    </w:p>
    <w:tbl>
      <w:tblPr>
        <w:tblStyle w:val="TableNormal"/>
        <w:tblW w:w="47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230"/>
        <w:gridCol w:w="1564"/>
        <w:gridCol w:w="1500"/>
      </w:tblGrid>
      <w:tr w:rsidTr="003C2E28">
        <w:tblPrEx>
          <w:tblW w:w="47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0"/>
          <w:tblHeader/>
          <w:jc w:val="center"/>
        </w:trPr>
        <w:tc>
          <w:tcPr>
            <w:tcW w:w="504" w:type="pct"/>
            <w:tcBorders>
              <w:top w:val="single" w:sz="4" w:space="0" w:color="auto"/>
              <w:left w:val="single" w:sz="4" w:space="0" w:color="auto"/>
              <w:bottom w:val="single" w:sz="4" w:space="0" w:color="auto"/>
              <w:right w:val="single" w:sz="4" w:space="0" w:color="auto"/>
            </w:tcBorders>
            <w:vAlign w:val="center"/>
            <w:hideMark/>
          </w:tcPr>
          <w:p w:rsidR="003C2E28" w:rsidRPr="003C2E28" w:rsidP="003C2E28">
            <w:pPr>
              <w:rPr>
                <w:rFonts w:ascii="仿宋" w:eastAsia="仿宋" w:hAnsi="仿宋" w:cs="仿宋"/>
                <w:b/>
                <w:bCs/>
                <w:sz w:val="28"/>
                <w:szCs w:val="20"/>
              </w:rPr>
            </w:pPr>
            <w:r w:rsidRPr="003C2E28">
              <w:rPr>
                <w:rFonts w:ascii="仿宋" w:eastAsia="仿宋" w:hAnsi="仿宋" w:cs="仿宋" w:hint="eastAsia"/>
                <w:b/>
                <w:bCs/>
                <w:sz w:val="28"/>
                <w:szCs w:val="20"/>
              </w:rPr>
              <w:t>序号</w:t>
            </w:r>
          </w:p>
        </w:tc>
        <w:tc>
          <w:tcPr>
            <w:tcW w:w="2606" w:type="pct"/>
            <w:tcBorders>
              <w:top w:val="single" w:sz="4" w:space="0" w:color="auto"/>
              <w:left w:val="single" w:sz="4" w:space="0" w:color="auto"/>
              <w:bottom w:val="single" w:sz="4" w:space="0" w:color="auto"/>
              <w:right w:val="single" w:sz="4" w:space="0" w:color="auto"/>
            </w:tcBorders>
            <w:vAlign w:val="center"/>
            <w:hideMark/>
          </w:tcPr>
          <w:p w:rsidR="003C2E28" w:rsidRPr="003C2E28" w:rsidP="003C2E28">
            <w:pPr>
              <w:ind w:firstLine="560" w:firstLineChars="200"/>
              <w:rPr>
                <w:rFonts w:ascii="仿宋" w:eastAsia="仿宋" w:hAnsi="仿宋" w:cs="仿宋"/>
                <w:b/>
                <w:bCs/>
                <w:sz w:val="28"/>
                <w:szCs w:val="20"/>
              </w:rPr>
            </w:pPr>
            <w:r w:rsidRPr="003C2E28">
              <w:rPr>
                <w:rFonts w:ascii="仿宋" w:eastAsia="仿宋" w:hAnsi="仿宋" w:cs="仿宋" w:hint="eastAsia"/>
                <w:b/>
                <w:bCs/>
                <w:sz w:val="28"/>
                <w:szCs w:val="20"/>
              </w:rPr>
              <w:t>名称</w:t>
            </w:r>
          </w:p>
        </w:tc>
        <w:tc>
          <w:tcPr>
            <w:tcW w:w="963" w:type="pct"/>
            <w:tcBorders>
              <w:top w:val="single" w:sz="4" w:space="0" w:color="auto"/>
              <w:left w:val="single" w:sz="4" w:space="0" w:color="auto"/>
              <w:bottom w:val="single" w:sz="4" w:space="0" w:color="auto"/>
              <w:right w:val="single" w:sz="4" w:space="0" w:color="auto"/>
            </w:tcBorders>
            <w:vAlign w:val="center"/>
            <w:hideMark/>
          </w:tcPr>
          <w:p w:rsidR="003C2E28" w:rsidRPr="003C2E28" w:rsidP="003C2E28">
            <w:pPr>
              <w:ind w:firstLine="560" w:firstLineChars="200"/>
              <w:rPr>
                <w:rFonts w:ascii="仿宋" w:eastAsia="仿宋" w:hAnsi="仿宋" w:cs="仿宋"/>
                <w:b/>
                <w:bCs/>
                <w:sz w:val="28"/>
                <w:szCs w:val="20"/>
              </w:rPr>
            </w:pPr>
            <w:r w:rsidRPr="003C2E28">
              <w:rPr>
                <w:rFonts w:ascii="仿宋" w:eastAsia="仿宋" w:hAnsi="仿宋" w:cs="仿宋" w:hint="eastAsia"/>
                <w:b/>
                <w:bCs/>
                <w:sz w:val="28"/>
                <w:szCs w:val="20"/>
              </w:rPr>
              <w:t>数量</w:t>
            </w:r>
          </w:p>
        </w:tc>
        <w:tc>
          <w:tcPr>
            <w:tcW w:w="924" w:type="pct"/>
            <w:tcBorders>
              <w:top w:val="single" w:sz="4" w:space="0" w:color="auto"/>
              <w:left w:val="single" w:sz="4" w:space="0" w:color="auto"/>
              <w:bottom w:val="single" w:sz="4" w:space="0" w:color="auto"/>
              <w:right w:val="single" w:sz="4" w:space="0" w:color="auto"/>
            </w:tcBorders>
            <w:vAlign w:val="center"/>
            <w:hideMark/>
          </w:tcPr>
          <w:p w:rsidR="003C2E28" w:rsidRPr="003C2E28" w:rsidP="003C2E28">
            <w:pPr>
              <w:ind w:firstLine="560" w:firstLineChars="200"/>
              <w:rPr>
                <w:rFonts w:ascii="仿宋" w:eastAsia="仿宋" w:hAnsi="仿宋" w:cs="仿宋"/>
                <w:b/>
                <w:bCs/>
                <w:sz w:val="28"/>
                <w:szCs w:val="20"/>
              </w:rPr>
            </w:pPr>
            <w:r w:rsidRPr="003C2E28">
              <w:rPr>
                <w:rFonts w:ascii="仿宋" w:eastAsia="仿宋" w:hAnsi="仿宋" w:cs="仿宋" w:hint="eastAsia"/>
                <w:b/>
                <w:bCs/>
                <w:sz w:val="28"/>
                <w:szCs w:val="20"/>
              </w:rPr>
              <w:t>备注</w:t>
            </w:r>
          </w:p>
        </w:tc>
      </w:tr>
      <w:tr w:rsidTr="003C2E28">
        <w:tblPrEx>
          <w:tblW w:w="4758" w:type="pct"/>
          <w:jc w:val="center"/>
          <w:tblLook w:val="04A0"/>
        </w:tblPrEx>
        <w:trPr>
          <w:trHeight w:val="20"/>
          <w:jc w:val="center"/>
        </w:trPr>
        <w:tc>
          <w:tcPr>
            <w:tcW w:w="504" w:type="pct"/>
            <w:tcBorders>
              <w:top w:val="single" w:sz="4" w:space="0" w:color="auto"/>
              <w:left w:val="single" w:sz="4" w:space="0" w:color="auto"/>
              <w:bottom w:val="single" w:sz="4" w:space="0" w:color="auto"/>
              <w:right w:val="single" w:sz="4" w:space="0" w:color="auto"/>
            </w:tcBorders>
            <w:vAlign w:val="center"/>
          </w:tcPr>
          <w:p w:rsidR="003C2E28" w:rsidRPr="003C2E28" w:rsidP="003C2E28">
            <w:pPr>
              <w:numPr>
                <w:ilvl w:val="0"/>
                <w:numId w:val="6"/>
              </w:numPr>
              <w:ind w:firstLine="560" w:firstLineChars="200"/>
              <w:rPr>
                <w:rFonts w:ascii="仿宋" w:eastAsia="仿宋" w:hAnsi="仿宋" w:cs="仿宋"/>
                <w:sz w:val="28"/>
                <w:szCs w:val="20"/>
              </w:rPr>
            </w:pPr>
          </w:p>
        </w:tc>
        <w:tc>
          <w:tcPr>
            <w:tcW w:w="2606" w:type="pct"/>
            <w:tcBorders>
              <w:top w:val="single" w:sz="4" w:space="0" w:color="auto"/>
              <w:left w:val="single" w:sz="4" w:space="0" w:color="auto"/>
              <w:bottom w:val="single" w:sz="4" w:space="0" w:color="auto"/>
              <w:right w:val="single" w:sz="4" w:space="0" w:color="auto"/>
            </w:tcBorders>
            <w:hideMark/>
          </w:tcPr>
          <w:p w:rsidR="003C2E28" w:rsidRPr="003C2E28" w:rsidP="003C2E28">
            <w:pPr>
              <w:ind w:firstLine="560" w:firstLineChars="200"/>
              <w:rPr>
                <w:rFonts w:ascii="仿宋" w:eastAsia="仿宋" w:hAnsi="仿宋" w:cs="仿宋"/>
                <w:sz w:val="28"/>
                <w:szCs w:val="20"/>
              </w:rPr>
            </w:pPr>
            <w:r w:rsidRPr="003C2E28">
              <w:rPr>
                <w:rFonts w:ascii="仿宋" w:eastAsia="仿宋" w:hAnsi="仿宋" w:cs="仿宋" w:hint="eastAsia"/>
                <w:sz w:val="28"/>
                <w:szCs w:val="20"/>
              </w:rPr>
              <w:t>干燥管</w:t>
            </w:r>
          </w:p>
        </w:tc>
        <w:tc>
          <w:tcPr>
            <w:tcW w:w="963" w:type="pct"/>
            <w:tcBorders>
              <w:top w:val="single" w:sz="4" w:space="0" w:color="auto"/>
              <w:left w:val="single" w:sz="4" w:space="0" w:color="auto"/>
              <w:bottom w:val="single" w:sz="4" w:space="0" w:color="auto"/>
              <w:right w:val="single" w:sz="4" w:space="0" w:color="auto"/>
            </w:tcBorders>
            <w:vAlign w:val="center"/>
            <w:hideMark/>
          </w:tcPr>
          <w:p w:rsidR="003C2E28" w:rsidRPr="003C2E28" w:rsidP="003C2E28">
            <w:pPr>
              <w:ind w:firstLine="560" w:firstLineChars="200"/>
              <w:rPr>
                <w:rFonts w:ascii="仿宋" w:eastAsia="仿宋" w:hAnsi="仿宋" w:cs="仿宋"/>
                <w:sz w:val="28"/>
                <w:szCs w:val="20"/>
              </w:rPr>
            </w:pPr>
            <w:r w:rsidRPr="003C2E28">
              <w:rPr>
                <w:rFonts w:ascii="仿宋" w:eastAsia="仿宋" w:hAnsi="仿宋" w:cs="仿宋" w:hint="eastAsia"/>
                <w:sz w:val="28"/>
                <w:szCs w:val="20"/>
              </w:rPr>
              <w:t>1套</w:t>
            </w:r>
          </w:p>
        </w:tc>
        <w:tc>
          <w:tcPr>
            <w:tcW w:w="924" w:type="pct"/>
            <w:tcBorders>
              <w:top w:val="single" w:sz="4" w:space="0" w:color="auto"/>
              <w:left w:val="single" w:sz="4" w:space="0" w:color="auto"/>
              <w:bottom w:val="single" w:sz="4" w:space="0" w:color="auto"/>
              <w:right w:val="single" w:sz="4" w:space="0" w:color="auto"/>
            </w:tcBorders>
            <w:vAlign w:val="center"/>
          </w:tcPr>
          <w:p w:rsidR="003C2E28" w:rsidRPr="003C2E28" w:rsidP="003C2E28">
            <w:pPr>
              <w:ind w:firstLine="560" w:firstLineChars="200"/>
              <w:rPr>
                <w:rFonts w:ascii="仿宋" w:eastAsia="仿宋" w:hAnsi="仿宋" w:cs="仿宋"/>
                <w:sz w:val="28"/>
                <w:szCs w:val="20"/>
              </w:rPr>
            </w:pPr>
          </w:p>
        </w:tc>
      </w:tr>
    </w:tbl>
    <w:p w:rsidR="003C2E28" w:rsidRPr="003C2E28" w:rsidP="003C2E28">
      <w:pPr>
        <w:ind w:firstLine="560" w:firstLineChars="200"/>
        <w:rPr>
          <w:rFonts w:ascii="仿宋" w:eastAsia="仿宋" w:hAnsi="仿宋" w:cs="仿宋"/>
          <w:sz w:val="28"/>
          <w:szCs w:val="20"/>
        </w:rPr>
      </w:pPr>
      <w:r>
        <w:rPr>
          <w:rFonts w:ascii="仿宋" w:eastAsia="仿宋" w:hAnsi="仿宋" w:cs="仿宋" w:hint="eastAsia"/>
          <w:sz w:val="28"/>
          <w:szCs w:val="20"/>
        </w:rPr>
        <w:t>（3）</w:t>
      </w:r>
      <w:r w:rsidRPr="003C2E28">
        <w:rPr>
          <w:rFonts w:ascii="仿宋" w:eastAsia="仿宋" w:hAnsi="仿宋" w:cs="仿宋" w:hint="eastAsia"/>
          <w:sz w:val="28"/>
          <w:szCs w:val="20"/>
        </w:rPr>
        <w:t>主要技术性能要求</w:t>
      </w:r>
    </w:p>
    <w:p w:rsidR="003C2E28" w:rsidRPr="003C2E28" w:rsidP="003C2E28">
      <w:pPr>
        <w:ind w:firstLine="560" w:firstLineChars="200"/>
        <w:rPr>
          <w:rFonts w:ascii="仿宋" w:eastAsia="仿宋" w:hAnsi="仿宋" w:cs="仿宋"/>
          <w:sz w:val="28"/>
          <w:szCs w:val="20"/>
        </w:rPr>
      </w:pPr>
      <w:r w:rsidRPr="003C2E28">
        <w:rPr>
          <w:rFonts w:ascii="仿宋" w:eastAsia="仿宋" w:hAnsi="仿宋" w:cs="仿宋" w:hint="eastAsia"/>
          <w:sz w:val="28"/>
          <w:szCs w:val="20"/>
        </w:rPr>
        <w:t>外置泵流量：空载流量37L/min，工作流量5L/min（300 mbar绝压）</w:t>
      </w:r>
      <w:r>
        <w:rPr>
          <w:rFonts w:ascii="仿宋" w:eastAsia="仿宋" w:hAnsi="仿宋" w:cs="仿宋" w:hint="eastAsia"/>
          <w:sz w:val="28"/>
          <w:szCs w:val="20"/>
        </w:rPr>
        <w:t>；</w:t>
      </w:r>
      <w:r w:rsidRPr="003C2E28">
        <w:rPr>
          <w:rFonts w:ascii="仿宋" w:eastAsia="仿宋" w:hAnsi="仿宋" w:cs="仿宋" w:hint="eastAsia"/>
          <w:sz w:val="28"/>
          <w:szCs w:val="20"/>
        </w:rPr>
        <w:t>最大真空：100mbar绝压</w:t>
      </w:r>
      <w:r>
        <w:rPr>
          <w:rFonts w:ascii="仿宋" w:eastAsia="仿宋" w:hAnsi="仿宋" w:cs="仿宋" w:hint="eastAsia"/>
          <w:sz w:val="28"/>
          <w:szCs w:val="20"/>
        </w:rPr>
        <w:t>。</w:t>
      </w:r>
    </w:p>
    <w:p w:rsidR="003C2E28" w:rsidRPr="003C2E28" w:rsidP="003C2E28">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221786">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2178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w:t>
      </w:r>
      <w:r>
        <w:rPr>
          <w:rFonts w:ascii="宋体" w:hAnsi="宋体" w:hint="eastAsia"/>
          <w:szCs w:val="21"/>
        </w:rPr>
        <w:t>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F5889">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E10CE" w:rsidRPr="006E10CE" w:rsidP="006E10CE">
            <w:pPr>
              <w:rPr>
                <w:sz w:val="18"/>
                <w:szCs w:val="18"/>
              </w:rPr>
            </w:pPr>
            <w:r w:rsidRPr="006E10CE">
              <w:rPr>
                <w:rFonts w:hint="eastAsia"/>
                <w:sz w:val="18"/>
                <w:szCs w:val="18"/>
              </w:rPr>
              <w:t>序号</w:t>
            </w:r>
          </w:p>
        </w:tc>
        <w:tc>
          <w:tcPr>
            <w:tcW w:w="898" w:type="dxa"/>
            <w:vAlign w:val="center"/>
          </w:tcPr>
          <w:p w:rsidR="006E10CE" w:rsidRPr="006E10CE" w:rsidP="006E10CE">
            <w:pPr>
              <w:jc w:val="center"/>
              <w:rPr>
                <w:sz w:val="18"/>
                <w:szCs w:val="18"/>
              </w:rPr>
            </w:pPr>
            <w:r w:rsidRPr="006E10CE">
              <w:rPr>
                <w:rFonts w:hint="eastAsia"/>
                <w:sz w:val="18"/>
                <w:szCs w:val="18"/>
              </w:rPr>
              <w:t>对应</w:t>
            </w:r>
          </w:p>
          <w:p w:rsidR="006E10CE" w:rsidRPr="006E10CE" w:rsidP="006E10CE">
            <w:pPr>
              <w:jc w:val="center"/>
              <w:rPr>
                <w:sz w:val="18"/>
                <w:szCs w:val="18"/>
              </w:rPr>
            </w:pPr>
            <w:r w:rsidRPr="006E10CE">
              <w:rPr>
                <w:rFonts w:hint="eastAsia"/>
                <w:sz w:val="18"/>
                <w:szCs w:val="18"/>
              </w:rPr>
              <w:t>条款号</w:t>
            </w:r>
          </w:p>
        </w:tc>
        <w:tc>
          <w:tcPr>
            <w:tcW w:w="7347" w:type="dxa"/>
            <w:vAlign w:val="center"/>
          </w:tcPr>
          <w:p w:rsidR="006E10CE" w:rsidRPr="006E10CE" w:rsidP="006E10CE">
            <w:pPr>
              <w:jc w:val="center"/>
              <w:rPr>
                <w:sz w:val="18"/>
                <w:szCs w:val="18"/>
              </w:rPr>
            </w:pPr>
            <w:r w:rsidRPr="006E10CE">
              <w:rPr>
                <w:rFonts w:hint="eastAsia"/>
                <w:sz w:val="18"/>
                <w:szCs w:val="18"/>
              </w:rPr>
              <w:t>内</w:t>
            </w:r>
            <w:r w:rsidRPr="006E10CE">
              <w:rPr>
                <w:rFonts w:hint="eastAsia"/>
                <w:sz w:val="18"/>
                <w:szCs w:val="18"/>
              </w:rPr>
              <w:t xml:space="preserve"> </w:t>
            </w:r>
            <w:r w:rsidRPr="006E10CE">
              <w:rPr>
                <w:rFonts w:hint="eastAsia"/>
                <w:sz w:val="18"/>
                <w:szCs w:val="18"/>
              </w:rPr>
              <w:t>容</w:t>
            </w:r>
          </w:p>
        </w:tc>
      </w:tr>
      <w:tr w:rsidTr="009F5889">
        <w:tblPrEx>
          <w:tblW w:w="8789" w:type="dxa"/>
          <w:tblLayout w:type="fixed"/>
          <w:tblLook w:val="04A0"/>
        </w:tblPrEx>
        <w:trPr>
          <w:cantSplit/>
        </w:trPr>
        <w:tc>
          <w:tcPr>
            <w:tcW w:w="8789" w:type="dxa"/>
            <w:gridSpan w:val="3"/>
            <w:vAlign w:val="center"/>
          </w:tcPr>
          <w:p w:rsidR="006E10CE" w:rsidRPr="006E10CE" w:rsidP="006E10CE">
            <w:pPr>
              <w:jc w:val="center"/>
              <w:rPr>
                <w:b/>
                <w:sz w:val="18"/>
                <w:szCs w:val="18"/>
              </w:rPr>
            </w:pPr>
            <w:r w:rsidRPr="006E10CE">
              <w:rPr>
                <w:rFonts w:hint="eastAsia"/>
                <w:b/>
                <w:sz w:val="18"/>
                <w:szCs w:val="18"/>
              </w:rPr>
              <w:t>第五章</w:t>
            </w:r>
            <w:r w:rsidRPr="006E10CE">
              <w:rPr>
                <w:rFonts w:hint="eastAsia"/>
                <w:b/>
                <w:sz w:val="18"/>
                <w:szCs w:val="18"/>
              </w:rPr>
              <w:t xml:space="preserve"> </w:t>
            </w:r>
            <w:r w:rsidRPr="006E10CE">
              <w:rPr>
                <w:rFonts w:hint="eastAsia"/>
                <w:b/>
                <w:sz w:val="18"/>
                <w:szCs w:val="18"/>
              </w:rPr>
              <w:t>投标人须知专用部分</w:t>
            </w:r>
          </w:p>
        </w:tc>
      </w:tr>
      <w:tr w:rsidTr="009F5889">
        <w:tblPrEx>
          <w:tblW w:w="8789" w:type="dxa"/>
          <w:tblLayout w:type="fixed"/>
          <w:tblLook w:val="04A0"/>
        </w:tblPrEx>
        <w:trPr>
          <w:cantSplit/>
        </w:trPr>
        <w:tc>
          <w:tcPr>
            <w:tcW w:w="544" w:type="dxa"/>
            <w:vAlign w:val="center"/>
          </w:tcPr>
          <w:p w:rsidR="006E10CE" w:rsidRPr="006E10CE" w:rsidP="006E10CE">
            <w:pPr>
              <w:numPr>
                <w:ilvl w:val="0"/>
                <w:numId w:val="16"/>
              </w:numPr>
              <w:rPr>
                <w:rFonts w:ascii="宋体" w:hAnsi="宋体"/>
                <w:sz w:val="18"/>
                <w:szCs w:val="18"/>
              </w:rPr>
            </w:pPr>
          </w:p>
        </w:tc>
        <w:tc>
          <w:tcPr>
            <w:tcW w:w="898" w:type="dxa"/>
            <w:vAlign w:val="center"/>
          </w:tcPr>
          <w:p w:rsidR="006E10CE" w:rsidRPr="006E10CE" w:rsidP="006E10CE">
            <w:pPr>
              <w:jc w:val="center"/>
              <w:rPr>
                <w:rFonts w:ascii="宋体" w:hAnsi="宋体"/>
                <w:sz w:val="18"/>
                <w:szCs w:val="18"/>
              </w:rPr>
            </w:pPr>
          </w:p>
        </w:tc>
        <w:tc>
          <w:tcPr>
            <w:tcW w:w="7347" w:type="dxa"/>
          </w:tcPr>
          <w:p w:rsidR="006E10CE" w:rsidRPr="006E10CE" w:rsidP="006E10CE">
            <w:pPr>
              <w:tabs>
                <w:tab w:val="left" w:pos="709"/>
              </w:tabs>
              <w:spacing w:line="360" w:lineRule="auto"/>
              <w:jc w:val="left"/>
              <w:rPr>
                <w:rFonts w:ascii="宋体" w:hAnsi="宋体" w:cs="微软雅黑"/>
                <w:b/>
                <w:color w:val="0000FF"/>
                <w:kern w:val="0"/>
                <w:sz w:val="18"/>
                <w:szCs w:val="18"/>
              </w:rPr>
            </w:pPr>
            <w:r w:rsidRPr="006E10CE">
              <w:rPr>
                <w:rFonts w:ascii="宋体" w:hAnsi="宋体" w:cs="微软雅黑" w:hint="eastAsia"/>
                <w:b/>
                <w:color w:val="0000FF"/>
                <w:kern w:val="0"/>
                <w:sz w:val="18"/>
                <w:szCs w:val="18"/>
              </w:rPr>
              <w:t>无</w:t>
            </w:r>
          </w:p>
        </w:tc>
      </w:tr>
      <w:tr w:rsidTr="009F5889">
        <w:tblPrEx>
          <w:tblW w:w="8789" w:type="dxa"/>
          <w:tblLayout w:type="fixed"/>
          <w:tblLook w:val="04A0"/>
        </w:tblPrEx>
        <w:trPr>
          <w:cantSplit/>
        </w:trPr>
        <w:tc>
          <w:tcPr>
            <w:tcW w:w="8789" w:type="dxa"/>
            <w:gridSpan w:val="3"/>
            <w:vAlign w:val="center"/>
          </w:tcPr>
          <w:p w:rsidR="006E10CE" w:rsidRPr="006E10CE" w:rsidP="006E10CE">
            <w:pPr>
              <w:jc w:val="center"/>
              <w:rPr>
                <w:sz w:val="18"/>
                <w:szCs w:val="18"/>
              </w:rPr>
            </w:pPr>
            <w:r w:rsidRPr="006E10CE">
              <w:rPr>
                <w:rFonts w:hint="eastAsia"/>
                <w:b/>
                <w:sz w:val="18"/>
                <w:szCs w:val="18"/>
              </w:rPr>
              <w:t>第七章</w:t>
            </w:r>
            <w:r w:rsidRPr="006E10CE">
              <w:rPr>
                <w:rFonts w:hint="eastAsia"/>
                <w:b/>
                <w:sz w:val="18"/>
                <w:szCs w:val="18"/>
              </w:rPr>
              <w:t xml:space="preserve">  </w:t>
            </w:r>
            <w:r w:rsidRPr="006E10CE">
              <w:rPr>
                <w:rFonts w:hint="eastAsia"/>
                <w:b/>
                <w:sz w:val="18"/>
                <w:szCs w:val="18"/>
              </w:rPr>
              <w:t>采购需求</w:t>
            </w:r>
          </w:p>
        </w:tc>
      </w:tr>
      <w:tr w:rsidTr="009F5889">
        <w:tblPrEx>
          <w:tblW w:w="8789" w:type="dxa"/>
          <w:tblLayout w:type="fixed"/>
          <w:tblLook w:val="04A0"/>
        </w:tblPrEx>
        <w:trPr>
          <w:cantSplit/>
        </w:trPr>
        <w:tc>
          <w:tcPr>
            <w:tcW w:w="544" w:type="dxa"/>
            <w:vAlign w:val="center"/>
          </w:tcPr>
          <w:p w:rsidR="006E10CE" w:rsidRPr="006E10CE" w:rsidP="006E10CE">
            <w:pPr>
              <w:numPr>
                <w:ilvl w:val="0"/>
                <w:numId w:val="16"/>
              </w:numPr>
              <w:rPr>
                <w:rFonts w:ascii="宋体" w:hAnsi="宋体"/>
                <w:sz w:val="18"/>
                <w:szCs w:val="18"/>
              </w:rPr>
            </w:pPr>
          </w:p>
        </w:tc>
        <w:tc>
          <w:tcPr>
            <w:tcW w:w="898" w:type="dxa"/>
            <w:vAlign w:val="center"/>
          </w:tcPr>
          <w:p w:rsidR="006E10CE" w:rsidRPr="006E10CE" w:rsidP="006E10CE">
            <w:pPr>
              <w:jc w:val="center"/>
              <w:rPr>
                <w:rFonts w:ascii="宋体" w:hAnsi="宋体"/>
                <w:sz w:val="18"/>
                <w:szCs w:val="18"/>
              </w:rPr>
            </w:pPr>
            <w:r w:rsidRPr="006E10CE">
              <w:rPr>
                <w:rFonts w:ascii="宋体" w:hAnsi="宋体" w:hint="eastAsia"/>
                <w:sz w:val="18"/>
                <w:szCs w:val="18"/>
              </w:rPr>
              <w:t>四、质保服务要求</w:t>
            </w:r>
          </w:p>
        </w:tc>
        <w:tc>
          <w:tcPr>
            <w:tcW w:w="7347" w:type="dxa"/>
            <w:vAlign w:val="center"/>
          </w:tcPr>
          <w:p w:rsidR="006E10CE" w:rsidRPr="006E10CE" w:rsidP="006E10CE">
            <w:pPr>
              <w:tabs>
                <w:tab w:val="left" w:pos="709"/>
              </w:tabs>
              <w:spacing w:line="360" w:lineRule="auto"/>
              <w:jc w:val="left"/>
              <w:rPr>
                <w:rFonts w:ascii="宋体" w:hAnsi="宋体"/>
                <w:sz w:val="18"/>
                <w:szCs w:val="18"/>
              </w:rPr>
            </w:pPr>
            <w:r w:rsidRPr="006E10CE">
              <w:rPr>
                <w:rFonts w:ascii="宋体" w:hAnsi="宋体" w:cs="微软雅黑" w:hint="eastAsia"/>
                <w:b/>
                <w:color w:val="0000FF"/>
                <w:kern w:val="0"/>
                <w:sz w:val="18"/>
                <w:szCs w:val="18"/>
              </w:rPr>
              <w:t>质保期：C02CH4H20分析仪(离轴积分腔输出光谱法)质保6年*，从双方签署现场安装测试报告之日起开始计算质保期。</w:t>
            </w:r>
          </w:p>
        </w:tc>
      </w:tr>
    </w:tbl>
    <w:p w:rsidR="0022178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221786">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A4601" w:rsidP="00B210F9">
      <w:pPr>
        <w:numPr>
          <w:ilvl w:val="0"/>
          <w:numId w:val="7"/>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BA4601">
      <w:pPr>
        <w:spacing w:line="360" w:lineRule="auto"/>
        <w:ind w:left="1680" w:firstLine="420"/>
        <w:jc w:val="left"/>
        <w:rPr>
          <w:b/>
          <w:bCs/>
          <w:szCs w:val="21"/>
        </w:rPr>
      </w:pPr>
      <w:r>
        <w:rPr>
          <w:rFonts w:hint="eastAsia"/>
          <w:b/>
          <w:bCs/>
          <w:szCs w:val="21"/>
        </w:rPr>
        <w:t>必须明确合同金额支付条件及支付比例</w:t>
      </w:r>
    </w:p>
    <w:p w:rsidR="00BA4601">
      <w:pPr>
        <w:pStyle w:val="BodyText"/>
        <w:spacing w:after="0"/>
        <w:jc w:val="center"/>
        <w:rPr>
          <w:rFonts w:ascii="宋体" w:hAnsi="宋体" w:cs="宋体"/>
          <w:b/>
          <w:bCs/>
          <w:spacing w:val="-20"/>
          <w:kern w:val="44"/>
          <w:sz w:val="48"/>
          <w:szCs w:val="48"/>
        </w:rPr>
      </w:pPr>
      <w:r>
        <w:rPr>
          <w:b/>
          <w:bCs/>
          <w:szCs w:val="21"/>
        </w:rPr>
        <w:br w:type="page"/>
      </w:r>
      <w:bookmarkStart w:id="71" w:name="_Toc3995"/>
    </w:p>
    <w:p w:rsidR="00BA4601">
      <w:pPr>
        <w:pStyle w:val="BodyText"/>
        <w:spacing w:after="0"/>
        <w:jc w:val="center"/>
        <w:rPr>
          <w:rFonts w:ascii="宋体" w:hAnsi="宋体" w:cs="宋体"/>
          <w:b/>
          <w:bCs/>
          <w:spacing w:val="-20"/>
          <w:kern w:val="44"/>
          <w:sz w:val="48"/>
          <w:szCs w:val="48"/>
        </w:rPr>
      </w:pPr>
    </w:p>
    <w:p w:rsidR="00BA4601">
      <w:pPr>
        <w:pStyle w:val="BodyText"/>
        <w:spacing w:after="0"/>
        <w:jc w:val="center"/>
        <w:rPr>
          <w:rFonts w:ascii="宋体" w:hAnsi="宋体" w:cs="宋体"/>
          <w:b/>
          <w:bCs/>
          <w:spacing w:val="-20"/>
          <w:kern w:val="44"/>
          <w:sz w:val="48"/>
          <w:szCs w:val="48"/>
        </w:rPr>
      </w:pPr>
    </w:p>
    <w:p w:rsidR="00BA4601">
      <w:pPr>
        <w:pStyle w:val="BodyText"/>
        <w:spacing w:after="0"/>
        <w:jc w:val="center"/>
        <w:rPr>
          <w:rFonts w:ascii="宋体" w:hAnsi="宋体" w:cs="宋体"/>
          <w:b/>
          <w:bCs/>
          <w:spacing w:val="-20"/>
          <w:kern w:val="44"/>
          <w:sz w:val="48"/>
          <w:szCs w:val="48"/>
        </w:rPr>
      </w:pPr>
    </w:p>
    <w:p w:rsidR="00BA4601">
      <w:pPr>
        <w:pStyle w:val="BodyText"/>
        <w:spacing w:after="0"/>
        <w:jc w:val="center"/>
        <w:rPr>
          <w:rFonts w:ascii="宋体" w:hAnsi="宋体" w:cs="宋体"/>
          <w:b/>
          <w:bCs/>
          <w:spacing w:val="-20"/>
          <w:kern w:val="44"/>
          <w:sz w:val="48"/>
          <w:szCs w:val="48"/>
        </w:rPr>
      </w:pPr>
    </w:p>
    <w:p w:rsidR="00BA4601">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A4601">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A4601">
      <w:pPr>
        <w:rPr>
          <w:rFonts w:ascii="宋体" w:hAnsi="宋体" w:cs="宋体"/>
          <w:b/>
          <w:bCs/>
          <w:spacing w:val="-20"/>
          <w:kern w:val="44"/>
          <w:sz w:val="40"/>
          <w:szCs w:val="40"/>
        </w:rPr>
      </w:pPr>
    </w:p>
    <w:p w:rsidR="00BA4601">
      <w:pPr>
        <w:rPr>
          <w:rFonts w:ascii="宋体" w:hAnsi="宋体" w:cs="宋体"/>
          <w:b/>
          <w:bCs/>
          <w:spacing w:val="-20"/>
          <w:kern w:val="44"/>
          <w:sz w:val="40"/>
          <w:szCs w:val="40"/>
        </w:rPr>
      </w:pPr>
    </w:p>
    <w:p w:rsidR="00BA4601">
      <w:pPr>
        <w:rPr>
          <w:rFonts w:ascii="宋体" w:hAnsi="宋体" w:cs="宋体"/>
          <w:b/>
          <w:bCs/>
          <w:spacing w:val="-20"/>
          <w:kern w:val="44"/>
          <w:sz w:val="40"/>
          <w:szCs w:val="40"/>
        </w:rPr>
      </w:pPr>
    </w:p>
    <w:p w:rsidR="00BA4601">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A4601">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A4601">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A4601">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A4601">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A4601"/>
    <w:p w:rsidR="00BA4601">
      <w:pPr>
        <w:rPr>
          <w:rFonts w:eastAsia="黑体"/>
          <w:sz w:val="44"/>
          <w:szCs w:val="44"/>
        </w:rPr>
      </w:pPr>
      <w:r>
        <w:rPr>
          <w:rFonts w:eastAsia="黑体"/>
          <w:sz w:val="44"/>
          <w:szCs w:val="44"/>
        </w:rPr>
        <w:br w:type="page"/>
      </w:r>
    </w:p>
    <w:p w:rsidR="00BA4601">
      <w:pPr>
        <w:rPr>
          <w:rFonts w:eastAsia="黑体"/>
          <w:sz w:val="44"/>
          <w:szCs w:val="44"/>
        </w:rPr>
      </w:pPr>
    </w:p>
    <w:p w:rsidR="00BA4601">
      <w:pPr>
        <w:rPr>
          <w:rFonts w:eastAsia="黑体"/>
          <w:sz w:val="44"/>
          <w:szCs w:val="44"/>
        </w:rPr>
      </w:pPr>
    </w:p>
    <w:p w:rsidR="00BA4601">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A4601">
      <w:pPr>
        <w:ind w:firstLine="640" w:firstLineChars="200"/>
        <w:rPr>
          <w:rFonts w:ascii="仿宋_GB2312" w:eastAsia="仿宋_GB2312" w:hAnsi="仿宋_GB2312" w:cs="仿宋_GB2312"/>
          <w:sz w:val="32"/>
          <w:szCs w:val="32"/>
        </w:rPr>
      </w:pPr>
    </w:p>
    <w:p w:rsidR="00BA460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A4601">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A460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A4601">
      <w:pPr>
        <w:rPr>
          <w:rFonts w:eastAsia="黑体"/>
          <w:sz w:val="44"/>
          <w:szCs w:val="44"/>
        </w:rPr>
        <w:sectPr>
          <w:pgSz w:w="11906" w:h="16838"/>
          <w:pgMar w:top="1440" w:right="1800" w:bottom="1440" w:left="1800" w:header="851" w:footer="992" w:gutter="0"/>
          <w:cols w:space="425"/>
          <w:docGrid w:type="lines" w:linePitch="312"/>
        </w:sectPr>
      </w:pPr>
    </w:p>
    <w:p w:rsidR="00BA4601">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BA4601">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BA4601">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A4601">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A4601">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A4601">
      <w:pPr>
        <w:spacing w:line="400" w:lineRule="exact"/>
      </w:pPr>
    </w:p>
    <w:p w:rsidR="00BA4601">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A4601">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A4601">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A4601">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A4601">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A4601">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BA4601">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A4601">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A4601">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A460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A460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A460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A460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A460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A460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A460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A4601">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A4601">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A4601">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A4601">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A4601">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4601">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4601">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4601">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4601">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A4601">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A4601">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BA4601">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A4601">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A4601">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A4601">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A460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A4601">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A4601">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A4601">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A4601">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A4601">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A4601">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A460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4601">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A4601">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A4601">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A460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4601">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A4601">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A4601">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BA460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4601">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A460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A4601">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A4601">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A460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A4601">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A460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A4601">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BA4601">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A4601">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BA4601">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BA4601">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1、合同生效后付款：双方签署合同后15个工作日内，乙方向甲方开具合同总金额的90%即人民币              元（大写）             元（小写）的有效发票，甲方在收到发票后15个工作日内向乙方支付；2、到货、检验后付款：双方签署到货验收报告后7个工作日内，乙方向甲方开具合同总金额的10%即人民币               元（大写）         元（小写）的有效发票，甲方在收到发票后15个工作日内向乙方支付。</w:t>
      </w:r>
      <w:r>
        <w:rPr>
          <w:rFonts w:ascii="宋体" w:hAnsi="宋体" w:hint="eastAsia"/>
          <w:szCs w:val="21"/>
          <w:u w:val="single"/>
        </w:rPr>
        <w:t xml:space="preserve"> </w:t>
      </w:r>
      <w:r>
        <w:rPr>
          <w:rFonts w:ascii="宋体" w:hAnsi="宋体" w:hint="eastAsia"/>
          <w:szCs w:val="21"/>
          <w:u w:val="single"/>
        </w:rPr>
        <w:t xml:space="preserve"> </w:t>
      </w:r>
    </w:p>
    <w:p w:rsidR="00BA4601">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A4601">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A4601" w:rsidP="00B210F9">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A4601">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A4601">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A4601">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A4601">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A460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A4601">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A4601">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A4601">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A4601">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A4601">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A4601">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A4601">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4601">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A460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A4601">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A4601">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A4601">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A460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BA460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A4601">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A4601">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A4601">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A4601" w:rsidP="00B210F9">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A4601">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A4601">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A4601">
      <w:r>
        <w:rPr>
          <w:rFonts w:hint="eastAsia"/>
        </w:rPr>
        <w:br w:type="page"/>
      </w:r>
    </w:p>
    <w:p w:rsidR="00BA4601">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A4601">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A4601">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法定代表人</w:t>
            </w:r>
          </w:p>
          <w:p w:rsidR="00BA4601">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法定代表人</w:t>
            </w:r>
          </w:p>
          <w:p w:rsidR="00BA4601">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4601">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A4601">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A4601">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A4601">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BA4601">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A460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A460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A460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A460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A460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BA460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A460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A4601">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A4601">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A4601">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A460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A4601">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A460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A460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A460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A4601">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A4601">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A4601">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A460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A460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BA4601">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A4601">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A4601">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A4601">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A4601">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BA4601">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A460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A460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BA4601">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A4601">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BA4601">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A4601">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A4601">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BA4601">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A4601">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A4601">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A4601">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A4601">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A4601">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A4601">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A4601">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A4601">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A4601">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BA4601">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A4601">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A4601">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A4601">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A4601">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A4601">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A4601">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BA4601">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BA4601">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A4601">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A4601">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BA4601">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A4601">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A4601">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BA4601">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A4601">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A4601">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BA4601">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A4601">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BA4601">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A4601">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A4601"/>
        </w:tc>
      </w:tr>
      <w:tr>
        <w:tblPrEx>
          <w:tblW w:w="8519" w:type="dxa"/>
          <w:tblInd w:w="108" w:type="dxa"/>
          <w:tblLayout w:type="fixed"/>
          <w:tblLook w:val="04A0"/>
        </w:tblPrEx>
        <w:trPr>
          <w:trHeight w:val="667"/>
        </w:trPr>
        <w:tc>
          <w:tcPr>
            <w:tcW w:w="1607" w:type="dxa"/>
            <w:vMerge/>
            <w:vAlign w:val="center"/>
          </w:tcPr>
          <w:p w:rsidR="00BA4601">
            <w:pPr>
              <w:adjustRightInd w:val="0"/>
              <w:snapToGrid w:val="0"/>
              <w:jc w:val="center"/>
              <w:rPr>
                <w:rFonts w:ascii="宋体" w:hAnsi="宋体"/>
                <w:szCs w:val="21"/>
              </w:rPr>
            </w:pPr>
          </w:p>
        </w:tc>
        <w:tc>
          <w:tcPr>
            <w:tcW w:w="1742" w:type="dxa"/>
            <w:vAlign w:val="center"/>
          </w:tcPr>
          <w:p w:rsidR="00BA4601">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A4601"/>
        </w:tc>
      </w:tr>
      <w:tr>
        <w:tblPrEx>
          <w:tblW w:w="8519" w:type="dxa"/>
          <w:tblInd w:w="108" w:type="dxa"/>
          <w:tblLayout w:type="fixed"/>
          <w:tblLook w:val="04A0"/>
        </w:tblPrEx>
        <w:trPr>
          <w:trHeight w:val="772"/>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A4601"/>
        </w:tc>
      </w:tr>
      <w:tr>
        <w:tblPrEx>
          <w:tblW w:w="8519" w:type="dxa"/>
          <w:tblInd w:w="108" w:type="dxa"/>
          <w:tblLayout w:type="fixed"/>
          <w:tblLook w:val="04A0"/>
        </w:tblPrEx>
        <w:trPr>
          <w:trHeight w:val="667"/>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A4601"/>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A4601">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货物质量缺陷</w:t>
            </w:r>
          </w:p>
          <w:p w:rsidR="00BA4601">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snapToGrid w:val="0"/>
              <w:jc w:val="center"/>
              <w:rPr>
                <w:rFonts w:ascii="宋体" w:hAnsi="宋体" w:cs="宋体"/>
                <w:szCs w:val="21"/>
              </w:rPr>
            </w:pPr>
            <w:r>
              <w:rPr>
                <w:rFonts w:ascii="宋体" w:hAnsi="宋体" w:cs="宋体" w:hint="eastAsia"/>
                <w:szCs w:val="21"/>
              </w:rPr>
              <w:t>第二节</w:t>
            </w:r>
          </w:p>
          <w:p w:rsidR="00BA4601">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A4601">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A460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A4601">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A4601">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A4601">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A4601">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A4601">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A4601">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A4601">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A4601">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A4601">
            <w:pPr>
              <w:adjustRightInd w:val="0"/>
              <w:snapToGrid w:val="0"/>
              <w:jc w:val="center"/>
              <w:rPr>
                <w:rFonts w:ascii="宋体" w:hAnsi="宋体"/>
                <w:szCs w:val="21"/>
              </w:rPr>
            </w:pPr>
            <w:r>
              <w:rPr>
                <w:rFonts w:ascii="宋体" w:hAnsi="宋体" w:hint="eastAsia"/>
                <w:szCs w:val="21"/>
              </w:rPr>
              <w:t>第二节</w:t>
            </w:r>
          </w:p>
          <w:p w:rsidR="00BA4601">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A4601">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A4601">
            <w:pPr>
              <w:adjustRightInd w:val="0"/>
              <w:snapToGrid w:val="0"/>
              <w:jc w:val="left"/>
              <w:rPr>
                <w:rFonts w:ascii="宋体" w:hAnsi="宋体"/>
                <w:szCs w:val="21"/>
              </w:rPr>
            </w:pPr>
          </w:p>
        </w:tc>
      </w:tr>
    </w:tbl>
    <w:p w:rsidR="00BA4601"/>
    <w:p w:rsidR="00BA4601">
      <w:pPr>
        <w:rPr>
          <w:b/>
          <w:bCs/>
          <w:sz w:val="44"/>
          <w:szCs w:val="44"/>
        </w:rPr>
      </w:pPr>
    </w:p>
    <w:p w:rsidR="00BA4601"/>
    <w:p w:rsidR="00A77B3E"/>
    <w:p w:rsidR="00BA4601" w:rsidP="00B210F9">
      <w:pPr>
        <w:numPr>
          <w:ilvl w:val="0"/>
          <w:numId w:val="7"/>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4EEA603"/>
    <w:multiLevelType w:val="multilevel"/>
    <w:tmpl w:val="D4EEA60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1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5"/>
  </w:num>
  <w:num w:numId="9">
    <w:abstractNumId w:val="1"/>
  </w:num>
  <w:num w:numId="10">
    <w:abstractNumId w:val="6"/>
  </w:num>
  <w:num w:numId="11">
    <w:abstractNumId w:val="4"/>
  </w:num>
  <w:num w:numId="12">
    <w:abstractNumId w:val="3"/>
  </w:num>
  <w:num w:numId="13">
    <w:abstractNumId w:val="12"/>
  </w:num>
  <w:num w:numId="14">
    <w:abstractNumId w:val="0"/>
  </w:num>
  <w:num w:numId="15">
    <w:abstractNumId w:val="5"/>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2782"/>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786"/>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391F"/>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2E28"/>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10CE"/>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10F9"/>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4601"/>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450"/>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126F"/>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