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森林防火观测数据处理软件平台开发（重新招标）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森林防火观测数据处理软件平台开发（重新招标）</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ZQCD-25408</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合同签订后12个月内完成开发部署并具备验收条件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2025年11月24日 00:00:00</w:t>
      </w:r>
      <w:bookmarkEnd w:id="27"/>
      <w:r>
        <w:rPr>
          <w:rFonts w:ascii="宋体" w:hint="eastAsia"/>
          <w:szCs w:val="21"/>
          <w:highlight w:val="none"/>
        </w:rPr>
        <w:t>至</w:t>
      </w:r>
      <w:bookmarkStart w:id="28" w:name="项目公告_signUpLastTime"/>
      <w:r>
        <w:rPr>
          <w:rFonts w:ascii="宋体" w:hint="eastAsia"/>
          <w:szCs w:val="21"/>
          <w:highlight w:val="none"/>
        </w:rPr>
        <w:t>2025年12月01日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2025年12月15日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庞文静</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010-58995036</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北京海淀区中关村南大街46号北区27号楼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中国气象局气象探测中心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否</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（1）标的：森林防火观测数据处理软件平台开发，属于软件和信息技术服务业行业；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是，代理服务费：3.1万元。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300.000000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300.000000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报价分（客观分）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提供 ISO9001 质量管理体系认证或同等质量管理体系认证证书，得4分；不提不得分。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每提供1份与该项目类似的合同得2分，最多得8分。否则不得分。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(6)</w:t>
            </w:r>
          </w:p>
        </w:tc>
        <w:tc>
          <w:tcPr/>
          <w:p>
            <w:r>
              <w:t>评审标准：</w:t>
            </w:r>
          </w:p>
          <w:p>
            <w:r>
              <w:t>每提供1份与本项目相关的软著、专利得3分，最多得 6分。</w:t>
            </w:r>
          </w:p>
          <w:p>
            <w:r>
              <w:t>评审标准说明：</w:t>
            </w:r>
          </w:p>
          <w:p>
            <w:r>
              <w:t>投标人提供原始取得的软件著作权、专利证书，并加盖投标人公章。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(14)</w:t>
            </w:r>
          </w:p>
        </w:tc>
        <w:tc>
          <w:tcPr/>
          <w:p>
            <w:r>
              <w:t>评审标准：</w:t>
            </w:r>
          </w:p>
          <w:p>
            <w:r>
              <w:t>投标人应组成本项目开发服务团队，团队组织结构清晰，应设服务团队负责人（项目经理）、技术负责人、技术开发人员，人员专业背景齐全。具体如下：</w:t>
              <w:cr/>
              <w:t>1、团队负责人（项目经理）需有计算机/气象/气象仪器类相关专业背景，且具有同类项目工作经验3年以上。完全满足得3分，否则不得分；</w:t>
              <w:cr/>
              <w:t>2、团队技术负责人需具有气象类高级工程师证书，且具有3年以上相关项目软件设计、开发和集成经验。完全满足得3分，否则不得分。</w:t>
              <w:cr/>
              <w:t>3、除团队负责人（项目经理）和技术负责人外，团队其他技术开发人员至少3人，且至少3人具有1年以上气象类软件开发的经验。完全满足得4分，否则不得分。</w:t>
              <w:cr/>
              <w:t xml:space="preserve">4、除团队负责人（项目经理）和技术负责人外，团队其他技术开发人员中每有一人有计算机/气象/气象仪器类高级职称的，得2分，最高得4分。 </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(4)</w:t>
            </w:r>
          </w:p>
        </w:tc>
        <w:tc>
          <w:tcPr/>
          <w:p>
            <w:r>
              <w:t>评审标准：</w:t>
            </w:r>
          </w:p>
          <w:p>
            <w:r>
              <w:t>提供书面承诺得4分。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软件关键技术识别（主观分）</w:t>
            </w:r>
          </w:p>
        </w:tc>
        <w:tc>
          <w:tcPr/>
          <w:p>
            <w:r>
              <w:t>勾选打分</w:t>
            </w:r>
            <w:r>
              <w:t>(4)</w:t>
            </w:r>
          </w:p>
        </w:tc>
        <w:tc>
          <w:tcPr/>
          <w:p>
            <w:r>
              <w:t>评审标准：</w:t>
            </w:r>
          </w:p>
          <w:p>
            <w:r>
              <w:t>一档0分</w:t>
              <w:cr/>
              <w:t>二档1分</w:t>
              <w:cr/>
              <w:t>三档2分</w:t>
              <w:cr/>
              <w:t>四档4分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15</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16</w:t>
            </w:r>
          </w:p>
        </w:tc>
        <w:tc>
          <w:tcPr>
            <w:vMerge/>
          </w:tcPr>
          <w:p>
            <w:r>
              <w:t>技术部分</w:t>
            </w:r>
          </w:p>
        </w:tc>
        <w:tc>
          <w:tcPr/>
          <w:p>
            <w:r>
              <w:t>模块设计技术方案（主观分）</w:t>
            </w:r>
          </w:p>
        </w:tc>
        <w:tc>
          <w:tcPr/>
          <w:p>
            <w:r>
              <w:t>区间打分</w:t>
            </w:r>
            <w:r>
              <w:t>(21)</w:t>
            </w:r>
          </w:p>
        </w:tc>
        <w:tc>
          <w:tcPr/>
          <w:p>
            <w:r>
              <w:t>评审标准：</w:t>
            </w:r>
          </w:p>
          <w:p>
            <w:r>
              <w:t>提交如下模块技术方案：</w:t>
              <w:cr/>
              <w:t>1、雷电定位处理中心子系统</w:t>
              <w:cr/>
              <w:t>2、可燃物监测实况子系统</w:t>
              <w:cr/>
              <w:t>3、红外探火报警子系统</w:t>
              <w:cr/>
              <w:t>4、数据支撑平台子系统</w:t>
              <w:cr/>
              <w:t>5、数据管理自动化子系统</w:t>
              <w:cr/>
              <w:t>6、专题报告子系统</w:t>
              <w:cr/>
              <w:t>7、可视化子系统</w:t>
              <w:cr/>
              <w:t>以上每个模块</w:t>
              <w:cr/>
              <w:t>一档0分</w:t>
              <w:cr/>
              <w:t>二档1分</w:t>
              <w:cr/>
              <w:t>三档2分</w:t>
              <w:cr/>
              <w:t>四档3分</w:t>
              <w:cr/>
              <w:t>以上共计7个模块，满分21分。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18</w:t>
            </w:r>
          </w:p>
        </w:tc>
        <w:tc>
          <w:tcPr>
            <w:vMerge/>
          </w:tcPr>
          <w:p>
            <w:r>
              <w:t>技术部分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19</w:t>
            </w:r>
          </w:p>
        </w:tc>
        <w:tc>
          <w:tcPr>
            <w:vMerge/>
          </w:tcPr>
          <w:p>
            <w:r>
              <w:t>技术部分</w:t>
            </w:r>
          </w:p>
        </w:tc>
        <w:tc>
          <w:tcPr/>
          <w:p>
            <w:r>
              <w:t>风险管理方案（主观分）</w:t>
            </w:r>
          </w:p>
        </w:tc>
        <w:tc>
          <w:tcPr/>
          <w:p>
            <w:r>
              <w:t>勾选打分</w:t>
            </w:r>
            <w:r>
              <w:t>(2)</w:t>
            </w:r>
          </w:p>
        </w:tc>
        <w:tc>
          <w:tcPr/>
          <w:p>
            <w:r>
              <w:t>评审标准：</w:t>
            </w:r>
          </w:p>
          <w:p>
            <w:r>
              <w:t>一档0分</w:t>
              <w:cr/>
              <w:t>二档0.5分</w:t>
              <w:cr/>
              <w:t>三档0.75分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56" w:beforeLines="50" w:line="360" w:lineRule="auto"/>
        <w:jc w:val="center"/>
        <w:outlineLvl w:val="1"/>
        <w:rPr>
          <w:rFonts w:ascii="宋体" w:hAnsi="宋体" w:hint="eastAsia"/>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jc w:val="left"/>
        <w:rPr>
          <w:b/>
          <w:szCs w:val="21"/>
        </w:rPr>
      </w:pPr>
    </w:p>
    <w:p>
      <w:pPr>
        <w:numPr>
          <w:ilvl w:val="0"/>
          <w:numId w:val="4"/>
        </w:numPr>
        <w:snapToGrid w:val="0"/>
        <w:spacing w:line="360" w:lineRule="auto"/>
        <w:jc w:val="left"/>
        <w:rPr>
          <w:rFonts w:ascii="宋体" w:hAnsi="宋体" w:hint="eastAsia"/>
          <w:szCs w:val="21"/>
        </w:rPr>
      </w:pPr>
      <w:r>
        <w:rPr>
          <w:rFonts w:ascii="宋体" w:hAnsi="宋体" w:hint="eastAsia"/>
          <w:b/>
          <w:szCs w:val="21"/>
        </w:rPr>
        <w:t>项目概况及总体要求</w:t>
      </w:r>
    </w:p>
    <w:p>
      <w:pPr>
        <w:snapToGrid w:val="0"/>
        <w:spacing w:line="360" w:lineRule="auto"/>
        <w:ind w:firstLine="420"/>
        <w:jc w:val="left"/>
        <w:rPr>
          <w:rFonts w:ascii="宋体" w:hAnsi="宋体" w:hint="eastAsia"/>
          <w:szCs w:val="21"/>
        </w:rPr>
      </w:pPr>
      <w:r>
        <w:rPr>
          <w:rFonts w:ascii="宋体" w:hAnsi="宋体" w:hint="eastAsia"/>
          <w:szCs w:val="21"/>
        </w:rPr>
        <w:t>为贯彻落实习近平总书记关于气象工作和森林草原防灭火工作的重要指示精神，加快提升大兴安岭地区森林草原防灭火气象保障服务能力，依据《气象高质量发展纲要（2022—2035年）》、《关于全面加强新形势下森林草原防灭火工作的意见》、《森林防火条例》、《生态保护和修复支撑体系重大工程建设规划（2021-2035年）》、《全国森林防火规划》、《大兴安岭林区森林草原火灾系统治理推进方案》、《东北全面振兴气象保障能力提升规划（2025—2030年）》、《大兴安岭林区森林草原防灭火气象保障服务能力提升实施方案》等相关要求，配套开发森林防火观测数据处理平台，有效提升雷电综合观测能力，填补可燃物探测要素监测空白，增强雷电防灾减灾气象观测能力和森林草原可燃物监测能力，提高大兴安岭地区森林草原防灭火气象服务质量。</w:t>
      </w:r>
    </w:p>
    <w:p>
      <w:pPr>
        <w:numPr>
          <w:ilvl w:val="0"/>
          <w:numId w:val="4"/>
        </w:numPr>
        <w:snapToGrid w:val="0"/>
        <w:spacing w:line="360" w:lineRule="auto"/>
        <w:jc w:val="left"/>
        <w:rPr>
          <w:rFonts w:ascii="宋体" w:hAnsi="宋体" w:hint="eastAsia"/>
          <w:b/>
          <w:szCs w:val="21"/>
        </w:rPr>
      </w:pPr>
      <w:r>
        <w:rPr>
          <w:rFonts w:ascii="宋体" w:hAnsi="宋体" w:hint="eastAsia"/>
          <w:b/>
          <w:szCs w:val="21"/>
        </w:rPr>
        <w:t>建设内容及技术要求</w:t>
      </w:r>
    </w:p>
    <w:p>
      <w:pPr>
        <w:snapToGrid w:val="0"/>
        <w:spacing w:line="360" w:lineRule="auto"/>
        <w:ind w:firstLine="420" w:firstLineChars="200"/>
        <w:jc w:val="left"/>
        <w:rPr>
          <w:rFonts w:ascii="宋体" w:hAnsi="宋体" w:hint="eastAsia"/>
          <w:b/>
          <w:szCs w:val="21"/>
        </w:rPr>
      </w:pPr>
      <w:r>
        <w:rPr>
          <w:rFonts w:ascii="宋体" w:hAnsi="宋体" w:hint="eastAsia"/>
          <w:b/>
          <w:szCs w:val="21"/>
        </w:rPr>
        <w:t>森林防火观测数据处理软件平台开发项目包括1个服务产品如下表所示：</w:t>
      </w:r>
    </w:p>
    <w:tbl>
      <w:tblPr>
        <w:tblStyle w:val="TableNormal"/>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8"/>
        <w:gridCol w:w="3051"/>
        <w:gridCol w:w="726"/>
        <w:gridCol w:w="1166"/>
        <w:gridCol w:w="1466"/>
        <w:gridCol w:w="1045"/>
      </w:tblGrid>
      <w:tr>
        <w:tblPrEx>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68" w:type="dxa"/>
          </w:tcPr>
          <w:p>
            <w:pPr>
              <w:snapToGrid w:val="0"/>
              <w:spacing w:line="360" w:lineRule="auto"/>
              <w:jc w:val="left"/>
              <w:rPr>
                <w:rFonts w:ascii="宋体" w:hAnsi="宋体" w:hint="eastAsia"/>
                <w:b/>
                <w:szCs w:val="21"/>
              </w:rPr>
            </w:pPr>
            <w:r>
              <w:rPr>
                <w:rFonts w:ascii="宋体" w:hAnsi="宋体" w:hint="eastAsia"/>
                <w:b/>
                <w:szCs w:val="21"/>
              </w:rPr>
              <w:t>序号</w:t>
            </w:r>
          </w:p>
        </w:tc>
        <w:tc>
          <w:tcPr>
            <w:tcW w:w="3283" w:type="dxa"/>
          </w:tcPr>
          <w:p>
            <w:pPr>
              <w:snapToGrid w:val="0"/>
              <w:spacing w:line="360" w:lineRule="auto"/>
              <w:jc w:val="left"/>
              <w:rPr>
                <w:rFonts w:ascii="宋体" w:hAnsi="宋体" w:hint="eastAsia"/>
                <w:b/>
                <w:szCs w:val="21"/>
              </w:rPr>
            </w:pPr>
            <w:r>
              <w:rPr>
                <w:rFonts w:ascii="宋体" w:hAnsi="宋体" w:hint="eastAsia"/>
                <w:b/>
                <w:szCs w:val="21"/>
              </w:rPr>
              <w:t>服务产品名称</w:t>
            </w:r>
          </w:p>
        </w:tc>
        <w:tc>
          <w:tcPr>
            <w:tcW w:w="753" w:type="dxa"/>
          </w:tcPr>
          <w:p>
            <w:pPr>
              <w:snapToGrid w:val="0"/>
              <w:spacing w:line="360" w:lineRule="auto"/>
              <w:jc w:val="left"/>
              <w:rPr>
                <w:rFonts w:ascii="宋体" w:hAnsi="宋体" w:hint="eastAsia"/>
                <w:b/>
                <w:szCs w:val="21"/>
              </w:rPr>
            </w:pPr>
            <w:r>
              <w:rPr>
                <w:rFonts w:ascii="宋体" w:hAnsi="宋体" w:hint="eastAsia"/>
                <w:b/>
                <w:szCs w:val="21"/>
              </w:rPr>
              <w:t>数量</w:t>
            </w:r>
          </w:p>
        </w:tc>
        <w:tc>
          <w:tcPr>
            <w:tcW w:w="1222" w:type="dxa"/>
          </w:tcPr>
          <w:p>
            <w:pPr>
              <w:snapToGrid w:val="0"/>
              <w:spacing w:line="360" w:lineRule="auto"/>
              <w:jc w:val="left"/>
              <w:rPr>
                <w:rFonts w:ascii="宋体" w:hAnsi="宋体" w:hint="eastAsia"/>
                <w:b/>
                <w:szCs w:val="21"/>
              </w:rPr>
            </w:pPr>
            <w:r>
              <w:rPr>
                <w:rFonts w:ascii="宋体" w:hAnsi="宋体" w:hint="eastAsia"/>
                <w:b/>
                <w:szCs w:val="21"/>
              </w:rPr>
              <w:t>价格</w:t>
            </w:r>
          </w:p>
        </w:tc>
        <w:tc>
          <w:tcPr>
            <w:tcW w:w="1558" w:type="dxa"/>
          </w:tcPr>
          <w:p>
            <w:pPr>
              <w:snapToGrid w:val="0"/>
              <w:spacing w:line="360" w:lineRule="auto"/>
              <w:jc w:val="left"/>
              <w:rPr>
                <w:rFonts w:ascii="宋体" w:hAnsi="宋体" w:hint="eastAsia"/>
                <w:b/>
                <w:szCs w:val="21"/>
              </w:rPr>
            </w:pPr>
            <w:r>
              <w:rPr>
                <w:rFonts w:ascii="宋体" w:hAnsi="宋体" w:hint="eastAsia"/>
                <w:b/>
                <w:szCs w:val="21"/>
              </w:rPr>
              <w:t>建设地点</w:t>
            </w:r>
          </w:p>
        </w:tc>
        <w:tc>
          <w:tcPr>
            <w:tcW w:w="1099" w:type="dxa"/>
          </w:tcPr>
          <w:p>
            <w:pPr>
              <w:snapToGrid w:val="0"/>
              <w:spacing w:line="360" w:lineRule="auto"/>
              <w:jc w:val="left"/>
              <w:rPr>
                <w:rFonts w:ascii="宋体" w:hAnsi="宋体" w:hint="eastAsia"/>
                <w:b/>
                <w:szCs w:val="21"/>
              </w:rPr>
            </w:pPr>
            <w:r>
              <w:rPr>
                <w:rFonts w:ascii="宋体" w:hAnsi="宋体" w:hint="eastAsia"/>
                <w:b/>
                <w:szCs w:val="21"/>
              </w:rPr>
              <w:t>建设周期</w:t>
            </w:r>
          </w:p>
        </w:tc>
      </w:tr>
      <w:tr>
        <w:tblPrEx>
          <w:tblW w:w="0" w:type="auto"/>
          <w:tblInd w:w="420" w:type="dxa"/>
          <w:tblCellMar>
            <w:top w:w="0" w:type="dxa"/>
            <w:left w:w="108" w:type="dxa"/>
            <w:bottom w:w="0" w:type="dxa"/>
            <w:right w:w="108" w:type="dxa"/>
          </w:tblCellMar>
        </w:tblPrEx>
        <w:tc>
          <w:tcPr>
            <w:tcW w:w="668" w:type="dxa"/>
          </w:tcPr>
          <w:p>
            <w:pPr>
              <w:snapToGrid w:val="0"/>
              <w:spacing w:line="360" w:lineRule="auto"/>
              <w:jc w:val="left"/>
              <w:rPr>
                <w:rFonts w:ascii="宋体" w:hAnsi="宋体" w:hint="eastAsia"/>
                <w:b/>
                <w:szCs w:val="21"/>
              </w:rPr>
            </w:pPr>
            <w:r>
              <w:rPr>
                <w:rFonts w:ascii="宋体" w:hAnsi="宋体" w:hint="eastAsia"/>
                <w:b/>
                <w:szCs w:val="21"/>
              </w:rPr>
              <w:t>1</w:t>
            </w:r>
          </w:p>
        </w:tc>
        <w:tc>
          <w:tcPr>
            <w:tcW w:w="3283" w:type="dxa"/>
          </w:tcPr>
          <w:p>
            <w:pPr>
              <w:snapToGrid w:val="0"/>
              <w:spacing w:line="360" w:lineRule="auto"/>
              <w:jc w:val="left"/>
              <w:rPr>
                <w:rFonts w:ascii="宋体" w:hAnsi="宋体" w:hint="eastAsia"/>
                <w:b/>
                <w:szCs w:val="21"/>
              </w:rPr>
            </w:pPr>
            <w:r>
              <w:rPr>
                <w:rFonts w:ascii="宋体" w:hAnsi="宋体" w:hint="eastAsia"/>
                <w:b/>
                <w:szCs w:val="21"/>
              </w:rPr>
              <w:t>森林防火观测数据处理软件平台开发</w:t>
            </w:r>
          </w:p>
        </w:tc>
        <w:tc>
          <w:tcPr>
            <w:tcW w:w="753" w:type="dxa"/>
          </w:tcPr>
          <w:p>
            <w:pPr>
              <w:snapToGrid w:val="0"/>
              <w:spacing w:line="360" w:lineRule="auto"/>
              <w:jc w:val="left"/>
              <w:rPr>
                <w:rFonts w:ascii="宋体" w:hAnsi="宋体" w:hint="eastAsia"/>
                <w:b/>
                <w:szCs w:val="21"/>
              </w:rPr>
            </w:pPr>
            <w:r>
              <w:rPr>
                <w:rFonts w:ascii="宋体" w:hAnsi="宋体" w:hint="eastAsia"/>
                <w:b/>
                <w:szCs w:val="21"/>
              </w:rPr>
              <w:t>1</w:t>
            </w:r>
          </w:p>
        </w:tc>
        <w:tc>
          <w:tcPr>
            <w:tcW w:w="1222" w:type="dxa"/>
          </w:tcPr>
          <w:p>
            <w:pPr>
              <w:snapToGrid w:val="0"/>
              <w:spacing w:line="360" w:lineRule="auto"/>
              <w:jc w:val="left"/>
              <w:rPr>
                <w:rFonts w:ascii="宋体" w:hAnsi="宋体" w:hint="eastAsia"/>
                <w:b/>
                <w:szCs w:val="21"/>
              </w:rPr>
            </w:pPr>
            <w:r>
              <w:rPr>
                <w:rFonts w:ascii="宋体" w:hAnsi="宋体" w:hint="eastAsia"/>
                <w:b/>
                <w:szCs w:val="21"/>
              </w:rPr>
              <w:t>300万元</w:t>
            </w:r>
          </w:p>
        </w:tc>
        <w:tc>
          <w:tcPr>
            <w:tcW w:w="1558" w:type="dxa"/>
          </w:tcPr>
          <w:p>
            <w:pPr>
              <w:snapToGrid w:val="0"/>
              <w:spacing w:line="360" w:lineRule="auto"/>
              <w:jc w:val="left"/>
              <w:rPr>
                <w:rFonts w:ascii="宋体" w:hAnsi="宋体" w:hint="eastAsia"/>
                <w:b/>
                <w:szCs w:val="21"/>
              </w:rPr>
            </w:pPr>
            <w:r>
              <w:rPr>
                <w:rFonts w:ascii="宋体" w:hAnsi="宋体" w:hint="eastAsia"/>
                <w:b/>
                <w:szCs w:val="21"/>
              </w:rPr>
              <w:t>国家级</w:t>
            </w:r>
          </w:p>
        </w:tc>
        <w:tc>
          <w:tcPr>
            <w:tcW w:w="1099" w:type="dxa"/>
          </w:tcPr>
          <w:p>
            <w:pPr>
              <w:snapToGrid w:val="0"/>
              <w:spacing w:line="360" w:lineRule="auto"/>
              <w:jc w:val="left"/>
              <w:rPr>
                <w:rFonts w:ascii="宋体" w:hAnsi="宋体" w:hint="eastAsia"/>
                <w:b/>
                <w:szCs w:val="21"/>
              </w:rPr>
            </w:pPr>
            <w:r>
              <w:rPr>
                <w:rFonts w:ascii="宋体" w:hAnsi="宋体" w:hint="eastAsia"/>
                <w:b/>
                <w:szCs w:val="21"/>
              </w:rPr>
              <w:t>12个月</w:t>
            </w:r>
          </w:p>
        </w:tc>
      </w:tr>
    </w:tbl>
    <w:p>
      <w:pPr>
        <w:snapToGrid w:val="0"/>
        <w:spacing w:line="360" w:lineRule="auto"/>
        <w:ind w:firstLine="420"/>
        <w:jc w:val="left"/>
        <w:rPr>
          <w:rFonts w:ascii="宋体" w:hAnsi="宋体" w:hint="eastAsia"/>
          <w:szCs w:val="21"/>
        </w:rPr>
      </w:pPr>
    </w:p>
    <w:p>
      <w:pPr>
        <w:numPr>
          <w:ilvl w:val="0"/>
          <w:numId w:val="5"/>
        </w:numPr>
        <w:snapToGrid w:val="0"/>
        <w:spacing w:line="360" w:lineRule="auto"/>
        <w:jc w:val="left"/>
        <w:rPr>
          <w:rFonts w:ascii="宋体" w:hAnsi="宋体" w:hint="eastAsia"/>
          <w:b/>
          <w:szCs w:val="21"/>
        </w:rPr>
      </w:pPr>
      <w:r>
        <w:rPr>
          <w:rFonts w:ascii="宋体" w:hAnsi="宋体" w:hint="eastAsia"/>
          <w:b/>
          <w:szCs w:val="21"/>
        </w:rPr>
        <w:t>森林防火观测数据处理软件平台开发</w:t>
      </w:r>
    </w:p>
    <w:p>
      <w:pPr>
        <w:snapToGrid w:val="0"/>
        <w:spacing w:line="360" w:lineRule="auto"/>
        <w:ind w:firstLine="420"/>
        <w:jc w:val="left"/>
        <w:rPr>
          <w:rFonts w:ascii="宋体" w:hAnsi="宋体" w:hint="eastAsia"/>
          <w:szCs w:val="21"/>
        </w:rPr>
      </w:pPr>
      <w:r>
        <w:rPr>
          <w:rFonts w:ascii="宋体" w:hAnsi="宋体" w:hint="eastAsia"/>
          <w:szCs w:val="21"/>
        </w:rPr>
        <w:t>森林防火观测数据处理软件作为雷电监测与火险预警的综合可视化平台，深度融合VLF/LF全闪观测数据、可燃物监测数据及红外探火数据，构建多源异构数据的统一展示、分析与服务框架。系统面向国家级、省级及林场多级用户，提供雷电地闪密度估算、轨迹追踪、雷暴区域识别等产品的动态可视化，同时集成可燃物湿度监测、火险等级评估及红外热源定位等核心功能，形成“雷电-可燃物-火点”三位一体的空间格点产品体系。通过标准化数据中台，系统实时接收并处理全国雷电探测网络数据、前端可燃物气象环境监测仪感知数据及红外雷达扫描数据，支持历史数据回溯与多维度统计分析，实现从雷电活动预警到火险态势研判的全链条数据服务。平台采用智能报文引擎自动生成标准化数据产品，满足灾害应急指挥和科研需求，通过统一接口向气象、应急、林草等部门推送综合研判成果，构建起覆盖监测预警、风险评估、灾情处置的全流程可视化支撑平台。</w:t>
      </w:r>
    </w:p>
    <w:p>
      <w:pPr>
        <w:snapToGrid w:val="0"/>
        <w:spacing w:line="360" w:lineRule="auto"/>
        <w:ind w:firstLine="420" w:firstLineChars="200"/>
        <w:jc w:val="left"/>
        <w:rPr>
          <w:rFonts w:ascii="宋体" w:hAnsi="宋体" w:hint="eastAsia"/>
          <w:szCs w:val="21"/>
        </w:rPr>
      </w:pPr>
      <w:r>
        <w:rPr>
          <w:rFonts w:ascii="宋体" w:hAnsi="宋体" w:hint="eastAsia"/>
          <w:szCs w:val="21"/>
        </w:rPr>
        <w:t>功能要求如下：</w:t>
      </w:r>
    </w:p>
    <w:p>
      <w:pPr>
        <w:pStyle w:val="ListParagraph"/>
        <w:snapToGrid w:val="0"/>
        <w:spacing w:line="360" w:lineRule="auto"/>
        <w:jc w:val="left"/>
        <w:rPr>
          <w:rFonts w:ascii="Times New Roman" w:eastAsia="宋体" w:hAnsi="Times New Roman" w:cs="Times New Roman"/>
          <w:szCs w:val="20"/>
        </w:rPr>
      </w:pPr>
      <w:r>
        <w:rPr>
          <w:rFonts w:ascii="Times New Roman" w:eastAsia="宋体" w:hAnsi="Times New Roman" w:cs="Times New Roman" w:hint="eastAsia"/>
          <w:szCs w:val="20"/>
        </w:rPr>
        <w:t>（1）雷电定位处理中心子系统：整合多类探测设备数据，支撑高精度雷电位置反演和时空一致性分析。系统可实现复杂地形下的定位能力增强，具备异常数据剔除与校正、多模式算法切换、实时定位与历史复算等关键能力。</w:t>
      </w:r>
    </w:p>
    <w:p>
      <w:pPr>
        <w:pStyle w:val="ListParagraph"/>
        <w:snapToGrid w:val="0"/>
        <w:spacing w:line="360" w:lineRule="auto"/>
        <w:jc w:val="left"/>
        <w:rPr>
          <w:rFonts w:ascii="Times New Roman" w:eastAsia="宋体" w:hAnsi="Times New Roman" w:cs="Times New Roman"/>
          <w:szCs w:val="20"/>
        </w:rPr>
      </w:pPr>
      <w:r>
        <w:rPr>
          <w:rFonts w:ascii="Times New Roman" w:eastAsia="宋体" w:hAnsi="Times New Roman" w:cs="Times New Roman" w:hint="eastAsia"/>
          <w:szCs w:val="20"/>
        </w:rPr>
        <w:t>（2）可燃物监测实况子系统：可燃物监测实况子系统实现实时监测森林环境中的湿度、温度、风向、风速、光照度、森林物候图像等参数，以及掉落物及土壤的含水率等信息，通过这些数据分析，形成天气及风险统揽、风险等级梯度、运行状态统计、风险日报及生态蜕迹信息等。具体功能模块包括：天气及风险统揽、风险等级梯度、运行状态统计、地图底图、信息弹框、图层选择、风险日报、生态蜕迹信息等。</w:t>
      </w:r>
    </w:p>
    <w:p>
      <w:pPr>
        <w:pStyle w:val="ListParagraph"/>
        <w:snapToGrid w:val="0"/>
        <w:spacing w:line="360" w:lineRule="auto"/>
        <w:jc w:val="left"/>
        <w:rPr>
          <w:rFonts w:ascii="Times New Roman" w:eastAsia="宋体" w:hAnsi="Times New Roman" w:cs="Times New Roman"/>
          <w:szCs w:val="20"/>
        </w:rPr>
      </w:pPr>
      <w:r>
        <w:rPr>
          <w:rFonts w:ascii="Times New Roman" w:eastAsia="宋体" w:hAnsi="Times New Roman" w:cs="Times New Roman" w:hint="eastAsia"/>
          <w:szCs w:val="20"/>
        </w:rPr>
        <w:t>（3）红外探火报警子系统：通过在前端的高灵敏度红外传感器设备，精准识别早期火点或潜在高温隐患。其核心功能包括：报警信息展示，对报警信息的判断和审核，报警定位及导航到报警点等功能。具体功能模块包括：报警信息展示、报警判断、报警详情、报警定位、GIS导航。</w:t>
      </w:r>
    </w:p>
    <w:p>
      <w:pPr>
        <w:pStyle w:val="ListParagraph"/>
        <w:snapToGrid w:val="0"/>
        <w:spacing w:line="360" w:lineRule="auto"/>
        <w:jc w:val="left"/>
        <w:rPr>
          <w:rFonts w:ascii="Times New Roman" w:eastAsia="宋体" w:hAnsi="Times New Roman" w:cs="Times New Roman"/>
          <w:szCs w:val="20"/>
        </w:rPr>
      </w:pPr>
      <w:r>
        <w:rPr>
          <w:rFonts w:ascii="Times New Roman" w:eastAsia="宋体" w:hAnsi="Times New Roman" w:cs="Times New Roman" w:hint="eastAsia"/>
          <w:szCs w:val="20"/>
        </w:rPr>
        <w:t>（4）数据支撑平台子系统：数据支撑平台聚焦数据汇聚、清洗、结构化和高并发服务支撑能力。通过多源异步采集模块，将观测原始数据、外部气象资料及平台产出数据进行归一化管理，并通过高并发服务接口向产品平台、用户终端提供数据支撑。平台还支持业务数据质量评估、结构数据入库及大数据分析任务接入，为多维分析和算法优化提供基础能力。</w:t>
      </w:r>
    </w:p>
    <w:p>
      <w:pPr>
        <w:pStyle w:val="ListParagraph"/>
        <w:snapToGrid w:val="0"/>
        <w:spacing w:line="360" w:lineRule="auto"/>
        <w:jc w:val="left"/>
        <w:rPr>
          <w:rFonts w:ascii="Times New Roman" w:eastAsia="宋体" w:hAnsi="Times New Roman" w:cs="Times New Roman"/>
          <w:szCs w:val="20"/>
        </w:rPr>
      </w:pPr>
      <w:r>
        <w:rPr>
          <w:rFonts w:ascii="Times New Roman" w:eastAsia="宋体" w:hAnsi="Times New Roman" w:cs="Times New Roman" w:hint="eastAsia"/>
          <w:szCs w:val="20"/>
        </w:rPr>
        <w:t>（5）数据管理自动化子系统：平台配置冷/热数据分层管理机制，对雷电、可燃物、林火雷达等大数据进行自动分类存储和生命周期控制。通过数据自动迁移策略实现热点数据高频访问和冷数据归档管理，提高整体存储效率并降低资源消耗。</w:t>
      </w:r>
    </w:p>
    <w:p>
      <w:pPr>
        <w:pStyle w:val="ListParagraph"/>
        <w:snapToGrid w:val="0"/>
        <w:spacing w:line="360" w:lineRule="auto"/>
        <w:jc w:val="left"/>
        <w:rPr>
          <w:rFonts w:ascii="Times New Roman" w:eastAsia="宋体" w:hAnsi="Times New Roman" w:cs="Times New Roman"/>
          <w:szCs w:val="20"/>
        </w:rPr>
      </w:pPr>
      <w:r>
        <w:rPr>
          <w:rFonts w:ascii="Times New Roman" w:eastAsia="宋体" w:hAnsi="Times New Roman" w:cs="Times New Roman" w:hint="eastAsia"/>
          <w:szCs w:val="20"/>
        </w:rPr>
        <w:t>（6）专题报告子系统：专题报告子系统主要用于整合多源监测数据并生成定制化分析报告，以支持森林雷电与火险的精准评估与决策。该模块通过融合实时气象数据、全闪数据、地形地貌、可燃物分布、历史火情等关键因子，结合数据模型，生成涵盖火险等级评估、风险热点分布、气象趋势预测等内容的专题报告。具体功能模块包括报告筛选、数据解析阵列、闪电定位、生态蜕迹信息阵列、植群特征信息阵列等。</w:t>
      </w:r>
    </w:p>
    <w:p>
      <w:pPr>
        <w:pStyle w:val="ListParagraph"/>
        <w:snapToGrid w:val="0"/>
        <w:spacing w:line="360" w:lineRule="auto"/>
        <w:jc w:val="left"/>
        <w:rPr>
          <w:rFonts w:ascii="Times New Roman" w:eastAsia="宋体" w:hAnsi="Times New Roman" w:cs="Times New Roman"/>
          <w:szCs w:val="20"/>
        </w:rPr>
      </w:pPr>
      <w:r>
        <w:rPr>
          <w:rFonts w:ascii="Times New Roman" w:eastAsia="宋体" w:hAnsi="Times New Roman" w:cs="Times New Roman" w:hint="eastAsia"/>
          <w:szCs w:val="20"/>
        </w:rPr>
        <w:t>（7）可视化子系统：可视化图表子系统通过集成热力图、地图、统计图表等多维展示形式，实现对森林火险因子（雷电、气象、可燃物、火情历史等）的直观动态呈现。支持实时数据刷新与时空动态推演，用户可通过交互式操作（如缩放、筛选、图层叠加、数据钻取）深入分析火险分布特征与演变趋势；图表支持多源数据对比、阈值预警标识及风险等级分区渲染，并与专题报告、风险评估模块联动，为闪电定位、火险监测、资源调配及应急决策提供高效可视化支撑。</w:t>
      </w:r>
    </w:p>
    <w:p>
      <w:pPr>
        <w:snapToGrid w:val="0"/>
        <w:spacing w:line="360" w:lineRule="auto"/>
        <w:ind w:firstLine="420" w:firstLineChars="200"/>
        <w:jc w:val="left"/>
        <w:rPr>
          <w:rFonts w:ascii="宋体" w:hAnsi="宋体" w:hint="eastAsia"/>
          <w:szCs w:val="21"/>
        </w:rPr>
      </w:pPr>
      <w:r>
        <w:rPr>
          <w:rFonts w:ascii="宋体" w:hAnsi="宋体" w:hint="eastAsia"/>
          <w:szCs w:val="21"/>
        </w:rPr>
        <w:t>技术性能要求如下:</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106"/>
        <w:gridCol w:w="615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106" w:type="dxa"/>
            <w:vAlign w:val="center"/>
          </w:tcPr>
          <w:p>
            <w:pPr>
              <w:jc w:val="center"/>
              <w:rPr>
                <w:rFonts w:ascii="仿宋" w:eastAsia="仿宋" w:hAnsi="仿宋" w:hint="eastAsia"/>
                <w:szCs w:val="21"/>
              </w:rPr>
            </w:pPr>
            <w:r>
              <w:rPr>
                <w:rFonts w:ascii="仿宋" w:eastAsia="仿宋" w:hAnsi="仿宋" w:hint="eastAsia"/>
                <w:szCs w:val="21"/>
              </w:rPr>
              <w:t>定位数据时间分辨率</w:t>
            </w:r>
          </w:p>
        </w:tc>
        <w:tc>
          <w:tcPr>
            <w:tcW w:w="6150" w:type="dxa"/>
            <w:vAlign w:val="center"/>
          </w:tcPr>
          <w:p>
            <w:pPr>
              <w:jc w:val="center"/>
              <w:rPr>
                <w:rFonts w:ascii="仿宋" w:eastAsia="仿宋" w:hAnsi="仿宋" w:hint="eastAsia"/>
                <w:szCs w:val="21"/>
              </w:rPr>
            </w:pPr>
            <w:r>
              <w:rPr>
                <w:rFonts w:ascii="仿宋" w:eastAsia="仿宋" w:hAnsi="仿宋" w:hint="eastAsia"/>
                <w:szCs w:val="21"/>
              </w:rPr>
              <w:t>不低于</w:t>
            </w:r>
            <w:r>
              <w:rPr>
                <w:rFonts w:ascii="仿宋" w:eastAsia="仿宋" w:hAnsi="仿宋"/>
                <w:szCs w:val="21"/>
              </w:rPr>
              <w:t>100</w:t>
            </w:r>
            <w:r>
              <w:rPr>
                <w:rFonts w:ascii="仿宋" w:eastAsia="仿宋" w:hAnsi="仿宋" w:hint="eastAsia"/>
                <w:szCs w:val="21"/>
              </w:rPr>
              <w:t>ns（量化精度）</w:t>
            </w:r>
          </w:p>
        </w:tc>
      </w:tr>
      <w:tr>
        <w:tblPrEx>
          <w:tblW w:w="0" w:type="auto"/>
          <w:jc w:val="center"/>
          <w:tblCellMar>
            <w:top w:w="0" w:type="dxa"/>
            <w:left w:w="108" w:type="dxa"/>
            <w:bottom w:w="0" w:type="dxa"/>
            <w:right w:w="108" w:type="dxa"/>
          </w:tblCellMar>
        </w:tblPrEx>
        <w:trPr>
          <w:jc w:val="center"/>
        </w:trPr>
        <w:tc>
          <w:tcPr>
            <w:tcW w:w="2106" w:type="dxa"/>
            <w:vAlign w:val="center"/>
          </w:tcPr>
          <w:p>
            <w:pPr>
              <w:jc w:val="center"/>
              <w:rPr>
                <w:rFonts w:ascii="仿宋" w:eastAsia="仿宋" w:hAnsi="仿宋" w:hint="eastAsia"/>
                <w:szCs w:val="21"/>
              </w:rPr>
            </w:pPr>
            <w:r>
              <w:rPr>
                <w:rFonts w:ascii="仿宋" w:eastAsia="仿宋" w:hAnsi="仿宋" w:hint="eastAsia"/>
                <w:szCs w:val="21"/>
              </w:rPr>
              <w:t>定位位置精度</w:t>
            </w:r>
          </w:p>
        </w:tc>
        <w:tc>
          <w:tcPr>
            <w:tcW w:w="6150" w:type="dxa"/>
            <w:vAlign w:val="center"/>
          </w:tcPr>
          <w:p>
            <w:pPr>
              <w:pStyle w:val="12"/>
              <w:ind w:firstLine="0" w:firstLineChars="0"/>
              <w:jc w:val="center"/>
              <w:rPr>
                <w:rFonts w:ascii="仿宋" w:eastAsia="仿宋" w:hAnsi="仿宋" w:hint="eastAsia"/>
                <w:szCs w:val="21"/>
              </w:rPr>
            </w:pPr>
            <w:r>
              <w:rPr>
                <w:rFonts w:ascii="仿宋" w:eastAsia="仿宋" w:hAnsi="仿宋" w:hint="eastAsia"/>
                <w:szCs w:val="21"/>
              </w:rPr>
              <w:t>平面小于200米（网内），垂直小于1000米（网内）</w:t>
            </w:r>
          </w:p>
        </w:tc>
      </w:tr>
      <w:tr>
        <w:tblPrEx>
          <w:tblW w:w="0" w:type="auto"/>
          <w:jc w:val="center"/>
          <w:tblCellMar>
            <w:top w:w="0" w:type="dxa"/>
            <w:left w:w="108" w:type="dxa"/>
            <w:bottom w:w="0" w:type="dxa"/>
            <w:right w:w="108" w:type="dxa"/>
          </w:tblCellMar>
        </w:tblPrEx>
        <w:trPr>
          <w:jc w:val="center"/>
        </w:trPr>
        <w:tc>
          <w:tcPr>
            <w:tcW w:w="2106" w:type="dxa"/>
          </w:tcPr>
          <w:p>
            <w:pPr>
              <w:jc w:val="center"/>
              <w:rPr>
                <w:rFonts w:ascii="仿宋" w:eastAsia="仿宋" w:hAnsi="仿宋" w:hint="eastAsia"/>
                <w:szCs w:val="21"/>
              </w:rPr>
            </w:pPr>
            <w:r>
              <w:rPr>
                <w:rFonts w:ascii="仿宋" w:eastAsia="仿宋" w:hAnsi="仿宋" w:hint="eastAsia"/>
                <w:szCs w:val="21"/>
              </w:rPr>
              <w:t>闪电放电类型正确率</w:t>
            </w:r>
          </w:p>
        </w:tc>
        <w:tc>
          <w:tcPr>
            <w:tcW w:w="6150" w:type="dxa"/>
          </w:tcPr>
          <w:p>
            <w:pPr>
              <w:jc w:val="center"/>
              <w:rPr>
                <w:rFonts w:ascii="仿宋" w:eastAsia="仿宋" w:hAnsi="仿宋" w:hint="eastAsia"/>
                <w:szCs w:val="21"/>
              </w:rPr>
            </w:pPr>
            <w:r>
              <w:rPr>
                <w:rFonts w:ascii="仿宋" w:eastAsia="仿宋" w:hAnsi="仿宋" w:hint="eastAsia"/>
                <w:szCs w:val="21"/>
              </w:rPr>
              <w:t>不低于</w:t>
            </w:r>
            <w:r>
              <w:rPr>
                <w:rFonts w:ascii="仿宋" w:eastAsia="仿宋" w:hAnsi="仿宋"/>
                <w:szCs w:val="21"/>
              </w:rPr>
              <w:t>85</w:t>
            </w:r>
            <w:r>
              <w:rPr>
                <w:rFonts w:ascii="仿宋" w:eastAsia="仿宋" w:hAnsi="仿宋" w:hint="eastAsia"/>
                <w:szCs w:val="21"/>
              </w:rPr>
              <w:t>%</w:t>
            </w:r>
          </w:p>
        </w:tc>
      </w:tr>
      <w:tr>
        <w:tblPrEx>
          <w:tblW w:w="0" w:type="auto"/>
          <w:jc w:val="center"/>
          <w:tblCellMar>
            <w:top w:w="0" w:type="dxa"/>
            <w:left w:w="108" w:type="dxa"/>
            <w:bottom w:w="0" w:type="dxa"/>
            <w:right w:w="108" w:type="dxa"/>
          </w:tblCellMar>
        </w:tblPrEx>
        <w:trPr>
          <w:jc w:val="center"/>
        </w:trPr>
        <w:tc>
          <w:tcPr>
            <w:tcW w:w="2106" w:type="dxa"/>
          </w:tcPr>
          <w:p>
            <w:pPr>
              <w:jc w:val="center"/>
              <w:rPr>
                <w:rFonts w:ascii="仿宋" w:eastAsia="仿宋" w:hAnsi="仿宋" w:hint="eastAsia"/>
                <w:szCs w:val="21"/>
              </w:rPr>
            </w:pPr>
            <w:r>
              <w:rPr>
                <w:rFonts w:ascii="仿宋" w:eastAsia="仿宋" w:hAnsi="仿宋" w:hint="eastAsia"/>
                <w:szCs w:val="21"/>
              </w:rPr>
              <w:t>定位正确率</w:t>
            </w:r>
          </w:p>
        </w:tc>
        <w:tc>
          <w:tcPr>
            <w:tcW w:w="6150" w:type="dxa"/>
          </w:tcPr>
          <w:p>
            <w:pPr>
              <w:jc w:val="center"/>
              <w:rPr>
                <w:rFonts w:ascii="仿宋" w:eastAsia="仿宋" w:hAnsi="仿宋" w:hint="eastAsia"/>
                <w:szCs w:val="21"/>
              </w:rPr>
            </w:pPr>
            <w:r>
              <w:rPr>
                <w:rFonts w:ascii="仿宋" w:eastAsia="仿宋" w:hAnsi="仿宋" w:hint="eastAsia"/>
                <w:szCs w:val="21"/>
              </w:rPr>
              <w:t>不低于9</w:t>
            </w:r>
            <w:r>
              <w:rPr>
                <w:rFonts w:ascii="仿宋" w:eastAsia="仿宋" w:hAnsi="仿宋"/>
                <w:szCs w:val="21"/>
              </w:rPr>
              <w:t>0</w:t>
            </w:r>
            <w:r>
              <w:rPr>
                <w:rFonts w:ascii="仿宋" w:eastAsia="仿宋" w:hAnsi="仿宋" w:hint="eastAsia"/>
                <w:szCs w:val="21"/>
              </w:rPr>
              <w:t>%</w:t>
            </w:r>
          </w:p>
        </w:tc>
      </w:tr>
      <w:tr>
        <w:tblPrEx>
          <w:tblW w:w="0" w:type="auto"/>
          <w:jc w:val="center"/>
          <w:tblCellMar>
            <w:top w:w="0" w:type="dxa"/>
            <w:left w:w="108" w:type="dxa"/>
            <w:bottom w:w="0" w:type="dxa"/>
            <w:right w:w="108" w:type="dxa"/>
          </w:tblCellMar>
        </w:tblPrEx>
        <w:trPr>
          <w:jc w:val="center"/>
        </w:trPr>
        <w:tc>
          <w:tcPr>
            <w:tcW w:w="2106" w:type="dxa"/>
          </w:tcPr>
          <w:p>
            <w:pPr>
              <w:jc w:val="center"/>
              <w:rPr>
                <w:rFonts w:ascii="仿宋" w:eastAsia="仿宋" w:hAnsi="仿宋" w:hint="eastAsia"/>
                <w:szCs w:val="21"/>
              </w:rPr>
            </w:pPr>
            <w:r>
              <w:rPr>
                <w:rFonts w:ascii="仿宋" w:eastAsia="仿宋" w:hAnsi="仿宋" w:hint="eastAsia"/>
                <w:szCs w:val="21"/>
              </w:rPr>
              <w:t>同源配型站点数</w:t>
            </w:r>
          </w:p>
        </w:tc>
        <w:tc>
          <w:tcPr>
            <w:tcW w:w="6150" w:type="dxa"/>
          </w:tcPr>
          <w:p>
            <w:pPr>
              <w:jc w:val="center"/>
              <w:rPr>
                <w:rFonts w:ascii="仿宋" w:eastAsia="仿宋" w:hAnsi="仿宋" w:hint="eastAsia"/>
                <w:szCs w:val="21"/>
              </w:rPr>
            </w:pPr>
            <w:r>
              <w:rPr>
                <w:rFonts w:ascii="仿宋" w:eastAsia="仿宋" w:hAnsi="仿宋" w:hint="eastAsia"/>
                <w:szCs w:val="21"/>
              </w:rPr>
              <w:t>二维不低于</w:t>
            </w:r>
            <w:r>
              <w:rPr>
                <w:rFonts w:ascii="仿宋" w:eastAsia="仿宋" w:hAnsi="仿宋"/>
                <w:szCs w:val="21"/>
              </w:rPr>
              <w:t>3</w:t>
            </w:r>
            <w:r>
              <w:rPr>
                <w:rFonts w:ascii="仿宋" w:eastAsia="仿宋" w:hAnsi="仿宋" w:hint="eastAsia"/>
                <w:szCs w:val="21"/>
              </w:rPr>
              <w:t>个，三维不低于5个</w:t>
            </w:r>
          </w:p>
        </w:tc>
      </w:tr>
      <w:tr>
        <w:tblPrEx>
          <w:tblW w:w="0" w:type="auto"/>
          <w:jc w:val="center"/>
          <w:tblCellMar>
            <w:top w:w="0" w:type="dxa"/>
            <w:left w:w="108" w:type="dxa"/>
            <w:bottom w:w="0" w:type="dxa"/>
            <w:right w:w="108" w:type="dxa"/>
          </w:tblCellMar>
        </w:tblPrEx>
        <w:trPr>
          <w:jc w:val="center"/>
        </w:trPr>
        <w:tc>
          <w:tcPr>
            <w:tcW w:w="2106" w:type="dxa"/>
          </w:tcPr>
          <w:p>
            <w:pPr>
              <w:jc w:val="center"/>
              <w:rPr>
                <w:rFonts w:ascii="仿宋" w:eastAsia="仿宋" w:hAnsi="仿宋" w:hint="eastAsia"/>
                <w:szCs w:val="21"/>
              </w:rPr>
            </w:pPr>
            <w:r>
              <w:rPr>
                <w:rFonts w:ascii="仿宋" w:eastAsia="仿宋" w:hAnsi="仿宋" w:hint="eastAsia"/>
                <w:szCs w:val="21"/>
              </w:rPr>
              <w:t>地面基础数据完整性</w:t>
            </w:r>
          </w:p>
        </w:tc>
        <w:tc>
          <w:tcPr>
            <w:tcW w:w="6150" w:type="dxa"/>
          </w:tcPr>
          <w:p>
            <w:pPr>
              <w:jc w:val="center"/>
              <w:rPr>
                <w:rFonts w:ascii="仿宋" w:eastAsia="仿宋" w:hAnsi="仿宋" w:hint="eastAsia"/>
                <w:szCs w:val="21"/>
              </w:rPr>
            </w:pPr>
            <w:r>
              <w:rPr>
                <w:rFonts w:ascii="仿宋" w:eastAsia="仿宋" w:hAnsi="仿宋" w:hint="eastAsia"/>
                <w:szCs w:val="21"/>
              </w:rPr>
              <w:t>不低于98%</w:t>
            </w:r>
          </w:p>
        </w:tc>
      </w:tr>
      <w:tr>
        <w:tblPrEx>
          <w:tblW w:w="0" w:type="auto"/>
          <w:jc w:val="center"/>
          <w:tblCellMar>
            <w:top w:w="0" w:type="dxa"/>
            <w:left w:w="108" w:type="dxa"/>
            <w:bottom w:w="0" w:type="dxa"/>
            <w:right w:w="108" w:type="dxa"/>
          </w:tblCellMar>
        </w:tblPrEx>
        <w:trPr>
          <w:trHeight w:val="172"/>
          <w:jc w:val="center"/>
        </w:trPr>
        <w:tc>
          <w:tcPr>
            <w:tcW w:w="2106" w:type="dxa"/>
            <w:vAlign w:val="center"/>
          </w:tcPr>
          <w:p>
            <w:pPr>
              <w:jc w:val="center"/>
              <w:rPr>
                <w:rFonts w:ascii="仿宋" w:eastAsia="仿宋" w:hAnsi="仿宋" w:hint="eastAsia"/>
                <w:szCs w:val="21"/>
              </w:rPr>
            </w:pPr>
            <w:r>
              <w:rPr>
                <w:rFonts w:ascii="仿宋" w:eastAsia="仿宋" w:hAnsi="仿宋" w:hint="eastAsia"/>
                <w:szCs w:val="21"/>
              </w:rPr>
              <w:t>红外探火报警准确率</w:t>
            </w:r>
          </w:p>
        </w:tc>
        <w:tc>
          <w:tcPr>
            <w:tcW w:w="6150" w:type="dxa"/>
            <w:vAlign w:val="center"/>
          </w:tcPr>
          <w:p>
            <w:pPr>
              <w:pStyle w:val="12"/>
              <w:ind w:firstLine="0" w:firstLineChars="0"/>
              <w:jc w:val="center"/>
              <w:rPr>
                <w:rFonts w:ascii="仿宋" w:eastAsia="仿宋" w:hAnsi="仿宋" w:hint="eastAsia"/>
                <w:szCs w:val="21"/>
              </w:rPr>
            </w:pPr>
            <w:r>
              <w:rPr>
                <w:rFonts w:ascii="仿宋" w:eastAsia="仿宋" w:hAnsi="仿宋" w:hint="eastAsia"/>
                <w:szCs w:val="21"/>
              </w:rPr>
              <w:t>不低于85%</w:t>
            </w:r>
          </w:p>
        </w:tc>
      </w:tr>
    </w:tbl>
    <w:p>
      <w:pPr>
        <w:pStyle w:val="ListParagraph"/>
        <w:numPr>
          <w:ilvl w:val="12"/>
          <w:numId w:val="0"/>
        </w:numPr>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非功能性要求如下：</w:t>
      </w:r>
    </w:p>
    <w:p>
      <w:pPr>
        <w:numPr>
          <w:ilvl w:val="0"/>
          <w:numId w:val="6"/>
        </w:numPr>
        <w:adjustRightInd w:val="0"/>
        <w:snapToGrid w:val="0"/>
        <w:spacing w:line="360" w:lineRule="auto"/>
        <w:ind w:left="851"/>
        <w:rPr>
          <w:rFonts w:ascii="宋体" w:hAnsi="宋体" w:cs="宋体" w:hint="eastAsia"/>
          <w:color w:val="000000"/>
          <w:kern w:val="0"/>
          <w:szCs w:val="21"/>
        </w:rPr>
      </w:pPr>
      <w:r>
        <w:rPr>
          <w:rFonts w:ascii="宋体" w:hAnsi="宋体" w:cs="宋体" w:hint="eastAsia"/>
          <w:color w:val="000000"/>
          <w:kern w:val="0"/>
          <w:szCs w:val="21"/>
        </w:rPr>
        <w:t>稳定性要求</w:t>
      </w:r>
    </w:p>
    <w:p>
      <w:pPr>
        <w:adjustRightInd w:val="0"/>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软件系统年故障总时间小于12小时，故障恢复时间小于1小时。7×24小时运行期间，平均故障间隔时间不小于1个月。</w:t>
      </w:r>
    </w:p>
    <w:p>
      <w:pPr>
        <w:numPr>
          <w:ilvl w:val="0"/>
          <w:numId w:val="6"/>
        </w:numPr>
        <w:spacing w:line="360" w:lineRule="auto"/>
        <w:ind w:left="851"/>
        <w:rPr>
          <w:rFonts w:ascii="宋体" w:hAnsi="宋体" w:cs="宋体" w:hint="eastAsia"/>
          <w:color w:val="000000"/>
          <w:kern w:val="0"/>
          <w:szCs w:val="21"/>
        </w:rPr>
      </w:pPr>
      <w:r>
        <w:rPr>
          <w:rFonts w:ascii="宋体" w:hAnsi="宋体" w:cs="宋体" w:hint="eastAsia"/>
          <w:color w:val="000000"/>
          <w:kern w:val="0"/>
          <w:szCs w:val="21"/>
        </w:rPr>
        <w:t>易用性要求</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在日常的业务运行中，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pPr>
        <w:snapToGrid w:val="0"/>
        <w:spacing w:line="360" w:lineRule="auto"/>
        <w:ind w:firstLine="420" w:firstLineChars="200"/>
        <w:rPr>
          <w:color w:val="000000"/>
          <w:szCs w:val="21"/>
        </w:rPr>
      </w:pPr>
      <w:r>
        <w:rPr>
          <w:rFonts w:ascii="Times New Roman" w:eastAsia="宋体" w:hAnsi="Times New Roman" w:cs="Times New Roman" w:hint="eastAsia"/>
          <w:szCs w:val="20"/>
        </w:rPr>
        <w:t>系统具备完备的用户操作手册，用户手册准确无误、易读易懂，能够帮助一般用户很快地了解和使用系统；备</w:t>
      </w:r>
      <w:r>
        <w:rPr>
          <w:rFonts w:cs="宋体" w:hint="eastAsia"/>
          <w:color w:val="000000"/>
          <w:szCs w:val="21"/>
          <w:lang w:bidi="ar"/>
        </w:rPr>
        <w:t>有联机帮助命令，具有检索和导引功能，能够很方便地查到系统的主要信息。</w:t>
      </w:r>
    </w:p>
    <w:p>
      <w:pPr>
        <w:numPr>
          <w:ilvl w:val="0"/>
          <w:numId w:val="6"/>
        </w:numPr>
        <w:spacing w:line="360" w:lineRule="auto"/>
        <w:ind w:left="851"/>
        <w:rPr>
          <w:rFonts w:ascii="宋体" w:hAnsi="宋体" w:cs="宋体" w:hint="eastAsia"/>
          <w:color w:val="000000"/>
          <w:kern w:val="0"/>
          <w:szCs w:val="21"/>
        </w:rPr>
      </w:pPr>
      <w:r>
        <w:rPr>
          <w:rFonts w:ascii="宋体" w:hAnsi="宋体" w:cs="宋体" w:hint="eastAsia"/>
          <w:color w:val="000000"/>
          <w:kern w:val="0"/>
          <w:szCs w:val="21"/>
        </w:rPr>
        <w:t>扩展性要求</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方用户的快速开发接入。</w:t>
      </w:r>
    </w:p>
    <w:p>
      <w:pPr>
        <w:numPr>
          <w:ilvl w:val="0"/>
          <w:numId w:val="6"/>
        </w:numPr>
        <w:spacing w:line="360" w:lineRule="auto"/>
        <w:ind w:left="851"/>
        <w:rPr>
          <w:rFonts w:ascii="宋体" w:hAnsi="宋体" w:cs="宋体" w:hint="eastAsia"/>
          <w:color w:val="000000"/>
          <w:kern w:val="0"/>
          <w:szCs w:val="21"/>
        </w:rPr>
      </w:pPr>
      <w:r>
        <w:rPr>
          <w:rFonts w:ascii="宋体" w:hAnsi="宋体" w:cs="宋体" w:hint="eastAsia"/>
          <w:color w:val="000000"/>
          <w:kern w:val="0"/>
          <w:szCs w:val="21"/>
        </w:rPr>
        <w:t>维护性要求</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提供详细的维护手册。</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系统能够捕获到的计算机系统故障或应用软件错误并以适当的形式记录或向操作员发送错误状态报告；处理软件的任务及其任务环境参数可从外部配置和修改，并可从数据库中自动生成。</w:t>
      </w:r>
    </w:p>
    <w:p>
      <w:pPr>
        <w:numPr>
          <w:ilvl w:val="0"/>
          <w:numId w:val="6"/>
        </w:numPr>
        <w:spacing w:line="360" w:lineRule="auto"/>
        <w:ind w:left="851"/>
        <w:rPr>
          <w:rFonts w:ascii="宋体" w:hAnsi="宋体" w:cs="宋体" w:hint="eastAsia"/>
          <w:color w:val="000000"/>
          <w:kern w:val="0"/>
          <w:szCs w:val="21"/>
        </w:rPr>
      </w:pPr>
      <w:r>
        <w:rPr>
          <w:rFonts w:ascii="宋体" w:hAnsi="宋体" w:cs="宋体" w:hint="eastAsia"/>
          <w:color w:val="000000"/>
          <w:kern w:val="0"/>
          <w:szCs w:val="21"/>
        </w:rPr>
        <w:t>安全性要求</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系统需要具备抵御网络病毒、黑客袭击的措施与隔离攻击、快速恢复机制，具备多种、分级别的数据安全保护措施并形成有效运行机制。</w:t>
      </w:r>
    </w:p>
    <w:p>
      <w:pPr>
        <w:numPr>
          <w:ilvl w:val="0"/>
          <w:numId w:val="6"/>
        </w:numPr>
        <w:spacing w:line="360" w:lineRule="auto"/>
        <w:ind w:left="851"/>
        <w:rPr>
          <w:rFonts w:ascii="宋体" w:hAnsi="宋体" w:cs="宋体" w:hint="eastAsia"/>
          <w:color w:val="000000"/>
          <w:kern w:val="0"/>
          <w:szCs w:val="21"/>
        </w:rPr>
      </w:pPr>
      <w:r>
        <w:rPr>
          <w:rFonts w:ascii="宋体" w:hAnsi="宋体" w:cs="宋体" w:hint="eastAsia"/>
          <w:color w:val="000000"/>
          <w:kern w:val="0"/>
          <w:szCs w:val="21"/>
        </w:rPr>
        <w:t>界面要求</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系统界面设计需要简洁、便于使用、便于理解、并能减少用户发生错误选择的可能性。系统能够保证用户在10分钟内即能理解页面上的操作。</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系统界面要具备友好性、人性化的提示。</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系统界面结构清晰且所用的术语要保持一致，风格必须与内容相一致，界面的色调字体也要保持一致。</w:t>
      </w:r>
    </w:p>
    <w:p>
      <w:pPr>
        <w:numPr>
          <w:ilvl w:val="12"/>
          <w:numId w:val="0"/>
        </w:numPr>
        <w:snapToGrid w:val="0"/>
        <w:spacing w:line="360" w:lineRule="auto"/>
        <w:ind w:firstLine="420" w:firstLineChars="200"/>
        <w:jc w:val="left"/>
        <w:rPr>
          <w:rFonts w:cs="宋体"/>
          <w:color w:val="000000"/>
          <w:szCs w:val="21"/>
          <w:lang w:bidi="ar"/>
        </w:rPr>
      </w:pPr>
      <w:r>
        <w:rPr>
          <w:rFonts w:ascii="宋体" w:hAnsi="宋体" w:hint="eastAsia"/>
          <w:b/>
          <w:szCs w:val="21"/>
        </w:rPr>
        <w:t>三、进度与质量要求</w:t>
      </w:r>
    </w:p>
    <w:p>
      <w:pPr>
        <w:snapToGrid w:val="0"/>
        <w:spacing w:line="360" w:lineRule="auto"/>
        <w:ind w:firstLine="420" w:firstLineChars="200"/>
        <w:jc w:val="left"/>
        <w:rPr>
          <w:rFonts w:cs="宋体"/>
          <w:color w:val="000000"/>
          <w:szCs w:val="21"/>
          <w:lang w:bidi="ar"/>
        </w:rPr>
      </w:pPr>
      <w:r>
        <w:rPr>
          <w:rFonts w:cs="宋体"/>
          <w:color w:val="000000"/>
          <w:szCs w:val="21"/>
          <w:lang w:bidi="ar"/>
        </w:rPr>
        <w:t>1</w:t>
      </w:r>
      <w:r>
        <w:rPr>
          <w:rFonts w:cs="宋体" w:hint="eastAsia"/>
          <w:color w:val="000000"/>
          <w:szCs w:val="21"/>
          <w:lang w:bidi="ar"/>
        </w:rPr>
        <w:t>、进度要求</w:t>
      </w:r>
      <w:r>
        <w:rPr>
          <w:rFonts w:cs="宋体"/>
          <w:color w:val="000000"/>
          <w:szCs w:val="21"/>
          <w:lang w:bidi="ar"/>
        </w:rPr>
        <w:t xml:space="preserve"> </w:t>
      </w:r>
    </w:p>
    <w:p>
      <w:pPr>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项目研制过程主要包括调研情况、对比分析、提交报告、软件试运行、形成标准版、系统验收等阶段。完成森林防火观测数据处理软件平台开发实施周期为12个月。</w:t>
      </w:r>
    </w:p>
    <w:p>
      <w:pPr>
        <w:snapToGrid w:val="0"/>
        <w:spacing w:line="360" w:lineRule="auto"/>
        <w:ind w:firstLine="420" w:firstLineChars="200"/>
        <w:jc w:val="left"/>
        <w:rPr>
          <w:rFonts w:cs="宋体"/>
          <w:color w:val="000000"/>
          <w:szCs w:val="21"/>
          <w:lang w:bidi="ar"/>
        </w:rPr>
      </w:pPr>
      <w:r>
        <w:rPr>
          <w:rFonts w:cs="宋体"/>
          <w:color w:val="000000"/>
          <w:szCs w:val="21"/>
          <w:lang w:bidi="ar"/>
        </w:rPr>
        <w:t>2</w:t>
      </w:r>
      <w:r>
        <w:rPr>
          <w:rFonts w:cs="宋体" w:hint="eastAsia"/>
          <w:color w:val="000000"/>
          <w:szCs w:val="21"/>
          <w:lang w:bidi="ar"/>
        </w:rPr>
        <w:t>、项目交付成果要求</w:t>
      </w:r>
      <w:r>
        <w:rPr>
          <w:rFonts w:cs="宋体"/>
          <w:color w:val="000000"/>
          <w:szCs w:val="21"/>
          <w:lang w:bidi="ar"/>
        </w:rPr>
        <w:t xml:space="preserve"> </w:t>
      </w:r>
    </w:p>
    <w:p>
      <w:pPr>
        <w:snapToGrid w:val="0"/>
        <w:spacing w:line="360" w:lineRule="auto"/>
        <w:ind w:firstLine="420" w:firstLineChars="200"/>
        <w:jc w:val="left"/>
        <w:rPr>
          <w:rFonts w:ascii="宋体" w:hAnsi="宋体" w:hint="eastAsia"/>
          <w:szCs w:val="21"/>
        </w:rPr>
      </w:pPr>
      <w:r>
        <w:rPr>
          <w:rFonts w:ascii="宋体" w:hAnsi="宋体" w:hint="eastAsia"/>
          <w:szCs w:val="21"/>
        </w:rPr>
        <w:t>应用程序、源代码、工程文件及程序说明。</w:t>
      </w:r>
    </w:p>
    <w:p>
      <w:pPr>
        <w:snapToGrid w:val="0"/>
        <w:spacing w:line="360" w:lineRule="auto"/>
        <w:ind w:firstLine="420" w:firstLineChars="200"/>
        <w:jc w:val="left"/>
        <w:rPr>
          <w:rFonts w:ascii="宋体" w:hAnsi="宋体" w:hint="eastAsia"/>
          <w:szCs w:val="21"/>
        </w:rPr>
      </w:pPr>
      <w:r>
        <w:rPr>
          <w:rFonts w:ascii="宋体" w:hAnsi="宋体" w:hint="eastAsia"/>
          <w:szCs w:val="21"/>
        </w:rPr>
        <w:t>开发文档包含：软件需求规格说明书、设计说明书、软件测试报告、数据库设计说明书、软件性能测试报告、用户使用手册、系统部署及配置说明书、培训教程等相关文件。</w:t>
      </w:r>
    </w:p>
    <w:p>
      <w:pPr>
        <w:snapToGrid w:val="0"/>
        <w:spacing w:line="360" w:lineRule="auto"/>
        <w:ind w:firstLine="420" w:firstLineChars="200"/>
        <w:jc w:val="left"/>
        <w:rPr>
          <w:rFonts w:cs="宋体"/>
          <w:color w:val="000000"/>
          <w:szCs w:val="21"/>
          <w:lang w:bidi="ar"/>
        </w:rPr>
      </w:pPr>
      <w:r>
        <w:rPr>
          <w:rFonts w:cs="宋体"/>
          <w:color w:val="000000"/>
          <w:szCs w:val="21"/>
          <w:lang w:bidi="ar"/>
        </w:rPr>
        <w:t>3</w:t>
      </w:r>
      <w:r>
        <w:rPr>
          <w:rFonts w:cs="宋体" w:hint="eastAsia"/>
          <w:color w:val="000000"/>
          <w:szCs w:val="21"/>
          <w:lang w:bidi="ar"/>
        </w:rPr>
        <w:t>、用户培训</w:t>
      </w:r>
      <w:r>
        <w:rPr>
          <w:rFonts w:cs="宋体"/>
          <w:color w:val="000000"/>
          <w:szCs w:val="21"/>
          <w:lang w:bidi="ar"/>
        </w:rPr>
        <w:t xml:space="preserve"> </w:t>
      </w:r>
    </w:p>
    <w:p>
      <w:pPr>
        <w:snapToGrid w:val="0"/>
        <w:spacing w:line="360" w:lineRule="auto"/>
        <w:ind w:firstLine="420" w:firstLineChars="200"/>
        <w:jc w:val="left"/>
        <w:rPr>
          <w:rFonts w:ascii="宋体" w:hAnsi="宋体" w:hint="eastAsia"/>
          <w:szCs w:val="21"/>
        </w:rPr>
      </w:pPr>
      <w:r>
        <w:rPr>
          <w:rFonts w:ascii="宋体" w:hAnsi="宋体" w:hint="eastAsia"/>
          <w:szCs w:val="21"/>
        </w:rPr>
        <w:t xml:space="preserve">1）培训方式应包括现场培训和集中培训，并应在进行培训之前向采购方提交一份详细的培训计划。  </w:t>
      </w:r>
    </w:p>
    <w:p>
      <w:pPr>
        <w:snapToGrid w:val="0"/>
        <w:spacing w:line="360" w:lineRule="auto"/>
        <w:ind w:firstLine="420" w:firstLineChars="200"/>
        <w:jc w:val="left"/>
        <w:rPr>
          <w:rFonts w:ascii="宋体" w:hAnsi="宋体" w:hint="eastAsia"/>
          <w:szCs w:val="21"/>
        </w:rPr>
      </w:pPr>
      <w:r>
        <w:rPr>
          <w:rFonts w:ascii="宋体" w:hAnsi="宋体" w:hint="eastAsia"/>
          <w:szCs w:val="21"/>
        </w:rPr>
        <w:t xml:space="preserve">2）中标人应以培训目标的实现为目的组织培训，确保每一位系统使用人员能够独立、熟练地完成操作，保证系统用户能够独立处理软件系统故障和进行简单的功能调整。  </w:t>
      </w:r>
    </w:p>
    <w:p>
      <w:pPr>
        <w:snapToGrid w:val="0"/>
        <w:spacing w:line="360" w:lineRule="auto"/>
        <w:ind w:firstLine="420" w:firstLineChars="200"/>
        <w:rPr>
          <w:color w:val="000000"/>
          <w:szCs w:val="21"/>
        </w:rPr>
      </w:pPr>
      <w:r>
        <w:rPr>
          <w:rFonts w:ascii="宋体" w:hAnsi="宋体" w:hint="eastAsia"/>
          <w:szCs w:val="21"/>
        </w:rPr>
        <w:t>3）</w:t>
      </w:r>
      <w:r>
        <w:rPr>
          <w:rFonts w:cs="宋体" w:hint="eastAsia"/>
          <w:color w:val="000000"/>
          <w:szCs w:val="21"/>
          <w:lang w:bidi="ar"/>
        </w:rPr>
        <w:t>培训在采购人指定地点进行；培训讲师为项目主要开发人员；</w:t>
      </w:r>
      <w:r>
        <w:rPr>
          <w:rFonts w:ascii="宋体" w:hAnsi="宋体" w:hint="eastAsia"/>
          <w:szCs w:val="21"/>
        </w:rPr>
        <w:t>具体培训人次和培训时间由采购人与中标人根据项目进展情况协商确定</w:t>
      </w:r>
      <w:r>
        <w:rPr>
          <w:rFonts w:cs="宋体" w:hint="eastAsia"/>
          <w:color w:val="000000"/>
          <w:szCs w:val="21"/>
          <w:lang w:bidi="ar"/>
        </w:rPr>
        <w:t>；培训内容应包括日常操作、维护、常见故障排除、紧急情况处理等；培训应采取课堂讲解和实操训练相结合的方式。</w:t>
      </w:r>
    </w:p>
    <w:p>
      <w:pPr>
        <w:snapToGrid w:val="0"/>
        <w:spacing w:line="360" w:lineRule="auto"/>
        <w:ind w:firstLine="420" w:firstLineChars="200"/>
        <w:rPr>
          <w:color w:val="000000"/>
          <w:szCs w:val="21"/>
        </w:rPr>
      </w:pPr>
      <w:r>
        <w:rPr>
          <w:rFonts w:ascii="宋体" w:hAnsi="宋体" w:hint="eastAsia"/>
          <w:szCs w:val="21"/>
        </w:rPr>
        <w:t>4）</w:t>
      </w:r>
      <w:r>
        <w:rPr>
          <w:rFonts w:cs="宋体" w:hint="eastAsia"/>
          <w:color w:val="000000"/>
          <w:szCs w:val="21"/>
          <w:lang w:bidi="ar"/>
        </w:rPr>
        <w:t>中标方负责搭建培训所需的环境，并提供培训教材等相关用品。</w:t>
      </w:r>
    </w:p>
    <w:p>
      <w:pPr>
        <w:snapToGrid w:val="0"/>
        <w:spacing w:line="360" w:lineRule="auto"/>
        <w:ind w:firstLine="420" w:firstLineChars="200"/>
        <w:rPr>
          <w:color w:val="000000"/>
          <w:szCs w:val="21"/>
        </w:rPr>
      </w:pPr>
      <w:r>
        <w:rPr>
          <w:rFonts w:ascii="宋体" w:hAnsi="宋体" w:hint="eastAsia"/>
          <w:szCs w:val="21"/>
        </w:rPr>
        <w:t>5）</w:t>
      </w:r>
      <w:r>
        <w:rPr>
          <w:rFonts w:cs="宋体" w:hint="eastAsia"/>
          <w:color w:val="000000"/>
          <w:szCs w:val="21"/>
          <w:lang w:bidi="ar"/>
        </w:rPr>
        <w:t>参加培训人员的差旅食宿费用自理，中标方承担培训产生的场地、教师、培训资料、消耗品等一切费用。</w:t>
      </w:r>
    </w:p>
    <w:p>
      <w:pPr>
        <w:snapToGrid w:val="0"/>
        <w:spacing w:line="360" w:lineRule="auto"/>
        <w:ind w:firstLine="420" w:firstLineChars="200"/>
        <w:jc w:val="left"/>
        <w:rPr>
          <w:rFonts w:cs="宋体"/>
          <w:color w:val="000000"/>
          <w:szCs w:val="21"/>
          <w:lang w:bidi="ar"/>
        </w:rPr>
      </w:pPr>
      <w:r>
        <w:rPr>
          <w:rFonts w:cs="宋体"/>
          <w:color w:val="000000"/>
          <w:szCs w:val="21"/>
          <w:lang w:bidi="ar"/>
        </w:rPr>
        <w:t>4</w:t>
      </w:r>
      <w:r>
        <w:rPr>
          <w:rFonts w:cs="宋体" w:hint="eastAsia"/>
          <w:color w:val="000000"/>
          <w:szCs w:val="21"/>
          <w:lang w:bidi="ar"/>
        </w:rPr>
        <w:t>、质量保证要求</w:t>
      </w:r>
      <w:r>
        <w:rPr>
          <w:rFonts w:cs="宋体"/>
          <w:color w:val="000000"/>
          <w:szCs w:val="21"/>
          <w:lang w:bidi="ar"/>
        </w:rPr>
        <w:t xml:space="preserve"> </w:t>
      </w:r>
    </w:p>
    <w:p>
      <w:pPr>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 xml:space="preserve">系统软件开发项目的软件质量保证活动应贯穿软件开发的各个控制节点，并按照国家相关标准及规范实施。中标人必须制定详细的软件质量保证措施方案，并在有关各方商定的里程碑处接受采购人的评审。 </w:t>
      </w:r>
    </w:p>
    <w:p>
      <w:pPr>
        <w:snapToGrid w:val="0"/>
        <w:spacing w:line="360" w:lineRule="auto"/>
        <w:ind w:firstLine="420" w:firstLineChars="200"/>
        <w:jc w:val="left"/>
        <w:rPr>
          <w:rFonts w:ascii="宋体" w:hAnsi="宋体" w:hint="eastAsia"/>
          <w:szCs w:val="21"/>
        </w:rPr>
      </w:pPr>
      <w:r>
        <w:rPr>
          <w:rFonts w:ascii="宋体" w:hAnsi="宋体" w:hint="eastAsia"/>
          <w:b/>
          <w:szCs w:val="21"/>
        </w:rPr>
        <w:t>四、售后服务要求</w:t>
      </w:r>
      <w:r>
        <w:rPr>
          <w:rFonts w:ascii="宋体" w:hAnsi="宋体" w:hint="eastAsia"/>
          <w:szCs w:val="21"/>
        </w:rPr>
        <w:t xml:space="preserve">  </w:t>
      </w:r>
    </w:p>
    <w:p>
      <w:pPr>
        <w:snapToGrid w:val="0"/>
        <w:spacing w:line="360" w:lineRule="auto"/>
        <w:ind w:firstLine="420" w:firstLineChars="200"/>
        <w:rPr>
          <w:color w:val="000000"/>
          <w:szCs w:val="21"/>
        </w:rPr>
      </w:pPr>
      <w:r>
        <w:rPr>
          <w:rFonts w:cs="宋体" w:hint="eastAsia"/>
          <w:color w:val="000000"/>
          <w:szCs w:val="21"/>
          <w:lang w:bidi="ar"/>
        </w:rPr>
        <w:t>通过验收之日起，中标方提供</w:t>
      </w:r>
      <w:r>
        <w:rPr>
          <w:color w:val="000000"/>
          <w:szCs w:val="21"/>
          <w:lang w:bidi="ar"/>
        </w:rPr>
        <w:t>1</w:t>
      </w:r>
      <w:r>
        <w:rPr>
          <w:rFonts w:cs="宋体" w:hint="eastAsia"/>
          <w:color w:val="000000"/>
          <w:szCs w:val="21"/>
          <w:lang w:bidi="ar"/>
        </w:rPr>
        <w:t>年免费技术支持服务，</w:t>
      </w:r>
      <w:r>
        <w:rPr>
          <w:rFonts w:ascii="宋体" w:hAnsi="宋体" w:hint="eastAsia"/>
          <w:szCs w:val="21"/>
        </w:rPr>
        <w:t>期间产生的费用由中标人承担</w:t>
      </w:r>
      <w:r>
        <w:rPr>
          <w:rFonts w:cs="宋体" w:hint="eastAsia"/>
          <w:color w:val="000000"/>
          <w:szCs w:val="21"/>
          <w:lang w:bidi="ar"/>
        </w:rPr>
        <w:t>。</w:t>
      </w:r>
    </w:p>
    <w:p>
      <w:pPr>
        <w:snapToGrid w:val="0"/>
        <w:spacing w:line="360" w:lineRule="auto"/>
        <w:ind w:firstLine="420" w:firstLineChars="200"/>
        <w:rPr>
          <w:color w:val="000000"/>
          <w:szCs w:val="21"/>
        </w:rPr>
      </w:pPr>
      <w:r>
        <w:rPr>
          <w:rFonts w:cs="宋体" w:hint="eastAsia"/>
          <w:color w:val="000000"/>
          <w:szCs w:val="21"/>
          <w:lang w:bidi="ar"/>
        </w:rPr>
        <w:t>中标人技术人员应随时进行电话应答；</w:t>
      </w:r>
      <w:r>
        <w:rPr>
          <w:color w:val="000000"/>
          <w:szCs w:val="21"/>
          <w:lang w:bidi="ar"/>
        </w:rPr>
        <w:t>30</w:t>
      </w:r>
      <w:r>
        <w:rPr>
          <w:rFonts w:cs="宋体" w:hint="eastAsia"/>
          <w:color w:val="000000"/>
          <w:szCs w:val="21"/>
          <w:lang w:bidi="ar"/>
        </w:rPr>
        <w:t>分钟内完成远程登陆诊断。需要现场解决的问题，中标人技术人员须在24小时内达到中国气象局现场。</w:t>
      </w:r>
    </w:p>
    <w:p>
      <w:pPr>
        <w:snapToGrid w:val="0"/>
        <w:spacing w:line="360" w:lineRule="auto"/>
        <w:ind w:firstLine="420" w:firstLineChars="200"/>
        <w:jc w:val="left"/>
        <w:rPr>
          <w:rFonts w:ascii="宋体" w:hAnsi="宋体" w:cs="宋体" w:hint="eastAsia"/>
          <w:color w:val="000000"/>
          <w:szCs w:val="21"/>
          <w:lang w:bidi="ar"/>
        </w:rPr>
      </w:pPr>
      <w:r>
        <w:rPr>
          <w:rFonts w:cs="宋体" w:hint="eastAsia"/>
          <w:color w:val="000000"/>
          <w:szCs w:val="21"/>
          <w:lang w:bidi="ar"/>
        </w:rPr>
        <w:t>质保期内，中标方须配备一支稳定的专业技术服务团队，提供</w:t>
      </w:r>
      <w:r>
        <w:rPr>
          <w:color w:val="000000"/>
          <w:szCs w:val="21"/>
          <w:lang w:bidi="ar"/>
        </w:rPr>
        <w:t>7*24</w:t>
      </w:r>
      <w:r>
        <w:rPr>
          <w:rFonts w:cs="宋体" w:hint="eastAsia"/>
          <w:color w:val="000000"/>
          <w:szCs w:val="21"/>
          <w:lang w:bidi="ar"/>
        </w:rPr>
        <w:t>小时的服务响应，并负责产品的一切维护工作。提供详细的售后服务计划，包括售后服务方式、人员配置、服务期限、故障响应及维修时间等。在出现故障后，中标方应在</w:t>
      </w:r>
      <w:r>
        <w:rPr>
          <w:color w:val="000000"/>
          <w:szCs w:val="21"/>
          <w:lang w:bidi="ar"/>
        </w:rPr>
        <w:t>30</w:t>
      </w:r>
      <w:r>
        <w:rPr>
          <w:rFonts w:cs="宋体" w:hint="eastAsia"/>
          <w:color w:val="000000"/>
          <w:szCs w:val="21"/>
          <w:lang w:bidi="ar"/>
        </w:rPr>
        <w:t>分钟内完成远程登陆诊断，指导招标方排除故障；需要现场解决的问题，中标方技术人员应在</w:t>
      </w:r>
      <w:r>
        <w:rPr>
          <w:color w:val="000000"/>
          <w:szCs w:val="21"/>
          <w:lang w:bidi="ar"/>
        </w:rPr>
        <w:t>24</w:t>
      </w:r>
      <w:r>
        <w:rPr>
          <w:rFonts w:ascii="宋体" w:hAnsi="宋体" w:cs="宋体" w:hint="eastAsia"/>
          <w:color w:val="000000"/>
          <w:szCs w:val="21"/>
          <w:lang w:bidi="ar"/>
        </w:rPr>
        <w:t>小时内到达现场，技术人员所发生的差旅费由中标方承担。</w:t>
      </w:r>
    </w:p>
    <w:p>
      <w:pPr>
        <w:snapToGrid w:val="0"/>
        <w:spacing w:line="360" w:lineRule="auto"/>
        <w:ind w:firstLine="420" w:firstLineChars="200"/>
        <w:jc w:val="left"/>
        <w:rPr>
          <w:rFonts w:ascii="宋体" w:hAnsi="宋体" w:hint="eastAsia"/>
          <w:szCs w:val="21"/>
        </w:rPr>
      </w:pPr>
      <w:r>
        <w:rPr>
          <w:rFonts w:ascii="宋体" w:hAnsi="宋体" w:cs="宋体" w:hint="eastAsia"/>
          <w:color w:val="000000"/>
          <w:szCs w:val="21"/>
          <w:lang w:bidi="ar"/>
        </w:rPr>
        <w:t>提供超过质保期后的技术跟踪服务，包含电话疑难问题解答、远程技术指导等。</w:t>
      </w:r>
    </w:p>
    <w:p>
      <w:pPr>
        <w:snapToGrid w:val="0"/>
        <w:spacing w:line="360" w:lineRule="auto"/>
        <w:ind w:firstLine="420" w:firstLineChars="200"/>
        <w:jc w:val="left"/>
        <w:rPr>
          <w:rFonts w:ascii="宋体" w:hAnsi="宋体" w:hint="eastAsia"/>
          <w:b/>
          <w:szCs w:val="21"/>
        </w:rPr>
      </w:pPr>
      <w:r>
        <w:rPr>
          <w:rFonts w:ascii="宋体" w:hAnsi="宋体" w:hint="eastAsia"/>
          <w:b/>
          <w:szCs w:val="21"/>
        </w:rPr>
        <w:t xml:space="preserve">五、项目团队要求 </w:t>
      </w:r>
    </w:p>
    <w:p>
      <w:pPr>
        <w:snapToGrid w:val="0"/>
        <w:spacing w:line="360" w:lineRule="auto"/>
        <w:ind w:firstLine="420" w:firstLineChars="200"/>
        <w:jc w:val="left"/>
        <w:rPr>
          <w:rFonts w:ascii="宋体" w:hAnsi="宋体" w:hint="eastAsia"/>
          <w:szCs w:val="21"/>
        </w:rPr>
      </w:pPr>
      <w:r>
        <w:rPr>
          <w:rFonts w:ascii="宋体" w:hAnsi="宋体" w:hint="eastAsia"/>
          <w:szCs w:val="21"/>
        </w:rPr>
        <w:t>投标人必须成立合理的组织机构，组成开发服务团队，服务团队人数不少于</w:t>
      </w:r>
      <w:r>
        <w:rPr>
          <w:rFonts w:ascii="宋体" w:hAnsi="宋体" w:hint="eastAsia"/>
          <w:szCs w:val="21"/>
          <w:lang w:val="en-US" w:eastAsia="zh-CN"/>
        </w:rPr>
        <w:t>5</w:t>
      </w:r>
      <w:r>
        <w:rPr>
          <w:rFonts w:ascii="宋体" w:hAnsi="宋体" w:hint="eastAsia"/>
          <w:szCs w:val="21"/>
        </w:rPr>
        <w:t>人</w:t>
      </w:r>
      <w:r>
        <w:rPr>
          <w:rFonts w:ascii="宋体" w:hAnsi="宋体" w:hint="eastAsia"/>
          <w:szCs w:val="21"/>
          <w:lang w:eastAsia="zh-CN"/>
        </w:rPr>
        <w:t>，</w:t>
      </w:r>
      <w:r>
        <w:rPr>
          <w:rFonts w:ascii="宋体" w:hAnsi="宋体" w:hint="eastAsia"/>
          <w:szCs w:val="21"/>
        </w:rPr>
        <w:t>团队组织结构清晰，应设服务团队负责人（项目经理）、技术负责人、技术开发人员，人员专业背景齐全。建立全面保障设计、开发工作顺利实施的各项管理制度和质量保证体系，安排好足够的高素质人才参加本项目工作。接受1</w:t>
      </w:r>
      <w:r>
        <w:rPr>
          <w:rFonts w:ascii="宋体" w:hAnsi="宋体"/>
          <w:szCs w:val="21"/>
        </w:rPr>
        <w:t>0</w:t>
      </w:r>
      <w:r>
        <w:rPr>
          <w:rFonts w:ascii="宋体" w:hAnsi="宋体" w:hint="eastAsia"/>
          <w:szCs w:val="21"/>
        </w:rPr>
        <w:t>%以内的开发内容变动，不额外计算费用。</w:t>
      </w:r>
    </w:p>
    <w:p>
      <w:pPr>
        <w:snapToGrid w:val="0"/>
        <w:spacing w:line="360" w:lineRule="auto"/>
        <w:ind w:firstLine="420" w:firstLineChars="200"/>
        <w:jc w:val="left"/>
        <w:rPr>
          <w:rFonts w:ascii="宋体" w:hAnsi="宋体" w:hint="eastAsia"/>
          <w:szCs w:val="21"/>
        </w:rPr>
      </w:pPr>
      <w:r>
        <w:rPr>
          <w:rFonts w:ascii="宋体" w:hAnsi="宋体" w:hint="eastAsia"/>
          <w:szCs w:val="21"/>
        </w:rPr>
        <w:t>在组织机构设置中，应明确界定各岗位职责，以保障项目顺利实施。</w:t>
      </w:r>
      <w:r>
        <w:rPr>
          <w:rFonts w:ascii="宋体" w:hAnsi="宋体" w:hint="eastAsia"/>
          <w:szCs w:val="21"/>
          <w:lang w:val="en-US" w:eastAsia="zh-CN"/>
        </w:rPr>
        <w:t>团队负责人（</w:t>
      </w:r>
      <w:r>
        <w:rPr>
          <w:rFonts w:ascii="宋体" w:hAnsi="宋体" w:hint="eastAsia"/>
          <w:szCs w:val="21"/>
        </w:rPr>
        <w:t>项目经理</w:t>
      </w:r>
      <w:r>
        <w:rPr>
          <w:rFonts w:ascii="宋体" w:hAnsi="宋体" w:hint="eastAsia"/>
          <w:szCs w:val="21"/>
          <w:lang w:val="en-US" w:eastAsia="zh-CN"/>
        </w:rPr>
        <w:t>）</w:t>
      </w:r>
      <w:r>
        <w:rPr>
          <w:rFonts w:ascii="宋体" w:hAnsi="宋体" w:hint="eastAsia"/>
          <w:szCs w:val="21"/>
        </w:rPr>
        <w:t>与技术负责人</w:t>
      </w:r>
      <w:r>
        <w:rPr>
          <w:rFonts w:ascii="宋体" w:hAnsi="宋体" w:hint="eastAsia"/>
          <w:szCs w:val="21"/>
          <w:lang w:val="en-US" w:eastAsia="zh-CN"/>
        </w:rPr>
        <w:t>应</w:t>
      </w:r>
      <w:r>
        <w:rPr>
          <w:rFonts w:ascii="宋体" w:hAnsi="宋体" w:hint="eastAsia"/>
          <w:szCs w:val="21"/>
        </w:rPr>
        <w:t>具有同类项目工作经验，分别承担项目管理与技术统筹职责</w:t>
      </w:r>
      <w:r>
        <w:rPr>
          <w:rFonts w:ascii="宋体" w:hAnsi="宋体" w:hint="eastAsia"/>
          <w:szCs w:val="21"/>
          <w:lang w:eastAsia="zh-CN"/>
        </w:rPr>
        <w:t>，团队负责人（项目经理）需有计算机/气象/气象仪器类相关专业背景，</w:t>
      </w:r>
      <w:r>
        <w:rPr>
          <w:rFonts w:ascii="宋体" w:hAnsi="宋体" w:hint="eastAsia"/>
          <w:szCs w:val="21"/>
          <w:lang w:eastAsia="zh-CN"/>
        </w:rPr>
        <w:t>技术负责人需具有气象类高级工程师证书</w:t>
      </w:r>
      <w:r>
        <w:rPr>
          <w:rFonts w:ascii="宋体" w:hAnsi="宋体" w:hint="eastAsia"/>
          <w:szCs w:val="21"/>
        </w:rPr>
        <w:t>。投标人须确保参与本项目的核心技术人员与主要开发人员保持稳定，且应至少指派</w:t>
      </w:r>
      <w:r>
        <w:rPr>
          <w:rFonts w:ascii="宋体" w:hAnsi="宋体"/>
          <w:szCs w:val="21"/>
        </w:rPr>
        <w:t>2</w:t>
      </w:r>
      <w:r>
        <w:rPr>
          <w:rFonts w:ascii="宋体" w:hAnsi="宋体" w:hint="eastAsia"/>
          <w:szCs w:val="21"/>
        </w:rPr>
        <w:t>名核心技术人员全程参与项目开发工作。</w:t>
      </w:r>
    </w:p>
    <w:p>
      <w:pPr>
        <w:snapToGrid w:val="0"/>
        <w:spacing w:line="360" w:lineRule="auto"/>
        <w:ind w:firstLine="420" w:firstLineChars="200"/>
        <w:jc w:val="left"/>
        <w:rPr>
          <w:rFonts w:ascii="宋体" w:hAnsi="宋体" w:hint="eastAsia"/>
          <w:szCs w:val="21"/>
        </w:rPr>
      </w:pPr>
      <w:r>
        <w:rPr>
          <w:rFonts w:ascii="宋体" w:hAnsi="宋体" w:hint="eastAsia"/>
          <w:b/>
          <w:szCs w:val="21"/>
        </w:rPr>
        <w:t xml:space="preserve">六、知识产权原则 </w:t>
      </w:r>
    </w:p>
    <w:p>
      <w:pPr>
        <w:snapToGrid w:val="0"/>
        <w:spacing w:line="360" w:lineRule="auto"/>
        <w:ind w:firstLine="420" w:firstLineChars="200"/>
        <w:rPr>
          <w:color w:val="000000"/>
        </w:rPr>
      </w:pPr>
      <w:r>
        <w:rPr>
          <w:color w:val="000000"/>
          <w:lang w:bidi="ar"/>
        </w:rPr>
        <w:t>1</w:t>
      </w:r>
      <w:r>
        <w:rPr>
          <w:rFonts w:cs="宋体" w:hint="eastAsia"/>
          <w:color w:val="000000"/>
          <w:lang w:bidi="ar"/>
        </w:rPr>
        <w:t>、符合法律规定及当事人约定的原则</w:t>
      </w:r>
    </w:p>
    <w:p>
      <w:pPr>
        <w:snapToGrid w:val="0"/>
        <w:spacing w:line="360" w:lineRule="auto"/>
        <w:ind w:firstLine="420" w:firstLineChars="200"/>
        <w:rPr>
          <w:color w:val="000000"/>
        </w:rPr>
      </w:pPr>
      <w:r>
        <w:rPr>
          <w:rFonts w:cs="宋体" w:hint="eastAsia"/>
          <w:color w:val="000000"/>
          <w:lang w:bidi="ar"/>
        </w:rPr>
        <w:t>任何相关事项均应当符合法律规定，及应当符合当事人的约定。</w:t>
      </w:r>
    </w:p>
    <w:p>
      <w:pPr>
        <w:snapToGrid w:val="0"/>
        <w:spacing w:line="360" w:lineRule="auto"/>
        <w:ind w:firstLine="420" w:firstLineChars="200"/>
        <w:rPr>
          <w:rFonts w:cs="宋体"/>
          <w:color w:val="000000"/>
          <w:szCs w:val="21"/>
          <w:lang w:bidi="ar"/>
        </w:rPr>
      </w:pPr>
      <w:r>
        <w:rPr>
          <w:rFonts w:cs="宋体"/>
          <w:color w:val="000000"/>
          <w:szCs w:val="21"/>
          <w:lang w:bidi="ar"/>
        </w:rPr>
        <w:t>2</w:t>
      </w:r>
      <w:r>
        <w:rPr>
          <w:rFonts w:cs="宋体" w:hint="eastAsia"/>
          <w:color w:val="000000"/>
          <w:szCs w:val="21"/>
          <w:lang w:bidi="ar"/>
        </w:rPr>
        <w:t>、开发成果归属清晰原则</w:t>
      </w:r>
    </w:p>
    <w:p>
      <w:pPr>
        <w:snapToGrid w:val="0"/>
        <w:spacing w:line="360" w:lineRule="auto"/>
        <w:ind w:firstLine="420" w:firstLineChars="200"/>
        <w:rPr>
          <w:rFonts w:cs="宋体"/>
          <w:color w:val="000000"/>
          <w:szCs w:val="21"/>
          <w:lang w:bidi="ar"/>
        </w:rPr>
      </w:pPr>
      <w:r>
        <w:rPr>
          <w:rFonts w:cs="宋体" w:hint="eastAsia"/>
          <w:color w:val="000000"/>
          <w:szCs w:val="21"/>
          <w:lang w:bidi="ar"/>
        </w:rPr>
        <w:t>全部及</w:t>
      </w:r>
      <w:r>
        <w:rPr>
          <w:rFonts w:cs="宋体"/>
          <w:color w:val="000000"/>
          <w:szCs w:val="21"/>
          <w:lang w:bidi="ar"/>
        </w:rPr>
        <w:t>/</w:t>
      </w:r>
      <w:r>
        <w:rPr>
          <w:rFonts w:cs="宋体" w:hint="eastAsia"/>
          <w:color w:val="000000"/>
          <w:szCs w:val="21"/>
          <w:lang w:bidi="ar"/>
        </w:rPr>
        <w:t>或任何部分的相关知识产权，包括</w:t>
      </w:r>
      <w:r>
        <w:rPr>
          <w:rFonts w:ascii="宋体" w:hAnsi="宋体" w:hint="eastAsia"/>
          <w:szCs w:val="21"/>
        </w:rPr>
        <w:t>源代码、算法、</w:t>
      </w:r>
      <w:r>
        <w:rPr>
          <w:rFonts w:cs="宋体" w:hint="eastAsia"/>
          <w:color w:val="000000"/>
          <w:szCs w:val="21"/>
          <w:lang w:bidi="ar"/>
        </w:rPr>
        <w:t>相关权益，归采购人所有。中标人有不可争议的义务确保采购人依据本次采购所获得的知识产权不存在任何瑕疵并且可以不受限制地行使相关权利，包括各项延伸权利。若因此发生任何争议均应当由中标人独自承担全部及</w:t>
      </w:r>
      <w:r>
        <w:rPr>
          <w:rFonts w:cs="宋体"/>
          <w:color w:val="000000"/>
          <w:szCs w:val="21"/>
          <w:lang w:bidi="ar"/>
        </w:rPr>
        <w:t>/</w:t>
      </w:r>
      <w:r>
        <w:rPr>
          <w:rFonts w:cs="宋体" w:hint="eastAsia"/>
          <w:color w:val="000000"/>
          <w:szCs w:val="21"/>
          <w:lang w:bidi="ar"/>
        </w:rPr>
        <w:t>或任何责任，包括但不限于应当承担其自身及采购方为排除任何争议或瑕疵所应当或所需支付的一切相关</w:t>
      </w:r>
      <w:r>
        <w:rPr>
          <w:rFonts w:cs="宋体"/>
          <w:color w:val="000000"/>
          <w:szCs w:val="21"/>
          <w:lang w:bidi="ar"/>
        </w:rPr>
        <w:t>/</w:t>
      </w:r>
      <w:r>
        <w:rPr>
          <w:rFonts w:cs="宋体" w:hint="eastAsia"/>
          <w:color w:val="000000"/>
          <w:szCs w:val="21"/>
          <w:lang w:bidi="ar"/>
        </w:rPr>
        <w:t>或由此引起的费用。</w:t>
      </w:r>
    </w:p>
    <w:p>
      <w:pPr>
        <w:snapToGrid w:val="0"/>
        <w:spacing w:line="360" w:lineRule="auto"/>
        <w:ind w:firstLine="420" w:firstLineChars="200"/>
        <w:rPr>
          <w:rFonts w:cs="宋体"/>
          <w:color w:val="000000"/>
          <w:szCs w:val="21"/>
          <w:lang w:bidi="ar"/>
        </w:rPr>
      </w:pPr>
      <w:r>
        <w:rPr>
          <w:rFonts w:cs="宋体"/>
          <w:color w:val="000000"/>
          <w:szCs w:val="21"/>
          <w:lang w:bidi="ar"/>
        </w:rPr>
        <w:t>3</w:t>
      </w:r>
      <w:r>
        <w:rPr>
          <w:rFonts w:cs="宋体" w:hint="eastAsia"/>
          <w:color w:val="000000"/>
          <w:szCs w:val="21"/>
          <w:lang w:bidi="ar"/>
        </w:rPr>
        <w:t>、保护知识产权原则</w:t>
      </w:r>
    </w:p>
    <w:p>
      <w:pPr>
        <w:snapToGrid w:val="0"/>
        <w:spacing w:line="360" w:lineRule="auto"/>
        <w:ind w:firstLine="420" w:firstLineChars="200"/>
        <w:rPr>
          <w:rFonts w:cs="宋体"/>
          <w:color w:val="000000"/>
          <w:szCs w:val="21"/>
          <w:lang w:bidi="ar"/>
        </w:rPr>
      </w:pPr>
      <w:r>
        <w:rPr>
          <w:rFonts w:cs="宋体" w:hint="eastAsia"/>
          <w:color w:val="000000"/>
          <w:szCs w:val="21"/>
          <w:lang w:bidi="ar"/>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pPr>
        <w:snapToGrid w:val="0"/>
        <w:spacing w:line="360" w:lineRule="auto"/>
        <w:ind w:firstLine="420" w:firstLineChars="200"/>
        <w:jc w:val="left"/>
        <w:rPr>
          <w:rFonts w:ascii="宋体" w:hAnsi="宋体" w:hint="eastAsia"/>
          <w:b/>
          <w:szCs w:val="21"/>
          <w:lang w:bidi="ar"/>
        </w:rPr>
      </w:pPr>
      <w:r>
        <w:rPr>
          <w:rFonts w:ascii="宋体" w:hAnsi="宋体" w:hint="eastAsia"/>
          <w:b/>
          <w:szCs w:val="21"/>
          <w:lang w:bidi="ar"/>
        </w:rPr>
        <w:t>七、安全保密要求</w:t>
      </w:r>
      <w:r>
        <w:rPr>
          <w:rFonts w:ascii="宋体" w:hAnsi="宋体"/>
          <w:b/>
          <w:szCs w:val="21"/>
          <w:lang w:bidi="ar"/>
        </w:rPr>
        <w:t xml:space="preserve"> </w:t>
      </w:r>
    </w:p>
    <w:p>
      <w:pPr>
        <w:snapToGrid w:val="0"/>
        <w:spacing w:line="360" w:lineRule="auto"/>
        <w:ind w:firstLine="420" w:firstLineChars="200"/>
        <w:jc w:val="left"/>
        <w:rPr>
          <w:rFonts w:cs="宋体"/>
          <w:color w:val="000000"/>
          <w:szCs w:val="21"/>
          <w:lang w:bidi="ar"/>
        </w:rPr>
      </w:pPr>
      <w:r>
        <w:rPr>
          <w:rFonts w:cs="宋体" w:hint="eastAsia"/>
          <w:color w:val="000000"/>
          <w:szCs w:val="21"/>
          <w:lang w:bidi="ar"/>
        </w:rPr>
        <w:t>中标人必须对项目技术文件以及由采购人提供的所有内部材料、技术文档和信息予以保密。未经采购人书面许可，中标人不得以任何形式向第三方透露本项目标书以及本项目的任何内容。</w:t>
      </w:r>
    </w:p>
    <w:p>
      <w:pPr>
        <w:spacing w:line="360" w:lineRule="auto"/>
        <w:ind w:firstLine="420" w:firstLineChars="200"/>
        <w:rPr>
          <w:rFonts w:ascii="宋体" w:eastAsia="宋体" w:hAnsi="宋体" w:cs="Times New Roman" w:hint="eastAsia"/>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rsidR="00E515C3">
      <w:pPr>
        <w:spacing w:before="156" w:beforeLines="50" w:line="360" w:lineRule="auto"/>
        <w:jc w:val="center"/>
        <w:outlineLvl w:val="1"/>
        <w:rPr>
          <w:rFonts w:ascii="宋体" w:hAnsi="宋体" w:hint="eastAsia"/>
          <w:b/>
          <w:sz w:val="30"/>
          <w:szCs w:val="30"/>
        </w:rPr>
      </w:pPr>
      <w:bookmarkStart w:id="61" w:name="投标被拒绝条款专用部分_JJTK"/>
      <w:r>
        <w:rPr>
          <w:rFonts w:ascii="宋体" w:hAnsi="宋体" w:hint="eastAsia"/>
          <w:b/>
          <w:sz w:val="30"/>
          <w:szCs w:val="30"/>
        </w:rPr>
        <w:t>第八章  投标被拒绝条款专用部分</w:t>
      </w:r>
    </w:p>
    <w:p w:rsidR="00E515C3">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5953BA">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E515C3">
            <w:pPr>
              <w:rPr>
                <w:sz w:val="18"/>
                <w:szCs w:val="18"/>
              </w:rPr>
            </w:pPr>
            <w:r>
              <w:rPr>
                <w:rFonts w:hint="eastAsia"/>
                <w:sz w:val="18"/>
                <w:szCs w:val="18"/>
              </w:rPr>
              <w:t>序号</w:t>
            </w:r>
          </w:p>
        </w:tc>
        <w:tc>
          <w:tcPr>
            <w:tcW w:w="898" w:type="dxa"/>
            <w:vAlign w:val="center"/>
          </w:tcPr>
          <w:p w:rsidR="00E515C3">
            <w:pPr>
              <w:jc w:val="center"/>
              <w:rPr>
                <w:sz w:val="18"/>
                <w:szCs w:val="18"/>
              </w:rPr>
            </w:pPr>
            <w:r>
              <w:rPr>
                <w:rFonts w:hint="eastAsia"/>
                <w:sz w:val="18"/>
                <w:szCs w:val="18"/>
              </w:rPr>
              <w:t>对应</w:t>
            </w:r>
          </w:p>
          <w:p w:rsidR="00E515C3">
            <w:pPr>
              <w:jc w:val="center"/>
              <w:rPr>
                <w:sz w:val="18"/>
                <w:szCs w:val="18"/>
              </w:rPr>
            </w:pPr>
            <w:r>
              <w:rPr>
                <w:rFonts w:hint="eastAsia"/>
                <w:sz w:val="18"/>
                <w:szCs w:val="18"/>
              </w:rPr>
              <w:t>条款号</w:t>
            </w:r>
          </w:p>
        </w:tc>
        <w:tc>
          <w:tcPr>
            <w:tcW w:w="7347" w:type="dxa"/>
            <w:vAlign w:val="center"/>
          </w:tcPr>
          <w:p w:rsidR="00E515C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5953BA">
        <w:tblPrEx>
          <w:tblW w:w="8789" w:type="dxa"/>
          <w:tblLayout w:type="fixed"/>
          <w:tblLook w:val="04A0"/>
        </w:tblPrEx>
        <w:trPr>
          <w:cantSplit/>
        </w:trPr>
        <w:tc>
          <w:tcPr>
            <w:tcW w:w="8789" w:type="dxa"/>
            <w:gridSpan w:val="3"/>
            <w:vAlign w:val="center"/>
          </w:tcPr>
          <w:p w:rsidR="00E515C3">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5953BA">
        <w:tblPrEx>
          <w:tblW w:w="8789" w:type="dxa"/>
          <w:tblLayout w:type="fixed"/>
          <w:tblLook w:val="04A0"/>
        </w:tblPrEx>
        <w:trPr>
          <w:cantSplit/>
        </w:trPr>
        <w:tc>
          <w:tcPr>
            <w:tcW w:w="544" w:type="dxa"/>
            <w:vAlign w:val="center"/>
          </w:tcPr>
          <w:p w:rsidR="00E515C3">
            <w:pPr>
              <w:numPr>
                <w:ilvl w:val="0"/>
                <w:numId w:val="51"/>
              </w:numPr>
              <w:rPr>
                <w:rFonts w:ascii="宋体" w:hAnsi="宋体" w:hint="eastAsia"/>
                <w:sz w:val="18"/>
                <w:szCs w:val="18"/>
              </w:rPr>
            </w:pPr>
          </w:p>
        </w:tc>
        <w:tc>
          <w:tcPr>
            <w:tcW w:w="898" w:type="dxa"/>
            <w:vAlign w:val="center"/>
          </w:tcPr>
          <w:p w:rsidR="00E515C3">
            <w:pPr>
              <w:jc w:val="center"/>
              <w:rPr>
                <w:rFonts w:ascii="宋体" w:hAnsi="宋体" w:hint="eastAsia"/>
                <w:sz w:val="18"/>
                <w:szCs w:val="18"/>
              </w:rPr>
            </w:pPr>
          </w:p>
        </w:tc>
        <w:tc>
          <w:tcPr>
            <w:tcW w:w="7347" w:type="dxa"/>
          </w:tcPr>
          <w:p w:rsidR="00E515C3">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5953BA">
        <w:tblPrEx>
          <w:tblW w:w="8789" w:type="dxa"/>
          <w:tblLayout w:type="fixed"/>
          <w:tblLook w:val="04A0"/>
        </w:tblPrEx>
        <w:trPr>
          <w:cantSplit/>
        </w:trPr>
        <w:tc>
          <w:tcPr>
            <w:tcW w:w="8789" w:type="dxa"/>
            <w:gridSpan w:val="3"/>
            <w:vAlign w:val="center"/>
          </w:tcPr>
          <w:p w:rsidR="00E515C3">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5953BA">
        <w:tblPrEx>
          <w:tblW w:w="8789" w:type="dxa"/>
          <w:tblLayout w:type="fixed"/>
          <w:tblLook w:val="04A0"/>
        </w:tblPrEx>
        <w:trPr>
          <w:cantSplit/>
        </w:trPr>
        <w:tc>
          <w:tcPr>
            <w:tcW w:w="544" w:type="dxa"/>
            <w:vAlign w:val="center"/>
          </w:tcPr>
          <w:p w:rsidR="00E515C3">
            <w:pPr>
              <w:numPr>
                <w:ilvl w:val="0"/>
                <w:numId w:val="51"/>
              </w:numPr>
              <w:rPr>
                <w:rFonts w:ascii="宋体" w:hAnsi="宋体" w:hint="eastAsia"/>
                <w:sz w:val="18"/>
                <w:szCs w:val="18"/>
              </w:rPr>
            </w:pPr>
          </w:p>
        </w:tc>
        <w:tc>
          <w:tcPr>
            <w:tcW w:w="898" w:type="dxa"/>
            <w:vAlign w:val="center"/>
          </w:tcPr>
          <w:p w:rsidR="00E515C3">
            <w:pPr>
              <w:jc w:val="center"/>
              <w:rPr>
                <w:rFonts w:ascii="宋体" w:hAnsi="宋体" w:hint="eastAsia"/>
                <w:sz w:val="18"/>
                <w:szCs w:val="18"/>
              </w:rPr>
            </w:pPr>
          </w:p>
        </w:tc>
        <w:tc>
          <w:tcPr>
            <w:tcW w:w="7347" w:type="dxa"/>
            <w:vAlign w:val="center"/>
          </w:tcPr>
          <w:p w:rsidR="00E515C3">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E515C3">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rsidR="00E515C3">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B6B49">
      <w:pPr>
        <w:numPr>
          <w:ilvl w:val="0"/>
          <w:numId w:val="7"/>
        </w:numPr>
        <w:spacing w:line="360" w:lineRule="auto"/>
        <w:ind w:firstLine="3066" w:firstLineChars="1460"/>
        <w:jc w:val="left"/>
        <w:rPr>
          <w:rFonts w:ascii="Times New Roman" w:eastAsia="宋体" w:hAnsi="Times New Roman" w:cs="Times New Roman"/>
          <w:b/>
          <w:bCs/>
          <w:szCs w:val="21"/>
        </w:rPr>
      </w:pPr>
      <w:bookmarkStart w:id="62"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2B6B49">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2B6B49">
      <w:pPr>
        <w:spacing w:line="360" w:lineRule="auto"/>
        <w:ind w:right="-210" w:rightChars="-100"/>
        <w:jc w:val="center"/>
        <w:rPr>
          <w:rFonts w:ascii="方正小标宋简体" w:eastAsia="方正小标宋简体" w:hAnsi="方正小标宋简体" w:cs="方正小标宋简体" w:hint="eastAsia"/>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2B6B49">
      <w:pPr>
        <w:spacing w:line="360" w:lineRule="auto"/>
        <w:ind w:right="-210" w:rightChars="-100"/>
        <w:rPr>
          <w:rFonts w:ascii="宋体" w:eastAsia="宋体" w:hAnsi="宋体" w:cs="宋体" w:hint="eastAsia"/>
          <w:szCs w:val="21"/>
        </w:rPr>
      </w:pPr>
    </w:p>
    <w:p w:rsidR="002B6B49">
      <w:pPr>
        <w:spacing w:line="360" w:lineRule="auto"/>
        <w:ind w:right="-210" w:rightChars="-100"/>
        <w:rPr>
          <w:rFonts w:ascii="宋体" w:eastAsia="宋体" w:hAnsi="宋体" w:cs="宋体" w:hint="eastAsia"/>
          <w:szCs w:val="21"/>
        </w:rPr>
      </w:pPr>
    </w:p>
    <w:p w:rsidR="002B6B49">
      <w:pPr>
        <w:spacing w:line="360" w:lineRule="auto"/>
        <w:ind w:right="-210" w:rightChars="-100"/>
        <w:rPr>
          <w:rFonts w:ascii="宋体" w:eastAsia="宋体" w:hAnsi="宋体" w:cs="宋体" w:hint="eastAsia"/>
          <w:szCs w:val="21"/>
        </w:rPr>
      </w:pPr>
      <w:r>
        <w:rPr>
          <w:rFonts w:ascii="宋体" w:eastAsia="宋体" w:hAnsi="宋体" w:cs="宋体" w:hint="eastAsia"/>
          <w:szCs w:val="21"/>
        </w:rPr>
        <w:t>合同编号：</w:t>
      </w:r>
    </w:p>
    <w:p w:rsidR="002B6B49">
      <w:pPr>
        <w:spacing w:line="360" w:lineRule="auto"/>
        <w:jc w:val="center"/>
        <w:rPr>
          <w:rFonts w:ascii="宋体" w:eastAsia="宋体" w:hAnsi="宋体" w:cs="宋体" w:hint="eastAsia"/>
          <w:szCs w:val="21"/>
        </w:rPr>
      </w:pPr>
    </w:p>
    <w:p w:rsidR="002B6B49">
      <w:pPr>
        <w:spacing w:line="360" w:lineRule="auto"/>
        <w:jc w:val="center"/>
        <w:rPr>
          <w:rFonts w:ascii="宋体" w:eastAsia="宋体" w:hAnsi="宋体" w:cs="宋体" w:hint="eastAsia"/>
          <w:b/>
          <w:sz w:val="28"/>
          <w:szCs w:val="28"/>
        </w:rPr>
      </w:pPr>
      <w:r>
        <w:rPr>
          <w:rFonts w:ascii="宋体" w:eastAsia="宋体" w:hAnsi="宋体" w:cs="宋体" w:hint="eastAsia"/>
          <w:b/>
          <w:sz w:val="28"/>
          <w:szCs w:val="28"/>
        </w:rPr>
        <w:t>技术开发（委托）合同</w:t>
      </w:r>
    </w:p>
    <w:p w:rsidR="002B6B49">
      <w:pPr>
        <w:spacing w:line="360" w:lineRule="auto"/>
        <w:jc w:val="center"/>
        <w:rPr>
          <w:rFonts w:ascii="宋体" w:eastAsia="宋体" w:hAnsi="宋体" w:cs="宋体" w:hint="eastAsia"/>
          <w:szCs w:val="21"/>
        </w:rPr>
      </w:pPr>
    </w:p>
    <w:p w:rsidR="002B6B49">
      <w:pPr>
        <w:spacing w:line="360" w:lineRule="auto"/>
        <w:jc w:val="center"/>
        <w:rPr>
          <w:rFonts w:ascii="宋体" w:eastAsia="宋体" w:hAnsi="宋体" w:cs="宋体" w:hint="eastAsia"/>
          <w:szCs w:val="21"/>
        </w:rPr>
      </w:pPr>
    </w:p>
    <w:p w:rsidR="002B6B49">
      <w:pPr>
        <w:spacing w:line="600" w:lineRule="auto"/>
        <w:ind w:right="-32" w:firstLine="420" w:rightChars="-15" w:firstLineChars="200"/>
        <w:rPr>
          <w:rFonts w:ascii="宋体" w:eastAsia="宋体" w:hAnsi="宋体" w:cs="宋体" w:hint="eastAsia"/>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600" w:lineRule="auto"/>
        <w:ind w:right="-15" w:firstLine="420" w:firstLineChars="200"/>
        <w:rPr>
          <w:rFonts w:ascii="宋体" w:eastAsia="宋体" w:hAnsi="宋体" w:cs="宋体" w:hint="eastAsia"/>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600" w:lineRule="auto"/>
        <w:ind w:right="-15" w:firstLine="420" w:firstLineChars="200"/>
        <w:rPr>
          <w:rFonts w:ascii="宋体" w:eastAsia="宋体" w:hAnsi="宋体" w:cs="宋体" w:hint="eastAsia"/>
          <w:b/>
          <w:bCs/>
          <w:szCs w:val="21"/>
          <w:u w:val="single"/>
        </w:rPr>
      </w:pPr>
    </w:p>
    <w:p w:rsidR="002B6B49">
      <w:pPr>
        <w:spacing w:line="600" w:lineRule="auto"/>
        <w:ind w:right="-15" w:firstLine="420" w:firstLineChars="200"/>
        <w:rPr>
          <w:rFonts w:ascii="宋体" w:eastAsia="宋体" w:hAnsi="宋体" w:cs="宋体" w:hint="eastAsia"/>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600" w:lineRule="auto"/>
        <w:ind w:left="-540" w:right="-15" w:firstLine="420" w:firstLineChars="200"/>
        <w:rPr>
          <w:rFonts w:ascii="宋体" w:eastAsia="宋体" w:hAnsi="宋体" w:cs="宋体" w:hint="eastAsia"/>
          <w:szCs w:val="21"/>
          <w:u w:val="single"/>
        </w:rPr>
      </w:pPr>
      <w:r>
        <w:rPr>
          <w:rFonts w:ascii="宋体" w:eastAsia="宋体" w:hAnsi="宋体" w:cs="宋体" w:hint="eastAsia"/>
          <w:szCs w:val="21"/>
        </w:rPr>
        <w:t xml:space="preserve">                   </w:t>
      </w:r>
    </w:p>
    <w:p w:rsidR="002B6B49">
      <w:pPr>
        <w:spacing w:line="600" w:lineRule="auto"/>
        <w:ind w:left="-180" w:right="-15" w:firstLine="630" w:firstLineChars="300"/>
        <w:rPr>
          <w:rFonts w:ascii="宋体" w:eastAsia="宋体" w:hAnsi="宋体" w:cs="宋体" w:hint="eastAsia"/>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600" w:lineRule="auto"/>
        <w:ind w:right="-15" w:firstLine="420" w:firstLineChars="200"/>
        <w:rPr>
          <w:rFonts w:ascii="宋体" w:eastAsia="宋体" w:hAnsi="宋体" w:cs="宋体" w:hint="eastAsia"/>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600" w:lineRule="auto"/>
        <w:ind w:right="-15" w:firstLine="420" w:firstLineChars="200"/>
        <w:rPr>
          <w:rFonts w:ascii="宋体" w:eastAsia="宋体" w:hAnsi="宋体" w:cs="宋体" w:hint="eastAsia"/>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360" w:lineRule="auto"/>
        <w:jc w:val="center"/>
        <w:rPr>
          <w:rFonts w:ascii="宋体" w:eastAsia="宋体" w:hAnsi="宋体" w:cs="宋体" w:hint="eastAsia"/>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2B6B49">
      <w:pPr>
        <w:spacing w:line="360" w:lineRule="auto"/>
        <w:ind w:firstLine="1680" w:firstLineChars="800"/>
        <w:rPr>
          <w:rFonts w:ascii="宋体" w:eastAsia="宋体" w:hAnsi="宋体" w:cs="宋体" w:hint="eastAsia"/>
          <w:szCs w:val="21"/>
        </w:rPr>
      </w:pPr>
    </w:p>
    <w:p w:rsidR="002B6B49">
      <w:pPr>
        <w:spacing w:line="480" w:lineRule="auto"/>
        <w:rPr>
          <w:rFonts w:ascii="宋体" w:eastAsia="宋体" w:hAnsi="宋体" w:cs="宋体" w:hint="eastAsia"/>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rsidR="002B6B49">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2B6B49">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2B6B49">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2B6B49">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480" w:lineRule="auto"/>
        <w:rPr>
          <w:rFonts w:ascii="宋体" w:eastAsia="宋体" w:hAnsi="宋体" w:cs="宋体" w:hint="eastAsia"/>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2B6B49">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2B6B49">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2B6B49">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ind w:firstLine="420" w:firstLineChars="200"/>
        <w:jc w:val="left"/>
        <w:rPr>
          <w:rFonts w:ascii="宋体" w:hAnsi="宋体" w:cs="宋体" w:hint="eastAsia"/>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2B6B49">
      <w:pPr>
        <w:jc w:val="center"/>
        <w:rPr>
          <w:rFonts w:ascii="黑体" w:eastAsia="黑体" w:hAnsi="黑体" w:cs="黑体" w:hint="eastAsia"/>
          <w:sz w:val="32"/>
          <w:szCs w:val="32"/>
        </w:rPr>
      </w:pPr>
    </w:p>
    <w:p w:rsidR="002B6B49">
      <w:pPr>
        <w:jc w:val="center"/>
        <w:rPr>
          <w:rFonts w:ascii="黑体" w:eastAsia="黑体" w:hAnsi="黑体" w:cs="黑体" w:hint="eastAsia"/>
          <w:sz w:val="32"/>
          <w:szCs w:val="32"/>
        </w:rPr>
      </w:pPr>
    </w:p>
    <w:p w:rsidR="002B6B49">
      <w:pPr>
        <w:jc w:val="center"/>
        <w:rPr>
          <w:rFonts w:ascii="黑体" w:eastAsia="黑体" w:hAnsi="黑体" w:cs="黑体" w:hint="eastAsia"/>
          <w:sz w:val="32"/>
          <w:szCs w:val="32"/>
        </w:rPr>
      </w:pPr>
    </w:p>
    <w:p w:rsidR="002B6B49">
      <w:pPr>
        <w:jc w:val="center"/>
        <w:rPr>
          <w:rFonts w:ascii="黑体" w:eastAsia="黑体" w:hAnsi="黑体" w:cs="黑体" w:hint="eastAsia"/>
          <w:sz w:val="32"/>
          <w:szCs w:val="32"/>
        </w:rPr>
      </w:pPr>
      <w:r>
        <w:rPr>
          <w:rFonts w:ascii="黑体" w:eastAsia="黑体" w:hAnsi="黑体" w:cs="黑体" w:hint="eastAsia"/>
          <w:sz w:val="32"/>
          <w:szCs w:val="32"/>
        </w:rPr>
        <w:t>使 用 说 明</w:t>
      </w:r>
    </w:p>
    <w:p w:rsidR="002B6B49">
      <w:pPr>
        <w:jc w:val="center"/>
        <w:rPr>
          <w:rFonts w:ascii="黑体" w:eastAsia="黑体" w:hAnsi="黑体" w:cs="黑体" w:hint="eastAsia"/>
          <w:sz w:val="32"/>
          <w:szCs w:val="32"/>
        </w:rPr>
      </w:pPr>
    </w:p>
    <w:p w:rsidR="002B6B49">
      <w:pPr>
        <w:numPr>
          <w:ilvl w:val="0"/>
          <w:numId w:val="8"/>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本合同标准文本适用于气象部门需要供应商定制开发的气象业务软件采购项目。</w:t>
      </w:r>
    </w:p>
    <w:p w:rsidR="002B6B49">
      <w:pPr>
        <w:numPr>
          <w:ilvl w:val="0"/>
          <w:numId w:val="8"/>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2B6B49">
      <w:pPr>
        <w:numPr>
          <w:ilvl w:val="0"/>
          <w:numId w:val="8"/>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2B6B49">
      <w:pPr>
        <w:ind w:firstLine="420" w:firstLineChars="200"/>
        <w:rPr>
          <w:rFonts w:ascii="宋体" w:eastAsia="宋体" w:hAnsi="宋体" w:cs="宋体" w:hint="eastAsia"/>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2B6B49">
      <w:pPr>
        <w:keepNext/>
        <w:keepLines/>
        <w:numPr>
          <w:ilvl w:val="0"/>
          <w:numId w:val="9"/>
        </w:numPr>
        <w:spacing w:before="60" w:after="60" w:line="360" w:lineRule="auto"/>
        <w:jc w:val="left"/>
        <w:outlineLvl w:val="1"/>
        <w:rPr>
          <w:rFonts w:ascii="宋体" w:eastAsia="宋体" w:hAnsi="宋体" w:cs="宋体" w:hint="eastAsia"/>
          <w:b/>
          <w:bCs/>
          <w:szCs w:val="21"/>
        </w:rPr>
      </w:pPr>
      <w:bookmarkStart w:id="63" w:name="_Toc150439537"/>
      <w:r>
        <w:rPr>
          <w:rFonts w:ascii="宋体" w:eastAsia="宋体" w:hAnsi="宋体" w:cs="宋体" w:hint="eastAsia"/>
          <w:b/>
          <w:bCs/>
          <w:szCs w:val="21"/>
        </w:rPr>
        <w:t>项目内容及概况</w:t>
      </w:r>
      <w:bookmarkEnd w:id="63"/>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0"/>
        <w:gridCol w:w="747"/>
        <w:gridCol w:w="792"/>
        <w:gridCol w:w="1500"/>
        <w:gridCol w:w="1502"/>
        <w:gridCol w:w="1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2B6B49">
            <w:pPr>
              <w:jc w:val="left"/>
              <w:rPr>
                <w:rFonts w:ascii="宋体" w:eastAsia="宋体" w:hAnsi="宋体" w:cs="宋体" w:hint="eastAsia"/>
                <w:szCs w:val="21"/>
              </w:rPr>
            </w:pPr>
            <w:r>
              <w:rPr>
                <w:rFonts w:ascii="宋体" w:eastAsia="宋体" w:hAnsi="宋体" w:cs="宋体" w:hint="eastAsia"/>
                <w:szCs w:val="21"/>
              </w:rPr>
              <w:t>名称</w:t>
            </w:r>
          </w:p>
        </w:tc>
        <w:tc>
          <w:tcPr>
            <w:tcW w:w="415" w:type="pct"/>
          </w:tcPr>
          <w:p w:rsidR="002B6B49">
            <w:pPr>
              <w:jc w:val="left"/>
              <w:rPr>
                <w:rFonts w:ascii="宋体" w:eastAsia="宋体" w:hAnsi="宋体" w:cs="宋体" w:hint="eastAsia"/>
                <w:szCs w:val="21"/>
              </w:rPr>
            </w:pPr>
            <w:r>
              <w:rPr>
                <w:rFonts w:ascii="宋体" w:eastAsia="宋体" w:hAnsi="宋体" w:cs="宋体" w:hint="eastAsia"/>
                <w:szCs w:val="21"/>
              </w:rPr>
              <w:t>数量</w:t>
            </w:r>
          </w:p>
        </w:tc>
        <w:tc>
          <w:tcPr>
            <w:tcW w:w="440" w:type="pct"/>
          </w:tcPr>
          <w:p w:rsidR="002B6B49">
            <w:pPr>
              <w:jc w:val="left"/>
              <w:rPr>
                <w:rFonts w:ascii="宋体" w:eastAsia="宋体" w:hAnsi="宋体" w:cs="宋体" w:hint="eastAsia"/>
                <w:szCs w:val="21"/>
              </w:rPr>
            </w:pPr>
            <w:r>
              <w:rPr>
                <w:rFonts w:ascii="宋体" w:eastAsia="宋体" w:hAnsi="宋体" w:cs="宋体" w:hint="eastAsia"/>
                <w:szCs w:val="21"/>
              </w:rPr>
              <w:t>单位</w:t>
            </w:r>
          </w:p>
        </w:tc>
        <w:tc>
          <w:tcPr>
            <w:tcW w:w="833" w:type="pct"/>
          </w:tcPr>
          <w:p w:rsidR="002B6B49">
            <w:pPr>
              <w:jc w:val="left"/>
              <w:rPr>
                <w:rFonts w:ascii="宋体" w:eastAsia="宋体" w:hAnsi="宋体" w:cs="宋体" w:hint="eastAsia"/>
                <w:szCs w:val="21"/>
              </w:rPr>
            </w:pPr>
            <w:r>
              <w:rPr>
                <w:rFonts w:ascii="宋体" w:eastAsia="宋体" w:hAnsi="宋体" w:cs="宋体" w:hint="eastAsia"/>
                <w:szCs w:val="21"/>
              </w:rPr>
              <w:t>单价（元）</w:t>
            </w:r>
          </w:p>
        </w:tc>
        <w:tc>
          <w:tcPr>
            <w:tcW w:w="834" w:type="pct"/>
          </w:tcPr>
          <w:p w:rsidR="002B6B49">
            <w:pPr>
              <w:jc w:val="left"/>
              <w:rPr>
                <w:rFonts w:ascii="宋体" w:eastAsia="宋体" w:hAnsi="宋体" w:cs="宋体" w:hint="eastAsia"/>
                <w:szCs w:val="21"/>
              </w:rPr>
            </w:pPr>
            <w:r>
              <w:rPr>
                <w:rFonts w:ascii="宋体" w:eastAsia="宋体" w:hAnsi="宋体" w:cs="宋体" w:hint="eastAsia"/>
                <w:szCs w:val="21"/>
              </w:rPr>
              <w:t>合计（元）</w:t>
            </w:r>
          </w:p>
        </w:tc>
        <w:tc>
          <w:tcPr>
            <w:tcW w:w="834" w:type="pct"/>
          </w:tcPr>
          <w:p w:rsidR="002B6B49">
            <w:pPr>
              <w:jc w:val="left"/>
              <w:rPr>
                <w:rFonts w:ascii="宋体" w:eastAsia="宋体" w:hAnsi="宋体" w:cs="宋体" w:hint="eastAsia"/>
                <w:szCs w:val="21"/>
              </w:rPr>
            </w:pPr>
            <w:r>
              <w:rPr>
                <w:rFonts w:ascii="宋体" w:eastAsia="宋体" w:hAnsi="宋体" w:cs="宋体" w:hint="eastAsia"/>
                <w:szCs w:val="21"/>
              </w:rPr>
              <w:t>备注</w:t>
            </w:r>
          </w:p>
        </w:tc>
      </w:tr>
      <w:tr>
        <w:tblPrEx>
          <w:tblW w:w="5000" w:type="pct"/>
          <w:tblLook w:val="04A0"/>
        </w:tblPrEx>
        <w:tc>
          <w:tcPr>
            <w:tcW w:w="1644" w:type="pct"/>
          </w:tcPr>
          <w:p w:rsidR="002B6B49">
            <w:pPr>
              <w:jc w:val="left"/>
              <w:rPr>
                <w:rFonts w:ascii="宋体" w:eastAsia="宋体" w:hAnsi="宋体" w:cs="宋体" w:hint="eastAsia"/>
                <w:szCs w:val="21"/>
              </w:rPr>
            </w:pPr>
          </w:p>
        </w:tc>
        <w:tc>
          <w:tcPr>
            <w:tcW w:w="415" w:type="pct"/>
          </w:tcPr>
          <w:p w:rsidR="002B6B49">
            <w:pPr>
              <w:jc w:val="left"/>
              <w:rPr>
                <w:rFonts w:ascii="宋体" w:eastAsia="宋体" w:hAnsi="宋体" w:cs="宋体" w:hint="eastAsia"/>
                <w:szCs w:val="21"/>
              </w:rPr>
            </w:pPr>
          </w:p>
        </w:tc>
        <w:tc>
          <w:tcPr>
            <w:tcW w:w="440" w:type="pct"/>
          </w:tcPr>
          <w:p w:rsidR="002B6B49">
            <w:pPr>
              <w:jc w:val="left"/>
              <w:rPr>
                <w:rFonts w:ascii="宋体" w:eastAsia="宋体" w:hAnsi="宋体" w:cs="宋体" w:hint="eastAsia"/>
                <w:szCs w:val="21"/>
              </w:rPr>
            </w:pPr>
          </w:p>
        </w:tc>
        <w:tc>
          <w:tcPr>
            <w:tcW w:w="833" w:type="pct"/>
          </w:tcPr>
          <w:p w:rsidR="002B6B49">
            <w:pPr>
              <w:jc w:val="left"/>
              <w:rPr>
                <w:rFonts w:ascii="宋体" w:eastAsia="宋体" w:hAnsi="宋体" w:cs="宋体" w:hint="eastAsia"/>
                <w:szCs w:val="21"/>
              </w:rPr>
            </w:pPr>
          </w:p>
        </w:tc>
        <w:tc>
          <w:tcPr>
            <w:tcW w:w="834" w:type="pct"/>
          </w:tcPr>
          <w:p w:rsidR="002B6B49">
            <w:pPr>
              <w:jc w:val="left"/>
              <w:rPr>
                <w:rFonts w:ascii="宋体" w:eastAsia="宋体" w:hAnsi="宋体" w:cs="宋体" w:hint="eastAsia"/>
                <w:szCs w:val="21"/>
              </w:rPr>
            </w:pPr>
          </w:p>
        </w:tc>
        <w:tc>
          <w:tcPr>
            <w:tcW w:w="834" w:type="pct"/>
          </w:tcPr>
          <w:p w:rsidR="002B6B49">
            <w:pPr>
              <w:jc w:val="left"/>
              <w:rPr>
                <w:rFonts w:ascii="宋体" w:eastAsia="宋体" w:hAnsi="宋体" w:cs="宋体" w:hint="eastAsia"/>
                <w:szCs w:val="21"/>
              </w:rPr>
            </w:pPr>
          </w:p>
        </w:tc>
      </w:tr>
      <w:tr>
        <w:tblPrEx>
          <w:tblW w:w="5000" w:type="pct"/>
          <w:tblLook w:val="04A0"/>
        </w:tblPrEx>
        <w:tc>
          <w:tcPr>
            <w:tcW w:w="1644" w:type="pct"/>
          </w:tcPr>
          <w:p w:rsidR="002B6B49">
            <w:pPr>
              <w:jc w:val="left"/>
              <w:rPr>
                <w:rFonts w:ascii="宋体" w:eastAsia="宋体" w:hAnsi="宋体" w:cs="宋体" w:hint="eastAsia"/>
                <w:szCs w:val="21"/>
              </w:rPr>
            </w:pPr>
          </w:p>
        </w:tc>
        <w:tc>
          <w:tcPr>
            <w:tcW w:w="415" w:type="pct"/>
          </w:tcPr>
          <w:p w:rsidR="002B6B49">
            <w:pPr>
              <w:jc w:val="left"/>
              <w:rPr>
                <w:rFonts w:ascii="宋体" w:eastAsia="宋体" w:hAnsi="宋体" w:cs="宋体" w:hint="eastAsia"/>
                <w:szCs w:val="21"/>
              </w:rPr>
            </w:pPr>
          </w:p>
        </w:tc>
        <w:tc>
          <w:tcPr>
            <w:tcW w:w="440" w:type="pct"/>
          </w:tcPr>
          <w:p w:rsidR="002B6B49">
            <w:pPr>
              <w:jc w:val="left"/>
              <w:rPr>
                <w:rFonts w:ascii="宋体" w:eastAsia="宋体" w:hAnsi="宋体" w:cs="宋体" w:hint="eastAsia"/>
                <w:szCs w:val="21"/>
              </w:rPr>
            </w:pPr>
          </w:p>
        </w:tc>
        <w:tc>
          <w:tcPr>
            <w:tcW w:w="833" w:type="pct"/>
          </w:tcPr>
          <w:p w:rsidR="002B6B49">
            <w:pPr>
              <w:jc w:val="left"/>
              <w:rPr>
                <w:rFonts w:ascii="宋体" w:eastAsia="宋体" w:hAnsi="宋体" w:cs="宋体" w:hint="eastAsia"/>
                <w:szCs w:val="21"/>
              </w:rPr>
            </w:pPr>
          </w:p>
        </w:tc>
        <w:tc>
          <w:tcPr>
            <w:tcW w:w="834" w:type="pct"/>
          </w:tcPr>
          <w:p w:rsidR="002B6B49">
            <w:pPr>
              <w:jc w:val="left"/>
              <w:rPr>
                <w:rFonts w:ascii="宋体" w:eastAsia="宋体" w:hAnsi="宋体" w:cs="宋体" w:hint="eastAsia"/>
                <w:szCs w:val="21"/>
              </w:rPr>
            </w:pPr>
          </w:p>
        </w:tc>
        <w:tc>
          <w:tcPr>
            <w:tcW w:w="834" w:type="pct"/>
          </w:tcPr>
          <w:p w:rsidR="002B6B49">
            <w:pPr>
              <w:jc w:val="left"/>
              <w:rPr>
                <w:rFonts w:ascii="宋体" w:eastAsia="宋体" w:hAnsi="宋体" w:cs="宋体" w:hint="eastAsia"/>
                <w:szCs w:val="21"/>
              </w:rPr>
            </w:pPr>
          </w:p>
        </w:tc>
      </w:tr>
      <w:tr>
        <w:tblPrEx>
          <w:tblW w:w="5000" w:type="pct"/>
          <w:tblLook w:val="04A0"/>
        </w:tblPrEx>
        <w:tc>
          <w:tcPr>
            <w:tcW w:w="5000" w:type="pct"/>
            <w:gridSpan w:val="6"/>
          </w:tcPr>
          <w:p w:rsidR="002B6B49">
            <w:pPr>
              <w:jc w:val="left"/>
              <w:rPr>
                <w:rFonts w:ascii="宋体" w:eastAsia="宋体" w:hAnsi="宋体" w:cs="宋体" w:hint="eastAsia"/>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2B6B49">
      <w:pPr>
        <w:ind w:firstLine="420" w:firstLineChars="200"/>
        <w:jc w:val="left"/>
        <w:rPr>
          <w:rFonts w:ascii="宋体" w:eastAsia="宋体" w:hAnsi="宋体" w:cs="宋体" w:hint="eastAsia"/>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ind w:firstLine="420" w:firstLineChars="200"/>
        <w:jc w:val="left"/>
        <w:rPr>
          <w:rFonts w:ascii="宋体" w:eastAsia="宋体" w:hAnsi="宋体" w:cs="宋体" w:hint="eastAsia"/>
          <w:szCs w:val="21"/>
        </w:rPr>
      </w:pPr>
      <w:r>
        <w:rPr>
          <w:rFonts w:ascii="宋体" w:eastAsia="宋体" w:hAnsi="宋体" w:cs="宋体" w:hint="eastAsia"/>
          <w:szCs w:val="21"/>
        </w:rPr>
        <w:t>乙方承担的研究内容：</w:t>
      </w:r>
    </w:p>
    <w:p w:rsidR="002B6B49">
      <w:pPr>
        <w:ind w:firstLine="420" w:firstLineChars="200"/>
        <w:jc w:val="left"/>
        <w:rPr>
          <w:rFonts w:ascii="宋体" w:eastAsia="宋体" w:hAnsi="宋体" w:cs="宋体" w:hint="eastAsia"/>
          <w:szCs w:val="21"/>
        </w:rPr>
      </w:pPr>
      <w:r>
        <w:rPr>
          <w:rFonts w:ascii="宋体" w:eastAsia="宋体" w:hAnsi="宋体" w:cs="宋体" w:hint="eastAsia"/>
          <w:szCs w:val="21"/>
        </w:rPr>
        <w:t>XXXX（技术交底部分）。</w:t>
      </w:r>
    </w:p>
    <w:p w:rsidR="002B6B49">
      <w:pPr>
        <w:ind w:firstLine="420" w:firstLineChars="200"/>
        <w:jc w:val="left"/>
        <w:rPr>
          <w:rFonts w:ascii="宋体" w:eastAsia="宋体" w:hAnsi="宋体" w:cs="宋体" w:hint="eastAsia"/>
          <w:szCs w:val="21"/>
        </w:rPr>
      </w:pPr>
    </w:p>
    <w:p w:rsidR="002B6B49">
      <w:pPr>
        <w:ind w:firstLine="420" w:firstLineChars="200"/>
        <w:jc w:val="left"/>
        <w:rPr>
          <w:rFonts w:ascii="宋体" w:eastAsia="宋体" w:hAnsi="宋体" w:cs="宋体" w:hint="eastAsia"/>
          <w:szCs w:val="21"/>
        </w:rPr>
      </w:pPr>
      <w:r>
        <w:rPr>
          <w:rFonts w:ascii="宋体" w:eastAsia="宋体" w:hAnsi="宋体" w:cs="宋体" w:hint="eastAsia"/>
          <w:szCs w:val="21"/>
        </w:rPr>
        <w:t>乙方主要研究人员</w:t>
      </w:r>
    </w:p>
    <w:p w:rsidR="002B6B49">
      <w:pPr>
        <w:ind w:firstLine="420" w:firstLineChars="200"/>
        <w:jc w:val="left"/>
        <w:rPr>
          <w:rFonts w:ascii="宋体" w:eastAsia="宋体" w:hAnsi="宋体" w:cs="宋体" w:hint="eastAsia"/>
          <w:szCs w:val="21"/>
        </w:rPr>
      </w:pPr>
      <w:r>
        <w:rPr>
          <w:rFonts w:ascii="宋体" w:eastAsia="宋体" w:hAnsi="宋体" w:cs="宋体" w:hint="eastAsia"/>
          <w:szCs w:val="21"/>
        </w:rPr>
        <w:t xml:space="preserve"> XXXX。</w:t>
      </w:r>
    </w:p>
    <w:p w:rsidR="002B6B49">
      <w:pPr>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2B6B49">
      <w:pPr>
        <w:keepNext/>
        <w:keepLines/>
        <w:numPr>
          <w:ilvl w:val="0"/>
          <w:numId w:val="9"/>
        </w:numPr>
        <w:spacing w:before="60" w:after="60" w:line="360" w:lineRule="auto"/>
        <w:jc w:val="left"/>
        <w:outlineLvl w:val="1"/>
        <w:rPr>
          <w:rFonts w:ascii="宋体" w:eastAsia="宋体" w:hAnsi="宋体" w:cs="宋体" w:hint="eastAsia"/>
          <w:b/>
          <w:bCs/>
          <w:szCs w:val="21"/>
        </w:rPr>
      </w:pPr>
      <w:bookmarkStart w:id="64" w:name="_Toc150439540"/>
      <w:r>
        <w:rPr>
          <w:rFonts w:ascii="宋体" w:eastAsia="宋体" w:hAnsi="宋体" w:cs="宋体" w:hint="eastAsia"/>
          <w:b/>
          <w:bCs/>
          <w:szCs w:val="21"/>
        </w:rPr>
        <w:t>项目相关标准</w:t>
      </w:r>
      <w:bookmarkEnd w:id="64"/>
    </w:p>
    <w:p w:rsidR="002B6B49">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技术标准</w:t>
      </w:r>
    </w:p>
    <w:p w:rsidR="002B6B49">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国家政策文件</w:t>
      </w:r>
    </w:p>
    <w:p w:rsidR="002B6B49">
      <w:pPr>
        <w:numPr>
          <w:ilvl w:val="1"/>
          <w:numId w:val="10"/>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2B6B49">
      <w:pPr>
        <w:numPr>
          <w:ilvl w:val="1"/>
          <w:numId w:val="10"/>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省厅政策文件</w:t>
      </w:r>
    </w:p>
    <w:p w:rsidR="002B6B49">
      <w:pPr>
        <w:numPr>
          <w:ilvl w:val="0"/>
          <w:numId w:val="12"/>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0"/>
          <w:numId w:val="12"/>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地区政策文件</w:t>
      </w:r>
    </w:p>
    <w:p w:rsidR="002B6B49">
      <w:pPr>
        <w:numPr>
          <w:ilvl w:val="1"/>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1"/>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标准规范</w:t>
      </w:r>
    </w:p>
    <w:p w:rsidR="002B6B49">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国家法律法规</w:t>
      </w:r>
    </w:p>
    <w:p w:rsidR="002B6B49">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《中华人民共和国政府采购法》            </w:t>
      </w:r>
    </w:p>
    <w:p w:rsidR="002B6B49">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《中华人民共和国民法典》                </w:t>
      </w:r>
    </w:p>
    <w:p w:rsidR="002B6B49">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气象部门管理制度</w:t>
      </w:r>
    </w:p>
    <w:p w:rsidR="002B6B49">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《气象业务软件外包风险监管办法（试行）》（气办发〔2023〕37号） </w:t>
      </w:r>
    </w:p>
    <w:p w:rsidR="002B6B49">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《关于统筹集约建设气象业务软件的指导意见》（气发〔2024〕8号） </w:t>
      </w:r>
    </w:p>
    <w:p w:rsidR="002B6B49">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rsidR="002B6B49">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2B6B49">
      <w:pPr>
        <w:numPr>
          <w:ilvl w:val="0"/>
          <w:numId w:val="15"/>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2B6B49">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《中国气象局网络安全管理办法（试行）》（气发〔2020〕41号）     </w:t>
      </w:r>
    </w:p>
    <w:p w:rsidR="002B6B49">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ind w:firstLine="420" w:firstLineChars="200"/>
        <w:jc w:val="left"/>
        <w:rPr>
          <w:rFonts w:ascii="华文楷体" w:eastAsia="华文楷体" w:hAnsi="华文楷体" w:cs="华文楷体" w:hint="eastAsia"/>
          <w:szCs w:val="21"/>
        </w:rPr>
      </w:pPr>
      <w:r>
        <w:rPr>
          <w:rFonts w:ascii="华文楷体" w:eastAsia="华文楷体" w:hAnsi="华文楷体" w:cs="华文楷体" w:hint="eastAsia"/>
          <w:szCs w:val="21"/>
        </w:rPr>
        <w:t>注：上述气象部门管理制度应根据本合同签订时的实际情况进行更新和补充。</w:t>
      </w:r>
    </w:p>
    <w:p w:rsidR="002B6B49">
      <w:pPr>
        <w:keepNext/>
        <w:keepLines/>
        <w:numPr>
          <w:ilvl w:val="0"/>
          <w:numId w:val="9"/>
        </w:numPr>
        <w:spacing w:before="60" w:after="60" w:line="360" w:lineRule="auto"/>
        <w:jc w:val="left"/>
        <w:outlineLvl w:val="1"/>
        <w:rPr>
          <w:rFonts w:ascii="宋体" w:eastAsia="宋体" w:hAnsi="宋体" w:cs="宋体" w:hint="eastAsia"/>
          <w:b/>
          <w:bCs/>
          <w:szCs w:val="21"/>
        </w:rPr>
      </w:pPr>
      <w:bookmarkStart w:id="65" w:name="_Toc150439542"/>
      <w:r>
        <w:rPr>
          <w:rFonts w:ascii="宋体" w:eastAsia="宋体" w:hAnsi="宋体" w:cs="宋体" w:hint="eastAsia"/>
          <w:b/>
          <w:bCs/>
          <w:szCs w:val="21"/>
        </w:rPr>
        <w:t>组成本合同的文件</w:t>
      </w:r>
      <w:bookmarkEnd w:id="65"/>
    </w:p>
    <w:p w:rsidR="002B6B49">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本合同；</w:t>
      </w:r>
    </w:p>
    <w:p w:rsidR="002B6B49">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中标通知书、招标文件、投标文件等；</w:t>
      </w:r>
    </w:p>
    <w:p w:rsidR="002B6B49">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与履行本合同有关、经双方依法签字盖章确认后的下列技术文件：</w:t>
      </w:r>
    </w:p>
    <w:p w:rsidR="002B6B49">
      <w:pPr>
        <w:numPr>
          <w:ilvl w:val="0"/>
          <w:numId w:val="17"/>
        </w:numPr>
        <w:spacing w:line="360" w:lineRule="auto"/>
        <w:ind w:hanging="5"/>
        <w:jc w:val="left"/>
        <w:rPr>
          <w:rFonts w:ascii="宋体" w:eastAsia="宋体" w:hAnsi="宋体" w:cs="宋体" w:hint="eastAsia"/>
          <w:szCs w:val="21"/>
        </w:rPr>
      </w:pPr>
      <w:r>
        <w:rPr>
          <w:rFonts w:ascii="宋体" w:eastAsia="宋体" w:hAnsi="宋体" w:cs="宋体" w:hint="eastAsia"/>
          <w:szCs w:val="21"/>
        </w:rPr>
        <w:t>技术背景资料；</w:t>
      </w:r>
    </w:p>
    <w:p w:rsidR="002B6B49">
      <w:pPr>
        <w:numPr>
          <w:ilvl w:val="0"/>
          <w:numId w:val="17"/>
        </w:numPr>
        <w:spacing w:line="360" w:lineRule="auto"/>
        <w:ind w:hanging="5"/>
        <w:jc w:val="left"/>
        <w:rPr>
          <w:rFonts w:ascii="宋体" w:eastAsia="宋体" w:hAnsi="宋体" w:cs="宋体" w:hint="eastAsia"/>
          <w:szCs w:val="21"/>
        </w:rPr>
      </w:pPr>
      <w:r>
        <w:rPr>
          <w:rFonts w:ascii="宋体" w:eastAsia="宋体" w:hAnsi="宋体" w:cs="宋体" w:hint="eastAsia"/>
          <w:szCs w:val="21"/>
        </w:rPr>
        <w:t>可行性论证报告；</w:t>
      </w:r>
    </w:p>
    <w:p w:rsidR="002B6B49">
      <w:pPr>
        <w:numPr>
          <w:ilvl w:val="0"/>
          <w:numId w:val="17"/>
        </w:numPr>
        <w:spacing w:line="360" w:lineRule="auto"/>
        <w:ind w:hanging="5"/>
        <w:jc w:val="left"/>
        <w:rPr>
          <w:rFonts w:ascii="宋体" w:eastAsia="宋体" w:hAnsi="宋体" w:cs="宋体" w:hint="eastAsia"/>
          <w:szCs w:val="21"/>
        </w:rPr>
      </w:pPr>
      <w:r>
        <w:rPr>
          <w:rFonts w:ascii="宋体" w:eastAsia="宋体" w:hAnsi="宋体" w:cs="宋体" w:hint="eastAsia"/>
          <w:szCs w:val="21"/>
        </w:rPr>
        <w:t>技术评价报告；</w:t>
      </w:r>
    </w:p>
    <w:p w:rsidR="002B6B49">
      <w:pPr>
        <w:numPr>
          <w:ilvl w:val="0"/>
          <w:numId w:val="17"/>
        </w:numPr>
        <w:spacing w:line="360" w:lineRule="auto"/>
        <w:ind w:hanging="5"/>
        <w:jc w:val="left"/>
        <w:rPr>
          <w:rFonts w:ascii="宋体" w:eastAsia="宋体" w:hAnsi="宋体" w:cs="宋体" w:hint="eastAsia"/>
          <w:szCs w:val="21"/>
        </w:rPr>
      </w:pPr>
      <w:r>
        <w:rPr>
          <w:rFonts w:ascii="宋体" w:eastAsia="宋体" w:hAnsi="宋体" w:cs="宋体" w:hint="eastAsia"/>
          <w:szCs w:val="21"/>
        </w:rPr>
        <w:t>技术标准和规范；</w:t>
      </w:r>
    </w:p>
    <w:p w:rsidR="002B6B49">
      <w:pPr>
        <w:numPr>
          <w:ilvl w:val="0"/>
          <w:numId w:val="17"/>
        </w:numPr>
        <w:spacing w:line="360" w:lineRule="auto"/>
        <w:ind w:hanging="5"/>
        <w:jc w:val="left"/>
        <w:rPr>
          <w:rFonts w:ascii="宋体" w:eastAsia="宋体" w:hAnsi="宋体" w:cs="宋体" w:hint="eastAsia"/>
          <w:szCs w:val="21"/>
        </w:rPr>
      </w:pPr>
      <w:r>
        <w:rPr>
          <w:rFonts w:ascii="宋体" w:eastAsia="宋体" w:hAnsi="宋体" w:cs="宋体"/>
          <w:szCs w:val="21"/>
        </w:rPr>
        <w:t>……</w:t>
      </w:r>
    </w:p>
    <w:p w:rsidR="002B6B49">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安全保密承诺书（签字盖章）；</w:t>
      </w:r>
    </w:p>
    <w:p w:rsidR="002B6B49">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乙方就该项目实施情况接受甲方监督检查的承诺书（签字盖章）；</w:t>
      </w:r>
    </w:p>
    <w:p w:rsidR="002B6B49">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2B6B49">
      <w:pPr>
        <w:keepNext/>
        <w:keepLines/>
        <w:numPr>
          <w:ilvl w:val="0"/>
          <w:numId w:val="9"/>
        </w:numPr>
        <w:spacing w:before="60" w:after="60" w:line="360" w:lineRule="auto"/>
        <w:jc w:val="left"/>
        <w:outlineLvl w:val="1"/>
        <w:rPr>
          <w:rFonts w:ascii="宋体" w:eastAsia="宋体" w:hAnsi="宋体" w:cs="宋体" w:hint="eastAsia"/>
          <w:b/>
          <w:bCs/>
          <w:szCs w:val="21"/>
        </w:rPr>
      </w:pPr>
      <w:bookmarkStart w:id="66" w:name="_Toc150439545"/>
      <w:r>
        <w:rPr>
          <w:rFonts w:ascii="宋体" w:eastAsia="宋体" w:hAnsi="宋体" w:cs="宋体" w:hint="eastAsia"/>
          <w:b/>
          <w:bCs/>
          <w:szCs w:val="21"/>
        </w:rPr>
        <w:t>合同履行地点、合同服务期</w:t>
      </w:r>
      <w:bookmarkEnd w:id="66"/>
    </w:p>
    <w:p w:rsidR="002B6B49">
      <w:pPr>
        <w:numPr>
          <w:ilvl w:val="0"/>
          <w:numId w:val="18"/>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2B6B49">
      <w:pPr>
        <w:numPr>
          <w:ilvl w:val="0"/>
          <w:numId w:val="18"/>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2B6B49">
      <w:pPr>
        <w:keepNext/>
        <w:keepLines/>
        <w:numPr>
          <w:ilvl w:val="0"/>
          <w:numId w:val="9"/>
        </w:numPr>
        <w:spacing w:before="60" w:after="60" w:line="360" w:lineRule="auto"/>
        <w:outlineLvl w:val="1"/>
        <w:rPr>
          <w:rFonts w:ascii="宋体" w:eastAsia="宋体" w:hAnsi="宋体" w:cs="宋体" w:hint="eastAsia"/>
          <w:b/>
          <w:bCs/>
          <w:szCs w:val="21"/>
        </w:rPr>
      </w:pPr>
      <w:bookmarkStart w:id="67" w:name="_Toc150439547"/>
      <w:r>
        <w:rPr>
          <w:rFonts w:ascii="宋体" w:eastAsia="宋体" w:hAnsi="宋体" w:cs="宋体" w:hint="eastAsia"/>
          <w:b/>
          <w:bCs/>
          <w:szCs w:val="21"/>
        </w:rPr>
        <w:t>服务范围及内容</w:t>
      </w:r>
      <w:bookmarkEnd w:id="67"/>
    </w:p>
    <w:p w:rsidR="002B6B49">
      <w:pPr>
        <w:ind w:firstLine="420" w:firstLineChars="200"/>
        <w:rPr>
          <w:rFonts w:ascii="宋体" w:eastAsia="宋体" w:hAnsi="宋体" w:cs="宋体" w:hint="eastAsia"/>
          <w:szCs w:val="21"/>
        </w:rPr>
      </w:pPr>
      <w:r>
        <w:rPr>
          <w:rFonts w:ascii="宋体" w:eastAsia="宋体" w:hAnsi="宋体" w:cs="宋体" w:hint="eastAsia"/>
          <w:szCs w:val="21"/>
        </w:rPr>
        <w:t>本合同研究开发项目的要求如下：</w:t>
      </w:r>
    </w:p>
    <w:p w:rsidR="002B6B49">
      <w:pPr>
        <w:numPr>
          <w:ilvl w:val="0"/>
          <w:numId w:val="19"/>
        </w:numPr>
        <w:spacing w:line="360" w:lineRule="auto"/>
        <w:ind w:firstLine="420"/>
        <w:jc w:val="left"/>
        <w:rPr>
          <w:rFonts w:ascii="宋体" w:eastAsia="宋体" w:hAnsi="宋体" w:cs="宋体" w:hint="eastAsia"/>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2B6B49">
      <w:pPr>
        <w:numPr>
          <w:ilvl w:val="0"/>
          <w:numId w:val="19"/>
        </w:numPr>
        <w:spacing w:line="360" w:lineRule="auto"/>
        <w:ind w:firstLine="420"/>
        <w:jc w:val="left"/>
        <w:rPr>
          <w:rFonts w:ascii="宋体" w:eastAsia="宋体" w:hAnsi="宋体" w:cs="宋体" w:hint="eastAsia"/>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B6B49">
      <w:pPr>
        <w:numPr>
          <w:ilvl w:val="0"/>
          <w:numId w:val="19"/>
        </w:numPr>
        <w:spacing w:line="360" w:lineRule="auto"/>
        <w:jc w:val="left"/>
        <w:rPr>
          <w:rFonts w:ascii="宋体" w:eastAsia="宋体" w:hAnsi="宋体" w:cs="宋体" w:hint="eastAsia"/>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2B6B49">
      <w:pPr>
        <w:numPr>
          <w:ilvl w:val="0"/>
          <w:numId w:val="19"/>
        </w:numPr>
        <w:spacing w:line="360" w:lineRule="auto"/>
        <w:jc w:val="left"/>
        <w:rPr>
          <w:rFonts w:ascii="宋体" w:eastAsia="宋体" w:hAnsi="宋体" w:cs="宋体" w:hint="eastAsia"/>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B6B49">
      <w:pPr>
        <w:numPr>
          <w:ilvl w:val="0"/>
          <w:numId w:val="19"/>
        </w:numPr>
        <w:spacing w:line="360" w:lineRule="auto"/>
        <w:jc w:val="left"/>
        <w:rPr>
          <w:rFonts w:ascii="宋体" w:eastAsia="宋体" w:hAnsi="宋体" w:cs="宋体" w:hint="eastAsia"/>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B6B49">
      <w:pPr>
        <w:numPr>
          <w:ilvl w:val="0"/>
          <w:numId w:val="19"/>
        </w:numPr>
        <w:spacing w:line="360" w:lineRule="auto"/>
        <w:jc w:val="left"/>
        <w:rPr>
          <w:rFonts w:ascii="宋体" w:eastAsia="宋体" w:hAnsi="宋体" w:cs="宋体" w:hint="eastAsia"/>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B6B49">
      <w:pPr>
        <w:numPr>
          <w:ilvl w:val="0"/>
          <w:numId w:val="19"/>
        </w:numPr>
        <w:spacing w:line="360" w:lineRule="auto"/>
        <w:rPr>
          <w:rFonts w:ascii="宋体" w:eastAsia="宋体" w:hAnsi="宋体" w:cs="宋体" w:hint="eastAsia"/>
          <w:szCs w:val="21"/>
        </w:rPr>
      </w:pPr>
      <w:r>
        <w:rPr>
          <w:rFonts w:ascii="宋体" w:eastAsia="宋体" w:hAnsi="宋体" w:cs="宋体" w:hint="eastAsia"/>
          <w:szCs w:val="21"/>
        </w:rPr>
        <w:t>进度安排：</w:t>
      </w:r>
    </w:p>
    <w:p w:rsidR="002B6B49">
      <w:pPr>
        <w:ind w:firstLine="420" w:firstLineChars="200"/>
        <w:rPr>
          <w:rFonts w:ascii="宋体" w:eastAsia="宋体" w:hAnsi="宋体" w:cs="宋体" w:hint="eastAsia"/>
          <w:szCs w:val="21"/>
        </w:rPr>
      </w:pPr>
      <w:r>
        <w:rPr>
          <w:rFonts w:ascii="宋体" w:eastAsia="宋体" w:hAnsi="宋体" w:cs="宋体" w:hint="eastAsia"/>
          <w:szCs w:val="21"/>
        </w:rPr>
        <w:t>乙方应按下列进度完成研究开发工作：</w:t>
      </w:r>
    </w:p>
    <w:p w:rsidR="002B6B49">
      <w:pPr>
        <w:numPr>
          <w:ilvl w:val="0"/>
          <w:numId w:val="2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2B6B49">
      <w:pPr>
        <w:numPr>
          <w:ilvl w:val="0"/>
          <w:numId w:val="2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9"/>
        <w:gridCol w:w="63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2B6B49">
            <w:pPr>
              <w:jc w:val="center"/>
              <w:rPr>
                <w:rFonts w:ascii="宋体" w:eastAsia="宋体" w:hAnsi="宋体" w:cs="宋体" w:hint="eastAsia"/>
                <w:b/>
                <w:bCs/>
                <w:szCs w:val="21"/>
              </w:rPr>
            </w:pPr>
            <w:r>
              <w:rPr>
                <w:rFonts w:ascii="宋体" w:eastAsia="宋体" w:hAnsi="宋体" w:cs="宋体" w:hint="eastAsia"/>
                <w:b/>
                <w:bCs/>
                <w:szCs w:val="21"/>
              </w:rPr>
              <w:t>项目执行阶段</w:t>
            </w:r>
          </w:p>
        </w:tc>
        <w:tc>
          <w:tcPr>
            <w:tcW w:w="3523" w:type="pct"/>
            <w:vAlign w:val="center"/>
          </w:tcPr>
          <w:p w:rsidR="002B6B49">
            <w:pPr>
              <w:jc w:val="center"/>
              <w:rPr>
                <w:rFonts w:ascii="宋体" w:eastAsia="宋体" w:hAnsi="宋体" w:cs="宋体" w:hint="eastAsia"/>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2B6B49">
            <w:pPr>
              <w:jc w:val="center"/>
              <w:rPr>
                <w:rFonts w:ascii="宋体" w:eastAsia="宋体" w:hAnsi="宋体" w:cs="宋体" w:hint="eastAsia"/>
                <w:szCs w:val="21"/>
              </w:rPr>
            </w:pPr>
            <w:r>
              <w:rPr>
                <w:rFonts w:ascii="宋体" w:eastAsia="宋体" w:hAnsi="宋体" w:cs="宋体" w:hint="eastAsia"/>
                <w:szCs w:val="21"/>
              </w:rPr>
              <w:t>研究开发计划</w:t>
            </w:r>
          </w:p>
        </w:tc>
        <w:tc>
          <w:tcPr>
            <w:tcW w:w="3523" w:type="pct"/>
            <w:vAlign w:val="center"/>
          </w:tcPr>
          <w:p w:rsidR="002B6B49">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B6B49">
            <w:pPr>
              <w:jc w:val="center"/>
              <w:rPr>
                <w:rFonts w:ascii="宋体" w:eastAsia="宋体" w:hAnsi="宋体" w:cs="宋体" w:hint="eastAsia"/>
                <w:szCs w:val="21"/>
              </w:rPr>
            </w:pPr>
            <w:r>
              <w:rPr>
                <w:rFonts w:ascii="宋体" w:eastAsia="宋体" w:hAnsi="宋体" w:cs="宋体" w:hint="eastAsia"/>
                <w:szCs w:val="21"/>
              </w:rPr>
              <w:t xml:space="preserve"> 初设方案</w:t>
            </w:r>
          </w:p>
        </w:tc>
        <w:tc>
          <w:tcPr>
            <w:tcW w:w="3523" w:type="pct"/>
          </w:tcPr>
          <w:p w:rsidR="002B6B49">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B6B49">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2B6B49">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B6B49">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2B6B49">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B6B49">
            <w:pPr>
              <w:jc w:val="center"/>
              <w:rPr>
                <w:rFonts w:ascii="宋体" w:eastAsia="宋体" w:hAnsi="宋体" w:cs="宋体" w:hint="eastAsia"/>
                <w:szCs w:val="21"/>
              </w:rPr>
            </w:pPr>
            <w:r>
              <w:rPr>
                <w:rFonts w:ascii="宋体" w:eastAsia="宋体" w:hAnsi="宋体" w:cs="宋体" w:hint="eastAsia"/>
                <w:szCs w:val="21"/>
              </w:rPr>
              <w:t>安装、测试、培训</w:t>
            </w:r>
          </w:p>
        </w:tc>
        <w:tc>
          <w:tcPr>
            <w:tcW w:w="3523" w:type="pct"/>
          </w:tcPr>
          <w:p w:rsidR="002B6B49">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B6B49">
            <w:pPr>
              <w:jc w:val="center"/>
              <w:rPr>
                <w:rFonts w:ascii="宋体" w:eastAsia="宋体" w:hAnsi="宋体" w:cs="宋体" w:hint="eastAsia"/>
                <w:szCs w:val="21"/>
              </w:rPr>
            </w:pPr>
            <w:r>
              <w:rPr>
                <w:rFonts w:ascii="宋体" w:eastAsia="宋体" w:hAnsi="宋体" w:cs="宋体" w:hint="eastAsia"/>
                <w:szCs w:val="21"/>
              </w:rPr>
              <w:t>软件试运行</w:t>
            </w:r>
          </w:p>
        </w:tc>
        <w:tc>
          <w:tcPr>
            <w:tcW w:w="3523" w:type="pct"/>
          </w:tcPr>
          <w:p w:rsidR="002B6B49">
            <w:pPr>
              <w:jc w:val="center"/>
              <w:rPr>
                <w:rFonts w:ascii="宋体" w:eastAsia="宋体" w:hAnsi="宋体" w:cs="宋体" w:hint="eastAsia"/>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2B6B49">
            <w:pPr>
              <w:jc w:val="center"/>
              <w:rPr>
                <w:rFonts w:ascii="宋体" w:eastAsia="宋体" w:hAnsi="宋体" w:cs="宋体" w:hint="eastAsia"/>
                <w:szCs w:val="21"/>
              </w:rPr>
            </w:pPr>
            <w:r>
              <w:rPr>
                <w:rFonts w:ascii="宋体" w:eastAsia="宋体" w:hAnsi="宋体" w:cs="宋体" w:hint="eastAsia"/>
                <w:szCs w:val="21"/>
              </w:rPr>
              <w:t>项目验收</w:t>
            </w:r>
          </w:p>
        </w:tc>
        <w:tc>
          <w:tcPr>
            <w:tcW w:w="3523" w:type="pct"/>
          </w:tcPr>
          <w:p w:rsidR="002B6B49">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2B6B49">
      <w:pPr>
        <w:keepNext/>
        <w:keepLines/>
        <w:numPr>
          <w:ilvl w:val="0"/>
          <w:numId w:val="9"/>
        </w:numPr>
        <w:spacing w:before="60" w:after="60" w:line="360" w:lineRule="auto"/>
        <w:outlineLvl w:val="1"/>
        <w:rPr>
          <w:rFonts w:ascii="宋体" w:eastAsia="宋体" w:hAnsi="宋体" w:cs="宋体" w:hint="eastAsia"/>
          <w:b/>
          <w:bCs/>
          <w:szCs w:val="21"/>
        </w:rPr>
      </w:pPr>
      <w:bookmarkStart w:id="68" w:name="_Toc150439549"/>
      <w:r>
        <w:rPr>
          <w:rFonts w:ascii="宋体" w:eastAsia="宋体" w:hAnsi="宋体" w:cs="宋体" w:hint="eastAsia"/>
          <w:b/>
          <w:bCs/>
          <w:szCs w:val="21"/>
        </w:rPr>
        <w:t>乙方的权利与义务</w:t>
      </w:r>
      <w:bookmarkEnd w:id="68"/>
    </w:p>
    <w:p w:rsidR="002B6B49">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为保证履行合同，乙方承诺以下事项：</w:t>
      </w:r>
    </w:p>
    <w:p w:rsidR="002B6B49">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rsidR="002B6B49">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开发团队中X人需驻场开发，驻场地址为           ；                       </w:t>
      </w:r>
    </w:p>
    <w:p w:rsidR="002B6B49">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投入所必需的XXX等软硬件设施资源及XXX场地；                         </w:t>
      </w:r>
    </w:p>
    <w:p w:rsidR="002B6B49">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制定针对本项目的备份恢复措施和应急预案；                             </w:t>
      </w:r>
    </w:p>
    <w:p w:rsidR="002B6B49">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具有XXX等内控、保密和管理制度。                                     </w:t>
      </w:r>
    </w:p>
    <w:p w:rsidR="002B6B49">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对非驻场软件开发，乙方承诺以下事项：</w:t>
      </w:r>
    </w:p>
    <w:p w:rsidR="002B6B49">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用于本项目的设施、系统和数据与其他项目有明确、清晰的边界；            </w:t>
      </w:r>
    </w:p>
    <w:p w:rsidR="002B6B49">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对用于本项目的乙方服务器、存储、网络设备、操作系统、数据库、中间件等软</w:t>
      </w:r>
      <w:r>
        <w:rPr>
          <w:rFonts w:ascii="宋体" w:eastAsia="宋体" w:hAnsi="宋体" w:cs="宋体" w:hint="eastAsia"/>
          <w:szCs w:val="21"/>
          <w:u w:val="single"/>
        </w:rPr>
        <w:t xml:space="preserve">硬件设施具有最高管理权限；                                                  </w:t>
      </w:r>
    </w:p>
    <w:p w:rsidR="002B6B49">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不存在规避监管的情形。                                                </w:t>
      </w:r>
    </w:p>
    <w:p w:rsidR="002B6B49">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2B6B49">
      <w:pPr>
        <w:numPr>
          <w:ilvl w:val="0"/>
          <w:numId w:val="2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rsidR="002B6B49">
      <w:pPr>
        <w:numPr>
          <w:ilvl w:val="0"/>
          <w:numId w:val="24"/>
        </w:numPr>
        <w:spacing w:line="360" w:lineRule="auto"/>
        <w:ind w:hanging="5"/>
        <w:jc w:val="left"/>
        <w:rPr>
          <w:rFonts w:ascii="宋体" w:eastAsia="宋体" w:hAnsi="宋体" w:cs="宋体" w:hint="eastAsia"/>
          <w:szCs w:val="21"/>
        </w:rPr>
      </w:pPr>
      <w:r>
        <w:rPr>
          <w:rFonts w:ascii="宋体" w:eastAsia="宋体" w:hAnsi="宋体" w:cs="宋体" w:hint="eastAsia"/>
          <w:szCs w:val="21"/>
        </w:rPr>
        <w:t>项目功能清单；</w:t>
      </w:r>
    </w:p>
    <w:p w:rsidR="002B6B49">
      <w:pPr>
        <w:numPr>
          <w:ilvl w:val="0"/>
          <w:numId w:val="24"/>
        </w:numPr>
        <w:spacing w:line="360" w:lineRule="auto"/>
        <w:ind w:hanging="5"/>
        <w:jc w:val="left"/>
        <w:rPr>
          <w:rFonts w:ascii="宋体" w:eastAsia="宋体" w:hAnsi="宋体" w:cs="宋体" w:hint="eastAsia"/>
          <w:szCs w:val="21"/>
        </w:rPr>
      </w:pPr>
      <w:r>
        <w:rPr>
          <w:rFonts w:ascii="宋体" w:eastAsia="宋体" w:hAnsi="宋体" w:cs="宋体" w:hint="eastAsia"/>
          <w:szCs w:val="21"/>
        </w:rPr>
        <w:t>项目实施方案。</w:t>
      </w:r>
    </w:p>
    <w:p w:rsidR="002B6B49">
      <w:pPr>
        <w:numPr>
          <w:ilvl w:val="0"/>
          <w:numId w:val="2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乙方在软件开发实施中，应在招标文件范围内，根据甲方需求持续改进，直到最终用户确认满意。</w:t>
      </w:r>
    </w:p>
    <w:p w:rsidR="002B6B49">
      <w:pPr>
        <w:numPr>
          <w:ilvl w:val="0"/>
          <w:numId w:val="25"/>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2B6B49">
      <w:pPr>
        <w:numPr>
          <w:ilvl w:val="0"/>
          <w:numId w:val="25"/>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2B6B49">
      <w:pPr>
        <w:numPr>
          <w:ilvl w:val="0"/>
          <w:numId w:val="25"/>
        </w:numPr>
        <w:spacing w:line="360" w:lineRule="auto"/>
        <w:ind w:firstLine="420"/>
        <w:jc w:val="left"/>
        <w:rPr>
          <w:rFonts w:ascii="宋体" w:eastAsia="宋体" w:hAnsi="宋体" w:cs="宋体" w:hint="eastAsia"/>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2B6B49">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2B6B49">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乙方承诺接受甲方对本项目执行工作的监督、检查和评价。</w:t>
      </w:r>
    </w:p>
    <w:p w:rsidR="002B6B49">
      <w:pPr>
        <w:numPr>
          <w:ilvl w:val="0"/>
          <w:numId w:val="21"/>
        </w:numPr>
        <w:spacing w:line="360" w:lineRule="auto"/>
        <w:ind w:firstLine="420" w:firstLineChars="200"/>
        <w:rPr>
          <w:rFonts w:ascii="宋体" w:eastAsia="宋体" w:hAnsi="宋体" w:cs="Times New Roman" w:hint="eastAsia"/>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2B6B49">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2B6B49">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2B6B49">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69" w:name="_Toc150439565"/>
      <w:r>
        <w:rPr>
          <w:rFonts w:ascii="宋体" w:eastAsia="宋体" w:hAnsi="宋体" w:cs="宋体" w:hint="eastAsia"/>
          <w:b/>
          <w:bCs/>
          <w:szCs w:val="21"/>
        </w:rPr>
        <w:t>甲方</w:t>
      </w:r>
      <w:r>
        <w:rPr>
          <w:rFonts w:ascii="宋体" w:eastAsia="宋体" w:hAnsi="宋体" w:cs="宋体"/>
          <w:b/>
          <w:bCs/>
          <w:szCs w:val="21"/>
        </w:rPr>
        <w:t>的权利与义务</w:t>
      </w:r>
      <w:bookmarkEnd w:id="69"/>
    </w:p>
    <w:p w:rsidR="002B6B49">
      <w:pPr>
        <w:numPr>
          <w:ilvl w:val="0"/>
          <w:numId w:val="26"/>
        </w:numPr>
        <w:spacing w:line="360" w:lineRule="auto"/>
        <w:ind w:firstLine="420" w:firstLineChars="200"/>
        <w:rPr>
          <w:rFonts w:ascii="宋体" w:eastAsia="宋体" w:hAnsi="宋体" w:cs="宋体" w:hint="eastAsia"/>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2B6B49">
      <w:pPr>
        <w:numPr>
          <w:ilvl w:val="0"/>
          <w:numId w:val="27"/>
        </w:numPr>
        <w:tabs>
          <w:tab w:val="left" w:pos="540"/>
        </w:tabs>
        <w:spacing w:line="360" w:lineRule="auto"/>
        <w:ind w:hanging="5"/>
        <w:rPr>
          <w:rFonts w:ascii="宋体" w:eastAsia="宋体" w:hAnsi="宋体" w:cs="宋体" w:hint="eastAsia"/>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0"/>
          <w:numId w:val="27"/>
        </w:numPr>
        <w:spacing w:line="360" w:lineRule="auto"/>
        <w:ind w:hanging="5"/>
        <w:rPr>
          <w:rFonts w:ascii="宋体" w:eastAsia="宋体" w:hAnsi="宋体" w:cs="宋体" w:hint="eastAsia"/>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0"/>
          <w:numId w:val="27"/>
        </w:numPr>
        <w:spacing w:line="360" w:lineRule="auto"/>
        <w:ind w:hanging="5"/>
        <w:rPr>
          <w:rFonts w:ascii="宋体" w:eastAsia="宋体" w:hAnsi="宋体" w:cs="宋体" w:hint="eastAsia"/>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numPr>
          <w:ilvl w:val="0"/>
          <w:numId w:val="26"/>
        </w:numPr>
        <w:spacing w:line="360" w:lineRule="auto"/>
        <w:ind w:firstLine="420" w:firstLineChars="200"/>
        <w:rPr>
          <w:rFonts w:ascii="宋体" w:eastAsia="宋体" w:hAnsi="宋体" w:cs="宋体" w:hint="eastAsia"/>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2B6B49">
      <w:pPr>
        <w:numPr>
          <w:ilvl w:val="0"/>
          <w:numId w:val="26"/>
        </w:numPr>
        <w:spacing w:line="360" w:lineRule="auto"/>
        <w:ind w:firstLine="420" w:firstLineChars="200"/>
        <w:rPr>
          <w:rFonts w:ascii="宋体" w:eastAsia="宋体" w:hAnsi="宋体" w:cs="宋体" w:hint="eastAsia"/>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2B6B49">
      <w:pPr>
        <w:numPr>
          <w:ilvl w:val="0"/>
          <w:numId w:val="26"/>
        </w:numPr>
        <w:spacing w:line="360" w:lineRule="auto"/>
        <w:ind w:firstLine="420" w:firstLineChars="200"/>
        <w:rPr>
          <w:rFonts w:ascii="宋体" w:eastAsia="宋体" w:hAnsi="宋体" w:cs="宋体" w:hint="eastAsia"/>
          <w:spacing w:val="7"/>
          <w:szCs w:val="21"/>
        </w:rPr>
      </w:pPr>
      <w:r>
        <w:rPr>
          <w:rFonts w:ascii="宋体" w:eastAsia="宋体" w:hAnsi="宋体" w:cs="宋体" w:hint="eastAsia"/>
          <w:szCs w:val="21"/>
        </w:rPr>
        <w:t>甲方必须遵守国家法律法规及气象部门管理制度的要求。</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知识产权归属</w:t>
      </w:r>
    </w:p>
    <w:p w:rsidR="002B6B49">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2B6B49">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2B6B49">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2B6B49">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乙方利用研究开发经费所购置与研究开发工作有关的设备、器材、资料等财产，归甲方所有。</w:t>
      </w:r>
    </w:p>
    <w:p w:rsidR="002B6B49">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项目联系人及相关约定</w:t>
      </w:r>
    </w:p>
    <w:p w:rsidR="002B6B49">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联系人及职责</w:t>
      </w:r>
    </w:p>
    <w:p w:rsidR="002B6B49">
      <w:pPr>
        <w:ind w:left="420"/>
        <w:rPr>
          <w:rFonts w:ascii="宋体" w:eastAsia="宋体" w:hAnsi="宋体" w:cs="宋体" w:hint="eastAsia"/>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2B6B49">
      <w:pPr>
        <w:rPr>
          <w:rFonts w:ascii="宋体" w:eastAsia="宋体" w:hAnsi="宋体" w:cs="宋体" w:hint="eastAsia"/>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2B6B49">
      <w:pPr>
        <w:numPr>
          <w:ilvl w:val="0"/>
          <w:numId w:val="30"/>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numPr>
          <w:ilvl w:val="0"/>
          <w:numId w:val="30"/>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 </w:t>
      </w:r>
    </w:p>
    <w:p w:rsidR="002B6B49">
      <w:pPr>
        <w:numPr>
          <w:ilvl w:val="0"/>
          <w:numId w:val="30"/>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numPr>
          <w:ilvl w:val="0"/>
          <w:numId w:val="30"/>
        </w:numPr>
        <w:spacing w:line="360" w:lineRule="auto"/>
        <w:ind w:hanging="5"/>
        <w:rPr>
          <w:rFonts w:ascii="宋体" w:eastAsia="宋体" w:hAnsi="宋体" w:cs="宋体" w:hint="eastAsia"/>
          <w:szCs w:val="21"/>
          <w:u w:val="single"/>
        </w:rPr>
      </w:pPr>
      <w:r>
        <w:rPr>
          <w:rFonts w:ascii="Arial" w:eastAsia="宋体" w:hAnsi="Arial" w:cs="Arial" w:hint="eastAsia"/>
          <w:szCs w:val="21"/>
          <w:u w:val="single"/>
        </w:rPr>
        <w:t xml:space="preserve">                                                                 </w:t>
      </w:r>
    </w:p>
    <w:p w:rsidR="002B6B49">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联系人变更约定</w:t>
      </w:r>
    </w:p>
    <w:p w:rsidR="002B6B49">
      <w:pPr>
        <w:numPr>
          <w:ilvl w:val="0"/>
          <w:numId w:val="31"/>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2B6B49">
      <w:pPr>
        <w:numPr>
          <w:ilvl w:val="0"/>
          <w:numId w:val="31"/>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2B6B49">
      <w:pPr>
        <w:numPr>
          <w:ilvl w:val="0"/>
          <w:numId w:val="31"/>
        </w:numPr>
        <w:spacing w:line="360" w:lineRule="auto"/>
        <w:ind w:left="5" w:firstLine="415"/>
        <w:rPr>
          <w:rFonts w:ascii="宋体" w:eastAsia="宋体" w:hAnsi="宋体" w:cs="宋体" w:hint="eastAsia"/>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0" w:name="_Toc150439567"/>
      <w:r>
        <w:rPr>
          <w:rFonts w:ascii="宋体" w:eastAsia="宋体" w:hAnsi="宋体" w:cs="宋体" w:hint="eastAsia"/>
          <w:b/>
          <w:bCs/>
          <w:szCs w:val="21"/>
        </w:rPr>
        <w:t>项目交付</w:t>
      </w:r>
      <w:bookmarkEnd w:id="70"/>
    </w:p>
    <w:p w:rsidR="002B6B49">
      <w:pPr>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乙方应当按以下方式向甲方交付研究开发成果：</w:t>
      </w:r>
    </w:p>
    <w:p w:rsidR="002B6B49">
      <w:pPr>
        <w:numPr>
          <w:ilvl w:val="0"/>
          <w:numId w:val="3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研究开发成果交付内容：</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需求分析、需求规格说明书、系统原型；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概要设计、详细设计方案；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运行正常的系统；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完整的软件源代码、可执行程序、安装程序；</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软件使用手册；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软件技术说明；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软件测试大纲、测试报告；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其他按照《气象软件工程规范》要求的文档；</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u w:val="single"/>
        </w:rPr>
        <w:t>（以上文档提供电子版x套，硬拷贝x套）。</w:t>
      </w:r>
    </w:p>
    <w:p w:rsidR="002B6B49">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研究开发成果交付的时间及地点：             在            交付。</w:t>
      </w:r>
    </w:p>
    <w:p w:rsidR="002B6B49">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乙方应向甲方交付的其他文档资料及协作事项如下：</w:t>
      </w:r>
    </w:p>
    <w:p w:rsidR="002B6B49">
      <w:pPr>
        <w:ind w:firstLine="420" w:firstLineChars="200"/>
        <w:rPr>
          <w:rFonts w:ascii="宋体" w:eastAsia="宋体" w:hAnsi="宋体" w:cs="宋体" w:hint="eastAsia"/>
          <w:szCs w:val="21"/>
        </w:rPr>
      </w:pPr>
      <w:r>
        <w:rPr>
          <w:rFonts w:ascii="宋体" w:eastAsia="宋体" w:hAnsi="宋体" w:cs="宋体" w:hint="eastAsia"/>
          <w:szCs w:val="21"/>
        </w:rPr>
        <w:t>资料清单:______________________</w:t>
      </w:r>
    </w:p>
    <w:p w:rsidR="002B6B49">
      <w:pPr>
        <w:ind w:firstLine="420" w:firstLineChars="200"/>
        <w:rPr>
          <w:rFonts w:ascii="宋体" w:eastAsia="宋体" w:hAnsi="宋体" w:cs="宋体" w:hint="eastAsia"/>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2B6B49">
      <w:pPr>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安装调试</w:t>
      </w:r>
    </w:p>
    <w:p w:rsidR="002B6B49">
      <w:pPr>
        <w:ind w:firstLine="420" w:firstLineChars="200"/>
        <w:rPr>
          <w:rFonts w:ascii="宋体" w:eastAsia="宋体" w:hAnsi="宋体" w:cs="宋体" w:hint="eastAsia"/>
          <w:szCs w:val="21"/>
        </w:rPr>
      </w:pPr>
      <w:r>
        <w:rPr>
          <w:rFonts w:ascii="宋体" w:eastAsia="宋体" w:hAnsi="宋体" w:cs="宋体" w:hint="eastAsia"/>
          <w:szCs w:val="21"/>
        </w:rPr>
        <w:t>乙方负责项目系统的安装及调试，内容如下：</w:t>
      </w:r>
    </w:p>
    <w:p w:rsidR="002B6B49">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确保达到系统正常运行条件和相关技术标准及业务要求；</w:t>
      </w:r>
    </w:p>
    <w:p w:rsidR="002B6B49">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系统数据达到规范要求，运行正常；</w:t>
      </w:r>
    </w:p>
    <w:p w:rsidR="002B6B49">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系统运行保证安全稳定；</w:t>
      </w:r>
    </w:p>
    <w:p w:rsidR="002B6B49">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平台业务运行机制要完整。</w:t>
      </w:r>
    </w:p>
    <w:p w:rsidR="002B6B49">
      <w:pPr>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培训</w:t>
      </w:r>
    </w:p>
    <w:p w:rsidR="002B6B49">
      <w:pPr>
        <w:ind w:firstLine="420" w:firstLineChars="200"/>
        <w:rPr>
          <w:rFonts w:ascii="宋体" w:eastAsia="宋体" w:hAnsi="宋体" w:cs="宋体" w:hint="eastAsia"/>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2B6B49">
      <w:pPr>
        <w:ind w:firstLine="420" w:firstLineChars="200"/>
        <w:rPr>
          <w:rFonts w:ascii="宋体" w:eastAsia="宋体" w:hAnsi="宋体" w:cs="宋体" w:hint="eastAsia"/>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支付方式</w:t>
      </w:r>
    </w:p>
    <w:p w:rsidR="002B6B49">
      <w:pPr>
        <w:ind w:firstLine="420" w:firstLineChars="200"/>
        <w:rPr>
          <w:rFonts w:ascii="宋体" w:eastAsia="宋体" w:hAnsi="宋体" w:cs="宋体" w:hint="eastAsia"/>
          <w:szCs w:val="21"/>
        </w:rPr>
      </w:pPr>
      <w:r>
        <w:rPr>
          <w:rFonts w:ascii="宋体" w:eastAsia="宋体" w:hAnsi="宋体" w:cs="宋体" w:hint="eastAsia"/>
          <w:szCs w:val="21"/>
        </w:rPr>
        <w:t>甲方应按以下方式支付研究开发经费和报酬：</w:t>
      </w:r>
    </w:p>
    <w:p w:rsidR="002B6B49">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2B6B49">
      <w:pPr>
        <w:numPr>
          <w:ilvl w:val="0"/>
          <w:numId w:val="36"/>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B6B49">
      <w:pPr>
        <w:numPr>
          <w:ilvl w:val="0"/>
          <w:numId w:val="36"/>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B6B49">
      <w:pPr>
        <w:numPr>
          <w:ilvl w:val="0"/>
          <w:numId w:val="36"/>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2B6B49">
      <w:pPr>
        <w:numPr>
          <w:ilvl w:val="0"/>
          <w:numId w:val="36"/>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p>
    <w:p w:rsidR="002B6B49">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研究开发经费由甲方分期支付给乙方。具体支付方式和时间如下： </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个工作日内，甲方向乙方支付本合同首付款至乙方指定账户，首付款为合同总额_</w:t>
      </w:r>
      <w:r w:rsidRPr="00CB3D8C" w:rsidR="00CB3D8C">
        <w:rPr>
          <w:rFonts w:ascii="宋体" w:eastAsia="宋体" w:hAnsi="宋体" w:cs="宋体" w:hint="eastAsia"/>
          <w:szCs w:val="21"/>
          <w:u w:val="single"/>
        </w:rPr>
        <w:t xml:space="preserve">90% </w:t>
      </w:r>
      <w:r>
        <w:rPr>
          <w:rFonts w:ascii="宋体" w:eastAsia="宋体" w:hAnsi="宋体" w:cs="宋体" w:hint="eastAsia"/>
          <w:szCs w:val="21"/>
        </w:rPr>
        <w:t>，即：</w:t>
      </w:r>
      <w:r>
        <w:rPr>
          <w:rFonts w:ascii="宋体" w:eastAsia="宋体" w:hAnsi="宋体" w:cs="宋体" w:hint="eastAsia"/>
          <w:szCs w:val="21"/>
          <w:u w:val="single"/>
        </w:rPr>
        <w:t>￥    元（大写：人民币    元整）；</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w:t>
      </w:r>
      <w:r w:rsidR="00CB3D8C">
        <w:rPr>
          <w:rFonts w:ascii="宋体" w:eastAsia="宋体" w:hAnsi="宋体" w:cs="宋体" w:hint="eastAsia"/>
          <w:szCs w:val="21"/>
        </w:rPr>
        <w:t>二</w:t>
      </w:r>
      <w:r>
        <w:rPr>
          <w:rFonts w:ascii="宋体" w:eastAsia="宋体" w:hAnsi="宋体" w:cs="宋体" w:hint="eastAsia"/>
          <w:szCs w:val="21"/>
        </w:rPr>
        <w:t>阶段：最后一次付款额应为本合同总额的</w:t>
      </w:r>
      <w:r>
        <w:rPr>
          <w:rFonts w:ascii="宋体" w:eastAsia="宋体" w:hAnsi="宋体" w:cs="宋体" w:hint="eastAsia"/>
          <w:szCs w:val="21"/>
          <w:u w:val="single"/>
        </w:rPr>
        <w:t xml:space="preserve"> </w:t>
      </w:r>
      <w:r w:rsidR="00CB3D8C">
        <w:rPr>
          <w:rFonts w:ascii="宋体" w:eastAsia="宋体" w:hAnsi="宋体" w:cs="宋体" w:hint="eastAsia"/>
          <w:szCs w:val="21"/>
          <w:u w:val="single"/>
        </w:rPr>
        <w:t>10</w:t>
      </w:r>
      <w:r>
        <w:rPr>
          <w:rFonts w:ascii="宋体" w:eastAsia="宋体" w:hAnsi="宋体" w:cs="宋体" w:hint="eastAsia"/>
          <w:szCs w:val="21"/>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sidR="00CB3D8C">
        <w:rPr>
          <w:rFonts w:ascii="宋体" w:eastAsia="宋体" w:hAnsi="宋体" w:cs="宋体" w:hint="eastAsia"/>
          <w:szCs w:val="21"/>
          <w:u w:val="single"/>
        </w:rPr>
        <w:t>合同验收</w:t>
      </w:r>
      <w:r>
        <w:rPr>
          <w:rFonts w:ascii="宋体" w:eastAsia="宋体" w:hAnsi="宋体" w:cs="宋体" w:hint="eastAsia"/>
          <w:szCs w:val="21"/>
          <w:u w:val="single"/>
        </w:rPr>
        <w:t>，</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rsidR="002B6B49">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履约保证金</w:t>
      </w:r>
    </w:p>
    <w:p w:rsidR="002B6B49">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w:t>
      </w:r>
      <w:r>
        <w:rPr>
          <w:rFonts w:ascii="宋体" w:eastAsia="宋体" w:hAnsi="宋体" w:cs="宋体" w:hint="eastAsia"/>
          <w:szCs w:val="21"/>
        </w:rPr>
        <w:t>同要求履行合同，或因乙方原因导致本合同解除的，甲方将不予归还履约保证金。如乙方未按前述约定支付保证金，甲方有权直接在研究开发经费和报酬中扣除相应费用。</w:t>
      </w:r>
    </w:p>
    <w:p w:rsidR="002B6B49">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rsidR="002B6B49">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履约保证金应用本合同货币。</w:t>
      </w:r>
    </w:p>
    <w:p w:rsidR="002B6B49">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1"/>
        <w:gridCol w:w="4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2B6B49">
            <w:pPr>
              <w:tabs>
                <w:tab w:val="left" w:pos="720"/>
              </w:tabs>
              <w:ind w:firstLine="200"/>
              <w:rPr>
                <w:rFonts w:ascii="宋体" w:eastAsia="宋体" w:hAnsi="宋体" w:cs="宋体" w:hint="eastAsia"/>
                <w:szCs w:val="21"/>
              </w:rPr>
            </w:pPr>
            <w:r>
              <w:rPr>
                <w:rFonts w:ascii="宋体" w:eastAsia="宋体" w:hAnsi="宋体" w:cs="宋体" w:hint="eastAsia"/>
                <w:szCs w:val="21"/>
              </w:rPr>
              <w:t>甲方开户银行名称、地址和账号为：</w:t>
            </w:r>
          </w:p>
        </w:tc>
        <w:tc>
          <w:tcPr>
            <w:tcW w:w="2500" w:type="pct"/>
          </w:tcPr>
          <w:p w:rsidR="002B6B49">
            <w:pPr>
              <w:tabs>
                <w:tab w:val="left" w:pos="720"/>
              </w:tabs>
              <w:ind w:firstLine="200"/>
              <w:rPr>
                <w:rFonts w:ascii="宋体" w:eastAsia="宋体" w:hAnsi="宋体" w:cs="宋体" w:hint="eastAsia"/>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2B6B49">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c>
          <w:tcPr>
            <w:tcW w:w="2500" w:type="pct"/>
          </w:tcPr>
          <w:p w:rsidR="002B6B49">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r>
      <w:tr>
        <w:tblPrEx>
          <w:tblW w:w="5000" w:type="pct"/>
          <w:tblLook w:val="04A0"/>
        </w:tblPrEx>
        <w:tc>
          <w:tcPr>
            <w:tcW w:w="2500" w:type="pct"/>
          </w:tcPr>
          <w:p w:rsidR="002B6B49">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c>
          <w:tcPr>
            <w:tcW w:w="2500" w:type="pct"/>
          </w:tcPr>
          <w:p w:rsidR="002B6B49">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r>
      <w:tr>
        <w:tblPrEx>
          <w:tblW w:w="5000" w:type="pct"/>
          <w:tblLook w:val="04A0"/>
        </w:tblPrEx>
        <w:tc>
          <w:tcPr>
            <w:tcW w:w="2500" w:type="pct"/>
          </w:tcPr>
          <w:p w:rsidR="002B6B49">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c>
          <w:tcPr>
            <w:tcW w:w="2500" w:type="pct"/>
          </w:tcPr>
          <w:p w:rsidR="002B6B49">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r>
    </w:tbl>
    <w:p w:rsidR="002B6B49">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拒付条件</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凡构成下列条件之一，甲方均有权拒付相应后续服务报酬：</w:t>
      </w:r>
    </w:p>
    <w:p w:rsidR="002B6B49">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乙方丧失继续完成本合同的基本条件或能力时；</w:t>
      </w:r>
    </w:p>
    <w:p w:rsidR="002B6B49">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乙方开展技术服务的进度严重后拖，已使合同规定的总进度及对应的条款失去执行意义时；</w:t>
      </w:r>
    </w:p>
    <w:p w:rsidR="002B6B49">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乙方出现严重违约行为时（如擅自更改甲方所规定的技术要求等）；</w:t>
      </w:r>
    </w:p>
    <w:p w:rsidR="002B6B49">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b/>
          <w:bCs/>
          <w:szCs w:val="21"/>
        </w:rPr>
        <w:t>税务条款</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1" w:name="_Toc150439569"/>
      <w:r>
        <w:rPr>
          <w:rFonts w:ascii="宋体" w:eastAsia="宋体" w:hAnsi="宋体" w:cs="宋体" w:hint="eastAsia"/>
          <w:b/>
          <w:bCs/>
          <w:szCs w:val="21"/>
        </w:rPr>
        <w:t>项目验收</w:t>
      </w:r>
      <w:bookmarkEnd w:id="71"/>
    </w:p>
    <w:p w:rsidR="002B6B49">
      <w:pPr>
        <w:ind w:firstLine="420" w:firstLineChars="200"/>
        <w:rPr>
          <w:rFonts w:ascii="宋体" w:eastAsia="宋体" w:hAnsi="宋体" w:cs="宋体" w:hint="eastAsia"/>
          <w:szCs w:val="21"/>
        </w:rPr>
      </w:pPr>
      <w:r>
        <w:rPr>
          <w:rFonts w:ascii="宋体" w:eastAsia="宋体" w:hAnsi="宋体" w:cs="宋体" w:hint="eastAsia"/>
          <w:szCs w:val="21"/>
        </w:rPr>
        <w:t>1.系统测试</w:t>
      </w:r>
    </w:p>
    <w:p w:rsidR="002B6B49">
      <w:pPr>
        <w:ind w:firstLine="420" w:firstLineChars="200"/>
        <w:rPr>
          <w:rFonts w:ascii="宋体" w:eastAsia="宋体" w:hAnsi="宋体" w:cs="宋体" w:hint="eastAsia"/>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2B6B49">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rsidR="002B6B49">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2B6B49">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全部源代码（电子版）；                                                      </w:t>
      </w:r>
    </w:p>
    <w:p w:rsidR="002B6B49">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ind w:firstLine="420" w:firstLineChars="200"/>
        <w:rPr>
          <w:rFonts w:ascii="宋体" w:eastAsia="宋体" w:hAnsi="宋体" w:cs="宋体" w:hint="eastAsia"/>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确认其符合甲方要求的测试标准后，甲方签字确认。</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2.项目初验</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3.系统试运行</w:t>
      </w:r>
    </w:p>
    <w:p w:rsidR="002B6B49">
      <w:pPr>
        <w:ind w:firstLine="420" w:firstLineChars="200"/>
        <w:rPr>
          <w:rFonts w:ascii="宋体" w:eastAsia="宋体" w:hAnsi="宋体" w:cs="宋体" w:hint="eastAsia"/>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rsidR="002B6B49">
      <w:pPr>
        <w:ind w:firstLine="420" w:firstLineChars="200"/>
        <w:rPr>
          <w:rFonts w:ascii="宋体" w:eastAsia="宋体" w:hAnsi="宋体" w:cs="宋体" w:hint="eastAsia"/>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2B6B49">
      <w:pPr>
        <w:ind w:firstLine="420" w:firstLineChars="200"/>
        <w:rPr>
          <w:rFonts w:ascii="宋体" w:eastAsia="宋体" w:hAnsi="宋体" w:cs="宋体" w:hint="eastAsia"/>
          <w:szCs w:val="21"/>
        </w:rPr>
      </w:pPr>
      <w:r>
        <w:rPr>
          <w:rFonts w:ascii="宋体" w:eastAsia="宋体" w:hAnsi="宋体" w:cs="宋体" w:hint="eastAsia"/>
          <w:szCs w:val="21"/>
        </w:rPr>
        <w:t>4.项目终验</w:t>
      </w:r>
    </w:p>
    <w:p w:rsidR="002B6B49">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rsidR="002B6B49">
      <w:pPr>
        <w:ind w:firstLine="420" w:firstLineChars="200"/>
        <w:rPr>
          <w:rFonts w:ascii="宋体" w:eastAsia="宋体" w:hAnsi="宋体" w:cs="宋体" w:hint="eastAsia"/>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2" w:name="_Toc150439566"/>
      <w:r>
        <w:rPr>
          <w:rFonts w:ascii="宋体" w:eastAsia="宋体" w:hAnsi="宋体" w:cs="宋体" w:hint="eastAsia"/>
          <w:b/>
          <w:bCs/>
          <w:szCs w:val="21"/>
        </w:rPr>
        <w:t>质量保证</w:t>
      </w:r>
      <w:bookmarkEnd w:id="72"/>
    </w:p>
    <w:p w:rsidR="002B6B49">
      <w:pPr>
        <w:ind w:firstLine="420" w:firstLineChars="200"/>
        <w:rPr>
          <w:rFonts w:ascii="宋体" w:eastAsia="宋体" w:hAnsi="宋体" w:cs="宋体" w:hint="eastAsia"/>
          <w:szCs w:val="21"/>
        </w:rPr>
      </w:pPr>
      <w:r>
        <w:rPr>
          <w:rFonts w:ascii="宋体" w:eastAsia="宋体" w:hAnsi="宋体" w:cs="宋体" w:hint="eastAsia"/>
          <w:szCs w:val="21"/>
        </w:rPr>
        <w:t>项目通过终验后，软件进入质量保证期。软件质量标准按照国标的软件工程化和质量保证要求执行。</w:t>
      </w:r>
    </w:p>
    <w:p w:rsidR="002B6B49">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2B6B49">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2B6B49">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2B6B49">
      <w:pPr>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2B6B49">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2B6B49">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3" w:name="_Toc150439612"/>
      <w:r>
        <w:rPr>
          <w:rFonts w:ascii="宋体" w:eastAsia="宋体" w:hAnsi="宋体" w:cs="宋体" w:hint="eastAsia"/>
          <w:b/>
          <w:bCs/>
          <w:szCs w:val="21"/>
        </w:rPr>
        <w:t>保密条款（保密协议）</w:t>
      </w:r>
      <w:bookmarkEnd w:id="73"/>
    </w:p>
    <w:p w:rsidR="002B6B49">
      <w:pPr>
        <w:ind w:firstLine="420" w:firstLineChars="200"/>
        <w:rPr>
          <w:rFonts w:ascii="宋体" w:eastAsia="宋体" w:hAnsi="宋体" w:cs="宋体" w:hint="eastAsia"/>
          <w:szCs w:val="21"/>
        </w:rPr>
      </w:pPr>
      <w:r>
        <w:rPr>
          <w:rFonts w:ascii="宋体" w:eastAsia="宋体" w:hAnsi="宋体" w:cs="宋体" w:hint="eastAsia"/>
          <w:szCs w:val="21"/>
        </w:rPr>
        <w:t>甲方因履行本合同应遵守的保密义务如下：</w:t>
      </w:r>
    </w:p>
    <w:p w:rsidR="002B6B49">
      <w:pPr>
        <w:numPr>
          <w:ilvl w:val="0"/>
          <w:numId w:val="41"/>
        </w:numPr>
        <w:spacing w:line="360" w:lineRule="auto"/>
        <w:ind w:firstLine="420" w:firstLineChars="200"/>
        <w:rPr>
          <w:rFonts w:ascii="宋体" w:eastAsia="宋体" w:hAnsi="宋体" w:cs="宋体" w:hint="eastAsia"/>
          <w:szCs w:val="21"/>
        </w:rPr>
      </w:pPr>
      <w:bookmarkStart w:id="74"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2B6B49">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2B6B49">
      <w:pPr>
        <w:numPr>
          <w:ilvl w:val="0"/>
          <w:numId w:val="4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2B6B49">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74"/>
    <w:p w:rsidR="002B6B49">
      <w:pPr>
        <w:ind w:firstLine="420" w:firstLineChars="200"/>
        <w:rPr>
          <w:rFonts w:ascii="宋体" w:eastAsia="宋体" w:hAnsi="宋体" w:cs="宋体" w:hint="eastAsia"/>
          <w:szCs w:val="21"/>
        </w:rPr>
      </w:pPr>
      <w:r>
        <w:rPr>
          <w:rFonts w:ascii="宋体" w:eastAsia="宋体" w:hAnsi="宋体" w:cs="宋体" w:hint="eastAsia"/>
          <w:szCs w:val="21"/>
        </w:rPr>
        <w:t>乙方因履行本合同应遵守的保密义务如下：</w:t>
      </w:r>
    </w:p>
    <w:p w:rsidR="002B6B49">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保密内容（包括技术信息和经营信息）：</w:t>
      </w:r>
    </w:p>
    <w:p w:rsidR="002B6B49">
      <w:pPr>
        <w:numPr>
          <w:ilvl w:val="0"/>
          <w:numId w:val="43"/>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2B6B49">
      <w:pPr>
        <w:numPr>
          <w:ilvl w:val="0"/>
          <w:numId w:val="43"/>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2B6B49">
      <w:pPr>
        <w:numPr>
          <w:ilvl w:val="0"/>
          <w:numId w:val="43"/>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涉及国家秘密和安全的 ，依照有关保密规定执行。                          </w:t>
      </w:r>
    </w:p>
    <w:p w:rsidR="002B6B49">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2B6B49">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保密期限：</w:t>
      </w:r>
      <w:bookmarkStart w:id="75" w:name="_Hlk150343509"/>
      <w:r>
        <w:rPr>
          <w:rFonts w:ascii="宋体" w:eastAsia="宋体" w:hAnsi="宋体" w:cs="宋体" w:hint="eastAsia"/>
          <w:szCs w:val="21"/>
          <w:u w:val="single"/>
        </w:rPr>
        <w:t xml:space="preserve">                             </w:t>
      </w:r>
      <w:bookmarkEnd w:id="75"/>
      <w:r>
        <w:rPr>
          <w:rFonts w:ascii="宋体" w:eastAsia="宋体" w:hAnsi="宋体" w:cs="宋体" w:hint="eastAsia"/>
          <w:szCs w:val="21"/>
          <w:u w:val="single"/>
        </w:rPr>
        <w:t xml:space="preserve">                                </w:t>
      </w:r>
    </w:p>
    <w:p w:rsidR="002B6B49">
      <w:pPr>
        <w:numPr>
          <w:ilvl w:val="0"/>
          <w:numId w:val="4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2B6B49">
      <w:pPr>
        <w:ind w:firstLine="420" w:firstLineChars="200"/>
        <w:rPr>
          <w:rFonts w:ascii="宋体" w:eastAsia="宋体" w:hAnsi="宋体" w:cs="宋体" w:hint="eastAsia"/>
          <w:szCs w:val="21"/>
        </w:rPr>
      </w:pPr>
      <w:r>
        <w:rPr>
          <w:rFonts w:ascii="宋体" w:eastAsia="宋体" w:hAnsi="宋体" w:cs="宋体" w:hint="eastAsia"/>
          <w:color w:val="000000"/>
          <w:szCs w:val="21"/>
        </w:rPr>
        <w:t>本合同的解除或终止不免除甲乙双方应承担的保密义务。</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6" w:name="_Toc150439618"/>
      <w:r>
        <w:rPr>
          <w:rFonts w:ascii="宋体" w:eastAsia="宋体" w:hAnsi="宋体" w:cs="宋体" w:hint="eastAsia"/>
          <w:b/>
          <w:bCs/>
          <w:szCs w:val="21"/>
        </w:rPr>
        <w:t>违约</w:t>
      </w:r>
      <w:r>
        <w:rPr>
          <w:rFonts w:ascii="宋体" w:eastAsia="宋体" w:hAnsi="宋体" w:cs="宋体"/>
          <w:b/>
          <w:bCs/>
          <w:szCs w:val="21"/>
        </w:rPr>
        <w:t>责任及赔偿</w:t>
      </w:r>
      <w:bookmarkEnd w:id="76"/>
    </w:p>
    <w:p w:rsidR="002B6B49">
      <w:pPr>
        <w:ind w:firstLine="420" w:firstLineChars="200"/>
        <w:rPr>
          <w:rFonts w:ascii="宋体" w:eastAsia="宋体" w:hAnsi="宋体" w:cs="宋体" w:hint="eastAsia"/>
          <w:szCs w:val="21"/>
        </w:rPr>
      </w:pPr>
      <w:r>
        <w:rPr>
          <w:rFonts w:ascii="宋体" w:eastAsia="宋体" w:hAnsi="宋体" w:cs="宋体" w:hint="eastAsia"/>
          <w:szCs w:val="21"/>
        </w:rPr>
        <w:t>任何一方违反本合同约定，造成研究开发工作停滞、延误或失败的，按以下约定承担违约责任：</w:t>
      </w:r>
    </w:p>
    <w:p w:rsidR="002B6B49">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2B6B49">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2B6B49">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2B6B49">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2B6B49">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2B6B49">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2B6B49">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7" w:name="_Toc150439619"/>
      <w:r>
        <w:rPr>
          <w:rFonts w:ascii="宋体" w:eastAsia="宋体" w:hAnsi="宋体" w:cs="宋体" w:hint="eastAsia"/>
          <w:b/>
          <w:bCs/>
          <w:szCs w:val="21"/>
        </w:rPr>
        <w:t>争议的解决</w:t>
      </w:r>
      <w:bookmarkEnd w:id="77"/>
    </w:p>
    <w:p w:rsidR="002B6B49">
      <w:pPr>
        <w:ind w:firstLine="420" w:firstLineChars="200"/>
        <w:rPr>
          <w:rFonts w:ascii="宋体" w:eastAsia="宋体" w:hAnsi="宋体" w:cs="宋体" w:hint="eastAsia"/>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2B6B49">
      <w:pPr>
        <w:numPr>
          <w:ilvl w:val="0"/>
          <w:numId w:val="45"/>
        </w:numPr>
        <w:spacing w:line="360" w:lineRule="auto"/>
        <w:ind w:hanging="5"/>
        <w:rPr>
          <w:rFonts w:ascii="宋体" w:eastAsia="宋体" w:hAnsi="宋体" w:cs="宋体" w:hint="eastAsia"/>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2B6B49">
      <w:pPr>
        <w:numPr>
          <w:ilvl w:val="0"/>
          <w:numId w:val="45"/>
        </w:numPr>
        <w:spacing w:line="360" w:lineRule="auto"/>
        <w:ind w:hanging="5"/>
        <w:rPr>
          <w:rFonts w:ascii="宋体" w:eastAsia="宋体" w:hAnsi="宋体" w:cs="宋体" w:hint="eastAsia"/>
          <w:szCs w:val="21"/>
        </w:rPr>
      </w:pPr>
      <w:r>
        <w:rPr>
          <w:rFonts w:ascii="宋体" w:eastAsia="宋体" w:hAnsi="宋体" w:cs="宋体" w:hint="eastAsia"/>
          <w:szCs w:val="21"/>
        </w:rPr>
        <w:t>依法向甲方所在地人民法院起诉。</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8" w:name="_Toc150439621"/>
      <w:r>
        <w:rPr>
          <w:rFonts w:ascii="宋体" w:eastAsia="宋体" w:hAnsi="宋体" w:cs="宋体" w:hint="eastAsia"/>
          <w:b/>
          <w:bCs/>
          <w:szCs w:val="21"/>
        </w:rPr>
        <w:t>不可抗力</w:t>
      </w:r>
      <w:bookmarkEnd w:id="78"/>
    </w:p>
    <w:p w:rsidR="002B6B49">
      <w:pPr>
        <w:numPr>
          <w:ilvl w:val="0"/>
          <w:numId w:val="4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2B6B49">
      <w:pPr>
        <w:numPr>
          <w:ilvl w:val="0"/>
          <w:numId w:val="47"/>
        </w:numPr>
        <w:spacing w:line="360" w:lineRule="auto"/>
        <w:ind w:hanging="5"/>
        <w:rPr>
          <w:rFonts w:ascii="宋体" w:eastAsia="宋体" w:hAnsi="宋体" w:cs="宋体" w:hint="eastAsia"/>
          <w:szCs w:val="21"/>
        </w:rPr>
      </w:pPr>
      <w:r>
        <w:rPr>
          <w:rFonts w:ascii="宋体" w:eastAsia="宋体" w:hAnsi="宋体" w:cs="宋体" w:hint="eastAsia"/>
          <w:szCs w:val="21"/>
        </w:rPr>
        <w:t>本合同项目在现有技术水平条件下具有足够的难度；</w:t>
      </w:r>
    </w:p>
    <w:p w:rsidR="002B6B49">
      <w:pPr>
        <w:numPr>
          <w:ilvl w:val="0"/>
          <w:numId w:val="47"/>
        </w:numPr>
        <w:spacing w:line="360" w:lineRule="auto"/>
        <w:ind w:hanging="5"/>
        <w:rPr>
          <w:rFonts w:ascii="宋体" w:eastAsia="宋体" w:hAnsi="宋体" w:cs="宋体" w:hint="eastAsia"/>
          <w:szCs w:val="21"/>
        </w:rPr>
      </w:pPr>
      <w:r>
        <w:rPr>
          <w:rFonts w:ascii="宋体" w:eastAsia="宋体" w:hAnsi="宋体" w:cs="宋体" w:hint="eastAsia"/>
          <w:szCs w:val="21"/>
        </w:rPr>
        <w:t>乙方在主观上无过错且经认定研究开发失败为合理的失败。</w:t>
      </w:r>
    </w:p>
    <w:p w:rsidR="002B6B49">
      <w:pPr>
        <w:ind w:firstLine="420" w:firstLineChars="200"/>
        <w:rPr>
          <w:rFonts w:ascii="宋体" w:eastAsia="宋体" w:hAnsi="宋体" w:cs="宋体" w:hint="eastAsia"/>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2B6B49">
      <w:pPr>
        <w:rPr>
          <w:rFonts w:ascii="宋体" w:eastAsia="宋体" w:hAnsi="宋体" w:cs="宋体" w:hint="eastAsia"/>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2B6B49">
      <w:pPr>
        <w:numPr>
          <w:ilvl w:val="0"/>
          <w:numId w:val="4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2B6B49">
      <w:pPr>
        <w:numPr>
          <w:ilvl w:val="0"/>
          <w:numId w:val="4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双方确定出现下列情形，致使本合同的履行成为不必要或不可能的，一方可以通知另一方解除本合同；</w:t>
      </w:r>
    </w:p>
    <w:p w:rsidR="002B6B49">
      <w:pPr>
        <w:numPr>
          <w:ilvl w:val="0"/>
          <w:numId w:val="48"/>
        </w:numPr>
        <w:spacing w:line="360" w:lineRule="auto"/>
        <w:ind w:hanging="5"/>
        <w:rPr>
          <w:rFonts w:ascii="宋体" w:eastAsia="宋体" w:hAnsi="宋体" w:cs="宋体" w:hint="eastAsia"/>
          <w:szCs w:val="21"/>
        </w:rPr>
      </w:pPr>
      <w:r>
        <w:rPr>
          <w:rFonts w:ascii="宋体" w:eastAsia="宋体" w:hAnsi="宋体" w:cs="宋体" w:hint="eastAsia"/>
          <w:szCs w:val="21"/>
        </w:rPr>
        <w:t>因发生不可抗力或技术风险；</w:t>
      </w:r>
    </w:p>
    <w:p w:rsidR="002B6B49">
      <w:pPr>
        <w:numPr>
          <w:ilvl w:val="0"/>
          <w:numId w:val="48"/>
        </w:numPr>
        <w:spacing w:line="360" w:lineRule="auto"/>
        <w:ind w:hanging="5"/>
        <w:rPr>
          <w:rFonts w:ascii="宋体" w:eastAsia="宋体" w:hAnsi="宋体" w:cs="宋体" w:hint="eastAsia"/>
          <w:szCs w:val="21"/>
        </w:rPr>
      </w:pPr>
      <w:r>
        <w:rPr>
          <w:rFonts w:ascii="宋体" w:eastAsia="宋体" w:hAnsi="宋体" w:cs="宋体" w:hint="eastAsia"/>
          <w:szCs w:val="21"/>
        </w:rPr>
        <w:t>因一方未按约定履行合同义务支付款项的；</w:t>
      </w:r>
    </w:p>
    <w:p w:rsidR="002B6B49">
      <w:pPr>
        <w:numPr>
          <w:ilvl w:val="0"/>
          <w:numId w:val="48"/>
        </w:numPr>
        <w:spacing w:line="360" w:lineRule="auto"/>
        <w:ind w:hanging="5"/>
        <w:rPr>
          <w:rFonts w:ascii="宋体" w:eastAsia="宋体" w:hAnsi="宋体" w:cs="宋体" w:hint="eastAsia"/>
          <w:szCs w:val="21"/>
        </w:rPr>
      </w:pPr>
      <w:r>
        <w:rPr>
          <w:rFonts w:ascii="宋体" w:eastAsia="宋体" w:hAnsi="宋体" w:cs="宋体" w:hint="eastAsia"/>
          <w:szCs w:val="21"/>
        </w:rPr>
        <w:t>因一方未按期完成合同约定的项目开发任务。</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9" w:name="_Toc150439624"/>
      <w:r>
        <w:rPr>
          <w:rFonts w:ascii="宋体" w:eastAsia="宋体" w:hAnsi="宋体" w:cs="宋体" w:hint="eastAsia"/>
          <w:b/>
          <w:bCs/>
          <w:szCs w:val="21"/>
        </w:rPr>
        <w:t>本合同的变更</w:t>
      </w:r>
      <w:bookmarkEnd w:id="79"/>
    </w:p>
    <w:p w:rsidR="002B6B49">
      <w:pPr>
        <w:numPr>
          <w:ilvl w:val="0"/>
          <w:numId w:val="49"/>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2B6B49">
      <w:pPr>
        <w:numPr>
          <w:ilvl w:val="0"/>
          <w:numId w:val="49"/>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2B6B49">
      <w:pPr>
        <w:spacing w:before="221"/>
        <w:ind w:left="420" w:leftChars="200"/>
        <w:rPr>
          <w:rFonts w:ascii="宋体" w:eastAsia="宋体" w:hAnsi="宋体" w:cs="宋体" w:hint="eastAsia"/>
          <w:szCs w:val="21"/>
          <w:u w:val="single"/>
        </w:rPr>
      </w:pPr>
      <w:r>
        <w:rPr>
          <w:rFonts w:ascii="宋体" w:eastAsia="宋体" w:hAnsi="宋体" w:cs="宋体" w:hint="eastAsia"/>
          <w:szCs w:val="21"/>
          <w:u w:val="single"/>
        </w:rPr>
        <w:t xml:space="preserve">                                                              </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80" w:name="_Toc150439623"/>
      <w:r>
        <w:rPr>
          <w:rFonts w:ascii="宋体" w:eastAsia="宋体" w:hAnsi="宋体" w:cs="宋体" w:hint="eastAsia"/>
          <w:b/>
          <w:bCs/>
          <w:szCs w:val="21"/>
        </w:rPr>
        <w:t>其它</w:t>
      </w:r>
      <w:bookmarkEnd w:id="80"/>
    </w:p>
    <w:p w:rsidR="002B6B49">
      <w:pPr>
        <w:ind w:left="420" w:leftChars="200"/>
        <w:rPr>
          <w:rFonts w:ascii="宋体" w:eastAsia="宋体" w:hAnsi="宋体" w:cs="宋体" w:hint="eastAsia"/>
          <w:szCs w:val="21"/>
        </w:rPr>
      </w:pPr>
      <w:r>
        <w:rPr>
          <w:rFonts w:ascii="宋体" w:eastAsia="宋体" w:hAnsi="宋体" w:cs="宋体" w:hint="eastAsia"/>
          <w:szCs w:val="21"/>
        </w:rPr>
        <w:t>本合同未尽事宜，由双方协商后按有关程序办理，并以书面形式进行确定。</w:t>
      </w:r>
    </w:p>
    <w:p w:rsidR="002B6B49">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81" w:name="_Toc150439626"/>
      <w:r>
        <w:rPr>
          <w:rFonts w:ascii="宋体" w:eastAsia="宋体" w:hAnsi="宋体" w:cs="宋体" w:hint="eastAsia"/>
          <w:b/>
          <w:bCs/>
          <w:szCs w:val="21"/>
        </w:rPr>
        <w:t>合同生效</w:t>
      </w:r>
      <w:bookmarkEnd w:id="81"/>
    </w:p>
    <w:p w:rsidR="002B6B49">
      <w:pPr>
        <w:numPr>
          <w:ilvl w:val="0"/>
          <w:numId w:val="5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本合同经双方法定代表人或授权代表签字盖章后生效，至质保期结束终止。</w:t>
      </w:r>
    </w:p>
    <w:p w:rsidR="002B6B49">
      <w:pPr>
        <w:numPr>
          <w:ilvl w:val="0"/>
          <w:numId w:val="5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2B6B49">
      <w:pPr>
        <w:ind w:firstLine="420" w:firstLineChars="200"/>
        <w:jc w:val="left"/>
        <w:rPr>
          <w:rFonts w:ascii="宋体" w:eastAsia="宋体" w:hAnsi="宋体" w:cs="宋体" w:hint="eastAsia"/>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2B6B49">
      <w:pPr>
        <w:ind w:firstLine="420" w:firstLineChars="200"/>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B6B49">
      <w:pPr>
        <w:ind w:firstLine="420" w:firstLineChars="200"/>
        <w:rPr>
          <w:rFonts w:ascii="宋体" w:eastAsia="宋体" w:hAnsi="宋体" w:cs="宋体" w:hint="eastAsia"/>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B6B49">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年     月     日</w:t>
      </w:r>
    </w:p>
    <w:p w:rsidR="002B6B49">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2B6B49">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2B6B49">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2B6B49">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年     月     日</w:t>
      </w:r>
    </w:p>
    <w:p w:rsidR="002B6B49"/>
    <w:p w:rsidR="00A77B3E"/>
    <w:p>
      <w:pPr>
        <w:spacing w:line="360" w:lineRule="auto"/>
        <w:ind w:firstLine="3066" w:firstLineChars="1460"/>
        <w:jc w:val="left"/>
        <w:rPr>
          <w:b/>
          <w:bCs/>
          <w:szCs w:val="21"/>
          <w:highlight w:val="none"/>
        </w:rPr>
      </w:pPr>
      <w:bookmarkEnd w:id="62"/>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3000509000000000000"/>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B49">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2B6B49">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B49">
    <w:pPr>
      <w:snapToGrid w:val="0"/>
      <w:jc w:val="center"/>
      <w:rPr>
        <w:rFonts w:ascii="宋体" w:eastAsia="宋体" w:hAnsi="宋体" w:cs="Times New Roman" w:hint="eastAsia"/>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24</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F892E81"/>
    <w:multiLevelType w:val="multilevel"/>
    <w:tmpl w:val="0F892E8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3DD946C"/>
    <w:multiLevelType w:val="singleLevel"/>
    <w:tmpl w:val="13DD946C"/>
    <w:lvl w:ilvl="0">
      <w:start w:val="9"/>
      <w:numFmt w:val="chineseCounting"/>
      <w:suff w:val="space"/>
      <w:lvlText w:val="第%1章"/>
      <w:lvlJc w:val="left"/>
      <w:rPr>
        <w:rFonts w:hint="eastAsia"/>
      </w:r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38710515"/>
    <w:multiLevelType w:val="multilevel"/>
    <w:tmpl w:val="38710515"/>
    <w:lvl w:ilvl="0">
      <w:start w:val="1"/>
      <w:numFmt w:val="chineseCountingThousand"/>
      <w:suff w:val="space"/>
      <w:lvlText w:val="%1、"/>
      <w:lvlJc w:val="left"/>
      <w:pPr>
        <w:ind w:left="0" w:firstLine="0"/>
      </w:pPr>
      <w:rPr>
        <w:rFonts w:hint="eastAsia"/>
        <w:b/>
      </w:rPr>
    </w:lvl>
    <w:lvl w:ilvl="1">
      <w:start w:val="1"/>
      <w:numFmt w:val="lowerLetter"/>
      <w:lvlText w:val="%2)"/>
      <w:lvlJc w:val="left"/>
      <w:pPr>
        <w:ind w:left="1348" w:hanging="420"/>
      </w:pPr>
    </w:lvl>
    <w:lvl w:ilvl="2">
      <w:start w:val="1"/>
      <w:numFmt w:val="lowerRoman"/>
      <w:lvlText w:val="%3."/>
      <w:lvlJc w:val="right"/>
      <w:pPr>
        <w:ind w:left="1768" w:hanging="420"/>
      </w:pPr>
    </w:lvl>
    <w:lvl w:ilvl="3">
      <w:start w:val="1"/>
      <w:numFmt w:val="decimal"/>
      <w:lvlText w:val="%4."/>
      <w:lvlJc w:val="left"/>
      <w:pPr>
        <w:ind w:left="2188" w:hanging="420"/>
      </w:pPr>
    </w:lvl>
    <w:lvl w:ilvl="4">
      <w:start w:val="1"/>
      <w:numFmt w:val="lowerLetter"/>
      <w:lvlText w:val="%5)"/>
      <w:lvlJc w:val="left"/>
      <w:pPr>
        <w:ind w:left="2608" w:hanging="420"/>
      </w:pPr>
    </w:lvl>
    <w:lvl w:ilvl="5">
      <w:start w:val="1"/>
      <w:numFmt w:val="lowerRoman"/>
      <w:lvlText w:val="%6."/>
      <w:lvlJc w:val="right"/>
      <w:pPr>
        <w:ind w:left="3028" w:hanging="420"/>
      </w:pPr>
    </w:lvl>
    <w:lvl w:ilvl="6">
      <w:start w:val="1"/>
      <w:numFmt w:val="decimal"/>
      <w:lvlText w:val="%7."/>
      <w:lvlJc w:val="left"/>
      <w:pPr>
        <w:ind w:left="3448" w:hanging="420"/>
      </w:pPr>
    </w:lvl>
    <w:lvl w:ilvl="7">
      <w:start w:val="1"/>
      <w:numFmt w:val="lowerLetter"/>
      <w:lvlText w:val="%8)"/>
      <w:lvlJc w:val="left"/>
      <w:pPr>
        <w:ind w:left="3868" w:hanging="420"/>
      </w:pPr>
    </w:lvl>
    <w:lvl w:ilvl="8">
      <w:start w:val="1"/>
      <w:numFmt w:val="lowerRoman"/>
      <w:lvlText w:val="%9."/>
      <w:lvlJc w:val="right"/>
      <w:pPr>
        <w:ind w:left="4288" w:hanging="420"/>
      </w:pPr>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C7A993F"/>
    <w:multiLevelType w:val="singleLevel"/>
    <w:tmpl w:val="4C7A993F"/>
    <w:lvl w:ilvl="0">
      <w:start w:val="1"/>
      <w:numFmt w:val="decimal"/>
      <w:lvlText w:val="%1)"/>
      <w:lvlJc w:val="left"/>
      <w:pPr>
        <w:ind w:left="425" w:hanging="425"/>
      </w:pPr>
      <w:rPr>
        <w:rFonts w:hint="default"/>
      </w:rPr>
    </w:lvl>
  </w:abstractNum>
  <w:abstractNum w:abstractNumId="34">
    <w:nsid w:val="562D3D2A"/>
    <w:multiLevelType w:val="multilevel"/>
    <w:tmpl w:val="562D3D2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5">
    <w:nsid w:val="57FFC18B"/>
    <w:multiLevelType w:val="singleLevel"/>
    <w:tmpl w:val="57FFC18B"/>
    <w:lvl w:ilvl="0">
      <w:start w:val="1"/>
      <w:numFmt w:val="decimal"/>
      <w:lvlText w:val="%1)"/>
      <w:lvlJc w:val="left"/>
      <w:pPr>
        <w:ind w:left="425" w:hanging="425"/>
      </w:pPr>
      <w:rPr>
        <w:rFonts w:hint="default"/>
      </w:rPr>
    </w:lvl>
  </w:abstractNum>
  <w:abstractNum w:abstractNumId="36">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8">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2">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9F8DDAB"/>
    <w:multiLevelType w:val="singleLevel"/>
    <w:tmpl w:val="79F8DDAB"/>
    <w:lvl w:ilvl="0">
      <w:start w:val="1"/>
      <w:numFmt w:val="decimal"/>
      <w:lvlText w:val="%1)"/>
      <w:lvlJc w:val="left"/>
      <w:pPr>
        <w:ind w:left="425" w:hanging="425"/>
      </w:pPr>
      <w:rPr>
        <w:rFonts w:hint="default"/>
      </w:rPr>
    </w:lvl>
  </w:abstractNum>
  <w:abstractNum w:abstractNumId="46">
    <w:nsid w:val="7BF79D3F"/>
    <w:multiLevelType w:val="singleLevel"/>
    <w:tmpl w:val="7BF79D3F"/>
    <w:lvl w:ilvl="0">
      <w:start w:val="1"/>
      <w:numFmt w:val="decimal"/>
      <w:lvlText w:val="%1)"/>
      <w:lvlJc w:val="left"/>
      <w:pPr>
        <w:ind w:left="425" w:hanging="425"/>
      </w:pPr>
      <w:rPr>
        <w:rFonts w:hint="default"/>
      </w:rPr>
    </w:lvl>
  </w:abstractNum>
  <w:abstractNum w:abstractNumId="47">
    <w:nsid w:val="7FAFA353"/>
    <w:multiLevelType w:val="singleLevel"/>
    <w:tmpl w:val="7FAFA353"/>
    <w:lvl w:ilvl="0">
      <w:start w:val="1"/>
      <w:numFmt w:val="decimal"/>
      <w:lvlText w:val="%1)"/>
      <w:lvlJc w:val="left"/>
      <w:pPr>
        <w:ind w:left="425" w:hanging="425"/>
      </w:pPr>
      <w:rPr>
        <w:rFonts w:hint="default"/>
      </w:rPr>
    </w:lvl>
  </w:abstractNum>
  <w:abstractNum w:abstractNumId="48">
    <w:nsid w:val="7FDAC479"/>
    <w:multiLevelType w:val="singleLevel"/>
    <w:tmpl w:val="7FDAC479"/>
    <w:lvl w:ilvl="0">
      <w:start w:val="1"/>
      <w:numFmt w:val="decimal"/>
      <w:lvlText w:val="%1)"/>
      <w:lvlJc w:val="left"/>
      <w:pPr>
        <w:ind w:left="425" w:hanging="425"/>
      </w:pPr>
      <w:rPr>
        <w:rFonts w:hint="default"/>
      </w:rPr>
    </w:lvl>
  </w:abstractNum>
  <w:abstractNum w:abstractNumId="49">
    <w:nsid w:val="7FF73EAD"/>
    <w:multiLevelType w:val="singleLevel"/>
    <w:tmpl w:val="7FF73EAD"/>
    <w:lvl w:ilvl="0">
      <w:start w:val="1"/>
      <w:numFmt w:val="decimal"/>
      <w:lvlText w:val="%1)"/>
      <w:lvlJc w:val="left"/>
      <w:pPr>
        <w:ind w:left="425" w:hanging="425"/>
      </w:pPr>
      <w:rPr>
        <w:rFonts w:hint="default"/>
      </w:rPr>
    </w:lvl>
  </w:abstractNum>
  <w:abstractNum w:abstractNumId="50">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29"/>
  </w:num>
  <w:num w:numId="5">
    <w:abstractNumId w:val="20"/>
  </w:num>
  <w:num w:numId="6">
    <w:abstractNumId w:val="34"/>
  </w:num>
  <w:num w:numId="7">
    <w:abstractNumId w:val="24"/>
  </w:num>
  <w:num w:numId="8">
    <w:abstractNumId w:val="0"/>
  </w:num>
  <w:num w:numId="9">
    <w:abstractNumId w:val="26"/>
  </w:num>
  <w:num w:numId="10">
    <w:abstractNumId w:val="41"/>
  </w:num>
  <w:num w:numId="11">
    <w:abstractNumId w:val="25"/>
  </w:num>
  <w:num w:numId="12">
    <w:abstractNumId w:val="44"/>
  </w:num>
  <w:num w:numId="13">
    <w:abstractNumId w:val="3"/>
  </w:num>
  <w:num w:numId="14">
    <w:abstractNumId w:val="49"/>
  </w:num>
  <w:num w:numId="15">
    <w:abstractNumId w:val="6"/>
  </w:num>
  <w:num w:numId="16">
    <w:abstractNumId w:val="40"/>
  </w:num>
  <w:num w:numId="17">
    <w:abstractNumId w:val="13"/>
  </w:num>
  <w:num w:numId="18">
    <w:abstractNumId w:val="39"/>
  </w:num>
  <w:num w:numId="19">
    <w:abstractNumId w:val="38"/>
  </w:num>
  <w:num w:numId="20">
    <w:abstractNumId w:val="18"/>
  </w:num>
  <w:num w:numId="21">
    <w:abstractNumId w:val="43"/>
  </w:num>
  <w:num w:numId="22">
    <w:abstractNumId w:val="2"/>
  </w:num>
  <w:num w:numId="23">
    <w:abstractNumId w:val="45"/>
  </w:num>
  <w:num w:numId="24">
    <w:abstractNumId w:val="46"/>
  </w:num>
  <w:num w:numId="25">
    <w:abstractNumId w:val="35"/>
  </w:num>
  <w:num w:numId="26">
    <w:abstractNumId w:val="28"/>
  </w:num>
  <w:num w:numId="27">
    <w:abstractNumId w:val="8"/>
  </w:num>
  <w:num w:numId="28">
    <w:abstractNumId w:val="1"/>
  </w:num>
  <w:num w:numId="29">
    <w:abstractNumId w:val="22"/>
  </w:num>
  <w:num w:numId="30">
    <w:abstractNumId w:val="47"/>
  </w:num>
  <w:num w:numId="31">
    <w:abstractNumId w:val="33"/>
  </w:num>
  <w:num w:numId="32">
    <w:abstractNumId w:val="30"/>
  </w:num>
  <w:num w:numId="33">
    <w:abstractNumId w:val="48"/>
  </w:num>
  <w:num w:numId="34">
    <w:abstractNumId w:val="7"/>
  </w:num>
  <w:num w:numId="35">
    <w:abstractNumId w:val="42"/>
  </w:num>
  <w:num w:numId="36">
    <w:abstractNumId w:val="9"/>
  </w:num>
  <w:num w:numId="37">
    <w:abstractNumId w:val="5"/>
  </w:num>
  <w:num w:numId="38">
    <w:abstractNumId w:val="50"/>
  </w:num>
  <w:num w:numId="39">
    <w:abstractNumId w:val="12"/>
  </w:num>
  <w:num w:numId="40">
    <w:abstractNumId w:val="32"/>
  </w:num>
  <w:num w:numId="41">
    <w:abstractNumId w:val="36"/>
  </w:num>
  <w:num w:numId="42">
    <w:abstractNumId w:val="21"/>
  </w:num>
  <w:num w:numId="43">
    <w:abstractNumId w:val="14"/>
  </w:num>
  <w:num w:numId="44">
    <w:abstractNumId w:val="23"/>
  </w:num>
  <w:num w:numId="45">
    <w:abstractNumId w:val="11"/>
  </w:num>
  <w:num w:numId="46">
    <w:abstractNumId w:val="37"/>
  </w:num>
  <w:num w:numId="47">
    <w:abstractNumId w:val="4"/>
  </w:num>
  <w:num w:numId="48">
    <w:abstractNumId w:val="10"/>
  </w:num>
  <w:num w:numId="49">
    <w:abstractNumId w:val="17"/>
  </w:num>
  <w:num w:numId="50">
    <w:abstractNumId w:val="31"/>
  </w:num>
  <w:num w:numId="51">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6B49"/>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3D8C"/>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5C3"/>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