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江苏省无锡等4市激光测风雷达采购项目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ZQCD-25351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无锡市气象局；扬中市气象局；常州市气象局；徐州市气象局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江苏省无锡等4市激光测风雷达采购项目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ZQCD-25351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合同签订后90天内交货，120天内完成安装调试并具备验收条件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无锡市、扬中市、徐州市、常州市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2025年10月27日 00:00:00</w:t>
      </w:r>
      <w:bookmarkEnd w:id="26"/>
      <w:r>
        <w:rPr>
          <w:rFonts w:ascii="宋体" w:hint="eastAsia"/>
          <w:szCs w:val="21"/>
          <w:highlight w:val="none"/>
        </w:rPr>
        <w:t>至</w:t>
      </w:r>
      <w:bookmarkStart w:id="27" w:name="项目公告_signUpLastTime"/>
      <w:r>
        <w:rPr>
          <w:rFonts w:ascii="宋体" w:hint="eastAsia"/>
          <w:szCs w:val="21"/>
          <w:highlight w:val="none"/>
        </w:rPr>
        <w:t>2025年11月03日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无锡市气象局；扬中市气象局；常州市气象局；徐州市气象局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胡少栋</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0510-88211057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无锡市新安街道清晏路38号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无锡市气象局；扬中市气象局；常州市气象局；徐州市气象局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允许（仅针对以下产品：激光测风雷达（远距型）允许代理商投标）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必须，以下产品需要提供至投标截止日仍有效的《气象专用技术装备使用许可证》：相干多普勒测风激光雷达（远距型）</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（1）标的：激光测风雷达(远距型）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800.000000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800.000000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投标人（或产品制造商）具有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(3)</w:t>
            </w:r>
          </w:p>
        </w:tc>
        <w:tc>
          <w:tcPr/>
          <w:p>
            <w:r>
              <w:t>评审标准：</w:t>
            </w:r>
          </w:p>
          <w:p>
            <w:r>
              <w:t>投标人（投标人或产品制造商）提供的销售合同必须包括测风激光雷达，每提供一份合同得1分，最多得3分。否则不得分。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二档：提供培训方案，但培训方案不完整（指缺失培训计划、培训材料（讲义）、培训课表、主要授课教师介绍任意一项）；</w:t>
              <w:cr/>
              <w:t>三档：提供培训方案，培训方案完整，但课程设计重点不突出或针对性不强，基本满足采购文件需求；</w:t>
              <w:cr/>
              <w:t>四档：提供承诺和培训方案，培训方案完整，课程设计重点突出、针对性强，完全满足采购文件需求。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针对本项目采购的测风激光雷达，</w:t>
              <w:cr/>
              <w:t>承诺每提前5天交货的得0.5分，最多得1分。否则不得分。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针对测风激光雷达设备，投标人或产品制造商每提供一份用户证明材料得1分，最多得3分。否则不得分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cr/>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勾选打分</w:t>
            </w:r>
            <w:r>
              <w:t>(30)</w:t>
            </w:r>
          </w:p>
        </w:tc>
        <w:tc>
          <w:tcPr/>
          <w:p>
            <w:r>
              <w:t>评审标准：</w:t>
            </w:r>
          </w:p>
          <w:p>
            <w:r>
              <w:t>标注#的重要指标共10项，每满足1项（如有多个下级指标，则每个下级指标均应满足）得3分，满分30分。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投标产品（雷达）技术方案及综合性能（主观分）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投标产品（雷达）软件需求分析方案 （主观分）</w:t>
            </w:r>
          </w:p>
        </w:tc>
        <w:tc>
          <w:tcPr/>
          <w:p>
            <w:r>
              <w:t>勾选打分</w:t>
            </w:r>
            <w:r>
              <w:t>(4)</w:t>
            </w:r>
          </w:p>
        </w:tc>
        <w:tc>
          <w:tcPr/>
          <w:p>
            <w:r>
              <w:t>评审标准：</w:t>
            </w:r>
          </w:p>
          <w:p>
            <w:r>
              <w:t>一档0分</w:t>
              <w:cr/>
              <w:t>二档1分</w:t>
              <w:cr/>
              <w:t>三档2分</w:t>
              <w:cr/>
              <w:t>四档4分</w:t>
            </w:r>
          </w:p>
          <w:p>
            <w:r>
              <w:t>评审标准说明：</w:t>
            </w:r>
          </w:p>
          <w:p>
            <w:r>
              <w:t>根据投标人提供软件需求分析方案进行评分，具体评分标准如下：</w:t>
              <w:cr/>
              <w:t>一档：未提供软件需求分析方案。</w:t>
              <w:cr/>
              <w:t>二档：提供软件需求方案能按照招标文件的需求进行响应，技术响应比较浅显，缺乏针对性，技术性能不满足采购文件要求。</w:t>
              <w:cr/>
              <w:t>三档：提供软件需求方案基本能按照招标文件的要求进行响应，有一定针对性，基本满足采购文件的需求。</w:t>
              <w:cr/>
              <w:cr/>
              <w:t>四档：提供软件需求方案能按照招标文件的要求进行响应，详细具体，针对性强，与项目实际情况相契合，完全满足采购文件的需求。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13</w:t>
            </w:r>
          </w:p>
        </w:tc>
        <w:tc>
          <w:tcPr>
            <w:vMerge/>
          </w:tcPr>
          <w:p>
            <w:r>
              <w:t>技术部分</w:t>
            </w:r>
          </w:p>
        </w:tc>
        <w:tc>
          <w:tcPr/>
          <w:p>
            <w:r>
              <w:t>投标产品组网服务需求分析方案 （主观分）</w:t>
            </w:r>
          </w:p>
        </w:tc>
        <w:tc>
          <w:tcPr/>
          <w:p>
            <w:r>
              <w:t>勾选打分</w:t>
            </w:r>
            <w:r>
              <w:t>(4)</w:t>
            </w:r>
          </w:p>
        </w:tc>
        <w:tc>
          <w:tcPr/>
          <w:p>
            <w:r>
              <w:t>评审标准：</w:t>
            </w:r>
          </w:p>
          <w:p>
            <w:r>
              <w:t>一档0分</w:t>
              <w:cr/>
              <w:t>二档1分</w:t>
              <w:cr/>
              <w:t>三档2分</w:t>
              <w:cr/>
              <w:t>四档4分</w:t>
            </w:r>
          </w:p>
          <w:p>
            <w:r>
              <w:t>评审标准说明：</w:t>
            </w:r>
          </w:p>
          <w:p>
            <w:r>
              <w:t>根据投标人提供组网服务需求分析方案进行评分，具体评分标准如下：</w:t>
              <w:cr/>
              <w:t>一档：未提供组网服务需求分析方案。</w:t>
              <w:cr/>
              <w:t>二档：提供组网服务方案能按照招标文件的需求进行响应，技术响应比较浅显，缺乏专业性，组网技术性能不满足采购文件要求。</w:t>
              <w:cr/>
              <w:t xml:space="preserve">三档：提供组网服务方案基本能按照招标文件的要求进行响应，有一定专业性，基本满足采购文件的需求。 </w:t>
              <w:cr/>
              <w:cr/>
              <w:t>四档：提供组网服务方案能按照招标文件的要求进行响应，详细具体，专业性强，与项目实际情况相契合，完全满足采购文件的需求。</w:t>
            </w:r>
          </w:p>
          <w:p/>
        </w:tc>
      </w:tr>
      <w:tr>
        <w:tblPrEx>
          <w:tblW w:w="5000" w:type="pct"/>
          <w:tblCellMar>
            <w:left w:w="108" w:type="dxa"/>
            <w:right w:w="108" w:type="dxa"/>
          </w:tblCellMar>
        </w:tblPrEx>
        <w:tc>
          <w:tcPr/>
          <w:p>
            <w:r>
              <w:t>14</w:t>
            </w:r>
          </w:p>
        </w:tc>
        <w:tc>
          <w:tcPr>
            <w:vMerge/>
          </w:tcPr>
          <w:p>
            <w:r>
              <w:t>技术部分</w:t>
            </w:r>
          </w:p>
        </w:tc>
        <w:tc>
          <w:tcPr/>
          <w:p>
            <w:r>
              <w:t>投标产品组件开发及产品展示方案 （主观分）</w:t>
            </w:r>
          </w:p>
        </w:tc>
        <w:tc>
          <w:tcPr/>
          <w:p>
            <w:r>
              <w:t>勾选打分</w:t>
            </w:r>
            <w:r>
              <w:t>(4)</w:t>
            </w:r>
          </w:p>
        </w:tc>
        <w:tc>
          <w:tcPr/>
          <w:p>
            <w:r>
              <w:t>评审标准：</w:t>
            </w:r>
          </w:p>
          <w:p>
            <w:r>
              <w:t>一档0分</w:t>
              <w:cr/>
              <w:t>二档1分</w:t>
              <w:cr/>
              <w:t>三档2分</w:t>
              <w:cr/>
              <w:t>四档4分</w:t>
            </w:r>
          </w:p>
          <w:p>
            <w:r>
              <w:t>评审标准说明：</w:t>
            </w:r>
          </w:p>
          <w:p>
            <w:r>
              <w:t>根据投标人提供组件开发及产品展示方案进行评分，具体评分标准如下：</w:t>
              <w:cr/>
              <w:t>一档：未提供组件开发及产品展示方案。</w:t>
              <w:cr/>
              <w:t>二档：产品组件开发及产品展示方案能按照招标文件的需求进行响应，技术响应比较浅显，缺乏扩展性，技术性能不满足采购文件要求。</w:t>
              <w:cr/>
              <w:t>三档：产品组件开发及产品展示方案基本能按照招标文件的要求进行响应，有一定扩展性，基本满足采购文件的需求。</w:t>
              <w:cr/>
              <w:cr/>
              <w:t>四档：产品组件开发及产品展示方案能按照招标文件的要求进行响应，详细具体，扩展性强，与项目实际情况相契合，完全满足采购文件的需求。</w:t>
            </w:r>
          </w:p>
          <w:p/>
        </w:tc>
      </w:tr>
      <w:tr>
        <w:tblPrEx>
          <w:tblW w:w="5000" w:type="pct"/>
          <w:tblCellMar>
            <w:left w:w="108" w:type="dxa"/>
            <w:right w:w="108" w:type="dxa"/>
          </w:tblCellMar>
        </w:tblPrEx>
        <w:tc>
          <w:tcPr/>
          <w:p>
            <w:r>
              <w:t>15</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16</w:t>
            </w:r>
          </w:p>
        </w:tc>
        <w:tc>
          <w:tcPr>
            <w:vMerge/>
          </w:tcPr>
          <w:p>
            <w:r>
              <w:t>技术部分</w:t>
            </w:r>
          </w:p>
        </w:tc>
        <w:tc>
          <w:tcPr/>
          <w:p>
            <w:r>
              <w:t>投标产品的环境适应性（客观分）</w:t>
            </w:r>
          </w:p>
        </w:tc>
        <w:tc>
          <w:tcPr/>
          <w:p>
            <w:r>
              <w:t>勾选打分</w:t>
            </w:r>
            <w:r>
              <w:t>(3)</w:t>
            </w:r>
          </w:p>
        </w:tc>
        <w:tc>
          <w:tcPr/>
          <w:p>
            <w:r>
              <w:t>评审标准：</w:t>
            </w:r>
          </w:p>
          <w:p>
            <w:r>
              <w:t>针对测风激光雷达设备，测试报告应涵盖电磁兼容、温湿度、噪声、盐雾、震动及户外适应性测试等内容，每包含一项得0.5分，最多得3分。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17</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pStyle w:val="2"/>
        <w:keepNext w:val="0"/>
        <w:keepLines w:val="0"/>
        <w:numPr>
          <w:ilvl w:val="0"/>
          <w:numId w:val="0"/>
        </w:numPr>
        <w:spacing w:before="156" w:beforeLines="50" w:after="0" w:line="360" w:lineRule="auto"/>
        <w:jc w:val="center"/>
        <w:rPr>
          <w:color w:val="auto"/>
          <w:sz w:val="30"/>
          <w:szCs w:val="30"/>
        </w:rPr>
      </w:pPr>
      <w:r>
        <w:rPr>
          <w:rFonts w:ascii="Times New Roman" w:hAnsi="Times New Roman"/>
          <w:b w:val="0"/>
          <w:bCs/>
          <w:color w:val="auto"/>
          <w:szCs w:val="21"/>
          <w:highlight w:val="none"/>
        </w:rPr>
        <w:br w:type="page"/>
      </w:r>
      <w:bookmarkStart w:id="59" w:name="插入_采购需求书"/>
      <w:r>
        <w:rPr>
          <w:rFonts w:hint="eastAsia"/>
          <w:b/>
          <w:color w:val="auto"/>
          <w:sz w:val="30"/>
          <w:szCs w:val="30"/>
        </w:rPr>
        <w:t>第七章  采购需求</w:t>
      </w:r>
    </w:p>
    <w:p>
      <w:pPr>
        <w:widowControl/>
        <w:ind w:firstLine="562"/>
        <w:jc w:val="left"/>
        <w:rPr>
          <w:rFonts w:ascii="宋体" w:hAnsi="宋体"/>
          <w:b/>
          <w:sz w:val="28"/>
          <w:szCs w:val="21"/>
        </w:rPr>
      </w:pPr>
      <w:r>
        <w:rPr>
          <w:rFonts w:ascii="宋体" w:hAnsi="宋体" w:hint="eastAsia"/>
          <w:b/>
          <w:sz w:val="28"/>
          <w:szCs w:val="21"/>
        </w:rPr>
        <w:t>一、项目概况及总体要求</w:t>
      </w:r>
    </w:p>
    <w:p>
      <w:pPr>
        <w:ind w:firstLine="482"/>
        <w:rPr>
          <w:rFonts w:ascii="宋体" w:hAnsi="宋体"/>
          <w:b/>
        </w:rPr>
      </w:pPr>
      <w:r>
        <w:rPr>
          <w:rFonts w:ascii="宋体" w:hAnsi="宋体" w:hint="eastAsia"/>
          <w:b/>
          <w:sz w:val="24"/>
          <w:szCs w:val="24"/>
        </w:rPr>
        <w:t>1</w:t>
      </w:r>
      <w:r>
        <w:rPr>
          <w:rFonts w:ascii="宋体" w:hAnsi="宋体"/>
          <w:b/>
          <w:sz w:val="24"/>
          <w:szCs w:val="24"/>
        </w:rPr>
        <w:t>)</w:t>
      </w:r>
      <w:r>
        <w:rPr>
          <w:rFonts w:ascii="宋体" w:hAnsi="宋体" w:hint="eastAsia"/>
          <w:b/>
          <w:sz w:val="24"/>
          <w:szCs w:val="24"/>
        </w:rPr>
        <w:t>项目概况及总体要求：</w:t>
      </w:r>
    </w:p>
    <w:p>
      <w:pPr>
        <w:ind w:firstLine="420" w:firstLineChars="200"/>
        <w:rPr>
          <w:color w:val="000000"/>
          <w:szCs w:val="21"/>
        </w:rPr>
      </w:pPr>
      <w:r>
        <w:rPr>
          <w:rFonts w:hint="eastAsia"/>
          <w:color w:val="000000"/>
          <w:szCs w:val="21"/>
        </w:rPr>
        <w:t>近年来，江苏省委省政府、各地市市委市政府深入贯彻落实国家战略部署，陆续出台了《江苏省“十四五”气象发展规划》《江苏省“十四五”综合防灾减灾规划》《江苏强对流灾害性天气监测预警服务示范体系建设方案》、《市政府关于推进气象事业高质量发展的实施意见》等一系列文件，对气象防灾减灾提出明确要求，要着力提升自然灾害防治能力，提高监测能力、预警预报能力、预警信息发布能力、灾害联防联动能力、全民防灾减灾意识和能力等。</w:t>
      </w:r>
    </w:p>
    <w:p>
      <w:pPr>
        <w:ind w:firstLine="482"/>
        <w:rPr>
          <w:rFonts w:ascii="宋体" w:hAnsi="宋体"/>
          <w:b/>
          <w:szCs w:val="21"/>
        </w:rPr>
      </w:pPr>
    </w:p>
    <w:p>
      <w:pPr>
        <w:rPr>
          <w:rFonts w:ascii="宋体" w:hAnsi="宋体"/>
        </w:rPr>
      </w:pPr>
      <w:r>
        <w:rPr>
          <w:rFonts w:ascii="宋体" w:hAnsi="宋体" w:hint="eastAsia"/>
        </w:rPr>
        <w:t xml:space="preserve">    </w:t>
      </w:r>
      <w:r>
        <w:rPr>
          <w:rFonts w:cs="宋体" w:hint="eastAsia"/>
          <w:szCs w:val="21"/>
        </w:rPr>
        <w:t>本项目由无锡</w:t>
      </w:r>
      <w:r>
        <w:rPr>
          <w:rFonts w:ascii="宋体" w:hAnsi="宋体" w:hint="eastAsia"/>
        </w:rPr>
        <w:t>市气象局</w:t>
      </w:r>
      <w:r>
        <w:rPr>
          <w:rFonts w:cs="宋体" w:hint="eastAsia"/>
          <w:szCs w:val="21"/>
        </w:rPr>
        <w:t>牵头委托中国气象局政府采购中心招标采购，由各采购人分别与中标供应商签订采购合同并办理经费支付、项目建设等。</w:t>
      </w:r>
    </w:p>
    <w:tbl>
      <w:tblPr>
        <w:tblStyle w:val="TableNormal"/>
        <w:tblpPr w:leftFromText="180" w:rightFromText="180" w:vertAnchor="text" w:horzAnchor="page" w:tblpX="1320" w:tblpY="995"/>
        <w:tblOverlap w:val="never"/>
        <w:tblW w:w="5097" w:type="pct"/>
        <w:tblInd w:w="0" w:type="dxa"/>
        <w:tblCellMar>
          <w:top w:w="0" w:type="dxa"/>
          <w:left w:w="0" w:type="dxa"/>
          <w:bottom w:w="0" w:type="dxa"/>
          <w:right w:w="0" w:type="dxa"/>
        </w:tblCellMar>
      </w:tblPr>
      <w:tblGrid>
        <w:gridCol w:w="1208"/>
        <w:gridCol w:w="1584"/>
        <w:gridCol w:w="1491"/>
        <w:gridCol w:w="2271"/>
        <w:gridCol w:w="1923"/>
      </w:tblGrid>
      <w:tr>
        <w:tblPrEx>
          <w:tblW w:w="5097" w:type="pct"/>
          <w:tblInd w:w="0" w:type="dxa"/>
          <w:tblCellMar>
            <w:top w:w="0" w:type="dxa"/>
            <w:left w:w="0" w:type="dxa"/>
            <w:bottom w:w="0" w:type="dxa"/>
            <w:right w:w="0" w:type="dxa"/>
          </w:tblCellMar>
        </w:tblPrEx>
        <w:trPr>
          <w:trHeight w:val="930"/>
        </w:trPr>
        <w:tc>
          <w:tcPr>
            <w:tcW w:w="712" w:type="pct"/>
            <w:tcBorders>
              <w:top w:val="single" w:sz="4" w:space="0" w:color="000000"/>
              <w:left w:val="single" w:sz="4" w:space="0" w:color="000000"/>
              <w:bottom w:val="single" w:sz="4" w:space="0" w:color="auto"/>
              <w:right w:val="single" w:sz="4" w:space="0" w:color="auto"/>
            </w:tcBorders>
            <w:vAlign w:val="center"/>
          </w:tcPr>
          <w:p>
            <w:pPr>
              <w:widowControl/>
              <w:autoSpaceDE w:val="0"/>
              <w:autoSpaceDN w:val="0"/>
              <w:adjustRightInd w:val="0"/>
              <w:jc w:val="center"/>
              <w:rPr>
                <w:b/>
                <w:kern w:val="0"/>
                <w:szCs w:val="21"/>
              </w:rPr>
            </w:pPr>
            <w:r>
              <w:rPr>
                <w:b/>
                <w:kern w:val="0"/>
                <w:szCs w:val="21"/>
              </w:rPr>
              <w:t>序号</w:t>
            </w:r>
          </w:p>
        </w:tc>
        <w:tc>
          <w:tcPr>
            <w:tcW w:w="934" w:type="pct"/>
            <w:tcBorders>
              <w:top w:val="single" w:sz="4" w:space="0" w:color="auto"/>
              <w:left w:val="single" w:sz="4" w:space="0" w:color="auto"/>
              <w:bottom w:val="single" w:sz="4" w:space="0" w:color="auto"/>
              <w:right w:val="single" w:sz="4" w:space="0" w:color="auto"/>
            </w:tcBorders>
            <w:vAlign w:val="center"/>
          </w:tcPr>
          <w:p>
            <w:pPr>
              <w:widowControl/>
              <w:autoSpaceDE w:val="0"/>
              <w:autoSpaceDN w:val="0"/>
              <w:adjustRightInd w:val="0"/>
              <w:jc w:val="center"/>
              <w:rPr>
                <w:b/>
                <w:kern w:val="0"/>
                <w:szCs w:val="21"/>
              </w:rPr>
            </w:pPr>
            <w:r>
              <w:rPr>
                <w:b/>
                <w:kern w:val="0"/>
                <w:szCs w:val="21"/>
              </w:rPr>
              <w:t>设备</w:t>
            </w:r>
            <w:r>
              <w:rPr>
                <w:b/>
                <w:spacing w:val="-2"/>
                <w:kern w:val="0"/>
                <w:szCs w:val="21"/>
              </w:rPr>
              <w:t>名</w:t>
            </w:r>
            <w:r>
              <w:rPr>
                <w:b/>
                <w:kern w:val="0"/>
                <w:szCs w:val="21"/>
              </w:rPr>
              <w:t>称</w:t>
            </w:r>
          </w:p>
        </w:tc>
        <w:tc>
          <w:tcPr>
            <w:tcW w:w="879" w:type="pct"/>
            <w:tcBorders>
              <w:top w:val="single" w:sz="4" w:space="0" w:color="000000"/>
              <w:left w:val="nil"/>
              <w:bottom w:val="single" w:sz="4" w:space="0" w:color="000000"/>
              <w:right w:val="single" w:sz="4" w:space="0" w:color="auto"/>
            </w:tcBorders>
            <w:vAlign w:val="center"/>
          </w:tcPr>
          <w:p>
            <w:pPr>
              <w:widowControl/>
              <w:autoSpaceDE w:val="0"/>
              <w:autoSpaceDN w:val="0"/>
              <w:adjustRightInd w:val="0"/>
              <w:jc w:val="center"/>
              <w:rPr>
                <w:rFonts w:eastAsia="楷体"/>
                <w:b/>
                <w:kern w:val="0"/>
                <w:sz w:val="18"/>
                <w:szCs w:val="18"/>
              </w:rPr>
            </w:pPr>
            <w:r>
              <w:rPr>
                <w:b/>
                <w:kern w:val="0"/>
                <w:szCs w:val="21"/>
              </w:rPr>
              <w:t>数量</w:t>
            </w:r>
            <w:r>
              <w:rPr>
                <w:b/>
                <w:szCs w:val="21"/>
              </w:rPr>
              <w:t>/套</w:t>
            </w:r>
          </w:p>
        </w:tc>
        <w:tc>
          <w:tcPr>
            <w:tcW w:w="1339" w:type="pct"/>
            <w:tcBorders>
              <w:top w:val="single" w:sz="4" w:space="0" w:color="auto"/>
              <w:left w:val="single" w:sz="4" w:space="0" w:color="auto"/>
              <w:bottom w:val="single" w:sz="4" w:space="0" w:color="auto"/>
              <w:right w:val="single" w:sz="4" w:space="0" w:color="auto"/>
            </w:tcBorders>
            <w:vAlign w:val="center"/>
          </w:tcPr>
          <w:p>
            <w:pPr>
              <w:widowControl/>
              <w:autoSpaceDE w:val="0"/>
              <w:autoSpaceDN w:val="0"/>
              <w:adjustRightInd w:val="0"/>
              <w:jc w:val="center"/>
              <w:rPr>
                <w:rFonts w:eastAsia="楷体"/>
                <w:b/>
                <w:kern w:val="0"/>
                <w:sz w:val="18"/>
                <w:szCs w:val="18"/>
              </w:rPr>
            </w:pPr>
            <w:r>
              <w:rPr>
                <w:b/>
                <w:szCs w:val="21"/>
              </w:rPr>
              <w:t>采购预算/万元</w:t>
            </w:r>
          </w:p>
        </w:tc>
        <w:tc>
          <w:tcPr>
            <w:tcW w:w="1133" w:type="pct"/>
            <w:tcBorders>
              <w:top w:val="single" w:sz="4" w:space="0" w:color="auto"/>
              <w:left w:val="single" w:sz="4" w:space="0" w:color="auto"/>
              <w:bottom w:val="single" w:sz="4" w:space="0" w:color="auto"/>
              <w:right w:val="single" w:sz="4" w:space="0" w:color="auto"/>
            </w:tcBorders>
            <w:vAlign w:val="center"/>
          </w:tcPr>
          <w:p>
            <w:pPr>
              <w:widowControl/>
              <w:autoSpaceDE w:val="0"/>
              <w:autoSpaceDN w:val="0"/>
              <w:adjustRightInd w:val="0"/>
              <w:jc w:val="center"/>
              <w:rPr>
                <w:b/>
                <w:szCs w:val="21"/>
              </w:rPr>
            </w:pPr>
            <w:r>
              <w:rPr>
                <w:rFonts w:hint="eastAsia"/>
                <w:b/>
                <w:szCs w:val="21"/>
              </w:rPr>
              <w:t>应用软件</w:t>
            </w:r>
          </w:p>
        </w:tc>
      </w:tr>
      <w:tr>
        <w:tblPrEx>
          <w:tblW w:w="5097" w:type="pct"/>
          <w:tblInd w:w="0" w:type="dxa"/>
          <w:tblCellMar>
            <w:top w:w="0" w:type="dxa"/>
            <w:left w:w="0" w:type="dxa"/>
            <w:bottom w:w="0" w:type="dxa"/>
            <w:right w:w="0" w:type="dxa"/>
          </w:tblCellMar>
        </w:tblPrEx>
        <w:trPr>
          <w:trHeight w:val="897"/>
        </w:trPr>
        <w:tc>
          <w:tcPr>
            <w:tcW w:w="712" w:type="pct"/>
            <w:tcBorders>
              <w:top w:val="single" w:sz="4" w:space="0" w:color="auto"/>
              <w:left w:val="single" w:sz="4" w:space="0" w:color="auto"/>
              <w:bottom w:val="single" w:sz="4" w:space="0" w:color="auto"/>
              <w:right w:val="single" w:sz="4" w:space="0" w:color="auto"/>
            </w:tcBorders>
            <w:vAlign w:val="center"/>
          </w:tcPr>
          <w:p>
            <w:pPr>
              <w:widowControl/>
              <w:autoSpaceDE w:val="0"/>
              <w:autoSpaceDN w:val="0"/>
              <w:adjustRightInd w:val="0"/>
              <w:jc w:val="center"/>
              <w:rPr>
                <w:rFonts w:ascii="宋体" w:hAnsi="宋体"/>
              </w:rPr>
            </w:pPr>
            <w:r>
              <w:rPr>
                <w:rFonts w:ascii="宋体" w:hAnsi="宋体"/>
              </w:rPr>
              <w:t>1</w:t>
            </w:r>
          </w:p>
        </w:tc>
        <w:tc>
          <w:tcPr>
            <w:tcW w:w="934" w:type="pct"/>
            <w:tcBorders>
              <w:top w:val="single" w:sz="4" w:space="0" w:color="auto"/>
              <w:left w:val="single" w:sz="4" w:space="0" w:color="auto"/>
              <w:bottom w:val="single" w:sz="4" w:space="0" w:color="auto"/>
              <w:right w:val="single" w:sz="4" w:space="0" w:color="auto"/>
            </w:tcBorders>
            <w:vAlign w:val="center"/>
          </w:tcPr>
          <w:p>
            <w:pPr>
              <w:widowControl/>
              <w:autoSpaceDE w:val="0"/>
              <w:autoSpaceDN w:val="0"/>
              <w:adjustRightInd w:val="0"/>
              <w:jc w:val="center"/>
              <w:rPr>
                <w:rFonts w:ascii="宋体" w:hAnsi="宋体"/>
              </w:rPr>
            </w:pPr>
            <w:r>
              <w:rPr>
                <w:rFonts w:ascii="宋体" w:hAnsi="宋体" w:hint="eastAsia"/>
              </w:rPr>
              <w:t>激光测风雷达</w:t>
            </w:r>
          </w:p>
        </w:tc>
        <w:tc>
          <w:tcPr>
            <w:tcW w:w="879" w:type="pct"/>
            <w:tcBorders>
              <w:top w:val="single" w:sz="4" w:space="0" w:color="000000"/>
              <w:left w:val="nil"/>
              <w:bottom w:val="single" w:sz="4" w:space="0" w:color="000000"/>
              <w:right w:val="single" w:sz="4" w:space="0" w:color="auto"/>
            </w:tcBorders>
            <w:vAlign w:val="center"/>
          </w:tcPr>
          <w:p>
            <w:pPr>
              <w:widowControl/>
              <w:autoSpaceDE w:val="0"/>
              <w:autoSpaceDN w:val="0"/>
              <w:adjustRightInd w:val="0"/>
              <w:jc w:val="center"/>
              <w:rPr>
                <w:rFonts w:ascii="宋体" w:hAnsi="宋体"/>
              </w:rPr>
            </w:pPr>
            <w:r>
              <w:rPr>
                <w:rFonts w:ascii="宋体" w:hAnsi="宋体" w:hint="eastAsia"/>
              </w:rPr>
              <w:t>4</w:t>
            </w:r>
          </w:p>
        </w:tc>
        <w:tc>
          <w:tcPr>
            <w:tcW w:w="1339" w:type="pct"/>
            <w:tcBorders>
              <w:top w:val="single" w:sz="4" w:space="0" w:color="auto"/>
              <w:left w:val="single" w:sz="4" w:space="0" w:color="auto"/>
              <w:bottom w:val="single" w:sz="4" w:space="0" w:color="auto"/>
              <w:right w:val="single" w:sz="4" w:space="0" w:color="auto"/>
            </w:tcBorders>
            <w:vAlign w:val="center"/>
          </w:tcPr>
          <w:p>
            <w:pPr>
              <w:widowControl/>
              <w:autoSpaceDE w:val="0"/>
              <w:autoSpaceDN w:val="0"/>
              <w:adjustRightInd w:val="0"/>
              <w:jc w:val="center"/>
              <w:rPr>
                <w:rFonts w:ascii="宋体" w:hAnsi="宋体"/>
              </w:rPr>
            </w:pPr>
            <w:r>
              <w:rPr>
                <w:rFonts w:ascii="宋体" w:hAnsi="宋体" w:hint="eastAsia"/>
              </w:rPr>
              <w:t>800</w:t>
            </w:r>
          </w:p>
        </w:tc>
        <w:tc>
          <w:tcPr>
            <w:tcW w:w="1133" w:type="pct"/>
            <w:tcBorders>
              <w:top w:val="single" w:sz="4" w:space="0" w:color="auto"/>
              <w:left w:val="single" w:sz="4" w:space="0" w:color="auto"/>
              <w:bottom w:val="single" w:sz="4" w:space="0" w:color="auto"/>
              <w:right w:val="single" w:sz="4" w:space="0" w:color="auto"/>
            </w:tcBorders>
            <w:vAlign w:val="center"/>
          </w:tcPr>
          <w:p>
            <w:pPr>
              <w:widowControl/>
              <w:autoSpaceDE w:val="0"/>
              <w:autoSpaceDN w:val="0"/>
              <w:adjustRightInd w:val="0"/>
              <w:jc w:val="center"/>
              <w:rPr>
                <w:rFonts w:ascii="宋体" w:hAnsi="宋体"/>
              </w:rPr>
            </w:pPr>
            <w:r>
              <w:rPr>
                <w:rFonts w:ascii="宋体" w:hAnsi="宋体" w:hint="eastAsia"/>
              </w:rPr>
              <w:t>提供雷达组网方案（三维）、数据质控、组件式接口、产品展示。</w:t>
            </w:r>
          </w:p>
        </w:tc>
      </w:tr>
    </w:tbl>
    <w:p>
      <w:pPr>
        <w:widowControl/>
        <w:ind w:firstLine="562"/>
        <w:jc w:val="left"/>
        <w:rPr>
          <w:rFonts w:ascii="宋体" w:hAnsi="宋体"/>
          <w:b/>
          <w:sz w:val="28"/>
          <w:szCs w:val="21"/>
        </w:rPr>
      </w:pPr>
      <w:r>
        <w:rPr>
          <w:rFonts w:ascii="宋体" w:hAnsi="宋体" w:hint="eastAsia"/>
          <w:b/>
          <w:sz w:val="28"/>
          <w:szCs w:val="21"/>
        </w:rPr>
        <w:t>二、设备需求一览表</w:t>
      </w:r>
    </w:p>
    <w:p>
      <w:pPr>
        <w:ind w:firstLine="422"/>
        <w:jc w:val="center"/>
        <w:rPr>
          <w:rFonts w:ascii="宋体" w:hAnsi="宋体"/>
          <w:b/>
          <w:lang w:val="zh-CN"/>
        </w:rPr>
      </w:pPr>
      <w:r>
        <w:rPr>
          <w:rFonts w:ascii="宋体" w:hAnsi="宋体" w:hint="eastAsia"/>
          <w:b/>
          <w:lang w:val="zh-CN"/>
        </w:rPr>
        <w:t>表1设备需求一览表</w:t>
      </w:r>
    </w:p>
    <w:p>
      <w:pPr>
        <w:widowControl/>
        <w:ind w:firstLine="562"/>
        <w:jc w:val="left"/>
        <w:rPr>
          <w:rFonts w:ascii="宋体" w:hAnsi="宋体"/>
          <w:b/>
          <w:sz w:val="28"/>
          <w:szCs w:val="21"/>
        </w:rPr>
      </w:pPr>
    </w:p>
    <w:p>
      <w:pPr>
        <w:ind w:firstLine="422"/>
        <w:jc w:val="center"/>
        <w:rPr>
          <w:rFonts w:ascii="宋体" w:hAnsi="宋体"/>
          <w:b/>
          <w:lang w:val="zh-CN"/>
        </w:rPr>
      </w:pPr>
      <w:r>
        <w:rPr>
          <w:rFonts w:ascii="宋体" w:hAnsi="宋体" w:hint="eastAsia"/>
          <w:b/>
          <w:lang w:val="zh-CN"/>
        </w:rPr>
        <w:t>表</w:t>
      </w:r>
      <w:r>
        <w:rPr>
          <w:rFonts w:ascii="宋体" w:hAnsi="宋体" w:hint="eastAsia"/>
          <w:b/>
        </w:rPr>
        <w:t xml:space="preserve">2 </w:t>
      </w:r>
      <w:r>
        <w:rPr>
          <w:rFonts w:ascii="宋体" w:hAnsi="宋体" w:hint="eastAsia"/>
          <w:b/>
          <w:lang w:val="zh-CN"/>
        </w:rPr>
        <w:t>采购人及预算情况表</w:t>
      </w:r>
    </w:p>
    <w:tbl>
      <w:tblPr>
        <w:tblStyle w:val="TableNormal"/>
        <w:tblW w:w="499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46"/>
        <w:gridCol w:w="2528"/>
        <w:gridCol w:w="1836"/>
        <w:gridCol w:w="1282"/>
        <w:gridCol w:w="1343"/>
        <w:gridCol w:w="1163"/>
      </w:tblGrid>
      <w:tr>
        <w:tblPrEx>
          <w:tblW w:w="4997"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312"/>
        </w:trPr>
        <w:tc>
          <w:tcPr>
            <w:tcW w:w="470" w:type="pct"/>
            <w:noWrap/>
            <w:vAlign w:val="center"/>
          </w:tcPr>
          <w:p>
            <w:pPr>
              <w:widowControl/>
              <w:adjustRightInd w:val="0"/>
              <w:snapToGrid w:val="0"/>
              <w:textAlignment w:val="center"/>
              <w:rPr>
                <w:rFonts w:cs="宋体"/>
                <w:color w:val="000000"/>
              </w:rPr>
            </w:pPr>
            <w:r>
              <w:rPr>
                <w:rFonts w:cs="宋体" w:hint="eastAsia"/>
                <w:color w:val="000000"/>
                <w:kern w:val="0"/>
                <w:szCs w:val="24"/>
                <w:lang w:bidi="ar"/>
              </w:rPr>
              <w:t>序号</w:t>
            </w:r>
          </w:p>
        </w:tc>
        <w:tc>
          <w:tcPr>
            <w:tcW w:w="1404" w:type="pct"/>
            <w:tcBorders>
              <w:bottom w:val="single" w:sz="4" w:space="0" w:color="000000"/>
            </w:tcBorders>
            <w:noWrap/>
            <w:vAlign w:val="center"/>
          </w:tcPr>
          <w:p>
            <w:pPr>
              <w:widowControl/>
              <w:adjustRightInd w:val="0"/>
              <w:snapToGrid w:val="0"/>
              <w:ind w:firstLine="420"/>
              <w:jc w:val="center"/>
              <w:textAlignment w:val="center"/>
              <w:rPr>
                <w:rFonts w:cs="宋体"/>
                <w:color w:val="000000"/>
              </w:rPr>
            </w:pPr>
            <w:r>
              <w:rPr>
                <w:rFonts w:cs="宋体" w:hint="eastAsia"/>
                <w:color w:val="000000"/>
                <w:kern w:val="0"/>
                <w:szCs w:val="24"/>
                <w:lang w:bidi="ar"/>
              </w:rPr>
              <w:t>采购人</w:t>
            </w:r>
          </w:p>
        </w:tc>
        <w:tc>
          <w:tcPr>
            <w:tcW w:w="1020" w:type="pct"/>
            <w:tcBorders>
              <w:bottom w:val="single" w:sz="4" w:space="0" w:color="000000"/>
            </w:tcBorders>
            <w:noWrap/>
            <w:vAlign w:val="center"/>
          </w:tcPr>
          <w:p>
            <w:pPr>
              <w:widowControl/>
              <w:adjustRightInd w:val="0"/>
              <w:snapToGrid w:val="0"/>
              <w:textAlignment w:val="center"/>
              <w:rPr>
                <w:rFonts w:cs="宋体"/>
                <w:color w:val="000000"/>
              </w:rPr>
            </w:pPr>
            <w:r>
              <w:rPr>
                <w:rFonts w:cs="宋体" w:hint="eastAsia"/>
                <w:color w:val="000000"/>
                <w:kern w:val="0"/>
                <w:szCs w:val="24"/>
                <w:lang w:bidi="ar"/>
              </w:rPr>
              <w:t>设备名称</w:t>
            </w:r>
          </w:p>
        </w:tc>
        <w:tc>
          <w:tcPr>
            <w:tcW w:w="712" w:type="pct"/>
            <w:tcBorders>
              <w:bottom w:val="single" w:sz="4" w:space="0" w:color="000000"/>
            </w:tcBorders>
            <w:noWrap/>
            <w:vAlign w:val="center"/>
          </w:tcPr>
          <w:p>
            <w:pPr>
              <w:widowControl/>
              <w:adjustRightInd w:val="0"/>
              <w:snapToGrid w:val="0"/>
              <w:textAlignment w:val="center"/>
              <w:rPr>
                <w:rFonts w:cs="宋体"/>
                <w:color w:val="000000"/>
              </w:rPr>
            </w:pPr>
            <w:r>
              <w:rPr>
                <w:rFonts w:cs="宋体" w:hint="eastAsia"/>
                <w:color w:val="000000"/>
                <w:kern w:val="0"/>
                <w:szCs w:val="24"/>
                <w:lang w:bidi="ar"/>
              </w:rPr>
              <w:t>数量（套）</w:t>
            </w:r>
          </w:p>
        </w:tc>
        <w:tc>
          <w:tcPr>
            <w:tcW w:w="746" w:type="pct"/>
            <w:tcBorders>
              <w:bottom w:val="single" w:sz="4" w:space="0" w:color="000000"/>
            </w:tcBorders>
            <w:noWrap/>
            <w:vAlign w:val="center"/>
          </w:tcPr>
          <w:p>
            <w:pPr>
              <w:widowControl/>
              <w:adjustRightInd w:val="0"/>
              <w:snapToGrid w:val="0"/>
              <w:textAlignment w:val="center"/>
              <w:rPr>
                <w:rFonts w:cs="宋体"/>
                <w:color w:val="000000"/>
                <w:kern w:val="0"/>
                <w:lang w:bidi="ar"/>
              </w:rPr>
            </w:pPr>
            <w:r>
              <w:rPr>
                <w:rFonts w:cs="宋体" w:hint="eastAsia"/>
                <w:color w:val="000000"/>
                <w:kern w:val="0"/>
                <w:szCs w:val="24"/>
                <w:lang w:bidi="ar"/>
              </w:rPr>
              <w:t>预算</w:t>
            </w:r>
          </w:p>
          <w:p>
            <w:pPr>
              <w:widowControl/>
              <w:adjustRightInd w:val="0"/>
              <w:snapToGrid w:val="0"/>
              <w:textAlignment w:val="center"/>
              <w:rPr>
                <w:rFonts w:cs="宋体"/>
                <w:color w:val="000000"/>
              </w:rPr>
            </w:pPr>
            <w:r>
              <w:rPr>
                <w:rFonts w:cs="宋体" w:hint="eastAsia"/>
                <w:color w:val="000000"/>
                <w:kern w:val="0"/>
                <w:szCs w:val="24"/>
                <w:lang w:bidi="ar"/>
              </w:rPr>
              <w:t>（万元）</w:t>
            </w:r>
          </w:p>
        </w:tc>
        <w:tc>
          <w:tcPr>
            <w:tcW w:w="646" w:type="pct"/>
            <w:tcBorders>
              <w:bottom w:val="single" w:sz="4" w:space="0" w:color="000000"/>
            </w:tcBorders>
            <w:vAlign w:val="center"/>
          </w:tcPr>
          <w:p>
            <w:pPr>
              <w:widowControl/>
              <w:adjustRightInd w:val="0"/>
              <w:snapToGrid w:val="0"/>
              <w:textAlignment w:val="center"/>
              <w:rPr>
                <w:rFonts w:cs="宋体"/>
                <w:color w:val="000000"/>
              </w:rPr>
            </w:pPr>
            <w:r>
              <w:rPr>
                <w:rFonts w:cs="宋体" w:hint="eastAsia"/>
                <w:color w:val="000000"/>
                <w:kern w:val="0"/>
                <w:szCs w:val="24"/>
                <w:lang w:bidi="ar"/>
              </w:rPr>
              <w:t>联系人</w:t>
            </w:r>
          </w:p>
        </w:tc>
      </w:tr>
      <w:tr>
        <w:tblPrEx>
          <w:tblW w:w="4997" w:type="pct"/>
          <w:tblInd w:w="0" w:type="dxa"/>
          <w:tblLayout w:type="fixed"/>
          <w:tblCellMar>
            <w:top w:w="0" w:type="dxa"/>
            <w:left w:w="108" w:type="dxa"/>
            <w:bottom w:w="0" w:type="dxa"/>
            <w:right w:w="108" w:type="dxa"/>
          </w:tblCellMar>
        </w:tblPrEx>
        <w:trPr>
          <w:trHeight w:val="312"/>
        </w:trPr>
        <w:tc>
          <w:tcPr>
            <w:tcW w:w="470" w:type="pct"/>
            <w:tcBorders>
              <w:top w:val="single" w:sz="4" w:space="0" w:color="000000"/>
              <w:left w:val="single" w:sz="4" w:space="0" w:color="000000"/>
              <w:bottom w:val="single" w:sz="4" w:space="0" w:color="000000"/>
              <w:right w:val="single" w:sz="4" w:space="0" w:color="000000"/>
            </w:tcBorders>
            <w:noWrap/>
            <w:vAlign w:val="center"/>
          </w:tcPr>
          <w:p>
            <w:pPr>
              <w:widowControl/>
              <w:adjustRightInd w:val="0"/>
              <w:snapToGrid w:val="0"/>
              <w:ind w:firstLine="420"/>
              <w:jc w:val="center"/>
              <w:textAlignment w:val="center"/>
              <w:rPr>
                <w:rFonts w:cs="宋体"/>
                <w:color w:val="000000"/>
                <w:szCs w:val="21"/>
              </w:rPr>
            </w:pPr>
            <w:r>
              <w:rPr>
                <w:rFonts w:cs="宋体" w:hint="eastAsia"/>
                <w:color w:val="000000"/>
                <w:szCs w:val="21"/>
              </w:rPr>
              <w:t>1</w:t>
            </w:r>
          </w:p>
        </w:tc>
        <w:tc>
          <w:tcPr>
            <w:tcW w:w="1404" w:type="pct"/>
            <w:tcBorders>
              <w:top w:val="single" w:sz="4" w:space="0" w:color="000000"/>
              <w:left w:val="nil"/>
              <w:bottom w:val="single" w:sz="4" w:space="0" w:color="000000"/>
              <w:right w:val="single" w:sz="4" w:space="0" w:color="000000"/>
            </w:tcBorders>
            <w:noWrap/>
            <w:vAlign w:val="center"/>
          </w:tcPr>
          <w:p>
            <w:pPr>
              <w:widowControl/>
              <w:ind w:firstLine="420"/>
              <w:jc w:val="center"/>
              <w:rPr>
                <w:color w:val="000000"/>
                <w:szCs w:val="21"/>
              </w:rPr>
            </w:pPr>
            <w:r>
              <w:rPr>
                <w:rFonts w:hint="eastAsia"/>
                <w:color w:val="000000"/>
                <w:szCs w:val="21"/>
              </w:rPr>
              <w:t>无锡市气象局</w:t>
            </w:r>
          </w:p>
        </w:tc>
        <w:tc>
          <w:tcPr>
            <w:tcW w:w="1020" w:type="pct"/>
            <w:tcBorders>
              <w:top w:val="single" w:sz="4" w:space="0" w:color="000000"/>
              <w:left w:val="single" w:sz="4" w:space="0" w:color="000000"/>
              <w:bottom w:val="single" w:sz="4" w:space="0" w:color="000000"/>
              <w:right w:val="single" w:sz="4" w:space="0" w:color="000000"/>
            </w:tcBorders>
            <w:vAlign w:val="center"/>
          </w:tcPr>
          <w:p>
            <w:pPr>
              <w:widowControl/>
              <w:rPr>
                <w:color w:val="000000"/>
                <w:szCs w:val="21"/>
              </w:rPr>
            </w:pPr>
            <w:r>
              <w:rPr>
                <w:rFonts w:hint="eastAsia"/>
                <w:color w:val="000000"/>
                <w:szCs w:val="21"/>
              </w:rPr>
              <w:t>激光测风雷达</w:t>
            </w:r>
          </w:p>
        </w:tc>
        <w:tc>
          <w:tcPr>
            <w:tcW w:w="712" w:type="pct"/>
            <w:tcBorders>
              <w:top w:val="single" w:sz="4" w:space="0" w:color="000000"/>
              <w:left w:val="single" w:sz="4" w:space="0" w:color="000000"/>
              <w:bottom w:val="single" w:sz="4" w:space="0" w:color="000000"/>
              <w:right w:val="single" w:sz="4" w:space="0" w:color="000000"/>
            </w:tcBorders>
            <w:vAlign w:val="center"/>
          </w:tcPr>
          <w:p>
            <w:pPr>
              <w:ind w:firstLine="420"/>
              <w:rPr>
                <w:color w:val="000000"/>
                <w:szCs w:val="21"/>
              </w:rPr>
            </w:pPr>
            <w:r>
              <w:rPr>
                <w:rFonts w:hint="eastAsia"/>
                <w:color w:val="000000"/>
                <w:szCs w:val="21"/>
              </w:rPr>
              <w:t>1</w:t>
            </w:r>
          </w:p>
        </w:tc>
        <w:tc>
          <w:tcPr>
            <w:tcW w:w="746" w:type="pct"/>
            <w:tcBorders>
              <w:top w:val="single" w:sz="4" w:space="0" w:color="000000"/>
              <w:left w:val="single" w:sz="4" w:space="0" w:color="000000"/>
              <w:bottom w:val="single" w:sz="4" w:space="0" w:color="000000"/>
              <w:right w:val="single" w:sz="4" w:space="0" w:color="000000"/>
            </w:tcBorders>
            <w:vAlign w:val="center"/>
          </w:tcPr>
          <w:p>
            <w:pPr>
              <w:ind w:firstLine="420"/>
              <w:jc w:val="center"/>
              <w:rPr>
                <w:color w:val="000000"/>
                <w:szCs w:val="21"/>
              </w:rPr>
            </w:pPr>
            <w:r>
              <w:rPr>
                <w:rFonts w:hint="eastAsia"/>
                <w:color w:val="000000"/>
                <w:szCs w:val="21"/>
              </w:rPr>
              <w:t>200</w:t>
            </w:r>
          </w:p>
        </w:tc>
        <w:tc>
          <w:tcPr>
            <w:tcW w:w="646" w:type="pct"/>
            <w:tcBorders>
              <w:top w:val="single" w:sz="4" w:space="0" w:color="000000"/>
              <w:left w:val="single" w:sz="4" w:space="0" w:color="000000"/>
              <w:bottom w:val="single" w:sz="4" w:space="0" w:color="000000"/>
              <w:right w:val="single" w:sz="4" w:space="0" w:color="000000"/>
            </w:tcBorders>
            <w:noWrap/>
            <w:vAlign w:val="center"/>
          </w:tcPr>
          <w:p>
            <w:pPr>
              <w:jc w:val="center"/>
              <w:rPr>
                <w:color w:val="000000"/>
                <w:szCs w:val="21"/>
              </w:rPr>
            </w:pPr>
            <w:r>
              <w:rPr>
                <w:rFonts w:hint="eastAsia"/>
                <w:color w:val="000000"/>
                <w:szCs w:val="21"/>
              </w:rPr>
              <w:t>胡少栋</w:t>
            </w:r>
          </w:p>
        </w:tc>
      </w:tr>
      <w:tr>
        <w:tblPrEx>
          <w:tblW w:w="4997" w:type="pct"/>
          <w:tblInd w:w="0" w:type="dxa"/>
          <w:tblLayout w:type="fixed"/>
          <w:tblCellMar>
            <w:top w:w="0" w:type="dxa"/>
            <w:left w:w="108" w:type="dxa"/>
            <w:bottom w:w="0" w:type="dxa"/>
            <w:right w:w="108" w:type="dxa"/>
          </w:tblCellMar>
        </w:tblPrEx>
        <w:trPr>
          <w:trHeight w:val="312"/>
        </w:trPr>
        <w:tc>
          <w:tcPr>
            <w:tcW w:w="470" w:type="pct"/>
            <w:tcBorders>
              <w:top w:val="single" w:sz="4" w:space="0" w:color="000000"/>
              <w:left w:val="single" w:sz="4" w:space="0" w:color="000000"/>
              <w:bottom w:val="single" w:sz="4" w:space="0" w:color="000000"/>
              <w:right w:val="single" w:sz="4" w:space="0" w:color="000000"/>
            </w:tcBorders>
            <w:noWrap/>
            <w:vAlign w:val="center"/>
          </w:tcPr>
          <w:p>
            <w:pPr>
              <w:widowControl/>
              <w:adjustRightInd w:val="0"/>
              <w:snapToGrid w:val="0"/>
              <w:ind w:firstLine="420"/>
              <w:jc w:val="center"/>
              <w:textAlignment w:val="center"/>
              <w:rPr>
                <w:rFonts w:cs="宋体"/>
                <w:color w:val="000000"/>
                <w:szCs w:val="21"/>
              </w:rPr>
            </w:pPr>
            <w:r>
              <w:rPr>
                <w:rFonts w:cs="宋体" w:hint="eastAsia"/>
                <w:color w:val="000000"/>
                <w:szCs w:val="21"/>
              </w:rPr>
              <w:t>2</w:t>
            </w:r>
          </w:p>
        </w:tc>
        <w:tc>
          <w:tcPr>
            <w:tcW w:w="1404" w:type="pct"/>
            <w:tcBorders>
              <w:top w:val="single" w:sz="4" w:space="0" w:color="000000"/>
              <w:left w:val="nil"/>
              <w:bottom w:val="single" w:sz="4" w:space="0" w:color="000000"/>
              <w:right w:val="single" w:sz="4" w:space="0" w:color="000000"/>
            </w:tcBorders>
            <w:noWrap/>
            <w:vAlign w:val="center"/>
          </w:tcPr>
          <w:p>
            <w:pPr>
              <w:widowControl/>
              <w:ind w:firstLine="420"/>
              <w:jc w:val="center"/>
              <w:rPr>
                <w:color w:val="000000"/>
                <w:szCs w:val="21"/>
              </w:rPr>
            </w:pPr>
            <w:r>
              <w:rPr>
                <w:rFonts w:hint="eastAsia"/>
                <w:color w:val="000000"/>
                <w:szCs w:val="21"/>
              </w:rPr>
              <w:t>扬中市气象局</w:t>
            </w:r>
          </w:p>
        </w:tc>
        <w:tc>
          <w:tcPr>
            <w:tcW w:w="1020" w:type="pct"/>
            <w:tcBorders>
              <w:top w:val="single" w:sz="4" w:space="0" w:color="000000"/>
              <w:left w:val="single" w:sz="4" w:space="0" w:color="000000"/>
              <w:bottom w:val="single" w:sz="4" w:space="0" w:color="000000"/>
              <w:right w:val="single" w:sz="4" w:space="0" w:color="000000"/>
            </w:tcBorders>
            <w:vAlign w:val="center"/>
          </w:tcPr>
          <w:p>
            <w:pPr>
              <w:widowControl/>
              <w:rPr>
                <w:color w:val="000000"/>
                <w:szCs w:val="21"/>
              </w:rPr>
            </w:pPr>
            <w:r>
              <w:rPr>
                <w:rFonts w:hint="eastAsia"/>
                <w:color w:val="000000"/>
                <w:szCs w:val="21"/>
              </w:rPr>
              <w:t>激光测风雷达</w:t>
            </w:r>
          </w:p>
        </w:tc>
        <w:tc>
          <w:tcPr>
            <w:tcW w:w="712" w:type="pct"/>
            <w:tcBorders>
              <w:top w:val="single" w:sz="4" w:space="0" w:color="000000"/>
              <w:left w:val="single" w:sz="4" w:space="0" w:color="000000"/>
              <w:bottom w:val="single" w:sz="4" w:space="0" w:color="000000"/>
              <w:right w:val="single" w:sz="4" w:space="0" w:color="000000"/>
            </w:tcBorders>
            <w:vAlign w:val="center"/>
          </w:tcPr>
          <w:p>
            <w:pPr>
              <w:ind w:firstLine="420" w:firstLineChars="200"/>
              <w:rPr>
                <w:color w:val="000000"/>
                <w:szCs w:val="21"/>
              </w:rPr>
            </w:pPr>
            <w:r>
              <w:rPr>
                <w:rFonts w:hint="eastAsia"/>
                <w:color w:val="000000"/>
                <w:szCs w:val="21"/>
              </w:rPr>
              <w:t>1</w:t>
            </w:r>
          </w:p>
        </w:tc>
        <w:tc>
          <w:tcPr>
            <w:tcW w:w="746" w:type="pct"/>
            <w:tcBorders>
              <w:top w:val="single" w:sz="4" w:space="0" w:color="000000"/>
              <w:left w:val="single" w:sz="4" w:space="0" w:color="000000"/>
              <w:bottom w:val="single" w:sz="4" w:space="0" w:color="000000"/>
              <w:right w:val="single" w:sz="4" w:space="0" w:color="000000"/>
            </w:tcBorders>
            <w:vAlign w:val="center"/>
          </w:tcPr>
          <w:p>
            <w:pPr>
              <w:ind w:firstLine="420" w:firstLineChars="200"/>
              <w:jc w:val="center"/>
              <w:rPr>
                <w:color w:val="000000"/>
                <w:szCs w:val="21"/>
              </w:rPr>
            </w:pPr>
            <w:r>
              <w:rPr>
                <w:rFonts w:hint="eastAsia"/>
                <w:color w:val="000000"/>
                <w:szCs w:val="21"/>
              </w:rPr>
              <w:t>200</w:t>
            </w:r>
          </w:p>
        </w:tc>
        <w:tc>
          <w:tcPr>
            <w:tcW w:w="646" w:type="pct"/>
            <w:tcBorders>
              <w:top w:val="single" w:sz="4" w:space="0" w:color="000000"/>
              <w:left w:val="single" w:sz="4" w:space="0" w:color="000000"/>
              <w:bottom w:val="single" w:sz="4" w:space="0" w:color="000000"/>
              <w:right w:val="single" w:sz="4" w:space="0" w:color="000000"/>
            </w:tcBorders>
            <w:noWrap/>
            <w:vAlign w:val="center"/>
          </w:tcPr>
          <w:p>
            <w:pPr>
              <w:jc w:val="center"/>
              <w:rPr>
                <w:color w:val="000000"/>
                <w:szCs w:val="21"/>
              </w:rPr>
            </w:pPr>
            <w:r>
              <w:rPr>
                <w:rFonts w:hint="eastAsia"/>
                <w:color w:val="000000"/>
                <w:szCs w:val="21"/>
              </w:rPr>
              <w:t>虞超</w:t>
            </w:r>
          </w:p>
        </w:tc>
      </w:tr>
      <w:tr>
        <w:tblPrEx>
          <w:tblW w:w="4997" w:type="pct"/>
          <w:tblInd w:w="0" w:type="dxa"/>
          <w:tblLayout w:type="fixed"/>
          <w:tblCellMar>
            <w:top w:w="0" w:type="dxa"/>
            <w:left w:w="108" w:type="dxa"/>
            <w:bottom w:w="0" w:type="dxa"/>
            <w:right w:w="108" w:type="dxa"/>
          </w:tblCellMar>
        </w:tblPrEx>
        <w:trPr>
          <w:trHeight w:val="312"/>
        </w:trPr>
        <w:tc>
          <w:tcPr>
            <w:tcW w:w="470" w:type="pct"/>
            <w:tcBorders>
              <w:top w:val="single" w:sz="4" w:space="0" w:color="000000"/>
              <w:left w:val="single" w:sz="4" w:space="0" w:color="000000"/>
              <w:bottom w:val="single" w:sz="4" w:space="0" w:color="000000"/>
              <w:right w:val="single" w:sz="4" w:space="0" w:color="000000"/>
            </w:tcBorders>
            <w:noWrap/>
            <w:vAlign w:val="center"/>
          </w:tcPr>
          <w:p>
            <w:pPr>
              <w:widowControl/>
              <w:adjustRightInd w:val="0"/>
              <w:snapToGrid w:val="0"/>
              <w:ind w:firstLine="420"/>
              <w:jc w:val="center"/>
              <w:textAlignment w:val="center"/>
              <w:rPr>
                <w:rFonts w:cs="宋体"/>
                <w:color w:val="000000"/>
                <w:szCs w:val="21"/>
              </w:rPr>
            </w:pPr>
            <w:r>
              <w:rPr>
                <w:rFonts w:cs="宋体" w:hint="eastAsia"/>
                <w:color w:val="000000"/>
                <w:szCs w:val="21"/>
              </w:rPr>
              <w:t>3</w:t>
            </w:r>
          </w:p>
        </w:tc>
        <w:tc>
          <w:tcPr>
            <w:tcW w:w="1404" w:type="pct"/>
            <w:tcBorders>
              <w:top w:val="single" w:sz="4" w:space="0" w:color="000000"/>
              <w:left w:val="nil"/>
              <w:bottom w:val="single" w:sz="4" w:space="0" w:color="000000"/>
              <w:right w:val="single" w:sz="4" w:space="0" w:color="000000"/>
            </w:tcBorders>
            <w:noWrap/>
            <w:vAlign w:val="center"/>
          </w:tcPr>
          <w:p>
            <w:pPr>
              <w:widowControl/>
              <w:ind w:firstLine="420" w:firstLineChars="200"/>
              <w:jc w:val="center"/>
              <w:rPr>
                <w:color w:val="000000"/>
                <w:szCs w:val="21"/>
              </w:rPr>
            </w:pPr>
            <w:r>
              <w:rPr>
                <w:rFonts w:hint="eastAsia"/>
                <w:color w:val="000000"/>
                <w:szCs w:val="21"/>
              </w:rPr>
              <w:t>常州市气象局</w:t>
            </w:r>
          </w:p>
        </w:tc>
        <w:tc>
          <w:tcPr>
            <w:tcW w:w="1020" w:type="pct"/>
            <w:tcBorders>
              <w:top w:val="single" w:sz="4" w:space="0" w:color="000000"/>
              <w:left w:val="single" w:sz="4" w:space="0" w:color="000000"/>
              <w:bottom w:val="single" w:sz="4" w:space="0" w:color="000000"/>
              <w:right w:val="single" w:sz="4" w:space="0" w:color="000000"/>
            </w:tcBorders>
            <w:vAlign w:val="center"/>
          </w:tcPr>
          <w:p>
            <w:pPr>
              <w:widowControl/>
              <w:rPr>
                <w:color w:val="000000"/>
                <w:szCs w:val="21"/>
              </w:rPr>
            </w:pPr>
            <w:r>
              <w:rPr>
                <w:rFonts w:hint="eastAsia"/>
                <w:color w:val="000000"/>
                <w:szCs w:val="21"/>
              </w:rPr>
              <w:t>激光测风雷达</w:t>
            </w:r>
          </w:p>
        </w:tc>
        <w:tc>
          <w:tcPr>
            <w:tcW w:w="712" w:type="pct"/>
            <w:tcBorders>
              <w:top w:val="single" w:sz="4" w:space="0" w:color="000000"/>
              <w:left w:val="single" w:sz="4" w:space="0" w:color="000000"/>
              <w:bottom w:val="single" w:sz="4" w:space="0" w:color="000000"/>
              <w:right w:val="single" w:sz="4" w:space="0" w:color="000000"/>
            </w:tcBorders>
            <w:vAlign w:val="center"/>
          </w:tcPr>
          <w:p>
            <w:pPr>
              <w:ind w:firstLine="420" w:firstLineChars="200"/>
              <w:rPr>
                <w:color w:val="000000"/>
                <w:szCs w:val="21"/>
              </w:rPr>
            </w:pPr>
            <w:r>
              <w:rPr>
                <w:rFonts w:hint="eastAsia"/>
                <w:color w:val="000000"/>
                <w:szCs w:val="21"/>
              </w:rPr>
              <w:t>1</w:t>
            </w:r>
          </w:p>
        </w:tc>
        <w:tc>
          <w:tcPr>
            <w:tcW w:w="746" w:type="pct"/>
            <w:tcBorders>
              <w:top w:val="single" w:sz="4" w:space="0" w:color="000000"/>
              <w:left w:val="single" w:sz="4" w:space="0" w:color="000000"/>
              <w:bottom w:val="single" w:sz="4" w:space="0" w:color="000000"/>
              <w:right w:val="single" w:sz="4" w:space="0" w:color="000000"/>
            </w:tcBorders>
            <w:vAlign w:val="center"/>
          </w:tcPr>
          <w:p>
            <w:pPr>
              <w:ind w:firstLine="420" w:firstLineChars="200"/>
              <w:jc w:val="center"/>
              <w:rPr>
                <w:color w:val="000000"/>
                <w:szCs w:val="21"/>
              </w:rPr>
            </w:pPr>
            <w:r>
              <w:rPr>
                <w:rFonts w:hint="eastAsia"/>
                <w:color w:val="000000"/>
                <w:szCs w:val="21"/>
              </w:rPr>
              <w:t>200</w:t>
            </w:r>
          </w:p>
        </w:tc>
        <w:tc>
          <w:tcPr>
            <w:tcW w:w="646" w:type="pct"/>
            <w:tcBorders>
              <w:top w:val="single" w:sz="4" w:space="0" w:color="000000"/>
              <w:left w:val="single" w:sz="4" w:space="0" w:color="000000"/>
              <w:bottom w:val="single" w:sz="4" w:space="0" w:color="000000"/>
              <w:right w:val="single" w:sz="4" w:space="0" w:color="000000"/>
            </w:tcBorders>
            <w:noWrap/>
            <w:vAlign w:val="center"/>
          </w:tcPr>
          <w:p>
            <w:pPr>
              <w:jc w:val="center"/>
              <w:rPr>
                <w:color w:val="000000"/>
                <w:szCs w:val="21"/>
              </w:rPr>
            </w:pPr>
            <w:r>
              <w:rPr>
                <w:rFonts w:hint="eastAsia"/>
                <w:color w:val="000000"/>
                <w:szCs w:val="21"/>
              </w:rPr>
              <w:t>刘文伟</w:t>
            </w:r>
          </w:p>
        </w:tc>
      </w:tr>
      <w:tr>
        <w:tblPrEx>
          <w:tblW w:w="4997" w:type="pct"/>
          <w:tblInd w:w="0" w:type="dxa"/>
          <w:tblLayout w:type="fixed"/>
          <w:tblCellMar>
            <w:top w:w="0" w:type="dxa"/>
            <w:left w:w="108" w:type="dxa"/>
            <w:bottom w:w="0" w:type="dxa"/>
            <w:right w:w="108" w:type="dxa"/>
          </w:tblCellMar>
        </w:tblPrEx>
        <w:trPr>
          <w:trHeight w:val="312"/>
        </w:trPr>
        <w:tc>
          <w:tcPr>
            <w:tcW w:w="470" w:type="pct"/>
            <w:tcBorders>
              <w:top w:val="single" w:sz="4" w:space="0" w:color="000000"/>
              <w:left w:val="single" w:sz="4" w:space="0" w:color="000000"/>
              <w:bottom w:val="single" w:sz="4" w:space="0" w:color="000000"/>
              <w:right w:val="single" w:sz="4" w:space="0" w:color="000000"/>
            </w:tcBorders>
            <w:noWrap/>
            <w:vAlign w:val="center"/>
          </w:tcPr>
          <w:p>
            <w:pPr>
              <w:widowControl/>
              <w:adjustRightInd w:val="0"/>
              <w:snapToGrid w:val="0"/>
              <w:ind w:firstLine="420"/>
              <w:jc w:val="center"/>
              <w:textAlignment w:val="center"/>
              <w:rPr>
                <w:rFonts w:cs="宋体"/>
                <w:color w:val="000000"/>
                <w:szCs w:val="21"/>
              </w:rPr>
            </w:pPr>
            <w:r>
              <w:rPr>
                <w:rFonts w:cs="宋体" w:hint="eastAsia"/>
                <w:color w:val="000000"/>
                <w:szCs w:val="21"/>
              </w:rPr>
              <w:t>4</w:t>
            </w:r>
          </w:p>
        </w:tc>
        <w:tc>
          <w:tcPr>
            <w:tcW w:w="1404" w:type="pct"/>
            <w:tcBorders>
              <w:top w:val="single" w:sz="4" w:space="0" w:color="000000"/>
              <w:left w:val="nil"/>
              <w:bottom w:val="single" w:sz="4" w:space="0" w:color="000000"/>
              <w:right w:val="single" w:sz="4" w:space="0" w:color="000000"/>
            </w:tcBorders>
            <w:noWrap/>
            <w:vAlign w:val="center"/>
          </w:tcPr>
          <w:p>
            <w:pPr>
              <w:widowControl/>
              <w:ind w:firstLine="420" w:firstLineChars="200"/>
              <w:jc w:val="center"/>
              <w:rPr>
                <w:color w:val="000000"/>
                <w:szCs w:val="21"/>
              </w:rPr>
            </w:pPr>
            <w:r>
              <w:rPr>
                <w:rFonts w:hint="eastAsia"/>
                <w:color w:val="000000"/>
                <w:szCs w:val="21"/>
              </w:rPr>
              <w:t>徐州市气象局</w:t>
            </w:r>
          </w:p>
        </w:tc>
        <w:tc>
          <w:tcPr>
            <w:tcW w:w="1020" w:type="pct"/>
            <w:tcBorders>
              <w:top w:val="single" w:sz="4" w:space="0" w:color="000000"/>
              <w:left w:val="single" w:sz="4" w:space="0" w:color="000000"/>
              <w:bottom w:val="single" w:sz="4" w:space="0" w:color="000000"/>
              <w:right w:val="single" w:sz="4" w:space="0" w:color="000000"/>
            </w:tcBorders>
            <w:vAlign w:val="center"/>
          </w:tcPr>
          <w:p>
            <w:pPr>
              <w:widowControl/>
              <w:rPr>
                <w:color w:val="000000"/>
                <w:szCs w:val="21"/>
              </w:rPr>
            </w:pPr>
            <w:r>
              <w:rPr>
                <w:rFonts w:hint="eastAsia"/>
                <w:color w:val="000000"/>
                <w:szCs w:val="21"/>
              </w:rPr>
              <w:t>激光测风雷达</w:t>
            </w:r>
          </w:p>
        </w:tc>
        <w:tc>
          <w:tcPr>
            <w:tcW w:w="712" w:type="pct"/>
            <w:tcBorders>
              <w:top w:val="single" w:sz="4" w:space="0" w:color="000000"/>
              <w:left w:val="single" w:sz="4" w:space="0" w:color="000000"/>
              <w:bottom w:val="single" w:sz="4" w:space="0" w:color="000000"/>
              <w:right w:val="single" w:sz="4" w:space="0" w:color="000000"/>
            </w:tcBorders>
            <w:vAlign w:val="center"/>
          </w:tcPr>
          <w:p>
            <w:pPr>
              <w:ind w:firstLine="420" w:firstLineChars="200"/>
              <w:rPr>
                <w:color w:val="000000"/>
                <w:szCs w:val="21"/>
              </w:rPr>
            </w:pPr>
            <w:r>
              <w:rPr>
                <w:rFonts w:hint="eastAsia"/>
                <w:color w:val="000000"/>
                <w:szCs w:val="21"/>
              </w:rPr>
              <w:t>1</w:t>
            </w:r>
          </w:p>
        </w:tc>
        <w:tc>
          <w:tcPr>
            <w:tcW w:w="746" w:type="pct"/>
            <w:tcBorders>
              <w:top w:val="single" w:sz="4" w:space="0" w:color="000000"/>
              <w:left w:val="single" w:sz="4" w:space="0" w:color="000000"/>
              <w:bottom w:val="single" w:sz="4" w:space="0" w:color="000000"/>
              <w:right w:val="single" w:sz="4" w:space="0" w:color="000000"/>
            </w:tcBorders>
            <w:vAlign w:val="center"/>
          </w:tcPr>
          <w:p>
            <w:pPr>
              <w:ind w:firstLine="420" w:firstLineChars="200"/>
              <w:jc w:val="center"/>
              <w:rPr>
                <w:color w:val="000000"/>
                <w:szCs w:val="21"/>
              </w:rPr>
            </w:pPr>
            <w:r>
              <w:rPr>
                <w:rFonts w:hint="eastAsia"/>
                <w:color w:val="000000"/>
                <w:szCs w:val="21"/>
              </w:rPr>
              <w:t>200</w:t>
            </w:r>
          </w:p>
        </w:tc>
        <w:tc>
          <w:tcPr>
            <w:tcW w:w="646" w:type="pct"/>
            <w:tcBorders>
              <w:top w:val="single" w:sz="4" w:space="0" w:color="000000"/>
              <w:left w:val="single" w:sz="4" w:space="0" w:color="000000"/>
              <w:bottom w:val="single" w:sz="4" w:space="0" w:color="000000"/>
              <w:right w:val="single" w:sz="4" w:space="0" w:color="000000"/>
            </w:tcBorders>
            <w:noWrap/>
            <w:vAlign w:val="center"/>
          </w:tcPr>
          <w:p>
            <w:pPr>
              <w:jc w:val="center"/>
              <w:rPr>
                <w:color w:val="000000"/>
                <w:szCs w:val="21"/>
              </w:rPr>
            </w:pPr>
            <w:r>
              <w:rPr>
                <w:rFonts w:hint="eastAsia"/>
                <w:color w:val="000000"/>
                <w:szCs w:val="21"/>
              </w:rPr>
              <w:t>段培法</w:t>
            </w:r>
          </w:p>
        </w:tc>
      </w:tr>
    </w:tbl>
    <w:p>
      <w:pPr>
        <w:widowControl/>
        <w:numPr>
          <w:ilvl w:val="0"/>
          <w:numId w:val="4"/>
        </w:numPr>
        <w:jc w:val="left"/>
        <w:rPr>
          <w:rFonts w:ascii="宋体" w:hAnsi="宋体"/>
          <w:b/>
          <w:sz w:val="28"/>
          <w:szCs w:val="21"/>
        </w:rPr>
      </w:pPr>
      <w:r>
        <w:rPr>
          <w:rFonts w:ascii="宋体" w:hAnsi="宋体" w:hint="eastAsia"/>
          <w:b/>
          <w:sz w:val="28"/>
          <w:szCs w:val="21"/>
        </w:rPr>
        <w:t>技术性能指标</w:t>
      </w:r>
    </w:p>
    <w:p>
      <w:pPr>
        <w:ind w:firstLine="480" w:firstLineChars="200"/>
        <w:rPr>
          <w:color w:val="000000"/>
        </w:rPr>
      </w:pPr>
      <w:r>
        <w:rPr>
          <w:rFonts w:hint="eastAsia"/>
          <w:color w:val="000000"/>
          <w:sz w:val="24"/>
          <w:szCs w:val="24"/>
        </w:rPr>
        <w:t>3.1功能设计</w:t>
      </w:r>
    </w:p>
    <w:p>
      <w:pPr>
        <w:ind w:firstLine="420" w:firstLineChars="200"/>
        <w:rPr>
          <w:color w:val="000000"/>
          <w:szCs w:val="21"/>
        </w:rPr>
      </w:pPr>
      <w:r>
        <w:rPr>
          <w:rFonts w:hint="eastAsia"/>
          <w:color w:val="000000"/>
          <w:szCs w:val="21"/>
        </w:rPr>
        <w:t>激光测风雷达是用来测量高空风向、风速的雷达。激光雷达测风作为新型的测风技术，采用激光相干探测体制，以大气气溶胶为示踪物，通过气溶胶对激光的后向散射回波信号的多普勒频移检测，并结合多波束光机扫描及风场反演，实现大气风场分布测量。其可以生成径向速度、谱宽、谱强、载噪比等基础数据，水平风速、水平风向、垂直气流等一级产品，进一步可反演出风切变等二次产品。完整的测风激光雷达包含激光发射系统、光学接收系统、伺服系统（具有扫描功能时）、光电转换及数据采集系统、信号处理系统、显示与控制终端、附属设备（供电、防雷、通信、指向标定装置），并且可以在确保相关硬件无删减的情况下根据实际应用重新进行拆分、组合。</w:t>
      </w:r>
    </w:p>
    <w:p>
      <w:pPr>
        <w:ind w:firstLine="420" w:firstLineChars="200"/>
        <w:rPr>
          <w:color w:val="000000"/>
          <w:szCs w:val="21"/>
        </w:rPr>
      </w:pPr>
      <w:r>
        <w:rPr>
          <w:rFonts w:hint="eastAsia"/>
          <w:color w:val="000000"/>
          <w:szCs w:val="21"/>
        </w:rPr>
        <w:t>采集控制软件实现激光雷达系统的控制及数据采集，需具备如下功能：</w:t>
      </w:r>
    </w:p>
    <w:p>
      <w:pPr>
        <w:ind w:firstLine="420"/>
        <w:rPr>
          <w:color w:val="000000"/>
          <w:szCs w:val="21"/>
        </w:rPr>
      </w:pPr>
      <w:r>
        <w:rPr>
          <w:rFonts w:hint="eastAsia"/>
          <w:color w:val="000000"/>
          <w:szCs w:val="21"/>
        </w:rPr>
        <w:t>（1）软件可对设备工作状态（内部温湿度，激光器温度，激光器电流，探测器高压、UPS 电源等）进行实时监视与显示，并在设备状态出现异常时报警。</w:t>
      </w:r>
    </w:p>
    <w:p>
      <w:pPr>
        <w:ind w:firstLine="420"/>
        <w:rPr>
          <w:color w:val="000000"/>
          <w:szCs w:val="21"/>
        </w:rPr>
      </w:pPr>
      <w:r>
        <w:rPr>
          <w:rFonts w:hint="eastAsia"/>
          <w:color w:val="000000"/>
          <w:szCs w:val="21"/>
        </w:rPr>
        <w:t>（2）软件可对绘制状态参数的时间曲线并支持保存功能，以监测系统的运行状态，可以通过相关方式对用户进行及时提示与报警。</w:t>
      </w:r>
    </w:p>
    <w:p>
      <w:pPr>
        <w:ind w:firstLine="420"/>
        <w:rPr>
          <w:color w:val="000000"/>
          <w:szCs w:val="21"/>
        </w:rPr>
      </w:pPr>
      <w:r>
        <w:rPr>
          <w:rFonts w:hint="eastAsia"/>
          <w:color w:val="000000"/>
          <w:szCs w:val="21"/>
        </w:rPr>
        <w:t>（3）软件在外部电源中断切换到 UPS 供电时可自动进入低电量运行模式，即不进行激光器出光等操作以延长 UPS 使用时间；并在UPS电量低时（如小于10%）需自动关闭整个雷达设备及工控机，以保护设备及工控机。</w:t>
      </w:r>
    </w:p>
    <w:p>
      <w:pPr>
        <w:ind w:firstLine="315" w:firstLineChars="150"/>
        <w:rPr>
          <w:color w:val="000000"/>
          <w:szCs w:val="21"/>
        </w:rPr>
      </w:pPr>
      <w:r>
        <w:rPr>
          <w:rFonts w:hint="eastAsia"/>
          <w:color w:val="000000"/>
          <w:szCs w:val="21"/>
        </w:rPr>
        <w:t>（4）软件支持设备数据的自动上传，包括监测结果和过程参数。</w:t>
      </w:r>
    </w:p>
    <w:p>
      <w:pPr>
        <w:ind w:firstLine="315" w:firstLineChars="150"/>
        <w:rPr>
          <w:color w:val="000000"/>
          <w:szCs w:val="21"/>
        </w:rPr>
      </w:pPr>
      <w:r>
        <w:rPr>
          <w:rFonts w:hint="eastAsia"/>
          <w:color w:val="000000"/>
          <w:szCs w:val="21"/>
        </w:rPr>
        <w:t>（5）项目控制软件、采集软件、传输软件等应支持国产系统。</w:t>
      </w:r>
    </w:p>
    <w:p>
      <w:pPr>
        <w:pStyle w:val="20"/>
        <w:spacing w:line="560" w:lineRule="exact"/>
        <w:ind w:firstLine="0" w:firstLineChars="0"/>
        <w:rPr>
          <w:rFonts w:ascii="宋体" w:eastAsia="宋体" w:hAnsi="宋体" w:cs="宋体"/>
          <w:color w:val="000000"/>
          <w:sz w:val="24"/>
          <w:szCs w:val="24"/>
        </w:rPr>
      </w:pPr>
      <w:r>
        <w:rPr>
          <w:rFonts w:ascii="宋体" w:eastAsia="宋体" w:hAnsi="宋体" w:cs="宋体" w:hint="eastAsia"/>
          <w:color w:val="000000"/>
          <w:sz w:val="24"/>
          <w:szCs w:val="24"/>
        </w:rPr>
        <w:t>3.2 结构设计</w:t>
      </w:r>
    </w:p>
    <w:p>
      <w:pPr>
        <w:ind w:firstLine="560"/>
        <w:rPr>
          <w:color w:val="000000"/>
          <w:szCs w:val="21"/>
        </w:rPr>
      </w:pPr>
      <w:r>
        <w:rPr>
          <w:rFonts w:hint="eastAsia"/>
          <w:color w:val="000000"/>
          <w:szCs w:val="21"/>
        </w:rPr>
        <w:t>测风激光雷达系统应分为本地系统和远程系统两大部分，本地系统包含测风激光雷达主机和本地显示、控制终端。远程系统与本地系统采用网络通信进行数据传输和控制，可安装在用户要求的任意场所。总体结构示意图如下图所示，具体的结构根据实际情况可以调整。</w:t>
      </w:r>
    </w:p>
    <w:p>
      <w:pPr>
        <w:pStyle w:val="a2"/>
        <w:ind w:firstLine="420"/>
        <w:rPr>
          <w:rFonts w:eastAsia="仿宋_GB2312" w:cs="Times New Roman"/>
          <w:color w:val="000000"/>
          <w:szCs w:val="21"/>
        </w:rPr>
      </w:pPr>
      <w:r>
        <w:rPr>
          <w:rFonts w:eastAsia="仿宋_GB2312" w:cs="Times New Roman"/>
          <w:color w:val="000000"/>
          <w:szCs w:val="21"/>
        </w:rPr>
        <w:drawing>
          <wp:inline distT="0" distB="0" distL="114300" distR="114300">
            <wp:extent cx="4419600" cy="24574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xmlns:r="http://schemas.openxmlformats.org/officeDocument/2006/relationships" r:embed="rId6"/>
                    <a:stretch>
                      <a:fillRect/>
                    </a:stretch>
                  </pic:blipFill>
                  <pic:spPr>
                    <a:xfrm>
                      <a:off x="0" y="0"/>
                      <a:ext cx="4419600" cy="2457450"/>
                    </a:xfrm>
                    <a:prstGeom prst="rect">
                      <a:avLst/>
                    </a:prstGeom>
                    <a:noFill/>
                    <a:ln>
                      <a:noFill/>
                    </a:ln>
                  </pic:spPr>
                </pic:pic>
              </a:graphicData>
            </a:graphic>
          </wp:inline>
        </w:drawing>
      </w:r>
    </w:p>
    <w:p>
      <w:pPr>
        <w:overflowPunct w:val="0"/>
        <w:jc w:val="center"/>
        <w:rPr>
          <w:color w:val="000000"/>
          <w:szCs w:val="21"/>
        </w:rPr>
      </w:pPr>
      <w:r>
        <w:rPr>
          <w:rFonts w:hint="eastAsia"/>
          <w:color w:val="000000"/>
          <w:szCs w:val="21"/>
        </w:rPr>
        <w:t>测风激光雷达系统结构示意图</w:t>
      </w:r>
    </w:p>
    <w:p>
      <w:pPr>
        <w:ind w:firstLine="420"/>
        <w:rPr>
          <w:color w:val="000000"/>
          <w:szCs w:val="21"/>
        </w:rPr>
      </w:pPr>
      <w:r>
        <w:rPr>
          <w:rFonts w:hint="eastAsia"/>
          <w:color w:val="000000"/>
          <w:szCs w:val="21"/>
        </w:rPr>
        <w:t>（1）测风激光雷达具有防雨、防尘、防盐雾、温度控制等功能，其刚度和强度要求能承受强风的袭击，并根据情况配置防雷装置，以保证测风激光雷达可以全天候工作；</w:t>
      </w:r>
    </w:p>
    <w:p>
      <w:pPr>
        <w:ind w:firstLine="420"/>
        <w:rPr>
          <w:color w:val="000000"/>
          <w:szCs w:val="21"/>
        </w:rPr>
      </w:pPr>
      <w:r>
        <w:rPr>
          <w:rFonts w:hint="eastAsia"/>
          <w:color w:val="000000"/>
          <w:szCs w:val="21"/>
        </w:rPr>
        <w:t>（2）测风激光雷达具有高可靠性，故障率低，维修方便的特性；</w:t>
      </w:r>
    </w:p>
    <w:p>
      <w:pPr>
        <w:ind w:firstLine="420"/>
        <w:rPr>
          <w:color w:val="000000"/>
          <w:szCs w:val="21"/>
        </w:rPr>
      </w:pPr>
      <w:r>
        <w:rPr>
          <w:rFonts w:hint="eastAsia"/>
          <w:color w:val="000000"/>
          <w:szCs w:val="21"/>
        </w:rPr>
        <w:t>（3）测风激光雷达具备模块化、标准化、统一化的设计原则，具备完善的在线监测、性能分析等功能；</w:t>
      </w:r>
    </w:p>
    <w:p>
      <w:pPr>
        <w:ind w:firstLine="420"/>
        <w:rPr>
          <w:color w:val="000000"/>
          <w:szCs w:val="21"/>
        </w:rPr>
      </w:pPr>
      <w:r>
        <w:rPr>
          <w:rFonts w:hint="eastAsia"/>
          <w:color w:val="000000"/>
          <w:szCs w:val="21"/>
        </w:rPr>
        <w:t>（4）测风激光雷达主机结构应采用一体化设计，架设时可安装在地基观测平台或移动装载平台上。</w:t>
      </w:r>
    </w:p>
    <w:p>
      <w:pPr>
        <w:ind w:firstLine="420"/>
        <w:rPr>
          <w:color w:val="000000"/>
          <w:szCs w:val="21"/>
        </w:rPr>
      </w:pPr>
      <w:r>
        <w:rPr>
          <w:rFonts w:hint="eastAsia"/>
          <w:color w:val="000000"/>
          <w:szCs w:val="21"/>
        </w:rPr>
        <w:t>（5）测风激光雷达的可移动装载平台包括但不限于：载车、载船、载机等架设平台，以及可移动箱体内。移动装载平台要求配置定位、测速、测姿系统，可以自动修正移动装载平台自身的速度和姿态信息。</w:t>
      </w:r>
    </w:p>
    <w:p>
      <w:pPr>
        <w:ind w:firstLine="420"/>
        <w:rPr>
          <w:color w:val="000000"/>
          <w:szCs w:val="21"/>
        </w:rPr>
      </w:pPr>
      <w:r>
        <w:rPr>
          <w:rFonts w:hint="eastAsia"/>
          <w:color w:val="000000"/>
          <w:szCs w:val="21"/>
        </w:rPr>
        <w:t>（6）测风激光雷达应包括数据存储系统。</w:t>
      </w:r>
    </w:p>
    <w:p>
      <w:pPr>
        <w:pStyle w:val="20"/>
        <w:spacing w:line="560" w:lineRule="exact"/>
        <w:ind w:firstLine="0" w:firstLineChars="0"/>
        <w:rPr>
          <w:rFonts w:ascii="宋体" w:eastAsia="宋体" w:hAnsi="宋体" w:cs="宋体"/>
          <w:color w:val="000000"/>
          <w:sz w:val="24"/>
          <w:szCs w:val="24"/>
        </w:rPr>
      </w:pPr>
      <w:r>
        <w:rPr>
          <w:rFonts w:ascii="宋体" w:eastAsia="宋体" w:hAnsi="宋体" w:cs="宋体" w:hint="eastAsia"/>
          <w:color w:val="000000"/>
          <w:sz w:val="24"/>
          <w:szCs w:val="24"/>
        </w:rPr>
        <w:t>3.3 技术指标</w:t>
      </w:r>
    </w:p>
    <w:p>
      <w:pPr>
        <w:ind w:firstLine="560"/>
        <w:rPr>
          <w:color w:val="000000"/>
          <w:szCs w:val="21"/>
        </w:rPr>
      </w:pPr>
      <w:r>
        <w:rPr>
          <w:rFonts w:hint="eastAsia"/>
          <w:color w:val="000000"/>
          <w:szCs w:val="21"/>
        </w:rPr>
        <w:t xml:space="preserve">           激光测风雷达建成后应满足的技术指标如下表所示。</w:t>
      </w:r>
    </w:p>
    <w:p>
      <w:pPr>
        <w:overflowPunct w:val="0"/>
        <w:jc w:val="center"/>
        <w:rPr>
          <w:color w:val="000000"/>
          <w:szCs w:val="21"/>
        </w:rPr>
      </w:pPr>
      <w:r>
        <w:rPr>
          <w:rFonts w:hint="eastAsia"/>
          <w:color w:val="000000"/>
          <w:szCs w:val="21"/>
        </w:rPr>
        <w:t>激光测风雷达技术指标表</w:t>
      </w:r>
    </w:p>
    <w:tbl>
      <w:tblPr>
        <w:tblStyle w:val="TableNormal"/>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47"/>
        <w:gridCol w:w="879"/>
        <w:gridCol w:w="1176"/>
        <w:gridCol w:w="5720"/>
      </w:tblGrid>
      <w:tr>
        <w:tblPrEx>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430"/>
          <w:tblHeader/>
          <w:jc w:val="center"/>
        </w:trPr>
        <w:tc>
          <w:tcPr>
            <w:tcW w:w="1644" w:type="pct"/>
            <w:gridSpan w:val="3"/>
            <w:vAlign w:val="center"/>
          </w:tcPr>
          <w:p>
            <w:pPr>
              <w:pStyle w:val="a3"/>
              <w:ind w:firstLine="422"/>
              <w:rPr>
                <w:rFonts w:ascii="仿宋_GB2312" w:eastAsia="仿宋_GB2312"/>
                <w:b/>
              </w:rPr>
            </w:pPr>
            <w:r>
              <w:rPr>
                <w:rFonts w:ascii="仿宋_GB2312" w:eastAsia="仿宋_GB2312" w:hint="eastAsia"/>
                <w:b/>
              </w:rPr>
              <w:t>指标项</w:t>
            </w:r>
          </w:p>
        </w:tc>
        <w:tc>
          <w:tcPr>
            <w:tcW w:w="3356" w:type="pct"/>
            <w:vAlign w:val="center"/>
          </w:tcPr>
          <w:p>
            <w:pPr>
              <w:pStyle w:val="a3"/>
              <w:ind w:firstLine="422"/>
              <w:rPr>
                <w:rFonts w:ascii="仿宋_GB2312" w:eastAsia="仿宋_GB2312"/>
                <w:b/>
              </w:rPr>
            </w:pPr>
            <w:r>
              <w:rPr>
                <w:rFonts w:ascii="仿宋_GB2312" w:eastAsia="仿宋_GB2312" w:hint="eastAsia"/>
                <w:b/>
              </w:rPr>
              <w:t>性能指标</w:t>
            </w:r>
          </w:p>
        </w:tc>
      </w:tr>
      <w:tr>
        <w:tblPrEx>
          <w:tblW w:w="5000" w:type="pct"/>
          <w:jc w:val="center"/>
          <w:tblLayout w:type="fixed"/>
          <w:tblCellMar>
            <w:top w:w="0" w:type="dxa"/>
            <w:left w:w="108" w:type="dxa"/>
            <w:bottom w:w="0" w:type="dxa"/>
            <w:right w:w="108" w:type="dxa"/>
          </w:tblCellMar>
        </w:tblPrEx>
        <w:trPr>
          <w:trHeight w:val="69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激光类型</w:t>
            </w:r>
          </w:p>
        </w:tc>
        <w:tc>
          <w:tcPr>
            <w:tcW w:w="3356" w:type="pct"/>
            <w:vAlign w:val="center"/>
          </w:tcPr>
          <w:p>
            <w:pPr>
              <w:pStyle w:val="a3"/>
              <w:ind w:firstLine="420"/>
              <w:rPr>
                <w:rFonts w:ascii="仿宋_GB2312" w:eastAsia="仿宋_GB2312"/>
              </w:rPr>
            </w:pPr>
            <w:r>
              <w:rPr>
                <w:rFonts w:ascii="仿宋_GB2312" w:eastAsia="仿宋_GB2312" w:hint="eastAsia"/>
              </w:rPr>
              <w:t>脉冲</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工作波长</w:t>
            </w:r>
          </w:p>
        </w:tc>
        <w:tc>
          <w:tcPr>
            <w:tcW w:w="3356" w:type="pct"/>
            <w:vAlign w:val="center"/>
          </w:tcPr>
          <w:p>
            <w:pPr>
              <w:pStyle w:val="a3"/>
              <w:ind w:firstLine="420"/>
              <w:rPr>
                <w:rFonts w:ascii="仿宋_GB2312" w:eastAsia="仿宋_GB2312"/>
              </w:rPr>
            </w:pPr>
            <w:r>
              <w:rPr>
                <w:rFonts w:ascii="仿宋_GB2312" w:eastAsia="仿宋_GB2312" w:hint="eastAsia"/>
                <w:color w:val="000000"/>
              </w:rPr>
              <w:t>1064</w:t>
            </w:r>
            <w:r>
              <w:rPr>
                <w:rFonts w:ascii="仿宋_GB2312" w:eastAsia="仿宋_GB2312" w:hint="eastAsia"/>
              </w:rPr>
              <w:t>～</w:t>
            </w:r>
            <w:r>
              <w:rPr>
                <w:rFonts w:ascii="仿宋_GB2312" w:eastAsia="仿宋_GB2312" w:hint="eastAsia"/>
                <w:color w:val="000000"/>
              </w:rPr>
              <w:t>2200nm</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扫描模式</w:t>
            </w:r>
          </w:p>
        </w:tc>
        <w:tc>
          <w:tcPr>
            <w:tcW w:w="3356" w:type="pct"/>
            <w:vAlign w:val="center"/>
          </w:tcPr>
          <w:p>
            <w:pPr>
              <w:pStyle w:val="a3"/>
              <w:ind w:firstLine="420"/>
              <w:rPr>
                <w:rFonts w:ascii="仿宋_GB2312" w:eastAsia="仿宋_GB2312"/>
              </w:rPr>
            </w:pPr>
            <w:r>
              <w:rPr>
                <w:rFonts w:ascii="仿宋_GB2312" w:eastAsia="仿宋_GB2312" w:hint="eastAsia"/>
                <w:bCs/>
              </w:rPr>
              <w:t>平面位置显示（Plan Position Indicator , PPI），距离高度显示（Range Height Indicator, RHI），多普勒光束定向摆动（Doppler-Beam-Swinging，DBS），扇扫，体扫，扇体扫，自定义扫描方式</w:t>
            </w:r>
          </w:p>
        </w:tc>
      </w:tr>
      <w:tr>
        <w:tblPrEx>
          <w:tblW w:w="5000" w:type="pct"/>
          <w:jc w:val="center"/>
          <w:tblLayout w:type="fixed"/>
          <w:tblCellMar>
            <w:top w:w="0" w:type="dxa"/>
            <w:left w:w="108" w:type="dxa"/>
            <w:bottom w:w="0" w:type="dxa"/>
            <w:right w:w="108" w:type="dxa"/>
          </w:tblCellMar>
        </w:tblPrEx>
        <w:trPr>
          <w:trHeight w:val="340"/>
          <w:jc w:val="center"/>
        </w:trPr>
        <w:tc>
          <w:tcPr>
            <w:tcW w:w="954" w:type="pct"/>
            <w:gridSpan w:val="2"/>
            <w:vMerge w:val="restart"/>
            <w:vAlign w:val="center"/>
          </w:tcPr>
          <w:p>
            <w:pPr>
              <w:pStyle w:val="a3"/>
              <w:ind w:firstLine="420"/>
              <w:rPr>
                <w:rFonts w:ascii="仿宋_GB2312" w:eastAsia="仿宋_GB2312"/>
              </w:rPr>
            </w:pPr>
            <w:r>
              <w:rPr>
                <w:rFonts w:ascii="仿宋_GB2312" w:eastAsia="仿宋_GB2312" w:hint="eastAsia"/>
              </w:rPr>
              <w:t>天线</w:t>
            </w:r>
          </w:p>
          <w:p>
            <w:pPr>
              <w:pStyle w:val="a3"/>
              <w:ind w:firstLine="420"/>
              <w:rPr>
                <w:rFonts w:ascii="仿宋_GB2312" w:eastAsia="仿宋_GB2312"/>
              </w:rPr>
            </w:pPr>
            <w:r>
              <w:rPr>
                <w:rFonts w:ascii="仿宋_GB2312" w:eastAsia="仿宋_GB2312" w:hint="eastAsia"/>
              </w:rPr>
              <w:t>扫描范围</w:t>
            </w:r>
          </w:p>
        </w:tc>
        <w:tc>
          <w:tcPr>
            <w:tcW w:w="690" w:type="pct"/>
            <w:vAlign w:val="center"/>
          </w:tcPr>
          <w:p>
            <w:pPr>
              <w:pStyle w:val="a3"/>
              <w:ind w:firstLine="420"/>
              <w:rPr>
                <w:rFonts w:ascii="仿宋_GB2312" w:eastAsia="仿宋_GB2312"/>
              </w:rPr>
            </w:pPr>
            <w:r>
              <w:rPr>
                <w:rFonts w:ascii="仿宋_GB2312" w:eastAsia="仿宋_GB2312" w:hint="eastAsia"/>
              </w:rPr>
              <w:t>方位</w:t>
            </w:r>
          </w:p>
        </w:tc>
        <w:tc>
          <w:tcPr>
            <w:tcW w:w="3356" w:type="pct"/>
            <w:vAlign w:val="center"/>
          </w:tcPr>
          <w:p>
            <w:pPr>
              <w:pStyle w:val="a3"/>
              <w:ind w:firstLine="420"/>
              <w:rPr>
                <w:rFonts w:ascii="仿宋_GB2312" w:eastAsia="仿宋_GB2312"/>
              </w:rPr>
            </w:pPr>
            <w:r>
              <w:rPr>
                <w:rFonts w:ascii="仿宋_GB2312" w:eastAsia="仿宋_GB2312" w:hint="eastAsia"/>
              </w:rPr>
              <w:t>0～360°</w:t>
            </w:r>
          </w:p>
        </w:tc>
      </w:tr>
      <w:tr>
        <w:tblPrEx>
          <w:tblW w:w="5000" w:type="pct"/>
          <w:jc w:val="center"/>
          <w:tblLayout w:type="fixed"/>
          <w:tblCellMar>
            <w:top w:w="0" w:type="dxa"/>
            <w:left w:w="108" w:type="dxa"/>
            <w:bottom w:w="0" w:type="dxa"/>
            <w:right w:w="108" w:type="dxa"/>
          </w:tblCellMar>
        </w:tblPrEx>
        <w:trPr>
          <w:trHeight w:val="340"/>
          <w:jc w:val="center"/>
        </w:trPr>
        <w:tc>
          <w:tcPr>
            <w:tcW w:w="954" w:type="pct"/>
            <w:gridSpan w:val="2"/>
            <w:vMerge/>
            <w:vAlign w:val="center"/>
          </w:tcPr>
          <w:p>
            <w:pPr>
              <w:pStyle w:val="a3"/>
              <w:ind w:firstLine="420"/>
              <w:rPr>
                <w:rFonts w:ascii="仿宋_GB2312" w:eastAsia="仿宋_GB2312"/>
              </w:rPr>
            </w:pPr>
          </w:p>
        </w:tc>
        <w:tc>
          <w:tcPr>
            <w:tcW w:w="690" w:type="pct"/>
            <w:vAlign w:val="center"/>
          </w:tcPr>
          <w:p>
            <w:pPr>
              <w:pStyle w:val="a3"/>
              <w:ind w:firstLine="420"/>
              <w:rPr>
                <w:rFonts w:ascii="仿宋_GB2312" w:eastAsia="仿宋_GB2312"/>
              </w:rPr>
            </w:pPr>
            <w:r>
              <w:rPr>
                <w:rFonts w:ascii="仿宋_GB2312" w:eastAsia="仿宋_GB2312" w:hint="eastAsia"/>
              </w:rPr>
              <w:t>俯仰</w:t>
            </w:r>
          </w:p>
        </w:tc>
        <w:tc>
          <w:tcPr>
            <w:tcW w:w="3356" w:type="pct"/>
            <w:vAlign w:val="center"/>
          </w:tcPr>
          <w:p>
            <w:pPr>
              <w:pStyle w:val="a3"/>
              <w:ind w:firstLine="420"/>
              <w:rPr>
                <w:rFonts w:ascii="仿宋_GB2312" w:eastAsia="仿宋_GB2312"/>
              </w:rPr>
            </w:pPr>
            <w:r>
              <w:rPr>
                <w:rFonts w:eastAsia="仿宋_GB2312" w:hint="eastAsia"/>
                <w:color w:val="000000"/>
              </w:rPr>
              <w:t>–</w:t>
            </w:r>
            <w:r>
              <w:rPr>
                <w:rFonts w:ascii="仿宋_GB2312" w:eastAsia="仿宋_GB2312" w:hint="eastAsia"/>
                <w:color w:val="000000"/>
              </w:rPr>
              <w:t>2～+90°</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#最大作用距离</w:t>
            </w:r>
          </w:p>
          <w:p>
            <w:pPr>
              <w:pStyle w:val="a3"/>
              <w:ind w:firstLine="420"/>
              <w:rPr>
                <w:rFonts w:ascii="仿宋_GB2312" w:eastAsia="仿宋_GB2312"/>
              </w:rPr>
            </w:pPr>
            <w:r>
              <w:rPr>
                <w:rFonts w:ascii="仿宋_GB2312" w:eastAsia="仿宋_GB2312" w:hint="eastAsia"/>
              </w:rPr>
              <w:t>（探测能力大于60%）</w:t>
            </w:r>
          </w:p>
        </w:tc>
        <w:tc>
          <w:tcPr>
            <w:tcW w:w="3356" w:type="pct"/>
            <w:vAlign w:val="center"/>
          </w:tcPr>
          <w:p>
            <w:pPr>
              <w:pStyle w:val="a3"/>
              <w:ind w:firstLine="420"/>
              <w:rPr>
                <w:rFonts w:ascii="仿宋_GB2312" w:eastAsia="仿宋_GB2312"/>
                <w:color w:val="000000"/>
              </w:rPr>
            </w:pPr>
            <w:r>
              <w:rPr>
                <w:rFonts w:ascii="仿宋_GB2312" w:eastAsia="仿宋_GB2312" w:hint="eastAsia"/>
                <w:color w:val="000000"/>
              </w:rPr>
              <w:t>垂直探测距离：≥3km</w:t>
            </w:r>
          </w:p>
          <w:p>
            <w:pPr>
              <w:pStyle w:val="a3"/>
              <w:ind w:firstLine="420"/>
              <w:rPr>
                <w:rFonts w:ascii="仿宋_GB2312" w:eastAsia="仿宋_GB2312"/>
              </w:rPr>
            </w:pPr>
            <w:r>
              <w:rPr>
                <w:rFonts w:ascii="仿宋_GB2312" w:eastAsia="仿宋_GB2312" w:hint="eastAsia"/>
                <w:color w:val="000000"/>
              </w:rPr>
              <w:t>水平探测距离：≥10km</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#最小作用距离（盲区）</w:t>
            </w:r>
          </w:p>
        </w:tc>
        <w:tc>
          <w:tcPr>
            <w:tcW w:w="3356" w:type="pct"/>
            <w:vAlign w:val="center"/>
          </w:tcPr>
          <w:p>
            <w:pPr>
              <w:pStyle w:val="a3"/>
              <w:ind w:firstLine="420"/>
              <w:rPr>
                <w:rFonts w:ascii="仿宋_GB2312" w:eastAsia="仿宋_GB2312"/>
              </w:rPr>
            </w:pPr>
            <w:r>
              <w:rPr>
                <w:rFonts w:ascii="仿宋_GB2312" w:eastAsia="仿宋_GB2312" w:hint="eastAsia"/>
                <w:color w:val="000000"/>
              </w:rPr>
              <w:t>≤60m</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#最大采集距离</w:t>
            </w:r>
          </w:p>
        </w:tc>
        <w:tc>
          <w:tcPr>
            <w:tcW w:w="3356" w:type="pct"/>
            <w:vAlign w:val="center"/>
          </w:tcPr>
          <w:p>
            <w:pPr>
              <w:pStyle w:val="a3"/>
              <w:ind w:firstLine="420"/>
              <w:rPr>
                <w:rFonts w:ascii="仿宋_GB2312" w:eastAsia="仿宋_GB2312"/>
              </w:rPr>
            </w:pPr>
            <w:r>
              <w:rPr>
                <w:rFonts w:ascii="仿宋_GB2312" w:eastAsia="仿宋_GB2312" w:hint="eastAsia"/>
              </w:rPr>
              <w:t>≥10km</w:t>
            </w:r>
          </w:p>
        </w:tc>
      </w:tr>
      <w:tr>
        <w:tblPrEx>
          <w:tblW w:w="5000" w:type="pct"/>
          <w:jc w:val="center"/>
          <w:tblLayout w:type="fixed"/>
          <w:tblCellMar>
            <w:top w:w="0" w:type="dxa"/>
            <w:left w:w="108" w:type="dxa"/>
            <w:bottom w:w="0" w:type="dxa"/>
            <w:right w:w="108" w:type="dxa"/>
          </w:tblCellMar>
        </w:tblPrEx>
        <w:trPr>
          <w:trHeight w:val="340"/>
          <w:jc w:val="center"/>
        </w:trPr>
        <w:tc>
          <w:tcPr>
            <w:tcW w:w="954" w:type="pct"/>
            <w:gridSpan w:val="2"/>
            <w:vMerge w:val="restart"/>
            <w:vAlign w:val="center"/>
          </w:tcPr>
          <w:p>
            <w:pPr>
              <w:pStyle w:val="a3"/>
              <w:ind w:firstLine="0" w:firstLineChars="0"/>
              <w:jc w:val="both"/>
              <w:rPr>
                <w:rFonts w:ascii="仿宋_GB2312" w:eastAsia="仿宋_GB2312"/>
              </w:rPr>
            </w:pPr>
            <w:r>
              <w:rPr>
                <w:rFonts w:ascii="仿宋_GB2312" w:eastAsia="仿宋_GB2312" w:hint="eastAsia"/>
              </w:rPr>
              <w:t xml:space="preserve">  #空间分辨率</w:t>
            </w:r>
          </w:p>
        </w:tc>
        <w:tc>
          <w:tcPr>
            <w:tcW w:w="690" w:type="pct"/>
            <w:vAlign w:val="center"/>
          </w:tcPr>
          <w:p>
            <w:pPr>
              <w:pStyle w:val="a3"/>
              <w:ind w:firstLine="420"/>
              <w:rPr>
                <w:rFonts w:ascii="仿宋_GB2312" w:eastAsia="仿宋_GB2312"/>
              </w:rPr>
            </w:pPr>
            <w:r>
              <w:rPr>
                <w:rFonts w:ascii="仿宋_GB2312" w:eastAsia="仿宋_GB2312" w:hint="eastAsia"/>
              </w:rPr>
              <w:t>距离</w:t>
            </w:r>
          </w:p>
        </w:tc>
        <w:tc>
          <w:tcPr>
            <w:tcW w:w="3356" w:type="pct"/>
            <w:vAlign w:val="center"/>
          </w:tcPr>
          <w:p>
            <w:pPr>
              <w:pStyle w:val="a3"/>
              <w:ind w:firstLine="420"/>
              <w:rPr>
                <w:rFonts w:ascii="仿宋_GB2312" w:eastAsia="仿宋_GB2312"/>
              </w:rPr>
            </w:pPr>
            <w:r>
              <w:rPr>
                <w:rFonts w:ascii="仿宋_GB2312" w:eastAsia="仿宋_GB2312" w:hint="eastAsia"/>
                <w:color w:val="000000"/>
              </w:rPr>
              <w:t>4.5-120m（可选）</w:t>
            </w:r>
          </w:p>
        </w:tc>
      </w:tr>
      <w:tr>
        <w:tblPrEx>
          <w:tblW w:w="5000" w:type="pct"/>
          <w:jc w:val="center"/>
          <w:tblLayout w:type="fixed"/>
          <w:tblCellMar>
            <w:top w:w="0" w:type="dxa"/>
            <w:left w:w="108" w:type="dxa"/>
            <w:bottom w:w="0" w:type="dxa"/>
            <w:right w:w="108" w:type="dxa"/>
          </w:tblCellMar>
        </w:tblPrEx>
        <w:trPr>
          <w:trHeight w:val="340"/>
          <w:jc w:val="center"/>
        </w:trPr>
        <w:tc>
          <w:tcPr>
            <w:tcW w:w="954" w:type="pct"/>
            <w:gridSpan w:val="2"/>
            <w:vMerge/>
            <w:vAlign w:val="center"/>
          </w:tcPr>
          <w:p>
            <w:pPr>
              <w:pStyle w:val="a3"/>
              <w:ind w:firstLine="420"/>
              <w:rPr>
                <w:rFonts w:ascii="仿宋_GB2312" w:eastAsia="仿宋_GB2312"/>
              </w:rPr>
            </w:pPr>
          </w:p>
        </w:tc>
        <w:tc>
          <w:tcPr>
            <w:tcW w:w="690" w:type="pct"/>
            <w:vAlign w:val="center"/>
          </w:tcPr>
          <w:p>
            <w:pPr>
              <w:pStyle w:val="a3"/>
              <w:ind w:firstLine="420"/>
              <w:rPr>
                <w:rFonts w:ascii="仿宋_GB2312" w:eastAsia="仿宋_GB2312"/>
              </w:rPr>
            </w:pPr>
            <w:r>
              <w:rPr>
                <w:rFonts w:ascii="仿宋_GB2312" w:eastAsia="仿宋_GB2312" w:hint="eastAsia"/>
              </w:rPr>
              <w:t>角度</w:t>
            </w:r>
          </w:p>
        </w:tc>
        <w:tc>
          <w:tcPr>
            <w:tcW w:w="3356" w:type="pct"/>
            <w:vAlign w:val="center"/>
          </w:tcPr>
          <w:p>
            <w:pPr>
              <w:pStyle w:val="a3"/>
              <w:ind w:firstLine="420"/>
              <w:rPr>
                <w:rFonts w:ascii="仿宋_GB2312" w:eastAsia="仿宋_GB2312"/>
              </w:rPr>
            </w:pPr>
            <w:r>
              <w:rPr>
                <w:rFonts w:ascii="仿宋_GB2312" w:eastAsia="仿宋_GB2312" w:hint="eastAsia"/>
              </w:rPr>
              <w:t>≤0.5°</w:t>
            </w:r>
          </w:p>
        </w:tc>
      </w:tr>
      <w:tr>
        <w:tblPrEx>
          <w:tblW w:w="5000" w:type="pct"/>
          <w:jc w:val="center"/>
          <w:tblLayout w:type="fixed"/>
          <w:tblCellMar>
            <w:top w:w="0" w:type="dxa"/>
            <w:left w:w="108" w:type="dxa"/>
            <w:bottom w:w="0" w:type="dxa"/>
            <w:right w:w="108" w:type="dxa"/>
          </w:tblCellMar>
        </w:tblPrEx>
        <w:trPr>
          <w:trHeight w:val="340"/>
          <w:jc w:val="center"/>
        </w:trPr>
        <w:tc>
          <w:tcPr>
            <w:tcW w:w="954" w:type="pct"/>
            <w:gridSpan w:val="2"/>
            <w:vAlign w:val="center"/>
          </w:tcPr>
          <w:p>
            <w:pPr>
              <w:pStyle w:val="a3"/>
              <w:ind w:firstLine="0" w:firstLineChars="0"/>
              <w:jc w:val="both"/>
              <w:rPr>
                <w:rFonts w:ascii="仿宋_GB2312" w:eastAsia="仿宋_GB2312"/>
              </w:rPr>
            </w:pPr>
            <w:r>
              <w:rPr>
                <w:rFonts w:ascii="仿宋_GB2312" w:eastAsia="仿宋_GB2312" w:hint="eastAsia"/>
              </w:rPr>
              <w:t xml:space="preserve">  #时间分辨率</w:t>
            </w:r>
          </w:p>
        </w:tc>
        <w:tc>
          <w:tcPr>
            <w:tcW w:w="690" w:type="pct"/>
            <w:vAlign w:val="center"/>
          </w:tcPr>
          <w:p>
            <w:pPr>
              <w:pStyle w:val="a3"/>
              <w:ind w:firstLine="420"/>
              <w:rPr>
                <w:rFonts w:ascii="仿宋_GB2312" w:eastAsia="仿宋_GB2312"/>
              </w:rPr>
            </w:pPr>
            <w:r>
              <w:rPr>
                <w:rFonts w:ascii="仿宋_GB2312" w:eastAsia="仿宋_GB2312" w:hint="eastAsia"/>
              </w:rPr>
              <w:t>风廓线</w:t>
            </w:r>
          </w:p>
        </w:tc>
        <w:tc>
          <w:tcPr>
            <w:tcW w:w="3356" w:type="pct"/>
            <w:vAlign w:val="center"/>
          </w:tcPr>
          <w:p>
            <w:pPr>
              <w:pStyle w:val="a3"/>
              <w:ind w:firstLine="420"/>
              <w:rPr>
                <w:rFonts w:ascii="仿宋_GB2312" w:eastAsia="仿宋_GB2312"/>
              </w:rPr>
            </w:pPr>
            <w:r>
              <w:rPr>
                <w:rFonts w:ascii="仿宋_GB2312" w:eastAsia="仿宋_GB2312" w:hint="eastAsia"/>
              </w:rPr>
              <w:t>≤1min</w:t>
            </w:r>
          </w:p>
        </w:tc>
      </w:tr>
      <w:tr>
        <w:tblPrEx>
          <w:tblW w:w="5000" w:type="pct"/>
          <w:jc w:val="center"/>
          <w:tblLayout w:type="fixed"/>
          <w:tblCellMar>
            <w:top w:w="0" w:type="dxa"/>
            <w:left w:w="108" w:type="dxa"/>
            <w:bottom w:w="0" w:type="dxa"/>
            <w:right w:w="108" w:type="dxa"/>
          </w:tblCellMar>
        </w:tblPrEx>
        <w:trPr>
          <w:trHeight w:val="340"/>
          <w:jc w:val="center"/>
        </w:trPr>
        <w:tc>
          <w:tcPr>
            <w:tcW w:w="954" w:type="pct"/>
            <w:gridSpan w:val="2"/>
            <w:vAlign w:val="center"/>
          </w:tcPr>
          <w:p>
            <w:pPr>
              <w:pStyle w:val="a3"/>
              <w:ind w:firstLine="420"/>
              <w:rPr>
                <w:rFonts w:ascii="仿宋_GB2312" w:eastAsia="仿宋_GB2312"/>
              </w:rPr>
            </w:pPr>
            <w:r>
              <w:rPr>
                <w:rFonts w:ascii="仿宋_GB2312" w:eastAsia="仿宋_GB2312" w:hint="eastAsia"/>
              </w:rPr>
              <w:t>扫描速度</w:t>
            </w:r>
          </w:p>
        </w:tc>
        <w:tc>
          <w:tcPr>
            <w:tcW w:w="690" w:type="pct"/>
            <w:vAlign w:val="center"/>
          </w:tcPr>
          <w:p>
            <w:pPr>
              <w:pStyle w:val="a3"/>
              <w:ind w:firstLine="420"/>
              <w:rPr>
                <w:rFonts w:ascii="仿宋_GB2312" w:eastAsia="仿宋_GB2312"/>
              </w:rPr>
            </w:pPr>
            <w:r>
              <w:rPr>
                <w:rFonts w:ascii="仿宋_GB2312" w:eastAsia="仿宋_GB2312" w:hint="eastAsia"/>
              </w:rPr>
              <w:t>方位</w:t>
            </w:r>
          </w:p>
        </w:tc>
        <w:tc>
          <w:tcPr>
            <w:tcW w:w="3356" w:type="pct"/>
            <w:vAlign w:val="center"/>
          </w:tcPr>
          <w:p>
            <w:pPr>
              <w:pStyle w:val="a3"/>
              <w:ind w:firstLine="420"/>
              <w:rPr>
                <w:rFonts w:ascii="仿宋_GB2312" w:eastAsia="仿宋_GB2312"/>
              </w:rPr>
            </w:pPr>
            <w:r>
              <w:rPr>
                <w:rFonts w:ascii="仿宋_GB2312" w:eastAsia="仿宋_GB2312" w:hint="eastAsia"/>
                <w:color w:val="000000"/>
              </w:rPr>
              <w:t>最大扫描速度20°/s（可调）</w:t>
            </w:r>
          </w:p>
        </w:tc>
      </w:tr>
      <w:tr>
        <w:tblPrEx>
          <w:tblW w:w="5000" w:type="pct"/>
          <w:jc w:val="center"/>
          <w:tblLayout w:type="fixed"/>
          <w:tblCellMar>
            <w:top w:w="0" w:type="dxa"/>
            <w:left w:w="108" w:type="dxa"/>
            <w:bottom w:w="0" w:type="dxa"/>
            <w:right w:w="108" w:type="dxa"/>
          </w:tblCellMar>
        </w:tblPrEx>
        <w:trPr>
          <w:trHeight w:val="340"/>
          <w:jc w:val="center"/>
        </w:trPr>
        <w:tc>
          <w:tcPr>
            <w:tcW w:w="954" w:type="pct"/>
            <w:gridSpan w:val="2"/>
            <w:vAlign w:val="center"/>
          </w:tcPr>
          <w:p>
            <w:pPr>
              <w:pStyle w:val="a3"/>
              <w:ind w:firstLine="420"/>
              <w:rPr>
                <w:rFonts w:ascii="仿宋_GB2312" w:eastAsia="仿宋_GB2312"/>
              </w:rPr>
            </w:pPr>
          </w:p>
        </w:tc>
        <w:tc>
          <w:tcPr>
            <w:tcW w:w="690" w:type="pct"/>
            <w:vAlign w:val="center"/>
          </w:tcPr>
          <w:p>
            <w:pPr>
              <w:pStyle w:val="a3"/>
              <w:ind w:firstLine="420"/>
              <w:rPr>
                <w:rFonts w:ascii="仿宋_GB2312" w:eastAsia="仿宋_GB2312"/>
              </w:rPr>
            </w:pPr>
            <w:r>
              <w:rPr>
                <w:rFonts w:ascii="仿宋_GB2312" w:eastAsia="仿宋_GB2312" w:hint="eastAsia"/>
              </w:rPr>
              <w:t>俯仰</w:t>
            </w:r>
          </w:p>
        </w:tc>
        <w:tc>
          <w:tcPr>
            <w:tcW w:w="3356" w:type="pct"/>
            <w:vAlign w:val="center"/>
          </w:tcPr>
          <w:p>
            <w:pPr>
              <w:pStyle w:val="a3"/>
              <w:ind w:firstLine="420"/>
              <w:rPr>
                <w:rFonts w:ascii="仿宋_GB2312" w:eastAsia="仿宋_GB2312"/>
              </w:rPr>
            </w:pPr>
            <w:r>
              <w:rPr>
                <w:rFonts w:ascii="仿宋_GB2312" w:eastAsia="仿宋_GB2312" w:hint="eastAsia"/>
                <w:color w:val="000000"/>
              </w:rPr>
              <w:t>最大扫描速度≥12°/s（可调）</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#指向精度</w:t>
            </w:r>
          </w:p>
        </w:tc>
        <w:tc>
          <w:tcPr>
            <w:tcW w:w="3356" w:type="pct"/>
            <w:vAlign w:val="center"/>
          </w:tcPr>
          <w:p>
            <w:pPr>
              <w:pStyle w:val="a3"/>
              <w:ind w:firstLine="420"/>
              <w:rPr>
                <w:rFonts w:ascii="仿宋_GB2312" w:eastAsia="仿宋_GB2312"/>
              </w:rPr>
            </w:pPr>
            <w:r>
              <w:rPr>
                <w:rFonts w:ascii="仿宋_GB2312" w:eastAsia="仿宋_GB2312" w:hint="eastAsia"/>
              </w:rPr>
              <w:t>≤0.1°</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#径向风速测量范围</w:t>
            </w:r>
          </w:p>
        </w:tc>
        <w:tc>
          <w:tcPr>
            <w:tcW w:w="3356" w:type="pct"/>
            <w:vAlign w:val="center"/>
          </w:tcPr>
          <w:p>
            <w:pPr>
              <w:pStyle w:val="a3"/>
              <w:ind w:firstLine="420"/>
              <w:rPr>
                <w:rFonts w:ascii="仿宋_GB2312" w:eastAsia="仿宋_GB2312"/>
              </w:rPr>
            </w:pPr>
            <w:r>
              <w:rPr>
                <w:rFonts w:eastAsia="仿宋_GB2312" w:hint="eastAsia"/>
              </w:rPr>
              <w:t>–-</w:t>
            </w:r>
            <w:r>
              <w:rPr>
                <w:rFonts w:ascii="仿宋_GB2312" w:eastAsia="仿宋_GB2312" w:hint="eastAsia"/>
              </w:rPr>
              <w:t>50～+50 m/s</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#径向风速测量误差</w:t>
            </w:r>
          </w:p>
        </w:tc>
        <w:tc>
          <w:tcPr>
            <w:tcW w:w="3356" w:type="pct"/>
            <w:vAlign w:val="center"/>
          </w:tcPr>
          <w:p>
            <w:pPr>
              <w:pStyle w:val="a3"/>
              <w:ind w:firstLine="420"/>
              <w:rPr>
                <w:rFonts w:ascii="仿宋_GB2312" w:eastAsia="仿宋_GB2312"/>
              </w:rPr>
            </w:pPr>
            <w:r>
              <w:rPr>
                <w:rFonts w:ascii="仿宋_GB2312" w:eastAsia="仿宋_GB2312" w:hint="eastAsia"/>
              </w:rPr>
              <w:t>≤0.1m/s</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径向风速分辨率</w:t>
            </w:r>
          </w:p>
        </w:tc>
        <w:tc>
          <w:tcPr>
            <w:tcW w:w="3356" w:type="pct"/>
            <w:vAlign w:val="center"/>
          </w:tcPr>
          <w:p>
            <w:pPr>
              <w:pStyle w:val="a3"/>
              <w:ind w:firstLine="420"/>
              <w:rPr>
                <w:rFonts w:ascii="仿宋_GB2312" w:eastAsia="仿宋_GB2312"/>
              </w:rPr>
            </w:pPr>
            <w:r>
              <w:rPr>
                <w:rFonts w:ascii="仿宋_GB2312" w:eastAsia="仿宋_GB2312" w:hint="eastAsia"/>
              </w:rPr>
              <w:t>≤0.01 m/s</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#水平风速测量范围</w:t>
            </w:r>
          </w:p>
        </w:tc>
        <w:tc>
          <w:tcPr>
            <w:tcW w:w="3356" w:type="pct"/>
            <w:vAlign w:val="center"/>
          </w:tcPr>
          <w:p>
            <w:pPr>
              <w:pStyle w:val="a3"/>
              <w:ind w:firstLine="420"/>
              <w:rPr>
                <w:rFonts w:ascii="仿宋_GB2312" w:eastAsia="仿宋_GB2312"/>
              </w:rPr>
            </w:pPr>
            <w:r>
              <w:rPr>
                <w:rFonts w:ascii="仿宋_GB2312" w:eastAsia="仿宋_GB2312" w:hint="eastAsia"/>
              </w:rPr>
              <w:t>≥50m/s</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水平风速测量误差</w:t>
            </w:r>
          </w:p>
          <w:p>
            <w:pPr>
              <w:pStyle w:val="a3"/>
              <w:ind w:firstLine="420"/>
              <w:rPr>
                <w:rFonts w:ascii="仿宋_GB2312" w:eastAsia="仿宋_GB2312"/>
              </w:rPr>
            </w:pPr>
            <w:r>
              <w:rPr>
                <w:rFonts w:ascii="仿宋_GB2312" w:eastAsia="仿宋_GB2312" w:hint="eastAsia"/>
              </w:rPr>
              <w:t>（均方误差）</w:t>
            </w:r>
          </w:p>
        </w:tc>
        <w:tc>
          <w:tcPr>
            <w:tcW w:w="3356" w:type="pct"/>
            <w:vAlign w:val="center"/>
          </w:tcPr>
          <w:p>
            <w:pPr>
              <w:pStyle w:val="a3"/>
              <w:ind w:firstLine="420"/>
              <w:rPr>
                <w:rFonts w:ascii="仿宋_GB2312" w:eastAsia="仿宋_GB2312"/>
              </w:rPr>
            </w:pPr>
            <w:r>
              <w:rPr>
                <w:rFonts w:ascii="仿宋_GB2312" w:eastAsia="仿宋_GB2312" w:hint="eastAsia"/>
                <w:color w:val="000000"/>
              </w:rPr>
              <w:t>≤0.8m/s（垂直高度3km以下）</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水平风速分辨率</w:t>
            </w:r>
          </w:p>
        </w:tc>
        <w:tc>
          <w:tcPr>
            <w:tcW w:w="3356" w:type="pct"/>
            <w:vAlign w:val="center"/>
          </w:tcPr>
          <w:p>
            <w:pPr>
              <w:pStyle w:val="a3"/>
              <w:ind w:firstLine="420"/>
              <w:rPr>
                <w:rFonts w:ascii="仿宋_GB2312" w:eastAsia="仿宋_GB2312"/>
              </w:rPr>
            </w:pPr>
            <w:r>
              <w:rPr>
                <w:rFonts w:ascii="仿宋_GB2312" w:eastAsia="仿宋_GB2312" w:hint="eastAsia"/>
              </w:rPr>
              <w:t>≤0.1 m/s</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垂直气流测量范围</w:t>
            </w:r>
          </w:p>
        </w:tc>
        <w:tc>
          <w:tcPr>
            <w:tcW w:w="3356" w:type="pct"/>
            <w:vAlign w:val="center"/>
          </w:tcPr>
          <w:p>
            <w:pPr>
              <w:pStyle w:val="a3"/>
              <w:ind w:firstLine="420"/>
              <w:rPr>
                <w:rFonts w:ascii="仿宋_GB2312" w:eastAsia="仿宋_GB2312"/>
              </w:rPr>
            </w:pPr>
            <w:r>
              <w:rPr>
                <w:rFonts w:ascii="仿宋_GB2312" w:eastAsia="仿宋_GB2312" w:hint="eastAsia"/>
              </w:rPr>
              <w:t>-20～20 m/s</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垂直气流测量精度</w:t>
            </w:r>
          </w:p>
        </w:tc>
        <w:tc>
          <w:tcPr>
            <w:tcW w:w="3356" w:type="pct"/>
            <w:vAlign w:val="center"/>
          </w:tcPr>
          <w:p>
            <w:pPr>
              <w:pStyle w:val="a3"/>
              <w:ind w:firstLine="420"/>
              <w:rPr>
                <w:rFonts w:ascii="仿宋_GB2312" w:eastAsia="仿宋_GB2312"/>
              </w:rPr>
            </w:pPr>
            <w:r>
              <w:rPr>
                <w:rFonts w:ascii="仿宋_GB2312" w:eastAsia="仿宋_GB2312" w:hint="eastAsia"/>
              </w:rPr>
              <w:t>≤0.3m/s</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风向测量范围</w:t>
            </w:r>
          </w:p>
        </w:tc>
        <w:tc>
          <w:tcPr>
            <w:tcW w:w="3356" w:type="pct"/>
            <w:vAlign w:val="center"/>
          </w:tcPr>
          <w:p>
            <w:pPr>
              <w:pStyle w:val="a3"/>
              <w:ind w:firstLine="420"/>
              <w:rPr>
                <w:rFonts w:ascii="仿宋_GB2312" w:eastAsia="仿宋_GB2312"/>
              </w:rPr>
            </w:pPr>
            <w:r>
              <w:rPr>
                <w:rFonts w:ascii="仿宋_GB2312" w:eastAsia="仿宋_GB2312" w:hint="eastAsia"/>
              </w:rPr>
              <w:t>0～360°</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风向分辨率</w:t>
            </w:r>
          </w:p>
        </w:tc>
        <w:tc>
          <w:tcPr>
            <w:tcW w:w="3356" w:type="pct"/>
            <w:vAlign w:val="center"/>
          </w:tcPr>
          <w:p>
            <w:pPr>
              <w:pStyle w:val="a3"/>
              <w:ind w:firstLine="420"/>
              <w:rPr>
                <w:rFonts w:ascii="仿宋_GB2312" w:eastAsia="仿宋_GB2312"/>
              </w:rPr>
            </w:pPr>
            <w:r>
              <w:rPr>
                <w:rFonts w:ascii="仿宋_GB2312" w:eastAsia="仿宋_GB2312" w:hint="eastAsia"/>
              </w:rPr>
              <w:t>≤0.1°</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水平风向测量误差</w:t>
            </w:r>
          </w:p>
          <w:p>
            <w:pPr>
              <w:pStyle w:val="a3"/>
              <w:ind w:firstLine="420"/>
              <w:rPr>
                <w:rFonts w:ascii="仿宋_GB2312" w:eastAsia="仿宋_GB2312"/>
              </w:rPr>
            </w:pPr>
            <w:r>
              <w:rPr>
                <w:rFonts w:ascii="仿宋_GB2312" w:eastAsia="仿宋_GB2312" w:hint="eastAsia"/>
              </w:rPr>
              <w:t>（均方根误差）</w:t>
            </w:r>
          </w:p>
        </w:tc>
        <w:tc>
          <w:tcPr>
            <w:tcW w:w="3356" w:type="pct"/>
            <w:vAlign w:val="center"/>
          </w:tcPr>
          <w:p>
            <w:pPr>
              <w:pStyle w:val="a3"/>
              <w:ind w:firstLine="420"/>
              <w:rPr>
                <w:rFonts w:ascii="仿宋_GB2312" w:eastAsia="仿宋_GB2312"/>
              </w:rPr>
            </w:pPr>
            <w:r>
              <w:rPr>
                <w:rFonts w:ascii="仿宋_GB2312" w:eastAsia="仿宋_GB2312" w:hint="eastAsia"/>
                <w:color w:val="000000"/>
              </w:rPr>
              <w:t>≤8°</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#数据产品</w:t>
            </w:r>
          </w:p>
        </w:tc>
        <w:tc>
          <w:tcPr>
            <w:tcW w:w="3356" w:type="pct"/>
            <w:vAlign w:val="center"/>
          </w:tcPr>
          <w:p>
            <w:pPr>
              <w:pStyle w:val="a3"/>
              <w:ind w:firstLine="420"/>
              <w:jc w:val="left"/>
              <w:rPr>
                <w:rFonts w:ascii="仿宋_GB2312" w:eastAsia="仿宋_GB2312"/>
              </w:rPr>
            </w:pPr>
            <w:bookmarkStart w:id="60" w:name="_Hlk120746008"/>
            <w:r>
              <w:rPr>
                <w:rFonts w:ascii="仿宋_GB2312" w:eastAsia="仿宋_GB2312" w:hint="eastAsia"/>
                <w:color w:val="000000"/>
              </w:rPr>
              <w:t>径向速度、谱宽、谱强、信噪比、水平风速、风向、垂直气流</w:t>
            </w:r>
            <w:bookmarkEnd w:id="60"/>
            <w:r>
              <w:rPr>
                <w:rFonts w:ascii="仿宋_GB2312" w:eastAsia="仿宋_GB2312" w:hint="eastAsia"/>
                <w:color w:val="000000"/>
              </w:rPr>
              <w:t>、切变风速、能见度等</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重量</w:t>
            </w:r>
          </w:p>
        </w:tc>
        <w:tc>
          <w:tcPr>
            <w:tcW w:w="3356" w:type="pct"/>
            <w:vAlign w:val="center"/>
          </w:tcPr>
          <w:p>
            <w:pPr>
              <w:pStyle w:val="a3"/>
              <w:ind w:firstLine="420"/>
              <w:jc w:val="left"/>
              <w:rPr>
                <w:rFonts w:ascii="仿宋_GB2312" w:eastAsia="仿宋_GB2312"/>
              </w:rPr>
            </w:pPr>
            <w:r>
              <w:rPr>
                <w:rFonts w:ascii="仿宋_GB2312" w:eastAsia="仿宋_GB2312" w:hint="eastAsia"/>
                <w:color w:val="000000"/>
              </w:rPr>
              <w:t>≤250kg（不包括方舱）</w:t>
            </w:r>
          </w:p>
        </w:tc>
      </w:tr>
      <w:tr>
        <w:tblPrEx>
          <w:tblW w:w="5000" w:type="pct"/>
          <w:jc w:val="center"/>
          <w:tblLayout w:type="fixed"/>
          <w:tblCellMar>
            <w:top w:w="0" w:type="dxa"/>
            <w:left w:w="108" w:type="dxa"/>
            <w:bottom w:w="0" w:type="dxa"/>
            <w:right w:w="108" w:type="dxa"/>
          </w:tblCellMar>
        </w:tblPrEx>
        <w:trPr>
          <w:trHeight w:val="340"/>
          <w:jc w:val="center"/>
        </w:trPr>
        <w:tc>
          <w:tcPr>
            <w:tcW w:w="438" w:type="pct"/>
            <w:vAlign w:val="center"/>
          </w:tcPr>
          <w:p>
            <w:pPr>
              <w:pStyle w:val="a3"/>
              <w:ind w:firstLine="420"/>
              <w:rPr>
                <w:rFonts w:ascii="仿宋_GB2312" w:eastAsia="仿宋_GB2312"/>
              </w:rPr>
            </w:pPr>
            <w:r>
              <w:rPr>
                <w:rFonts w:ascii="仿宋_GB2312" w:eastAsia="仿宋_GB2312" w:hint="eastAsia"/>
              </w:rPr>
              <w:t>环境要求</w:t>
            </w:r>
          </w:p>
        </w:tc>
        <w:tc>
          <w:tcPr>
            <w:tcW w:w="1206" w:type="pct"/>
            <w:gridSpan w:val="2"/>
            <w:vAlign w:val="center"/>
          </w:tcPr>
          <w:p>
            <w:pPr>
              <w:pStyle w:val="a3"/>
              <w:ind w:firstLine="420"/>
              <w:rPr>
                <w:rFonts w:ascii="仿宋_GB2312" w:eastAsia="仿宋_GB2312"/>
              </w:rPr>
            </w:pPr>
            <w:r>
              <w:rPr>
                <w:rFonts w:ascii="仿宋_GB2312" w:eastAsia="仿宋_GB2312" w:hint="eastAsia"/>
              </w:rPr>
              <w:t>工作温度</w:t>
            </w:r>
          </w:p>
        </w:tc>
        <w:tc>
          <w:tcPr>
            <w:tcW w:w="3356" w:type="pct"/>
            <w:vAlign w:val="center"/>
          </w:tcPr>
          <w:p>
            <w:pPr>
              <w:pStyle w:val="a3"/>
              <w:ind w:firstLine="420"/>
              <w:jc w:val="left"/>
              <w:rPr>
                <w:rFonts w:ascii="仿宋_GB2312" w:eastAsia="仿宋_GB2312"/>
              </w:rPr>
            </w:pPr>
            <w:r>
              <w:rPr>
                <w:rFonts w:ascii="仿宋_GB2312" w:eastAsia="仿宋_GB2312" w:hint="eastAsia"/>
              </w:rPr>
              <w:t>室外装置：-40</w:t>
            </w:r>
            <w:r>
              <w:rPr>
                <w:rFonts w:ascii="仿宋_GB2312" w:eastAsia="仿宋_GB2312" w:hAnsi="宋体" w:cs="宋体" w:hint="eastAsia"/>
              </w:rPr>
              <w:t>℃</w:t>
            </w:r>
            <w:r>
              <w:rPr>
                <w:rFonts w:ascii="仿宋_GB2312" w:eastAsia="仿宋_GB2312" w:hint="eastAsia"/>
              </w:rPr>
              <w:t>～+50</w:t>
            </w:r>
            <w:r>
              <w:rPr>
                <w:rFonts w:ascii="仿宋_GB2312" w:eastAsia="仿宋_GB2312" w:hAnsi="宋体" w:cs="宋体" w:hint="eastAsia"/>
              </w:rPr>
              <w:t>℃</w:t>
            </w:r>
          </w:p>
        </w:tc>
      </w:tr>
      <w:tr>
        <w:tblPrEx>
          <w:tblW w:w="5000" w:type="pct"/>
          <w:jc w:val="center"/>
          <w:tblLayout w:type="fixed"/>
          <w:tblCellMar>
            <w:top w:w="0" w:type="dxa"/>
            <w:left w:w="108" w:type="dxa"/>
            <w:bottom w:w="0" w:type="dxa"/>
            <w:right w:w="108" w:type="dxa"/>
          </w:tblCellMar>
        </w:tblPrEx>
        <w:trPr>
          <w:trHeight w:val="340"/>
          <w:jc w:val="center"/>
        </w:trPr>
        <w:tc>
          <w:tcPr>
            <w:tcW w:w="438" w:type="pct"/>
            <w:vAlign w:val="center"/>
          </w:tcPr>
          <w:p>
            <w:pPr>
              <w:pStyle w:val="a3"/>
              <w:ind w:firstLine="420"/>
              <w:rPr>
                <w:rFonts w:ascii="仿宋_GB2312" w:eastAsia="仿宋_GB2312"/>
              </w:rPr>
            </w:pPr>
          </w:p>
        </w:tc>
        <w:tc>
          <w:tcPr>
            <w:tcW w:w="1206" w:type="pct"/>
            <w:gridSpan w:val="2"/>
            <w:vAlign w:val="center"/>
          </w:tcPr>
          <w:p>
            <w:pPr>
              <w:pStyle w:val="a3"/>
              <w:ind w:firstLine="420"/>
              <w:rPr>
                <w:rFonts w:ascii="仿宋_GB2312" w:eastAsia="仿宋_GB2312"/>
              </w:rPr>
            </w:pPr>
            <w:r>
              <w:rPr>
                <w:rFonts w:ascii="仿宋_GB2312" w:eastAsia="仿宋_GB2312" w:hint="eastAsia"/>
              </w:rPr>
              <w:t>贮存温度</w:t>
            </w:r>
          </w:p>
        </w:tc>
        <w:tc>
          <w:tcPr>
            <w:tcW w:w="3356" w:type="pct"/>
            <w:vAlign w:val="center"/>
          </w:tcPr>
          <w:p>
            <w:pPr>
              <w:pStyle w:val="a3"/>
              <w:ind w:firstLine="420"/>
              <w:jc w:val="left"/>
              <w:rPr>
                <w:rFonts w:ascii="仿宋_GB2312" w:eastAsia="仿宋_GB2312"/>
              </w:rPr>
            </w:pPr>
            <w:r>
              <w:rPr>
                <w:rFonts w:ascii="仿宋_GB2312" w:eastAsia="仿宋_GB2312" w:hint="eastAsia"/>
              </w:rPr>
              <w:t>室外装置：-40</w:t>
            </w:r>
            <w:r>
              <w:rPr>
                <w:rFonts w:ascii="仿宋_GB2312" w:eastAsia="仿宋_GB2312" w:hAnsi="宋体" w:cs="宋体" w:hint="eastAsia"/>
              </w:rPr>
              <w:t>℃</w:t>
            </w:r>
            <w:r>
              <w:rPr>
                <w:rFonts w:ascii="仿宋_GB2312" w:eastAsia="仿宋_GB2312" w:hint="eastAsia"/>
              </w:rPr>
              <w:t>～+60</w:t>
            </w:r>
            <w:r>
              <w:rPr>
                <w:rFonts w:ascii="仿宋_GB2312" w:eastAsia="仿宋_GB2312" w:hAnsi="宋体" w:cs="宋体" w:hint="eastAsia"/>
              </w:rPr>
              <w:t>℃</w:t>
            </w:r>
          </w:p>
        </w:tc>
      </w:tr>
      <w:tr>
        <w:tblPrEx>
          <w:tblW w:w="5000" w:type="pct"/>
          <w:jc w:val="center"/>
          <w:tblLayout w:type="fixed"/>
          <w:tblCellMar>
            <w:top w:w="0" w:type="dxa"/>
            <w:left w:w="108" w:type="dxa"/>
            <w:bottom w:w="0" w:type="dxa"/>
            <w:right w:w="108" w:type="dxa"/>
          </w:tblCellMar>
        </w:tblPrEx>
        <w:trPr>
          <w:trHeight w:val="340"/>
          <w:jc w:val="center"/>
        </w:trPr>
        <w:tc>
          <w:tcPr>
            <w:tcW w:w="438" w:type="pct"/>
            <w:vAlign w:val="center"/>
          </w:tcPr>
          <w:p>
            <w:pPr>
              <w:pStyle w:val="a3"/>
              <w:ind w:firstLine="420"/>
              <w:rPr>
                <w:rFonts w:ascii="仿宋_GB2312" w:eastAsia="仿宋_GB2312"/>
              </w:rPr>
            </w:pPr>
          </w:p>
        </w:tc>
        <w:tc>
          <w:tcPr>
            <w:tcW w:w="1206" w:type="pct"/>
            <w:gridSpan w:val="2"/>
            <w:vAlign w:val="center"/>
          </w:tcPr>
          <w:p>
            <w:pPr>
              <w:pStyle w:val="a3"/>
              <w:ind w:firstLine="420"/>
              <w:rPr>
                <w:rFonts w:ascii="仿宋_GB2312" w:eastAsia="仿宋_GB2312"/>
              </w:rPr>
            </w:pPr>
            <w:r>
              <w:rPr>
                <w:rFonts w:ascii="仿宋_GB2312" w:eastAsia="仿宋_GB2312" w:hint="eastAsia"/>
              </w:rPr>
              <w:t>最大湿度</w:t>
            </w:r>
          </w:p>
        </w:tc>
        <w:tc>
          <w:tcPr>
            <w:tcW w:w="3356" w:type="pct"/>
            <w:vAlign w:val="center"/>
          </w:tcPr>
          <w:p>
            <w:pPr>
              <w:pStyle w:val="a3"/>
              <w:ind w:firstLine="420"/>
              <w:jc w:val="left"/>
              <w:rPr>
                <w:rFonts w:ascii="仿宋_GB2312" w:eastAsia="仿宋_GB2312"/>
              </w:rPr>
            </w:pPr>
            <w:r>
              <w:rPr>
                <w:rFonts w:ascii="仿宋_GB2312" w:eastAsia="仿宋_GB2312" w:hint="eastAsia"/>
              </w:rPr>
              <w:t>室外装置：≥95%（+35</w:t>
            </w:r>
            <w:r>
              <w:rPr>
                <w:rFonts w:ascii="仿宋_GB2312" w:eastAsia="仿宋_GB2312" w:hAnsi="宋体" w:cs="宋体" w:hint="eastAsia"/>
              </w:rPr>
              <w:t>℃</w:t>
            </w:r>
            <w:r>
              <w:rPr>
                <w:rFonts w:ascii="仿宋_GB2312" w:eastAsia="仿宋_GB2312" w:hint="eastAsia"/>
              </w:rPr>
              <w:t>）</w:t>
            </w:r>
          </w:p>
        </w:tc>
      </w:tr>
      <w:tr>
        <w:tblPrEx>
          <w:tblW w:w="5000" w:type="pct"/>
          <w:jc w:val="center"/>
          <w:tblLayout w:type="fixed"/>
          <w:tblCellMar>
            <w:top w:w="0" w:type="dxa"/>
            <w:left w:w="108" w:type="dxa"/>
            <w:bottom w:w="0" w:type="dxa"/>
            <w:right w:w="108" w:type="dxa"/>
          </w:tblCellMar>
        </w:tblPrEx>
        <w:trPr>
          <w:trHeight w:val="340"/>
          <w:jc w:val="center"/>
        </w:trPr>
        <w:tc>
          <w:tcPr>
            <w:tcW w:w="438" w:type="pct"/>
            <w:vAlign w:val="center"/>
          </w:tcPr>
          <w:p>
            <w:pPr>
              <w:pStyle w:val="a3"/>
              <w:ind w:firstLine="420"/>
              <w:rPr>
                <w:rFonts w:ascii="仿宋_GB2312" w:eastAsia="仿宋_GB2312"/>
              </w:rPr>
            </w:pPr>
          </w:p>
        </w:tc>
        <w:tc>
          <w:tcPr>
            <w:tcW w:w="1206" w:type="pct"/>
            <w:gridSpan w:val="2"/>
            <w:vAlign w:val="center"/>
          </w:tcPr>
          <w:p>
            <w:pPr>
              <w:pStyle w:val="a3"/>
              <w:ind w:firstLine="420"/>
              <w:rPr>
                <w:rFonts w:ascii="仿宋_GB2312" w:eastAsia="仿宋_GB2312"/>
              </w:rPr>
            </w:pPr>
            <w:r>
              <w:rPr>
                <w:rFonts w:ascii="仿宋_GB2312" w:eastAsia="仿宋_GB2312" w:hint="eastAsia"/>
              </w:rPr>
              <w:t>工作高度</w:t>
            </w:r>
          </w:p>
        </w:tc>
        <w:tc>
          <w:tcPr>
            <w:tcW w:w="3356" w:type="pct"/>
            <w:vAlign w:val="center"/>
          </w:tcPr>
          <w:p>
            <w:pPr>
              <w:pStyle w:val="a3"/>
              <w:ind w:firstLine="420"/>
              <w:jc w:val="left"/>
              <w:rPr>
                <w:rFonts w:ascii="仿宋_GB2312" w:eastAsia="仿宋_GB2312"/>
              </w:rPr>
            </w:pPr>
            <w:r>
              <w:rPr>
                <w:rFonts w:ascii="仿宋_GB2312" w:eastAsia="仿宋_GB2312" w:hint="eastAsia"/>
              </w:rPr>
              <w:t>海拔高度：≤3000m</w:t>
            </w:r>
          </w:p>
        </w:tc>
      </w:tr>
      <w:tr>
        <w:tblPrEx>
          <w:tblW w:w="5000" w:type="pct"/>
          <w:jc w:val="center"/>
          <w:tblLayout w:type="fixed"/>
          <w:tblCellMar>
            <w:top w:w="0" w:type="dxa"/>
            <w:left w:w="108" w:type="dxa"/>
            <w:bottom w:w="0" w:type="dxa"/>
            <w:right w:w="108" w:type="dxa"/>
          </w:tblCellMar>
        </w:tblPrEx>
        <w:trPr>
          <w:trHeight w:val="340"/>
          <w:jc w:val="center"/>
        </w:trPr>
        <w:tc>
          <w:tcPr>
            <w:tcW w:w="438" w:type="pct"/>
            <w:vAlign w:val="center"/>
          </w:tcPr>
          <w:p>
            <w:pPr>
              <w:pStyle w:val="a3"/>
              <w:ind w:firstLine="420"/>
              <w:rPr>
                <w:rFonts w:ascii="仿宋_GB2312" w:eastAsia="仿宋_GB2312"/>
              </w:rPr>
            </w:pPr>
          </w:p>
        </w:tc>
        <w:tc>
          <w:tcPr>
            <w:tcW w:w="1206" w:type="pct"/>
            <w:gridSpan w:val="2"/>
            <w:vAlign w:val="center"/>
          </w:tcPr>
          <w:p>
            <w:pPr>
              <w:pStyle w:val="a3"/>
              <w:ind w:firstLine="420"/>
              <w:rPr>
                <w:rFonts w:ascii="仿宋_GB2312" w:eastAsia="仿宋_GB2312"/>
              </w:rPr>
            </w:pPr>
            <w:r>
              <w:rPr>
                <w:rFonts w:ascii="仿宋_GB2312" w:eastAsia="仿宋_GB2312" w:hint="eastAsia"/>
              </w:rPr>
              <w:t>冲击、振动、淋雨</w:t>
            </w:r>
          </w:p>
        </w:tc>
        <w:tc>
          <w:tcPr>
            <w:tcW w:w="3356" w:type="pct"/>
            <w:vAlign w:val="center"/>
          </w:tcPr>
          <w:p>
            <w:pPr>
              <w:pStyle w:val="a3"/>
              <w:ind w:firstLine="420"/>
              <w:jc w:val="left"/>
              <w:rPr>
                <w:rFonts w:ascii="仿宋_GB2312" w:eastAsia="仿宋_GB2312"/>
              </w:rPr>
            </w:pPr>
            <w:r>
              <w:rPr>
                <w:rFonts w:ascii="仿宋_GB2312" w:eastAsia="仿宋_GB2312" w:hint="eastAsia"/>
              </w:rPr>
              <w:t>符合国家有关部门规定，且满足野外运输要求。</w:t>
            </w:r>
          </w:p>
        </w:tc>
      </w:tr>
      <w:tr>
        <w:tblPrEx>
          <w:tblW w:w="5000" w:type="pct"/>
          <w:jc w:val="center"/>
          <w:tblLayout w:type="fixed"/>
          <w:tblCellMar>
            <w:top w:w="0" w:type="dxa"/>
            <w:left w:w="108" w:type="dxa"/>
            <w:bottom w:w="0" w:type="dxa"/>
            <w:right w:w="108" w:type="dxa"/>
          </w:tblCellMar>
        </w:tblPrEx>
        <w:trPr>
          <w:trHeight w:val="340"/>
          <w:jc w:val="center"/>
        </w:trPr>
        <w:tc>
          <w:tcPr>
            <w:tcW w:w="438" w:type="pct"/>
            <w:vAlign w:val="center"/>
          </w:tcPr>
          <w:p>
            <w:pPr>
              <w:pStyle w:val="a3"/>
              <w:ind w:firstLine="420"/>
              <w:rPr>
                <w:rFonts w:ascii="仿宋_GB2312" w:eastAsia="仿宋_GB2312"/>
              </w:rPr>
            </w:pPr>
          </w:p>
        </w:tc>
        <w:tc>
          <w:tcPr>
            <w:tcW w:w="1206" w:type="pct"/>
            <w:gridSpan w:val="2"/>
            <w:vAlign w:val="center"/>
          </w:tcPr>
          <w:p>
            <w:pPr>
              <w:pStyle w:val="a3"/>
              <w:ind w:firstLine="420"/>
              <w:rPr>
                <w:rFonts w:ascii="仿宋_GB2312" w:eastAsia="仿宋_GB2312"/>
              </w:rPr>
            </w:pPr>
            <w:r>
              <w:rPr>
                <w:rFonts w:ascii="仿宋_GB2312" w:eastAsia="仿宋_GB2312" w:hint="eastAsia"/>
              </w:rPr>
              <w:t>抗干扰</w:t>
            </w:r>
          </w:p>
        </w:tc>
        <w:tc>
          <w:tcPr>
            <w:tcW w:w="3356" w:type="pct"/>
            <w:vAlign w:val="center"/>
          </w:tcPr>
          <w:p>
            <w:pPr>
              <w:pStyle w:val="a3"/>
              <w:ind w:firstLine="420"/>
              <w:jc w:val="left"/>
              <w:rPr>
                <w:rFonts w:ascii="仿宋_GB2312" w:eastAsia="仿宋_GB2312"/>
              </w:rPr>
            </w:pPr>
            <w:r>
              <w:rPr>
                <w:rFonts w:ascii="仿宋_GB2312" w:eastAsia="仿宋_GB2312" w:hint="eastAsia"/>
              </w:rPr>
              <w:t>电源干扰、电磁干扰、无线电频率干扰</w:t>
            </w:r>
          </w:p>
        </w:tc>
      </w:tr>
      <w:tr>
        <w:tblPrEx>
          <w:tblW w:w="5000" w:type="pct"/>
          <w:jc w:val="center"/>
          <w:tblLayout w:type="fixed"/>
          <w:tblCellMar>
            <w:top w:w="0" w:type="dxa"/>
            <w:left w:w="108" w:type="dxa"/>
            <w:bottom w:w="0" w:type="dxa"/>
            <w:right w:w="108" w:type="dxa"/>
          </w:tblCellMar>
        </w:tblPrEx>
        <w:trPr>
          <w:trHeight w:val="340"/>
          <w:jc w:val="center"/>
        </w:trPr>
        <w:tc>
          <w:tcPr>
            <w:tcW w:w="438" w:type="pct"/>
            <w:vAlign w:val="center"/>
          </w:tcPr>
          <w:p>
            <w:pPr>
              <w:pStyle w:val="a3"/>
              <w:ind w:firstLine="420"/>
              <w:rPr>
                <w:rFonts w:ascii="仿宋_GB2312" w:eastAsia="仿宋_GB2312"/>
              </w:rPr>
            </w:pPr>
          </w:p>
        </w:tc>
        <w:tc>
          <w:tcPr>
            <w:tcW w:w="1206" w:type="pct"/>
            <w:gridSpan w:val="2"/>
            <w:vAlign w:val="center"/>
          </w:tcPr>
          <w:p>
            <w:pPr>
              <w:pStyle w:val="a3"/>
              <w:ind w:firstLine="420"/>
              <w:rPr>
                <w:rFonts w:ascii="仿宋_GB2312" w:eastAsia="仿宋_GB2312"/>
              </w:rPr>
            </w:pPr>
            <w:r>
              <w:rPr>
                <w:rFonts w:ascii="仿宋_GB2312" w:eastAsia="仿宋_GB2312" w:hint="eastAsia"/>
              </w:rPr>
              <w:t>其它</w:t>
            </w:r>
          </w:p>
        </w:tc>
        <w:tc>
          <w:tcPr>
            <w:tcW w:w="3356" w:type="pct"/>
            <w:vAlign w:val="center"/>
          </w:tcPr>
          <w:p>
            <w:pPr>
              <w:pStyle w:val="a3"/>
              <w:ind w:firstLine="420"/>
              <w:jc w:val="left"/>
              <w:rPr>
                <w:rFonts w:ascii="仿宋_GB2312" w:eastAsia="仿宋_GB2312"/>
              </w:rPr>
            </w:pPr>
            <w:r>
              <w:rPr>
                <w:rFonts w:ascii="仿宋_GB2312" w:eastAsia="仿宋_GB2312" w:hint="eastAsia"/>
              </w:rPr>
              <w:t>防水、防霉、防盐雾、防风沙</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整机功耗（峰值）</w:t>
            </w:r>
          </w:p>
        </w:tc>
        <w:tc>
          <w:tcPr>
            <w:tcW w:w="3356" w:type="pct"/>
            <w:vAlign w:val="center"/>
          </w:tcPr>
          <w:p>
            <w:pPr>
              <w:pStyle w:val="a3"/>
              <w:ind w:firstLine="420"/>
              <w:jc w:val="left"/>
              <w:rPr>
                <w:rFonts w:ascii="仿宋_GB2312" w:eastAsia="仿宋_GB2312"/>
              </w:rPr>
            </w:pPr>
            <w:r>
              <w:rPr>
                <w:rFonts w:ascii="仿宋_GB2312" w:eastAsia="仿宋_GB2312" w:hint="eastAsia"/>
                <w:color w:val="000000"/>
              </w:rPr>
              <w:t>≤3000W</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平均无故障时间（Mean Time Between Failure , MTBF）</w:t>
            </w:r>
          </w:p>
        </w:tc>
        <w:tc>
          <w:tcPr>
            <w:tcW w:w="3356" w:type="pct"/>
            <w:vAlign w:val="center"/>
          </w:tcPr>
          <w:p>
            <w:pPr>
              <w:pStyle w:val="a3"/>
              <w:ind w:firstLine="420"/>
              <w:jc w:val="left"/>
              <w:rPr>
                <w:rFonts w:ascii="仿宋_GB2312" w:eastAsia="仿宋_GB2312"/>
              </w:rPr>
            </w:pPr>
            <w:r>
              <w:rPr>
                <w:rFonts w:ascii="仿宋_GB2312" w:eastAsia="仿宋_GB2312" w:hint="eastAsia"/>
              </w:rPr>
              <w:t>≥2500h</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平均故障修复时间（Mean Time To Repair , MTTR）</w:t>
            </w:r>
          </w:p>
        </w:tc>
        <w:tc>
          <w:tcPr>
            <w:tcW w:w="3356" w:type="pct"/>
            <w:vAlign w:val="center"/>
          </w:tcPr>
          <w:p>
            <w:pPr>
              <w:pStyle w:val="a3"/>
              <w:ind w:firstLine="420"/>
              <w:jc w:val="left"/>
              <w:rPr>
                <w:rFonts w:ascii="仿宋_GB2312" w:eastAsia="仿宋_GB2312"/>
              </w:rPr>
            </w:pPr>
            <w:r>
              <w:rPr>
                <w:rFonts w:ascii="仿宋_GB2312" w:eastAsia="仿宋_GB2312" w:hint="eastAsia"/>
                <w:color w:val="000000"/>
              </w:rPr>
              <w:t>≤1h</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连续工作时间</w:t>
            </w:r>
          </w:p>
        </w:tc>
        <w:tc>
          <w:tcPr>
            <w:tcW w:w="3356" w:type="pct"/>
            <w:vAlign w:val="center"/>
          </w:tcPr>
          <w:p>
            <w:pPr>
              <w:pStyle w:val="a3"/>
              <w:ind w:firstLine="420"/>
              <w:jc w:val="left"/>
              <w:rPr>
                <w:rFonts w:ascii="仿宋_GB2312" w:eastAsia="仿宋_GB2312"/>
              </w:rPr>
            </w:pPr>
            <w:r>
              <w:rPr>
                <w:rFonts w:ascii="仿宋_GB2312" w:eastAsia="仿宋_GB2312" w:hint="eastAsia"/>
              </w:rPr>
              <w:t>可24h连续工作</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架设方式</w:t>
            </w:r>
          </w:p>
        </w:tc>
        <w:tc>
          <w:tcPr>
            <w:tcW w:w="3356" w:type="pct"/>
            <w:vAlign w:val="center"/>
          </w:tcPr>
          <w:p>
            <w:pPr>
              <w:pStyle w:val="a3"/>
              <w:ind w:firstLine="420"/>
              <w:jc w:val="left"/>
              <w:rPr>
                <w:rFonts w:ascii="仿宋_GB2312" w:eastAsia="仿宋_GB2312"/>
              </w:rPr>
            </w:pPr>
            <w:r>
              <w:rPr>
                <w:rFonts w:ascii="仿宋_GB2312" w:eastAsia="仿宋_GB2312" w:hint="eastAsia"/>
              </w:rPr>
              <w:t>固定架设/移动平台式</w:t>
            </w:r>
          </w:p>
        </w:tc>
      </w:tr>
      <w:tr>
        <w:tblPrEx>
          <w:tblW w:w="5000" w:type="pct"/>
          <w:jc w:val="center"/>
          <w:tblLayout w:type="fixed"/>
          <w:tblCellMar>
            <w:top w:w="0" w:type="dxa"/>
            <w:left w:w="108" w:type="dxa"/>
            <w:bottom w:w="0" w:type="dxa"/>
            <w:right w:w="108" w:type="dxa"/>
          </w:tblCellMar>
        </w:tblPrEx>
        <w:trPr>
          <w:trHeight w:val="340"/>
          <w:jc w:val="center"/>
        </w:trPr>
        <w:tc>
          <w:tcPr>
            <w:tcW w:w="954" w:type="pct"/>
            <w:gridSpan w:val="2"/>
            <w:vAlign w:val="center"/>
          </w:tcPr>
          <w:p>
            <w:pPr>
              <w:pStyle w:val="a3"/>
              <w:ind w:firstLine="420"/>
              <w:rPr>
                <w:rFonts w:ascii="仿宋_GB2312" w:eastAsia="仿宋_GB2312"/>
              </w:rPr>
            </w:pPr>
            <w:r>
              <w:rPr>
                <w:rFonts w:ascii="仿宋_GB2312" w:eastAsia="仿宋_GB2312" w:hint="eastAsia"/>
              </w:rPr>
              <w:t>架设和拆收</w:t>
            </w:r>
          </w:p>
          <w:p>
            <w:pPr>
              <w:pStyle w:val="a3"/>
              <w:ind w:firstLine="420"/>
              <w:rPr>
                <w:rFonts w:ascii="仿宋_GB2312" w:eastAsia="仿宋_GB2312"/>
              </w:rPr>
            </w:pPr>
            <w:r>
              <w:rPr>
                <w:rFonts w:ascii="仿宋_GB2312" w:eastAsia="仿宋_GB2312" w:hint="eastAsia"/>
              </w:rPr>
              <w:t>（移动平台式雷达）</w:t>
            </w:r>
          </w:p>
        </w:tc>
        <w:tc>
          <w:tcPr>
            <w:tcW w:w="690" w:type="pct"/>
            <w:vAlign w:val="center"/>
          </w:tcPr>
          <w:p>
            <w:pPr>
              <w:pStyle w:val="a3"/>
              <w:ind w:firstLine="420"/>
              <w:rPr>
                <w:rFonts w:ascii="仿宋_GB2312" w:eastAsia="仿宋_GB2312"/>
              </w:rPr>
            </w:pPr>
            <w:r>
              <w:rPr>
                <w:rFonts w:ascii="仿宋_GB2312" w:eastAsia="仿宋_GB2312" w:hint="eastAsia"/>
              </w:rPr>
              <w:t>架设时间</w:t>
            </w:r>
          </w:p>
        </w:tc>
        <w:tc>
          <w:tcPr>
            <w:tcW w:w="3356" w:type="pct"/>
            <w:vAlign w:val="center"/>
          </w:tcPr>
          <w:p>
            <w:pPr>
              <w:pStyle w:val="a3"/>
              <w:ind w:firstLine="420"/>
              <w:jc w:val="left"/>
              <w:rPr>
                <w:rFonts w:ascii="仿宋_GB2312" w:eastAsia="仿宋_GB2312"/>
              </w:rPr>
            </w:pPr>
            <w:r>
              <w:rPr>
                <w:rFonts w:ascii="仿宋_GB2312" w:eastAsia="仿宋_GB2312" w:hint="eastAsia"/>
                <w:color w:val="000000"/>
              </w:rPr>
              <w:t>≤2h</w:t>
            </w:r>
          </w:p>
        </w:tc>
      </w:tr>
      <w:tr>
        <w:tblPrEx>
          <w:tblW w:w="5000" w:type="pct"/>
          <w:jc w:val="center"/>
          <w:tblLayout w:type="fixed"/>
          <w:tblCellMar>
            <w:top w:w="0" w:type="dxa"/>
            <w:left w:w="108" w:type="dxa"/>
            <w:bottom w:w="0" w:type="dxa"/>
            <w:right w:w="108" w:type="dxa"/>
          </w:tblCellMar>
        </w:tblPrEx>
        <w:trPr>
          <w:trHeight w:val="340"/>
          <w:jc w:val="center"/>
        </w:trPr>
        <w:tc>
          <w:tcPr>
            <w:tcW w:w="954" w:type="pct"/>
            <w:gridSpan w:val="2"/>
            <w:vAlign w:val="center"/>
          </w:tcPr>
          <w:p>
            <w:pPr>
              <w:pStyle w:val="a3"/>
              <w:ind w:firstLine="420"/>
              <w:rPr>
                <w:rFonts w:ascii="仿宋_GB2312" w:eastAsia="仿宋_GB2312"/>
              </w:rPr>
            </w:pPr>
          </w:p>
        </w:tc>
        <w:tc>
          <w:tcPr>
            <w:tcW w:w="690" w:type="pct"/>
            <w:vAlign w:val="center"/>
          </w:tcPr>
          <w:p>
            <w:pPr>
              <w:pStyle w:val="a3"/>
              <w:ind w:firstLine="420"/>
              <w:rPr>
                <w:rFonts w:ascii="仿宋_GB2312" w:eastAsia="仿宋_GB2312"/>
              </w:rPr>
            </w:pPr>
            <w:r>
              <w:rPr>
                <w:rFonts w:ascii="仿宋_GB2312" w:eastAsia="仿宋_GB2312" w:hint="eastAsia"/>
              </w:rPr>
              <w:t>拆收时间</w:t>
            </w:r>
          </w:p>
        </w:tc>
        <w:tc>
          <w:tcPr>
            <w:tcW w:w="3356" w:type="pct"/>
            <w:vAlign w:val="center"/>
          </w:tcPr>
          <w:p>
            <w:pPr>
              <w:pStyle w:val="a3"/>
              <w:ind w:firstLine="420"/>
              <w:jc w:val="left"/>
              <w:rPr>
                <w:rFonts w:ascii="仿宋_GB2312" w:eastAsia="仿宋_GB2312"/>
              </w:rPr>
            </w:pPr>
            <w:r>
              <w:rPr>
                <w:rFonts w:ascii="仿宋_GB2312" w:eastAsia="仿宋_GB2312" w:hint="eastAsia"/>
                <w:color w:val="000000"/>
              </w:rPr>
              <w:t>≤1h</w:t>
            </w:r>
          </w:p>
        </w:tc>
      </w:tr>
      <w:tr>
        <w:tblPrEx>
          <w:tblW w:w="5000" w:type="pct"/>
          <w:jc w:val="center"/>
          <w:tblLayout w:type="fixed"/>
          <w:tblCellMar>
            <w:top w:w="0" w:type="dxa"/>
            <w:left w:w="108" w:type="dxa"/>
            <w:bottom w:w="0" w:type="dxa"/>
            <w:right w:w="108" w:type="dxa"/>
          </w:tblCellMar>
        </w:tblPrEx>
        <w:trPr>
          <w:trHeight w:val="340"/>
          <w:jc w:val="center"/>
        </w:trPr>
        <w:tc>
          <w:tcPr>
            <w:tcW w:w="954" w:type="pct"/>
            <w:gridSpan w:val="2"/>
            <w:vAlign w:val="center"/>
          </w:tcPr>
          <w:p>
            <w:pPr>
              <w:pStyle w:val="a3"/>
              <w:ind w:firstLine="420"/>
              <w:rPr>
                <w:rFonts w:ascii="仿宋_GB2312" w:eastAsia="仿宋_GB2312"/>
              </w:rPr>
            </w:pPr>
          </w:p>
        </w:tc>
        <w:tc>
          <w:tcPr>
            <w:tcW w:w="690" w:type="pct"/>
            <w:vAlign w:val="center"/>
          </w:tcPr>
          <w:p>
            <w:pPr>
              <w:pStyle w:val="a3"/>
              <w:ind w:firstLine="420"/>
              <w:rPr>
                <w:rFonts w:ascii="仿宋_GB2312" w:eastAsia="仿宋_GB2312"/>
              </w:rPr>
            </w:pPr>
            <w:r>
              <w:rPr>
                <w:rFonts w:ascii="仿宋_GB2312" w:eastAsia="仿宋_GB2312" w:hint="eastAsia"/>
              </w:rPr>
              <w:t>所需人数</w:t>
            </w:r>
          </w:p>
        </w:tc>
        <w:tc>
          <w:tcPr>
            <w:tcW w:w="3356" w:type="pct"/>
            <w:vAlign w:val="center"/>
          </w:tcPr>
          <w:p>
            <w:pPr>
              <w:pStyle w:val="a3"/>
              <w:ind w:firstLine="420"/>
              <w:jc w:val="left"/>
              <w:rPr>
                <w:rFonts w:ascii="仿宋_GB2312" w:eastAsia="仿宋_GB2312"/>
              </w:rPr>
            </w:pPr>
            <w:r>
              <w:rPr>
                <w:rFonts w:ascii="仿宋_GB2312" w:eastAsia="仿宋_GB2312" w:hint="eastAsia"/>
                <w:color w:val="000000"/>
              </w:rPr>
              <w:t>≤3人</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运输方式</w:t>
            </w:r>
          </w:p>
        </w:tc>
        <w:tc>
          <w:tcPr>
            <w:tcW w:w="3356" w:type="pct"/>
            <w:vAlign w:val="center"/>
          </w:tcPr>
          <w:p>
            <w:pPr>
              <w:pStyle w:val="a3"/>
              <w:ind w:firstLine="420"/>
              <w:jc w:val="left"/>
              <w:rPr>
                <w:rFonts w:ascii="仿宋_GB2312" w:eastAsia="仿宋_GB2312"/>
              </w:rPr>
            </w:pPr>
            <w:r>
              <w:rPr>
                <w:rFonts w:ascii="仿宋_GB2312" w:eastAsia="仿宋_GB2312" w:hint="eastAsia"/>
              </w:rPr>
              <w:t>可人力拆卸，使用小型载重汽车运输。</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激光辐射安全性</w:t>
            </w:r>
          </w:p>
        </w:tc>
        <w:tc>
          <w:tcPr>
            <w:tcW w:w="3356" w:type="pct"/>
            <w:vAlign w:val="center"/>
          </w:tcPr>
          <w:p>
            <w:pPr>
              <w:pStyle w:val="a3"/>
              <w:ind w:firstLine="420"/>
              <w:jc w:val="left"/>
              <w:rPr>
                <w:rFonts w:ascii="仿宋_GB2312" w:eastAsia="仿宋_GB2312"/>
                <w:strike/>
              </w:rPr>
            </w:pPr>
            <w:r>
              <w:rPr>
                <w:rFonts w:ascii="仿宋_GB2312" w:eastAsia="仿宋_GB2312" w:hint="eastAsia"/>
              </w:rPr>
              <w:t>对于全光纤的系统要求准直扩束后满足GB 7247.1-2012人眼安全的系统要求光学窗口粘贴激光安全警示标识。</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互换性</w:t>
            </w:r>
          </w:p>
        </w:tc>
        <w:tc>
          <w:tcPr>
            <w:tcW w:w="3356" w:type="pct"/>
            <w:vAlign w:val="center"/>
          </w:tcPr>
          <w:p>
            <w:pPr>
              <w:pStyle w:val="a3"/>
              <w:ind w:firstLine="420"/>
              <w:jc w:val="left"/>
              <w:rPr>
                <w:rFonts w:ascii="仿宋_GB2312" w:eastAsia="仿宋_GB2312"/>
              </w:rPr>
            </w:pPr>
            <w:r>
              <w:rPr>
                <w:rFonts w:ascii="仿宋_GB2312" w:eastAsia="仿宋_GB2312" w:hint="eastAsia"/>
              </w:rPr>
              <w:t>测风激光雷达备份零件、部件、组件和功能单元均能在现场更换，无需调整而正常工作。</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电磁兼容性</w:t>
            </w:r>
          </w:p>
        </w:tc>
        <w:tc>
          <w:tcPr>
            <w:tcW w:w="3356" w:type="pct"/>
            <w:vAlign w:val="center"/>
          </w:tcPr>
          <w:p>
            <w:pPr>
              <w:pStyle w:val="a3"/>
              <w:ind w:firstLine="420"/>
              <w:jc w:val="left"/>
              <w:rPr>
                <w:rFonts w:ascii="仿宋_GB2312" w:eastAsia="仿宋_GB2312"/>
              </w:rPr>
            </w:pPr>
            <w:r>
              <w:rPr>
                <w:rFonts w:ascii="仿宋_GB2312" w:eastAsia="仿宋_GB2312" w:hint="eastAsia"/>
              </w:rPr>
              <w:t>测风激光雷达具有市电滤波和防电磁干扰的能力，设置静电屏蔽、磁屏蔽、电磁屏蔽，模拟地线、数字地线和安全地线严格分开，油机地线和避雷地线要单独接地。</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安全性</w:t>
            </w:r>
          </w:p>
        </w:tc>
        <w:tc>
          <w:tcPr>
            <w:tcW w:w="3356" w:type="pct"/>
            <w:vAlign w:val="center"/>
          </w:tcPr>
          <w:p>
            <w:pPr>
              <w:pStyle w:val="a3"/>
              <w:ind w:firstLine="420"/>
              <w:jc w:val="left"/>
              <w:rPr>
                <w:rFonts w:ascii="仿宋_GB2312" w:eastAsia="仿宋_GB2312"/>
              </w:rPr>
            </w:pPr>
            <w:r>
              <w:rPr>
                <w:rFonts w:ascii="仿宋_GB2312" w:eastAsia="仿宋_GB2312" w:hint="eastAsia"/>
              </w:rPr>
              <w:t>测风激光雷达应有安全性设计，确保测风激光雷达按规定条件进行制造、安装、运输、贮存、使用和维护时的人身安全和设备安全。</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绝缘性</w:t>
            </w:r>
          </w:p>
        </w:tc>
        <w:tc>
          <w:tcPr>
            <w:tcW w:w="3356" w:type="pct"/>
            <w:vAlign w:val="center"/>
          </w:tcPr>
          <w:p>
            <w:pPr>
              <w:pStyle w:val="a3"/>
              <w:ind w:firstLine="420"/>
              <w:jc w:val="left"/>
              <w:rPr>
                <w:rFonts w:ascii="仿宋_GB2312" w:eastAsia="仿宋_GB2312"/>
              </w:rPr>
            </w:pPr>
            <w:r>
              <w:rPr>
                <w:rFonts w:ascii="仿宋_GB2312" w:eastAsia="仿宋_GB2312" w:hint="eastAsia"/>
              </w:rPr>
              <w:t>测风激光雷达各初级电源与大地间绝缘电阻应大于20MΩ。</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外观质量</w:t>
            </w:r>
          </w:p>
        </w:tc>
        <w:tc>
          <w:tcPr>
            <w:tcW w:w="3356" w:type="pct"/>
            <w:vAlign w:val="center"/>
          </w:tcPr>
          <w:p>
            <w:pPr>
              <w:pStyle w:val="a3"/>
              <w:ind w:firstLine="420"/>
              <w:jc w:val="left"/>
              <w:rPr>
                <w:rFonts w:ascii="仿宋_GB2312" w:eastAsia="仿宋_GB2312"/>
              </w:rPr>
            </w:pPr>
            <w:r>
              <w:rPr>
                <w:rFonts w:ascii="仿宋_GB2312" w:eastAsia="仿宋_GB2312" w:hint="eastAsia"/>
              </w:rPr>
              <w:t>测风激光雷达整体形象应协调一致。外表面应无凹痕、碰伤、裂痕和变形等缺陷；镀涂层不起泡、龟裂和脱落；金属零件无锈蚀、毛刺及其它机械损伤。</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标记与代号</w:t>
            </w:r>
          </w:p>
        </w:tc>
        <w:tc>
          <w:tcPr>
            <w:tcW w:w="3356" w:type="pct"/>
            <w:vAlign w:val="center"/>
          </w:tcPr>
          <w:p>
            <w:pPr>
              <w:pStyle w:val="a3"/>
              <w:ind w:firstLine="420"/>
              <w:jc w:val="left"/>
              <w:rPr>
                <w:rFonts w:ascii="仿宋_GB2312" w:eastAsia="仿宋_GB2312"/>
              </w:rPr>
            </w:pPr>
            <w:r>
              <w:rPr>
                <w:rFonts w:ascii="仿宋_GB2312" w:eastAsia="仿宋_GB2312" w:hint="eastAsia"/>
              </w:rPr>
              <w:t>机柜、机箱、插件和线缆等应有统一的编号和标记，符合国家标准。印制板、主要元器件等应在相应位置印有与电路图中项目代号相符的标记。标记的文字、字母和符号应完整、规范、清晰和牢固，且便于识读。</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环境噪声要求</w:t>
            </w:r>
          </w:p>
        </w:tc>
        <w:tc>
          <w:tcPr>
            <w:tcW w:w="3356" w:type="pct"/>
            <w:vAlign w:val="center"/>
          </w:tcPr>
          <w:p>
            <w:pPr>
              <w:pStyle w:val="a3"/>
              <w:ind w:firstLine="420"/>
              <w:jc w:val="left"/>
              <w:rPr>
                <w:rFonts w:ascii="仿宋_GB2312" w:eastAsia="仿宋_GB2312"/>
              </w:rPr>
            </w:pPr>
            <w:r>
              <w:rPr>
                <w:rFonts w:ascii="仿宋_GB2312" w:eastAsia="仿宋_GB2312" w:hint="eastAsia"/>
              </w:rPr>
              <w:t>测风激光雷达架设现场和终端操作室均不大于65dB，发电机不大于85dB。</w:t>
            </w:r>
          </w:p>
        </w:tc>
      </w:tr>
      <w:tr>
        <w:tblPrEx>
          <w:tblW w:w="5000" w:type="pct"/>
          <w:jc w:val="center"/>
          <w:tblLayout w:type="fixed"/>
          <w:tblCellMar>
            <w:top w:w="0" w:type="dxa"/>
            <w:left w:w="108" w:type="dxa"/>
            <w:bottom w:w="0" w:type="dxa"/>
            <w:right w:w="108" w:type="dxa"/>
          </w:tblCellMar>
        </w:tblPrEx>
        <w:trPr>
          <w:trHeight w:val="340"/>
          <w:jc w:val="center"/>
        </w:trPr>
        <w:tc>
          <w:tcPr>
            <w:tcW w:w="1644" w:type="pct"/>
            <w:gridSpan w:val="3"/>
            <w:vAlign w:val="center"/>
          </w:tcPr>
          <w:p>
            <w:pPr>
              <w:pStyle w:val="a3"/>
              <w:ind w:firstLine="420"/>
              <w:rPr>
                <w:rFonts w:ascii="仿宋_GB2312" w:eastAsia="仿宋_GB2312"/>
              </w:rPr>
            </w:pPr>
            <w:r>
              <w:rPr>
                <w:rFonts w:ascii="仿宋_GB2312" w:eastAsia="仿宋_GB2312" w:hint="eastAsia"/>
              </w:rPr>
              <w:t>测风激光雷达应有的铭牌内容</w:t>
            </w:r>
          </w:p>
        </w:tc>
        <w:tc>
          <w:tcPr>
            <w:tcW w:w="3356" w:type="pct"/>
            <w:vAlign w:val="center"/>
          </w:tcPr>
          <w:p>
            <w:pPr>
              <w:pStyle w:val="a3"/>
              <w:ind w:firstLine="420"/>
              <w:jc w:val="left"/>
              <w:rPr>
                <w:rFonts w:ascii="仿宋_GB2312" w:eastAsia="仿宋_GB2312"/>
              </w:rPr>
            </w:pPr>
            <w:r>
              <w:rPr>
                <w:rFonts w:ascii="仿宋_GB2312" w:eastAsia="仿宋_GB2312" w:hint="eastAsia"/>
              </w:rPr>
              <w:t>测风激光雷达的名称、型号（代号）；出厂编号；出厂年月；制造厂商标。</w:t>
            </w:r>
          </w:p>
        </w:tc>
      </w:tr>
    </w:tbl>
    <w:p>
      <w:pPr>
        <w:widowControl/>
        <w:ind w:firstLine="562"/>
        <w:jc w:val="left"/>
        <w:rPr>
          <w:rFonts w:ascii="宋体" w:hAnsi="宋体" w:hint="eastAsia"/>
          <w:b/>
          <w:sz w:val="28"/>
          <w:szCs w:val="21"/>
        </w:rPr>
      </w:pPr>
      <w:r>
        <w:rPr>
          <w:rFonts w:ascii="宋体" w:hAnsi="宋体" w:hint="eastAsia"/>
          <w:b/>
          <w:sz w:val="28"/>
          <w:szCs w:val="21"/>
        </w:rPr>
        <w:t>四、应用软件</w:t>
      </w:r>
    </w:p>
    <w:p>
      <w:pPr>
        <w:ind w:firstLine="420"/>
        <w:rPr>
          <w:rFonts w:hint="eastAsia"/>
        </w:rPr>
      </w:pPr>
      <w:r>
        <w:rPr>
          <w:rFonts w:hint="eastAsia"/>
        </w:rPr>
        <w:t>1、投标产品软件需求</w:t>
      </w:r>
    </w:p>
    <w:p>
      <w:pPr>
        <w:ind w:firstLine="420"/>
        <w:rPr>
          <w:rFonts w:hint="eastAsia"/>
        </w:rPr>
      </w:pPr>
      <w:r>
        <w:rPr>
          <w:rFonts w:hint="eastAsia"/>
        </w:rPr>
        <w:t>（a）采集控制软件</w:t>
      </w:r>
    </w:p>
    <w:p>
      <w:pPr>
        <w:ind w:firstLine="420"/>
        <w:rPr>
          <w:rFonts w:hint="eastAsia"/>
        </w:rPr>
      </w:pPr>
      <w:r>
        <w:rPr>
          <w:rFonts w:hint="eastAsia"/>
        </w:rPr>
        <w:t>包含雷达设备状态监控、参数配置、数据采集与控制管理，实现实时监视测风激光雷达核心部件运行状态，支持启停控制与异常报警，具备数据采集与解析能力，可计算多层风速、风向及合成风数据，支持多种扫描模式定制。支持安装方位校准，具备本地数据存储防丢失功能。</w:t>
      </w:r>
    </w:p>
    <w:p>
      <w:pPr>
        <w:ind w:firstLine="420"/>
        <w:rPr>
          <w:rFonts w:hint="eastAsia"/>
        </w:rPr>
      </w:pPr>
      <w:r>
        <w:rPr>
          <w:rFonts w:hint="eastAsia"/>
        </w:rPr>
        <w:t>（b）数据分析软件</w:t>
      </w:r>
    </w:p>
    <w:p>
      <w:pPr>
        <w:ind w:firstLine="420"/>
        <w:rPr>
          <w:rFonts w:hint="eastAsia"/>
        </w:rPr>
      </w:pPr>
      <w:r>
        <w:rPr>
          <w:rFonts w:hint="eastAsia"/>
        </w:rPr>
        <w:t>实时处理采集数据，支持多观测模式可视化展示，输出水平/垂直风速风向、风切变、湍流强度等核心数据产品。可绘制风廓线图、时间序列图等，支持三维风场重构，具备数据查询、统计对比及多格式导出功能，提供可视化图谱。</w:t>
      </w:r>
    </w:p>
    <w:p>
      <w:pPr>
        <w:ind w:firstLine="420"/>
        <w:rPr>
          <w:rFonts w:hint="eastAsia"/>
        </w:rPr>
      </w:pPr>
      <w:r>
        <w:rPr>
          <w:rFonts w:hint="eastAsia"/>
        </w:rPr>
        <w:t>（c）数据上传软件</w:t>
      </w:r>
    </w:p>
    <w:p>
      <w:pPr>
        <w:ind w:firstLine="420"/>
        <w:rPr>
          <w:rFonts w:hint="eastAsia"/>
        </w:rPr>
      </w:pPr>
      <w:r>
        <w:rPr>
          <w:rFonts w:hint="eastAsia"/>
        </w:rPr>
        <w:t>支持FTP/SFTP/FTPS等上传方式。具备可视化操作界面，可配置上传参数，显示上传进度并记录日志，支持多地址管理与上传。</w:t>
      </w:r>
    </w:p>
    <w:p>
      <w:pPr>
        <w:ind w:firstLine="420"/>
        <w:rPr>
          <w:rFonts w:hint="eastAsia"/>
        </w:rPr>
      </w:pPr>
      <w:r>
        <w:rPr>
          <w:rFonts w:hint="eastAsia"/>
        </w:rPr>
        <w:t>(d）产品兼容性</w:t>
      </w:r>
    </w:p>
    <w:p>
      <w:pPr>
        <w:ind w:firstLine="420"/>
        <w:rPr>
          <w:rFonts w:hint="eastAsia"/>
        </w:rPr>
      </w:pPr>
      <w:r>
        <w:rPr>
          <w:rFonts w:hint="eastAsia"/>
        </w:rPr>
        <w:t>软件支持Windows、Linux及国产信创操作系统，预留多类型标准化接口；数据支持CSV、XML等主流格式导出，可接入现有气象数据平台。</w:t>
      </w:r>
    </w:p>
    <w:p>
      <w:pPr>
        <w:ind w:firstLine="420"/>
        <w:rPr>
          <w:rFonts w:hint="eastAsia"/>
        </w:rPr>
      </w:pPr>
      <w:r>
        <w:rPr>
          <w:rFonts w:hint="eastAsia"/>
        </w:rPr>
        <w:t>2. 投标产品组网服务需求</w:t>
      </w:r>
    </w:p>
    <w:p>
      <w:pPr>
        <w:ind w:firstLine="420"/>
        <w:rPr>
          <w:rFonts w:hint="eastAsia"/>
        </w:rPr>
      </w:pPr>
      <w:r>
        <w:rPr>
          <w:rFonts w:hint="eastAsia"/>
        </w:rPr>
        <w:t>系统应实现多设备集中管理与数据共享。每台设备应内置标准化 WebAPI 接口（遵循 RESTful 架构），支持远程启停、参数配置、状态查询及故障诊断。设备内置 MQTT 客户端，实时上报运行状态、部件参数及报警信息，消息格式采用标准化结构（如 JSON），确保数据通信安全与可靠。系统应支持不少于 20 台设备同时接入，实现集中注册、统一调度与批量管理，并具备设备状态可视化、权限控制及日志审计功能。数据应通过安全通道实时上传至中心服务器，支持与省局一体化平台标准接口对接，实现数据互联互通。系统应具备断连重连、时间同步与高可靠性通信机制，支持国产信创软硬件环境下的稳定运行。</w:t>
      </w:r>
    </w:p>
    <w:p>
      <w:pPr>
        <w:ind w:firstLine="420"/>
        <w:rPr>
          <w:rFonts w:hint="eastAsia"/>
        </w:rPr>
      </w:pPr>
    </w:p>
    <w:p>
      <w:pPr>
        <w:ind w:firstLine="420"/>
        <w:rPr>
          <w:rFonts w:hint="eastAsia"/>
        </w:rPr>
      </w:pPr>
      <w:r>
        <w:rPr>
          <w:rFonts w:hint="eastAsia"/>
        </w:rPr>
        <w:t>3. 投标产品组件开发及产品展示需求</w:t>
      </w:r>
    </w:p>
    <w:p>
      <w:pPr>
        <w:ind w:firstLine="420"/>
        <w:rPr>
          <w:rFonts w:hint="eastAsia"/>
        </w:rPr>
      </w:pPr>
      <w:r>
        <w:rPr>
          <w:rFonts w:hint="eastAsia"/>
        </w:rPr>
        <w:t>软件采用组件化设计，核心功能模块独立封装并预留标准化接口，便于扩展与平台接入。产品应实现实时数据展示与多维可视化分析，支持风速、风向、湍流强度、信噪比等气象参数的图形化呈现和多站点对比。界面应响应式设计，适配 PC、大屏及移动端显示，提供数据查询、统计分析及多格式导出功能。系统应支持双向数据交互，与省局平台共享数据与任务信息；具备良好扩展性与维护性，支持远程更新与组件级升级，确保长期稳定运行。</w:t>
      </w:r>
    </w:p>
    <w:p>
      <w:pPr>
        <w:widowControl/>
        <w:ind w:firstLine="562"/>
        <w:jc w:val="left"/>
        <w:rPr>
          <w:rFonts w:ascii="宋体" w:hAnsi="宋体"/>
          <w:b/>
          <w:sz w:val="28"/>
          <w:szCs w:val="21"/>
        </w:rPr>
      </w:pPr>
      <w:r>
        <w:rPr>
          <w:rFonts w:ascii="宋体" w:hAnsi="宋体" w:hint="eastAsia"/>
          <w:b/>
          <w:sz w:val="28"/>
          <w:szCs w:val="21"/>
        </w:rPr>
        <w:t>五</w:t>
      </w:r>
      <w:r>
        <w:rPr>
          <w:rFonts w:ascii="宋体" w:hAnsi="宋体"/>
          <w:b/>
          <w:sz w:val="28"/>
          <w:szCs w:val="21"/>
        </w:rPr>
        <w:t>、</w:t>
      </w:r>
      <w:r>
        <w:rPr>
          <w:rFonts w:ascii="宋体" w:hAnsi="宋体" w:hint="eastAsia"/>
          <w:b/>
          <w:sz w:val="28"/>
          <w:szCs w:val="21"/>
        </w:rPr>
        <w:t>供货要求</w:t>
      </w:r>
    </w:p>
    <w:p>
      <w:pPr>
        <w:ind w:firstLine="420"/>
      </w:pPr>
      <w:r>
        <w:rPr>
          <w:rFonts w:hint="eastAsia"/>
        </w:rPr>
        <w:t>供应商将所有设备运送到招标人指定地点（运输相关费用由供应商负责），并负责安装调试。</w:t>
      </w:r>
    </w:p>
    <w:p>
      <w:r>
        <w:rPr>
          <w:rFonts w:hint="eastAsia"/>
        </w:rPr>
        <w:t>合同签订后90天内交货，120天内完成安装调试并具备验收条件。</w:t>
      </w:r>
    </w:p>
    <w:p>
      <w:pPr>
        <w:widowControl/>
        <w:ind w:firstLine="562"/>
        <w:jc w:val="left"/>
        <w:rPr>
          <w:rFonts w:ascii="宋体" w:hAnsi="宋体"/>
          <w:b/>
        </w:rPr>
      </w:pPr>
      <w:r>
        <w:rPr>
          <w:rFonts w:ascii="宋体" w:hAnsi="宋体" w:hint="eastAsia"/>
          <w:b/>
          <w:sz w:val="28"/>
          <w:szCs w:val="21"/>
        </w:rPr>
        <w:t>六</w:t>
      </w:r>
      <w:r>
        <w:rPr>
          <w:rFonts w:ascii="宋体" w:hAnsi="宋体"/>
          <w:b/>
          <w:sz w:val="28"/>
          <w:szCs w:val="21"/>
        </w:rPr>
        <w:t>、</w:t>
      </w:r>
      <w:r>
        <w:rPr>
          <w:rFonts w:ascii="宋体" w:hAnsi="宋体" w:hint="eastAsia"/>
          <w:b/>
          <w:sz w:val="28"/>
          <w:szCs w:val="21"/>
        </w:rPr>
        <w:t>服务要求</w:t>
      </w:r>
    </w:p>
    <w:p>
      <w:pPr>
        <w:rPr>
          <w:rFonts w:ascii="宋体" w:hAnsi="宋体" w:cs="宋体"/>
          <w:szCs w:val="21"/>
        </w:rPr>
      </w:pPr>
      <w:r>
        <w:rPr>
          <w:rFonts w:ascii="宋体" w:hAnsi="宋体" w:hint="eastAsia"/>
          <w:b/>
          <w:sz w:val="22"/>
          <w:szCs w:val="24"/>
        </w:rPr>
        <w:t xml:space="preserve">   </w:t>
      </w:r>
      <w:r>
        <w:rPr>
          <w:rFonts w:ascii="宋体" w:hAnsi="宋体" w:cs="宋体" w:hint="eastAsia"/>
          <w:szCs w:val="21"/>
        </w:rPr>
        <w:t>5.1技术服务</w:t>
      </w:r>
    </w:p>
    <w:p>
      <w:pPr>
        <w:spacing w:line="360" w:lineRule="auto"/>
        <w:ind w:firstLine="420" w:firstLineChars="200"/>
        <w:rPr>
          <w:rFonts w:ascii="宋体" w:hAnsi="宋体" w:cs="宋体"/>
          <w:szCs w:val="21"/>
        </w:rPr>
      </w:pPr>
      <w:r>
        <w:rPr>
          <w:rFonts w:ascii="宋体" w:hAnsi="宋体" w:cs="宋体" w:hint="eastAsia"/>
          <w:szCs w:val="21"/>
        </w:rPr>
        <w:t>（1）设备供应商需提供详细技术服务方案，包括但不限于：设备安装建设规范、设备工作原理、设备部件结构组成、设备操作手册、设备运行维护手册、设备软件使用手册、相关产品算法说明文档等。</w:t>
      </w:r>
    </w:p>
    <w:p>
      <w:pPr>
        <w:spacing w:line="360" w:lineRule="auto"/>
        <w:ind w:firstLine="420" w:firstLineChars="200"/>
        <w:rPr>
          <w:rFonts w:ascii="宋体" w:hAnsi="宋体" w:cs="宋体"/>
          <w:szCs w:val="21"/>
        </w:rPr>
      </w:pPr>
      <w:r>
        <w:rPr>
          <w:rFonts w:ascii="宋体" w:hAnsi="宋体" w:cs="宋体" w:hint="eastAsia"/>
          <w:szCs w:val="21"/>
        </w:rPr>
        <w:t>（2）设备供应商需提供详细售后服务方案，包括设备售后服务组织机构、人员组成、技术支持文档等。其中，售后服务组织机构设置合理，人员技术能力强，技术文档内容全面。</w:t>
      </w:r>
    </w:p>
    <w:p>
      <w:pPr>
        <w:spacing w:line="360" w:lineRule="auto"/>
        <w:ind w:firstLine="420" w:firstLineChars="200"/>
        <w:rPr>
          <w:rFonts w:ascii="宋体" w:hAnsi="宋体" w:cs="宋体"/>
          <w:szCs w:val="21"/>
        </w:rPr>
      </w:pPr>
      <w:r>
        <w:rPr>
          <w:rFonts w:ascii="宋体" w:hAnsi="宋体" w:cs="宋体" w:hint="eastAsia"/>
          <w:szCs w:val="21"/>
        </w:rPr>
        <w:t>（3）设备供应商对每套投标产品提供至少2次线下技术培训，培训内容包括设备安装、使用、日常维护、观测原理及产品应用，培训时间及地点双方协商确定。</w:t>
      </w:r>
    </w:p>
    <w:p>
      <w:pPr>
        <w:spacing w:line="360" w:lineRule="auto"/>
        <w:ind w:firstLine="420" w:firstLineChars="200"/>
        <w:rPr>
          <w:rFonts w:ascii="宋体" w:hAnsi="宋体" w:cs="宋体"/>
          <w:szCs w:val="21"/>
        </w:rPr>
      </w:pPr>
      <w:r>
        <w:rPr>
          <w:rFonts w:ascii="宋体" w:hAnsi="宋体" w:cs="宋体" w:hint="eastAsia"/>
          <w:szCs w:val="21"/>
        </w:rPr>
        <w:t>（4）设备供应商每年对每套投标产品提供2次巡检、巡查服务，巡检、巡查时间及地点按甲方要求执行。</w:t>
      </w:r>
    </w:p>
    <w:p>
      <w:pPr>
        <w:spacing w:line="360" w:lineRule="auto"/>
        <w:ind w:firstLine="420" w:firstLineChars="200"/>
        <w:rPr>
          <w:rFonts w:ascii="宋体" w:hAnsi="宋体" w:cs="宋体"/>
          <w:szCs w:val="21"/>
        </w:rPr>
      </w:pPr>
      <w:r>
        <w:rPr>
          <w:rFonts w:ascii="宋体" w:hAnsi="宋体" w:cs="宋体" w:hint="eastAsia"/>
          <w:szCs w:val="21"/>
        </w:rPr>
        <w:t>5.2质保期服务</w:t>
      </w:r>
    </w:p>
    <w:p>
      <w:pPr>
        <w:spacing w:line="360" w:lineRule="auto"/>
        <w:ind w:firstLine="420" w:firstLineChars="200"/>
        <w:rPr>
          <w:rFonts w:ascii="宋体" w:hAnsi="宋体" w:cs="宋体"/>
          <w:szCs w:val="21"/>
        </w:rPr>
      </w:pPr>
      <w:r>
        <w:rPr>
          <w:rFonts w:ascii="宋体" w:hAnsi="宋体" w:cs="宋体" w:hint="eastAsia"/>
          <w:szCs w:val="21"/>
        </w:rPr>
        <w:t>中标方按照业务运行规范要求执行，确保设备可稳定运行，主要工作包括：汛前巡检、年维护等巡检巡查工作，以及关键器件及系统故障的维修等。</w:t>
      </w:r>
    </w:p>
    <w:p>
      <w:pPr>
        <w:spacing w:line="360" w:lineRule="auto"/>
        <w:ind w:firstLine="420" w:firstLineChars="200"/>
        <w:rPr>
          <w:rFonts w:ascii="宋体" w:hAnsi="宋体" w:cs="宋体"/>
          <w:szCs w:val="21"/>
        </w:rPr>
      </w:pPr>
      <w:r>
        <w:rPr>
          <w:rFonts w:ascii="宋体" w:hAnsi="宋体" w:cs="宋体" w:hint="eastAsia"/>
          <w:szCs w:val="21"/>
        </w:rPr>
        <w:t>（1）设备供应商对所有设备提供自业务验收合格后8年的质保服务。保修期内因设备设计、质量出现问题，均由设备供应商即时无偿解决（包括更换器件）；设备安装后的试运行期间（六个月）内，遇设备故障或数据明显异常、性能不达标等，中标人负责24小时内到站对故障设备进行测试和更换，48小时内设备正常投入业务运行。需提供设备质保承诺函原件（格式自拟）</w:t>
      </w:r>
    </w:p>
    <w:p>
      <w:pPr>
        <w:spacing w:line="360" w:lineRule="auto"/>
        <w:ind w:firstLine="420" w:firstLineChars="200"/>
        <w:rPr>
          <w:rFonts w:ascii="宋体" w:hAnsi="宋体" w:cs="宋体"/>
          <w:szCs w:val="21"/>
        </w:rPr>
      </w:pPr>
      <w:r>
        <w:rPr>
          <w:rFonts w:ascii="宋体" w:hAnsi="宋体" w:cs="宋体" w:hint="eastAsia"/>
          <w:szCs w:val="21"/>
        </w:rPr>
        <w:t>（2）在质保期内，设备供应商服务时间应为7×24小时，当投标产品或软件遭到损坏或出现故障时，要在用户报修之时起2小时内做出响应，并在24小时内到达现场，开展维修维护工作，48小时内设备正常投入业务运行。</w:t>
      </w:r>
    </w:p>
    <w:p>
      <w:pPr>
        <w:spacing w:line="360" w:lineRule="auto"/>
        <w:ind w:firstLine="420" w:firstLineChars="200"/>
      </w:pPr>
      <w:r>
        <w:rPr>
          <w:rFonts w:ascii="宋体" w:hAnsi="宋体" w:cs="宋体" w:hint="eastAsia"/>
          <w:szCs w:val="21"/>
        </w:rPr>
        <w:t>（3）提供设备全部备件价格清单。质保期过后，设备供应商仍按照备件价格清单提供技术服务（包括提供设备维护、备件等）。</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94"/>
        <w:gridCol w:w="1126"/>
        <w:gridCol w:w="1095"/>
        <w:gridCol w:w="1496"/>
        <w:gridCol w:w="1706"/>
        <w:gridCol w:w="1161"/>
        <w:gridCol w:w="1047"/>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激光雷达</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8,000,000.00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14"/>
        <w:gridCol w:w="2077"/>
        <w:gridCol w:w="843"/>
        <w:gridCol w:w="514"/>
        <w:gridCol w:w="1172"/>
        <w:gridCol w:w="977"/>
        <w:gridCol w:w="843"/>
        <w:gridCol w:w="15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无锡市气象局(001040022)</w:t>
            </w:r>
          </w:p>
        </w:tc>
        <w:tc>
          <w:tcPr/>
          <w:p>
            <w:r>
              <w:t>激光雷达</w:t>
            </w:r>
          </w:p>
        </w:tc>
        <w:tc>
          <w:tcPr/>
          <w:p>
            <w:r>
              <w:t>1</w:t>
            </w:r>
          </w:p>
        </w:tc>
        <w:tc>
          <w:tcPr/>
          <w:p>
            <w:r>
              <w:t>2000000.00</w:t>
            </w:r>
          </w:p>
        </w:tc>
        <w:tc>
          <w:tcPr>
            <w:vMerge w:val="restart"/>
          </w:tcPr>
          <w:p>
            <w:r>
              <w:t xml:space="preserve">2000000.00  </w:t>
            </w:r>
          </w:p>
        </w:tc>
        <w:tc>
          <w:tcPr/>
          <w:p>
            <w:r>
              <w:t>无锡市</w:t>
            </w:r>
          </w:p>
        </w:tc>
        <w:tc>
          <w:tcPr/>
          <w:p>
            <w:r>
              <w:t>胡少栋13861463675</w:t>
            </w:r>
          </w:p>
        </w:tc>
      </w:tr>
      <w:tr>
        <w:tblPrEx>
          <w:tblW w:w="5000" w:type="pct"/>
          <w:tblCellMar>
            <w:left w:w="108" w:type="dxa"/>
            <w:right w:w="108" w:type="dxa"/>
          </w:tblCellMar>
        </w:tblPrEx>
        <w:tc>
          <w:tcPr/>
          <w:p>
            <w:r>
              <w:t>2</w:t>
            </w:r>
          </w:p>
        </w:tc>
        <w:tc>
          <w:tcPr/>
          <w:p>
            <w:r>
              <w:t>徐州市气象局(001040023)</w:t>
            </w:r>
          </w:p>
        </w:tc>
        <w:tc>
          <w:tcPr/>
          <w:p>
            <w:r>
              <w:t>激光雷达</w:t>
            </w:r>
          </w:p>
        </w:tc>
        <w:tc>
          <w:tcPr/>
          <w:p>
            <w:r>
              <w:t>1</w:t>
            </w:r>
          </w:p>
        </w:tc>
        <w:tc>
          <w:tcPr/>
          <w:p>
            <w:r>
              <w:t>2000000.00</w:t>
            </w:r>
          </w:p>
        </w:tc>
        <w:tc>
          <w:tcPr/>
          <w:p>
            <w:r>
              <w:t xml:space="preserve">2000000.00 </w:t>
            </w:r>
          </w:p>
        </w:tc>
        <w:tc>
          <w:tcPr/>
          <w:p>
            <w:r>
              <w:t>徐州市</w:t>
            </w:r>
          </w:p>
        </w:tc>
        <w:tc>
          <w:tcPr/>
          <w:p>
            <w:r>
              <w:t>段培法18751719911</w:t>
            </w:r>
          </w:p>
        </w:tc>
      </w:tr>
      <w:tr>
        <w:tblPrEx>
          <w:tblW w:w="5000" w:type="pct"/>
          <w:tblCellMar>
            <w:left w:w="108" w:type="dxa"/>
            <w:right w:w="108" w:type="dxa"/>
          </w:tblCellMar>
        </w:tblPrEx>
        <w:tc>
          <w:tcPr/>
          <w:p>
            <w:r>
              <w:t>3</w:t>
            </w:r>
          </w:p>
        </w:tc>
        <w:tc>
          <w:tcPr/>
          <w:p>
            <w:r>
              <w:t>常州市气象局(001040024)</w:t>
            </w:r>
          </w:p>
        </w:tc>
        <w:tc>
          <w:tcPr/>
          <w:p>
            <w:r>
              <w:t>激光雷达</w:t>
            </w:r>
          </w:p>
        </w:tc>
        <w:tc>
          <w:tcPr/>
          <w:p>
            <w:r>
              <w:t>1</w:t>
            </w:r>
          </w:p>
        </w:tc>
        <w:tc>
          <w:tcPr/>
          <w:p>
            <w:r>
              <w:t>2000000.00</w:t>
            </w:r>
          </w:p>
        </w:tc>
        <w:tc>
          <w:tcPr/>
          <w:p>
            <w:r>
              <w:t xml:space="preserve">2000000.00  </w:t>
            </w:r>
          </w:p>
        </w:tc>
        <w:tc>
          <w:tcPr/>
          <w:p>
            <w:r>
              <w:t>常州市</w:t>
            </w:r>
          </w:p>
        </w:tc>
        <w:tc>
          <w:tcPr/>
          <w:p>
            <w:r>
              <w:t>刘文伟18912309630</w:t>
            </w:r>
          </w:p>
        </w:tc>
      </w:tr>
      <w:tr>
        <w:tblPrEx>
          <w:tblW w:w="5000" w:type="pct"/>
          <w:tblCellMar>
            <w:left w:w="108" w:type="dxa"/>
            <w:right w:w="108" w:type="dxa"/>
          </w:tblCellMar>
        </w:tblPrEx>
        <w:tc>
          <w:tcPr/>
          <w:p>
            <w:r>
              <w:t>4</w:t>
            </w:r>
          </w:p>
        </w:tc>
        <w:tc>
          <w:tcPr/>
          <w:p>
            <w:r>
              <w:t>扬中市局(001040031011)</w:t>
            </w:r>
          </w:p>
        </w:tc>
        <w:tc>
          <w:tcPr/>
          <w:p>
            <w:r>
              <w:t>激光雷达</w:t>
            </w:r>
          </w:p>
        </w:tc>
        <w:tc>
          <w:tcPr/>
          <w:p>
            <w:r>
              <w:t>1</w:t>
            </w:r>
          </w:p>
        </w:tc>
        <w:tc>
          <w:tcPr/>
          <w:p>
            <w:r>
              <w:t>2000000.00</w:t>
            </w:r>
          </w:p>
        </w:tc>
        <w:tc>
          <w:tcPr/>
          <w:p>
            <w:r>
              <w:t xml:space="preserve">2000000.00 </w:t>
            </w:r>
          </w:p>
        </w:tc>
        <w:tc>
          <w:tcPr/>
          <w:p>
            <w:r>
              <w:t>扬中市</w:t>
            </w:r>
          </w:p>
        </w:tc>
        <w:tc>
          <w:tcPr/>
          <w:p>
            <w:r>
              <w:t>虞超18052816680</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pStyle w:val="2"/>
        <w:keepNext w:val="0"/>
        <w:keepLines w:val="0"/>
        <w:numPr>
          <w:ilvl w:val="0"/>
          <w:numId w:val="0"/>
        </w:numPr>
        <w:spacing w:before="156" w:beforeLines="50" w:after="0" w:line="360" w:lineRule="auto"/>
        <w:jc w:val="center"/>
        <w:rPr>
          <w:color w:val="auto"/>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5"/>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pPr>
              <w:tabs>
                <w:tab w:val="left" w:pos="709"/>
              </w:tabs>
              <w:spacing w:line="360" w:lineRule="auto"/>
              <w:jc w:val="left"/>
              <w:rPr>
                <w:rFonts w:ascii="宋体" w:hAnsi="宋体" w:cs="微软雅黑"/>
                <w:b/>
                <w:color w:val="0000FF"/>
                <w:kern w:val="0"/>
                <w:sz w:val="18"/>
                <w:szCs w:val="18"/>
              </w:rPr>
            </w:pPr>
            <w:r>
              <w:rPr>
                <w:rFonts w:asciiTheme="minorEastAsia" w:eastAsiaTheme="minorEastAsia" w:hAnsiTheme="minorEastAsia" w:cstheme="minorEastAsia" w:hint="eastAsia"/>
                <w:kern w:val="0"/>
                <w:szCs w:val="21"/>
              </w:rPr>
              <w:t>以下产品需要提供至投标截止日仍有效的《气象专用技术装备使用许可证》：相干多普勒测风激光雷达（远距型）</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5"/>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5.2</w:t>
            </w:r>
          </w:p>
        </w:tc>
        <w:tc>
          <w:tcPr>
            <w:tcW w:w="7347" w:type="dxa"/>
            <w:vAlign w:val="center"/>
          </w:tcPr>
          <w:p>
            <w:pPr>
              <w:tabs>
                <w:tab w:val="left" w:pos="709"/>
              </w:tabs>
              <w:spacing w:line="360" w:lineRule="auto"/>
              <w:jc w:val="left"/>
              <w:rPr>
                <w:rFonts w:ascii="宋体" w:hAnsi="宋体"/>
                <w:sz w:val="18"/>
                <w:szCs w:val="18"/>
              </w:rPr>
            </w:pPr>
            <w:r>
              <w:rPr>
                <w:rFonts w:ascii="宋体" w:hAnsi="宋体" w:cs="宋体" w:hint="eastAsia"/>
                <w:szCs w:val="21"/>
                <w:highlight w:val="yellow"/>
              </w:rPr>
              <w:t>*</w:t>
            </w:r>
            <w:r>
              <w:rPr>
                <w:rFonts w:ascii="宋体" w:hAnsi="宋体" w:cs="宋体" w:hint="eastAsia"/>
                <w:szCs w:val="21"/>
              </w:rPr>
              <w:t>设备供应商对所有设备提供自业务验收合格后8年的质保服务。</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268" w:lineRule="auto"/>
      </w:pPr>
      <w:bookmarkStart w:id="70" w:name="采购公告合同部分_ZBGGHT"/>
    </w:p>
    <w:p>
      <w:pPr>
        <w:spacing w:line="269" w:lineRule="auto"/>
      </w:pPr>
    </w:p>
    <w:p>
      <w:pPr>
        <w:rPr>
          <w:rFonts w:ascii="宋体" w:hAnsi="宋体" w:cs="宋体"/>
          <w:b/>
          <w:bCs/>
          <w:position w:val="-20"/>
          <w:highlight w:val="yellow"/>
        </w:rPr>
      </w:pPr>
    </w:p>
    <w:p>
      <w:pPr>
        <w:spacing w:line="360" w:lineRule="auto"/>
        <w:jc w:val="center"/>
        <w:rPr>
          <w:rFonts w:ascii="宋体" w:hAnsi="宋体" w:cs="宋体"/>
          <w:bCs/>
          <w:lang w:eastAsia="zh-CN"/>
        </w:rPr>
      </w:pPr>
      <w:r>
        <w:rPr>
          <w:rFonts w:ascii="宋体" w:hAnsi="宋体" w:cs="宋体" w:hint="eastAsia"/>
          <w:bCs/>
          <w:sz w:val="24"/>
          <w:szCs w:val="24"/>
          <w:lang w:eastAsia="zh-CN"/>
        </w:rPr>
        <w:t>（本合同模板仅供参考，最终合同文本以双方签订为准）</w:t>
      </w:r>
    </w:p>
    <w:p>
      <w:pPr>
        <w:spacing w:line="360" w:lineRule="auto"/>
        <w:ind w:firstLine="420"/>
        <w:rPr>
          <w:rFonts w:ascii="宋体" w:hAnsi="宋体" w:cs="宋体"/>
          <w:lang w:eastAsia="zh-CN"/>
        </w:rPr>
      </w:pPr>
      <w:r>
        <w:rPr>
          <w:rFonts w:ascii="宋体" w:hAnsi="宋体" w:cs="宋体" w:hint="eastAsia"/>
          <w:sz w:val="24"/>
          <w:szCs w:val="24"/>
          <w:lang w:eastAsia="zh-CN"/>
        </w:rPr>
        <w:t>甲方（采购人）：</w:t>
      </w:r>
      <w:r>
        <w:rPr>
          <w:rFonts w:ascii="宋体" w:hAnsi="宋体" w:cs="宋体" w:hint="eastAsia"/>
          <w:sz w:val="24"/>
          <w:szCs w:val="24"/>
          <w:u w:val="single"/>
          <w:lang w:eastAsia="zh-CN"/>
        </w:rPr>
        <w:t xml:space="preserve">                                  </w:t>
      </w:r>
    </w:p>
    <w:p>
      <w:pPr>
        <w:spacing w:line="360" w:lineRule="auto"/>
        <w:ind w:firstLine="420"/>
        <w:rPr>
          <w:rFonts w:ascii="宋体" w:hAnsi="宋体" w:cs="宋体"/>
          <w:lang w:eastAsia="zh-CN"/>
        </w:rPr>
      </w:pPr>
      <w:r>
        <w:rPr>
          <w:rFonts w:ascii="宋体" w:hAnsi="宋体" w:cs="宋体" w:hint="eastAsia"/>
          <w:sz w:val="24"/>
          <w:szCs w:val="24"/>
          <w:lang w:eastAsia="zh-CN"/>
        </w:rPr>
        <w:t>乙方（中标人）：</w:t>
      </w:r>
      <w:r>
        <w:rPr>
          <w:rFonts w:ascii="宋体" w:hAnsi="宋体" w:cs="宋体" w:hint="eastAsia"/>
          <w:sz w:val="24"/>
          <w:szCs w:val="24"/>
          <w:u w:val="single"/>
          <w:lang w:eastAsia="zh-CN"/>
        </w:rPr>
        <w:t xml:space="preserve">                                  </w:t>
      </w:r>
    </w:p>
    <w:p>
      <w:pPr>
        <w:spacing w:line="360" w:lineRule="auto"/>
        <w:ind w:firstLine="420"/>
        <w:rPr>
          <w:rFonts w:ascii="宋体" w:hAnsi="宋体" w:cs="宋体"/>
          <w:lang w:eastAsia="zh-CN"/>
        </w:rPr>
      </w:pPr>
      <w:r>
        <w:rPr>
          <w:rFonts w:ascii="宋体" w:hAnsi="宋体" w:cs="宋体" w:hint="eastAsia"/>
          <w:sz w:val="24"/>
          <w:szCs w:val="24"/>
          <w:lang w:eastAsia="zh-CN"/>
        </w:rPr>
        <w:t>甲乙双方根据《中华人民共和国政府采购法》、《民法典》等相关法律法规以及本项目招标文件的规定，经平等协商达成合同如下：</w:t>
      </w:r>
    </w:p>
    <w:p>
      <w:pPr>
        <w:spacing w:line="360" w:lineRule="auto"/>
        <w:ind w:firstLine="470" w:firstLineChars="196"/>
        <w:rPr>
          <w:rFonts w:ascii="宋体" w:hAnsi="宋体" w:cs="宋体"/>
          <w:b/>
          <w:lang w:eastAsia="zh-CN"/>
        </w:rPr>
      </w:pPr>
      <w:r>
        <w:rPr>
          <w:rFonts w:ascii="宋体" w:hAnsi="宋体" w:cs="宋体" w:hint="eastAsia"/>
          <w:b/>
          <w:sz w:val="24"/>
          <w:szCs w:val="24"/>
          <w:lang w:eastAsia="zh-CN"/>
        </w:rPr>
        <w:t>一、项目</w:t>
      </w:r>
    </w:p>
    <w:p>
      <w:pPr>
        <w:spacing w:line="360" w:lineRule="auto"/>
        <w:ind w:firstLine="480" w:firstLineChars="200"/>
        <w:rPr>
          <w:rFonts w:ascii="宋体" w:hAnsi="宋体" w:cs="宋体"/>
          <w:u w:val="single"/>
          <w:lang w:eastAsia="zh-CN"/>
        </w:rPr>
      </w:pPr>
      <w:r>
        <w:rPr>
          <w:rFonts w:ascii="宋体" w:hAnsi="宋体" w:cs="宋体" w:hint="eastAsia"/>
          <w:sz w:val="24"/>
          <w:szCs w:val="24"/>
          <w:lang w:eastAsia="zh-CN"/>
        </w:rPr>
        <w:t>项目名称：</w:t>
      </w:r>
      <w:r>
        <w:rPr>
          <w:rFonts w:ascii="宋体" w:hAnsi="宋体" w:cs="宋体" w:hint="eastAsia"/>
          <w:sz w:val="24"/>
          <w:szCs w:val="24"/>
          <w:u w:val="single"/>
          <w:lang w:eastAsia="zh-CN"/>
        </w:rPr>
        <w:t xml:space="preserve">                                   </w:t>
      </w:r>
    </w:p>
    <w:p>
      <w:pPr>
        <w:spacing w:line="360" w:lineRule="auto"/>
        <w:ind w:firstLine="480" w:firstLineChars="200"/>
        <w:rPr>
          <w:rFonts w:ascii="宋体" w:hAnsi="宋体" w:cs="宋体"/>
          <w:u w:val="single"/>
          <w:lang w:eastAsia="zh-CN"/>
        </w:rPr>
      </w:pPr>
      <w:r>
        <w:rPr>
          <w:rFonts w:ascii="宋体" w:hAnsi="宋体" w:cs="宋体" w:hint="eastAsia"/>
          <w:sz w:val="24"/>
          <w:szCs w:val="24"/>
          <w:lang w:eastAsia="zh-CN"/>
        </w:rPr>
        <w:t>项目编号：</w:t>
      </w:r>
      <w:r>
        <w:rPr>
          <w:rFonts w:ascii="宋体" w:hAnsi="宋体" w:cs="宋体" w:hint="eastAsia"/>
          <w:sz w:val="24"/>
          <w:szCs w:val="24"/>
          <w:u w:val="single"/>
          <w:lang w:eastAsia="zh-CN"/>
        </w:rPr>
        <w:t xml:space="preserve">                                   </w:t>
      </w:r>
    </w:p>
    <w:p>
      <w:pPr>
        <w:spacing w:line="360" w:lineRule="auto"/>
        <w:ind w:firstLine="480" w:firstLineChars="200"/>
        <w:rPr>
          <w:rFonts w:ascii="宋体" w:hAnsi="宋体" w:cs="宋体"/>
          <w:b/>
          <w:lang w:eastAsia="zh-CN"/>
        </w:rPr>
      </w:pPr>
      <w:r>
        <w:rPr>
          <w:rFonts w:ascii="宋体" w:hAnsi="宋体" w:cs="宋体" w:hint="eastAsia"/>
          <w:sz w:val="24"/>
          <w:szCs w:val="24"/>
          <w:lang w:eastAsia="zh-CN"/>
        </w:rPr>
        <w:t>二、</w:t>
      </w:r>
      <w:r>
        <w:rPr>
          <w:rFonts w:ascii="宋体" w:hAnsi="宋体" w:cs="宋体" w:hint="eastAsia"/>
          <w:b/>
          <w:sz w:val="24"/>
          <w:szCs w:val="24"/>
          <w:lang w:eastAsia="zh-CN"/>
        </w:rPr>
        <w:t>合同标的</w:t>
      </w:r>
    </w:p>
    <w:p>
      <w:pPr>
        <w:tabs>
          <w:tab w:val="left" w:pos="1573"/>
        </w:tabs>
        <w:spacing w:line="360" w:lineRule="auto"/>
        <w:ind w:firstLine="480" w:firstLineChars="200"/>
        <w:rPr>
          <w:rFonts w:ascii="宋体" w:hAnsi="宋体" w:cs="宋体"/>
          <w:lang w:eastAsia="zh-CN"/>
        </w:rPr>
      </w:pPr>
      <w:r>
        <w:rPr>
          <w:rFonts w:ascii="宋体" w:hAnsi="宋体" w:cs="宋体" w:hint="eastAsia"/>
          <w:sz w:val="24"/>
          <w:szCs w:val="24"/>
          <w:lang w:eastAsia="zh-CN"/>
        </w:rPr>
        <w:t>1、甲方同意从乙方购买，乙方同意向甲方出售下列设备：</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pPr>
              <w:tabs>
                <w:tab w:val="left" w:pos="1573"/>
              </w:tabs>
              <w:spacing w:line="360" w:lineRule="auto"/>
              <w:jc w:val="center"/>
              <w:rPr>
                <w:rFonts w:ascii="宋体" w:hAnsi="宋体" w:cs="宋体"/>
              </w:rPr>
            </w:pPr>
            <w:r>
              <w:rPr>
                <w:rFonts w:ascii="宋体" w:hAnsi="宋体" w:cs="宋体" w:hint="eastAsia"/>
                <w:sz w:val="24"/>
                <w:szCs w:val="24"/>
              </w:rPr>
              <w:t>序号</w:t>
            </w:r>
          </w:p>
        </w:tc>
        <w:tc>
          <w:tcPr>
            <w:tcW w:w="2935" w:type="dxa"/>
            <w:vAlign w:val="center"/>
          </w:tcPr>
          <w:p>
            <w:pPr>
              <w:tabs>
                <w:tab w:val="left" w:pos="1573"/>
              </w:tabs>
              <w:spacing w:line="360" w:lineRule="auto"/>
              <w:jc w:val="center"/>
              <w:rPr>
                <w:rFonts w:ascii="宋体" w:hAnsi="宋体" w:cs="宋体"/>
              </w:rPr>
            </w:pPr>
            <w:r>
              <w:rPr>
                <w:rFonts w:ascii="宋体" w:hAnsi="宋体" w:cs="宋体" w:hint="eastAsia"/>
                <w:sz w:val="24"/>
                <w:szCs w:val="24"/>
              </w:rPr>
              <w:t>货物名称及规格</w:t>
            </w:r>
          </w:p>
        </w:tc>
        <w:tc>
          <w:tcPr>
            <w:tcW w:w="735" w:type="dxa"/>
            <w:vAlign w:val="center"/>
          </w:tcPr>
          <w:p>
            <w:pPr>
              <w:tabs>
                <w:tab w:val="left" w:pos="1573"/>
              </w:tabs>
              <w:spacing w:line="360" w:lineRule="auto"/>
              <w:jc w:val="center"/>
              <w:rPr>
                <w:rFonts w:ascii="宋体" w:hAnsi="宋体" w:cs="宋体"/>
              </w:rPr>
            </w:pPr>
            <w:r>
              <w:rPr>
                <w:rFonts w:ascii="宋体" w:hAnsi="宋体" w:cs="宋体" w:hint="eastAsia"/>
                <w:sz w:val="24"/>
                <w:szCs w:val="24"/>
              </w:rPr>
              <w:t>数量</w:t>
            </w:r>
          </w:p>
        </w:tc>
        <w:tc>
          <w:tcPr>
            <w:tcW w:w="1318" w:type="dxa"/>
            <w:vAlign w:val="center"/>
          </w:tcPr>
          <w:p>
            <w:pPr>
              <w:tabs>
                <w:tab w:val="left" w:pos="1573"/>
              </w:tabs>
              <w:spacing w:line="360" w:lineRule="auto"/>
              <w:jc w:val="center"/>
              <w:rPr>
                <w:rFonts w:ascii="宋体" w:hAnsi="宋体" w:cs="宋体"/>
              </w:rPr>
            </w:pPr>
            <w:r>
              <w:rPr>
                <w:rFonts w:ascii="宋体" w:hAnsi="宋体" w:cs="宋体" w:hint="eastAsia"/>
                <w:sz w:val="24"/>
                <w:szCs w:val="24"/>
              </w:rPr>
              <w:t>产地及品牌</w:t>
            </w:r>
          </w:p>
        </w:tc>
        <w:tc>
          <w:tcPr>
            <w:tcW w:w="750" w:type="dxa"/>
            <w:vAlign w:val="center"/>
          </w:tcPr>
          <w:p>
            <w:pPr>
              <w:tabs>
                <w:tab w:val="left" w:pos="1573"/>
              </w:tabs>
              <w:spacing w:line="360" w:lineRule="auto"/>
              <w:jc w:val="center"/>
              <w:rPr>
                <w:rFonts w:ascii="宋体" w:hAnsi="宋体" w:cs="宋体"/>
              </w:rPr>
            </w:pPr>
            <w:r>
              <w:rPr>
                <w:rFonts w:ascii="宋体" w:hAnsi="宋体" w:cs="宋体" w:hint="eastAsia"/>
                <w:sz w:val="24"/>
                <w:szCs w:val="24"/>
              </w:rPr>
              <w:t>单价</w:t>
            </w:r>
          </w:p>
        </w:tc>
        <w:tc>
          <w:tcPr>
            <w:tcW w:w="1275" w:type="dxa"/>
            <w:vAlign w:val="center"/>
          </w:tcPr>
          <w:p>
            <w:pPr>
              <w:tabs>
                <w:tab w:val="left" w:pos="1573"/>
              </w:tabs>
              <w:spacing w:line="360" w:lineRule="auto"/>
              <w:jc w:val="center"/>
              <w:rPr>
                <w:rFonts w:ascii="宋体" w:hAnsi="宋体" w:cs="宋体"/>
              </w:rPr>
            </w:pPr>
            <w:r>
              <w:rPr>
                <w:rFonts w:ascii="宋体" w:hAnsi="宋体" w:cs="宋体" w:hint="eastAsia"/>
                <w:sz w:val="24"/>
                <w:szCs w:val="24"/>
              </w:rPr>
              <w:t>交货时间</w:t>
            </w: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spacing w:line="360" w:lineRule="auto"/>
              <w:rPr>
                <w:rFonts w:ascii="宋体" w:hAnsi="宋体" w:cs="宋体"/>
              </w:rPr>
            </w:pPr>
          </w:p>
        </w:tc>
        <w:tc>
          <w:tcPr>
            <w:tcW w:w="2935" w:type="dxa"/>
            <w:vAlign w:val="center"/>
          </w:tcPr>
          <w:p>
            <w:pPr>
              <w:tabs>
                <w:tab w:val="left" w:pos="1573"/>
              </w:tabs>
              <w:spacing w:line="360" w:lineRule="auto"/>
              <w:rPr>
                <w:rFonts w:ascii="宋体" w:hAnsi="宋体" w:cs="宋体"/>
              </w:rPr>
            </w:pPr>
          </w:p>
        </w:tc>
        <w:tc>
          <w:tcPr>
            <w:tcW w:w="735" w:type="dxa"/>
            <w:vAlign w:val="center"/>
          </w:tcPr>
          <w:p>
            <w:pPr>
              <w:tabs>
                <w:tab w:val="left" w:pos="1573"/>
              </w:tabs>
              <w:spacing w:line="360" w:lineRule="auto"/>
              <w:rPr>
                <w:rFonts w:ascii="宋体" w:hAnsi="宋体" w:cs="宋体"/>
              </w:rPr>
            </w:pPr>
          </w:p>
        </w:tc>
        <w:tc>
          <w:tcPr>
            <w:tcW w:w="1318" w:type="dxa"/>
            <w:vAlign w:val="center"/>
          </w:tcPr>
          <w:p>
            <w:pPr>
              <w:tabs>
                <w:tab w:val="left" w:pos="1573"/>
              </w:tabs>
              <w:spacing w:line="360" w:lineRule="auto"/>
              <w:rPr>
                <w:rFonts w:ascii="宋体" w:hAnsi="宋体" w:cs="宋体"/>
              </w:rPr>
            </w:pPr>
          </w:p>
        </w:tc>
        <w:tc>
          <w:tcPr>
            <w:tcW w:w="750" w:type="dxa"/>
            <w:vAlign w:val="center"/>
          </w:tcPr>
          <w:p>
            <w:pPr>
              <w:tabs>
                <w:tab w:val="left" w:pos="1573"/>
              </w:tabs>
              <w:spacing w:line="360" w:lineRule="auto"/>
              <w:rPr>
                <w:rFonts w:ascii="宋体" w:hAnsi="宋体" w:cs="宋体"/>
              </w:rPr>
            </w:pPr>
          </w:p>
        </w:tc>
        <w:tc>
          <w:tcPr>
            <w:tcW w:w="1275" w:type="dxa"/>
            <w:vAlign w:val="center"/>
          </w:tcPr>
          <w:p>
            <w:pPr>
              <w:tabs>
                <w:tab w:val="left" w:pos="1573"/>
              </w:tabs>
              <w:spacing w:line="360" w:lineRule="auto"/>
              <w:rPr>
                <w:rFonts w:ascii="宋体" w:hAnsi="宋体" w:cs="宋体"/>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spacing w:line="360" w:lineRule="auto"/>
              <w:rPr>
                <w:rFonts w:ascii="宋体" w:hAnsi="宋体" w:cs="宋体"/>
              </w:rPr>
            </w:pPr>
          </w:p>
        </w:tc>
        <w:tc>
          <w:tcPr>
            <w:tcW w:w="2935" w:type="dxa"/>
            <w:vAlign w:val="center"/>
          </w:tcPr>
          <w:p>
            <w:pPr>
              <w:tabs>
                <w:tab w:val="left" w:pos="1573"/>
              </w:tabs>
              <w:spacing w:line="360" w:lineRule="auto"/>
              <w:rPr>
                <w:rFonts w:ascii="宋体" w:hAnsi="宋体" w:cs="宋体"/>
              </w:rPr>
            </w:pPr>
          </w:p>
        </w:tc>
        <w:tc>
          <w:tcPr>
            <w:tcW w:w="735" w:type="dxa"/>
            <w:vAlign w:val="center"/>
          </w:tcPr>
          <w:p>
            <w:pPr>
              <w:tabs>
                <w:tab w:val="left" w:pos="1573"/>
              </w:tabs>
              <w:spacing w:line="360" w:lineRule="auto"/>
              <w:rPr>
                <w:rFonts w:ascii="宋体" w:hAnsi="宋体" w:cs="宋体"/>
              </w:rPr>
            </w:pPr>
          </w:p>
        </w:tc>
        <w:tc>
          <w:tcPr>
            <w:tcW w:w="1318" w:type="dxa"/>
            <w:vAlign w:val="center"/>
          </w:tcPr>
          <w:p>
            <w:pPr>
              <w:tabs>
                <w:tab w:val="left" w:pos="1573"/>
              </w:tabs>
              <w:spacing w:line="360" w:lineRule="auto"/>
              <w:rPr>
                <w:rFonts w:ascii="宋体" w:hAnsi="宋体" w:cs="宋体"/>
              </w:rPr>
            </w:pPr>
          </w:p>
        </w:tc>
        <w:tc>
          <w:tcPr>
            <w:tcW w:w="750" w:type="dxa"/>
            <w:vAlign w:val="center"/>
          </w:tcPr>
          <w:p>
            <w:pPr>
              <w:tabs>
                <w:tab w:val="left" w:pos="1573"/>
              </w:tabs>
              <w:spacing w:line="360" w:lineRule="auto"/>
              <w:rPr>
                <w:rFonts w:ascii="宋体" w:hAnsi="宋体" w:cs="宋体"/>
              </w:rPr>
            </w:pPr>
          </w:p>
        </w:tc>
        <w:tc>
          <w:tcPr>
            <w:tcW w:w="1275" w:type="dxa"/>
            <w:vAlign w:val="center"/>
          </w:tcPr>
          <w:p>
            <w:pPr>
              <w:tabs>
                <w:tab w:val="left" w:pos="1573"/>
              </w:tabs>
              <w:spacing w:line="360" w:lineRule="auto"/>
              <w:rPr>
                <w:rFonts w:ascii="宋体" w:hAnsi="宋体" w:cs="宋体"/>
              </w:rPr>
            </w:pPr>
          </w:p>
        </w:tc>
      </w:tr>
    </w:tbl>
    <w:p>
      <w:pPr>
        <w:tabs>
          <w:tab w:val="left" w:pos="1480"/>
        </w:tabs>
        <w:spacing w:before="156" w:beforeLines="50" w:line="360" w:lineRule="auto"/>
        <w:ind w:firstLine="480" w:firstLineChars="200"/>
        <w:rPr>
          <w:rFonts w:ascii="宋体" w:hAnsi="宋体" w:cs="宋体"/>
        </w:rPr>
      </w:pPr>
      <w:r>
        <w:rPr>
          <w:rFonts w:ascii="宋体" w:hAnsi="宋体" w:cs="宋体" w:hint="eastAsia"/>
          <w:sz w:val="24"/>
          <w:szCs w:val="24"/>
        </w:rPr>
        <w:t>2、交货地点：</w:t>
      </w:r>
      <w:r>
        <w:rPr>
          <w:rFonts w:ascii="宋体" w:hAnsi="宋体" w:cs="宋体" w:hint="eastAsia"/>
          <w:sz w:val="24"/>
          <w:szCs w:val="24"/>
          <w:u w:val="single"/>
        </w:rPr>
        <w:t xml:space="preserve">                                                    </w:t>
      </w:r>
    </w:p>
    <w:p>
      <w:pPr>
        <w:tabs>
          <w:tab w:val="left" w:pos="1480"/>
        </w:tabs>
        <w:spacing w:line="360" w:lineRule="auto"/>
        <w:ind w:firstLine="480" w:firstLineChars="200"/>
        <w:rPr>
          <w:rFonts w:ascii="宋体" w:hAnsi="宋体" w:cs="宋体"/>
          <w:lang w:eastAsia="zh-CN"/>
        </w:rPr>
      </w:pPr>
      <w:r>
        <w:rPr>
          <w:rFonts w:ascii="宋体" w:hAnsi="宋体" w:cs="宋体" w:hint="eastAsia"/>
          <w:sz w:val="24"/>
          <w:szCs w:val="24"/>
          <w:lang w:eastAsia="zh-CN"/>
        </w:rPr>
        <w:t>3、安装期限：</w:t>
      </w:r>
      <w:r>
        <w:rPr>
          <w:rFonts w:ascii="宋体" w:hAnsi="宋体" w:cs="宋体" w:hint="eastAsia"/>
          <w:sz w:val="24"/>
          <w:szCs w:val="24"/>
          <w:u w:val="single"/>
          <w:lang w:eastAsia="zh-CN"/>
        </w:rPr>
        <w:t xml:space="preserve">         </w:t>
      </w:r>
      <w:r>
        <w:rPr>
          <w:rFonts w:ascii="宋体" w:hAnsi="宋体" w:cs="宋体" w:hint="eastAsia"/>
          <w:sz w:val="24"/>
          <w:szCs w:val="24"/>
          <w:lang w:eastAsia="zh-CN"/>
        </w:rPr>
        <w:t xml:space="preserve">天 （ </w:t>
      </w:r>
      <w:r>
        <w:rPr>
          <w:rFonts w:ascii="宋体" w:hAnsi="宋体" w:cs="宋体" w:hint="eastAsia"/>
          <w:sz w:val="24"/>
          <w:szCs w:val="24"/>
          <w:u w:val="single"/>
          <w:lang w:eastAsia="zh-CN"/>
        </w:rPr>
        <w:t xml:space="preserve">    </w:t>
      </w:r>
      <w:r>
        <w:rPr>
          <w:rFonts w:ascii="宋体" w:hAnsi="宋体" w:cs="宋体" w:hint="eastAsia"/>
          <w:sz w:val="24"/>
          <w:szCs w:val="24"/>
          <w:lang w:eastAsia="zh-CN"/>
        </w:rPr>
        <w:t>年</w:t>
      </w:r>
      <w:r>
        <w:rPr>
          <w:rFonts w:ascii="宋体" w:hAnsi="宋体" w:cs="宋体" w:hint="eastAsia"/>
          <w:sz w:val="24"/>
          <w:szCs w:val="24"/>
          <w:u w:val="single"/>
          <w:lang w:eastAsia="zh-CN"/>
        </w:rPr>
        <w:t xml:space="preserve">   </w:t>
      </w:r>
      <w:r>
        <w:rPr>
          <w:rFonts w:ascii="宋体" w:hAnsi="宋体" w:cs="宋体" w:hint="eastAsia"/>
          <w:sz w:val="24"/>
          <w:szCs w:val="24"/>
          <w:lang w:eastAsia="zh-CN"/>
        </w:rPr>
        <w:t>月</w:t>
      </w:r>
      <w:r>
        <w:rPr>
          <w:rFonts w:ascii="宋体" w:hAnsi="宋体" w:cs="宋体" w:hint="eastAsia"/>
          <w:sz w:val="24"/>
          <w:szCs w:val="24"/>
          <w:u w:val="single"/>
          <w:lang w:eastAsia="zh-CN"/>
        </w:rPr>
        <w:t xml:space="preserve">   </w:t>
      </w:r>
      <w:r>
        <w:rPr>
          <w:rFonts w:ascii="宋体" w:hAnsi="宋体" w:cs="宋体" w:hint="eastAsia"/>
          <w:sz w:val="24"/>
          <w:szCs w:val="24"/>
          <w:lang w:eastAsia="zh-CN"/>
        </w:rPr>
        <w:t>日～</w:t>
      </w:r>
      <w:r>
        <w:rPr>
          <w:rFonts w:ascii="宋体" w:hAnsi="宋体" w:cs="宋体" w:hint="eastAsia"/>
          <w:sz w:val="24"/>
          <w:szCs w:val="24"/>
          <w:u w:val="single"/>
          <w:lang w:eastAsia="zh-CN"/>
        </w:rPr>
        <w:t xml:space="preserve">   </w:t>
      </w:r>
      <w:r>
        <w:rPr>
          <w:rFonts w:ascii="宋体" w:hAnsi="宋体" w:cs="宋体" w:hint="eastAsia"/>
          <w:sz w:val="24"/>
          <w:szCs w:val="24"/>
          <w:lang w:eastAsia="zh-CN"/>
        </w:rPr>
        <w:t>月</w:t>
      </w:r>
      <w:r>
        <w:rPr>
          <w:rFonts w:ascii="宋体" w:hAnsi="宋体" w:cs="宋体" w:hint="eastAsia"/>
          <w:sz w:val="24"/>
          <w:szCs w:val="24"/>
          <w:u w:val="single"/>
          <w:lang w:eastAsia="zh-CN"/>
        </w:rPr>
        <w:t xml:space="preserve">   </w:t>
      </w:r>
      <w:r>
        <w:rPr>
          <w:rFonts w:ascii="宋体" w:hAnsi="宋体" w:cs="宋体" w:hint="eastAsia"/>
          <w:sz w:val="24"/>
          <w:szCs w:val="24"/>
          <w:lang w:eastAsia="zh-CN"/>
        </w:rPr>
        <w:t>日）。</w:t>
      </w:r>
    </w:p>
    <w:p>
      <w:pPr>
        <w:tabs>
          <w:tab w:val="left" w:pos="1573"/>
        </w:tabs>
        <w:spacing w:line="360" w:lineRule="auto"/>
        <w:ind w:firstLine="480" w:firstLineChars="200"/>
        <w:rPr>
          <w:rFonts w:ascii="宋体" w:hAnsi="宋体" w:cs="宋体"/>
          <w:b/>
        </w:rPr>
      </w:pPr>
      <w:r>
        <w:rPr>
          <w:rFonts w:ascii="宋体" w:hAnsi="宋体" w:cs="宋体" w:hint="eastAsia"/>
          <w:b/>
          <w:sz w:val="24"/>
          <w:szCs w:val="24"/>
        </w:rPr>
        <w:t>三</w:t>
      </w:r>
      <w:r>
        <w:rPr>
          <w:rFonts w:ascii="宋体" w:hAnsi="宋体" w:cs="宋体" w:hint="eastAsia"/>
          <w:sz w:val="24"/>
          <w:szCs w:val="24"/>
        </w:rPr>
        <w:t>、</w:t>
      </w:r>
      <w:r>
        <w:rPr>
          <w:rFonts w:ascii="宋体" w:hAnsi="宋体" w:cs="宋体" w:hint="eastAsia"/>
          <w:b/>
          <w:sz w:val="24"/>
          <w:szCs w:val="24"/>
        </w:rPr>
        <w:t>合同价格及付款方式</w:t>
      </w:r>
    </w:p>
    <w:p>
      <w:pPr>
        <w:tabs>
          <w:tab w:val="left" w:pos="1573"/>
        </w:tabs>
        <w:spacing w:line="360" w:lineRule="auto"/>
        <w:ind w:firstLine="480" w:firstLineChars="200"/>
        <w:rPr>
          <w:rFonts w:ascii="宋体" w:hAnsi="宋体" w:cs="宋体"/>
          <w:lang w:eastAsia="zh-CN"/>
        </w:rPr>
      </w:pPr>
      <w:r>
        <w:rPr>
          <w:rFonts w:ascii="宋体" w:hAnsi="宋体" w:cs="宋体" w:hint="eastAsia"/>
          <w:sz w:val="24"/>
          <w:szCs w:val="24"/>
          <w:lang w:eastAsia="zh-CN"/>
        </w:rPr>
        <w:t>1、合同总金额为人民币</w:t>
      </w:r>
      <w:r>
        <w:rPr>
          <w:rFonts w:ascii="宋体" w:hAnsi="宋体" w:cs="宋体" w:hint="eastAsia"/>
          <w:sz w:val="24"/>
          <w:szCs w:val="24"/>
          <w:u w:val="single"/>
          <w:lang w:eastAsia="zh-CN"/>
        </w:rPr>
        <w:t xml:space="preserve">                  </w:t>
      </w:r>
      <w:r>
        <w:rPr>
          <w:rFonts w:ascii="宋体" w:hAnsi="宋体" w:cs="宋体" w:hint="eastAsia"/>
          <w:sz w:val="24"/>
          <w:szCs w:val="24"/>
          <w:lang w:eastAsia="zh-CN"/>
        </w:rPr>
        <w:t>元（大写）：</w:t>
      </w:r>
      <w:r>
        <w:rPr>
          <w:rFonts w:ascii="宋体" w:hAnsi="宋体" w:cs="宋体" w:hint="eastAsia"/>
          <w:sz w:val="24"/>
          <w:szCs w:val="24"/>
          <w:u w:val="single"/>
          <w:lang w:eastAsia="zh-CN"/>
        </w:rPr>
        <w:t xml:space="preserve">          </w:t>
      </w:r>
      <w:r>
        <w:rPr>
          <w:rFonts w:ascii="宋体" w:hAnsi="宋体" w:cs="宋体" w:hint="eastAsia"/>
          <w:sz w:val="24"/>
          <w:szCs w:val="24"/>
          <w:lang w:eastAsia="zh-CN"/>
        </w:rPr>
        <w:t>元（小写）。</w:t>
      </w:r>
    </w:p>
    <w:p>
      <w:pPr>
        <w:tabs>
          <w:tab w:val="left" w:pos="1573"/>
        </w:tabs>
        <w:spacing w:line="360" w:lineRule="auto"/>
        <w:ind w:firstLine="480" w:firstLineChars="200"/>
        <w:rPr>
          <w:rFonts w:ascii="宋体" w:hAnsi="宋体" w:cs="宋体"/>
          <w:lang w:eastAsia="zh-CN"/>
        </w:rPr>
      </w:pPr>
      <w:bookmarkStart w:id="71" w:name="_Hlk202829706"/>
      <w:r>
        <w:rPr>
          <w:rFonts w:ascii="宋体" w:hAnsi="宋体" w:cs="宋体" w:hint="eastAsia"/>
          <w:sz w:val="24"/>
          <w:szCs w:val="24"/>
          <w:lang w:eastAsia="zh-CN"/>
        </w:rPr>
        <w:t>2、合同生效后付款：双方签署合同后10个工作日内，甲方向乙方支付合同总金额的</w:t>
      </w:r>
      <w:r>
        <w:rPr>
          <w:rFonts w:ascii="宋体" w:hAnsi="宋体" w:cs="宋体" w:hint="eastAsia"/>
          <w:b/>
          <w:bCs/>
          <w:sz w:val="24"/>
          <w:szCs w:val="24"/>
          <w:lang w:eastAsia="zh-CN"/>
        </w:rPr>
        <w:t>30</w:t>
      </w:r>
      <w:r>
        <w:rPr>
          <w:rFonts w:ascii="宋体" w:hAnsi="宋体" w:cs="宋体" w:hint="eastAsia"/>
          <w:b/>
          <w:sz w:val="24"/>
          <w:szCs w:val="24"/>
          <w:lang w:eastAsia="zh-CN"/>
        </w:rPr>
        <w:t>%</w:t>
      </w:r>
      <w:r>
        <w:rPr>
          <w:rFonts w:ascii="宋体" w:hAnsi="宋体" w:cs="宋体" w:hint="eastAsia"/>
          <w:sz w:val="24"/>
          <w:szCs w:val="24"/>
          <w:lang w:eastAsia="zh-CN"/>
        </w:rPr>
        <w:t>，即人民币</w:t>
      </w:r>
      <w:r>
        <w:rPr>
          <w:rFonts w:ascii="宋体" w:hAnsi="宋体" w:cs="宋体" w:hint="eastAsia"/>
          <w:sz w:val="24"/>
          <w:szCs w:val="24"/>
          <w:u w:val="single"/>
          <w:lang w:eastAsia="zh-CN"/>
        </w:rPr>
        <w:t xml:space="preserve">                  </w:t>
      </w:r>
      <w:r>
        <w:rPr>
          <w:rFonts w:ascii="宋体" w:hAnsi="宋体" w:cs="宋体" w:hint="eastAsia"/>
          <w:sz w:val="24"/>
          <w:szCs w:val="24"/>
          <w:lang w:eastAsia="zh-CN"/>
        </w:rPr>
        <w:t>元（大写）：</w:t>
      </w:r>
      <w:r>
        <w:rPr>
          <w:rFonts w:ascii="宋体" w:hAnsi="宋体" w:cs="宋体" w:hint="eastAsia"/>
          <w:sz w:val="24"/>
          <w:szCs w:val="24"/>
          <w:u w:val="single"/>
          <w:lang w:eastAsia="zh-CN"/>
        </w:rPr>
        <w:t xml:space="preserve">          </w:t>
      </w:r>
      <w:r>
        <w:rPr>
          <w:rFonts w:ascii="宋体" w:hAnsi="宋体" w:cs="宋体" w:hint="eastAsia"/>
          <w:sz w:val="24"/>
          <w:szCs w:val="24"/>
          <w:lang w:eastAsia="zh-CN"/>
        </w:rPr>
        <w:t>元（小写）；</w:t>
      </w:r>
    </w:p>
    <w:p>
      <w:pPr>
        <w:tabs>
          <w:tab w:val="left" w:pos="1573"/>
        </w:tabs>
        <w:spacing w:line="360" w:lineRule="auto"/>
        <w:ind w:firstLine="480" w:firstLineChars="200"/>
        <w:rPr>
          <w:rFonts w:ascii="宋体" w:hAnsi="宋体" w:cs="宋体"/>
          <w:lang w:eastAsia="zh-CN"/>
        </w:rPr>
      </w:pPr>
      <w:r>
        <w:rPr>
          <w:rFonts w:ascii="宋体" w:hAnsi="宋体" w:cs="宋体" w:hint="eastAsia"/>
          <w:sz w:val="24"/>
          <w:szCs w:val="24"/>
          <w:lang w:eastAsia="zh-CN"/>
        </w:rPr>
        <w:t>3、出厂测试合格后付款：双方签署出厂测试验收报告后10个工作日内，甲方向乙方支付合同总金额的</w:t>
      </w:r>
      <w:r>
        <w:rPr>
          <w:rFonts w:ascii="宋体" w:hAnsi="宋体" w:cs="宋体" w:hint="eastAsia"/>
          <w:b/>
          <w:bCs/>
          <w:sz w:val="24"/>
          <w:szCs w:val="24"/>
          <w:lang w:eastAsia="zh-CN"/>
        </w:rPr>
        <w:t>30 %</w:t>
      </w:r>
      <w:r>
        <w:rPr>
          <w:rFonts w:ascii="宋体" w:hAnsi="宋体" w:cs="宋体" w:hint="eastAsia"/>
          <w:sz w:val="24"/>
          <w:szCs w:val="24"/>
          <w:lang w:eastAsia="zh-CN"/>
        </w:rPr>
        <w:t>，即人民币</w:t>
      </w:r>
      <w:r>
        <w:rPr>
          <w:rFonts w:ascii="宋体" w:hAnsi="宋体" w:cs="宋体" w:hint="eastAsia"/>
          <w:sz w:val="24"/>
          <w:szCs w:val="24"/>
          <w:u w:val="single"/>
          <w:lang w:eastAsia="zh-CN"/>
        </w:rPr>
        <w:t xml:space="preserve">                  </w:t>
      </w:r>
      <w:r>
        <w:rPr>
          <w:rFonts w:ascii="宋体" w:hAnsi="宋体" w:cs="宋体" w:hint="eastAsia"/>
          <w:sz w:val="24"/>
          <w:szCs w:val="24"/>
          <w:lang w:eastAsia="zh-CN"/>
        </w:rPr>
        <w:t>元（大写）：</w:t>
      </w:r>
      <w:r>
        <w:rPr>
          <w:rFonts w:ascii="宋体" w:hAnsi="宋体" w:cs="宋体" w:hint="eastAsia"/>
          <w:sz w:val="24"/>
          <w:szCs w:val="24"/>
          <w:u w:val="single"/>
          <w:lang w:eastAsia="zh-CN"/>
        </w:rPr>
        <w:t xml:space="preserve">          </w:t>
      </w:r>
      <w:r>
        <w:rPr>
          <w:rFonts w:ascii="宋体" w:hAnsi="宋体" w:cs="宋体" w:hint="eastAsia"/>
          <w:sz w:val="24"/>
          <w:szCs w:val="24"/>
          <w:lang w:eastAsia="zh-CN"/>
        </w:rPr>
        <w:t>元（小写）；</w:t>
      </w:r>
    </w:p>
    <w:p>
      <w:pPr>
        <w:tabs>
          <w:tab w:val="left" w:pos="1573"/>
        </w:tabs>
        <w:spacing w:line="360" w:lineRule="auto"/>
        <w:ind w:firstLine="480" w:firstLineChars="200"/>
        <w:rPr>
          <w:rFonts w:ascii="宋体" w:hAnsi="宋体" w:cs="宋体"/>
          <w:lang w:eastAsia="zh-CN"/>
        </w:rPr>
      </w:pPr>
      <w:r>
        <w:rPr>
          <w:rFonts w:ascii="宋体" w:hAnsi="宋体" w:cs="宋体" w:hint="eastAsia"/>
          <w:sz w:val="24"/>
          <w:szCs w:val="24"/>
          <w:lang w:eastAsia="zh-CN"/>
        </w:rPr>
        <w:t>4、到货、现场安装测试后付款：双方签署现场安装测试验收报告后10个工作日内，甲方向乙方支付合同总金额的</w:t>
      </w:r>
      <w:r>
        <w:rPr>
          <w:rFonts w:ascii="宋体" w:hAnsi="宋体" w:cs="宋体" w:hint="eastAsia"/>
          <w:b/>
          <w:bCs/>
          <w:sz w:val="24"/>
          <w:szCs w:val="24"/>
          <w:lang w:eastAsia="zh-CN"/>
        </w:rPr>
        <w:t>20</w:t>
      </w:r>
      <w:r>
        <w:rPr>
          <w:rFonts w:ascii="宋体" w:hAnsi="宋体" w:cs="宋体" w:hint="eastAsia"/>
          <w:b/>
          <w:sz w:val="24"/>
          <w:szCs w:val="24"/>
          <w:lang w:eastAsia="zh-CN"/>
        </w:rPr>
        <w:t>%</w:t>
      </w:r>
      <w:r>
        <w:rPr>
          <w:rFonts w:ascii="宋体" w:hAnsi="宋体" w:cs="宋体" w:hint="eastAsia"/>
          <w:sz w:val="24"/>
          <w:szCs w:val="24"/>
          <w:lang w:eastAsia="zh-CN"/>
        </w:rPr>
        <w:t>，即人民币</w:t>
      </w:r>
      <w:r>
        <w:rPr>
          <w:rFonts w:ascii="宋体" w:hAnsi="宋体" w:cs="宋体" w:hint="eastAsia"/>
          <w:sz w:val="24"/>
          <w:szCs w:val="24"/>
          <w:u w:val="single"/>
          <w:lang w:eastAsia="zh-CN"/>
        </w:rPr>
        <w:t xml:space="preserve">                  </w:t>
      </w:r>
      <w:r>
        <w:rPr>
          <w:rFonts w:ascii="宋体" w:hAnsi="宋体" w:cs="宋体" w:hint="eastAsia"/>
          <w:sz w:val="24"/>
          <w:szCs w:val="24"/>
          <w:lang w:eastAsia="zh-CN"/>
        </w:rPr>
        <w:t>元（大写）：</w:t>
      </w:r>
      <w:r>
        <w:rPr>
          <w:rFonts w:ascii="宋体" w:hAnsi="宋体" w:cs="宋体" w:hint="eastAsia"/>
          <w:sz w:val="24"/>
          <w:szCs w:val="24"/>
          <w:u w:val="single"/>
          <w:lang w:eastAsia="zh-CN"/>
        </w:rPr>
        <w:t xml:space="preserve">          </w:t>
      </w:r>
      <w:r>
        <w:rPr>
          <w:rFonts w:ascii="宋体" w:hAnsi="宋体" w:cs="宋体" w:hint="eastAsia"/>
          <w:sz w:val="24"/>
          <w:szCs w:val="24"/>
          <w:lang w:eastAsia="zh-CN"/>
        </w:rPr>
        <w:t xml:space="preserve">元（小写）； </w:t>
      </w:r>
    </w:p>
    <w:p>
      <w:pPr>
        <w:tabs>
          <w:tab w:val="left" w:pos="1573"/>
        </w:tabs>
        <w:spacing w:line="360" w:lineRule="auto"/>
        <w:ind w:firstLine="480" w:firstLineChars="200"/>
        <w:rPr>
          <w:rFonts w:ascii="宋体" w:hAnsi="宋体" w:cs="宋体"/>
          <w:lang w:eastAsia="zh-CN"/>
        </w:rPr>
      </w:pPr>
      <w:r>
        <w:rPr>
          <w:rFonts w:ascii="宋体" w:hAnsi="宋体" w:cs="宋体" w:hint="eastAsia"/>
          <w:sz w:val="24"/>
          <w:szCs w:val="24"/>
          <w:lang w:eastAsia="zh-CN"/>
        </w:rPr>
        <w:t>5、业务验收通过后付款：业务验收通过后10个工作日内，甲方向乙方支付合同总金额的</w:t>
      </w:r>
      <w:r>
        <w:rPr>
          <w:rFonts w:ascii="宋体" w:hAnsi="宋体" w:cs="宋体" w:hint="eastAsia"/>
          <w:b/>
          <w:bCs/>
          <w:sz w:val="24"/>
          <w:szCs w:val="24"/>
          <w:lang w:eastAsia="zh-CN"/>
        </w:rPr>
        <w:t>20</w:t>
      </w:r>
      <w:r>
        <w:rPr>
          <w:rFonts w:ascii="宋体" w:hAnsi="宋体" w:cs="宋体" w:hint="eastAsia"/>
          <w:b/>
          <w:sz w:val="24"/>
          <w:szCs w:val="24"/>
          <w:lang w:eastAsia="zh-CN"/>
        </w:rPr>
        <w:t>%</w:t>
      </w:r>
      <w:r>
        <w:rPr>
          <w:rFonts w:ascii="宋体" w:hAnsi="宋体" w:cs="宋体" w:hint="eastAsia"/>
          <w:sz w:val="24"/>
          <w:szCs w:val="24"/>
          <w:lang w:eastAsia="zh-CN"/>
        </w:rPr>
        <w:t>，即人民币</w:t>
      </w:r>
      <w:r>
        <w:rPr>
          <w:rFonts w:ascii="宋体" w:hAnsi="宋体" w:cs="宋体" w:hint="eastAsia"/>
          <w:sz w:val="24"/>
          <w:szCs w:val="24"/>
          <w:u w:val="single"/>
          <w:lang w:eastAsia="zh-CN"/>
        </w:rPr>
        <w:t xml:space="preserve">                    </w:t>
      </w:r>
      <w:r>
        <w:rPr>
          <w:rFonts w:ascii="宋体" w:hAnsi="宋体" w:cs="宋体" w:hint="eastAsia"/>
          <w:sz w:val="24"/>
          <w:szCs w:val="24"/>
          <w:lang w:eastAsia="zh-CN"/>
        </w:rPr>
        <w:t>元（大写）：</w:t>
      </w:r>
      <w:r>
        <w:rPr>
          <w:rFonts w:ascii="宋体" w:hAnsi="宋体" w:cs="宋体" w:hint="eastAsia"/>
          <w:sz w:val="24"/>
          <w:szCs w:val="24"/>
          <w:u w:val="single"/>
          <w:lang w:eastAsia="zh-CN"/>
        </w:rPr>
        <w:t xml:space="preserve">          </w:t>
      </w:r>
      <w:r>
        <w:rPr>
          <w:rFonts w:ascii="宋体" w:hAnsi="宋体" w:cs="宋体" w:hint="eastAsia"/>
          <w:sz w:val="24"/>
          <w:szCs w:val="24"/>
          <w:lang w:eastAsia="zh-CN"/>
        </w:rPr>
        <w:t>元（小写）。</w:t>
      </w:r>
    </w:p>
    <w:bookmarkEnd w:id="71"/>
    <w:p>
      <w:pPr>
        <w:tabs>
          <w:tab w:val="left" w:pos="1573"/>
        </w:tabs>
        <w:spacing w:line="360" w:lineRule="auto"/>
        <w:ind w:firstLine="412" w:firstLineChars="196"/>
        <w:rPr>
          <w:rFonts w:ascii="宋体" w:hAnsi="宋体" w:cs="宋体"/>
          <w:b/>
          <w:lang w:eastAsia="zh-CN"/>
        </w:rPr>
      </w:pPr>
    </w:p>
    <w:p>
      <w:pPr>
        <w:tabs>
          <w:tab w:val="left" w:pos="1573"/>
        </w:tabs>
        <w:spacing w:line="360" w:lineRule="auto"/>
        <w:ind w:firstLine="470" w:firstLineChars="196"/>
        <w:rPr>
          <w:rFonts w:ascii="宋体" w:hAnsi="宋体" w:cs="宋体"/>
          <w:b/>
          <w:lang w:eastAsia="zh-CN"/>
        </w:rPr>
      </w:pPr>
      <w:r>
        <w:rPr>
          <w:rFonts w:ascii="宋体" w:hAnsi="宋体" w:cs="宋体" w:hint="eastAsia"/>
          <w:b/>
          <w:sz w:val="24"/>
          <w:szCs w:val="24"/>
          <w:lang w:eastAsia="zh-CN"/>
        </w:rPr>
        <w:t>四、交货</w:t>
      </w:r>
    </w:p>
    <w:p>
      <w:pPr>
        <w:tabs>
          <w:tab w:val="left" w:pos="1573"/>
        </w:tabs>
        <w:spacing w:line="360" w:lineRule="auto"/>
        <w:ind w:firstLine="480" w:firstLineChars="200"/>
        <w:rPr>
          <w:rFonts w:ascii="宋体" w:hAnsi="宋体" w:cs="宋体"/>
          <w:lang w:eastAsia="zh-CN"/>
        </w:rPr>
      </w:pPr>
      <w:r>
        <w:rPr>
          <w:rFonts w:ascii="宋体" w:hAnsi="宋体" w:cs="宋体" w:hint="eastAsia"/>
          <w:sz w:val="24"/>
          <w:szCs w:val="24"/>
          <w:lang w:eastAsia="zh-CN"/>
        </w:rPr>
        <w:t>1、交货日期：</w:t>
      </w:r>
      <w:r>
        <w:rPr>
          <w:rFonts w:ascii="宋体" w:hAnsi="宋体" w:cs="宋体" w:hint="eastAsia"/>
          <w:sz w:val="24"/>
          <w:szCs w:val="24"/>
          <w:u w:val="single"/>
          <w:lang w:eastAsia="zh-CN"/>
        </w:rPr>
        <w:t xml:space="preserve">合同签订后 个月内完成安装调试并具备验收条件    </w:t>
      </w:r>
      <w:r>
        <w:rPr>
          <w:rFonts w:ascii="宋体" w:hAnsi="宋体" w:cs="宋体" w:hint="eastAsia"/>
          <w:sz w:val="24"/>
          <w:szCs w:val="24"/>
          <w:lang w:eastAsia="zh-CN"/>
        </w:rPr>
        <w:t>。</w:t>
      </w:r>
    </w:p>
    <w:p>
      <w:pPr>
        <w:tabs>
          <w:tab w:val="left" w:pos="1573"/>
        </w:tabs>
        <w:spacing w:line="360" w:lineRule="auto"/>
        <w:ind w:firstLine="480" w:firstLineChars="200"/>
        <w:rPr>
          <w:rFonts w:ascii="宋体" w:hAnsi="宋体" w:cs="宋体"/>
          <w:lang w:eastAsia="zh-CN"/>
        </w:rPr>
      </w:pPr>
      <w:r>
        <w:rPr>
          <w:rFonts w:ascii="宋体" w:hAnsi="宋体" w:cs="宋体" w:hint="eastAsia"/>
          <w:sz w:val="24"/>
          <w:szCs w:val="24"/>
          <w:lang w:eastAsia="zh-CN"/>
        </w:rPr>
        <w:t>2、运输方式：</w:t>
      </w:r>
      <w:r>
        <w:rPr>
          <w:rFonts w:ascii="宋体" w:hAnsi="宋体" w:cs="宋体" w:hint="eastAsia"/>
          <w:sz w:val="24"/>
          <w:szCs w:val="24"/>
          <w:u w:val="single"/>
          <w:lang w:eastAsia="zh-CN"/>
        </w:rPr>
        <w:tab/>
      </w:r>
      <w:r>
        <w:rPr>
          <w:rFonts w:ascii="宋体" w:hAnsi="宋体" w:cs="宋体" w:hint="eastAsia"/>
          <w:sz w:val="24"/>
          <w:szCs w:val="24"/>
          <w:u w:val="single"/>
          <w:lang w:eastAsia="zh-CN"/>
        </w:rPr>
        <w:t xml:space="preserve">物流    </w:t>
      </w:r>
      <w:r>
        <w:rPr>
          <w:rFonts w:ascii="宋体" w:hAnsi="宋体" w:cs="宋体" w:hint="eastAsia"/>
          <w:sz w:val="24"/>
          <w:szCs w:val="24"/>
          <w:lang w:eastAsia="zh-CN"/>
        </w:rPr>
        <w:t>。</w:t>
      </w:r>
    </w:p>
    <w:p>
      <w:pPr>
        <w:tabs>
          <w:tab w:val="left" w:pos="1573"/>
        </w:tabs>
        <w:spacing w:line="360" w:lineRule="auto"/>
        <w:ind w:firstLine="480" w:firstLineChars="200"/>
        <w:rPr>
          <w:rFonts w:ascii="宋体" w:hAnsi="宋体" w:cs="宋体"/>
          <w:lang w:eastAsia="zh-CN"/>
        </w:rPr>
      </w:pPr>
      <w:r>
        <w:rPr>
          <w:rFonts w:ascii="宋体" w:hAnsi="宋体" w:cs="宋体" w:hint="eastAsia"/>
          <w:sz w:val="24"/>
          <w:szCs w:val="24"/>
          <w:lang w:eastAsia="zh-CN"/>
        </w:rPr>
        <w:t>3、交货（安装、调试、服务）地点：</w:t>
      </w:r>
      <w:r>
        <w:rPr>
          <w:rFonts w:ascii="宋体" w:hAnsi="宋体" w:cs="宋体" w:hint="eastAsia"/>
          <w:sz w:val="24"/>
          <w:szCs w:val="24"/>
          <w:u w:val="single"/>
          <w:lang w:eastAsia="zh-CN"/>
        </w:rPr>
        <w:tab/>
      </w:r>
      <w:r>
        <w:rPr>
          <w:rFonts w:ascii="宋体" w:hAnsi="宋体" w:cs="宋体" w:hint="eastAsia"/>
          <w:sz w:val="24"/>
          <w:szCs w:val="24"/>
          <w:u w:val="single"/>
          <w:lang w:eastAsia="zh-CN"/>
        </w:rPr>
        <w:t xml:space="preserve">     甲方指定地点       </w:t>
      </w:r>
      <w:r>
        <w:rPr>
          <w:rFonts w:ascii="宋体" w:hAnsi="宋体" w:cs="宋体" w:hint="eastAsia"/>
          <w:sz w:val="24"/>
          <w:szCs w:val="24"/>
          <w:lang w:eastAsia="zh-CN"/>
        </w:rPr>
        <w:t>。</w:t>
      </w:r>
    </w:p>
    <w:p>
      <w:pPr>
        <w:tabs>
          <w:tab w:val="left" w:pos="1573"/>
        </w:tabs>
        <w:spacing w:line="360" w:lineRule="auto"/>
        <w:ind w:firstLine="480" w:firstLineChars="200"/>
        <w:rPr>
          <w:rFonts w:ascii="宋体" w:hAnsi="宋体" w:cs="宋体"/>
          <w:lang w:eastAsia="zh-CN"/>
        </w:rPr>
      </w:pPr>
      <w:r>
        <w:rPr>
          <w:rFonts w:ascii="宋体" w:hAnsi="宋体" w:cs="宋体" w:hint="eastAsia"/>
          <w:sz w:val="24"/>
          <w:szCs w:val="24"/>
          <w:lang w:eastAsia="zh-CN"/>
        </w:rPr>
        <w:t>4、其他约定事项：</w:t>
      </w:r>
      <w:r>
        <w:rPr>
          <w:rFonts w:ascii="宋体" w:hAnsi="宋体" w:cs="宋体" w:hint="eastAsia"/>
          <w:sz w:val="24"/>
          <w:szCs w:val="24"/>
          <w:u w:val="single"/>
          <w:lang w:eastAsia="zh-CN"/>
        </w:rPr>
        <w:t xml:space="preserve">         无           </w:t>
      </w:r>
      <w:r>
        <w:rPr>
          <w:rFonts w:ascii="宋体" w:hAnsi="宋体" w:cs="宋体" w:hint="eastAsia"/>
          <w:sz w:val="24"/>
          <w:szCs w:val="24"/>
          <w:lang w:eastAsia="zh-CN"/>
        </w:rPr>
        <w:t>。</w:t>
      </w:r>
    </w:p>
    <w:p>
      <w:pPr>
        <w:tabs>
          <w:tab w:val="left" w:pos="1573"/>
        </w:tabs>
        <w:spacing w:line="360" w:lineRule="auto"/>
        <w:ind w:firstLine="470" w:firstLineChars="196"/>
        <w:rPr>
          <w:rFonts w:ascii="宋体" w:hAnsi="宋体" w:cs="宋体"/>
          <w:b/>
          <w:lang w:eastAsia="zh-CN"/>
        </w:rPr>
      </w:pPr>
      <w:r>
        <w:rPr>
          <w:rFonts w:ascii="宋体" w:hAnsi="宋体" w:cs="宋体" w:hint="eastAsia"/>
          <w:b/>
          <w:sz w:val="24"/>
          <w:szCs w:val="24"/>
          <w:lang w:eastAsia="zh-CN"/>
        </w:rPr>
        <w:t>五、质量标准和检验方式</w:t>
      </w:r>
    </w:p>
    <w:p>
      <w:pPr>
        <w:tabs>
          <w:tab w:val="left" w:pos="1573"/>
        </w:tabs>
        <w:spacing w:line="360" w:lineRule="auto"/>
        <w:ind w:firstLine="480" w:firstLineChars="200"/>
        <w:rPr>
          <w:rFonts w:ascii="宋体" w:hAnsi="宋体" w:cs="宋体"/>
          <w:lang w:eastAsia="zh-CN"/>
        </w:rPr>
      </w:pPr>
      <w:r>
        <w:rPr>
          <w:rFonts w:ascii="宋体" w:hAnsi="宋体" w:cs="宋体" w:hint="eastAsia"/>
          <w:sz w:val="24"/>
          <w:szCs w:val="24"/>
          <w:lang w:eastAsia="zh-CN"/>
        </w:rPr>
        <w:t>补足或更换的货物应在签署货损证明之日起</w:t>
      </w:r>
      <w:r>
        <w:rPr>
          <w:rFonts w:ascii="宋体" w:hAnsi="宋体" w:cs="宋体" w:hint="eastAsia"/>
          <w:sz w:val="24"/>
          <w:szCs w:val="24"/>
          <w:u w:val="single"/>
          <w:lang w:eastAsia="zh-CN"/>
        </w:rPr>
        <w:t>10</w:t>
      </w:r>
      <w:r>
        <w:rPr>
          <w:rFonts w:ascii="宋体" w:hAnsi="宋体" w:cs="宋体" w:hint="eastAsia"/>
          <w:sz w:val="24"/>
          <w:szCs w:val="24"/>
          <w:lang w:eastAsia="zh-CN"/>
        </w:rPr>
        <w:t>日内运达甲方指定地点。</w:t>
      </w:r>
    </w:p>
    <w:p>
      <w:pPr>
        <w:tabs>
          <w:tab w:val="left" w:pos="1573"/>
        </w:tabs>
        <w:spacing w:line="360" w:lineRule="auto"/>
        <w:ind w:firstLine="470" w:firstLineChars="196"/>
        <w:rPr>
          <w:rFonts w:ascii="宋体" w:hAnsi="宋体" w:cs="宋体"/>
          <w:b/>
          <w:lang w:eastAsia="zh-CN"/>
        </w:rPr>
      </w:pPr>
      <w:r>
        <w:rPr>
          <w:rFonts w:ascii="宋体" w:hAnsi="宋体" w:cs="宋体" w:hint="eastAsia"/>
          <w:b/>
          <w:sz w:val="24"/>
          <w:szCs w:val="24"/>
          <w:lang w:eastAsia="zh-CN"/>
        </w:rPr>
        <w:t>六、技术服务和保修责任方式</w:t>
      </w:r>
    </w:p>
    <w:p>
      <w:pPr>
        <w:tabs>
          <w:tab w:val="left" w:pos="1573"/>
        </w:tabs>
        <w:spacing w:line="360" w:lineRule="auto"/>
        <w:ind w:firstLine="470" w:firstLineChars="196"/>
        <w:rPr>
          <w:rFonts w:ascii="宋体" w:hAnsi="宋体" w:cs="宋体"/>
          <w:lang w:eastAsia="zh-CN"/>
        </w:rPr>
      </w:pPr>
      <w:r>
        <w:rPr>
          <w:rFonts w:ascii="宋体" w:hAnsi="宋体" w:cs="宋体" w:hint="eastAsia"/>
          <w:sz w:val="24"/>
          <w:szCs w:val="24"/>
          <w:lang w:eastAsia="zh-CN"/>
        </w:rPr>
        <w:t>1、乙方对合同货物的质量保修期为通过业务验收之日起</w:t>
      </w:r>
      <w:r>
        <w:rPr>
          <w:rFonts w:ascii="宋体" w:hAnsi="宋体" w:cs="宋体" w:hint="eastAsia"/>
          <w:sz w:val="24"/>
          <w:szCs w:val="24"/>
          <w:u w:val="single"/>
          <w:lang w:eastAsia="zh-CN"/>
        </w:rPr>
        <w:t xml:space="preserve">          </w:t>
      </w:r>
      <w:r>
        <w:rPr>
          <w:rFonts w:ascii="宋体" w:hAnsi="宋体" w:cs="宋体" w:hint="eastAsia"/>
          <w:sz w:val="24"/>
          <w:szCs w:val="24"/>
          <w:lang w:eastAsia="zh-CN"/>
        </w:rPr>
        <w:t>个月。</w:t>
      </w:r>
    </w:p>
    <w:p>
      <w:pPr>
        <w:tabs>
          <w:tab w:val="left" w:pos="1573"/>
        </w:tabs>
        <w:spacing w:line="360" w:lineRule="auto"/>
        <w:ind w:firstLine="470" w:firstLineChars="196"/>
        <w:rPr>
          <w:rFonts w:ascii="宋体" w:hAnsi="宋体" w:cs="宋体"/>
          <w:lang w:eastAsia="zh-CN"/>
        </w:rPr>
      </w:pPr>
      <w:r>
        <w:rPr>
          <w:rFonts w:ascii="宋体" w:hAnsi="宋体" w:cs="宋体" w:hint="eastAsia"/>
          <w:sz w:val="24"/>
          <w:szCs w:val="24"/>
          <w:lang w:eastAsia="zh-CN"/>
        </w:rPr>
        <w:t>2、乙方在合同货物的质量保修期内，免费为甲方提供合同货物的技术指导和维修服务服务的时间是：每周</w:t>
      </w:r>
      <w:r>
        <w:rPr>
          <w:rFonts w:ascii="宋体" w:hAnsi="宋体" w:cs="宋体" w:hint="eastAsia"/>
          <w:sz w:val="24"/>
          <w:szCs w:val="24"/>
          <w:u w:val="single"/>
          <w:lang w:eastAsia="zh-CN"/>
        </w:rPr>
        <w:t xml:space="preserve">       </w:t>
      </w:r>
      <w:r>
        <w:rPr>
          <w:rFonts w:ascii="宋体" w:hAnsi="宋体" w:cs="宋体" w:hint="eastAsia"/>
          <w:sz w:val="24"/>
          <w:szCs w:val="24"/>
          <w:lang w:eastAsia="zh-CN"/>
        </w:rPr>
        <w:t>天*</w:t>
      </w:r>
      <w:r>
        <w:rPr>
          <w:rFonts w:ascii="宋体" w:hAnsi="宋体" w:cs="宋体" w:hint="eastAsia"/>
          <w:sz w:val="24"/>
          <w:szCs w:val="24"/>
          <w:u w:val="single"/>
          <w:lang w:eastAsia="zh-CN"/>
        </w:rPr>
        <w:t xml:space="preserve">       </w:t>
      </w:r>
      <w:r>
        <w:rPr>
          <w:rFonts w:ascii="宋体" w:hAnsi="宋体" w:cs="宋体" w:hint="eastAsia"/>
          <w:sz w:val="24"/>
          <w:szCs w:val="24"/>
          <w:lang w:eastAsia="zh-CN"/>
        </w:rPr>
        <w:t>小时（工作时间）。</w:t>
      </w:r>
    </w:p>
    <w:p>
      <w:pPr>
        <w:tabs>
          <w:tab w:val="left" w:pos="1573"/>
        </w:tabs>
        <w:spacing w:line="360" w:lineRule="auto"/>
        <w:ind w:firstLine="470" w:firstLineChars="196"/>
        <w:rPr>
          <w:rFonts w:ascii="宋体" w:hAnsi="宋体" w:cs="宋体"/>
          <w:lang w:eastAsia="zh-CN"/>
        </w:rPr>
      </w:pPr>
      <w:r>
        <w:rPr>
          <w:rFonts w:ascii="宋体" w:hAnsi="宋体" w:cs="宋体" w:hint="eastAsia"/>
          <w:sz w:val="24"/>
          <w:szCs w:val="24"/>
          <w:lang w:eastAsia="zh-CN"/>
        </w:rPr>
        <w:t>3、乙方保证在合同货物出现故障和缺陷时，或接到甲方提出的技术服务要求后</w:t>
      </w:r>
      <w:r>
        <w:rPr>
          <w:rFonts w:ascii="宋体" w:hAnsi="宋体" w:cs="宋体" w:hint="eastAsia"/>
          <w:sz w:val="24"/>
          <w:szCs w:val="24"/>
          <w:u w:val="single"/>
          <w:lang w:eastAsia="zh-CN"/>
        </w:rPr>
        <w:t xml:space="preserve">    </w:t>
      </w:r>
      <w:r>
        <w:rPr>
          <w:rFonts w:ascii="宋体" w:hAnsi="宋体" w:cs="宋体" w:hint="eastAsia"/>
          <w:sz w:val="24"/>
          <w:szCs w:val="24"/>
          <w:lang w:eastAsia="zh-CN"/>
        </w:rPr>
        <w:t>小时内予以答复，如甲方有要求或必要时，乙方应在接到甲方通知后</w:t>
      </w:r>
      <w:r>
        <w:rPr>
          <w:rFonts w:ascii="宋体" w:hAnsi="宋体" w:cs="宋体" w:hint="eastAsia"/>
          <w:sz w:val="24"/>
          <w:szCs w:val="24"/>
          <w:u w:val="single"/>
          <w:lang w:eastAsia="zh-CN"/>
        </w:rPr>
        <w:t xml:space="preserve">       </w:t>
      </w:r>
      <w:r>
        <w:rPr>
          <w:rFonts w:ascii="宋体" w:hAnsi="宋体" w:cs="宋体" w:hint="eastAsia"/>
          <w:sz w:val="24"/>
          <w:szCs w:val="24"/>
          <w:lang w:eastAsia="zh-CN"/>
        </w:rPr>
        <w:t>小时内派员至甲方免费维修和提供现场指导。</w:t>
      </w:r>
    </w:p>
    <w:p>
      <w:pPr>
        <w:tabs>
          <w:tab w:val="left" w:pos="1573"/>
        </w:tabs>
        <w:spacing w:line="360" w:lineRule="auto"/>
        <w:ind w:firstLine="470" w:firstLineChars="196"/>
        <w:rPr>
          <w:rFonts w:ascii="宋体" w:hAnsi="宋体" w:cs="宋体"/>
          <w:lang w:eastAsia="zh-CN"/>
        </w:rPr>
      </w:pPr>
      <w:r>
        <w:rPr>
          <w:rFonts w:ascii="宋体" w:hAnsi="宋体" w:cs="宋体" w:hint="eastAsia"/>
          <w:sz w:val="24"/>
          <w:szCs w:val="24"/>
          <w:lang w:eastAsia="zh-CN"/>
        </w:rPr>
        <w:t>4、如乙方在接到甲方维修通知后</w:t>
      </w:r>
      <w:r>
        <w:rPr>
          <w:rFonts w:ascii="宋体" w:hAnsi="宋体" w:cs="宋体" w:hint="eastAsia"/>
          <w:sz w:val="24"/>
          <w:szCs w:val="24"/>
          <w:u w:val="single"/>
          <w:lang w:eastAsia="zh-CN"/>
        </w:rPr>
        <w:t xml:space="preserve">       </w:t>
      </w:r>
      <w:r>
        <w:rPr>
          <w:rFonts w:ascii="宋体" w:hAnsi="宋体" w:cs="宋体" w:hint="eastAsia"/>
          <w:sz w:val="24"/>
          <w:szCs w:val="24"/>
          <w:lang w:eastAsia="zh-CN"/>
        </w:rPr>
        <w:t>小时仍不能修复有关货物，乙方应提供与该货物同一型号的备用货物。</w:t>
      </w:r>
    </w:p>
    <w:p>
      <w:pPr>
        <w:tabs>
          <w:tab w:val="left" w:pos="1573"/>
        </w:tabs>
        <w:spacing w:line="360" w:lineRule="auto"/>
        <w:ind w:firstLine="470" w:firstLineChars="196"/>
        <w:rPr>
          <w:rFonts w:ascii="宋体" w:hAnsi="宋体" w:cs="宋体"/>
          <w:lang w:eastAsia="zh-CN"/>
        </w:rPr>
      </w:pPr>
      <w:r>
        <w:rPr>
          <w:rFonts w:ascii="宋体" w:hAnsi="宋体" w:cs="宋体" w:hint="eastAsia"/>
          <w:sz w:val="24"/>
          <w:szCs w:val="24"/>
          <w:lang w:eastAsia="zh-CN"/>
        </w:rPr>
        <w:t>5、如乙方在接到甲方提出的技术服务要求或维修通知后</w:t>
      </w:r>
      <w:r>
        <w:rPr>
          <w:rFonts w:ascii="宋体" w:hAnsi="宋体" w:cs="宋体" w:hint="eastAsia"/>
          <w:sz w:val="24"/>
          <w:szCs w:val="24"/>
          <w:u w:val="single"/>
          <w:lang w:eastAsia="zh-CN"/>
        </w:rPr>
        <w:t xml:space="preserve">       </w:t>
      </w:r>
      <w:r>
        <w:rPr>
          <w:rFonts w:ascii="宋体" w:hAnsi="宋体" w:cs="宋体" w:hint="eastAsia"/>
          <w:sz w:val="24"/>
          <w:szCs w:val="24"/>
          <w:lang w:eastAsia="zh-CN"/>
        </w:rPr>
        <w:t>小时内没有响应、拒绝或没有派员到达甲方提供技术服务、修理或退换货物，甲方有权委托第三人对合同货物进行维修或提供技术服务。</w:t>
      </w:r>
    </w:p>
    <w:p>
      <w:pPr>
        <w:tabs>
          <w:tab w:val="left" w:pos="1573"/>
        </w:tabs>
        <w:spacing w:line="360" w:lineRule="auto"/>
        <w:ind w:firstLine="470" w:firstLineChars="196"/>
        <w:rPr>
          <w:rFonts w:ascii="宋体" w:hAnsi="宋体" w:cs="宋体"/>
          <w:lang w:eastAsia="zh-CN"/>
        </w:rPr>
      </w:pPr>
      <w:r>
        <w:rPr>
          <w:rFonts w:ascii="宋体" w:hAnsi="宋体" w:cs="宋体" w:hint="eastAsia"/>
          <w:sz w:val="24"/>
          <w:szCs w:val="24"/>
          <w:lang w:eastAsia="zh-CN"/>
        </w:rPr>
        <w:t>6、在合同货物保修期届满后，如果因合同货物硬件或软件的固有缺陷和瑕疵出现紧急故障和事故，乙方应在接到甲方通知之后</w:t>
      </w:r>
      <w:r>
        <w:rPr>
          <w:rFonts w:ascii="宋体" w:hAnsi="宋体" w:cs="宋体" w:hint="eastAsia"/>
          <w:sz w:val="24"/>
          <w:szCs w:val="24"/>
          <w:u w:val="single"/>
          <w:lang w:eastAsia="zh-CN"/>
        </w:rPr>
        <w:t xml:space="preserve">    </w:t>
      </w:r>
      <w:r>
        <w:rPr>
          <w:rFonts w:ascii="宋体" w:hAnsi="宋体" w:cs="宋体" w:hint="eastAsia"/>
          <w:sz w:val="24"/>
          <w:szCs w:val="24"/>
          <w:lang w:eastAsia="zh-CN"/>
        </w:rPr>
        <w:t>小时内到达现场。</w:t>
      </w:r>
    </w:p>
    <w:p>
      <w:pPr>
        <w:tabs>
          <w:tab w:val="left" w:pos="1573"/>
        </w:tabs>
        <w:spacing w:line="360" w:lineRule="auto"/>
        <w:ind w:firstLine="470" w:firstLineChars="196"/>
        <w:rPr>
          <w:rFonts w:ascii="宋体" w:hAnsi="宋体" w:cs="宋体"/>
          <w:b/>
          <w:lang w:eastAsia="zh-CN"/>
        </w:rPr>
      </w:pPr>
      <w:r>
        <w:rPr>
          <w:rFonts w:ascii="宋体" w:hAnsi="宋体" w:cs="宋体" w:hint="eastAsia"/>
          <w:b/>
          <w:sz w:val="24"/>
          <w:szCs w:val="24"/>
          <w:lang w:eastAsia="zh-CN"/>
        </w:rPr>
        <w:t>七、违约责任</w:t>
      </w:r>
    </w:p>
    <w:p>
      <w:pPr>
        <w:tabs>
          <w:tab w:val="left" w:pos="1573"/>
        </w:tabs>
        <w:spacing w:line="360" w:lineRule="auto"/>
        <w:ind w:firstLine="470" w:firstLineChars="196"/>
        <w:rPr>
          <w:rFonts w:ascii="宋体" w:hAnsi="宋体" w:cs="宋体"/>
          <w:lang w:eastAsia="zh-CN"/>
        </w:rPr>
      </w:pPr>
      <w:r>
        <w:rPr>
          <w:rFonts w:ascii="宋体" w:hAnsi="宋体" w:cs="宋体" w:hint="eastAsia"/>
          <w:sz w:val="24"/>
          <w:szCs w:val="24"/>
          <w:lang w:eastAsia="zh-CN"/>
        </w:rPr>
        <w:t>1、延期交货或延期付款的违约责任：如乙方延期交货或甲方延期付款，每逾期一天，违约方应按延期交货所折合的金额或延期付款金额每天</w:t>
      </w:r>
      <w:r>
        <w:rPr>
          <w:rFonts w:ascii="宋体" w:hAnsi="宋体" w:cs="宋体" w:hint="eastAsia"/>
          <w:sz w:val="24"/>
          <w:szCs w:val="24"/>
          <w:u w:val="single"/>
          <w:lang w:eastAsia="zh-CN"/>
        </w:rPr>
        <w:t xml:space="preserve"> 3 </w:t>
      </w:r>
      <w:r>
        <w:rPr>
          <w:rFonts w:ascii="宋体" w:hAnsi="宋体" w:cs="宋体" w:hint="eastAsia"/>
          <w:sz w:val="24"/>
          <w:szCs w:val="24"/>
          <w:lang w:eastAsia="zh-CN"/>
        </w:rPr>
        <w:t>‰ 的比例向对方支付违约金，但该违约金累计不超过合同总金额的</w:t>
      </w:r>
      <w:r>
        <w:rPr>
          <w:rFonts w:ascii="宋体" w:hAnsi="宋体" w:cs="宋体" w:hint="eastAsia"/>
          <w:sz w:val="24"/>
          <w:szCs w:val="24"/>
          <w:u w:val="single"/>
          <w:lang w:eastAsia="zh-CN"/>
        </w:rPr>
        <w:t>20</w:t>
      </w:r>
      <w:r>
        <w:rPr>
          <w:rFonts w:ascii="宋体" w:hAnsi="宋体" w:cs="宋体" w:hint="eastAsia"/>
          <w:sz w:val="24"/>
          <w:szCs w:val="24"/>
          <w:lang w:eastAsia="zh-CN"/>
        </w:rPr>
        <w:t>%；上述逾期超过</w:t>
      </w:r>
      <w:r>
        <w:rPr>
          <w:rFonts w:ascii="宋体" w:hAnsi="宋体" w:cs="宋体" w:hint="eastAsia"/>
          <w:sz w:val="24"/>
          <w:szCs w:val="24"/>
          <w:u w:val="single"/>
          <w:lang w:eastAsia="zh-CN"/>
        </w:rPr>
        <w:t xml:space="preserve"> 20</w:t>
      </w:r>
      <w:r>
        <w:rPr>
          <w:rFonts w:ascii="宋体" w:hAnsi="宋体" w:cs="宋体" w:hint="eastAsia"/>
          <w:sz w:val="24"/>
          <w:szCs w:val="24"/>
          <w:lang w:eastAsia="zh-CN"/>
        </w:rPr>
        <w:t>天且成套集成的货物已交货套数未达合同约定套数90%的以及单套货物未能全部交足的，守约方有权解除合同，并要求违约方赔偿由此造成的损失。</w:t>
      </w:r>
    </w:p>
    <w:p>
      <w:pPr>
        <w:tabs>
          <w:tab w:val="left" w:pos="1573"/>
        </w:tabs>
        <w:spacing w:line="360" w:lineRule="auto"/>
        <w:ind w:firstLine="470" w:firstLineChars="196"/>
        <w:rPr>
          <w:rFonts w:ascii="宋体" w:hAnsi="宋体" w:cs="宋体"/>
          <w:lang w:eastAsia="zh-CN"/>
        </w:rPr>
      </w:pPr>
      <w:r>
        <w:rPr>
          <w:rFonts w:ascii="宋体" w:hAnsi="宋体" w:cs="宋体" w:hint="eastAsia"/>
          <w:sz w:val="24"/>
          <w:szCs w:val="24"/>
          <w:lang w:eastAsia="zh-CN"/>
        </w:rPr>
        <w:t>2、其它违约责任：违约方应就每一单项违约向对方支付合同总金额</w:t>
      </w:r>
      <w:r>
        <w:rPr>
          <w:rFonts w:ascii="宋体" w:hAnsi="宋体" w:cs="宋体" w:hint="eastAsia"/>
          <w:sz w:val="24"/>
          <w:szCs w:val="24"/>
          <w:u w:val="single"/>
          <w:lang w:eastAsia="zh-CN"/>
        </w:rPr>
        <w:t xml:space="preserve">     </w:t>
      </w:r>
      <w:r>
        <w:rPr>
          <w:rFonts w:ascii="宋体" w:hAnsi="宋体" w:cs="宋体" w:hint="eastAsia"/>
          <w:sz w:val="24"/>
          <w:szCs w:val="24"/>
          <w:lang w:eastAsia="zh-CN"/>
        </w:rPr>
        <w:t>%的违约金。</w:t>
      </w:r>
    </w:p>
    <w:p>
      <w:pPr>
        <w:widowControl w:val="0"/>
        <w:tabs>
          <w:tab w:val="left" w:pos="1573"/>
        </w:tabs>
        <w:kinsoku/>
        <w:autoSpaceDE/>
        <w:autoSpaceDN/>
        <w:adjustRightInd/>
        <w:snapToGrid/>
        <w:spacing w:line="360" w:lineRule="auto"/>
        <w:ind w:firstLine="480" w:firstLineChars="200"/>
        <w:jc w:val="both"/>
        <w:textAlignment w:val="auto"/>
        <w:rPr>
          <w:rFonts w:ascii="宋体" w:eastAsia="宋体" w:hAnsi="宋体" w:cs="宋体"/>
          <w:b/>
          <w:snapToGrid/>
          <w:kern w:val="2"/>
          <w:szCs w:val="20"/>
          <w:lang w:eastAsia="zh-CN"/>
        </w:rPr>
      </w:pPr>
      <w:r>
        <w:rPr>
          <w:rFonts w:ascii="宋体" w:hAnsi="宋体" w:cs="宋体" w:hint="eastAsia"/>
          <w:b/>
          <w:sz w:val="24"/>
          <w:szCs w:val="24"/>
          <w:lang w:eastAsia="zh-CN"/>
        </w:rPr>
        <w:t>八、</w:t>
      </w:r>
      <w:r>
        <w:rPr>
          <w:rFonts w:ascii="宋体" w:hAnsi="宋体" w:eastAsiaTheme="minorEastAsia" w:cs="宋体" w:hint="eastAsia"/>
          <w:b/>
          <w:bCs/>
          <w:sz w:val="24"/>
          <w:szCs w:val="24"/>
          <w:lang w:eastAsia="zh-CN"/>
        </w:rPr>
        <w:t>履</w:t>
      </w:r>
      <w:r>
        <w:rPr>
          <w:rFonts w:ascii="宋体" w:eastAsia="宋体" w:hAnsi="宋体" w:cs="宋体" w:hint="eastAsia"/>
          <w:b/>
          <w:bCs/>
          <w:snapToGrid/>
          <w:kern w:val="2"/>
          <w:sz w:val="24"/>
          <w:szCs w:val="24"/>
          <w:lang w:eastAsia="zh-CN"/>
        </w:rPr>
        <w:t>约</w:t>
      </w:r>
      <w:r>
        <w:rPr>
          <w:rFonts w:ascii="宋体" w:hAnsi="宋体" w:eastAsiaTheme="minorEastAsia" w:cs="宋体" w:hint="eastAsia"/>
          <w:b/>
          <w:bCs/>
          <w:sz w:val="24"/>
          <w:szCs w:val="24"/>
          <w:lang w:eastAsia="zh-CN"/>
        </w:rPr>
        <w:t>保证金</w:t>
      </w:r>
    </w:p>
    <w:p>
      <w:pPr>
        <w:widowControl w:val="0"/>
        <w:tabs>
          <w:tab w:val="left" w:pos="1573"/>
        </w:tabs>
        <w:kinsoku/>
        <w:autoSpaceDE/>
        <w:autoSpaceDN/>
        <w:adjustRightInd/>
        <w:snapToGrid/>
        <w:spacing w:line="360" w:lineRule="auto"/>
        <w:ind w:firstLine="480" w:firstLineChars="200"/>
        <w:jc w:val="both"/>
        <w:textAlignment w:val="auto"/>
        <w:rPr>
          <w:rFonts w:ascii="宋体" w:eastAsia="宋体" w:hAnsi="宋体" w:cs="宋体"/>
          <w:snapToGrid/>
          <w:color w:val="FF0000"/>
          <w:kern w:val="2"/>
          <w:szCs w:val="20"/>
          <w:lang w:eastAsia="zh-CN"/>
        </w:rPr>
      </w:pPr>
      <w:r>
        <w:rPr>
          <w:rFonts w:ascii="宋体" w:eastAsia="宋体" w:hAnsi="宋体" w:cs="宋体" w:hint="eastAsia"/>
          <w:snapToGrid/>
          <w:kern w:val="2"/>
          <w:sz w:val="24"/>
          <w:szCs w:val="24"/>
          <w:lang w:eastAsia="zh-CN"/>
        </w:rPr>
        <w:t>中标人在业务验收通过后</w:t>
      </w:r>
      <w:r>
        <w:rPr>
          <w:rFonts w:ascii="宋体" w:eastAsia="宋体" w:hAnsi="宋体" w:cs="宋体" w:hint="eastAsia"/>
          <w:snapToGrid/>
          <w:kern w:val="2"/>
          <w:sz w:val="24"/>
          <w:szCs w:val="24"/>
          <w:u w:val="single"/>
          <w:lang w:eastAsia="zh-CN"/>
        </w:rPr>
        <w:t xml:space="preserve">   </w:t>
      </w:r>
      <w:r>
        <w:rPr>
          <w:rFonts w:ascii="宋体" w:eastAsia="宋体" w:hAnsi="宋体" w:cs="宋体" w:hint="eastAsia"/>
          <w:snapToGrid/>
          <w:kern w:val="2"/>
          <w:sz w:val="24"/>
          <w:szCs w:val="24"/>
          <w:lang w:eastAsia="zh-CN"/>
        </w:rPr>
        <w:t>个工作日内，中标人提供合同总价</w:t>
      </w:r>
      <w:r>
        <w:rPr>
          <w:rFonts w:ascii="宋体" w:eastAsia="宋体" w:hAnsi="宋体" w:cs="宋体" w:hint="eastAsia"/>
          <w:snapToGrid/>
          <w:kern w:val="2"/>
          <w:sz w:val="24"/>
          <w:szCs w:val="24"/>
          <w:lang w:eastAsia="zh-CN"/>
        </w:rPr>
        <w:t>10%的履约保证金。如雷达未达到运行考核要求，每自然日扣除履约保证金总额1%，直至扣完。</w:t>
      </w:r>
    </w:p>
    <w:p>
      <w:pPr>
        <w:tabs>
          <w:tab w:val="left" w:pos="1573"/>
        </w:tabs>
        <w:spacing w:line="360" w:lineRule="auto"/>
        <w:ind w:firstLine="420" w:firstLineChars="200"/>
        <w:rPr>
          <w:rFonts w:ascii="宋体" w:hAnsi="宋体" w:cs="宋体"/>
          <w:lang w:eastAsia="zh-CN"/>
        </w:rPr>
      </w:pPr>
    </w:p>
    <w:p>
      <w:pPr>
        <w:ind w:firstLine="309" w:firstLineChars="147"/>
        <w:rPr>
          <w:rFonts w:ascii="宋体" w:hAnsi="宋体" w:cs="宋体"/>
          <w:b/>
          <w:lang w:eastAsia="zh-CN"/>
        </w:rPr>
      </w:pPr>
    </w:p>
    <w:p>
      <w:pPr>
        <w:ind w:firstLine="309" w:firstLineChars="147"/>
        <w:rPr>
          <w:rFonts w:ascii="宋体" w:hAnsi="宋体" w:cs="宋体"/>
          <w:bCs/>
          <w:lang w:eastAsia="zh-CN"/>
        </w:rPr>
      </w:pPr>
    </w:p>
    <w:p>
      <w:pPr>
        <w:ind w:firstLine="353" w:firstLineChars="147"/>
        <w:rPr>
          <w:rFonts w:ascii="宋体" w:hAnsi="宋体" w:cs="宋体"/>
          <w:bCs/>
          <w:lang w:eastAsia="zh-CN"/>
        </w:rPr>
      </w:pPr>
      <w:r>
        <w:rPr>
          <w:rFonts w:ascii="宋体" w:hAnsi="宋体" w:cs="宋体" w:hint="eastAsia"/>
          <w:bCs/>
          <w:sz w:val="24"/>
          <w:szCs w:val="24"/>
          <w:lang w:eastAsia="zh-CN"/>
        </w:rPr>
        <w:t>甲方：                                   乙方：</w:t>
      </w:r>
    </w:p>
    <w:p>
      <w:pPr>
        <w:ind w:firstLine="353" w:firstLineChars="147"/>
        <w:rPr>
          <w:rFonts w:ascii="宋体" w:hAnsi="宋体" w:cs="宋体"/>
          <w:bCs/>
          <w:lang w:eastAsia="zh-CN"/>
        </w:rPr>
      </w:pPr>
      <w:r>
        <w:rPr>
          <w:rFonts w:ascii="宋体" w:hAnsi="宋体" w:cs="宋体" w:hint="eastAsia"/>
          <w:bCs/>
          <w:sz w:val="24"/>
          <w:szCs w:val="24"/>
          <w:lang w:eastAsia="zh-CN"/>
        </w:rPr>
        <w:t>单位名称：（公章）                       单位名称：（公章）</w:t>
      </w:r>
    </w:p>
    <w:p>
      <w:pPr>
        <w:ind w:firstLine="353" w:firstLineChars="147"/>
        <w:rPr>
          <w:rFonts w:ascii="宋体" w:hAnsi="宋体" w:cs="宋体"/>
          <w:bCs/>
          <w:lang w:eastAsia="zh-CN"/>
        </w:rPr>
      </w:pPr>
      <w:r>
        <w:rPr>
          <w:rFonts w:ascii="宋体" w:hAnsi="宋体" w:cs="宋体" w:hint="eastAsia"/>
          <w:bCs/>
          <w:sz w:val="24"/>
          <w:szCs w:val="24"/>
          <w:lang w:eastAsia="zh-CN"/>
        </w:rPr>
        <w:t>地址：                                   地址：</w:t>
      </w:r>
    </w:p>
    <w:p>
      <w:pPr>
        <w:tabs>
          <w:tab w:val="left" w:pos="1573"/>
        </w:tabs>
        <w:ind w:firstLine="360" w:firstLineChars="150"/>
        <w:rPr>
          <w:rFonts w:ascii="宋体" w:hAnsi="宋体" w:cs="宋体"/>
          <w:bCs/>
          <w:lang w:eastAsia="zh-CN"/>
        </w:rPr>
      </w:pPr>
      <w:r>
        <w:rPr>
          <w:rFonts w:ascii="宋体" w:hAnsi="宋体" w:cs="宋体" w:hint="eastAsia"/>
          <w:bCs/>
          <w:sz w:val="24"/>
          <w:szCs w:val="24"/>
          <w:lang w:eastAsia="zh-CN"/>
        </w:rPr>
        <w:t xml:space="preserve">电话：                       </w:t>
      </w:r>
      <w:r>
        <w:rPr>
          <w:rFonts w:ascii="宋体" w:hAnsi="宋体" w:cs="宋体" w:hint="eastAsia"/>
          <w:bCs/>
          <w:sz w:val="24"/>
          <w:szCs w:val="24"/>
          <w:lang w:eastAsia="zh-CN"/>
        </w:rPr>
        <w:tab/>
      </w:r>
      <w:r>
        <w:rPr>
          <w:rFonts w:ascii="宋体" w:hAnsi="宋体" w:cs="宋体" w:hint="eastAsia"/>
          <w:bCs/>
          <w:sz w:val="24"/>
          <w:szCs w:val="24"/>
          <w:lang w:eastAsia="zh-CN"/>
        </w:rPr>
        <w:t xml:space="preserve">        电话：     </w:t>
      </w:r>
    </w:p>
    <w:p>
      <w:pPr>
        <w:tabs>
          <w:tab w:val="left" w:pos="1573"/>
        </w:tabs>
        <w:ind w:firstLine="360" w:firstLineChars="150"/>
        <w:rPr>
          <w:rFonts w:ascii="宋体" w:hAnsi="宋体" w:cs="宋体"/>
          <w:bCs/>
          <w:lang w:eastAsia="zh-CN"/>
        </w:rPr>
      </w:pPr>
      <w:r>
        <w:rPr>
          <w:rFonts w:ascii="宋体" w:hAnsi="宋体" w:cs="宋体" w:hint="eastAsia"/>
          <w:bCs/>
          <w:sz w:val="24"/>
          <w:szCs w:val="24"/>
          <w:lang w:eastAsia="zh-CN"/>
        </w:rPr>
        <w:t>传真：                                   传真：</w:t>
      </w:r>
    </w:p>
    <w:p>
      <w:pPr>
        <w:tabs>
          <w:tab w:val="left" w:pos="1573"/>
        </w:tabs>
        <w:ind w:firstLine="360" w:firstLineChars="150"/>
        <w:rPr>
          <w:rFonts w:ascii="宋体" w:hAnsi="宋体" w:cs="宋体"/>
          <w:bCs/>
          <w:lang w:eastAsia="zh-CN"/>
        </w:rPr>
      </w:pPr>
      <w:r>
        <w:rPr>
          <w:rFonts w:ascii="宋体" w:hAnsi="宋体" w:cs="宋体" w:hint="eastAsia"/>
          <w:bCs/>
          <w:sz w:val="24"/>
          <w:szCs w:val="24"/>
          <w:lang w:eastAsia="zh-CN"/>
        </w:rPr>
        <w:t>开户银行及帐号：                        开户银行及帐号：</w:t>
      </w:r>
    </w:p>
    <w:p>
      <w:pPr>
        <w:tabs>
          <w:tab w:val="left" w:pos="1573"/>
        </w:tabs>
        <w:ind w:firstLine="315" w:firstLineChars="150"/>
        <w:rPr>
          <w:rFonts w:ascii="宋体" w:hAnsi="宋体" w:cs="宋体"/>
          <w:bCs/>
          <w:lang w:eastAsia="zh-CN"/>
        </w:rPr>
      </w:pPr>
    </w:p>
    <w:p>
      <w:pPr>
        <w:ind w:firstLine="353" w:firstLineChars="147"/>
        <w:rPr>
          <w:rFonts w:ascii="宋体" w:hAnsi="宋体" w:cs="宋体"/>
          <w:bCs/>
        </w:rPr>
      </w:pPr>
      <w:r>
        <w:rPr>
          <w:rFonts w:ascii="宋体" w:hAnsi="宋体" w:cs="宋体" w:hint="eastAsia"/>
          <w:bCs/>
          <w:sz w:val="24"/>
          <w:szCs w:val="24"/>
        </w:rPr>
        <w:t>法定代表人：                             法定代表人：</w:t>
      </w:r>
    </w:p>
    <w:p>
      <w:pPr>
        <w:ind w:firstLine="353" w:firstLineChars="147"/>
        <w:rPr>
          <w:rFonts w:ascii="宋体" w:hAnsi="宋体" w:cs="宋体"/>
          <w:bCs/>
          <w:lang w:eastAsia="zh-CN"/>
        </w:rPr>
      </w:pPr>
      <w:r>
        <w:rPr>
          <w:rFonts w:ascii="宋体" w:hAnsi="宋体" w:cs="宋体" w:hint="eastAsia"/>
          <w:bCs/>
          <w:sz w:val="24"/>
          <w:szCs w:val="24"/>
          <w:lang w:eastAsia="zh-CN"/>
        </w:rPr>
        <w:t>授权代表：                               授权代表：</w:t>
      </w:r>
    </w:p>
    <w:p>
      <w:pPr>
        <w:ind w:firstLine="353" w:firstLineChars="147"/>
        <w:rPr>
          <w:rFonts w:ascii="宋体" w:hAnsi="宋体" w:cs="宋体"/>
          <w:bCs/>
          <w:lang w:eastAsia="zh-CN"/>
        </w:rPr>
      </w:pPr>
      <w:r>
        <w:rPr>
          <w:rFonts w:ascii="宋体" w:hAnsi="宋体" w:cs="宋体" w:hint="eastAsia"/>
          <w:bCs/>
          <w:sz w:val="24"/>
          <w:szCs w:val="24"/>
          <w:lang w:eastAsia="zh-CN"/>
        </w:rPr>
        <w:t>签约日期：                               签约日期：</w:t>
      </w:r>
    </w:p>
    <w:p>
      <w:pPr>
        <w:rPr>
          <w:rFonts w:ascii="宋体" w:hAnsi="宋体" w:cs="宋体"/>
          <w:lang w:eastAsia="zh-CN"/>
        </w:rPr>
      </w:pPr>
    </w:p>
    <w:p>
      <w:pPr>
        <w:rPr>
          <w:rFonts w:ascii="宋体" w:hAnsi="宋体" w:cs="宋体"/>
          <w:lang w:eastAsia="zh-CN"/>
        </w:rPr>
      </w:pPr>
    </w:p>
    <w:p>
      <w:pPr>
        <w:spacing w:line="360" w:lineRule="auto"/>
        <w:jc w:val="center"/>
        <w:rPr>
          <w:rFonts w:ascii="宋体" w:hAnsi="宋体" w:cs="宋体"/>
          <w:b/>
          <w:bCs/>
          <w:kern w:val="44"/>
          <w:sz w:val="44"/>
          <w:szCs w:val="44"/>
          <w:lang w:eastAsia="zh-CN"/>
        </w:rPr>
      </w:pPr>
    </w:p>
    <w:p>
      <w:pPr>
        <w:spacing w:line="360" w:lineRule="auto"/>
        <w:rPr>
          <w:rFonts w:ascii="宋体" w:hAnsi="宋体" w:cs="宋体"/>
          <w:b/>
          <w:bCs/>
          <w:kern w:val="44"/>
          <w:sz w:val="44"/>
          <w:szCs w:val="44"/>
          <w:lang w:eastAsia="zh-CN"/>
        </w:rPr>
      </w:pPr>
    </w:p>
    <w:p>
      <w:pPr>
        <w:pStyle w:val="BodyTextIndent"/>
        <w:rPr>
          <w:rFonts w:ascii="宋体" w:hAnsi="宋体" w:cs="宋体"/>
          <w:lang w:val="zh-TW" w:eastAsia="zh-TW"/>
        </w:rPr>
      </w:pPr>
    </w:p>
    <w:p>
      <w:pPr>
        <w:rPr>
          <w:lang w:eastAsia="zh-CN"/>
        </w:rPr>
      </w:pPr>
    </w:p>
    <w:p w:rsidR="00A77B3E"/>
    <w:p>
      <w:pPr>
        <w:spacing w:line="268" w:lineRule="auto"/>
      </w:pPr>
      <w:bookmarkEnd w:id="70"/>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仿宋_GBK">
    <w:altName w:val="Arial Unicode MS"/>
    <w:panose1 w:val="02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76833968"/>
    <w:multiLevelType w:val="singleLevel"/>
    <w:tmpl w:val="76833968"/>
    <w:lvl w:ilvl="0">
      <w:start w:val="3"/>
      <w:numFmt w:val="chineseCounting"/>
      <w:suff w:val="nothing"/>
      <w:lvlText w:val="%1、"/>
      <w:lvlJc w:val="left"/>
      <w:rPr>
        <w:rFonts w:hint="eastAsia"/>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4836"/>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0D33"/>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20">
    <w:name w:val="2级"/>
    <w:basedOn w:val="Normal"/>
    <w:qFormat/>
    <w:pPr>
      <w:autoSpaceDE w:val="0"/>
      <w:autoSpaceDN w:val="0"/>
      <w:ind w:firstLine="140" w:firstLineChars="50"/>
      <w:jc w:val="left"/>
      <w:outlineLvl w:val="1"/>
    </w:pPr>
    <w:rPr>
      <w:rFonts w:eastAsia="黑体"/>
      <w:kern w:val="0"/>
      <w:sz w:val="28"/>
      <w:szCs w:val="28"/>
    </w:rPr>
  </w:style>
  <w:style w:type="paragraph" w:customStyle="1" w:styleId="a2">
    <w:name w:val="图片格式"/>
    <w:basedOn w:val="Normal"/>
    <w:qFormat/>
    <w:pPr>
      <w:overflowPunct w:val="0"/>
      <w:ind w:firstLine="200" w:firstLineChars="200"/>
      <w:jc w:val="center"/>
    </w:pPr>
    <w:rPr>
      <w:rFonts w:eastAsia="黑体" w:cs="方正仿宋_GBK"/>
      <w:szCs w:val="28"/>
    </w:rPr>
  </w:style>
  <w:style w:type="paragraph" w:customStyle="1" w:styleId="a3">
    <w:name w:val="表体"/>
    <w:basedOn w:val="Normal"/>
    <w:qFormat/>
    <w:pPr>
      <w:overflowPunct w:val="0"/>
      <w:spacing w:line="400" w:lineRule="exact"/>
      <w:ind w:firstLine="200" w:firstLineChars="200"/>
      <w:jc w:val="center"/>
    </w:pPr>
    <w:rPr>
      <w:rFonts w:eastAsia="方正仿宋_GBK" w:cs="方正仿宋_GBK"/>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