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百米级短临数值预报系统基础技术研发</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ZQCD-26218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中国气象局地球系统数值预报中心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百米级短临数值预报系统基础技术研发</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ZQCD-26218</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2026年09月29日 00:00:00</w:t>
      </w:r>
      <w:bookmarkEnd w:id="27"/>
      <w:r>
        <w:rPr>
          <w:rFonts w:ascii="宋体" w:hint="eastAsia"/>
          <w:szCs w:val="21"/>
          <w:highlight w:val="none"/>
        </w:rPr>
        <w:t>至</w:t>
      </w:r>
      <w:bookmarkStart w:id="28" w:name="项目公告_signUpLastTime"/>
      <w:r>
        <w:rPr>
          <w:rFonts w:ascii="宋体" w:hint="eastAsia"/>
          <w:szCs w:val="21"/>
          <w:highlight w:val="none"/>
        </w:rPr>
        <w:t>2026年10月12日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2026年10月20日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北京市海淀区中关村南大街46号中国气象局北区8号楼4层404会议室（科技大楼前草坪西侧），届时投标人的法定代表人或其授权的投标人授权代表无需到场参加。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中国气象局地球系统数值预报中心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陈琪</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010-58994239</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中国气象局地球系统数值预报中心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（1）标的：百米级短临数值预报系统基础技术研发，属于  软件和信息技术服务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是，代理服务费：4.9万元。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549.900000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549.900000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2"/>
        <w:gridCol w:w="233"/>
        <w:gridCol w:w="2777"/>
        <w:gridCol w:w="233"/>
        <w:gridCol w:w="56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(14)</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 ISO9000系列质量管理体系认证；</w:t>
              <w:cr/>
              <w:t xml:space="preserve">2、投标人具有ISO20000信息技术服务管理体系认证； </w:t>
              <w:cr/>
              <w:t>3、投标人具有ISO27001信息安全管理体系认证；</w:t>
              <w:cr/>
              <w:t>每有一个得2分，满分6分。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(8)</w:t>
            </w:r>
          </w:p>
        </w:tc>
        <w:tc>
          <w:tcPr/>
          <w:p>
            <w:r>
              <w:t>评审标准：</w:t>
            </w:r>
          </w:p>
          <w:p>
            <w:r>
              <w:t>每提供1份软件著作权证书得2分，最多得8分。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6</w:t>
            </w:r>
          </w:p>
        </w:tc>
        <w:tc>
          <w:tcPr>
            <w:vMerge/>
          </w:tcPr>
          <w:p>
            <w:r>
              <w:t>商务部分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val="restart"/>
          </w:tcPr>
          <w:p>
            <w:r>
              <w:t>服务部分</w:t>
            </w:r>
          </w:p>
        </w:tc>
        <w:tc>
          <w:tcPr/>
          <w:p>
            <w:r>
              <w:t>服务团队（客观分）</w:t>
            </w:r>
          </w:p>
        </w:tc>
        <w:tc>
          <w:tcPr/>
          <w:p>
            <w:r>
              <w:t>勾选打分</w:t>
            </w:r>
            <w:r>
              <w:t>(11)</w:t>
            </w:r>
          </w:p>
        </w:tc>
        <w:tc>
          <w:tcPr/>
          <w:p>
            <w:r>
              <w:t>评审标准：</w:t>
            </w:r>
          </w:p>
          <w:p>
            <w:r>
              <w:t>投标人应组成本项目开发服务团队，团队组织结构清晰，人员专业背景齐全。具体如下：</w:t>
              <w:cr/>
              <w:t>1、团队人数至少7人，其中驻场人员至少3人。完全满足得6分，否则不得分。</w:t>
              <w:cr/>
              <w:t>2、团队负责人（项目经理）应有PMP证书或信息系统项目管理师（中级或以上）证书，并提供相关证明材料，完全满足得5分，否则不得分。</w:t>
            </w:r>
          </w:p>
          <w:p>
            <w:r>
              <w:t>评审标准说明：</w:t>
            </w:r>
          </w:p>
          <w:p>
            <w:r>
              <w:t>须提供团队人员名单及背景材料（证书复印件、技术能力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(1)</w:t>
            </w:r>
          </w:p>
        </w:tc>
        <w:tc>
          <w:tcPr/>
          <w:p>
            <w:r>
              <w:t>评审标准：</w:t>
            </w:r>
          </w:p>
          <w:p>
            <w:r>
              <w:t>一档0分</w:t>
              <w:cr/>
              <w:t>二档0.25分</w:t>
              <w:cr/>
              <w:t>三档0.5分</w:t>
              <w:cr/>
              <w:t>四档1分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(1)</w:t>
            </w:r>
          </w:p>
        </w:tc>
        <w:tc>
          <w:tcPr/>
          <w:p>
            <w:r>
              <w:t>评审标准：</w:t>
            </w:r>
          </w:p>
          <w:p>
            <w:r>
              <w:t>一档0分</w:t>
              <w:cr/>
              <w:t>二档0.25分</w:t>
              <w:cr/>
              <w:t>三档0.5分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(1)</w:t>
            </w:r>
          </w:p>
        </w:tc>
        <w:tc>
          <w:tcPr/>
          <w:p>
            <w:r>
              <w:t>评审标准：</w:t>
            </w:r>
          </w:p>
          <w:p>
            <w:r>
              <w:t>一档0分</w:t>
              <w:cr/>
              <w:t>二档0.25分</w:t>
              <w:cr/>
              <w:t>三档0.5分</w:t>
              <w:cr/>
              <w:t>四档1分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整体技术方案（主观分）</w:t>
            </w:r>
          </w:p>
        </w:tc>
        <w:tc>
          <w:tcPr/>
          <w:p>
            <w:r>
              <w:t>勾选打分</w:t>
            </w:r>
            <w:r>
              <w:t>(1)</w:t>
            </w:r>
          </w:p>
        </w:tc>
        <w:tc>
          <w:tcPr/>
          <w:p>
            <w:r>
              <w:t>评审标准：</w:t>
            </w:r>
          </w:p>
          <w:p>
            <w:r>
              <w:t>一档0分</w:t>
              <w:cr/>
              <w:t>二档0.25分</w:t>
              <w:cr/>
              <w:t>三档0.5分</w:t>
              <w:cr/>
              <w:t>四档1分</w:t>
            </w:r>
          </w:p>
          <w:p>
            <w:r>
              <w:t>评审标准说明：</w:t>
            </w:r>
          </w:p>
          <w:p>
            <w:r>
              <w:t>根据技术方案评分。技术方案应包括需求分析、技术解决方案、实施方案、软件质量保证方案等。</w:t>
              <w:cr/>
              <w:t>一档：未提供。</w:t>
              <w:cr/>
              <w:t>二档：技术方案不完整（指缺失需求分析、技术解决方案、实施方案、软件质量保证方案任意一项）；</w:t>
              <w:cr/>
              <w:t>三档：技术方案完整、规范，有一定逻辑性，针对性、可行性一般；</w:t>
              <w:cr/>
              <w:t>四档：技术方案完整、规范，逻辑性强，技术先进，针对性、可行性强。</w:t>
            </w:r>
          </w:p>
          <w:p/>
        </w:tc>
      </w:tr>
      <w:tr>
        <w:tblPrEx>
          <w:tblW w:w="5000" w:type="pct"/>
          <w:tblCellMar>
            <w:left w:w="108" w:type="dxa"/>
            <w:right w:w="108" w:type="dxa"/>
          </w:tblCellMar>
        </w:tblPrEx>
        <w:tc>
          <w:tcPr/>
          <w:p>
            <w:r>
              <w:t>12</w:t>
            </w:r>
          </w:p>
        </w:tc>
        <w:tc>
          <w:tcPr>
            <w:vMerge/>
          </w:tcPr>
          <w:p>
            <w:r>
              <w:t>技术部分</w:t>
            </w:r>
          </w:p>
        </w:tc>
        <w:tc>
          <w:tcPr/>
          <w:p>
            <w:r>
              <w:t>基于“天擎”的集约化方案（主观分）</w:t>
            </w:r>
          </w:p>
        </w:tc>
        <w:tc>
          <w:tcPr/>
          <w:p>
            <w:r>
              <w:t>勾选打分</w:t>
            </w:r>
            <w:r>
              <w:t>(1)</w:t>
            </w:r>
          </w:p>
        </w:tc>
        <w:tc>
          <w:tcPr/>
          <w:p>
            <w:r>
              <w:t>评审标准：</w:t>
            </w:r>
          </w:p>
          <w:p>
            <w:r>
              <w:t>一档0分</w:t>
              <w:cr/>
              <w:t>二档0.25分</w:t>
              <w:cr/>
              <w:t>三档0.5分</w:t>
              <w:cr/>
              <w:t>四档1分</w:t>
            </w:r>
          </w:p>
          <w:p>
            <w:r>
              <w:t>评审标准说明：</w:t>
            </w:r>
          </w:p>
          <w:p>
            <w:r>
              <w:t>根据基于“天擎”的集约化方案评分。</w:t>
              <w:cr/>
              <w:t>一档：未提供“天擎”集约化方案，或方案内容与“天擎”平台无关、不合理，不具备实施条件。</w:t>
              <w:cr/>
              <w:t>二档：投标人提供的集约化方案不完整或逻辑性较差，对“天擎”平台的应用描述不清晰，存在较多独立部署或重复建设现象，系统架构缺乏统一规划，集约化部署可行性较低。</w:t>
              <w:cr/>
              <w:t>三档：投标人提供的集约化方案完整，基本体现基于“天擎”平台的设计思路，但在资源整合、数据共享或统一运维等方面内容不够完善，部分模块仍为独立运行，系统集约化程度较低。整体技术路线较合理，但缺乏详细的实施细节或验证依据。</w:t>
              <w:cr/>
              <w:t>四档：投标人提供的集约化方案完整、架构清晰、逻辑性强，充分基于“天擎”平台进行系统设计与部署。方案明确了系统在“天擎”环境下的资源调度、统一管理、数据共享及服务集成方式，能够实现多业务系统的协同运行与统一运维，具有较高的可实施性与先进性。</w:t>
            </w:r>
          </w:p>
          <w:p/>
        </w:tc>
      </w:tr>
      <w:tr>
        <w:tblPrEx>
          <w:tblW w:w="5000" w:type="pct"/>
          <w:tblCellMar>
            <w:left w:w="108" w:type="dxa"/>
            <w:right w:w="108" w:type="dxa"/>
          </w:tblCellMar>
        </w:tblPrEx>
        <w:tc>
          <w:tcPr/>
          <w:p>
            <w:r>
              <w:t>13</w:t>
            </w:r>
          </w:p>
        </w:tc>
        <w:tc>
          <w:tcPr>
            <w:vMerge/>
          </w:tcPr>
          <w:p>
            <w:r>
              <w:t>技术部分</w:t>
            </w:r>
          </w:p>
        </w:tc>
        <w:tc>
          <w:tcPr/>
          <w:p>
            <w:r>
              <w:t>《适用于次千米分辨率的尺度自适应边界层参数化方案研发》解决方案（主观分）</w:t>
            </w:r>
          </w:p>
        </w:tc>
        <w:tc>
          <w:tcPr/>
          <w:p>
            <w:r>
              <w:t>区间打分</w:t>
            </w:r>
            <w:r>
              <w:t>(6)</w:t>
            </w:r>
          </w:p>
        </w:tc>
        <w:tc>
          <w:tcPr/>
          <w:p>
            <w:r>
              <w:t>评审标准：</w:t>
            </w:r>
          </w:p>
          <w:p>
            <w:r>
              <w:t>提交如下模块技术方案：</w:t>
              <w:cr/>
              <w:t>1、基于高阶闭合的次网格湍流局地传输参数化优化模块</w:t>
              <w:cr/>
              <w:t>2、基于多羽流质量通量的非局地次网格湍流参数化优化模块</w:t>
              <w:cr/>
              <w:t>3、湍流混合长尺度自适应模块</w:t>
              <w:cr/>
              <w:t>4、湍流质量通量尺度自适应模块</w:t>
              <w:cr/>
              <w:t>以上每个模块</w:t>
              <w:cr/>
              <w:t>一档0分</w:t>
              <w:cr/>
              <w:t>二档0.75分</w:t>
              <w:cr/>
              <w:t>三档1.5分</w:t>
              <w:cr/>
              <w:t>以上共计4模块，满分6分。</w:t>
            </w:r>
          </w:p>
          <w:p>
            <w:r>
              <w:t>评审标准说明：</w:t>
            </w:r>
          </w:p>
          <w:p>
            <w:r>
              <w:t>按模块提出技术方案，每个模块评分标准如下：</w:t>
              <w:cr/>
              <w:t>一档：未提供或技术方案不完整，未覆盖项目的功能和非功能需求，描述不清楚、缺乏针对关建技术的分析，可行性针对性差。</w:t>
              <w:cr/>
              <w:t>二档：技术方案内容完整，基本覆盖项目的功能和非功能需求，描述基本清楚；技术思路较合理、关建技术的分析较清晰，解决措施有一定可行性针对性，基本满足采购需求。</w:t>
              <w:cr/>
              <w:t>三档：技术方案内容完整、详实，完全覆盖项目的功能和非功能需求，描述清楚，逻辑性强，图文规范；技术先进，针对关建技术的分析详细，解决措施切实可行，针对性强，完全满足采购需求。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14</w:t>
            </w:r>
          </w:p>
        </w:tc>
        <w:tc>
          <w:tcPr>
            <w:vMerge/>
          </w:tcPr>
          <w:p>
            <w:r>
              <w:t>技术部分</w:t>
            </w:r>
          </w:p>
        </w:tc>
        <w:tc>
          <w:tcPr/>
          <w:p>
            <w:r>
              <w:t>《适用于次千米分辨率的尺三维次公里尺度地形参数构建及其低空效应参数化研发度自适应边界层参数化方案研发》解决方案（主观分）</w:t>
            </w:r>
          </w:p>
        </w:tc>
        <w:tc>
          <w:tcPr/>
          <w:p>
            <w:r>
              <w:t>区间打分</w:t>
            </w:r>
            <w:r>
              <w:t>(6)</w:t>
            </w:r>
          </w:p>
        </w:tc>
        <w:tc>
          <w:tcPr/>
          <w:p>
            <w:r>
              <w:t>评审标准：</w:t>
            </w:r>
          </w:p>
          <w:p>
            <w:r>
              <w:t>提交如下模块技术方案：</w:t>
              <w:cr/>
              <w:t>1、次百米地形高程数据处理模块</w:t>
              <w:cr/>
              <w:t>2、三维次公里尺度地形参数生成模块</w:t>
              <w:cr/>
              <w:t>3、次公里地形低空效应参数率定模块</w:t>
              <w:cr/>
              <w:t>4、次公里地形低空效应参数化方案集成模块</w:t>
              <w:cr/>
              <w:t>以上每个模块</w:t>
              <w:cr/>
              <w:t>一档0分</w:t>
              <w:cr/>
              <w:t>二档0.75分</w:t>
              <w:cr/>
              <w:t>三档1.5分</w:t>
              <w:cr/>
              <w:t>以上共计4模块，满分6分。</w:t>
            </w:r>
          </w:p>
          <w:p>
            <w:r>
              <w:t>评审标准说明：</w:t>
            </w:r>
          </w:p>
          <w:p>
            <w:r>
              <w:t>按模块提出技术方案，每个模块评分标准如下：</w:t>
              <w:cr/>
              <w:t>一档：未提供或技术方案不完整，未覆盖项目的功能和非功能需求，描述不清楚、缺乏针对关建技术的分析，可行性针对性差。</w:t>
              <w:cr/>
              <w:t>二档：技术方案内容较完整，基本覆盖项目的功能和非功能需求，描述基本清楚；技术思路较合理、关建技术的分析较清晰，解决措施有一定可行性针对性，基本满足采购需求。</w:t>
              <w:cr/>
              <w:t>三档：技术方案内容完整、详实，完全覆盖项目的功能和非功能需求，描述清楚，逻辑性强，图文规范；技术先进，针对关建技术的分析详细，解决措施切实可行，针对性强，完全满足采购需求。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15</w:t>
            </w:r>
          </w:p>
        </w:tc>
        <w:tc>
          <w:tcPr>
            <w:vMerge/>
          </w:tcPr>
          <w:p>
            <w:r>
              <w:t>技术部分</w:t>
            </w:r>
          </w:p>
        </w:tc>
        <w:tc>
          <w:tcPr/>
          <w:p>
            <w:r>
              <w:t>《分钟级更新技术建设》解决方案（主观分）</w:t>
            </w:r>
          </w:p>
        </w:tc>
        <w:tc>
          <w:tcPr/>
          <w:p>
            <w:r>
              <w:t>区间打分</w:t>
            </w:r>
            <w:r>
              <w:t>(6)</w:t>
            </w:r>
          </w:p>
        </w:tc>
        <w:tc>
          <w:tcPr/>
          <w:p>
            <w:r>
              <w:t>评审标准：</w:t>
            </w:r>
          </w:p>
          <w:p>
            <w:r>
              <w:t>提交如下模块技术方案：</w:t>
              <w:cr/>
              <w:t>1、分钟级质量控制与预处理模块</w:t>
              <w:cr/>
              <w:t>2、分钟级快速循环同化技术模块</w:t>
              <w:cr/>
              <w:t>3、分钟级观测应用策略调优模块</w:t>
              <w:cr/>
              <w:t>4、分钟级循环预报系统试验模块</w:t>
              <w:cr/>
              <w:t>以上每个模块</w:t>
              <w:cr/>
              <w:t>一档0分</w:t>
              <w:cr/>
              <w:t>二档0.75分</w:t>
              <w:cr/>
              <w:t>三档1.5分</w:t>
              <w:cr/>
              <w:t>以上共计4模块，满分6分。</w:t>
            </w:r>
          </w:p>
          <w:p>
            <w:r>
              <w:t>评审标准说明：</w:t>
            </w:r>
          </w:p>
          <w:p>
            <w:r>
              <w:t>按模块提出技术方案，每个模块评分标准如下：</w:t>
              <w:cr/>
              <w:t>一档：未提供或技术方案不完整，未覆盖项目的功能和非功能需求，描述不清楚、缺乏针对关建技术的分析，可行性针对性差。</w:t>
              <w:cr/>
              <w:t>二档：技术方案内容较完整，基本覆盖项目的功能和非功能需求，描述基本清楚；技术思路较合理、关建技术的分析较清晰，解决措施有一定可行性针对性，基本满足采购需求。</w:t>
              <w:cr/>
              <w:t>三档：技术方案内容完整、详实，完全覆盖项目的功能和非功能需求，描述清楚，逻辑性强，图文规范；技术先进，针对关建技术的分析详细，解决措施切实可行，针对性强，完全满足采购需求。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16</w:t>
            </w:r>
          </w:p>
        </w:tc>
        <w:tc>
          <w:tcPr>
            <w:vMerge/>
          </w:tcPr>
          <w:p>
            <w:r>
              <w:t>技术部分</w:t>
            </w:r>
          </w:p>
        </w:tc>
        <w:tc>
          <w:tcPr/>
          <w:p>
            <w:r>
              <w:t>《500m同化循环技术建设》解决方案（主观分）</w:t>
            </w:r>
          </w:p>
        </w:tc>
        <w:tc>
          <w:tcPr/>
          <w:p>
            <w:r>
              <w:t>区间打分</w:t>
            </w:r>
            <w:r>
              <w:t>(10.5)</w:t>
            </w:r>
          </w:p>
        </w:tc>
        <w:tc>
          <w:tcPr/>
          <w:p>
            <w:r>
              <w:t>评审标准：</w:t>
            </w:r>
          </w:p>
          <w:p>
            <w:r>
              <w:t>提交如下模块技术方案：</w:t>
              <w:cr/>
              <w:t>1、500m模式背景误差均方差统计模块</w:t>
              <w:cr/>
              <w:t>2、水平和垂直相关尺度统计模块</w:t>
              <w:cr/>
              <w:t>3、三维风速极小化控制变量模块</w:t>
              <w:cr/>
              <w:t>4、连续方程弱约束模块</w:t>
              <w:cr/>
              <w:t>5、雷达三维径向风同化模块</w:t>
              <w:cr/>
              <w:t>6、雷达观测稀疏化模块</w:t>
              <w:cr/>
              <w:t>7、多源观测同化循环技术模块</w:t>
              <w:cr/>
              <w:t>以上每个模块</w:t>
              <w:cr/>
              <w:t>一档0分</w:t>
              <w:cr/>
              <w:t>二档0.75分</w:t>
              <w:cr/>
              <w:t>三档1.5分</w:t>
              <w:cr/>
              <w:t>以上共计7模块，满分10.5分。</w:t>
            </w:r>
          </w:p>
          <w:p>
            <w:r>
              <w:t>评审标准说明：</w:t>
            </w:r>
          </w:p>
          <w:p>
            <w:r>
              <w:t>按模块提出技术方案，每个模块评分标准如下：</w:t>
              <w:cr/>
              <w:t>一档：未提供或技术方案不完整，未覆盖项目的功能和非功能需求，描述不清楚、缺乏针对关建技术的分析，可行性针对性差。</w:t>
              <w:cr/>
              <w:t>二档：技术方案内容较完整，基本覆盖项目的功能和非功能需求，描述基本清楚；技术思路较合理、关建技术的分析较清晰，解决措施有一定可行性针对性，基本满足采购需求。</w:t>
              <w:cr/>
              <w:t>三档：技术方案内容完整、详实，完全覆盖项目的功能和非功能需求，描述清楚，逻辑性强，图文规范；技术先进，针对关建技术的分析详细，解决措施切实可行，针对性强，完全满足采购需求。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《数值预报支撑短临应用产品建设》解决方案 （主观分）</w:t>
            </w:r>
          </w:p>
        </w:tc>
        <w:tc>
          <w:tcPr/>
          <w:p>
            <w:r>
              <w:t>区间打分</w:t>
            </w:r>
            <w:r>
              <w:t>(7.5)</w:t>
            </w:r>
          </w:p>
        </w:tc>
        <w:tc>
          <w:tcPr/>
          <w:p>
            <w:r>
              <w:t>评审标准：</w:t>
            </w:r>
          </w:p>
          <w:p>
            <w:r>
              <w:t>提交如下模块技术方案：</w:t>
              <w:cr/>
              <w:t>1、三维风场等高面精细化产品研发模块</w:t>
              <w:cr/>
              <w:t>2、对流性大风产品研发模块</w:t>
              <w:cr/>
              <w:t>3、降水相态产品研发模块</w:t>
              <w:cr/>
              <w:t>4、海雾短临预报产品研发模块</w:t>
              <w:cr/>
              <w:t>5、公路团雾预报产品研发模块</w:t>
              <w:cr/>
              <w:t>以上每个模块</w:t>
              <w:cr/>
              <w:t>一档0分</w:t>
              <w:cr/>
              <w:t>二档0.75分</w:t>
              <w:cr/>
              <w:t>三档1.5分</w:t>
              <w:cr/>
              <w:t>以上共计5模块，满分7.5分。</w:t>
            </w:r>
          </w:p>
          <w:p>
            <w:r>
              <w:t>评审标准说明：</w:t>
            </w:r>
          </w:p>
          <w:p>
            <w:r>
              <w:t>按模块提出技术方案，每个模块评分标准如下：</w:t>
              <w:cr/>
              <w:t>一档：未提供或技术方案不完整，未覆盖项目的功能和非功能需求，描述不清楚、缺乏针对关建技术的分析，可行性针对性差。</w:t>
              <w:cr/>
              <w:t>二档：技术方案内容较完整，基本覆盖项目的功能和非功能需求，描述基本清楚；技术思路较合理、关建技术的分析较清晰，解决措施有一定可行性针对性，基本满足采购需求。</w:t>
              <w:cr/>
              <w:t>三档：技术方案内容完整、详实，完全覆盖项目的功能和非功能需求，描述清楚，逻辑性强，图文规范；技术先进，针对关建技术的分析详细，解决措施切实可行，针对性强，完全满足采购需求。</w:t>
            </w:r>
          </w:p>
          <w:p/>
        </w:tc>
      </w:tr>
    </w:tbl>
    <w:p w:rsidR="00A77B3E">
      <w:r>
        <w:t xml:space="preserve">      </w:t>
      </w:r>
    </w:p>
    <w:p w:rsidR="00A77B3E"/>
    <w:p w:rsidR="00A77B3E">
      <w:bookmarkEnd w:id="59"/>
    </w:p>
    <w:p w:rsidR="0099027D">
      <w:pPr>
        <w:spacing w:before="120"/>
        <w:jc w:val="center"/>
        <w:rPr>
          <w:rFonts w:ascii="宋体" w:hAnsi="宋体" w:cs="宋体" w:hint="eastAsia"/>
          <w:b/>
          <w:bCs/>
          <w:sz w:val="48"/>
          <w:szCs w:val="48"/>
        </w:rPr>
      </w:pPr>
      <w:r>
        <w:rPr>
          <w:bCs/>
          <w:szCs w:val="21"/>
          <w:highlight w:val="none"/>
        </w:rPr>
        <w:br w:type="page"/>
      </w:r>
      <w:bookmarkStart w:id="60" w:name="插入_采购需求书"/>
      <w:bookmarkStart w:id="61" w:name="插入_采购需求书_0"/>
      <w:r>
        <w:rPr>
          <w:rFonts w:ascii="宋体" w:hAnsi="宋体" w:cs="宋体" w:hint="eastAsia"/>
          <w:b/>
          <w:bCs/>
          <w:sz w:val="32"/>
          <w:szCs w:val="32"/>
        </w:rPr>
        <w:t>第七章  采购</w:t>
      </w:r>
      <w:r>
        <w:rPr>
          <w:rFonts w:ascii="宋体" w:hAnsi="宋体" w:cs="宋体"/>
          <w:b/>
          <w:bCs/>
          <w:sz w:val="32"/>
          <w:szCs w:val="32"/>
        </w:rPr>
        <w:t>需求</w:t>
      </w:r>
    </w:p>
    <w:p w:rsidR="00AB593A">
      <w:pPr>
        <w:pStyle w:val="Heading1"/>
        <w:keepNext/>
        <w:keepLines/>
        <w:numPr>
          <w:numId w:val="4"/>
        </w:numPr>
        <w:spacing w:before="340" w:after="120" w:line="360" w:lineRule="auto"/>
        <w:ind w:left="0" w:firstLine="0"/>
      </w:pPr>
      <w:bookmarkStart w:id="62" w:name="_Toc240895986"/>
      <w:r>
        <w:rPr>
          <w:rFonts w:hint="eastAsia"/>
        </w:rPr>
        <w:t>引言</w:t>
      </w:r>
      <w:bookmarkEnd w:id="62"/>
    </w:p>
    <w:p w:rsidR="00AB593A">
      <w:pPr>
        <w:pStyle w:val="Heading2"/>
        <w:keepNext/>
        <w:keepLines/>
        <w:widowControl w:val="0"/>
        <w:numPr>
          <w:ilvl w:val="1"/>
          <w:numId w:val="4"/>
        </w:numPr>
        <w:spacing w:before="156" w:beforeLines="50" w:after="156" w:afterLines="50" w:line="360" w:lineRule="auto"/>
        <w:ind w:left="578" w:hanging="578"/>
        <w:jc w:val="both"/>
      </w:pPr>
      <w:bookmarkStart w:id="63" w:name="_Toc220052577"/>
      <w:bookmarkStart w:id="64" w:name="_Toc240895987"/>
      <w:r>
        <w:t>现状分析</w:t>
      </w:r>
      <w:bookmarkEnd w:id="63"/>
      <w:bookmarkEnd w:id="64"/>
    </w:p>
    <w:p w:rsidR="00AB593A">
      <w:pPr>
        <w:pStyle w:val="-"/>
        <w:ind w:firstLine="480"/>
        <w:rPr>
          <w:sz w:val="24"/>
          <w:szCs w:val="24"/>
        </w:rPr>
      </w:pPr>
      <w:r>
        <w:rPr>
          <w:sz w:val="24"/>
          <w:szCs w:val="24"/>
        </w:rPr>
        <w:t>中国气象局地球系统数值预报中心已具备完善的业务系统装备基础，自主研发了具有完全自主知识产权的</w:t>
      </w:r>
      <w:r>
        <w:rPr>
          <w:sz w:val="24"/>
          <w:szCs w:val="24"/>
        </w:rPr>
        <w:t>CMA</w:t>
      </w:r>
      <w:r>
        <w:rPr>
          <w:sz w:val="24"/>
          <w:szCs w:val="24"/>
        </w:rPr>
        <w:t>（</w:t>
      </w:r>
      <w:r>
        <w:rPr>
          <w:sz w:val="24"/>
          <w:szCs w:val="24"/>
        </w:rPr>
        <w:t>GRAPES</w:t>
      </w:r>
      <w:r>
        <w:rPr>
          <w:sz w:val="24"/>
          <w:szCs w:val="24"/>
        </w:rPr>
        <w:t>）系列数值天气预报系统，包含区域确定性预报系统（</w:t>
      </w:r>
      <w:r>
        <w:rPr>
          <w:sz w:val="24"/>
          <w:szCs w:val="24"/>
        </w:rPr>
        <w:t xml:space="preserve">CMA-Meso </w:t>
      </w:r>
      <w:r>
        <w:rPr>
          <w:sz w:val="24"/>
          <w:szCs w:val="24"/>
        </w:rPr>
        <w:t>1km</w:t>
      </w:r>
      <w:r>
        <w:rPr>
          <w:sz w:val="24"/>
          <w:szCs w:val="24"/>
        </w:rPr>
        <w:t>）、区域集合预报系统（</w:t>
      </w:r>
      <w:r>
        <w:rPr>
          <w:sz w:val="24"/>
          <w:szCs w:val="24"/>
        </w:rPr>
        <w:t>CMA-REPS</w:t>
      </w:r>
      <w:r>
        <w:rPr>
          <w:sz w:val="24"/>
          <w:szCs w:val="24"/>
        </w:rPr>
        <w:t>）等，建立了完备的区域和全球数值预报业务体系。现有系统可提供覆盖全国的逐</w:t>
      </w:r>
      <w:r>
        <w:rPr>
          <w:sz w:val="24"/>
          <w:szCs w:val="24"/>
        </w:rPr>
        <w:t>1</w:t>
      </w:r>
      <w:r>
        <w:rPr>
          <w:sz w:val="24"/>
          <w:szCs w:val="24"/>
        </w:rPr>
        <w:t>小时更新同化的中尺度预报，以及水平分辨率</w:t>
      </w:r>
      <w:r>
        <w:rPr>
          <w:sz w:val="24"/>
          <w:szCs w:val="24"/>
        </w:rPr>
        <w:t>3km</w:t>
      </w:r>
      <w:r>
        <w:rPr>
          <w:sz w:val="24"/>
          <w:szCs w:val="24"/>
        </w:rPr>
        <w:t>的区域天气概率预报，为百米级短临数值预报系统基础技术研发提供了成熟的底层模式框架。研发所需的计算资源依托中心现有高性能计算设施，无需新增大型设备，现有算力可满足次公里级模式研发的计算需求，且具备数据存储、传输的基础硬件支撑。</w:t>
      </w:r>
    </w:p>
    <w:p w:rsidR="00AB593A">
      <w:pPr>
        <w:pStyle w:val="-"/>
        <w:ind w:firstLine="480"/>
        <w:rPr>
          <w:sz w:val="24"/>
          <w:szCs w:val="24"/>
        </w:rPr>
      </w:pPr>
      <w:r>
        <w:rPr>
          <w:sz w:val="24"/>
          <w:szCs w:val="24"/>
        </w:rPr>
        <w:t>在数值预报应用方面，中心已积累了丰富的业务实践经验，承担并完成</w:t>
      </w:r>
      <w:r>
        <w:rPr>
          <w:sz w:val="24"/>
          <w:szCs w:val="24"/>
        </w:rPr>
        <w:t>“</w:t>
      </w:r>
      <w:r>
        <w:rPr>
          <w:sz w:val="24"/>
          <w:szCs w:val="24"/>
        </w:rPr>
        <w:t>海洋气象综合保障工程</w:t>
      </w:r>
      <w:r>
        <w:rPr>
          <w:sz w:val="24"/>
          <w:szCs w:val="24"/>
        </w:rPr>
        <w:t>”“</w:t>
      </w:r>
      <w:r>
        <w:rPr>
          <w:sz w:val="24"/>
          <w:szCs w:val="24"/>
        </w:rPr>
        <w:t>气象雷达资料数值预报应用系统建设</w:t>
      </w:r>
      <w:r>
        <w:rPr>
          <w:sz w:val="24"/>
          <w:szCs w:val="24"/>
        </w:rPr>
        <w:t>”</w:t>
      </w:r>
      <w:r>
        <w:rPr>
          <w:sz w:val="24"/>
          <w:szCs w:val="24"/>
        </w:rPr>
        <w:t>等多期项目，显著提升了海洋气象数值预报保障能力和雷达资料在数值预报中的应用效益。现有区域数值预报系统已实现业务化应用，能够支撑常规灾害性天气的预报服务，在模式动力框架优化、资料同化技术应用等方面形成了成熟的技术流程，为次网格湍流参数化、分钟级资料同化等核心技术研发提供了实践基础。</w:t>
      </w:r>
    </w:p>
    <w:p w:rsidR="00AB593A">
      <w:pPr>
        <w:pStyle w:val="-"/>
        <w:ind w:firstLine="480"/>
        <w:rPr>
          <w:sz w:val="24"/>
          <w:szCs w:val="24"/>
        </w:rPr>
      </w:pPr>
      <w:r>
        <w:rPr>
          <w:sz w:val="24"/>
          <w:szCs w:val="24"/>
        </w:rPr>
        <w:t>当前已形成覆盖全国的高时空分辨率数值预报产品体系，包括降水、风场、温度等常规气象要素预报产品，以及雷达回波、对流指数等诊断物理量产品。现有产品已实现水平分辨率</w:t>
      </w:r>
      <w:r>
        <w:rPr>
          <w:sz w:val="24"/>
          <w:szCs w:val="24"/>
        </w:rPr>
        <w:t>1km</w:t>
      </w:r>
      <w:r>
        <w:rPr>
          <w:sz w:val="24"/>
          <w:szCs w:val="24"/>
        </w:rPr>
        <w:t>、逐小时更新的业务能力，能够为各行业提供基础气象服务，但在百米级分</w:t>
      </w:r>
      <w:r>
        <w:rPr>
          <w:sz w:val="24"/>
          <w:szCs w:val="24"/>
        </w:rPr>
        <w:t>辨率、分钟级更新的精细化产品方面存在空白，尚未形成针对低空经济、公路团雾等场景的专项短临预报产品，与超大城市精细化气象服务需求存在差距。</w:t>
      </w:r>
    </w:p>
    <w:p w:rsidR="00AB593A">
      <w:pPr>
        <w:pStyle w:val="-"/>
        <w:ind w:firstLine="480"/>
        <w:rPr>
          <w:sz w:val="24"/>
          <w:szCs w:val="24"/>
        </w:rPr>
      </w:pPr>
      <w:r>
        <w:rPr>
          <w:sz w:val="24"/>
          <w:szCs w:val="24"/>
        </w:rPr>
        <w:t>中心建立了完善的项目管理和业务运营体系，具备统筹国家级数值预报研发任务的管理能力，能够协调跨部门、跨区域的技术研发与资源调配。在数值预报业务管理方面，形成了从模式研发、产品制作到检验评估的全流程管理机制，制定了统一的技术标准和业务规范，可保障百米级短临数值预报系统基础技术研发</w:t>
      </w:r>
      <w:r>
        <w:rPr>
          <w:sz w:val="24"/>
          <w:szCs w:val="24"/>
        </w:rPr>
        <w:t>的规范化推进，同时具备与省级参建单位的协同管理经验，确保研发成果可集成运行。</w:t>
      </w:r>
    </w:p>
    <w:p w:rsidR="00AB593A">
      <w:pPr>
        <w:pStyle w:val="-"/>
        <w:ind w:firstLine="480"/>
        <w:rPr>
          <w:sz w:val="24"/>
          <w:szCs w:val="24"/>
        </w:rPr>
      </w:pPr>
      <w:r>
        <w:rPr>
          <w:sz w:val="24"/>
          <w:szCs w:val="24"/>
        </w:rPr>
        <w:t>中心拥有一支专业结构</w:t>
      </w:r>
      <w:r>
        <w:rPr>
          <w:sz w:val="24"/>
          <w:szCs w:val="24"/>
        </w:rPr>
        <w:t>合理、技术实力雄厚的研发团队，涵盖模式动力框架、资料同化、物理参数化等多个领域的专业人才，其中不乏正高级工程师、研究员等资深技术专家，具备深厚的理论功底和丰富的研发经验。团队长期从事数值预报核心技术攻关，在</w:t>
      </w:r>
      <w:r>
        <w:rPr>
          <w:sz w:val="24"/>
          <w:szCs w:val="24"/>
        </w:rPr>
        <w:t>CMA</w:t>
      </w:r>
      <w:r>
        <w:rPr>
          <w:sz w:val="24"/>
          <w:szCs w:val="24"/>
        </w:rPr>
        <w:t>（</w:t>
      </w:r>
      <w:r>
        <w:rPr>
          <w:sz w:val="24"/>
          <w:szCs w:val="24"/>
        </w:rPr>
        <w:t>GRAPES</w:t>
      </w:r>
      <w:r>
        <w:rPr>
          <w:sz w:val="24"/>
          <w:szCs w:val="24"/>
        </w:rPr>
        <w:t>）系列模式研发、高分辨率数值预报技术改进等方面取得了多项成果，能够为百米级短临数值预报系统基础技术研发提供坚实的人才支撑。</w:t>
      </w:r>
    </w:p>
    <w:p w:rsidR="00AB593A">
      <w:pPr>
        <w:pStyle w:val="-"/>
        <w:ind w:firstLine="480"/>
        <w:rPr>
          <w:sz w:val="24"/>
          <w:szCs w:val="24"/>
        </w:rPr>
      </w:pPr>
      <w:r>
        <w:rPr>
          <w:sz w:val="24"/>
          <w:szCs w:val="24"/>
        </w:rPr>
        <w:t>可利用的数据资源方面，依托气象大数据云平台（天擎），可获取常规观测、雷达、卫星等多源观测资料，观测数据到报完整率达</w:t>
      </w:r>
      <w:r>
        <w:rPr>
          <w:sz w:val="24"/>
          <w:szCs w:val="24"/>
        </w:rPr>
        <w:t>99%</w:t>
      </w:r>
      <w:r>
        <w:rPr>
          <w:sz w:val="24"/>
          <w:szCs w:val="24"/>
        </w:rPr>
        <w:t>以上、传输时效达秒级，且经</w:t>
      </w:r>
      <w:r>
        <w:rPr>
          <w:sz w:val="24"/>
          <w:szCs w:val="24"/>
        </w:rPr>
        <w:t>“</w:t>
      </w:r>
      <w:r>
        <w:rPr>
          <w:sz w:val="24"/>
          <w:szCs w:val="24"/>
        </w:rPr>
        <w:t>天衡天衍系统</w:t>
      </w:r>
      <w:r>
        <w:rPr>
          <w:sz w:val="24"/>
          <w:szCs w:val="24"/>
        </w:rPr>
        <w:t>”</w:t>
      </w:r>
      <w:r>
        <w:rPr>
          <w:sz w:val="24"/>
          <w:szCs w:val="24"/>
        </w:rPr>
        <w:t>质控后的数据正确率高，为研发提供高质量数据输入。技术资源方面，已掌握三维变分同化、模式物理过程参数化等核心技术，自主研发的</w:t>
      </w:r>
      <w:r>
        <w:rPr>
          <w:sz w:val="24"/>
          <w:szCs w:val="24"/>
        </w:rPr>
        <w:t>CMA-MESO</w:t>
      </w:r>
      <w:r>
        <w:rPr>
          <w:sz w:val="24"/>
          <w:szCs w:val="24"/>
        </w:rPr>
        <w:t>模式框架可作为底层支撑，减少重复开发，提升研发效率。平台资源方面，国家级数值预报监视平台</w:t>
      </w:r>
      <w:r>
        <w:rPr>
          <w:sz w:val="24"/>
          <w:szCs w:val="24"/>
        </w:rPr>
        <w:t>ECFLOW</w:t>
      </w:r>
      <w:r>
        <w:rPr>
          <w:sz w:val="24"/>
          <w:szCs w:val="24"/>
        </w:rPr>
        <w:t>可用于研发过程中的系统监控，气象大数据云平台提供数据存储与共享服务，现有软件平台的标准化接口便于新研发技术的集成适配。</w:t>
      </w:r>
      <w:bookmarkStart w:id="65" w:name="_Toc220052578"/>
    </w:p>
    <w:p w:rsidR="00AB593A">
      <w:pPr>
        <w:pStyle w:val="Heading2"/>
        <w:keepNext/>
        <w:keepLines/>
        <w:widowControl w:val="0"/>
        <w:numPr>
          <w:ilvl w:val="1"/>
          <w:numId w:val="4"/>
        </w:numPr>
        <w:spacing w:before="156" w:beforeLines="50" w:after="156" w:afterLines="50" w:line="360" w:lineRule="auto"/>
        <w:ind w:left="578" w:hanging="578"/>
        <w:jc w:val="both"/>
      </w:pPr>
      <w:bookmarkStart w:id="66" w:name="_Toc240895988"/>
      <w:r>
        <w:t>需求分析</w:t>
      </w:r>
      <w:bookmarkEnd w:id="65"/>
      <w:bookmarkEnd w:id="66"/>
    </w:p>
    <w:p w:rsidR="00AB593A">
      <w:pPr>
        <w:pStyle w:val="-"/>
        <w:ind w:firstLine="480"/>
        <w:rPr>
          <w:sz w:val="24"/>
          <w:szCs w:val="24"/>
        </w:rPr>
      </w:pPr>
      <w:r>
        <w:rPr>
          <w:sz w:val="24"/>
          <w:szCs w:val="24"/>
        </w:rPr>
        <w:t>现阶段，欧美等发达国家数值模式持续聚焦模式分辨率的进一步提高。目前，区域数值模式已经发展到了对流可分辨（约</w:t>
      </w:r>
      <w:r>
        <w:rPr>
          <w:sz w:val="24"/>
          <w:szCs w:val="24"/>
        </w:rPr>
        <w:t>4</w:t>
      </w:r>
      <w:r>
        <w:rPr>
          <w:sz w:val="24"/>
          <w:szCs w:val="24"/>
        </w:rPr>
        <w:t>公里）尺度并正加紧发展次公里到米级尺</w:t>
      </w:r>
      <w:r>
        <w:rPr>
          <w:sz w:val="24"/>
          <w:szCs w:val="24"/>
        </w:rPr>
        <w:t>度的精细化数值预报技术，聚焦高频稠密观测资料同化应用、以及高精度动力框架与物理过程方案的研发。在百米级尺度精细化数值预报技术方面，我们国家与国际先进水平仍有差距，关键区域目前仍缺乏高质量的百米级短临模式预报业务系统。</w:t>
      </w:r>
    </w:p>
    <w:p w:rsidR="00AB593A">
      <w:pPr>
        <w:pStyle w:val="-"/>
        <w:ind w:firstLine="480"/>
        <w:rPr>
          <w:sz w:val="24"/>
        </w:rPr>
      </w:pPr>
      <w:r>
        <w:rPr>
          <w:sz w:val="24"/>
        </w:rPr>
        <w:t>台风、暴雨与强对流等灾害性天气包含明显的中小尺度对流特征，而现有的公里尺度数值预报模式因其分辨率较低，仍无法较好解析中小尺度对流系统的生消演变过程。另外，现有的公里尺度数值预报模式对短临天气的预报能力、特别是云物理和边界层等关键过程的预报能力尚需提高。最后，公里尺度数值预报模式对新型分钟级遥感</w:t>
      </w:r>
      <w:r>
        <w:rPr>
          <w:sz w:val="24"/>
        </w:rPr>
        <w:t>观测数据（如</w:t>
      </w:r>
      <w:r>
        <w:rPr>
          <w:sz w:val="24"/>
        </w:rPr>
        <w:t>X</w:t>
      </w:r>
      <w:r>
        <w:rPr>
          <w:sz w:val="24"/>
        </w:rPr>
        <w:t>波段雷达等）利用有待加强。可见，基于</w:t>
      </w:r>
      <w:r>
        <w:rPr>
          <w:sz w:val="24"/>
        </w:rPr>
        <w:t>现有的公里尺度数值预报模式的灾害性天气精细化预报预警技术和平台支撑不足，缺乏有效的预报预警客观技术和产品，百米级分钟级降水临近预报亟待发展，快速融合系统对局地资料的有效应用不够。为此，开发适用于重点区域分辨率达</w:t>
      </w:r>
      <w:r>
        <w:rPr>
          <w:sz w:val="24"/>
        </w:rPr>
        <w:t>500m</w:t>
      </w:r>
      <w:r>
        <w:rPr>
          <w:sz w:val="24"/>
        </w:rPr>
        <w:t>的短临模式预报系统建设十分必要。短临数值预报在不同水平分辨率情景下采取类似的核心动力框架、数据同化基础以及大部分物理过程参数化过程，而在网格设计与计算资源、物理过程精细化、数据同化增强和数值解法优化等方面存在一定差异，提高高分辨率短临数值预报计</w:t>
      </w:r>
      <w:r>
        <w:rPr>
          <w:sz w:val="24"/>
        </w:rPr>
        <w:t>算效率、抑制中小尺度噪音以及匹配观测</w:t>
      </w:r>
      <w:r>
        <w:rPr>
          <w:sz w:val="24"/>
        </w:rPr>
        <w:t>-</w:t>
      </w:r>
      <w:r>
        <w:rPr>
          <w:sz w:val="24"/>
        </w:rPr>
        <w:t>模式尺度是核心技术挑战与需要解决的问题。</w:t>
      </w:r>
    </w:p>
    <w:p w:rsidR="00AB593A">
      <w:pPr>
        <w:pStyle w:val="-"/>
        <w:ind w:firstLine="0" w:firstLineChars="0"/>
      </w:pPr>
    </w:p>
    <w:p w:rsidR="00AB593A">
      <w:pPr>
        <w:pStyle w:val="Heading1"/>
        <w:keepNext/>
        <w:keepLines/>
        <w:numPr>
          <w:numId w:val="4"/>
        </w:numPr>
        <w:spacing w:before="340" w:after="120" w:line="360" w:lineRule="auto"/>
        <w:ind w:left="0" w:firstLine="0"/>
      </w:pPr>
      <w:bookmarkStart w:id="67" w:name="_Toc240895989"/>
      <w:r>
        <w:rPr>
          <w:rFonts w:hint="eastAsia"/>
        </w:rPr>
        <w:t>指标</w:t>
      </w:r>
      <w:bookmarkEnd w:id="67"/>
    </w:p>
    <w:p w:rsidR="00AB593A">
      <w:pPr>
        <w:pStyle w:val="-"/>
        <w:ind w:firstLine="480"/>
        <w:rPr>
          <w:sz w:val="24"/>
          <w:szCs w:val="24"/>
        </w:rPr>
      </w:pPr>
      <w:r>
        <w:rPr>
          <w:rFonts w:hint="eastAsia"/>
          <w:sz w:val="24"/>
          <w:szCs w:val="24"/>
        </w:rPr>
        <w:t>百米级短临数值预报系统</w:t>
      </w:r>
      <w:r>
        <w:rPr>
          <w:sz w:val="24"/>
          <w:szCs w:val="24"/>
        </w:rPr>
        <w:t>重点聚焦于核心技术的突破和研发，涵盖适用于次千米分辨率的尺度自适应边界层参数化方案、次公里尺度地形参数构建、分钟级资料同化技术和百米级快速循环同化技术等关键技术领域。通过这些技术的研发，显著提升短临预报的精细化水平和时效性，为高影响天气提供分钟级精准预报产品。</w:t>
      </w:r>
      <w:r>
        <w:rPr>
          <w:rFonts w:ascii="宋体" w:hAnsi="宋体" w:cs="宋体"/>
          <w:sz w:val="24"/>
          <w:szCs w:val="24"/>
        </w:rPr>
        <w:t>分钟级更新技术建设子系统具体</w:t>
      </w:r>
      <w:r>
        <w:rPr>
          <w:rFonts w:ascii="宋体" w:hAnsi="宋体" w:cs="宋体" w:hint="eastAsia"/>
          <w:sz w:val="24"/>
          <w:szCs w:val="24"/>
        </w:rPr>
        <w:t>完成指标</w:t>
      </w:r>
      <w:r>
        <w:rPr>
          <w:rFonts w:ascii="宋体" w:hAnsi="宋体" w:cs="宋体"/>
          <w:sz w:val="24"/>
          <w:szCs w:val="24"/>
        </w:rPr>
        <w:t>是：基于</w:t>
      </w:r>
      <w:r>
        <w:rPr>
          <w:sz w:val="24"/>
          <w:szCs w:val="24"/>
        </w:rPr>
        <w:t>CMA-MESO</w:t>
      </w:r>
      <w:r>
        <w:rPr>
          <w:rFonts w:ascii="宋体" w:hAnsi="宋体" w:cs="宋体"/>
          <w:sz w:val="24"/>
          <w:szCs w:val="24"/>
        </w:rPr>
        <w:t>快速循环同化系统，建设观测资料分钟级快速循环同化技术，实现逐</w:t>
      </w:r>
      <w:r>
        <w:rPr>
          <w:sz w:val="24"/>
          <w:szCs w:val="24"/>
        </w:rPr>
        <w:t>15</w:t>
      </w:r>
      <w:r>
        <w:rPr>
          <w:rFonts w:ascii="宋体" w:hAnsi="宋体" w:cs="宋体"/>
          <w:sz w:val="24"/>
          <w:szCs w:val="24"/>
        </w:rPr>
        <w:t>分钟循环同化预报流</w:t>
      </w:r>
      <w:r>
        <w:rPr>
          <w:rFonts w:ascii="宋体" w:hAnsi="宋体" w:cs="宋体"/>
          <w:sz w:val="24"/>
          <w:szCs w:val="24"/>
        </w:rPr>
        <w:t>程。</w:t>
      </w:r>
    </w:p>
    <w:p w:rsidR="00AB593A">
      <w:pPr>
        <w:spacing w:before="120" w:line="570" w:lineRule="exact"/>
        <w:rPr>
          <w:rFonts w:ascii="宋体" w:hAnsi="宋体"/>
        </w:rPr>
      </w:pPr>
    </w:p>
    <w:p w:rsidR="00AB593A">
      <w:pPr>
        <w:pStyle w:val="Heading1"/>
        <w:keepNext/>
        <w:keepLines/>
        <w:numPr>
          <w:numId w:val="4"/>
        </w:numPr>
        <w:spacing w:before="340" w:after="120" w:line="360" w:lineRule="auto"/>
        <w:ind w:left="0" w:firstLine="0"/>
      </w:pPr>
      <w:bookmarkStart w:id="68" w:name="_Toc240895990"/>
      <w:r>
        <w:rPr>
          <w:rFonts w:hint="eastAsia"/>
        </w:rPr>
        <w:t>功能需求</w:t>
      </w:r>
      <w:bookmarkEnd w:id="68"/>
    </w:p>
    <w:p w:rsidR="00AB593A">
      <w:pPr>
        <w:pStyle w:val="Heading2"/>
        <w:keepNext/>
        <w:keepLines/>
        <w:widowControl w:val="0"/>
        <w:numPr>
          <w:ilvl w:val="1"/>
          <w:numId w:val="4"/>
        </w:numPr>
        <w:spacing w:before="156" w:beforeLines="50" w:after="156" w:afterLines="50" w:line="360" w:lineRule="auto"/>
        <w:ind w:left="578" w:hanging="578"/>
        <w:jc w:val="both"/>
      </w:pPr>
      <w:bookmarkStart w:id="69" w:name="_Toc240895991"/>
      <w:r>
        <w:rPr>
          <w:rFonts w:hint="eastAsia"/>
        </w:rPr>
        <w:t>适用于次千米分辨率的尺度自适应边界层参数化方案研发子系统方案</w:t>
      </w:r>
      <w:bookmarkEnd w:id="69"/>
    </w:p>
    <w:p w:rsidR="00AB593A">
      <w:pPr>
        <w:spacing w:before="120" w:line="570" w:lineRule="exact"/>
        <w:ind w:firstLine="480" w:firstLineChars="200"/>
        <w:rPr>
          <w:rFonts w:ascii="宋体" w:hAnsi="宋体"/>
          <w:szCs w:val="21"/>
        </w:rPr>
      </w:pPr>
      <w:r>
        <w:rPr>
          <w:rFonts w:ascii="宋体" w:hAnsi="宋体"/>
          <w:sz w:val="24"/>
          <w:szCs w:val="21"/>
        </w:rPr>
        <w:t>本子系统建成后，模式具备精确模拟次千米至百米级边界层灰区分辨率下的湍流过程的能力，通过构建基于模式网格尺度与气象条件的湍流通量分配数学模型和尺度自适应功能，为气象模型提供高度适配的湍流参数，显著提升气象模型</w:t>
      </w:r>
      <w:r>
        <w:rPr>
          <w:rFonts w:ascii="宋体" w:hAnsi="宋体"/>
          <w:sz w:val="24"/>
          <w:szCs w:val="21"/>
        </w:rPr>
        <w:t>在该分辨率下的模拟准确性，为气象预报和研究提供坚实可靠的技术支撑。</w:t>
      </w:r>
    </w:p>
    <w:p w:rsidR="00AB593A">
      <w:pPr>
        <w:spacing w:before="120" w:line="570" w:lineRule="exact"/>
        <w:ind w:firstLine="480" w:firstLineChars="200"/>
        <w:rPr>
          <w:rFonts w:ascii="宋体" w:hAnsi="宋体"/>
          <w:szCs w:val="21"/>
        </w:rPr>
      </w:pPr>
      <w:r>
        <w:rPr>
          <w:rFonts w:ascii="宋体" w:hAnsi="宋体" w:hint="eastAsia"/>
          <w:sz w:val="24"/>
          <w:szCs w:val="21"/>
        </w:rPr>
        <w:t>适用于次千米分辨率的尺度自适应边界层参数化方案研发子系统包含</w:t>
      </w:r>
      <w:r>
        <w:rPr>
          <w:rFonts w:ascii="宋体" w:hAnsi="宋体" w:hint="eastAsia"/>
          <w:sz w:val="24"/>
          <w:szCs w:val="21"/>
        </w:rPr>
        <w:t>4</w:t>
      </w:r>
      <w:r>
        <w:rPr>
          <w:rFonts w:ascii="宋体" w:hAnsi="宋体" w:hint="eastAsia"/>
          <w:sz w:val="24"/>
          <w:szCs w:val="21"/>
        </w:rPr>
        <w:t>个软件模块，基于高阶闭合的次网格湍流局地传输参数化优化模块、基于多羽流质量通量的非局地次网格湍流参数化优化模块、湍流混合长尺度自适应模块、湍流质量通量尺度自适应模块。</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1</w:t>
      </w:r>
      <w:r>
        <w:rPr>
          <w:rFonts w:ascii="宋体" w:hAnsi="宋体" w:hint="eastAsia"/>
          <w:sz w:val="24"/>
          <w:szCs w:val="21"/>
        </w:rPr>
        <w:t>）基于高阶闭合的次网格湍流局地传输参数化优化模块：</w:t>
      </w:r>
    </w:p>
    <w:p w:rsidR="00AB593A">
      <w:pPr>
        <w:spacing w:before="120" w:line="570" w:lineRule="exact"/>
        <w:ind w:firstLine="480" w:firstLineChars="200"/>
        <w:rPr>
          <w:rFonts w:ascii="宋体" w:hAnsi="宋体"/>
          <w:szCs w:val="21"/>
        </w:rPr>
      </w:pPr>
      <w:r>
        <w:rPr>
          <w:rFonts w:ascii="宋体" w:hAnsi="宋体" w:hint="eastAsia"/>
          <w:sz w:val="24"/>
          <w:szCs w:val="21"/>
        </w:rPr>
        <w:t>在</w:t>
      </w:r>
      <w:r>
        <w:rPr>
          <w:rFonts w:ascii="宋体" w:hAnsi="宋体" w:hint="eastAsia"/>
          <w:sz w:val="24"/>
          <w:szCs w:val="21"/>
        </w:rPr>
        <w:t>K</w:t>
      </w:r>
      <w:r>
        <w:rPr>
          <w:rFonts w:ascii="宋体" w:hAnsi="宋体" w:hint="eastAsia"/>
          <w:sz w:val="24"/>
          <w:szCs w:val="21"/>
        </w:rPr>
        <w:t>廓线湍流扩散基础上，进一步构建</w:t>
      </w:r>
      <w:r>
        <w:rPr>
          <w:rFonts w:ascii="宋体" w:hAnsi="宋体" w:hint="eastAsia"/>
          <w:sz w:val="24"/>
          <w:szCs w:val="21"/>
        </w:rPr>
        <w:t>TKE</w:t>
      </w:r>
      <w:r>
        <w:rPr>
          <w:rFonts w:ascii="宋体" w:hAnsi="宋体" w:hint="eastAsia"/>
          <w:sz w:val="24"/>
          <w:szCs w:val="21"/>
        </w:rPr>
        <w:t>显式预报方程，采用</w:t>
      </w:r>
      <w:r>
        <w:rPr>
          <w:rFonts w:ascii="宋体" w:hAnsi="宋体" w:hint="eastAsia"/>
          <w:sz w:val="24"/>
          <w:szCs w:val="21"/>
        </w:rPr>
        <w:t>PRM</w:t>
      </w:r>
      <w:r>
        <w:rPr>
          <w:rFonts w:ascii="宋体" w:hAnsi="宋体" w:hint="eastAsia"/>
          <w:sz w:val="24"/>
          <w:szCs w:val="21"/>
        </w:rPr>
        <w:t>方法离散平流项，参数化切变产生项、浮力项和耗散项；混合长综合表面层长度、湍流积分尺度与浮力抑制项计算，并结合动态稳定度函数修正；基于</w:t>
      </w:r>
      <w:r>
        <w:rPr>
          <w:rFonts w:ascii="宋体" w:hAnsi="宋体" w:hint="eastAsia"/>
          <w:sz w:val="24"/>
          <w:szCs w:val="21"/>
        </w:rPr>
        <w:t>TKE</w:t>
      </w:r>
      <w:r>
        <w:rPr>
          <w:rFonts w:ascii="宋体" w:hAnsi="宋体" w:hint="eastAsia"/>
          <w:sz w:val="24"/>
          <w:szCs w:val="21"/>
        </w:rPr>
        <w:t>、混合长及稳定度函数计算</w:t>
      </w:r>
      <w:r>
        <w:rPr>
          <w:rFonts w:ascii="宋体" w:hAnsi="宋体" w:hint="eastAsia"/>
          <w:sz w:val="24"/>
          <w:szCs w:val="21"/>
        </w:rPr>
        <w:t>湍流粘性</w:t>
      </w:r>
      <w:r>
        <w:rPr>
          <w:rFonts w:ascii="宋体" w:hAnsi="宋体" w:hint="eastAsia"/>
          <w:sz w:val="24"/>
          <w:szCs w:val="21"/>
        </w:rPr>
        <w:t>/</w:t>
      </w:r>
      <w:r>
        <w:rPr>
          <w:rFonts w:ascii="宋体" w:hAnsi="宋体" w:hint="eastAsia"/>
          <w:sz w:val="24"/>
          <w:szCs w:val="21"/>
        </w:rPr>
        <w:t>扩散系数，表征局地湍流传输。</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2</w:t>
      </w:r>
      <w:r>
        <w:rPr>
          <w:rFonts w:ascii="宋体" w:hAnsi="宋体" w:hint="eastAsia"/>
          <w:sz w:val="24"/>
          <w:szCs w:val="21"/>
        </w:rPr>
        <w:t>）基于多羽流质量通量的非局地次网格湍流参数化优化模块</w:t>
      </w:r>
    </w:p>
    <w:p w:rsidR="00AB593A">
      <w:pPr>
        <w:spacing w:before="120" w:line="570" w:lineRule="exact"/>
        <w:ind w:firstLine="480" w:firstLineChars="200"/>
        <w:rPr>
          <w:rFonts w:ascii="宋体" w:hAnsi="宋体"/>
          <w:szCs w:val="21"/>
        </w:rPr>
      </w:pPr>
      <w:r>
        <w:rPr>
          <w:rFonts w:ascii="宋体" w:hAnsi="宋体" w:hint="eastAsia"/>
          <w:sz w:val="24"/>
          <w:szCs w:val="21"/>
        </w:rPr>
        <w:t>采用多羽质量通量进一步优化非局地湍流传输，依据表面浮力通量阈值和层结稳定性判断热羽流激活条件，动态调整最大羽流数量与尺度，用卷入模型计算羽流垂直积分通量。初始化时按相似理论设定羽流初值，约束最大垂直速度和穿透深度保证稳定性，开发羽流交互算法模拟合并</w:t>
      </w:r>
      <w:r>
        <w:rPr>
          <w:rFonts w:ascii="宋体" w:hAnsi="宋体" w:hint="eastAsia"/>
          <w:sz w:val="24"/>
          <w:szCs w:val="21"/>
        </w:rPr>
        <w:t>/</w:t>
      </w:r>
      <w:r>
        <w:rPr>
          <w:rFonts w:ascii="宋体" w:hAnsi="宋体" w:hint="eastAsia"/>
          <w:sz w:val="24"/>
          <w:szCs w:val="21"/>
        </w:rPr>
        <w:t>分裂，刻画相干结构演变。</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3</w:t>
      </w:r>
      <w:r>
        <w:rPr>
          <w:rFonts w:ascii="宋体" w:hAnsi="宋体" w:hint="eastAsia"/>
          <w:sz w:val="24"/>
          <w:szCs w:val="21"/>
        </w:rPr>
        <w:t>）湍流混合长尺度自适应模块</w:t>
      </w:r>
    </w:p>
    <w:p w:rsidR="00AB593A">
      <w:pPr>
        <w:spacing w:before="120" w:line="570" w:lineRule="exact"/>
        <w:ind w:firstLine="480" w:firstLineChars="200"/>
        <w:rPr>
          <w:rFonts w:ascii="宋体" w:hAnsi="宋体"/>
          <w:szCs w:val="21"/>
        </w:rPr>
      </w:pPr>
      <w:r>
        <w:rPr>
          <w:rFonts w:ascii="宋体" w:hAnsi="宋体" w:hint="eastAsia"/>
          <w:sz w:val="24"/>
          <w:szCs w:val="21"/>
        </w:rPr>
        <w:t>建立基于模式网格分辨率与边界层高度的权重函数，有效融合适用于中尺度与大涡尺度的混合长尺度，使混合长度在边界</w:t>
      </w:r>
      <w:r>
        <w:rPr>
          <w:rFonts w:ascii="宋体" w:hAnsi="宋体" w:hint="eastAsia"/>
          <w:sz w:val="24"/>
          <w:szCs w:val="21"/>
        </w:rPr>
        <w:t>层灰色区域能依据模型网格间距自适应调整，进而有效调节局地次网格与网格尺度湍流通量的比例，增强了方案在不同网格分辨率下的适应性。</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4</w:t>
      </w:r>
      <w:r>
        <w:rPr>
          <w:rFonts w:ascii="宋体" w:hAnsi="宋体" w:hint="eastAsia"/>
          <w:sz w:val="24"/>
          <w:szCs w:val="21"/>
        </w:rPr>
        <w:t>）湍流质量通量尺度自适应模块</w:t>
      </w:r>
    </w:p>
    <w:p w:rsidR="00AB593A">
      <w:pPr>
        <w:spacing w:before="120" w:line="570" w:lineRule="exact"/>
        <w:ind w:firstLine="480" w:firstLineChars="200"/>
        <w:rPr>
          <w:rFonts w:ascii="宋体" w:hAnsi="宋体"/>
          <w:szCs w:val="21"/>
        </w:rPr>
      </w:pPr>
      <w:r>
        <w:rPr>
          <w:rFonts w:ascii="宋体" w:hAnsi="宋体" w:hint="eastAsia"/>
          <w:sz w:val="24"/>
          <w:szCs w:val="21"/>
        </w:rPr>
        <w:t>在质量通量方案中，对最大羽流宽度进行多重优化，使其既与边界层高度相</w:t>
      </w:r>
      <w:r>
        <w:rPr>
          <w:rFonts w:ascii="宋体" w:hAnsi="宋体" w:hint="eastAsia"/>
          <w:sz w:val="24"/>
          <w:szCs w:val="21"/>
        </w:rPr>
        <w:t>关，又受云顶高度和水平网格间距制约，确保超过网格可分辨尺度的羽流不被过度参数化，实现对气象条件和模型网格尺度的自适应。同时，建立非局地湍流通量分配函数，根据网格尺寸调节质量通量对总混合的贡献，避免在小网格间距下质量通量作用过强，保证模拟结果的准确性。</w:t>
      </w:r>
    </w:p>
    <w:p w:rsidR="00AB593A">
      <w:pPr>
        <w:pStyle w:val="Heading2"/>
        <w:keepNext/>
        <w:keepLines/>
        <w:widowControl w:val="0"/>
        <w:numPr>
          <w:ilvl w:val="1"/>
          <w:numId w:val="4"/>
        </w:numPr>
        <w:spacing w:before="156" w:beforeLines="50" w:after="156" w:afterLines="50" w:line="360" w:lineRule="auto"/>
        <w:ind w:left="578" w:hanging="578"/>
        <w:jc w:val="both"/>
      </w:pPr>
      <w:bookmarkStart w:id="70" w:name="_Toc240895992"/>
      <w:r>
        <w:rPr>
          <w:rFonts w:hint="eastAsia"/>
        </w:rPr>
        <w:t>三维次公里尺度地形参数构建及其低空效应参数化研发子系统方案</w:t>
      </w:r>
      <w:bookmarkEnd w:id="70"/>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本子系统针对百米尺度复杂地形下小尺度地形的湍流拖曳对模式预报的影响，通过高精度地形数据处理、次公里地形特征描述以及次公里地形湍流参数化方案的研发，建设适用于百米分辨率模式的次公里尺度的次网格地形参数的湍流拖曳参数化方案，通过提升百米尺度下低层风场的模拟精度，从而提高复杂地形对局地强对流天气触发的预报能力。</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三维次公里尺度地形参数构建及其低空效应参数化研发子系统包含</w:t>
      </w:r>
      <w:r>
        <w:rPr>
          <w:rFonts w:ascii="宋体" w:hAnsi="宋体" w:hint="eastAsia"/>
          <w:sz w:val="24"/>
          <w:szCs w:val="21"/>
        </w:rPr>
        <w:t>4</w:t>
      </w:r>
      <w:r>
        <w:rPr>
          <w:rFonts w:ascii="宋体" w:hAnsi="宋体" w:hint="eastAsia"/>
          <w:sz w:val="24"/>
          <w:szCs w:val="21"/>
        </w:rPr>
        <w:t>个软件模块，基于次百米地形高程数据处理模块、三维次公里尺度地形参数生成模块、次公里地</w:t>
      </w:r>
      <w:r>
        <w:rPr>
          <w:rFonts w:ascii="宋体" w:hAnsi="宋体" w:hint="eastAsia"/>
          <w:sz w:val="24"/>
          <w:szCs w:val="21"/>
        </w:rPr>
        <w:t>形低空效应参数率定模块、次公里地形低空效应参数化方案集成模块。</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1</w:t>
      </w:r>
      <w:r>
        <w:rPr>
          <w:rFonts w:ascii="宋体" w:hAnsi="宋体" w:hint="eastAsia"/>
          <w:sz w:val="24"/>
          <w:szCs w:val="21"/>
        </w:rPr>
        <w:t>）次百米地形高程数据处理模块</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针对</w:t>
      </w:r>
      <w:r>
        <w:rPr>
          <w:rFonts w:ascii="宋体" w:hAnsi="宋体" w:hint="eastAsia"/>
          <w:sz w:val="24"/>
          <w:szCs w:val="21"/>
        </w:rPr>
        <w:t>30</w:t>
      </w:r>
      <w:r>
        <w:rPr>
          <w:rFonts w:ascii="宋体" w:hAnsi="宋体" w:hint="eastAsia"/>
          <w:sz w:val="24"/>
          <w:szCs w:val="21"/>
        </w:rPr>
        <w:t>至</w:t>
      </w:r>
      <w:r>
        <w:rPr>
          <w:rFonts w:ascii="宋体" w:hAnsi="宋体" w:hint="eastAsia"/>
          <w:sz w:val="24"/>
          <w:szCs w:val="21"/>
        </w:rPr>
        <w:t>90</w:t>
      </w:r>
      <w:r>
        <w:rPr>
          <w:rFonts w:ascii="宋体" w:hAnsi="宋体" w:hint="eastAsia"/>
          <w:sz w:val="24"/>
          <w:szCs w:val="21"/>
        </w:rPr>
        <w:t>米不同形状瓦片数据块，构建通用的数据读取、滤波、写出和拼接等子模块。其中，滤波需针对模式目标分辨率选取适当的低通滤波窗口进行两次滤波；写出模块需要将不同形状瓦块数据写成符合通用协议格式数据块及相关配置参数文件。最后，构建瓦块数据拼图模块，拼接相关数据块获得整块目标数据用以展示与验证。</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2</w:t>
      </w:r>
      <w:r>
        <w:rPr>
          <w:rFonts w:ascii="宋体" w:hAnsi="宋体" w:hint="eastAsia"/>
          <w:sz w:val="24"/>
          <w:szCs w:val="21"/>
        </w:rPr>
        <w:t>）三维次公里尺度地形参数生成模块</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针对通用协议格式数据块及相关配置参数文件，构建数据读取与预处理、地</w:t>
      </w:r>
      <w:r>
        <w:rPr>
          <w:rFonts w:ascii="宋体" w:hAnsi="宋体" w:hint="eastAsia"/>
          <w:sz w:val="24"/>
          <w:szCs w:val="21"/>
        </w:rPr>
        <w:t>形坡向生成</w:t>
      </w:r>
      <w:r>
        <w:rPr>
          <w:rFonts w:ascii="宋体" w:hAnsi="宋体" w:hint="eastAsia"/>
          <w:sz w:val="24"/>
          <w:szCs w:val="21"/>
        </w:rPr>
        <w:t>、地形坡度生成、地形轴比生成和地形标准差生成等模块。其中，预处理包括两次滤波数据做差及瓦块数据</w:t>
      </w:r>
      <w:r>
        <w:rPr>
          <w:rFonts w:ascii="宋体" w:hAnsi="宋体" w:hint="eastAsia"/>
          <w:sz w:val="24"/>
          <w:szCs w:val="21"/>
        </w:rPr>
        <w:t>4</w:t>
      </w:r>
      <w:r>
        <w:rPr>
          <w:rFonts w:ascii="宋体" w:hAnsi="宋体" w:hint="eastAsia"/>
          <w:sz w:val="24"/>
          <w:szCs w:val="21"/>
        </w:rPr>
        <w:t>个方向补边等步骤，从而获得目标尺度及范围的地形数据；地形坡向数据需要分别构建东西向和南北向二阶算子，并根据二者之比计算获得；地形坡度通过将坐标系旋转到坡向后计算二阶算子获得；地形轴比是利用坐标系旋转后的二阶算子比例计算获得；地形标准差是在目标网格一定比例范围内计算获得。最后，需要为上述四类数据配置标准参数文件。</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3</w:t>
      </w:r>
      <w:r>
        <w:rPr>
          <w:rFonts w:ascii="宋体" w:hAnsi="宋体" w:hint="eastAsia"/>
          <w:sz w:val="24"/>
          <w:szCs w:val="21"/>
        </w:rPr>
        <w:t>）次公里地形低空效应参数率定模块</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针对目标尺度地形，构建大涡模拟测算不同参数引发的低空拖曳效应，具</w:t>
      </w:r>
      <w:r>
        <w:rPr>
          <w:rFonts w:ascii="宋体" w:hAnsi="宋体" w:hint="eastAsia"/>
          <w:sz w:val="24"/>
          <w:szCs w:val="21"/>
        </w:rPr>
        <w:t>体包括理想地形生成、大涡模型实验构建和拖曳力测算模型构建。其中，计划采用椭圆（水平截面）正弦（垂直截面）理想地形；大涡模拟计划采用</w:t>
      </w:r>
      <w:r>
        <w:rPr>
          <w:rFonts w:ascii="宋体" w:hAnsi="宋体" w:hint="eastAsia"/>
          <w:sz w:val="24"/>
          <w:szCs w:val="21"/>
        </w:rPr>
        <w:t>ICON-LEM</w:t>
      </w:r>
      <w:r>
        <w:rPr>
          <w:rFonts w:ascii="宋体" w:hAnsi="宋体" w:hint="eastAsia"/>
          <w:sz w:val="24"/>
          <w:szCs w:val="21"/>
        </w:rPr>
        <w:t>模型，并利用</w:t>
      </w:r>
      <w:r>
        <w:rPr>
          <w:rFonts w:ascii="宋体" w:hAnsi="宋体" w:hint="eastAsia"/>
          <w:sz w:val="24"/>
          <w:szCs w:val="21"/>
        </w:rPr>
        <w:t>30</w:t>
      </w:r>
      <w:r>
        <w:rPr>
          <w:rFonts w:ascii="宋体" w:hAnsi="宋体" w:hint="eastAsia"/>
          <w:sz w:val="24"/>
          <w:szCs w:val="21"/>
        </w:rPr>
        <w:t>米分辨率和周期边界条件保证湍流正确模拟；拖曳力测算计划利用地面压力与坡度计算表面效应，进一步利用动量通量垂直梯度计算拖曳垂直变化。最后，根据不同参数地形激发的拖曳垂直变化率定地形低空效应参数。</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4</w:t>
      </w:r>
      <w:r>
        <w:rPr>
          <w:rFonts w:ascii="宋体" w:hAnsi="宋体" w:hint="eastAsia"/>
          <w:sz w:val="24"/>
          <w:szCs w:val="21"/>
        </w:rPr>
        <w:t>）次公里地形低空效应参数化方案集成模块</w:t>
      </w:r>
    </w:p>
    <w:p w:rsidR="00AB593A">
      <w:pPr>
        <w:spacing w:before="120" w:after="156" w:afterLines="50" w:line="570" w:lineRule="exact"/>
        <w:ind w:firstLine="480" w:firstLineChars="200"/>
        <w:rPr>
          <w:rFonts w:ascii="宋体" w:hAnsi="宋体"/>
          <w:szCs w:val="21"/>
        </w:rPr>
      </w:pPr>
      <w:r>
        <w:rPr>
          <w:rFonts w:ascii="宋体" w:hAnsi="宋体" w:hint="eastAsia"/>
          <w:sz w:val="24"/>
          <w:szCs w:val="21"/>
        </w:rPr>
        <w:t>集成三维次公里地形参数（坡向、坡度、轴比和标准差）及率定后的次公里地形低空效应参数化方案。具体包括三维次公里地形</w:t>
      </w:r>
      <w:r>
        <w:rPr>
          <w:rFonts w:ascii="宋体" w:hAnsi="宋体" w:hint="eastAsia"/>
          <w:sz w:val="24"/>
          <w:szCs w:val="21"/>
        </w:rPr>
        <w:t>参数预处理与写出、模式读入与传输、参数化方案调用与反馈等模块。其中，预处理需要耦合进现有中尺度模式系统标准框架进行读入并生成模式网格所需三维次公里地形参数；模式读入与传输需构建针对预处理结果数据在静态数据处理系统、动力框架和物理过程间传输的流程；参数化调用与反馈是指通过目标方案的调用计算获得动量通量廓线并反馈到动力框架对低空流场进行作用的过程。</w:t>
      </w:r>
    </w:p>
    <w:p w:rsidR="00AB593A">
      <w:pPr>
        <w:pStyle w:val="Heading2"/>
        <w:keepNext/>
        <w:keepLines/>
        <w:widowControl w:val="0"/>
        <w:numPr>
          <w:ilvl w:val="1"/>
          <w:numId w:val="4"/>
        </w:numPr>
        <w:spacing w:before="156" w:beforeLines="50" w:after="156" w:afterLines="50" w:line="360" w:lineRule="auto"/>
        <w:ind w:left="578" w:hanging="578"/>
        <w:jc w:val="both"/>
      </w:pPr>
      <w:bookmarkStart w:id="71" w:name="_Toc240895993"/>
      <w:r>
        <w:rPr>
          <w:rFonts w:hint="eastAsia"/>
        </w:rPr>
        <w:t>分钟级更新技术建设子系统方案</w:t>
      </w:r>
      <w:bookmarkEnd w:id="71"/>
    </w:p>
    <w:p w:rsidR="00AB593A">
      <w:pPr>
        <w:spacing w:before="120" w:line="570" w:lineRule="exact"/>
        <w:ind w:firstLine="480" w:firstLineChars="200"/>
        <w:rPr>
          <w:rFonts w:ascii="宋体" w:hAnsi="宋体"/>
          <w:szCs w:val="21"/>
        </w:rPr>
      </w:pPr>
      <w:r>
        <w:rPr>
          <w:rFonts w:ascii="宋体" w:hAnsi="宋体" w:hint="eastAsia"/>
          <w:sz w:val="24"/>
          <w:szCs w:val="21"/>
        </w:rPr>
        <w:t>本子系统基于</w:t>
      </w:r>
      <w:r>
        <w:rPr>
          <w:rFonts w:ascii="宋体" w:hAnsi="宋体" w:hint="eastAsia"/>
          <w:sz w:val="24"/>
          <w:szCs w:val="21"/>
        </w:rPr>
        <w:t>CMA-MESO</w:t>
      </w:r>
      <w:r>
        <w:rPr>
          <w:rFonts w:ascii="宋体" w:hAnsi="宋体" w:hint="eastAsia"/>
          <w:sz w:val="24"/>
          <w:szCs w:val="21"/>
        </w:rPr>
        <w:t>快速循环同化系统，建设观测资料分钟级快速循环同化技术，将同化系统逐小时循环功能升级为能够逐</w:t>
      </w:r>
      <w:r>
        <w:rPr>
          <w:rFonts w:ascii="宋体" w:hAnsi="宋体" w:hint="eastAsia"/>
          <w:sz w:val="24"/>
          <w:szCs w:val="21"/>
        </w:rPr>
        <w:t>15</w:t>
      </w:r>
      <w:r>
        <w:rPr>
          <w:rFonts w:ascii="宋体" w:hAnsi="宋体" w:hint="eastAsia"/>
          <w:sz w:val="24"/>
          <w:szCs w:val="21"/>
        </w:rPr>
        <w:t>分钟循环同化</w:t>
      </w:r>
      <w:r>
        <w:rPr>
          <w:rFonts w:ascii="宋体" w:hAnsi="宋体" w:hint="eastAsia"/>
          <w:sz w:val="24"/>
          <w:szCs w:val="21"/>
        </w:rPr>
        <w:t>，利用三维变分同化和云分析系统高效融合时空稠密的常规和非常规观测资料，为短临预报提供精准的输入数据。</w:t>
      </w:r>
    </w:p>
    <w:p w:rsidR="00AB593A">
      <w:pPr>
        <w:spacing w:before="120" w:line="570" w:lineRule="exact"/>
        <w:ind w:firstLine="480" w:firstLineChars="200"/>
        <w:rPr>
          <w:rFonts w:ascii="宋体" w:hAnsi="宋体"/>
          <w:szCs w:val="21"/>
        </w:rPr>
      </w:pPr>
      <w:r>
        <w:rPr>
          <w:rFonts w:ascii="宋体" w:hAnsi="宋体" w:hint="eastAsia"/>
          <w:sz w:val="24"/>
          <w:szCs w:val="21"/>
        </w:rPr>
        <w:t>分钟级更新技术建设子系统包括</w:t>
      </w:r>
      <w:r>
        <w:rPr>
          <w:rFonts w:ascii="宋体" w:hAnsi="宋体" w:hint="eastAsia"/>
          <w:sz w:val="24"/>
          <w:szCs w:val="21"/>
        </w:rPr>
        <w:t>4</w:t>
      </w:r>
      <w:r>
        <w:rPr>
          <w:rFonts w:ascii="宋体" w:hAnsi="宋体" w:hint="eastAsia"/>
          <w:sz w:val="24"/>
          <w:szCs w:val="21"/>
        </w:rPr>
        <w:t>个软件模块：分钟级质量控制与预处理模块，分钟级快速循环同化技术模块，分钟级观测应用策略调优模块，以及分钟级循环预报系统试验模块。</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1</w:t>
      </w:r>
      <w:r>
        <w:rPr>
          <w:rFonts w:ascii="宋体" w:hAnsi="宋体" w:hint="eastAsia"/>
          <w:sz w:val="24"/>
          <w:szCs w:val="21"/>
        </w:rPr>
        <w:t>）分钟级质量控制与预处理模块</w:t>
      </w:r>
    </w:p>
    <w:p w:rsidR="00AB593A">
      <w:pPr>
        <w:spacing w:before="120" w:line="570" w:lineRule="exact"/>
        <w:ind w:firstLine="480" w:firstLineChars="200"/>
        <w:rPr>
          <w:rFonts w:ascii="宋体" w:hAnsi="宋体"/>
          <w:szCs w:val="21"/>
        </w:rPr>
      </w:pPr>
      <w:r>
        <w:rPr>
          <w:rFonts w:ascii="宋体" w:hAnsi="宋体" w:hint="eastAsia"/>
          <w:sz w:val="24"/>
          <w:szCs w:val="21"/>
        </w:rPr>
        <w:t>研究观测资料的稀疏化策略和时间截断方案，针对分钟级雷达、地基</w:t>
      </w:r>
      <w:r>
        <w:rPr>
          <w:rFonts w:ascii="宋体" w:hAnsi="宋体" w:hint="eastAsia"/>
          <w:sz w:val="24"/>
          <w:szCs w:val="21"/>
        </w:rPr>
        <w:t>GNSS/MET</w:t>
      </w:r>
      <w:r>
        <w:rPr>
          <w:rFonts w:ascii="宋体" w:hAnsi="宋体" w:hint="eastAsia"/>
          <w:sz w:val="24"/>
          <w:szCs w:val="21"/>
        </w:rPr>
        <w:t>水汽资料进行预处理，以确保其适用于短临数值预报系统。包括数据解码与读取、格式转换、质量控制（异常值检测、一致性检查等）、资料稀疏化以及数据输</w:t>
      </w:r>
      <w:r>
        <w:rPr>
          <w:rFonts w:ascii="宋体" w:hAnsi="宋体" w:hint="eastAsia"/>
          <w:sz w:val="24"/>
          <w:szCs w:val="21"/>
        </w:rPr>
        <w:t>出。为短临预报提供精准的输入数据。</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2</w:t>
      </w:r>
      <w:r>
        <w:rPr>
          <w:rFonts w:ascii="宋体" w:hAnsi="宋体" w:hint="eastAsia"/>
          <w:sz w:val="24"/>
          <w:szCs w:val="21"/>
        </w:rPr>
        <w:t>）分钟级快速循环同化技术模块</w:t>
      </w:r>
    </w:p>
    <w:p w:rsidR="00AB593A">
      <w:pPr>
        <w:spacing w:before="120" w:line="570" w:lineRule="exact"/>
        <w:ind w:firstLine="480" w:firstLineChars="200"/>
        <w:rPr>
          <w:rFonts w:ascii="宋体" w:hAnsi="宋体"/>
          <w:szCs w:val="21"/>
        </w:rPr>
      </w:pPr>
      <w:r>
        <w:rPr>
          <w:rFonts w:ascii="宋体" w:hAnsi="宋体" w:hint="eastAsia"/>
          <w:sz w:val="24"/>
          <w:szCs w:val="21"/>
        </w:rPr>
        <w:t>基于</w:t>
      </w:r>
      <w:r>
        <w:rPr>
          <w:rFonts w:ascii="宋体" w:hAnsi="宋体" w:hint="eastAsia"/>
          <w:sz w:val="24"/>
          <w:szCs w:val="21"/>
        </w:rPr>
        <w:t>3DVAR</w:t>
      </w:r>
      <w:r>
        <w:rPr>
          <w:rFonts w:ascii="宋体" w:hAnsi="宋体" w:hint="eastAsia"/>
          <w:sz w:val="24"/>
          <w:szCs w:val="21"/>
        </w:rPr>
        <w:t>，建设观测资料分钟级快速循环同化技术，将同化系统逐小时循环功能升级为能够逐</w:t>
      </w:r>
      <w:r>
        <w:rPr>
          <w:rFonts w:ascii="宋体" w:hAnsi="宋体" w:hint="eastAsia"/>
          <w:sz w:val="24"/>
          <w:szCs w:val="21"/>
        </w:rPr>
        <w:t>15</w:t>
      </w:r>
      <w:r>
        <w:rPr>
          <w:rFonts w:ascii="宋体" w:hAnsi="宋体" w:hint="eastAsia"/>
          <w:sz w:val="24"/>
          <w:szCs w:val="21"/>
        </w:rPr>
        <w:t>分钟循环同化，高效融合高频观测数据与模式背景场；并结合云分析同化和</w:t>
      </w:r>
      <w:r>
        <w:rPr>
          <w:rFonts w:ascii="宋体" w:hAnsi="宋体" w:hint="eastAsia"/>
          <w:sz w:val="24"/>
          <w:szCs w:val="21"/>
        </w:rPr>
        <w:t>IAU</w:t>
      </w:r>
      <w:r>
        <w:rPr>
          <w:rFonts w:ascii="宋体" w:hAnsi="宋体" w:hint="eastAsia"/>
          <w:sz w:val="24"/>
          <w:szCs w:val="21"/>
        </w:rPr>
        <w:t>技术，实现逐</w:t>
      </w:r>
      <w:r>
        <w:rPr>
          <w:rFonts w:ascii="宋体" w:hAnsi="宋体" w:hint="eastAsia"/>
          <w:sz w:val="24"/>
          <w:szCs w:val="21"/>
        </w:rPr>
        <w:t>15</w:t>
      </w:r>
      <w:r>
        <w:rPr>
          <w:rFonts w:ascii="宋体" w:hAnsi="宋体" w:hint="eastAsia"/>
          <w:sz w:val="24"/>
          <w:szCs w:val="21"/>
        </w:rPr>
        <w:t>分钟循环同化预报流程。</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3</w:t>
      </w:r>
      <w:r>
        <w:rPr>
          <w:rFonts w:ascii="宋体" w:hAnsi="宋体" w:hint="eastAsia"/>
          <w:sz w:val="24"/>
          <w:szCs w:val="21"/>
        </w:rPr>
        <w:t>）分钟级观测应用策略调优模块</w:t>
      </w:r>
    </w:p>
    <w:p w:rsidR="00AB593A">
      <w:pPr>
        <w:spacing w:before="120" w:line="570" w:lineRule="exact"/>
        <w:ind w:firstLine="480" w:firstLineChars="200"/>
        <w:rPr>
          <w:rFonts w:ascii="宋体" w:hAnsi="宋体"/>
          <w:szCs w:val="21"/>
        </w:rPr>
      </w:pPr>
      <w:r>
        <w:rPr>
          <w:rFonts w:ascii="宋体" w:hAnsi="宋体" w:hint="eastAsia"/>
          <w:sz w:val="24"/>
          <w:szCs w:val="21"/>
        </w:rPr>
        <w:t>优化多尺度分析框架的参数给定，基于多尺度同化分析框架和高时空分辨率多源观测资料，设计</w:t>
      </w:r>
      <w:r>
        <w:rPr>
          <w:rFonts w:ascii="宋体" w:hAnsi="宋体" w:hint="eastAsia"/>
          <w:sz w:val="24"/>
          <w:szCs w:val="21"/>
        </w:rPr>
        <w:t>15</w:t>
      </w:r>
      <w:r>
        <w:rPr>
          <w:rFonts w:ascii="宋体" w:hAnsi="宋体" w:hint="eastAsia"/>
          <w:sz w:val="24"/>
          <w:szCs w:val="21"/>
        </w:rPr>
        <w:t>分钟快速更新循环同化预报系统的资料应用策略，分别针对获取的分钟级雷达资料及多源资料，设计不同敏感试验，综合应用多种观</w:t>
      </w:r>
      <w:r>
        <w:rPr>
          <w:rFonts w:ascii="宋体" w:hAnsi="宋体" w:hint="eastAsia"/>
          <w:sz w:val="24"/>
          <w:szCs w:val="21"/>
        </w:rPr>
        <w:t>测，明确雷达及多源同化的同化策略。</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4</w:t>
      </w:r>
      <w:r>
        <w:rPr>
          <w:rFonts w:ascii="宋体" w:hAnsi="宋体" w:hint="eastAsia"/>
          <w:sz w:val="24"/>
          <w:szCs w:val="21"/>
        </w:rPr>
        <w:t>）分钟级循环预报系统试验模块</w:t>
      </w:r>
    </w:p>
    <w:p w:rsidR="00AB593A">
      <w:pPr>
        <w:spacing w:before="120" w:line="570" w:lineRule="exact"/>
        <w:ind w:firstLine="480" w:firstLineChars="200"/>
        <w:rPr>
          <w:rFonts w:ascii="宋体" w:hAnsi="宋体"/>
          <w:szCs w:val="21"/>
        </w:rPr>
      </w:pPr>
      <w:r>
        <w:rPr>
          <w:rFonts w:ascii="宋体" w:hAnsi="宋体" w:hint="eastAsia"/>
          <w:sz w:val="24"/>
          <w:szCs w:val="21"/>
        </w:rPr>
        <w:t>对分钟级循环同化系统进行典型强降水个例试验和批量预报试验，对试验结果进行分析，分析其业务运行的可能性；对系统进行连续</w:t>
      </w:r>
      <w:r>
        <w:rPr>
          <w:rFonts w:ascii="宋体" w:hAnsi="宋体" w:hint="eastAsia"/>
          <w:sz w:val="24"/>
          <w:szCs w:val="21"/>
        </w:rPr>
        <w:t>1</w:t>
      </w:r>
      <w:r>
        <w:rPr>
          <w:rFonts w:ascii="宋体" w:hAnsi="宋体" w:hint="eastAsia"/>
          <w:sz w:val="24"/>
          <w:szCs w:val="21"/>
        </w:rPr>
        <w:t>～</w:t>
      </w:r>
      <w:r>
        <w:rPr>
          <w:rFonts w:ascii="宋体" w:hAnsi="宋体" w:hint="eastAsia"/>
          <w:sz w:val="24"/>
          <w:szCs w:val="21"/>
        </w:rPr>
        <w:t>2</w:t>
      </w:r>
      <w:r>
        <w:rPr>
          <w:rFonts w:ascii="宋体" w:hAnsi="宋体" w:hint="eastAsia"/>
          <w:sz w:val="24"/>
          <w:szCs w:val="21"/>
        </w:rPr>
        <w:t>个月的实时测试，对系统的预报能力做综合调试和评估；对系统运行情况及效果开展客观检验评估，对系统进行进一步优化。</w:t>
      </w:r>
    </w:p>
    <w:p w:rsidR="00AB593A">
      <w:pPr>
        <w:pStyle w:val="Heading2"/>
        <w:keepNext/>
        <w:keepLines/>
        <w:widowControl w:val="0"/>
        <w:numPr>
          <w:ilvl w:val="1"/>
          <w:numId w:val="4"/>
        </w:numPr>
        <w:spacing w:before="156" w:beforeLines="50" w:after="156" w:afterLines="50" w:line="360" w:lineRule="auto"/>
        <w:ind w:left="578" w:hanging="578"/>
        <w:jc w:val="both"/>
      </w:pPr>
      <w:bookmarkStart w:id="72" w:name="_Toc240895994"/>
      <w:r>
        <w:rPr>
          <w:rFonts w:hint="eastAsia"/>
        </w:rPr>
        <w:t>500m</w:t>
      </w:r>
      <w:r>
        <w:rPr>
          <w:rFonts w:hint="eastAsia"/>
        </w:rPr>
        <w:t>同化循环技术建设子系统方案</w:t>
      </w:r>
      <w:bookmarkEnd w:id="72"/>
    </w:p>
    <w:p w:rsidR="00AB593A">
      <w:pPr>
        <w:spacing w:before="120" w:line="570" w:lineRule="exact"/>
        <w:ind w:firstLine="480" w:firstLineChars="200"/>
        <w:rPr>
          <w:rFonts w:ascii="宋体" w:hAnsi="宋体"/>
          <w:szCs w:val="21"/>
        </w:rPr>
      </w:pPr>
      <w:r>
        <w:rPr>
          <w:rFonts w:ascii="宋体" w:hAnsi="宋体" w:hint="eastAsia"/>
          <w:sz w:val="24"/>
          <w:szCs w:val="21"/>
        </w:rPr>
        <w:t>本子系统针对</w:t>
      </w:r>
      <w:r>
        <w:rPr>
          <w:rFonts w:ascii="宋体" w:hAnsi="宋体" w:hint="eastAsia"/>
          <w:sz w:val="24"/>
          <w:szCs w:val="21"/>
        </w:rPr>
        <w:t>500m</w:t>
      </w:r>
      <w:r>
        <w:rPr>
          <w:rFonts w:ascii="宋体" w:hAnsi="宋体" w:hint="eastAsia"/>
          <w:sz w:val="24"/>
          <w:szCs w:val="21"/>
        </w:rPr>
        <w:t>分辨率模式，统计背景误差参数并进行调优，在分析框架中增加垂直风速控制变量，实现完整三维风速分析；建设雷达三维径向风算子，优化天气雷达资料同化策略、增量分</w:t>
      </w:r>
      <w:r>
        <w:rPr>
          <w:rFonts w:ascii="宋体" w:hAnsi="宋体" w:hint="eastAsia"/>
          <w:sz w:val="24"/>
          <w:szCs w:val="21"/>
        </w:rPr>
        <w:t>析更新技术等功能实现同化循环技术。</w:t>
      </w:r>
    </w:p>
    <w:p w:rsidR="00AB593A">
      <w:pPr>
        <w:spacing w:before="120" w:line="570" w:lineRule="exact"/>
        <w:ind w:firstLine="480" w:firstLineChars="200"/>
        <w:rPr>
          <w:rFonts w:ascii="宋体" w:hAnsi="宋体"/>
          <w:szCs w:val="21"/>
        </w:rPr>
      </w:pPr>
      <w:r>
        <w:rPr>
          <w:rFonts w:ascii="宋体" w:hAnsi="宋体" w:hint="eastAsia"/>
          <w:sz w:val="24"/>
          <w:szCs w:val="21"/>
        </w:rPr>
        <w:t>500m</w:t>
      </w:r>
      <w:r>
        <w:rPr>
          <w:rFonts w:ascii="宋体" w:hAnsi="宋体" w:hint="eastAsia"/>
          <w:sz w:val="24"/>
          <w:szCs w:val="21"/>
        </w:rPr>
        <w:t>同化循环技术建设子系统包括</w:t>
      </w:r>
      <w:r>
        <w:rPr>
          <w:rFonts w:ascii="宋体" w:hAnsi="宋体" w:hint="eastAsia"/>
          <w:sz w:val="24"/>
          <w:szCs w:val="21"/>
        </w:rPr>
        <w:t>7</w:t>
      </w:r>
      <w:r>
        <w:rPr>
          <w:rFonts w:ascii="宋体" w:hAnsi="宋体" w:hint="eastAsia"/>
          <w:sz w:val="24"/>
          <w:szCs w:val="21"/>
        </w:rPr>
        <w:t>个软件模块：</w:t>
      </w:r>
      <w:r>
        <w:rPr>
          <w:rFonts w:ascii="宋体" w:hAnsi="宋体" w:hint="eastAsia"/>
          <w:sz w:val="24"/>
          <w:szCs w:val="21"/>
        </w:rPr>
        <w:t>500m</w:t>
      </w:r>
      <w:r>
        <w:rPr>
          <w:rFonts w:ascii="宋体" w:hAnsi="宋体" w:hint="eastAsia"/>
          <w:sz w:val="24"/>
          <w:szCs w:val="21"/>
        </w:rPr>
        <w:t>模式背景误差均方差统计模块，水平和垂直相关尺度统计模块，三维风速极小化控制变量模块，连续方程弱约束模块，雷达三维径向风同化模块，雷达观测稀疏化模块，以及多源观测同化循环技术模块。</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1</w:t>
      </w:r>
      <w:r>
        <w:rPr>
          <w:rFonts w:ascii="宋体" w:hAnsi="宋体" w:hint="eastAsia"/>
          <w:sz w:val="24"/>
          <w:szCs w:val="21"/>
        </w:rPr>
        <w:t>）</w:t>
      </w:r>
      <w:r>
        <w:rPr>
          <w:rFonts w:ascii="宋体" w:hAnsi="宋体" w:hint="eastAsia"/>
          <w:sz w:val="24"/>
          <w:szCs w:val="21"/>
        </w:rPr>
        <w:t>500m</w:t>
      </w:r>
      <w:r>
        <w:rPr>
          <w:rFonts w:ascii="宋体" w:hAnsi="宋体" w:hint="eastAsia"/>
          <w:sz w:val="24"/>
          <w:szCs w:val="21"/>
        </w:rPr>
        <w:t>模式背景误差均方差统计模块</w:t>
      </w:r>
    </w:p>
    <w:p w:rsidR="00AB593A">
      <w:pPr>
        <w:spacing w:before="120" w:line="570" w:lineRule="exact"/>
        <w:ind w:firstLine="480" w:firstLineChars="200"/>
        <w:rPr>
          <w:rFonts w:ascii="宋体" w:hAnsi="宋体"/>
          <w:szCs w:val="21"/>
        </w:rPr>
      </w:pPr>
      <w:r>
        <w:rPr>
          <w:rFonts w:ascii="宋体" w:hAnsi="宋体" w:hint="eastAsia"/>
          <w:sz w:val="24"/>
          <w:szCs w:val="21"/>
        </w:rPr>
        <w:t>针对水平</w:t>
      </w:r>
      <w:r>
        <w:rPr>
          <w:rFonts w:ascii="宋体" w:hAnsi="宋体" w:hint="eastAsia"/>
          <w:sz w:val="24"/>
          <w:szCs w:val="21"/>
        </w:rPr>
        <w:t>500m</w:t>
      </w:r>
      <w:r>
        <w:rPr>
          <w:rFonts w:ascii="宋体" w:hAnsi="宋体" w:hint="eastAsia"/>
          <w:sz w:val="24"/>
          <w:szCs w:val="21"/>
        </w:rPr>
        <w:t>分辨率模式，通过</w:t>
      </w:r>
      <w:r>
        <w:rPr>
          <w:rFonts w:ascii="宋体" w:hAnsi="宋体" w:hint="eastAsia"/>
          <w:sz w:val="24"/>
          <w:szCs w:val="21"/>
        </w:rPr>
        <w:t>Lagged-NMC</w:t>
      </w:r>
      <w:r>
        <w:rPr>
          <w:rFonts w:ascii="宋体" w:hAnsi="宋体" w:hint="eastAsia"/>
          <w:sz w:val="24"/>
          <w:szCs w:val="21"/>
        </w:rPr>
        <w:t>方法计算背景误差样本，进而统计风场、温度场、地面气压和相对湿度等极小化控制变量对应的背景误差均方差，通过空间滤波和误差缩放对统计结果进行调优。</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2</w:t>
      </w:r>
      <w:r>
        <w:rPr>
          <w:rFonts w:ascii="宋体" w:hAnsi="宋体" w:hint="eastAsia"/>
          <w:sz w:val="24"/>
          <w:szCs w:val="21"/>
        </w:rPr>
        <w:t>）水平和垂直相关尺度统计模块</w:t>
      </w:r>
    </w:p>
    <w:p w:rsidR="00AB593A">
      <w:pPr>
        <w:spacing w:before="120" w:line="570" w:lineRule="exact"/>
        <w:ind w:firstLine="480" w:firstLineChars="200"/>
        <w:rPr>
          <w:rFonts w:ascii="宋体" w:hAnsi="宋体"/>
          <w:szCs w:val="21"/>
        </w:rPr>
      </w:pPr>
      <w:r>
        <w:rPr>
          <w:rFonts w:ascii="宋体" w:hAnsi="宋体" w:hint="eastAsia"/>
          <w:sz w:val="24"/>
          <w:szCs w:val="21"/>
        </w:rPr>
        <w:t>基于</w:t>
      </w:r>
      <w:r>
        <w:rPr>
          <w:rFonts w:ascii="宋体" w:hAnsi="宋体" w:hint="eastAsia"/>
          <w:sz w:val="24"/>
          <w:szCs w:val="21"/>
        </w:rPr>
        <w:t>500m</w:t>
      </w:r>
      <w:r>
        <w:rPr>
          <w:rFonts w:ascii="宋体" w:hAnsi="宋体" w:hint="eastAsia"/>
          <w:sz w:val="24"/>
          <w:szCs w:val="21"/>
        </w:rPr>
        <w:t>分辨率背景误差样本，基于高斯相关模型和最小二乘法统计风场、温度场、地面气压和相对湿度等的极小化控制变量对应的水平相关尺度，通过滤波平滑和整体缩放对统计结果进行调优；统计极小化控制变量对应垂直相关系数矩阵，并采用局地化技术滤除虚假遥相关。</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3</w:t>
      </w:r>
      <w:r>
        <w:rPr>
          <w:rFonts w:ascii="宋体" w:hAnsi="宋体" w:hint="eastAsia"/>
          <w:sz w:val="24"/>
          <w:szCs w:val="21"/>
        </w:rPr>
        <w:t>）三维风速极小化控制变量模块</w:t>
      </w:r>
    </w:p>
    <w:p w:rsidR="00AB593A">
      <w:pPr>
        <w:spacing w:before="120" w:line="570" w:lineRule="exact"/>
        <w:ind w:firstLine="480" w:firstLineChars="200"/>
        <w:rPr>
          <w:rFonts w:ascii="宋体" w:hAnsi="宋体"/>
          <w:szCs w:val="21"/>
        </w:rPr>
      </w:pPr>
      <w:r>
        <w:rPr>
          <w:rFonts w:ascii="宋体" w:hAnsi="宋体" w:hint="eastAsia"/>
          <w:sz w:val="24"/>
          <w:szCs w:val="21"/>
        </w:rPr>
        <w:t>在同化框架中引入垂直风速控制变量，与原有水平风速变量一起构成三维风速极小化控制变量，采用递归滤波建设控制变量的水平变换算子，采用</w:t>
      </w:r>
      <w:r>
        <w:rPr>
          <w:rFonts w:ascii="宋体" w:hAnsi="宋体" w:hint="eastAsia"/>
          <w:sz w:val="24"/>
          <w:szCs w:val="21"/>
        </w:rPr>
        <w:t>EOF</w:t>
      </w:r>
      <w:r>
        <w:rPr>
          <w:rFonts w:ascii="宋体" w:hAnsi="宋体" w:hint="eastAsia"/>
          <w:sz w:val="24"/>
          <w:szCs w:val="21"/>
        </w:rPr>
        <w:t>方法建设控制变量的垂直变换算子，并发展对应的伴随算子和正确性检验算子。</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4</w:t>
      </w:r>
      <w:r>
        <w:rPr>
          <w:rFonts w:ascii="宋体" w:hAnsi="宋体" w:hint="eastAsia"/>
          <w:sz w:val="24"/>
          <w:szCs w:val="21"/>
        </w:rPr>
        <w:t>）连续方程弱约束模块</w:t>
      </w:r>
    </w:p>
    <w:p w:rsidR="00AB593A">
      <w:pPr>
        <w:spacing w:before="120" w:line="570" w:lineRule="exact"/>
        <w:ind w:firstLine="480" w:firstLineChars="200"/>
        <w:rPr>
          <w:rFonts w:ascii="宋体" w:hAnsi="宋体"/>
          <w:szCs w:val="21"/>
        </w:rPr>
      </w:pPr>
      <w:r>
        <w:rPr>
          <w:rFonts w:ascii="宋体" w:hAnsi="宋体" w:hint="eastAsia"/>
          <w:sz w:val="24"/>
          <w:szCs w:val="21"/>
        </w:rPr>
        <w:t>在次公里尺度变分同化框架中引入三维连续方程弱约束，建设连续方程切线性算子和伴随算子，发展对应的正确性验证算子；给定并调优三维连续方程弱约束的权重系数，保证高分辨率三维风速的平衡分析。</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5</w:t>
      </w:r>
      <w:r>
        <w:rPr>
          <w:rFonts w:ascii="宋体" w:hAnsi="宋体" w:hint="eastAsia"/>
          <w:sz w:val="24"/>
          <w:szCs w:val="21"/>
        </w:rPr>
        <w:t>）雷达三维径向风同化模块</w:t>
      </w:r>
    </w:p>
    <w:p w:rsidR="00AB593A">
      <w:pPr>
        <w:spacing w:before="120" w:line="570" w:lineRule="exact"/>
        <w:ind w:firstLine="480" w:firstLineChars="200"/>
        <w:rPr>
          <w:rFonts w:ascii="宋体" w:hAnsi="宋体"/>
          <w:szCs w:val="21"/>
        </w:rPr>
      </w:pPr>
      <w:r>
        <w:rPr>
          <w:rFonts w:ascii="宋体" w:hAnsi="宋体" w:hint="eastAsia"/>
          <w:sz w:val="24"/>
          <w:szCs w:val="21"/>
        </w:rPr>
        <w:t>基于同化框架中的垂直风速控制变量，将雷达径向风同化算子扩展为三维风</w:t>
      </w:r>
      <w:r>
        <w:rPr>
          <w:rFonts w:ascii="宋体" w:hAnsi="宋体" w:hint="eastAsia"/>
          <w:sz w:val="24"/>
          <w:szCs w:val="21"/>
        </w:rPr>
        <w:t>算子；并完成切线性和伴随算子的设计和实现，通过单点实验完成算子切线性和伴随的正确性验证；通过强风个例试验验证更精确的雷达径向风同化的三维风场分析的实现。</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6</w:t>
      </w:r>
      <w:r>
        <w:rPr>
          <w:rFonts w:ascii="宋体" w:hAnsi="宋体" w:hint="eastAsia"/>
          <w:sz w:val="24"/>
          <w:szCs w:val="21"/>
        </w:rPr>
        <w:t>）雷达观测稀疏化模块</w:t>
      </w:r>
    </w:p>
    <w:p w:rsidR="00AB593A">
      <w:pPr>
        <w:spacing w:before="120" w:line="570" w:lineRule="exact"/>
        <w:ind w:firstLine="480" w:firstLineChars="200"/>
        <w:rPr>
          <w:rFonts w:ascii="宋体" w:hAnsi="宋体"/>
          <w:szCs w:val="21"/>
        </w:rPr>
      </w:pPr>
      <w:r>
        <w:rPr>
          <w:rFonts w:ascii="宋体" w:hAnsi="宋体" w:hint="eastAsia"/>
          <w:sz w:val="24"/>
          <w:szCs w:val="21"/>
        </w:rPr>
        <w:t>针对水平</w:t>
      </w:r>
      <w:r>
        <w:rPr>
          <w:rFonts w:ascii="宋体" w:hAnsi="宋体" w:hint="eastAsia"/>
          <w:sz w:val="24"/>
          <w:szCs w:val="21"/>
        </w:rPr>
        <w:t>500</w:t>
      </w:r>
      <w:r>
        <w:rPr>
          <w:rFonts w:ascii="宋体" w:hAnsi="宋体" w:hint="eastAsia"/>
          <w:sz w:val="24"/>
          <w:szCs w:val="21"/>
        </w:rPr>
        <w:t>分辨率模式，实现不同观测信息的有效引入，开展雷达反射率观测、雷达径向风观测、风廓线观测等多源观测分别开展稀疏化策略优化，并分别针对各种观测开展敏感性试验，通过短临预报效果确定同化该观测时采用的最优策略。</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7</w:t>
      </w:r>
      <w:r>
        <w:rPr>
          <w:rFonts w:ascii="宋体" w:hAnsi="宋体" w:hint="eastAsia"/>
          <w:sz w:val="24"/>
          <w:szCs w:val="21"/>
        </w:rPr>
        <w:t>）多源观测同化循环技术模块</w:t>
      </w:r>
    </w:p>
    <w:p w:rsidR="00AB593A">
      <w:pPr>
        <w:spacing w:before="120" w:line="570" w:lineRule="exact"/>
        <w:ind w:firstLine="480" w:firstLineChars="200"/>
        <w:rPr>
          <w:rFonts w:ascii="宋体" w:hAnsi="宋体"/>
          <w:szCs w:val="21"/>
        </w:rPr>
      </w:pPr>
      <w:r>
        <w:rPr>
          <w:rFonts w:ascii="宋体" w:hAnsi="宋体" w:hint="eastAsia"/>
          <w:sz w:val="24"/>
          <w:szCs w:val="21"/>
        </w:rPr>
        <w:t>针对</w:t>
      </w:r>
      <w:r>
        <w:rPr>
          <w:rFonts w:ascii="宋体" w:hAnsi="宋体" w:hint="eastAsia"/>
          <w:sz w:val="24"/>
          <w:szCs w:val="21"/>
        </w:rPr>
        <w:t>500m</w:t>
      </w:r>
      <w:r>
        <w:rPr>
          <w:rFonts w:ascii="宋体" w:hAnsi="宋体" w:hint="eastAsia"/>
          <w:sz w:val="24"/>
          <w:szCs w:val="21"/>
        </w:rPr>
        <w:t>分辨率多源观测的综合应用，建设天气雷达资料同化策略调整技术、水物质变量</w:t>
      </w:r>
      <w:r>
        <w:rPr>
          <w:rFonts w:ascii="宋体" w:hAnsi="宋体" w:hint="eastAsia"/>
          <w:sz w:val="24"/>
          <w:szCs w:val="21"/>
        </w:rPr>
        <w:t>增量分析更新技术等功能，有效控制多源观测多次循环中引入的噪音，减小短临预报偏差。</w:t>
      </w:r>
    </w:p>
    <w:p w:rsidR="00AB593A">
      <w:pPr>
        <w:pStyle w:val="Heading2"/>
        <w:keepNext/>
        <w:keepLines/>
        <w:widowControl w:val="0"/>
        <w:numPr>
          <w:ilvl w:val="1"/>
          <w:numId w:val="4"/>
        </w:numPr>
        <w:spacing w:before="156" w:beforeLines="50" w:after="156" w:afterLines="50" w:line="360" w:lineRule="auto"/>
        <w:ind w:left="578" w:hanging="578"/>
        <w:jc w:val="both"/>
      </w:pPr>
      <w:bookmarkStart w:id="73" w:name="_Toc240895995"/>
      <w:r>
        <w:rPr>
          <w:rFonts w:hint="eastAsia"/>
        </w:rPr>
        <w:t>数值预报支撑短临应用产品建设子系统方案</w:t>
      </w:r>
      <w:bookmarkEnd w:id="73"/>
    </w:p>
    <w:p w:rsidR="00AB593A">
      <w:pPr>
        <w:spacing w:before="120" w:line="570" w:lineRule="exact"/>
        <w:ind w:firstLine="480" w:firstLineChars="200"/>
        <w:rPr>
          <w:rFonts w:ascii="宋体" w:hAnsi="宋体"/>
          <w:szCs w:val="21"/>
        </w:rPr>
      </w:pPr>
      <w:r>
        <w:rPr>
          <w:rFonts w:ascii="宋体" w:hAnsi="宋体" w:hint="eastAsia"/>
          <w:sz w:val="24"/>
          <w:szCs w:val="21"/>
        </w:rPr>
        <w:t>数值预报支撑短临应用产品建设子系统围绕低空经济、交通运输、能源、农业、交通等行业对短临气象预报的需求，通过融合多源数据与先进技术，开发一系列精细化气象产品，为不同行业的决策和安全保障提供准确、及时的气象数据支持。</w:t>
      </w:r>
    </w:p>
    <w:p w:rsidR="00AB593A">
      <w:pPr>
        <w:spacing w:before="120" w:line="570" w:lineRule="exact"/>
        <w:ind w:firstLine="480" w:firstLineChars="200"/>
        <w:rPr>
          <w:rFonts w:ascii="宋体" w:hAnsi="宋体"/>
          <w:szCs w:val="21"/>
        </w:rPr>
      </w:pPr>
      <w:r>
        <w:rPr>
          <w:rFonts w:ascii="宋体" w:hAnsi="宋体" w:hint="eastAsia"/>
          <w:sz w:val="24"/>
          <w:szCs w:val="21"/>
        </w:rPr>
        <w:t>数值预报支撑短临应用产品建设子系统主要包括</w:t>
      </w:r>
      <w:r>
        <w:rPr>
          <w:rFonts w:ascii="宋体" w:hAnsi="宋体" w:hint="eastAsia"/>
          <w:sz w:val="24"/>
          <w:szCs w:val="21"/>
        </w:rPr>
        <w:t xml:space="preserve"> 5 </w:t>
      </w:r>
      <w:r>
        <w:rPr>
          <w:rFonts w:ascii="宋体" w:hAnsi="宋体" w:hint="eastAsia"/>
          <w:sz w:val="24"/>
          <w:szCs w:val="21"/>
        </w:rPr>
        <w:t>个模块，分别为三维风场等高面精细化产品研发模块、对流性大风产品研发模块、降水相态产品研发模块、海雾短临预报产品研发模块、公路团雾</w:t>
      </w:r>
      <w:r>
        <w:rPr>
          <w:rFonts w:ascii="宋体" w:hAnsi="宋体" w:hint="eastAsia"/>
          <w:sz w:val="24"/>
          <w:szCs w:val="21"/>
        </w:rPr>
        <w:t>预报产品研发模块。</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1</w:t>
      </w:r>
      <w:r>
        <w:rPr>
          <w:rFonts w:ascii="宋体" w:hAnsi="宋体" w:hint="eastAsia"/>
          <w:sz w:val="24"/>
          <w:szCs w:val="21"/>
        </w:rPr>
        <w:t>）</w:t>
      </w:r>
      <w:r>
        <w:rPr>
          <w:rFonts w:ascii="宋体" w:hAnsi="宋体"/>
          <w:sz w:val="24"/>
          <w:szCs w:val="21"/>
        </w:rPr>
        <w:t>三维风场等高面精细化产品研发模块</w:t>
      </w:r>
    </w:p>
    <w:p w:rsidR="00AB593A">
      <w:pPr>
        <w:spacing w:before="120" w:line="570" w:lineRule="exact"/>
        <w:ind w:firstLine="480" w:firstLineChars="200"/>
        <w:rPr>
          <w:rFonts w:ascii="宋体" w:hAnsi="宋体"/>
          <w:szCs w:val="21"/>
        </w:rPr>
      </w:pPr>
      <w:r>
        <w:rPr>
          <w:rFonts w:ascii="宋体" w:hAnsi="宋体"/>
          <w:sz w:val="24"/>
          <w:szCs w:val="21"/>
        </w:rPr>
        <w:t>基于分钟级百米级的快速更新数值预报模式，融合测风雷达、无人机探测等多源数据，提高复杂地形下风场的精细化模拟技术，研发水平分辨率</w:t>
      </w:r>
      <w:r>
        <w:rPr>
          <w:rFonts w:ascii="宋体" w:hAnsi="宋体"/>
          <w:sz w:val="24"/>
          <w:szCs w:val="21"/>
        </w:rPr>
        <w:t>≤500m</w:t>
      </w:r>
      <w:r>
        <w:rPr>
          <w:rFonts w:ascii="宋体" w:hAnsi="宋体"/>
          <w:sz w:val="24"/>
          <w:szCs w:val="21"/>
        </w:rPr>
        <w:t>、垂向分层</w:t>
      </w:r>
      <w:r>
        <w:rPr>
          <w:rFonts w:ascii="宋体" w:hAnsi="宋体"/>
          <w:sz w:val="24"/>
          <w:szCs w:val="21"/>
        </w:rPr>
        <w:t>≤50</w:t>
      </w:r>
      <w:r>
        <w:rPr>
          <w:rFonts w:ascii="宋体" w:hAnsi="宋体"/>
          <w:sz w:val="24"/>
          <w:szCs w:val="21"/>
        </w:rPr>
        <w:t>米的三维风场产品，为低空经济空域规划、飞行器航线优化等短临应用场景提供实时风场数据支撑。</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2</w:t>
      </w:r>
      <w:r>
        <w:rPr>
          <w:rFonts w:ascii="宋体" w:hAnsi="宋体" w:hint="eastAsia"/>
          <w:sz w:val="24"/>
          <w:szCs w:val="21"/>
        </w:rPr>
        <w:t>）</w:t>
      </w:r>
      <w:r>
        <w:rPr>
          <w:rFonts w:ascii="宋体" w:hAnsi="宋体"/>
          <w:sz w:val="24"/>
          <w:szCs w:val="21"/>
        </w:rPr>
        <w:t>对流性大风产品研发模块</w:t>
      </w:r>
    </w:p>
    <w:p w:rsidR="00AB593A">
      <w:pPr>
        <w:spacing w:before="120" w:line="570" w:lineRule="exact"/>
        <w:ind w:firstLine="480" w:firstLineChars="200"/>
        <w:rPr>
          <w:rFonts w:ascii="宋体" w:hAnsi="宋体"/>
          <w:szCs w:val="21"/>
        </w:rPr>
      </w:pPr>
      <w:r>
        <w:rPr>
          <w:rFonts w:ascii="宋体" w:hAnsi="宋体"/>
          <w:sz w:val="24"/>
          <w:szCs w:val="21"/>
        </w:rPr>
        <w:t>基于高分辨率精细化的数值预报模式三维大气场和对流关键参数，基于动能传输理论，融合多源观测资料，研发对流性大风产品，为航空飞行等交通运输行业、电力能源行业、建筑施工行业等由于强风带来</w:t>
      </w:r>
      <w:r>
        <w:rPr>
          <w:rFonts w:ascii="宋体" w:hAnsi="宋体"/>
          <w:sz w:val="24"/>
          <w:szCs w:val="21"/>
        </w:rPr>
        <w:t>的预报预警服务场景提供数据支撑。</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3</w:t>
      </w:r>
      <w:r>
        <w:rPr>
          <w:rFonts w:ascii="宋体" w:hAnsi="宋体" w:hint="eastAsia"/>
          <w:sz w:val="24"/>
          <w:szCs w:val="21"/>
        </w:rPr>
        <w:t>）</w:t>
      </w:r>
      <w:r>
        <w:rPr>
          <w:rFonts w:ascii="宋体" w:hAnsi="宋体"/>
          <w:sz w:val="24"/>
          <w:szCs w:val="21"/>
        </w:rPr>
        <w:t>降水相态产品研发模块</w:t>
      </w:r>
    </w:p>
    <w:p w:rsidR="00AB593A">
      <w:pPr>
        <w:spacing w:before="120" w:line="570" w:lineRule="exact"/>
        <w:ind w:firstLine="480" w:firstLineChars="200"/>
        <w:rPr>
          <w:rFonts w:ascii="宋体" w:hAnsi="宋体"/>
          <w:szCs w:val="21"/>
        </w:rPr>
      </w:pPr>
      <w:r>
        <w:rPr>
          <w:rFonts w:ascii="宋体" w:hAnsi="宋体"/>
          <w:sz w:val="24"/>
          <w:szCs w:val="21"/>
        </w:rPr>
        <w:t>基于高分辨率精细化的数值预报模式，融合雷达、探空等观测数据，根据数值预报的三维温湿廓线等数据，构建雨、冻雨、冰粒、雪等多相态转换模型，为交通除冰、农业冻害防御等应用场景提供数据支撑。</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4</w:t>
      </w:r>
      <w:r>
        <w:rPr>
          <w:rFonts w:ascii="宋体" w:hAnsi="宋体" w:hint="eastAsia"/>
          <w:sz w:val="24"/>
          <w:szCs w:val="21"/>
        </w:rPr>
        <w:t>）</w:t>
      </w:r>
      <w:r>
        <w:rPr>
          <w:rFonts w:ascii="宋体" w:hAnsi="宋体"/>
          <w:sz w:val="24"/>
          <w:szCs w:val="21"/>
        </w:rPr>
        <w:t>海雾短临预报产品研发模块</w:t>
      </w:r>
    </w:p>
    <w:p w:rsidR="00AB593A">
      <w:pPr>
        <w:spacing w:before="120" w:line="570" w:lineRule="exact"/>
        <w:ind w:firstLine="480" w:firstLineChars="200"/>
        <w:rPr>
          <w:rFonts w:ascii="宋体" w:hAnsi="宋体"/>
          <w:szCs w:val="21"/>
        </w:rPr>
      </w:pPr>
      <w:r>
        <w:rPr>
          <w:rFonts w:ascii="宋体" w:hAnsi="宋体"/>
          <w:sz w:val="24"/>
          <w:szCs w:val="21"/>
        </w:rPr>
        <w:t>基于高分辨率精细化的数值预报模式，融合卫星云图、浮标站等多源观测数据，改进能见度算法，结合光学厚度、雾顶高度等诊断量，研发海雾短临预报产品，为船舶自动驾驶避障与港口调度决策等应用场景提供数据支撑。</w:t>
      </w:r>
    </w:p>
    <w:p w:rsidR="00AB593A">
      <w:pPr>
        <w:spacing w:before="120" w:line="570" w:lineRule="exact"/>
        <w:ind w:firstLine="480" w:firstLineChars="200"/>
        <w:rPr>
          <w:rFonts w:ascii="宋体" w:hAnsi="宋体"/>
          <w:szCs w:val="21"/>
        </w:rPr>
      </w:pPr>
      <w:r>
        <w:rPr>
          <w:rFonts w:ascii="宋体" w:hAnsi="宋体" w:hint="eastAsia"/>
          <w:sz w:val="24"/>
          <w:szCs w:val="21"/>
        </w:rPr>
        <w:t>（</w:t>
      </w:r>
      <w:r>
        <w:rPr>
          <w:rFonts w:ascii="宋体" w:hAnsi="宋体" w:hint="eastAsia"/>
          <w:sz w:val="24"/>
          <w:szCs w:val="21"/>
        </w:rPr>
        <w:t>5</w:t>
      </w:r>
      <w:r>
        <w:rPr>
          <w:rFonts w:ascii="宋体" w:hAnsi="宋体" w:hint="eastAsia"/>
          <w:sz w:val="24"/>
          <w:szCs w:val="21"/>
        </w:rPr>
        <w:t>）</w:t>
      </w:r>
      <w:r>
        <w:rPr>
          <w:rFonts w:ascii="宋体" w:hAnsi="宋体"/>
          <w:sz w:val="24"/>
          <w:szCs w:val="21"/>
        </w:rPr>
        <w:t>公路团雾预报产品研发模块</w:t>
      </w:r>
    </w:p>
    <w:p w:rsidR="00AB593A">
      <w:pPr>
        <w:spacing w:before="120" w:line="570" w:lineRule="exact"/>
        <w:ind w:firstLine="480" w:firstLineChars="200"/>
        <w:rPr>
          <w:rFonts w:ascii="宋体" w:hAnsi="宋体"/>
          <w:szCs w:val="21"/>
        </w:rPr>
      </w:pPr>
      <w:r>
        <w:rPr>
          <w:rFonts w:ascii="宋体" w:hAnsi="宋体"/>
          <w:sz w:val="24"/>
          <w:szCs w:val="21"/>
        </w:rPr>
        <w:t>基于高分辨率精细化的数值预报模式及多源观测资料，结合</w:t>
      </w:r>
      <w:r>
        <w:rPr>
          <w:rFonts w:ascii="宋体" w:hAnsi="宋体"/>
          <w:sz w:val="24"/>
          <w:szCs w:val="21"/>
        </w:rPr>
        <w:t>AI</w:t>
      </w:r>
      <w:r>
        <w:rPr>
          <w:rFonts w:ascii="宋体" w:hAnsi="宋体"/>
          <w:sz w:val="24"/>
          <w:szCs w:val="21"/>
        </w:rPr>
        <w:t>等技术手段，根据团雾生消机理，研发分钟级更新百米级分辨率的公路团雾产品。为公路交通安全预报预警提供数据支撑。</w:t>
      </w:r>
    </w:p>
    <w:p w:rsidR="00AB593A">
      <w:pPr>
        <w:pStyle w:val="Heading1"/>
        <w:keepNext/>
        <w:keepLines/>
        <w:numPr>
          <w:numId w:val="4"/>
        </w:numPr>
        <w:spacing w:before="340" w:after="120" w:line="360" w:lineRule="auto"/>
        <w:ind w:left="0" w:firstLine="0"/>
      </w:pPr>
      <w:bookmarkStart w:id="74" w:name="_Toc240895996"/>
      <w:r>
        <w:rPr>
          <w:rFonts w:hint="eastAsia"/>
        </w:rPr>
        <w:t>非功能要求</w:t>
      </w:r>
      <w:bookmarkEnd w:id="74"/>
    </w:p>
    <w:p w:rsidR="00AB593A">
      <w:pPr>
        <w:pStyle w:val="Heading2"/>
        <w:keepNext/>
        <w:keepLines/>
        <w:widowControl w:val="0"/>
        <w:numPr>
          <w:ilvl w:val="1"/>
          <w:numId w:val="4"/>
        </w:numPr>
        <w:spacing w:before="156" w:beforeLines="50" w:after="156" w:afterLines="50" w:line="360" w:lineRule="auto"/>
        <w:ind w:left="578" w:hanging="578"/>
        <w:jc w:val="both"/>
      </w:pPr>
      <w:bookmarkStart w:id="75" w:name="_Toc240895997"/>
      <w:r>
        <w:rPr>
          <w:rFonts w:hint="eastAsia"/>
        </w:rPr>
        <w:t>稳定可靠性要求</w:t>
      </w:r>
      <w:bookmarkEnd w:id="75"/>
    </w:p>
    <w:p w:rsidR="00AB593A">
      <w:pPr>
        <w:pStyle w:val="Heading3"/>
        <w:keepNext/>
        <w:keepLines/>
        <w:widowControl w:val="0"/>
        <w:numPr>
          <w:ilvl w:val="2"/>
          <w:numId w:val="4"/>
        </w:numPr>
        <w:spacing w:before="156" w:beforeLines="50" w:after="312" w:afterLines="100" w:line="360" w:lineRule="auto"/>
        <w:ind w:left="720" w:hanging="720"/>
        <w:jc w:val="both"/>
      </w:pPr>
      <w:bookmarkStart w:id="76" w:name="_Toc33818056"/>
      <w:bookmarkStart w:id="77" w:name="_Toc240895998"/>
      <w:r>
        <w:rPr>
          <w:rFonts w:hint="eastAsia"/>
        </w:rPr>
        <w:t>容错性</w:t>
      </w:r>
      <w:bookmarkEnd w:id="76"/>
      <w:bookmarkEnd w:id="77"/>
    </w:p>
    <w:p w:rsidR="00AB593A">
      <w:pPr>
        <w:spacing w:before="120"/>
        <w:ind w:firstLine="480"/>
        <w:rPr>
          <w:rFonts w:ascii="宋体" w:hAnsi="宋体" w:cs="宋体"/>
        </w:rPr>
      </w:pPr>
      <w:r>
        <w:rPr>
          <w:rFonts w:ascii="宋体" w:hAnsi="宋体" w:cs="宋体" w:hint="eastAsia"/>
          <w:sz w:val="24"/>
          <w:szCs w:val="24"/>
        </w:rPr>
        <w:t>某些资料缺失或不确定的情况下系统仍能运行，要求能够给出预警或错误提示。同时要求系统运行日志丰富，错误警告信息提示明确，便于试验人员根据提示进行修改。</w:t>
      </w:r>
    </w:p>
    <w:p w:rsidR="00AB593A">
      <w:pPr>
        <w:pStyle w:val="Heading3"/>
        <w:keepNext/>
        <w:keepLines/>
        <w:widowControl w:val="0"/>
        <w:numPr>
          <w:ilvl w:val="2"/>
          <w:numId w:val="4"/>
        </w:numPr>
        <w:spacing w:before="156" w:beforeLines="50" w:after="312" w:afterLines="100" w:line="360" w:lineRule="auto"/>
        <w:ind w:left="720" w:hanging="720"/>
        <w:jc w:val="both"/>
      </w:pPr>
      <w:bookmarkStart w:id="78" w:name="_Toc33818058"/>
      <w:bookmarkStart w:id="79" w:name="_Toc240895999"/>
      <w:bookmarkStart w:id="80" w:name="_Toc74755570"/>
      <w:bookmarkEnd w:id="78"/>
      <w:r>
        <w:rPr>
          <w:rFonts w:hint="eastAsia"/>
        </w:rPr>
        <w:t>稳定性</w:t>
      </w:r>
      <w:bookmarkEnd w:id="79"/>
      <w:bookmarkEnd w:id="80"/>
    </w:p>
    <w:p w:rsidR="00AB593A">
      <w:pPr>
        <w:spacing w:before="120"/>
        <w:ind w:firstLine="480"/>
        <w:rPr>
          <w:rFonts w:ascii="宋体" w:hAnsi="宋体" w:cs="宋体"/>
        </w:rPr>
      </w:pPr>
      <w:r>
        <w:rPr>
          <w:rFonts w:ascii="宋体" w:hAnsi="宋体" w:cs="宋体" w:hint="eastAsia"/>
          <w:sz w:val="24"/>
          <w:szCs w:val="24"/>
        </w:rPr>
        <w:t>本系统在支撑环境软硬件的设计实现上要考虑系统长期运行的稳定性和可靠性。</w:t>
      </w:r>
    </w:p>
    <w:p w:rsidR="00AB593A">
      <w:pPr>
        <w:spacing w:before="120"/>
        <w:ind w:firstLine="480"/>
        <w:rPr>
          <w:rFonts w:ascii="宋体" w:hAnsi="宋体" w:cs="宋体"/>
        </w:rPr>
      </w:pPr>
      <w:r>
        <w:rPr>
          <w:rFonts w:ascii="宋体" w:hAnsi="宋体" w:cs="宋体" w:hint="eastAsia"/>
          <w:sz w:val="24"/>
          <w:szCs w:val="24"/>
        </w:rPr>
        <w:t>本系统需要提供</w:t>
      </w:r>
      <w:r>
        <w:rPr>
          <w:rFonts w:ascii="宋体" w:hAnsi="宋体" w:cs="宋体" w:hint="eastAsia"/>
          <w:sz w:val="24"/>
          <w:szCs w:val="24"/>
        </w:rPr>
        <w:t xml:space="preserve"> 7*24 </w:t>
      </w:r>
      <w:r>
        <w:rPr>
          <w:rFonts w:ascii="宋体" w:hAnsi="宋体" w:cs="宋体" w:hint="eastAsia"/>
          <w:sz w:val="24"/>
          <w:szCs w:val="24"/>
        </w:rPr>
        <w:t>小时不间断服务，故障恢复时间小于</w:t>
      </w:r>
      <w:r>
        <w:rPr>
          <w:rFonts w:ascii="宋体" w:hAnsi="宋体" w:cs="宋体" w:hint="eastAsia"/>
          <w:sz w:val="24"/>
          <w:szCs w:val="24"/>
        </w:rPr>
        <w:t>4</w:t>
      </w:r>
      <w:r>
        <w:rPr>
          <w:rFonts w:ascii="宋体" w:hAnsi="宋体" w:cs="宋体" w:hint="eastAsia"/>
          <w:sz w:val="24"/>
          <w:szCs w:val="24"/>
        </w:rPr>
        <w:t>小时，因此，无论是计</w:t>
      </w:r>
      <w:r>
        <w:rPr>
          <w:rFonts w:ascii="宋体" w:hAnsi="宋体" w:cs="宋体" w:hint="eastAsia"/>
          <w:sz w:val="24"/>
          <w:szCs w:val="24"/>
        </w:rPr>
        <w:t>算机软件和硬件系统都必须具有较高的可靠性，及发生故障后快速恢复的能力。</w:t>
      </w:r>
    </w:p>
    <w:p w:rsidR="00AB593A">
      <w:pPr>
        <w:pStyle w:val="Heading3"/>
        <w:keepNext/>
        <w:keepLines/>
        <w:widowControl w:val="0"/>
        <w:numPr>
          <w:ilvl w:val="2"/>
          <w:numId w:val="4"/>
        </w:numPr>
        <w:spacing w:before="156" w:beforeLines="50" w:after="312" w:afterLines="100" w:line="360" w:lineRule="auto"/>
        <w:ind w:left="720" w:hanging="720"/>
        <w:jc w:val="both"/>
      </w:pPr>
      <w:bookmarkStart w:id="81" w:name="_Toc74755571"/>
      <w:bookmarkStart w:id="82" w:name="_Toc33818059"/>
      <w:bookmarkStart w:id="83" w:name="_Toc240896000"/>
      <w:bookmarkEnd w:id="81"/>
      <w:r>
        <w:rPr>
          <w:rFonts w:hint="eastAsia"/>
        </w:rPr>
        <w:t>规范性</w:t>
      </w:r>
      <w:bookmarkEnd w:id="82"/>
      <w:bookmarkEnd w:id="83"/>
    </w:p>
    <w:p w:rsidR="00AB593A">
      <w:pPr>
        <w:spacing w:before="120"/>
        <w:ind w:firstLine="480"/>
        <w:rPr>
          <w:rFonts w:ascii="宋体" w:hAnsi="宋体" w:cs="宋体"/>
        </w:rPr>
      </w:pPr>
      <w:r>
        <w:rPr>
          <w:rFonts w:ascii="宋体" w:hAnsi="宋体" w:cs="宋体" w:hint="eastAsia"/>
          <w:sz w:val="24"/>
          <w:szCs w:val="24"/>
        </w:rPr>
        <w:t>本系统的设计须采用相关技术标准规范，严格遵循软件工程规范化的设计原则，不同的设计阶段进行严格的设计评审及完成相应的设计文档等，对整个设计过程进行规范化的管理和控制。</w:t>
      </w:r>
    </w:p>
    <w:p w:rsidR="00AB593A">
      <w:pPr>
        <w:pStyle w:val="Heading3"/>
        <w:keepNext/>
        <w:keepLines/>
        <w:widowControl w:val="0"/>
        <w:numPr>
          <w:ilvl w:val="2"/>
          <w:numId w:val="4"/>
        </w:numPr>
        <w:spacing w:before="156" w:beforeLines="50" w:after="312" w:afterLines="100" w:line="360" w:lineRule="auto"/>
        <w:ind w:left="720" w:hanging="720"/>
        <w:jc w:val="both"/>
      </w:pPr>
      <w:bookmarkStart w:id="84" w:name="_Toc74755572"/>
      <w:bookmarkStart w:id="85" w:name="_Toc33818060"/>
      <w:bookmarkStart w:id="86" w:name="_Toc240896001"/>
      <w:bookmarkEnd w:id="84"/>
      <w:r>
        <w:rPr>
          <w:rFonts w:hint="eastAsia"/>
        </w:rPr>
        <w:t>可扩展性</w:t>
      </w:r>
      <w:bookmarkEnd w:id="85"/>
      <w:bookmarkEnd w:id="86"/>
    </w:p>
    <w:p w:rsidR="00AB593A">
      <w:pPr>
        <w:spacing w:before="120"/>
        <w:ind w:firstLine="480"/>
        <w:rPr>
          <w:rFonts w:ascii="宋体" w:hAnsi="宋体" w:cs="宋体"/>
        </w:rPr>
      </w:pPr>
      <w:r>
        <w:rPr>
          <w:rFonts w:ascii="宋体" w:hAnsi="宋体" w:cs="宋体" w:hint="eastAsia"/>
          <w:sz w:val="24"/>
          <w:szCs w:val="24"/>
        </w:rPr>
        <w:t>系统数据存储量根据实际需要随时扩展。</w:t>
      </w:r>
    </w:p>
    <w:p w:rsidR="00AB593A">
      <w:pPr>
        <w:pStyle w:val="Heading3"/>
        <w:keepNext/>
        <w:keepLines/>
        <w:widowControl w:val="0"/>
        <w:numPr>
          <w:ilvl w:val="2"/>
          <w:numId w:val="4"/>
        </w:numPr>
        <w:spacing w:before="156" w:beforeLines="50" w:after="312" w:afterLines="100" w:line="360" w:lineRule="auto"/>
        <w:ind w:left="720" w:hanging="720"/>
        <w:jc w:val="both"/>
      </w:pPr>
      <w:bookmarkStart w:id="87" w:name="_Toc240896002"/>
      <w:r>
        <w:rPr>
          <w:rFonts w:hint="eastAsia"/>
        </w:rPr>
        <w:t>易操作性</w:t>
      </w:r>
      <w:bookmarkEnd w:id="87"/>
    </w:p>
    <w:p w:rsidR="00AB593A">
      <w:pPr>
        <w:spacing w:before="120"/>
        <w:ind w:firstLine="480"/>
        <w:rPr>
          <w:rFonts w:ascii="宋体" w:hAnsi="宋体" w:cs="宋体"/>
        </w:rPr>
      </w:pPr>
      <w:r>
        <w:rPr>
          <w:rFonts w:ascii="宋体" w:hAnsi="宋体" w:cs="宋体" w:hint="eastAsia"/>
          <w:sz w:val="24"/>
          <w:szCs w:val="24"/>
        </w:rPr>
        <w:t>系统具备完备的用户操作手册，用户手册准确无误、易读易懂，能够帮助一般用户很快地了解和使用系统。便于操作人员的人工干预，应提供直观、方便的操作界面，即可引导用户输入正确、完整的命令或完成正确的菜单选择。</w:t>
      </w:r>
    </w:p>
    <w:p w:rsidR="00AB593A">
      <w:pPr>
        <w:pStyle w:val="Heading3"/>
        <w:keepNext/>
        <w:keepLines/>
        <w:widowControl w:val="0"/>
        <w:numPr>
          <w:ilvl w:val="2"/>
          <w:numId w:val="4"/>
        </w:numPr>
        <w:spacing w:before="156" w:beforeLines="50" w:after="312" w:afterLines="100" w:line="360" w:lineRule="auto"/>
        <w:ind w:left="720" w:hanging="720"/>
        <w:jc w:val="both"/>
      </w:pPr>
      <w:bookmarkStart w:id="88" w:name="_Toc74755575"/>
      <w:bookmarkStart w:id="89" w:name="_Toc395794202"/>
      <w:bookmarkStart w:id="90" w:name="_Toc391375336"/>
      <w:bookmarkStart w:id="91" w:name="_Toc33818063"/>
      <w:bookmarkStart w:id="92" w:name="_Toc240896003"/>
      <w:bookmarkEnd w:id="88"/>
      <w:bookmarkEnd w:id="89"/>
      <w:bookmarkEnd w:id="90"/>
      <w:r>
        <w:rPr>
          <w:rFonts w:hint="eastAsia"/>
        </w:rPr>
        <w:t>数据备</w:t>
      </w:r>
      <w:r>
        <w:rPr>
          <w:rFonts w:hint="eastAsia"/>
        </w:rPr>
        <w:t>份</w:t>
      </w:r>
      <w:bookmarkEnd w:id="91"/>
      <w:bookmarkEnd w:id="92"/>
    </w:p>
    <w:p w:rsidR="00AB593A">
      <w:pPr>
        <w:spacing w:before="120"/>
        <w:ind w:firstLine="480"/>
        <w:rPr>
          <w:rFonts w:ascii="宋体" w:hAnsi="宋体" w:cs="宋体"/>
        </w:rPr>
      </w:pPr>
      <w:r>
        <w:rPr>
          <w:rFonts w:ascii="宋体" w:hAnsi="宋体" w:cs="宋体" w:hint="eastAsia"/>
          <w:sz w:val="24"/>
          <w:szCs w:val="24"/>
        </w:rPr>
        <w:t>系统应制定数据备份策略，确保数据稳定可靠。</w:t>
      </w:r>
    </w:p>
    <w:p w:rsidR="00AB593A">
      <w:pPr>
        <w:pStyle w:val="Heading2"/>
        <w:keepNext/>
        <w:keepLines/>
        <w:widowControl w:val="0"/>
        <w:numPr>
          <w:ilvl w:val="1"/>
          <w:numId w:val="4"/>
        </w:numPr>
        <w:spacing w:before="156" w:beforeLines="50" w:after="156" w:afterLines="50" w:line="360" w:lineRule="auto"/>
        <w:ind w:left="578" w:hanging="578"/>
        <w:jc w:val="both"/>
      </w:pPr>
      <w:bookmarkStart w:id="93" w:name="_Toc74755576"/>
      <w:bookmarkStart w:id="94" w:name="_Toc240896004"/>
      <w:bookmarkEnd w:id="93"/>
      <w:r>
        <w:rPr>
          <w:rFonts w:hint="eastAsia"/>
        </w:rPr>
        <w:t>安全保密要求</w:t>
      </w:r>
      <w:bookmarkEnd w:id="94"/>
    </w:p>
    <w:p w:rsidR="00AB593A">
      <w:pPr>
        <w:pStyle w:val="Heading3"/>
        <w:keepNext/>
        <w:keepLines/>
        <w:widowControl w:val="0"/>
        <w:numPr>
          <w:ilvl w:val="2"/>
          <w:numId w:val="4"/>
        </w:numPr>
        <w:spacing w:before="156" w:beforeLines="50" w:after="312" w:afterLines="100" w:line="360" w:lineRule="auto"/>
        <w:ind w:left="720" w:hanging="720"/>
        <w:jc w:val="both"/>
      </w:pPr>
      <w:bookmarkStart w:id="95" w:name="_Toc74755577"/>
      <w:bookmarkStart w:id="96" w:name="_Toc240896005"/>
      <w:bookmarkEnd w:id="95"/>
      <w:r>
        <w:rPr>
          <w:rFonts w:hint="eastAsia"/>
        </w:rPr>
        <w:t>保密要求</w:t>
      </w:r>
      <w:bookmarkEnd w:id="96"/>
    </w:p>
    <w:p w:rsidR="00AB593A">
      <w:pPr>
        <w:spacing w:before="120"/>
        <w:ind w:firstLine="480"/>
        <w:rPr>
          <w:rFonts w:ascii="宋体" w:hAnsi="宋体" w:cs="宋体"/>
        </w:rPr>
      </w:pPr>
      <w:r>
        <w:rPr>
          <w:rFonts w:ascii="宋体" w:hAnsi="宋体" w:cs="宋体" w:hint="eastAsia"/>
          <w:sz w:val="24"/>
          <w:szCs w:val="24"/>
        </w:rPr>
        <w:t>乙方必须对项目技术文件以及由甲方提供的所有内部材料、技术文档和信息予以保密。乙方必须遵守与甲方签订的保密协议，未经甲方书面许可，乙方不得以任何形式向第三方透露本项目标书以及本项目的任何内容。</w:t>
      </w:r>
    </w:p>
    <w:p w:rsidR="00AB593A">
      <w:pPr>
        <w:pStyle w:val="Heading3"/>
        <w:keepNext/>
        <w:keepLines/>
        <w:widowControl w:val="0"/>
        <w:numPr>
          <w:ilvl w:val="2"/>
          <w:numId w:val="4"/>
        </w:numPr>
        <w:spacing w:before="156" w:beforeLines="50" w:after="312" w:afterLines="100" w:line="360" w:lineRule="auto"/>
        <w:ind w:left="720" w:hanging="720"/>
        <w:jc w:val="both"/>
      </w:pPr>
      <w:bookmarkStart w:id="97" w:name="_Toc74755578"/>
      <w:bookmarkStart w:id="98" w:name="_Toc240896006"/>
      <w:bookmarkEnd w:id="97"/>
      <w:r>
        <w:rPr>
          <w:rFonts w:hint="eastAsia"/>
        </w:rPr>
        <w:t>安全要求</w:t>
      </w:r>
      <w:bookmarkEnd w:id="98"/>
    </w:p>
    <w:p w:rsidR="00AB593A">
      <w:pPr>
        <w:spacing w:before="120"/>
        <w:ind w:firstLine="480"/>
        <w:rPr>
          <w:rFonts w:ascii="宋体" w:hAnsi="宋体" w:cs="宋体"/>
        </w:rPr>
      </w:pPr>
      <w:r>
        <w:rPr>
          <w:rFonts w:ascii="宋体" w:hAnsi="宋体" w:cs="宋体" w:hint="eastAsia"/>
          <w:sz w:val="24"/>
          <w:szCs w:val="24"/>
        </w:rPr>
        <w:t>乙方必须在项目设计、开发、实施和应用全过程中，采用相关安全控制技术，确保数据安全。</w:t>
      </w:r>
    </w:p>
    <w:p w:rsidR="00AB593A">
      <w:pPr>
        <w:pStyle w:val="Heading2"/>
        <w:keepNext/>
        <w:keepLines/>
        <w:widowControl w:val="0"/>
        <w:numPr>
          <w:ilvl w:val="1"/>
          <w:numId w:val="4"/>
        </w:numPr>
        <w:spacing w:before="156" w:beforeLines="50" w:after="156" w:afterLines="50" w:line="360" w:lineRule="auto"/>
        <w:ind w:left="578" w:hanging="578"/>
        <w:jc w:val="both"/>
      </w:pPr>
      <w:bookmarkStart w:id="99" w:name="_Toc240896007"/>
      <w:r>
        <w:rPr>
          <w:rFonts w:hint="eastAsia"/>
        </w:rPr>
        <w:t>商务要求</w:t>
      </w:r>
      <w:bookmarkEnd w:id="99"/>
    </w:p>
    <w:p w:rsidR="00AB593A">
      <w:pPr>
        <w:pStyle w:val="Heading3"/>
        <w:keepNext/>
        <w:keepLines/>
        <w:widowControl w:val="0"/>
        <w:numPr>
          <w:ilvl w:val="2"/>
          <w:numId w:val="4"/>
        </w:numPr>
        <w:spacing w:before="156" w:beforeLines="50" w:after="312" w:afterLines="100" w:line="360" w:lineRule="auto"/>
        <w:ind w:left="720" w:hanging="720"/>
        <w:jc w:val="both"/>
      </w:pPr>
      <w:bookmarkStart w:id="100" w:name="_Hlk25335130"/>
      <w:bookmarkStart w:id="101" w:name="_Toc74755580"/>
      <w:bookmarkStart w:id="102" w:name="_Toc240896008"/>
      <w:bookmarkStart w:id="103" w:name="_Hlk25335116"/>
      <w:bookmarkEnd w:id="100"/>
      <w:bookmarkEnd w:id="101"/>
      <w:r>
        <w:rPr>
          <w:rFonts w:hint="eastAsia"/>
        </w:rPr>
        <w:t>进度要求</w:t>
      </w:r>
      <w:bookmarkEnd w:id="102"/>
      <w:bookmarkEnd w:id="103"/>
    </w:p>
    <w:p w:rsidR="00AB593A">
      <w:pPr>
        <w:spacing w:before="120"/>
        <w:ind w:firstLine="480"/>
        <w:rPr>
          <w:rFonts w:ascii="宋体" w:hAnsi="宋体" w:cs="宋体"/>
        </w:rPr>
      </w:pPr>
      <w:r>
        <w:rPr>
          <w:rFonts w:ascii="宋体" w:hAnsi="宋体" w:cs="宋体" w:hint="eastAsia"/>
          <w:sz w:val="24"/>
          <w:szCs w:val="24"/>
        </w:rPr>
        <w:t>系统的研制要求完全按软件工程的方法和过程实施，其研制周期计划为</w:t>
      </w:r>
      <w:r>
        <w:rPr>
          <w:rFonts w:ascii="宋体" w:hAnsi="宋体" w:cs="宋体" w:hint="eastAsia"/>
          <w:sz w:val="24"/>
          <w:szCs w:val="24"/>
        </w:rPr>
        <w:t>12</w:t>
      </w:r>
      <w:r>
        <w:rPr>
          <w:rFonts w:ascii="宋体" w:hAnsi="宋体" w:cs="宋体" w:hint="eastAsia"/>
          <w:sz w:val="24"/>
          <w:szCs w:val="24"/>
        </w:rPr>
        <w:t>个月，下表给出了任务各阶段的进度要求：</w:t>
      </w:r>
    </w:p>
    <w:p w:rsidR="00AB593A">
      <w:pPr>
        <w:spacing w:before="120"/>
        <w:ind w:firstLine="480"/>
        <w:jc w:val="center"/>
        <w:rPr>
          <w:rFonts w:ascii="宋体" w:hAnsi="宋体" w:cs="宋体"/>
          <w:szCs w:val="21"/>
        </w:rPr>
      </w:pPr>
      <w:bookmarkStart w:id="104" w:name="_Hlk25335164"/>
      <w:bookmarkEnd w:id="104"/>
      <w:r>
        <w:rPr>
          <w:rFonts w:ascii="宋体" w:hAnsi="宋体" w:cs="宋体" w:hint="eastAsia"/>
          <w:szCs w:val="21"/>
        </w:rPr>
        <w:t>应用软件开发进度表</w:t>
      </w:r>
    </w:p>
    <w:tbl>
      <w:tblPr>
        <w:tblStyle w:val="TableNormal"/>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31"/>
        <w:gridCol w:w="1271"/>
        <w:gridCol w:w="3970"/>
      </w:tblGrid>
      <w:tr>
        <w:tblPrEx>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AB593A">
            <w:pPr>
              <w:autoSpaceDE w:val="0"/>
              <w:autoSpaceDN w:val="0"/>
              <w:adjustRightInd w:val="0"/>
              <w:snapToGrid w:val="0"/>
              <w:spacing w:before="120"/>
              <w:jc w:val="center"/>
              <w:rPr>
                <w:rFonts w:ascii="宋体" w:hAnsi="宋体" w:cs="Calibri"/>
                <w:b/>
                <w:sz w:val="20"/>
                <w:lang w:eastAsia="en-US"/>
              </w:rPr>
            </w:pPr>
            <w:r>
              <w:rPr>
                <w:rFonts w:ascii="宋体" w:hAnsi="宋体" w:cs="Calibri"/>
                <w:b/>
                <w:sz w:val="20"/>
                <w:lang w:eastAsia="en-US" w:bidi="ar"/>
              </w:rPr>
              <w:t>软件研发过程</w:t>
            </w:r>
          </w:p>
        </w:tc>
        <w:tc>
          <w:tcPr>
            <w:tcW w:w="155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jc w:val="center"/>
              <w:rPr>
                <w:rFonts w:ascii="宋体" w:hAnsi="宋体" w:cs="Calibri"/>
                <w:b/>
                <w:sz w:val="20"/>
                <w:lang w:eastAsia="en-US"/>
              </w:rPr>
            </w:pPr>
            <w:r>
              <w:rPr>
                <w:rFonts w:ascii="宋体" w:hAnsi="宋体" w:cs="Calibri"/>
                <w:b/>
                <w:sz w:val="20"/>
                <w:lang w:eastAsia="en-US" w:bidi="ar"/>
              </w:rPr>
              <w:t>进度要求（月）</w:t>
            </w:r>
          </w:p>
        </w:tc>
        <w:tc>
          <w:tcPr>
            <w:tcW w:w="500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jc w:val="center"/>
              <w:rPr>
                <w:rFonts w:ascii="宋体" w:hAnsi="宋体" w:cs="Calibri"/>
                <w:b/>
                <w:sz w:val="20"/>
                <w:lang w:eastAsia="en-US"/>
              </w:rPr>
            </w:pPr>
            <w:r>
              <w:rPr>
                <w:rFonts w:ascii="宋体" w:hAnsi="宋体" w:cs="Calibri"/>
                <w:b/>
                <w:sz w:val="20"/>
                <w:lang w:eastAsia="en-US" w:bidi="ar"/>
              </w:rPr>
              <w:t>基本要求</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lang w:eastAsia="en-US"/>
              </w:rPr>
            </w:pPr>
            <w:r>
              <w:rPr>
                <w:rFonts w:ascii="宋体" w:hAnsi="宋体"/>
                <w:sz w:val="20"/>
                <w:lang w:eastAsia="en-US" w:bidi="ar"/>
              </w:rPr>
              <w:t>需求与设计</w:t>
            </w:r>
          </w:p>
        </w:tc>
        <w:tc>
          <w:tcPr>
            <w:tcW w:w="155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jc w:val="center"/>
              <w:rPr>
                <w:rFonts w:ascii="宋体" w:hAnsi="宋体"/>
                <w:sz w:val="20"/>
                <w:lang w:eastAsia="en-US"/>
              </w:rPr>
            </w:pPr>
            <w:r>
              <w:rPr>
                <w:rFonts w:ascii="宋体" w:hAnsi="宋体"/>
                <w:sz w:val="20"/>
                <w:lang w:eastAsia="en-US" w:bidi="ar"/>
              </w:rPr>
              <w:t>2</w:t>
            </w:r>
          </w:p>
        </w:tc>
        <w:tc>
          <w:tcPr>
            <w:tcW w:w="500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rPr>
            </w:pPr>
            <w:r>
              <w:rPr>
                <w:rFonts w:ascii="宋体" w:hAnsi="宋体"/>
                <w:sz w:val="20"/>
                <w:lang w:bidi="ar"/>
              </w:rPr>
              <w:t>完成本项目</w:t>
            </w:r>
            <w:r>
              <w:rPr>
                <w:rFonts w:ascii="宋体" w:hAnsi="宋体" w:hint="eastAsia"/>
                <w:sz w:val="20"/>
                <w:lang w:bidi="ar"/>
              </w:rPr>
              <w:t>的</w:t>
            </w:r>
            <w:r>
              <w:rPr>
                <w:rFonts w:ascii="宋体" w:hAnsi="宋体"/>
                <w:sz w:val="20"/>
                <w:lang w:bidi="ar"/>
              </w:rPr>
              <w:t>需求和设计工作，并提交相应文档</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lang w:eastAsia="en-US"/>
              </w:rPr>
            </w:pPr>
            <w:r>
              <w:rPr>
                <w:rFonts w:ascii="宋体" w:hAnsi="宋体"/>
                <w:sz w:val="20"/>
                <w:lang w:eastAsia="en-US" w:bidi="ar"/>
              </w:rPr>
              <w:t>系统开发及测试</w:t>
            </w:r>
          </w:p>
        </w:tc>
        <w:tc>
          <w:tcPr>
            <w:tcW w:w="155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jc w:val="center"/>
              <w:rPr>
                <w:rFonts w:ascii="宋体" w:hAnsi="宋体"/>
                <w:sz w:val="20"/>
                <w:lang w:eastAsia="en-US"/>
              </w:rPr>
            </w:pPr>
            <w:r>
              <w:rPr>
                <w:rFonts w:ascii="宋体" w:hAnsi="宋体"/>
                <w:sz w:val="20"/>
                <w:lang w:eastAsia="en-US" w:bidi="ar"/>
              </w:rPr>
              <w:t>6</w:t>
            </w:r>
          </w:p>
        </w:tc>
        <w:tc>
          <w:tcPr>
            <w:tcW w:w="500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rPr>
            </w:pPr>
            <w:r>
              <w:rPr>
                <w:rFonts w:ascii="宋体" w:hAnsi="宋体"/>
                <w:sz w:val="20"/>
                <w:lang w:bidi="ar"/>
              </w:rPr>
              <w:t>完成本项目系统开发及测试工作，具备上线</w:t>
            </w:r>
            <w:r>
              <w:rPr>
                <w:rFonts w:ascii="宋体" w:hAnsi="宋体"/>
                <w:sz w:val="20"/>
                <w:lang w:bidi="ar"/>
              </w:rPr>
              <w:t>运行条件</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lang w:eastAsia="en-US"/>
              </w:rPr>
            </w:pPr>
            <w:r>
              <w:rPr>
                <w:rFonts w:ascii="宋体" w:hAnsi="宋体"/>
                <w:sz w:val="20"/>
                <w:lang w:eastAsia="en-US" w:bidi="ar"/>
              </w:rPr>
              <w:t>系统部署试运行</w:t>
            </w:r>
          </w:p>
        </w:tc>
        <w:tc>
          <w:tcPr>
            <w:tcW w:w="155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jc w:val="center"/>
              <w:rPr>
                <w:rFonts w:ascii="宋体" w:hAnsi="宋体"/>
                <w:sz w:val="20"/>
                <w:lang w:eastAsia="en-US"/>
              </w:rPr>
            </w:pPr>
            <w:r>
              <w:rPr>
                <w:rFonts w:ascii="宋体" w:hAnsi="宋体"/>
                <w:sz w:val="20"/>
                <w:lang w:eastAsia="en-US" w:bidi="ar"/>
              </w:rPr>
              <w:t>3</w:t>
            </w:r>
          </w:p>
        </w:tc>
        <w:tc>
          <w:tcPr>
            <w:tcW w:w="500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rPr>
            </w:pPr>
            <w:r>
              <w:rPr>
                <w:rFonts w:ascii="宋体" w:hAnsi="宋体"/>
                <w:sz w:val="20"/>
                <w:lang w:bidi="ar"/>
              </w:rPr>
              <w:t>完成本项目部署、调试及试运行工作</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lang w:eastAsia="en-US"/>
              </w:rPr>
            </w:pPr>
            <w:r>
              <w:rPr>
                <w:rFonts w:ascii="宋体" w:hAnsi="宋体"/>
                <w:sz w:val="20"/>
                <w:lang w:eastAsia="en-US" w:bidi="ar"/>
              </w:rPr>
              <w:t>系统终验</w:t>
            </w:r>
          </w:p>
        </w:tc>
        <w:tc>
          <w:tcPr>
            <w:tcW w:w="155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jc w:val="center"/>
              <w:rPr>
                <w:rFonts w:ascii="宋体" w:hAnsi="宋体"/>
                <w:sz w:val="20"/>
                <w:lang w:eastAsia="en-US"/>
              </w:rPr>
            </w:pPr>
            <w:r>
              <w:rPr>
                <w:rFonts w:ascii="宋体" w:hAnsi="宋体"/>
                <w:sz w:val="20"/>
                <w:lang w:eastAsia="en-US" w:bidi="ar"/>
              </w:rPr>
              <w:t>1</w:t>
            </w:r>
          </w:p>
        </w:tc>
        <w:tc>
          <w:tcPr>
            <w:tcW w:w="5009" w:type="dxa"/>
            <w:tcBorders>
              <w:top w:val="single" w:sz="4" w:space="0" w:color="auto"/>
              <w:left w:val="nil"/>
              <w:bottom w:val="single" w:sz="4" w:space="0" w:color="auto"/>
              <w:right w:val="single" w:sz="4" w:space="0" w:color="auto"/>
            </w:tcBorders>
            <w:vAlign w:val="center"/>
          </w:tcPr>
          <w:p w:rsidR="00AB593A">
            <w:pPr>
              <w:autoSpaceDE w:val="0"/>
              <w:autoSpaceDN w:val="0"/>
              <w:adjustRightInd w:val="0"/>
              <w:snapToGrid w:val="0"/>
              <w:spacing w:before="120"/>
              <w:rPr>
                <w:rFonts w:ascii="宋体" w:hAnsi="宋体"/>
                <w:sz w:val="20"/>
              </w:rPr>
            </w:pPr>
            <w:r>
              <w:rPr>
                <w:rFonts w:ascii="宋体" w:hAnsi="宋体"/>
                <w:sz w:val="20"/>
                <w:lang w:bidi="ar"/>
              </w:rPr>
              <w:t>完成本项目最终验收并移交</w:t>
            </w:r>
            <w:r>
              <w:rPr>
                <w:rFonts w:ascii="宋体" w:hAnsi="宋体" w:hint="eastAsia"/>
                <w:sz w:val="20"/>
                <w:lang w:bidi="ar"/>
              </w:rPr>
              <w:t>项目成果</w:t>
            </w:r>
          </w:p>
        </w:tc>
      </w:tr>
    </w:tbl>
    <w:p w:rsidR="00AB593A">
      <w:pPr>
        <w:pStyle w:val="Heading3"/>
        <w:keepNext/>
        <w:keepLines/>
        <w:widowControl w:val="0"/>
        <w:numPr>
          <w:ilvl w:val="2"/>
          <w:numId w:val="4"/>
        </w:numPr>
        <w:spacing w:before="156" w:beforeLines="50" w:after="312" w:afterLines="100" w:line="360" w:lineRule="auto"/>
        <w:ind w:left="720" w:hanging="720"/>
        <w:jc w:val="both"/>
      </w:pPr>
      <w:bookmarkStart w:id="105" w:name="_Hlk25335175"/>
      <w:bookmarkStart w:id="106" w:name="_Toc74755581"/>
      <w:bookmarkStart w:id="107" w:name="_Toc240896009"/>
      <w:bookmarkEnd w:id="105"/>
      <w:bookmarkEnd w:id="106"/>
      <w:r>
        <w:rPr>
          <w:rFonts w:hint="eastAsia"/>
        </w:rPr>
        <w:t>软件交付物要求</w:t>
      </w:r>
      <w:bookmarkEnd w:id="107"/>
    </w:p>
    <w:p w:rsidR="00AB593A">
      <w:pPr>
        <w:adjustRightInd w:val="0"/>
        <w:snapToGrid w:val="0"/>
        <w:spacing w:before="120"/>
        <w:rPr>
          <w:rFonts w:ascii="宋体" w:hAnsi="宋体" w:cs="宋体"/>
        </w:rPr>
      </w:pPr>
      <w:r>
        <w:rPr>
          <w:rFonts w:ascii="宋体" w:hAnsi="宋体" w:cs="宋体" w:hint="eastAsia"/>
          <w:sz w:val="24"/>
          <w:lang w:bidi="ar"/>
        </w:rPr>
        <w:t>（</w:t>
      </w:r>
      <w:r>
        <w:rPr>
          <w:rFonts w:ascii="宋体" w:hAnsi="宋体" w:cs="宋体" w:hint="eastAsia"/>
          <w:sz w:val="24"/>
          <w:lang w:bidi="ar"/>
        </w:rPr>
        <w:t>1</w:t>
      </w:r>
      <w:r>
        <w:rPr>
          <w:rFonts w:ascii="宋体" w:hAnsi="宋体" w:cs="宋体" w:hint="eastAsia"/>
          <w:sz w:val="24"/>
          <w:lang w:bidi="ar"/>
        </w:rPr>
        <w:t>）产品交付物</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2569"/>
        <w:gridCol w:w="44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rsidR="00AB593A">
            <w:pPr>
              <w:autoSpaceDE w:val="0"/>
              <w:autoSpaceDN w:val="0"/>
              <w:adjustRightInd w:val="0"/>
              <w:snapToGrid w:val="0"/>
              <w:spacing w:before="120"/>
              <w:jc w:val="center"/>
              <w:rPr>
                <w:rFonts w:ascii="宋体" w:hAnsi="宋体" w:cs="Calibri"/>
                <w:b/>
                <w:sz w:val="20"/>
                <w:lang w:eastAsia="en-US"/>
              </w:rPr>
            </w:pPr>
            <w:r>
              <w:rPr>
                <w:rFonts w:ascii="宋体" w:hAnsi="宋体" w:cs="Calibri"/>
                <w:b/>
                <w:sz w:val="20"/>
                <w:lang w:eastAsia="en-US" w:bidi="ar"/>
              </w:rPr>
              <w:t>序号</w:t>
            </w:r>
          </w:p>
        </w:tc>
        <w:tc>
          <w:tcPr>
            <w:tcW w:w="444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center"/>
              <w:rPr>
                <w:rFonts w:ascii="宋体" w:hAnsi="宋体" w:cs="Calibri"/>
                <w:b/>
                <w:sz w:val="20"/>
                <w:lang w:eastAsia="en-US"/>
              </w:rPr>
            </w:pPr>
            <w:r>
              <w:rPr>
                <w:rFonts w:ascii="宋体" w:hAnsi="宋体" w:cs="Calibri"/>
                <w:b/>
                <w:sz w:val="20"/>
                <w:lang w:eastAsia="en-US" w:bidi="ar"/>
              </w:rPr>
              <w:t>交付内容列表</w:t>
            </w:r>
          </w:p>
        </w:tc>
      </w:tr>
      <w:tr>
        <w:tblPrEx>
          <w:tblW w:w="0" w:type="auto"/>
          <w:jc w:val="center"/>
          <w:shd w:val="clear" w:color="auto" w:fill="FFFFFF"/>
          <w:tblLayout w:type="fixed"/>
          <w:tblLook w:val="04A0"/>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rsidR="00AB593A">
            <w:pPr>
              <w:autoSpaceDE w:val="0"/>
              <w:autoSpaceDN w:val="0"/>
              <w:adjustRightInd w:val="0"/>
              <w:snapToGrid w:val="0"/>
              <w:spacing w:before="120"/>
              <w:jc w:val="center"/>
              <w:rPr>
                <w:rFonts w:ascii="宋体" w:hAnsi="宋体"/>
                <w:sz w:val="20"/>
              </w:rPr>
            </w:pPr>
            <w:r>
              <w:rPr>
                <w:rFonts w:ascii="宋体" w:hAnsi="宋体"/>
                <w:sz w:val="20"/>
                <w:lang w:bidi="ar"/>
              </w:rPr>
              <w:t>1</w:t>
            </w:r>
          </w:p>
        </w:tc>
        <w:tc>
          <w:tcPr>
            <w:tcW w:w="444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rPr>
                <w:rFonts w:ascii="宋体" w:hAnsi="宋体"/>
                <w:sz w:val="20"/>
              </w:rPr>
            </w:pPr>
            <w:r>
              <w:rPr>
                <w:rFonts w:ascii="宋体" w:hAnsi="宋体"/>
                <w:sz w:val="20"/>
                <w:lang w:bidi="ar"/>
              </w:rPr>
              <w:t>应用软件安装包</w:t>
            </w:r>
          </w:p>
        </w:tc>
      </w:tr>
      <w:tr>
        <w:tblPrEx>
          <w:tblW w:w="0" w:type="auto"/>
          <w:jc w:val="center"/>
          <w:shd w:val="clear" w:color="auto" w:fill="FFFFFF"/>
          <w:tblLayout w:type="fixed"/>
          <w:tblLook w:val="04A0"/>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rsidR="00AB593A">
            <w:pPr>
              <w:autoSpaceDE w:val="0"/>
              <w:autoSpaceDN w:val="0"/>
              <w:adjustRightInd w:val="0"/>
              <w:snapToGrid w:val="0"/>
              <w:spacing w:before="120"/>
              <w:jc w:val="center"/>
              <w:rPr>
                <w:rFonts w:ascii="宋体" w:hAnsi="宋体"/>
                <w:sz w:val="20"/>
              </w:rPr>
            </w:pPr>
            <w:r>
              <w:rPr>
                <w:rFonts w:ascii="宋体" w:hAnsi="宋体"/>
                <w:sz w:val="20"/>
                <w:lang w:bidi="ar"/>
              </w:rPr>
              <w:t>2</w:t>
            </w:r>
          </w:p>
        </w:tc>
        <w:tc>
          <w:tcPr>
            <w:tcW w:w="444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rPr>
                <w:rFonts w:ascii="宋体" w:hAnsi="宋体"/>
                <w:sz w:val="20"/>
              </w:rPr>
            </w:pPr>
            <w:r>
              <w:rPr>
                <w:rFonts w:ascii="宋体" w:hAnsi="宋体"/>
                <w:sz w:val="20"/>
                <w:lang w:bidi="ar"/>
              </w:rPr>
              <w:t>源代码及程序说明</w:t>
            </w:r>
          </w:p>
        </w:tc>
      </w:tr>
    </w:tbl>
    <w:p w:rsidR="00AB593A">
      <w:pPr>
        <w:adjustRightInd w:val="0"/>
        <w:snapToGrid w:val="0"/>
        <w:spacing w:before="120"/>
        <w:rPr>
          <w:rFonts w:ascii="宋体" w:hAnsi="宋体" w:cs="宋体"/>
          <w:lang w:bidi="ar"/>
        </w:rPr>
      </w:pPr>
      <w:r>
        <w:rPr>
          <w:rFonts w:ascii="宋体" w:hAnsi="宋体" w:cs="宋体" w:hint="eastAsia"/>
          <w:sz w:val="24"/>
          <w:lang w:bidi="ar"/>
        </w:rPr>
        <w:t>（</w:t>
      </w:r>
      <w:r>
        <w:rPr>
          <w:rFonts w:ascii="宋体" w:hAnsi="宋体" w:cs="宋体" w:hint="eastAsia"/>
          <w:sz w:val="24"/>
          <w:lang w:bidi="ar"/>
        </w:rPr>
        <w:t>2</w:t>
      </w:r>
      <w:r>
        <w:rPr>
          <w:rFonts w:ascii="宋体" w:hAnsi="宋体" w:cs="宋体" w:hint="eastAsia"/>
          <w:sz w:val="24"/>
          <w:lang w:bidi="ar"/>
        </w:rPr>
        <w:t>）文档交付物</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2676"/>
        <w:gridCol w:w="431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tcPr>
          <w:p w:rsidR="00AB593A">
            <w:pPr>
              <w:autoSpaceDE w:val="0"/>
              <w:autoSpaceDN w:val="0"/>
              <w:adjustRightInd w:val="0"/>
              <w:snapToGrid w:val="0"/>
              <w:spacing w:before="120"/>
              <w:jc w:val="center"/>
              <w:rPr>
                <w:rFonts w:ascii="宋体" w:hAnsi="宋体" w:cs="Calibri"/>
                <w:b/>
                <w:sz w:val="20"/>
                <w:lang w:eastAsia="en-US"/>
              </w:rPr>
            </w:pPr>
            <w:r>
              <w:rPr>
                <w:rFonts w:ascii="宋体" w:hAnsi="宋体" w:cs="Calibri"/>
                <w:b/>
                <w:sz w:val="20"/>
                <w:lang w:eastAsia="en-US" w:bidi="ar"/>
              </w:rPr>
              <w:t>工作内容</w:t>
            </w: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center"/>
              <w:rPr>
                <w:rFonts w:ascii="宋体" w:hAnsi="宋体" w:cs="Calibri"/>
                <w:b/>
                <w:sz w:val="20"/>
                <w:lang w:eastAsia="en-US"/>
              </w:rPr>
            </w:pPr>
            <w:r>
              <w:rPr>
                <w:rFonts w:ascii="宋体" w:hAnsi="宋体" w:cs="Calibri"/>
                <w:b/>
                <w:sz w:val="20"/>
                <w:lang w:eastAsia="en-US" w:bidi="ar"/>
              </w:rPr>
              <w:t>技术文档</w:t>
            </w:r>
          </w:p>
        </w:tc>
      </w:tr>
      <w:tr>
        <w:tblPrEx>
          <w:tblW w:w="0" w:type="auto"/>
          <w:jc w:val="center"/>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rsidR="00AB593A">
            <w:pPr>
              <w:autoSpaceDE w:val="0"/>
              <w:autoSpaceDN w:val="0"/>
              <w:adjustRightInd w:val="0"/>
              <w:snapToGrid w:val="0"/>
              <w:spacing w:before="120"/>
              <w:rPr>
                <w:rFonts w:ascii="宋体" w:hAnsi="宋体" w:cs="Calibri"/>
                <w:sz w:val="20"/>
                <w:lang w:eastAsia="en-US"/>
              </w:rPr>
            </w:pPr>
            <w:r>
              <w:rPr>
                <w:rFonts w:ascii="宋体" w:hAnsi="宋体" w:cs="Calibri"/>
                <w:sz w:val="20"/>
                <w:lang w:eastAsia="en-US" w:bidi="ar"/>
              </w:rPr>
              <w:t>需求分析</w:t>
            </w: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left"/>
              <w:rPr>
                <w:rFonts w:ascii="宋体" w:hAnsi="宋体" w:cs="Calibri"/>
                <w:sz w:val="20"/>
                <w:lang w:eastAsia="en-US"/>
              </w:rPr>
            </w:pPr>
            <w:r>
              <w:rPr>
                <w:rFonts w:ascii="宋体" w:hAnsi="宋体" w:cs="Calibri"/>
                <w:sz w:val="20"/>
                <w:lang w:eastAsia="en-US" w:bidi="ar"/>
              </w:rPr>
              <w:t>需求</w:t>
            </w:r>
            <w:r>
              <w:rPr>
                <w:rFonts w:ascii="宋体" w:hAnsi="宋体" w:cs="Calibri" w:hint="eastAsia"/>
                <w:sz w:val="20"/>
                <w:lang w:bidi="ar"/>
              </w:rPr>
              <w:t>规格</w:t>
            </w:r>
            <w:r>
              <w:rPr>
                <w:rFonts w:ascii="宋体" w:hAnsi="宋体" w:cs="Calibri"/>
                <w:sz w:val="20"/>
                <w:lang w:eastAsia="en-US" w:bidi="ar"/>
              </w:rPr>
              <w:t>说明书</w:t>
            </w:r>
          </w:p>
        </w:tc>
      </w:tr>
      <w:tr>
        <w:tblPrEx>
          <w:tblW w:w="0" w:type="auto"/>
          <w:jc w:val="center"/>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rsidR="00AB593A">
            <w:pPr>
              <w:autoSpaceDE w:val="0"/>
              <w:autoSpaceDN w:val="0"/>
              <w:adjustRightInd w:val="0"/>
              <w:snapToGrid w:val="0"/>
              <w:spacing w:before="120"/>
              <w:rPr>
                <w:rFonts w:ascii="宋体" w:hAnsi="宋体" w:cs="Calibri"/>
                <w:sz w:val="20"/>
                <w:lang w:eastAsia="en-US"/>
              </w:rPr>
            </w:pPr>
            <w:r>
              <w:rPr>
                <w:rFonts w:ascii="宋体" w:hAnsi="宋体" w:cs="Calibri"/>
                <w:sz w:val="20"/>
                <w:lang w:eastAsia="en-US" w:bidi="ar"/>
              </w:rPr>
              <w:t>设计和开发</w:t>
            </w: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left"/>
              <w:rPr>
                <w:rFonts w:ascii="宋体" w:hAnsi="宋体" w:cs="Calibri"/>
                <w:sz w:val="20"/>
                <w:lang w:eastAsia="en-US"/>
              </w:rPr>
            </w:pPr>
            <w:r>
              <w:rPr>
                <w:rFonts w:ascii="宋体" w:hAnsi="宋体" w:cs="Calibri"/>
                <w:sz w:val="20"/>
                <w:lang w:eastAsia="en-US" w:bidi="ar"/>
              </w:rPr>
              <w:t>概要设计说明书</w:t>
            </w:r>
          </w:p>
        </w:tc>
      </w:tr>
      <w:tr>
        <w:tblPrEx>
          <w:tblW w:w="0" w:type="auto"/>
          <w:jc w:val="center"/>
          <w:shd w:val="clear" w:color="auto" w:fill="FFFFFF"/>
          <w:tblLayout w:type="fixed"/>
          <w:tblLook w:val="04A0"/>
        </w:tblPrEx>
        <w:trPr>
          <w:jc w:val="center"/>
        </w:trPr>
        <w:tc>
          <w:tcPr>
            <w:tcW w:w="2676" w:type="dxa"/>
            <w:vMerge w:val="restart"/>
            <w:tcBorders>
              <w:top w:val="nil"/>
              <w:left w:val="single" w:sz="4" w:space="0" w:color="auto"/>
              <w:bottom w:val="single" w:sz="4" w:space="0" w:color="auto"/>
              <w:right w:val="single" w:sz="4" w:space="0" w:color="auto"/>
            </w:tcBorders>
            <w:shd w:val="clear" w:color="auto" w:fill="FFFFFF"/>
            <w:vAlign w:val="center"/>
          </w:tcPr>
          <w:p w:rsidR="00AB593A">
            <w:pPr>
              <w:autoSpaceDE w:val="0"/>
              <w:autoSpaceDN w:val="0"/>
              <w:adjustRightInd w:val="0"/>
              <w:snapToGrid w:val="0"/>
              <w:spacing w:before="120"/>
              <w:rPr>
                <w:rFonts w:ascii="宋体" w:hAnsi="宋体" w:cs="Calibri"/>
                <w:sz w:val="20"/>
                <w:lang w:eastAsia="en-US"/>
              </w:rPr>
            </w:pPr>
            <w:r>
              <w:rPr>
                <w:rFonts w:ascii="宋体" w:hAnsi="宋体" w:cs="Calibri"/>
                <w:sz w:val="20"/>
                <w:lang w:eastAsia="en-US" w:bidi="ar"/>
              </w:rPr>
              <w:t>测试运维</w:t>
            </w: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left"/>
              <w:rPr>
                <w:rFonts w:ascii="宋体" w:hAnsi="宋体" w:cs="Calibri"/>
                <w:sz w:val="20"/>
                <w:lang w:eastAsia="en-US"/>
              </w:rPr>
            </w:pPr>
            <w:r>
              <w:rPr>
                <w:rFonts w:ascii="宋体" w:hAnsi="宋体" w:cs="Calibri"/>
                <w:sz w:val="20"/>
                <w:lang w:eastAsia="en-US" w:bidi="ar"/>
              </w:rPr>
              <w:t>软件测试报告</w:t>
            </w:r>
          </w:p>
        </w:tc>
      </w:tr>
      <w:tr>
        <w:tblPrEx>
          <w:tblW w:w="0" w:type="auto"/>
          <w:jc w:val="center"/>
          <w:shd w:val="clear" w:color="auto" w:fill="FFFFFF"/>
          <w:tblLayout w:type="fixed"/>
          <w:tblLook w:val="04A0"/>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rsidR="00AB593A">
            <w:pPr>
              <w:spacing w:before="120"/>
            </w:pP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left"/>
              <w:rPr>
                <w:rFonts w:ascii="宋体" w:hAnsi="宋体" w:cs="Calibri"/>
                <w:sz w:val="20"/>
                <w:lang w:eastAsia="en-US"/>
              </w:rPr>
            </w:pPr>
            <w:r>
              <w:rPr>
                <w:rFonts w:ascii="宋体" w:hAnsi="宋体" w:cs="Calibri"/>
                <w:sz w:val="20"/>
                <w:lang w:eastAsia="en-US" w:bidi="ar"/>
              </w:rPr>
              <w:t>用户</w:t>
            </w:r>
            <w:r>
              <w:rPr>
                <w:rFonts w:ascii="宋体" w:hAnsi="宋体" w:cs="Calibri" w:hint="eastAsia"/>
                <w:sz w:val="20"/>
                <w:lang w:bidi="ar"/>
              </w:rPr>
              <w:t>操作</w:t>
            </w:r>
            <w:r>
              <w:rPr>
                <w:rFonts w:ascii="宋体" w:hAnsi="宋体" w:cs="Calibri"/>
                <w:sz w:val="20"/>
                <w:lang w:eastAsia="en-US" w:bidi="ar"/>
              </w:rPr>
              <w:t>手册</w:t>
            </w:r>
          </w:p>
        </w:tc>
      </w:tr>
      <w:tr>
        <w:tblPrEx>
          <w:tblW w:w="0" w:type="auto"/>
          <w:jc w:val="center"/>
          <w:shd w:val="clear" w:color="auto" w:fill="FFFFFF"/>
          <w:tblLayout w:type="fixed"/>
          <w:tblLook w:val="04A0"/>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rsidR="00AB593A">
            <w:pPr>
              <w:spacing w:before="120"/>
            </w:pP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left"/>
              <w:rPr>
                <w:rFonts w:ascii="宋体" w:hAnsi="宋体" w:cs="Calibri"/>
                <w:sz w:val="20"/>
                <w:lang w:eastAsia="en-US"/>
              </w:rPr>
            </w:pPr>
            <w:r>
              <w:rPr>
                <w:rFonts w:ascii="宋体" w:hAnsi="宋体" w:cs="Calibri"/>
                <w:sz w:val="20"/>
                <w:lang w:eastAsia="en-US" w:bidi="ar"/>
              </w:rPr>
              <w:t>运行维护手册</w:t>
            </w:r>
          </w:p>
        </w:tc>
      </w:tr>
      <w:tr>
        <w:tblPrEx>
          <w:tblW w:w="0" w:type="auto"/>
          <w:jc w:val="center"/>
          <w:shd w:val="clear" w:color="auto" w:fill="FFFFFF"/>
          <w:tblLayout w:type="fixed"/>
          <w:tblLook w:val="04A0"/>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rsidR="00AB593A">
            <w:pPr>
              <w:spacing w:before="120"/>
            </w:pP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left"/>
              <w:rPr>
                <w:rFonts w:ascii="宋体" w:hAnsi="宋体" w:cs="Calibri"/>
                <w:sz w:val="20"/>
              </w:rPr>
            </w:pPr>
            <w:r>
              <w:rPr>
                <w:rFonts w:ascii="宋体" w:hAnsi="宋体" w:cs="Calibri"/>
                <w:sz w:val="20"/>
                <w:lang w:bidi="ar"/>
              </w:rPr>
              <w:t>系统部署及配置说明书</w:t>
            </w:r>
          </w:p>
        </w:tc>
      </w:tr>
      <w:tr>
        <w:tblPrEx>
          <w:tblW w:w="0" w:type="auto"/>
          <w:jc w:val="center"/>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rsidR="00AB593A">
            <w:pPr>
              <w:autoSpaceDE w:val="0"/>
              <w:autoSpaceDN w:val="0"/>
              <w:adjustRightInd w:val="0"/>
              <w:snapToGrid w:val="0"/>
              <w:spacing w:before="120"/>
              <w:rPr>
                <w:rFonts w:ascii="宋体" w:hAnsi="宋体" w:cs="Calibri"/>
                <w:sz w:val="20"/>
                <w:lang w:eastAsia="en-US"/>
              </w:rPr>
            </w:pPr>
            <w:r>
              <w:rPr>
                <w:rFonts w:ascii="宋体" w:hAnsi="宋体" w:cs="Calibri"/>
                <w:sz w:val="20"/>
                <w:lang w:eastAsia="en-US" w:bidi="ar"/>
              </w:rPr>
              <w:t>验收</w:t>
            </w:r>
          </w:p>
        </w:tc>
        <w:tc>
          <w:tcPr>
            <w:tcW w:w="4311" w:type="dxa"/>
            <w:tcBorders>
              <w:top w:val="single" w:sz="4" w:space="0" w:color="auto"/>
              <w:left w:val="nil"/>
              <w:bottom w:val="single" w:sz="4" w:space="0" w:color="auto"/>
              <w:right w:val="single" w:sz="4" w:space="0" w:color="auto"/>
            </w:tcBorders>
            <w:shd w:val="clear" w:color="auto" w:fill="FFFFFF"/>
          </w:tcPr>
          <w:p w:rsidR="00AB593A">
            <w:pPr>
              <w:autoSpaceDE w:val="0"/>
              <w:autoSpaceDN w:val="0"/>
              <w:adjustRightInd w:val="0"/>
              <w:snapToGrid w:val="0"/>
              <w:spacing w:before="120"/>
              <w:jc w:val="left"/>
              <w:rPr>
                <w:rFonts w:ascii="宋体" w:hAnsi="宋体" w:cs="Calibri"/>
                <w:sz w:val="20"/>
              </w:rPr>
            </w:pPr>
            <w:r>
              <w:rPr>
                <w:rFonts w:ascii="宋体" w:hAnsi="宋体" w:cs="Calibri"/>
                <w:sz w:val="20"/>
                <w:lang w:bidi="ar"/>
              </w:rPr>
              <w:t>验收报告</w:t>
            </w:r>
            <w:r>
              <w:rPr>
                <w:rFonts w:ascii="宋体" w:hAnsi="宋体" w:cs="Calibri" w:hint="eastAsia"/>
                <w:sz w:val="20"/>
                <w:lang w:bidi="ar"/>
              </w:rPr>
              <w:t>（含技术报告和工作报告）</w:t>
            </w:r>
          </w:p>
        </w:tc>
      </w:tr>
    </w:tbl>
    <w:p w:rsidR="00AB593A">
      <w:pPr>
        <w:pStyle w:val="Heading3"/>
        <w:keepNext/>
        <w:keepLines/>
        <w:widowControl w:val="0"/>
        <w:numPr>
          <w:ilvl w:val="2"/>
          <w:numId w:val="4"/>
        </w:numPr>
        <w:spacing w:before="156" w:beforeLines="50" w:after="312" w:afterLines="100" w:line="360" w:lineRule="auto"/>
        <w:ind w:left="720" w:hanging="720"/>
        <w:jc w:val="both"/>
      </w:pPr>
      <w:bookmarkStart w:id="108" w:name="_Toc240896010"/>
      <w:r>
        <w:rPr>
          <w:rFonts w:hint="eastAsia"/>
        </w:rPr>
        <w:t>驻场人员要求</w:t>
      </w:r>
      <w:bookmarkEnd w:id="108"/>
    </w:p>
    <w:p w:rsidR="00AB593A">
      <w:pPr>
        <w:spacing w:before="120"/>
        <w:ind w:firstLine="480"/>
        <w:rPr>
          <w:rFonts w:ascii="宋体" w:hAnsi="宋体" w:cs="宋体"/>
        </w:rPr>
      </w:pPr>
      <w:r>
        <w:rPr>
          <w:rFonts w:ascii="宋体" w:hAnsi="宋体" w:cs="宋体" w:hint="eastAsia"/>
          <w:sz w:val="24"/>
          <w:szCs w:val="24"/>
        </w:rPr>
        <w:t>乙方成立不少于</w:t>
      </w:r>
      <w:r>
        <w:rPr>
          <w:rFonts w:ascii="宋体" w:hAnsi="宋体" w:cs="宋体" w:hint="eastAsia"/>
          <w:sz w:val="24"/>
          <w:szCs w:val="24"/>
        </w:rPr>
        <w:t>7</w:t>
      </w:r>
      <w:r>
        <w:rPr>
          <w:rFonts w:ascii="宋体" w:hAnsi="宋体" w:cs="宋体" w:hint="eastAsia"/>
          <w:sz w:val="24"/>
          <w:szCs w:val="24"/>
        </w:rPr>
        <w:t>人的开发团队，并明确各岗位的职责，指派不少于</w:t>
      </w:r>
      <w:r>
        <w:rPr>
          <w:rFonts w:ascii="宋体" w:hAnsi="宋体" w:cs="宋体" w:hint="eastAsia"/>
          <w:sz w:val="24"/>
          <w:szCs w:val="24"/>
        </w:rPr>
        <w:t>3</w:t>
      </w:r>
      <w:r>
        <w:rPr>
          <w:rFonts w:ascii="宋体" w:hAnsi="宋体" w:cs="宋体" w:hint="eastAsia"/>
          <w:sz w:val="24"/>
          <w:szCs w:val="24"/>
        </w:rPr>
        <w:t>名开发人员到甲方进行驻场开发服务，确保项目顺利实施，未经甲方允许不得调整核心团队成员和驻场服务开发人员。</w:t>
      </w:r>
    </w:p>
    <w:p w:rsidR="00AB593A">
      <w:pPr>
        <w:pStyle w:val="Heading3"/>
        <w:keepNext/>
        <w:keepLines/>
        <w:widowControl w:val="0"/>
        <w:numPr>
          <w:ilvl w:val="2"/>
          <w:numId w:val="4"/>
        </w:numPr>
        <w:spacing w:before="156" w:beforeLines="50" w:after="312" w:afterLines="100" w:line="360" w:lineRule="auto"/>
        <w:ind w:left="720" w:hanging="720"/>
        <w:jc w:val="both"/>
      </w:pPr>
      <w:bookmarkStart w:id="109" w:name="_Toc74755586"/>
      <w:bookmarkStart w:id="110" w:name="_Toc240896011"/>
      <w:bookmarkEnd w:id="109"/>
      <w:r>
        <w:rPr>
          <w:rFonts w:hint="eastAsia"/>
        </w:rPr>
        <w:t>培训要求</w:t>
      </w:r>
      <w:bookmarkEnd w:id="110"/>
    </w:p>
    <w:p w:rsidR="00AB593A">
      <w:pPr>
        <w:spacing w:before="120"/>
        <w:ind w:firstLine="480"/>
        <w:rPr>
          <w:rFonts w:ascii="宋体" w:hAnsi="宋体" w:cs="宋体"/>
        </w:rPr>
      </w:pPr>
      <w:r>
        <w:rPr>
          <w:rFonts w:ascii="宋体" w:hAnsi="宋体" w:cs="宋体" w:hint="eastAsia"/>
          <w:sz w:val="24"/>
          <w:szCs w:val="24"/>
        </w:rPr>
        <w:t>1</w:t>
      </w:r>
      <w:r>
        <w:rPr>
          <w:rFonts w:ascii="宋体" w:hAnsi="宋体" w:cs="宋体" w:hint="eastAsia"/>
          <w:sz w:val="24"/>
          <w:szCs w:val="24"/>
        </w:rPr>
        <w:t>）培训方式应包括现场培训和集中培训，并应在进行培训之前向甲方提交一份详细的培训计划。</w:t>
      </w:r>
    </w:p>
    <w:p w:rsidR="00AB593A">
      <w:pPr>
        <w:spacing w:before="120"/>
        <w:ind w:firstLine="480"/>
        <w:rPr>
          <w:rFonts w:ascii="宋体" w:hAnsi="宋体" w:cs="宋体"/>
        </w:rPr>
      </w:pPr>
      <w:r>
        <w:rPr>
          <w:rFonts w:ascii="宋体" w:hAnsi="宋体" w:cs="宋体" w:hint="eastAsia"/>
          <w:sz w:val="24"/>
          <w:szCs w:val="24"/>
        </w:rPr>
        <w:t>2</w:t>
      </w:r>
      <w:r>
        <w:rPr>
          <w:rFonts w:ascii="宋体" w:hAnsi="宋体" w:cs="宋体" w:hint="eastAsia"/>
          <w:sz w:val="24"/>
          <w:szCs w:val="24"/>
        </w:rPr>
        <w:t>）乙方应以培训目标的实现为目的组织培训，确保每一位系统使用人员能够独立、熟练地完成操作，保证系统用户能够独立处理软件系统故障和进行简单的功能调整。</w:t>
      </w:r>
    </w:p>
    <w:p w:rsidR="00AB593A">
      <w:pPr>
        <w:spacing w:before="120"/>
        <w:ind w:firstLine="480"/>
        <w:rPr>
          <w:rFonts w:ascii="宋体" w:hAnsi="宋体" w:cs="宋体"/>
        </w:rPr>
      </w:pPr>
      <w:r>
        <w:rPr>
          <w:rFonts w:ascii="宋体" w:hAnsi="宋体" w:cs="宋体" w:hint="eastAsia"/>
          <w:sz w:val="24"/>
          <w:szCs w:val="24"/>
        </w:rPr>
        <w:t>3</w:t>
      </w:r>
      <w:r>
        <w:rPr>
          <w:rFonts w:ascii="宋体" w:hAnsi="宋体" w:cs="宋体" w:hint="eastAsia"/>
          <w:sz w:val="24"/>
          <w:szCs w:val="24"/>
        </w:rPr>
        <w:t>）集中培训地点由甲方根据本项目实际情况确定，确保培训次数不少于</w:t>
      </w:r>
      <w:r>
        <w:rPr>
          <w:rFonts w:ascii="宋体" w:hAnsi="宋体" w:cs="宋体" w:hint="eastAsia"/>
          <w:sz w:val="24"/>
          <w:szCs w:val="24"/>
        </w:rPr>
        <w:t>2</w:t>
      </w:r>
      <w:r>
        <w:rPr>
          <w:rFonts w:ascii="宋体" w:hAnsi="宋体" w:cs="宋体" w:hint="eastAsia"/>
          <w:sz w:val="24"/>
          <w:szCs w:val="24"/>
        </w:rPr>
        <w:t>次，每次不少于</w:t>
      </w:r>
      <w:r>
        <w:rPr>
          <w:rFonts w:ascii="宋体" w:hAnsi="宋体" w:cs="宋体" w:hint="eastAsia"/>
          <w:sz w:val="24"/>
          <w:szCs w:val="24"/>
        </w:rPr>
        <w:t>1</w:t>
      </w:r>
      <w:r>
        <w:rPr>
          <w:rFonts w:ascii="宋体" w:hAnsi="宋体" w:cs="宋体" w:hint="eastAsia"/>
          <w:sz w:val="24"/>
          <w:szCs w:val="24"/>
        </w:rPr>
        <w:t>天，培训人次不少于</w:t>
      </w:r>
      <w:r>
        <w:rPr>
          <w:rFonts w:ascii="宋体" w:hAnsi="宋体" w:cs="宋体" w:hint="eastAsia"/>
          <w:sz w:val="24"/>
          <w:szCs w:val="24"/>
        </w:rPr>
        <w:t>10</w:t>
      </w:r>
      <w:r>
        <w:rPr>
          <w:rFonts w:ascii="宋体" w:hAnsi="宋体" w:cs="宋体" w:hint="eastAsia"/>
          <w:sz w:val="24"/>
          <w:szCs w:val="24"/>
        </w:rPr>
        <w:t>人次，具体培训时间由甲方与乙方根据项目进展情况协商确定。</w:t>
      </w:r>
    </w:p>
    <w:p w:rsidR="00AB593A">
      <w:pPr>
        <w:pStyle w:val="Heading3"/>
        <w:keepNext/>
        <w:keepLines/>
        <w:widowControl w:val="0"/>
        <w:numPr>
          <w:ilvl w:val="2"/>
          <w:numId w:val="4"/>
        </w:numPr>
        <w:spacing w:before="156" w:beforeLines="50" w:after="312" w:afterLines="100" w:line="360" w:lineRule="auto"/>
        <w:ind w:left="720" w:hanging="720"/>
        <w:jc w:val="both"/>
      </w:pPr>
      <w:bookmarkStart w:id="111" w:name="_Toc74755587"/>
      <w:bookmarkStart w:id="112" w:name="_Toc240896012"/>
      <w:bookmarkEnd w:id="111"/>
      <w:r>
        <w:rPr>
          <w:rFonts w:hint="eastAsia"/>
        </w:rPr>
        <w:t>售后服务要求</w:t>
      </w:r>
      <w:bookmarkEnd w:id="112"/>
    </w:p>
    <w:p w:rsidR="00AB593A">
      <w:pPr>
        <w:spacing w:before="120"/>
        <w:ind w:firstLine="480"/>
        <w:rPr>
          <w:rFonts w:ascii="宋体" w:hAnsi="宋体" w:cs="宋体"/>
        </w:rPr>
      </w:pPr>
      <w:r>
        <w:rPr>
          <w:rFonts w:ascii="宋体" w:hAnsi="宋体" w:cs="宋体" w:hint="eastAsia"/>
          <w:sz w:val="24"/>
          <w:szCs w:val="24"/>
        </w:rPr>
        <w:t>乙方技术人员应提供</w:t>
      </w:r>
      <w:r>
        <w:rPr>
          <w:rFonts w:ascii="宋体" w:hAnsi="宋体" w:cs="宋体" w:hint="eastAsia"/>
          <w:sz w:val="24"/>
          <w:szCs w:val="24"/>
        </w:rPr>
        <w:t>7*24</w:t>
      </w:r>
      <w:r>
        <w:rPr>
          <w:rFonts w:ascii="宋体" w:hAnsi="宋体" w:cs="宋体" w:hint="eastAsia"/>
          <w:sz w:val="24"/>
          <w:szCs w:val="24"/>
        </w:rPr>
        <w:t>小时的服务响应，随时进行电话应答；</w:t>
      </w:r>
      <w:r>
        <w:rPr>
          <w:rFonts w:ascii="宋体" w:hAnsi="宋体" w:cs="宋体" w:hint="eastAsia"/>
          <w:sz w:val="24"/>
          <w:szCs w:val="24"/>
        </w:rPr>
        <w:t>2</w:t>
      </w:r>
      <w:r>
        <w:rPr>
          <w:rFonts w:ascii="宋体" w:hAnsi="宋体" w:cs="宋体" w:hint="eastAsia"/>
          <w:sz w:val="24"/>
          <w:szCs w:val="24"/>
        </w:rPr>
        <w:t>小时内完成远程登陆诊断。需要现场解决的问题，乙方技术人员须在</w:t>
      </w:r>
      <w:r>
        <w:rPr>
          <w:rFonts w:ascii="宋体" w:hAnsi="宋体" w:cs="宋体"/>
          <w:sz w:val="24"/>
          <w:szCs w:val="24"/>
        </w:rPr>
        <w:t>24</w:t>
      </w:r>
      <w:r>
        <w:rPr>
          <w:rFonts w:ascii="宋体" w:hAnsi="宋体" w:cs="宋体" w:hint="eastAsia"/>
          <w:sz w:val="24"/>
          <w:szCs w:val="24"/>
        </w:rPr>
        <w:t>小时内到达采购人项目现场。</w:t>
      </w:r>
    </w:p>
    <w:p w:rsidR="00AB593A">
      <w:pPr>
        <w:spacing w:before="120"/>
        <w:ind w:firstLine="480"/>
        <w:rPr>
          <w:rFonts w:ascii="宋体" w:hAnsi="宋体" w:cs="宋体"/>
        </w:rPr>
      </w:pPr>
      <w:r>
        <w:rPr>
          <w:rFonts w:ascii="宋体" w:hAnsi="宋体" w:cs="宋体" w:hint="eastAsia"/>
          <w:sz w:val="24"/>
          <w:szCs w:val="24"/>
        </w:rPr>
        <w:t>乙方开发的软件通过全部测试终验后</w:t>
      </w:r>
      <w:r>
        <w:rPr>
          <w:rFonts w:ascii="宋体" w:hAnsi="宋体" w:cs="宋体" w:hint="eastAsia"/>
          <w:sz w:val="24"/>
          <w:szCs w:val="24"/>
        </w:rPr>
        <w:t>，乙方提供</w:t>
      </w:r>
      <w:r>
        <w:rPr>
          <w:rFonts w:ascii="宋体" w:hAnsi="宋体" w:cs="宋体"/>
          <w:sz w:val="24"/>
          <w:szCs w:val="24"/>
        </w:rPr>
        <w:t>3</w:t>
      </w:r>
      <w:r>
        <w:rPr>
          <w:rFonts w:ascii="宋体" w:hAnsi="宋体" w:cs="宋体" w:hint="eastAsia"/>
          <w:sz w:val="24"/>
          <w:szCs w:val="24"/>
        </w:rPr>
        <w:t>年免费技术支持服务。</w:t>
      </w:r>
    </w:p>
    <w:p w:rsidR="00AB593A">
      <w:pPr>
        <w:pStyle w:val="Heading3"/>
        <w:keepNext/>
        <w:keepLines/>
        <w:widowControl w:val="0"/>
        <w:numPr>
          <w:ilvl w:val="2"/>
          <w:numId w:val="4"/>
        </w:numPr>
        <w:spacing w:before="156" w:beforeLines="50" w:after="312" w:afterLines="100" w:line="360" w:lineRule="auto"/>
        <w:ind w:left="720" w:hanging="720"/>
        <w:jc w:val="both"/>
      </w:pPr>
      <w:bookmarkStart w:id="113" w:name="_Toc74755588"/>
      <w:bookmarkStart w:id="114" w:name="_Toc240896013"/>
      <w:bookmarkEnd w:id="113"/>
      <w:r>
        <w:rPr>
          <w:rFonts w:hint="eastAsia"/>
        </w:rPr>
        <w:t>知识产权要求</w:t>
      </w:r>
      <w:bookmarkEnd w:id="114"/>
    </w:p>
    <w:p w:rsidR="00AB593A">
      <w:pPr>
        <w:spacing w:before="120"/>
        <w:ind w:firstLine="480"/>
        <w:rPr>
          <w:rFonts w:ascii="宋体" w:hAnsi="宋体" w:cs="宋体"/>
        </w:rPr>
      </w:pPr>
      <w:r>
        <w:rPr>
          <w:rFonts w:ascii="宋体" w:hAnsi="宋体" w:cs="宋体" w:hint="eastAsia"/>
          <w:sz w:val="24"/>
          <w:szCs w:val="24"/>
        </w:rPr>
        <w:t>全部及</w:t>
      </w:r>
      <w:r>
        <w:rPr>
          <w:rFonts w:ascii="宋体" w:hAnsi="宋体" w:cs="宋体" w:hint="eastAsia"/>
          <w:sz w:val="24"/>
          <w:szCs w:val="24"/>
        </w:rPr>
        <w:t>/</w:t>
      </w:r>
      <w:r>
        <w:rPr>
          <w:rFonts w:ascii="宋体" w:hAnsi="宋体" w:cs="宋体" w:hint="eastAsia"/>
          <w:sz w:val="24"/>
          <w:szCs w:val="24"/>
        </w:rPr>
        <w:t>或任何部分的相关知识产权，包括相关权益，归甲方所有。乙方有不可争议的义务确保采购人依据本次采购所获得的知识产权不存在任何瑕疵并且可以不受限制地行使相关权利，包括各项延伸权利。若因此发生任何争议均应当由乙方独自承担全部及</w:t>
      </w:r>
      <w:r>
        <w:rPr>
          <w:rFonts w:ascii="宋体" w:hAnsi="宋体" w:cs="宋体" w:hint="eastAsia"/>
          <w:sz w:val="24"/>
          <w:szCs w:val="24"/>
        </w:rPr>
        <w:t>/</w:t>
      </w:r>
      <w:r>
        <w:rPr>
          <w:rFonts w:ascii="宋体" w:hAnsi="宋体" w:cs="宋体" w:hint="eastAsia"/>
          <w:sz w:val="24"/>
          <w:szCs w:val="24"/>
        </w:rPr>
        <w:t>或任何责任，包括但不限于应当承担其自身及采购方为排除任何争议或瑕疵所应当或所需支付的一切相关</w:t>
      </w:r>
      <w:r>
        <w:rPr>
          <w:rFonts w:ascii="宋体" w:hAnsi="宋体" w:cs="宋体" w:hint="eastAsia"/>
          <w:sz w:val="24"/>
          <w:szCs w:val="24"/>
        </w:rPr>
        <w:t>/</w:t>
      </w:r>
      <w:r>
        <w:rPr>
          <w:rFonts w:ascii="宋体" w:hAnsi="宋体" w:cs="宋体" w:hint="eastAsia"/>
          <w:sz w:val="24"/>
          <w:szCs w:val="24"/>
        </w:rPr>
        <w:t>或由此引起的费用。</w:t>
      </w:r>
    </w:p>
    <w:p w:rsidR="00AB593A">
      <w:pPr>
        <w:spacing w:before="120"/>
        <w:ind w:firstLine="480"/>
        <w:rPr>
          <w:rFonts w:ascii="宋体" w:hAnsi="宋体" w:cs="宋体"/>
        </w:rPr>
      </w:pPr>
      <w:r>
        <w:rPr>
          <w:rFonts w:ascii="宋体" w:hAnsi="宋体" w:cs="宋体" w:hint="eastAsia"/>
          <w:sz w:val="24"/>
          <w:szCs w:val="24"/>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ascii="宋体" w:hAnsi="宋体" w:cs="宋体" w:hint="eastAsia"/>
          <w:sz w:val="24"/>
          <w:szCs w:val="24"/>
        </w:rPr>
        <w:t>/</w:t>
      </w:r>
      <w:r>
        <w:rPr>
          <w:rFonts w:ascii="宋体" w:hAnsi="宋体" w:cs="宋体" w:hint="eastAsia"/>
          <w:sz w:val="24"/>
          <w:szCs w:val="24"/>
        </w:rPr>
        <w:t>或任何责任，包括但不限于应当承担其自身及采购中心为排除任何争议及</w:t>
      </w:r>
      <w:r>
        <w:rPr>
          <w:rFonts w:ascii="宋体" w:hAnsi="宋体" w:cs="宋体" w:hint="eastAsia"/>
          <w:sz w:val="24"/>
          <w:szCs w:val="24"/>
        </w:rPr>
        <w:t>/</w:t>
      </w:r>
      <w:r>
        <w:rPr>
          <w:rFonts w:ascii="宋体" w:hAnsi="宋体" w:cs="宋体" w:hint="eastAsia"/>
          <w:sz w:val="24"/>
          <w:szCs w:val="24"/>
        </w:rPr>
        <w:t>或赔偿侵权所应当或所需支付的一切相关及</w:t>
      </w:r>
      <w:r>
        <w:rPr>
          <w:rFonts w:ascii="宋体" w:hAnsi="宋体" w:cs="宋体" w:hint="eastAsia"/>
          <w:sz w:val="24"/>
          <w:szCs w:val="24"/>
        </w:rPr>
        <w:t>/</w:t>
      </w:r>
      <w:r>
        <w:rPr>
          <w:rFonts w:ascii="宋体" w:hAnsi="宋体" w:cs="宋体" w:hint="eastAsia"/>
          <w:sz w:val="24"/>
          <w:szCs w:val="24"/>
        </w:rPr>
        <w:t>或由此引起的费用。</w:t>
      </w:r>
    </w:p>
    <w:p w:rsidR="00AB593A">
      <w:pPr>
        <w:spacing w:before="120"/>
        <w:ind w:firstLine="480"/>
        <w:rPr>
          <w:rFonts w:ascii="宋体" w:hAnsi="宋体" w:cs="宋体"/>
        </w:rPr>
      </w:pPr>
    </w:p>
    <w:p w:rsidR="00AB593A">
      <w:pPr>
        <w:pStyle w:val="Heading1"/>
        <w:keepNext/>
        <w:keepLines/>
        <w:numPr>
          <w:numId w:val="4"/>
        </w:numPr>
        <w:spacing w:before="340" w:after="120" w:line="360" w:lineRule="auto"/>
        <w:ind w:left="0" w:firstLine="0"/>
      </w:pPr>
      <w:bookmarkStart w:id="115" w:name="_Toc240896014"/>
      <w:r>
        <w:rPr>
          <w:rFonts w:hint="eastAsia"/>
        </w:rPr>
        <w:t>集约化需求</w:t>
      </w:r>
      <w:bookmarkEnd w:id="115"/>
    </w:p>
    <w:p w:rsidR="00AB593A">
      <w:pPr>
        <w:pStyle w:val="-"/>
        <w:ind w:firstLine="480"/>
        <w:rPr>
          <w:rFonts w:ascii="宋体" w:hAnsi="宋体" w:cs="宋体"/>
        </w:rPr>
      </w:pPr>
      <w:r>
        <w:rPr>
          <w:rFonts w:hint="eastAsia"/>
          <w:sz w:val="24"/>
          <w:szCs w:val="24"/>
        </w:rPr>
        <w:t>遵循“保留核心功能，实现代码定制化，具有可安装可移植、易维护可调试功能”的原则。</w:t>
      </w:r>
    </w:p>
    <w:p w:rsidR="00AB593A"/>
    <w:bookmarkEnd w:id="61"/>
    <w:p w:rsidR="00AB593A"/>
    <w:p w:rsidR="00A77B3E"/>
    <w:p w:rsidR="0099027D">
      <w:pPr>
        <w:spacing w:before="120"/>
        <w:jc w:val="center"/>
        <w:rPr>
          <w:rFonts w:ascii="宋体" w:hAnsi="宋体" w:cs="宋体" w:hint="eastAsia"/>
          <w:b/>
          <w:bCs/>
          <w:sz w:val="48"/>
          <w:szCs w:val="48"/>
        </w:rPr>
        <w:sectPr>
          <w:footerReference w:type="default" r:id="rId6"/>
          <w:pgSz w:w="11906" w:h="16838"/>
          <w:pgMar w:top="1418" w:right="1418" w:bottom="1418" w:left="1701" w:header="851" w:footer="851" w:gutter="0"/>
          <w:cols w:space="708"/>
          <w:docGrid w:type="linesAndChars" w:linePitch="312"/>
        </w:sectPr>
      </w:pPr>
      <w:bookmarkEnd w:id="60"/>
    </w:p>
    <w:p w:rsidR="00EE1F26">
      <w:pPr>
        <w:spacing w:before="156" w:beforeLines="50" w:line="360" w:lineRule="auto"/>
        <w:jc w:val="center"/>
        <w:outlineLvl w:val="1"/>
        <w:rPr>
          <w:rFonts w:ascii="宋体" w:hAnsi="宋体"/>
          <w:b/>
          <w:sz w:val="30"/>
          <w:szCs w:val="30"/>
        </w:rPr>
      </w:pPr>
      <w:bookmarkStart w:id="116"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EE1F26">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674EA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EE1F26">
            <w:pPr>
              <w:rPr>
                <w:sz w:val="18"/>
                <w:szCs w:val="18"/>
              </w:rPr>
            </w:pPr>
            <w:r>
              <w:rPr>
                <w:rFonts w:hint="eastAsia"/>
                <w:sz w:val="18"/>
                <w:szCs w:val="18"/>
              </w:rPr>
              <w:t>序号</w:t>
            </w:r>
          </w:p>
        </w:tc>
        <w:tc>
          <w:tcPr>
            <w:tcW w:w="898" w:type="dxa"/>
            <w:vAlign w:val="center"/>
          </w:tcPr>
          <w:p w:rsidR="00EE1F26">
            <w:pPr>
              <w:jc w:val="center"/>
              <w:rPr>
                <w:sz w:val="18"/>
                <w:szCs w:val="18"/>
              </w:rPr>
            </w:pPr>
            <w:r>
              <w:rPr>
                <w:rFonts w:hint="eastAsia"/>
                <w:sz w:val="18"/>
                <w:szCs w:val="18"/>
              </w:rPr>
              <w:t>对应</w:t>
            </w:r>
          </w:p>
          <w:p w:rsidR="00EE1F26">
            <w:pPr>
              <w:jc w:val="center"/>
              <w:rPr>
                <w:sz w:val="18"/>
                <w:szCs w:val="18"/>
              </w:rPr>
            </w:pPr>
            <w:r>
              <w:rPr>
                <w:rFonts w:hint="eastAsia"/>
                <w:sz w:val="18"/>
                <w:szCs w:val="18"/>
              </w:rPr>
              <w:t>条款号</w:t>
            </w:r>
          </w:p>
        </w:tc>
        <w:tc>
          <w:tcPr>
            <w:tcW w:w="7347" w:type="dxa"/>
            <w:vAlign w:val="center"/>
          </w:tcPr>
          <w:p w:rsidR="00EE1F2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674EA0">
        <w:tblPrEx>
          <w:tblW w:w="8789" w:type="dxa"/>
          <w:tblLayout w:type="fixed"/>
          <w:tblLook w:val="04A0"/>
        </w:tblPrEx>
        <w:trPr>
          <w:cantSplit/>
        </w:trPr>
        <w:tc>
          <w:tcPr>
            <w:tcW w:w="8789" w:type="dxa"/>
            <w:gridSpan w:val="3"/>
            <w:vAlign w:val="center"/>
          </w:tcPr>
          <w:p w:rsidR="00EE1F2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674EA0">
        <w:tblPrEx>
          <w:tblW w:w="8789" w:type="dxa"/>
          <w:tblLayout w:type="fixed"/>
          <w:tblLook w:val="04A0"/>
        </w:tblPrEx>
        <w:trPr>
          <w:cantSplit/>
        </w:trPr>
        <w:tc>
          <w:tcPr>
            <w:tcW w:w="544" w:type="dxa"/>
            <w:vAlign w:val="center"/>
          </w:tcPr>
          <w:p w:rsidR="00EE1F26">
            <w:pPr>
              <w:numPr>
                <w:ilvl w:val="0"/>
                <w:numId w:val="46"/>
              </w:numPr>
              <w:rPr>
                <w:rFonts w:ascii="宋体" w:hAnsi="宋体"/>
                <w:sz w:val="18"/>
                <w:szCs w:val="18"/>
              </w:rPr>
            </w:pPr>
          </w:p>
        </w:tc>
        <w:tc>
          <w:tcPr>
            <w:tcW w:w="898" w:type="dxa"/>
            <w:vAlign w:val="center"/>
          </w:tcPr>
          <w:p w:rsidR="00EE1F26">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EE1F26">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674EA0">
        <w:tblPrEx>
          <w:tblW w:w="8789" w:type="dxa"/>
          <w:tblLayout w:type="fixed"/>
          <w:tblLook w:val="04A0"/>
        </w:tblPrEx>
        <w:trPr>
          <w:cantSplit/>
        </w:trPr>
        <w:tc>
          <w:tcPr>
            <w:tcW w:w="8789" w:type="dxa"/>
            <w:gridSpan w:val="3"/>
            <w:vAlign w:val="center"/>
          </w:tcPr>
          <w:p w:rsidR="00EE1F2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674EA0">
        <w:tblPrEx>
          <w:tblW w:w="8789" w:type="dxa"/>
          <w:tblLayout w:type="fixed"/>
          <w:tblLook w:val="04A0"/>
        </w:tblPrEx>
        <w:trPr>
          <w:cantSplit/>
        </w:trPr>
        <w:tc>
          <w:tcPr>
            <w:tcW w:w="544" w:type="dxa"/>
            <w:vAlign w:val="center"/>
          </w:tcPr>
          <w:p w:rsidR="00EE1F26">
            <w:pPr>
              <w:numPr>
                <w:ilvl w:val="0"/>
                <w:numId w:val="46"/>
              </w:numPr>
              <w:rPr>
                <w:rFonts w:ascii="宋体" w:hAnsi="宋体"/>
                <w:sz w:val="18"/>
                <w:szCs w:val="18"/>
              </w:rPr>
            </w:pPr>
          </w:p>
        </w:tc>
        <w:tc>
          <w:tcPr>
            <w:tcW w:w="898" w:type="dxa"/>
            <w:vAlign w:val="center"/>
          </w:tcPr>
          <w:p w:rsidR="00EE1F26">
            <w:pPr>
              <w:jc w:val="center"/>
              <w:rPr>
                <w:rFonts w:ascii="宋体" w:hAnsi="宋体"/>
                <w:sz w:val="18"/>
                <w:szCs w:val="18"/>
              </w:rPr>
            </w:pPr>
          </w:p>
        </w:tc>
        <w:tc>
          <w:tcPr>
            <w:tcW w:w="7347" w:type="dxa"/>
            <w:vAlign w:val="center"/>
          </w:tcPr>
          <w:p w:rsidR="00EE1F26">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EE1F26">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EE1F26">
      <w:pPr>
        <w:spacing w:before="156" w:beforeLines="50" w:line="360" w:lineRule="auto"/>
        <w:ind w:firstLine="420"/>
      </w:pPr>
    </w:p>
    <w:p w:rsidR="00A77B3E"/>
    <w:p w:rsidR="00EE1F26">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11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rPr>
          <w:rFonts w:hint="eastAsia"/>
        </w:rPr>
      </w:pPr>
      <w:bookmarkStart w:id="117" w:name="采购公告合同部分_ZBGGHT"/>
      <w:r>
        <w:rPr>
          <w:rFonts w:hint="eastAsia"/>
        </w:rPr>
        <w:t>合同编号：</w:t>
      </w:r>
    </w:p>
    <w:p>
      <w:pPr>
        <w:jc w:val="center"/>
      </w:pPr>
    </w:p>
    <w:p>
      <w:pPr>
        <w:jc w:val="center"/>
      </w:pPr>
    </w:p>
    <w:p>
      <w:pPr>
        <w:jc w:val="center"/>
      </w:pPr>
    </w:p>
    <w:p>
      <w:pPr>
        <w:jc w:val="center"/>
      </w:pP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lang w:val="en-US" w:eastAsia="zh-CN"/>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lang w:val="en-US" w:eastAsia="zh-CN"/>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ind w:firstLine="0" w:firstLineChars="0"/>
        <w:jc w:val="center"/>
        <w:rPr>
          <w:rFonts w:hint="eastAsia"/>
        </w:rPr>
      </w:pPr>
      <w:r>
        <w:br w:type="page"/>
      </w:r>
    </w:p>
    <w:p>
      <w:pPr>
        <w:spacing w:line="480" w:lineRule="auto"/>
      </w:pPr>
      <w:r>
        <w:rPr>
          <w:rFonts w:hint="eastAsia"/>
          <w:lang w:val="en-US" w:eastAsia="zh-CN"/>
        </w:rPr>
        <w:t>委托方（</w:t>
      </w:r>
      <w:r>
        <w:rPr>
          <w:rFonts w:hint="eastAsia"/>
        </w:rPr>
        <w:t>甲方</w:t>
      </w:r>
      <w:r>
        <w:rPr>
          <w:rFonts w:hint="eastAsia"/>
          <w:lang w:val="en-US" w:eastAsia="zh-CN"/>
        </w:rPr>
        <w:t>）</w:t>
      </w:r>
      <w:r>
        <w:rPr>
          <w:rFonts w:hint="eastAsia"/>
        </w:rPr>
        <w:t xml:space="preserve">：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5"/>
        </w:numPr>
        <w:ind w:hanging="420"/>
        <w:jc w:val="left"/>
        <w:rPr>
          <w:sz w:val="24"/>
          <w:szCs w:val="24"/>
        </w:rPr>
      </w:pPr>
      <w:bookmarkStart w:id="118" w:name="_Toc150439537"/>
      <w:r>
        <w:rPr>
          <w:rFonts w:hint="eastAsia"/>
          <w:sz w:val="24"/>
          <w:szCs w:val="24"/>
        </w:rPr>
        <w:t>项目内容及概况</w:t>
      </w:r>
      <w:bookmarkEnd w:id="118"/>
      <w:r>
        <w:rPr>
          <w:rFonts w:hint="eastAsia"/>
          <w:sz w:val="24"/>
          <w:szCs w:val="24"/>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1"/>
        <w:gridCol w:w="142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keepNext w:val="0"/>
              <w:keepLines w:val="0"/>
              <w:suppressLineNumbers w:val="0"/>
              <w:spacing w:before="0" w:beforeAutospacing="0" w:after="0" w:afterAutospacing="0"/>
              <w:ind w:left="0" w:right="0"/>
              <w:jc w:val="left"/>
              <w:rPr>
                <w:rFonts w:hint="default"/>
              </w:rPr>
            </w:pPr>
            <w:r>
              <w:rPr>
                <w:rFonts w:hint="eastAsia"/>
                <w:sz w:val="24"/>
                <w:szCs w:val="24"/>
              </w:rPr>
              <w:t>名称</w:t>
            </w:r>
          </w:p>
        </w:tc>
        <w:tc>
          <w:tcPr>
            <w:tcW w:w="415" w:type="pct"/>
            <w:noWrap w:val="0"/>
            <w:vAlign w:val="top"/>
          </w:tcPr>
          <w:p>
            <w:pPr>
              <w:keepNext w:val="0"/>
              <w:keepLines w:val="0"/>
              <w:suppressLineNumbers w:val="0"/>
              <w:spacing w:before="0" w:beforeAutospacing="0" w:after="0" w:afterAutospacing="0"/>
              <w:ind w:left="0" w:right="0"/>
              <w:jc w:val="left"/>
              <w:rPr>
                <w:rFonts w:hint="default"/>
              </w:rPr>
            </w:pPr>
            <w:r>
              <w:rPr>
                <w:rFonts w:hint="eastAsia"/>
                <w:sz w:val="24"/>
                <w:szCs w:val="24"/>
              </w:rPr>
              <w:t>数量</w:t>
            </w:r>
          </w:p>
        </w:tc>
        <w:tc>
          <w:tcPr>
            <w:tcW w:w="440" w:type="pct"/>
            <w:noWrap w:val="0"/>
            <w:vAlign w:val="top"/>
          </w:tcPr>
          <w:p>
            <w:pPr>
              <w:keepNext w:val="0"/>
              <w:keepLines w:val="0"/>
              <w:suppressLineNumbers w:val="0"/>
              <w:spacing w:before="0" w:beforeAutospacing="0" w:after="0" w:afterAutospacing="0"/>
              <w:ind w:left="0" w:right="0"/>
              <w:jc w:val="left"/>
              <w:rPr>
                <w:rFonts w:hint="default"/>
              </w:rPr>
            </w:pPr>
            <w:r>
              <w:rPr>
                <w:rFonts w:hint="eastAsia"/>
                <w:sz w:val="24"/>
                <w:szCs w:val="24"/>
              </w:rPr>
              <w:t>单位</w:t>
            </w:r>
          </w:p>
        </w:tc>
        <w:tc>
          <w:tcPr>
            <w:tcW w:w="833" w:type="pct"/>
            <w:noWrap w:val="0"/>
            <w:vAlign w:val="top"/>
          </w:tcPr>
          <w:p>
            <w:pPr>
              <w:keepNext w:val="0"/>
              <w:keepLines w:val="0"/>
              <w:suppressLineNumbers w:val="0"/>
              <w:spacing w:before="0" w:beforeAutospacing="0" w:after="0" w:afterAutospacing="0"/>
              <w:ind w:left="0" w:right="0"/>
              <w:jc w:val="left"/>
              <w:rPr>
                <w:rFonts w:hint="default"/>
              </w:rPr>
            </w:pPr>
            <w:r>
              <w:rPr>
                <w:rFonts w:hint="eastAsia"/>
                <w:sz w:val="24"/>
                <w:szCs w:val="24"/>
              </w:rPr>
              <w:t>单价（元）</w:t>
            </w:r>
          </w:p>
        </w:tc>
        <w:tc>
          <w:tcPr>
            <w:tcW w:w="834" w:type="pct"/>
            <w:noWrap w:val="0"/>
            <w:vAlign w:val="top"/>
          </w:tcPr>
          <w:p>
            <w:pPr>
              <w:keepNext w:val="0"/>
              <w:keepLines w:val="0"/>
              <w:suppressLineNumbers w:val="0"/>
              <w:spacing w:before="0" w:beforeAutospacing="0" w:after="0" w:afterAutospacing="0"/>
              <w:ind w:left="0" w:right="0"/>
              <w:jc w:val="left"/>
              <w:rPr>
                <w:rFonts w:hint="default"/>
              </w:rPr>
            </w:pPr>
            <w:r>
              <w:rPr>
                <w:rFonts w:hint="eastAsia"/>
                <w:sz w:val="24"/>
                <w:szCs w:val="24"/>
              </w:rPr>
              <w:t>合计（元）</w:t>
            </w:r>
          </w:p>
        </w:tc>
        <w:tc>
          <w:tcPr>
            <w:tcW w:w="834" w:type="pct"/>
            <w:noWrap w:val="0"/>
            <w:vAlign w:val="top"/>
          </w:tcPr>
          <w:p>
            <w:pPr>
              <w:keepNext w:val="0"/>
              <w:keepLines w:val="0"/>
              <w:suppressLineNumbers w:val="0"/>
              <w:spacing w:before="0" w:beforeAutospacing="0" w:after="0" w:afterAutospacing="0"/>
              <w:ind w:left="0" w:right="0"/>
              <w:jc w:val="left"/>
              <w:rPr>
                <w:rFonts w:hint="default"/>
              </w:rPr>
            </w:pPr>
            <w:r>
              <w:rPr>
                <w:rFonts w:hint="eastAsia"/>
                <w:sz w:val="24"/>
                <w:szCs w:val="24"/>
              </w:rPr>
              <w:t>备注</w:t>
            </w:r>
          </w:p>
        </w:tc>
      </w:tr>
      <w:tr>
        <w:tblPrEx>
          <w:tblW w:w="5000" w:type="pct"/>
          <w:tblInd w:w="0" w:type="dxa"/>
          <w:tblCellMar>
            <w:top w:w="0" w:type="dxa"/>
            <w:left w:w="108" w:type="dxa"/>
            <w:bottom w:w="0" w:type="dxa"/>
            <w:right w:w="108" w:type="dxa"/>
          </w:tblCellMar>
        </w:tblPrEx>
        <w:tc>
          <w:tcPr>
            <w:tcW w:w="1644" w:type="pct"/>
            <w:noWrap w:val="0"/>
            <w:vAlign w:val="top"/>
          </w:tcPr>
          <w:p>
            <w:pPr>
              <w:keepNext w:val="0"/>
              <w:keepLines w:val="0"/>
              <w:suppressLineNumbers w:val="0"/>
              <w:spacing w:before="0" w:beforeAutospacing="0" w:after="0" w:afterAutospacing="0"/>
              <w:ind w:left="0" w:right="0"/>
              <w:jc w:val="left"/>
              <w:rPr>
                <w:rFonts w:hint="default"/>
              </w:rPr>
            </w:pPr>
          </w:p>
        </w:tc>
        <w:tc>
          <w:tcPr>
            <w:tcW w:w="415" w:type="pct"/>
            <w:noWrap w:val="0"/>
            <w:vAlign w:val="top"/>
          </w:tcPr>
          <w:p>
            <w:pPr>
              <w:keepNext w:val="0"/>
              <w:keepLines w:val="0"/>
              <w:suppressLineNumbers w:val="0"/>
              <w:spacing w:before="0" w:beforeAutospacing="0" w:after="0" w:afterAutospacing="0"/>
              <w:ind w:left="0" w:right="0"/>
              <w:jc w:val="left"/>
              <w:rPr>
                <w:rFonts w:hint="default"/>
              </w:rPr>
            </w:pPr>
          </w:p>
        </w:tc>
        <w:tc>
          <w:tcPr>
            <w:tcW w:w="440" w:type="pct"/>
            <w:noWrap w:val="0"/>
            <w:vAlign w:val="top"/>
          </w:tcPr>
          <w:p>
            <w:pPr>
              <w:keepNext w:val="0"/>
              <w:keepLines w:val="0"/>
              <w:suppressLineNumbers w:val="0"/>
              <w:spacing w:before="0" w:beforeAutospacing="0" w:after="0" w:afterAutospacing="0"/>
              <w:ind w:left="0" w:right="0"/>
              <w:jc w:val="left"/>
              <w:rPr>
                <w:rFonts w:hint="default"/>
              </w:rPr>
            </w:pPr>
          </w:p>
        </w:tc>
        <w:tc>
          <w:tcPr>
            <w:tcW w:w="833" w:type="pct"/>
            <w:noWrap w:val="0"/>
            <w:vAlign w:val="top"/>
          </w:tcPr>
          <w:p>
            <w:pPr>
              <w:keepNext w:val="0"/>
              <w:keepLines w:val="0"/>
              <w:suppressLineNumbers w:val="0"/>
              <w:spacing w:before="0" w:beforeAutospacing="0" w:after="0" w:afterAutospacing="0"/>
              <w:ind w:left="0" w:right="0"/>
              <w:jc w:val="left"/>
              <w:rPr>
                <w:rFonts w:hint="default"/>
              </w:rPr>
            </w:pPr>
          </w:p>
        </w:tc>
        <w:tc>
          <w:tcPr>
            <w:tcW w:w="834" w:type="pct"/>
            <w:noWrap w:val="0"/>
            <w:vAlign w:val="top"/>
          </w:tcPr>
          <w:p>
            <w:pPr>
              <w:keepNext w:val="0"/>
              <w:keepLines w:val="0"/>
              <w:suppressLineNumbers w:val="0"/>
              <w:spacing w:before="0" w:beforeAutospacing="0" w:after="0" w:afterAutospacing="0"/>
              <w:ind w:left="0" w:right="0"/>
              <w:jc w:val="left"/>
              <w:rPr>
                <w:rFonts w:hint="default"/>
              </w:rPr>
            </w:pPr>
          </w:p>
        </w:tc>
        <w:tc>
          <w:tcPr>
            <w:tcW w:w="834" w:type="pct"/>
            <w:noWrap w:val="0"/>
            <w:vAlign w:val="top"/>
          </w:tcPr>
          <w:p>
            <w:pPr>
              <w:keepNext w:val="0"/>
              <w:keepLines w:val="0"/>
              <w:suppressLineNumbers w:val="0"/>
              <w:spacing w:before="0" w:beforeAutospacing="0" w:after="0" w:afterAutospacing="0"/>
              <w:ind w:left="0" w:right="0"/>
              <w:jc w:val="left"/>
              <w:rPr>
                <w:rFonts w:hint="default"/>
              </w:rPr>
            </w:pPr>
          </w:p>
        </w:tc>
      </w:tr>
      <w:tr>
        <w:tblPrEx>
          <w:tblW w:w="5000" w:type="pct"/>
          <w:tblInd w:w="0" w:type="dxa"/>
          <w:tblCellMar>
            <w:top w:w="0" w:type="dxa"/>
            <w:left w:w="108" w:type="dxa"/>
            <w:bottom w:w="0" w:type="dxa"/>
            <w:right w:w="108" w:type="dxa"/>
          </w:tblCellMar>
        </w:tblPrEx>
        <w:tc>
          <w:tcPr>
            <w:tcW w:w="1644" w:type="pct"/>
            <w:noWrap w:val="0"/>
            <w:vAlign w:val="top"/>
          </w:tcPr>
          <w:p>
            <w:pPr>
              <w:keepNext w:val="0"/>
              <w:keepLines w:val="0"/>
              <w:suppressLineNumbers w:val="0"/>
              <w:spacing w:before="0" w:beforeAutospacing="0" w:after="0" w:afterAutospacing="0"/>
              <w:ind w:left="0" w:right="0"/>
              <w:jc w:val="left"/>
              <w:rPr>
                <w:rFonts w:hint="default"/>
              </w:rPr>
            </w:pPr>
          </w:p>
        </w:tc>
        <w:tc>
          <w:tcPr>
            <w:tcW w:w="415" w:type="pct"/>
            <w:noWrap w:val="0"/>
            <w:vAlign w:val="top"/>
          </w:tcPr>
          <w:p>
            <w:pPr>
              <w:keepNext w:val="0"/>
              <w:keepLines w:val="0"/>
              <w:suppressLineNumbers w:val="0"/>
              <w:spacing w:before="0" w:beforeAutospacing="0" w:after="0" w:afterAutospacing="0"/>
              <w:ind w:left="0" w:right="0"/>
              <w:jc w:val="left"/>
              <w:rPr>
                <w:rFonts w:hint="default"/>
              </w:rPr>
            </w:pPr>
          </w:p>
        </w:tc>
        <w:tc>
          <w:tcPr>
            <w:tcW w:w="440" w:type="pct"/>
            <w:noWrap w:val="0"/>
            <w:vAlign w:val="top"/>
          </w:tcPr>
          <w:p>
            <w:pPr>
              <w:keepNext w:val="0"/>
              <w:keepLines w:val="0"/>
              <w:suppressLineNumbers w:val="0"/>
              <w:spacing w:before="0" w:beforeAutospacing="0" w:after="0" w:afterAutospacing="0"/>
              <w:ind w:left="0" w:right="0"/>
              <w:jc w:val="left"/>
              <w:rPr>
                <w:rFonts w:hint="default"/>
              </w:rPr>
            </w:pPr>
          </w:p>
        </w:tc>
        <w:tc>
          <w:tcPr>
            <w:tcW w:w="833" w:type="pct"/>
            <w:noWrap w:val="0"/>
            <w:vAlign w:val="top"/>
          </w:tcPr>
          <w:p>
            <w:pPr>
              <w:keepNext w:val="0"/>
              <w:keepLines w:val="0"/>
              <w:suppressLineNumbers w:val="0"/>
              <w:spacing w:before="0" w:beforeAutospacing="0" w:after="0" w:afterAutospacing="0"/>
              <w:ind w:left="0" w:right="0"/>
              <w:jc w:val="left"/>
              <w:rPr>
                <w:rFonts w:hint="default"/>
              </w:rPr>
            </w:pPr>
          </w:p>
        </w:tc>
        <w:tc>
          <w:tcPr>
            <w:tcW w:w="834" w:type="pct"/>
            <w:noWrap w:val="0"/>
            <w:vAlign w:val="top"/>
          </w:tcPr>
          <w:p>
            <w:pPr>
              <w:keepNext w:val="0"/>
              <w:keepLines w:val="0"/>
              <w:suppressLineNumbers w:val="0"/>
              <w:spacing w:before="0" w:beforeAutospacing="0" w:after="0" w:afterAutospacing="0"/>
              <w:ind w:left="0" w:right="0"/>
              <w:jc w:val="left"/>
              <w:rPr>
                <w:rFonts w:hint="default"/>
              </w:rPr>
            </w:pPr>
          </w:p>
        </w:tc>
        <w:tc>
          <w:tcPr>
            <w:tcW w:w="834" w:type="pct"/>
            <w:noWrap w:val="0"/>
            <w:vAlign w:val="top"/>
          </w:tcPr>
          <w:p>
            <w:pPr>
              <w:keepNext w:val="0"/>
              <w:keepLines w:val="0"/>
              <w:suppressLineNumbers w:val="0"/>
              <w:spacing w:before="0" w:beforeAutospacing="0" w:after="0" w:afterAutospacing="0"/>
              <w:ind w:left="0" w:right="0"/>
              <w:jc w:val="left"/>
              <w:rPr>
                <w:rFonts w:hint="default"/>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keepNext w:val="0"/>
              <w:keepLines w:val="0"/>
              <w:suppressLineNumbers w:val="0"/>
              <w:spacing w:before="0" w:beforeAutospacing="0" w:after="0" w:afterAutospacing="0"/>
              <w:ind w:left="0" w:right="0"/>
              <w:jc w:val="left"/>
              <w:rPr>
                <w:rFonts w:hint="default"/>
              </w:rPr>
            </w:pPr>
            <w:r>
              <w:rPr>
                <w:rFonts w:hint="default"/>
                <w:spacing w:val="6"/>
                <w:sz w:val="24"/>
                <w:szCs w:val="24"/>
              </w:rPr>
              <w:t>合计总价</w:t>
            </w:r>
            <w:r>
              <w:rPr>
                <w:rFonts w:hint="eastAsia"/>
                <w:spacing w:val="6"/>
                <w:sz w:val="24"/>
                <w:szCs w:val="24"/>
              </w:rPr>
              <w:t>（人民币）</w:t>
            </w:r>
            <w:r>
              <w:rPr>
                <w:rFonts w:hint="default"/>
                <w:spacing w:val="6"/>
                <w:sz w:val="24"/>
                <w:szCs w:val="24"/>
              </w:rPr>
              <w:t>：</w:t>
            </w:r>
            <w:r>
              <w:rPr>
                <w:rFonts w:hint="eastAsia"/>
                <w:spacing w:val="6"/>
                <w:sz w:val="24"/>
                <w:szCs w:val="24"/>
              </w:rPr>
              <w:t>￥</w:t>
            </w:r>
            <w:r>
              <w:rPr>
                <w:rFonts w:hint="default"/>
                <w:spacing w:val="7"/>
                <w:sz w:val="24"/>
                <w:szCs w:val="24"/>
              </w:rPr>
              <w:t xml:space="preserve">    </w:t>
            </w:r>
            <w:r>
              <w:rPr>
                <w:rFonts w:hint="default"/>
                <w:spacing w:val="6"/>
                <w:sz w:val="24"/>
                <w:szCs w:val="24"/>
              </w:rPr>
              <w:t>元（大写</w:t>
            </w:r>
            <w:r>
              <w:rPr>
                <w:rFonts w:hint="default"/>
                <w:sz w:val="24"/>
                <w:szCs w:val="24"/>
              </w:rPr>
              <w:t>：</w:t>
            </w:r>
            <w:r>
              <w:rPr>
                <w:rFonts w:hint="default"/>
                <w:spacing w:val="1"/>
                <w:sz w:val="24"/>
                <w:szCs w:val="24"/>
              </w:rPr>
              <w:t xml:space="preserve">                                </w:t>
            </w:r>
            <w:r>
              <w:rPr>
                <w:rFonts w:hint="default"/>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5"/>
        </w:numPr>
        <w:ind w:hanging="420"/>
        <w:jc w:val="left"/>
        <w:rPr>
          <w:rFonts w:hint="eastAsia"/>
          <w:sz w:val="24"/>
          <w:szCs w:val="24"/>
        </w:rPr>
      </w:pPr>
      <w:bookmarkStart w:id="119" w:name="_Toc150434187"/>
      <w:bookmarkEnd w:id="119"/>
      <w:bookmarkStart w:id="120" w:name="_Toc150434283"/>
      <w:bookmarkEnd w:id="120"/>
      <w:bookmarkStart w:id="121" w:name="_Toc150439539"/>
      <w:bookmarkEnd w:id="121"/>
      <w:bookmarkStart w:id="122" w:name="_Toc150439540"/>
      <w:r>
        <w:rPr>
          <w:rFonts w:hint="eastAsia"/>
          <w:sz w:val="24"/>
          <w:szCs w:val="24"/>
        </w:rPr>
        <w:t>项目相关标准</w:t>
      </w:r>
      <w:bookmarkEnd w:id="122"/>
    </w:p>
    <w:p>
      <w:pPr>
        <w:numPr>
          <w:ilvl w:val="0"/>
          <w:numId w:val="6"/>
        </w:numPr>
        <w:ind w:left="0" w:firstLine="480" w:firstLineChars="200"/>
        <w:jc w:val="left"/>
      </w:pPr>
      <w:r>
        <w:rPr>
          <w:rFonts w:hint="eastAsia"/>
          <w:sz w:val="24"/>
          <w:szCs w:val="24"/>
        </w:rPr>
        <w:t>技术标准</w:t>
      </w:r>
    </w:p>
    <w:p>
      <w:pPr>
        <w:numPr>
          <w:ilvl w:val="0"/>
          <w:numId w:val="7"/>
        </w:numPr>
        <w:ind w:left="0" w:firstLine="480" w:firstLineChars="200"/>
        <w:jc w:val="left"/>
      </w:pPr>
      <w:r>
        <w:rPr>
          <w:rFonts w:hint="eastAsia"/>
          <w:sz w:val="24"/>
          <w:szCs w:val="24"/>
        </w:rPr>
        <w:t>国家政策文件</w:t>
      </w:r>
    </w:p>
    <w:p>
      <w:pPr>
        <w:numPr>
          <w:ilvl w:val="1"/>
          <w:numId w:val="6"/>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6"/>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省厅政策文件</w:t>
      </w:r>
    </w:p>
    <w:p>
      <w:pPr>
        <w:numPr>
          <w:ilvl w:val="0"/>
          <w:numId w:val="8"/>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地区政策文件</w:t>
      </w:r>
    </w:p>
    <w:p>
      <w:pPr>
        <w:numPr>
          <w:ilvl w:val="1"/>
          <w:numId w:val="7"/>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7"/>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标准规范</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6"/>
        </w:numPr>
        <w:ind w:left="0" w:firstLine="480" w:firstLineChars="200"/>
        <w:jc w:val="left"/>
      </w:pPr>
      <w:r>
        <w:rPr>
          <w:rFonts w:hint="eastAsia"/>
          <w:sz w:val="24"/>
          <w:szCs w:val="24"/>
        </w:rPr>
        <w:t>国家法律法规</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0"/>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气象部门管理制度</w:t>
      </w:r>
    </w:p>
    <w:p>
      <w:pPr>
        <w:numPr>
          <w:ilvl w:val="0"/>
          <w:numId w:val="11"/>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1"/>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1"/>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1"/>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1"/>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1"/>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1"/>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1"/>
        </w:numPr>
        <w:ind w:left="0" w:firstLine="480" w:firstLineChars="200"/>
        <w:jc w:val="left"/>
        <w:rPr>
          <w:u w:val="single"/>
        </w:rPr>
      </w:pPr>
      <w:r>
        <w:rPr>
          <w:rFonts w:hint="eastAsia"/>
          <w:sz w:val="24"/>
          <w:szCs w:val="24"/>
          <w:u w:val="single"/>
          <w:lang w:val="en-US" w:eastAsia="zh-CN"/>
        </w:rPr>
        <w:t xml:space="preserve">   </w:t>
      </w:r>
      <w:r>
        <w:rPr>
          <w:rFonts w:hint="eastAsia"/>
          <w:sz w:val="24"/>
          <w:szCs w:val="24"/>
          <w:u w:val="single"/>
        </w:rPr>
        <w:t xml:space="preserve">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5"/>
        </w:numPr>
        <w:ind w:hanging="420"/>
        <w:jc w:val="left"/>
        <w:rPr>
          <w:rFonts w:hint="eastAsia"/>
          <w:sz w:val="24"/>
          <w:szCs w:val="24"/>
        </w:rPr>
      </w:pPr>
      <w:bookmarkStart w:id="123" w:name="_Toc150439541"/>
      <w:bookmarkEnd w:id="123"/>
      <w:bookmarkStart w:id="124" w:name="_Toc150439542"/>
      <w:r>
        <w:rPr>
          <w:rFonts w:hint="eastAsia"/>
          <w:sz w:val="24"/>
          <w:szCs w:val="24"/>
        </w:rPr>
        <w:t>组成本合同的文件</w:t>
      </w:r>
      <w:bookmarkEnd w:id="124"/>
    </w:p>
    <w:p>
      <w:pPr>
        <w:numPr>
          <w:ilvl w:val="0"/>
          <w:numId w:val="12"/>
        </w:numPr>
        <w:ind w:left="0" w:firstLine="480" w:firstLineChars="200"/>
        <w:jc w:val="left"/>
        <w:rPr>
          <w:rFonts w:hint="eastAsia"/>
        </w:rPr>
      </w:pPr>
      <w:r>
        <w:rPr>
          <w:rFonts w:hint="eastAsia"/>
          <w:sz w:val="24"/>
          <w:szCs w:val="24"/>
        </w:rPr>
        <w:t>本合同；</w:t>
      </w:r>
    </w:p>
    <w:p>
      <w:pPr>
        <w:numPr>
          <w:ilvl w:val="0"/>
          <w:numId w:val="12"/>
        </w:numPr>
        <w:ind w:left="0" w:firstLine="480" w:firstLineChars="200"/>
        <w:jc w:val="left"/>
      </w:pPr>
      <w:r>
        <w:rPr>
          <w:rFonts w:hint="eastAsia"/>
          <w:sz w:val="24"/>
          <w:szCs w:val="24"/>
        </w:rPr>
        <w:t>中标通知书、招标文件、投标文件等；</w:t>
      </w:r>
    </w:p>
    <w:p>
      <w:pPr>
        <w:numPr>
          <w:ilvl w:val="0"/>
          <w:numId w:val="12"/>
        </w:numPr>
        <w:ind w:left="0" w:firstLine="480" w:firstLineChars="200"/>
        <w:jc w:val="left"/>
      </w:pPr>
      <w:r>
        <w:rPr>
          <w:rFonts w:hint="eastAsia"/>
          <w:sz w:val="24"/>
          <w:szCs w:val="24"/>
        </w:rPr>
        <w:t>与履行本合同有关、经双方依法签字盖章确认后的下列技术文件：</w:t>
      </w:r>
    </w:p>
    <w:p>
      <w:pPr>
        <w:numPr>
          <w:ilvl w:val="0"/>
          <w:numId w:val="13"/>
        </w:numPr>
        <w:ind w:hanging="5"/>
        <w:jc w:val="left"/>
        <w:rPr>
          <w:rFonts w:hint="eastAsia"/>
        </w:rPr>
      </w:pPr>
      <w:r>
        <w:rPr>
          <w:rFonts w:hint="eastAsia"/>
          <w:sz w:val="24"/>
          <w:szCs w:val="24"/>
        </w:rPr>
        <w:t>技术背景资料；</w:t>
      </w:r>
    </w:p>
    <w:p>
      <w:pPr>
        <w:numPr>
          <w:ilvl w:val="0"/>
          <w:numId w:val="13"/>
        </w:numPr>
        <w:ind w:hanging="5"/>
        <w:jc w:val="left"/>
        <w:rPr>
          <w:rFonts w:hint="eastAsia"/>
        </w:rPr>
      </w:pPr>
      <w:r>
        <w:rPr>
          <w:rFonts w:hint="eastAsia"/>
          <w:sz w:val="24"/>
          <w:szCs w:val="24"/>
        </w:rPr>
        <w:t>可行性论证报告；</w:t>
      </w:r>
    </w:p>
    <w:p>
      <w:pPr>
        <w:numPr>
          <w:ilvl w:val="0"/>
          <w:numId w:val="13"/>
        </w:numPr>
        <w:ind w:hanging="5"/>
        <w:jc w:val="left"/>
        <w:rPr>
          <w:rFonts w:hint="eastAsia"/>
        </w:rPr>
      </w:pPr>
      <w:r>
        <w:rPr>
          <w:rFonts w:hint="eastAsia"/>
          <w:sz w:val="24"/>
          <w:szCs w:val="24"/>
        </w:rPr>
        <w:t>技术评价报告；</w:t>
      </w:r>
    </w:p>
    <w:p>
      <w:pPr>
        <w:numPr>
          <w:ilvl w:val="0"/>
          <w:numId w:val="13"/>
        </w:numPr>
        <w:ind w:hanging="5"/>
        <w:jc w:val="left"/>
        <w:rPr>
          <w:rFonts w:hint="eastAsia"/>
        </w:rPr>
      </w:pPr>
      <w:r>
        <w:rPr>
          <w:rFonts w:hint="eastAsia"/>
          <w:sz w:val="24"/>
          <w:szCs w:val="24"/>
        </w:rPr>
        <w:t>技术标准和规范；</w:t>
      </w:r>
    </w:p>
    <w:p>
      <w:pPr>
        <w:numPr>
          <w:ilvl w:val="0"/>
          <w:numId w:val="13"/>
        </w:numPr>
        <w:ind w:hanging="5"/>
        <w:jc w:val="left"/>
        <w:rPr>
          <w:rFonts w:hint="eastAsia"/>
        </w:rPr>
      </w:pPr>
      <w:r>
        <w:rPr>
          <w:sz w:val="24"/>
          <w:szCs w:val="24"/>
        </w:rPr>
        <w:t>……</w:t>
      </w:r>
    </w:p>
    <w:p>
      <w:pPr>
        <w:numPr>
          <w:ilvl w:val="0"/>
          <w:numId w:val="12"/>
        </w:numPr>
        <w:ind w:left="0" w:firstLine="480" w:firstLineChars="200"/>
        <w:jc w:val="left"/>
      </w:pPr>
      <w:r>
        <w:rPr>
          <w:rFonts w:hint="eastAsia"/>
          <w:sz w:val="24"/>
          <w:szCs w:val="24"/>
        </w:rPr>
        <w:t>安全保密承诺书（签字盖章）；</w:t>
      </w:r>
    </w:p>
    <w:p>
      <w:pPr>
        <w:numPr>
          <w:ilvl w:val="0"/>
          <w:numId w:val="12"/>
        </w:numPr>
        <w:ind w:left="0" w:firstLine="480" w:firstLineChars="200"/>
        <w:jc w:val="left"/>
      </w:pPr>
      <w:r>
        <w:rPr>
          <w:rFonts w:hint="eastAsia"/>
          <w:sz w:val="24"/>
          <w:szCs w:val="24"/>
        </w:rPr>
        <w:t>安全保密协议（签字盖章）；</w:t>
      </w:r>
    </w:p>
    <w:p>
      <w:pPr>
        <w:numPr>
          <w:ilvl w:val="0"/>
          <w:numId w:val="12"/>
        </w:numPr>
        <w:ind w:left="0" w:firstLine="480" w:firstLineChars="200"/>
        <w:jc w:val="left"/>
      </w:pPr>
      <w:r>
        <w:rPr>
          <w:rFonts w:hint="eastAsia"/>
          <w:sz w:val="24"/>
          <w:szCs w:val="24"/>
        </w:rPr>
        <w:t>乙方就该项目实施情况接受甲方监督检查的承诺书（签字盖章）；</w:t>
      </w:r>
    </w:p>
    <w:p>
      <w:pPr>
        <w:numPr>
          <w:ilvl w:val="0"/>
          <w:numId w:val="12"/>
        </w:numPr>
        <w:ind w:left="0" w:firstLine="480" w:firstLineChars="200"/>
        <w:jc w:val="left"/>
        <w:rPr>
          <w:rFonts w:hint="eastAsia"/>
        </w:rPr>
      </w:pPr>
      <w:r>
        <w:rPr>
          <w:rFonts w:hint="eastAsia"/>
          <w:sz w:val="24"/>
          <w:szCs w:val="24"/>
        </w:rPr>
        <w:t>统筹集约承诺书（签字盖章）；</w:t>
      </w:r>
    </w:p>
    <w:p>
      <w:pPr>
        <w:numPr>
          <w:ilvl w:val="0"/>
          <w:numId w:val="12"/>
        </w:numPr>
        <w:ind w:left="0"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5"/>
        </w:numPr>
        <w:ind w:hanging="420"/>
        <w:jc w:val="left"/>
        <w:rPr>
          <w:rFonts w:hint="eastAsia"/>
          <w:sz w:val="24"/>
          <w:szCs w:val="24"/>
        </w:rPr>
      </w:pPr>
      <w:bookmarkStart w:id="125" w:name="_Toc150439545"/>
      <w:r>
        <w:rPr>
          <w:rFonts w:hint="eastAsia"/>
          <w:sz w:val="24"/>
          <w:szCs w:val="24"/>
        </w:rPr>
        <w:t>合同履行地点、合同服务期</w:t>
      </w:r>
      <w:bookmarkEnd w:id="125"/>
    </w:p>
    <w:p>
      <w:pPr>
        <w:numPr>
          <w:ilvl w:val="0"/>
          <w:numId w:val="14"/>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4"/>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5"/>
        </w:numPr>
        <w:ind w:hanging="420"/>
        <w:rPr>
          <w:rFonts w:hint="eastAsia"/>
          <w:sz w:val="24"/>
          <w:szCs w:val="24"/>
        </w:rPr>
      </w:pPr>
      <w:bookmarkStart w:id="126" w:name="_Toc150439547"/>
      <w:r>
        <w:rPr>
          <w:rFonts w:hint="eastAsia"/>
          <w:sz w:val="24"/>
          <w:szCs w:val="24"/>
        </w:rPr>
        <w:t>服务范围及内容</w:t>
      </w:r>
      <w:bookmarkEnd w:id="126"/>
    </w:p>
    <w:p>
      <w:pPr>
        <w:ind w:firstLine="480" w:firstLineChars="200"/>
      </w:pPr>
      <w:r>
        <w:rPr>
          <w:rFonts w:hint="eastAsia"/>
          <w:sz w:val="24"/>
          <w:szCs w:val="24"/>
        </w:rPr>
        <w:t>本合同研究开发项目的要求如下：</w:t>
      </w:r>
    </w:p>
    <w:p>
      <w:pPr>
        <w:numPr>
          <w:ilvl w:val="0"/>
          <w:numId w:val="15"/>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15"/>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16"/>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5"/>
        </w:numPr>
        <w:ind w:hanging="420"/>
        <w:rPr>
          <w:rFonts w:hint="eastAsia"/>
          <w:sz w:val="24"/>
          <w:szCs w:val="24"/>
        </w:rPr>
      </w:pPr>
      <w:bookmarkStart w:id="127" w:name="_Toc150434291"/>
      <w:bookmarkEnd w:id="127"/>
      <w:bookmarkStart w:id="128" w:name="_Toc150424370"/>
      <w:bookmarkEnd w:id="128"/>
      <w:bookmarkStart w:id="129" w:name="_Toc150439548"/>
      <w:bookmarkEnd w:id="129"/>
      <w:bookmarkStart w:id="130" w:name="_Toc150434195"/>
      <w:bookmarkEnd w:id="130"/>
      <w:bookmarkStart w:id="131" w:name="_Toc150439549"/>
      <w:r>
        <w:rPr>
          <w:rFonts w:hint="eastAsia"/>
          <w:sz w:val="24"/>
          <w:szCs w:val="24"/>
        </w:rPr>
        <w:t>乙方的权利与义务</w:t>
      </w:r>
      <w:bookmarkEnd w:id="131"/>
    </w:p>
    <w:p>
      <w:pPr>
        <w:numPr>
          <w:ilvl w:val="0"/>
          <w:numId w:val="17"/>
        </w:numPr>
        <w:ind w:left="0" w:firstLine="480" w:firstLineChars="200"/>
        <w:rPr>
          <w:rFonts w:hint="eastAsia"/>
        </w:rPr>
      </w:pPr>
      <w:r>
        <w:rPr>
          <w:rFonts w:hint="eastAsia"/>
          <w:sz w:val="24"/>
          <w:szCs w:val="24"/>
        </w:rPr>
        <w:t>为保证履行合同，乙方承诺以下事项：</w:t>
      </w:r>
    </w:p>
    <w:p>
      <w:pPr>
        <w:numPr>
          <w:ilvl w:val="0"/>
          <w:numId w:val="18"/>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18"/>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18"/>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18"/>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18"/>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18"/>
        </w:numPr>
        <w:ind w:left="0" w:firstLine="480" w:firstLineChars="200"/>
        <w:rPr>
          <w:rFonts w:hint="eastAsia"/>
          <w:u w:val="single"/>
        </w:rPr>
      </w:pPr>
      <w:r>
        <w:rPr>
          <w:rFonts w:hint="eastAsia"/>
          <w:sz w:val="24"/>
          <w:szCs w:val="24"/>
          <w:u w:val="single"/>
        </w:rPr>
        <w:t xml:space="preserve">                                                                     </w:t>
      </w:r>
    </w:p>
    <w:p>
      <w:pPr>
        <w:numPr>
          <w:ilvl w:val="0"/>
          <w:numId w:val="17"/>
        </w:numPr>
        <w:ind w:left="0" w:firstLine="480" w:firstLineChars="200"/>
        <w:rPr>
          <w:rFonts w:hint="eastAsia"/>
        </w:rPr>
      </w:pPr>
      <w:r>
        <w:rPr>
          <w:rFonts w:hint="eastAsia"/>
          <w:sz w:val="24"/>
          <w:szCs w:val="24"/>
        </w:rPr>
        <w:t>对非驻场软件开发，乙方承诺以下事项：</w:t>
      </w:r>
    </w:p>
    <w:p>
      <w:pPr>
        <w:numPr>
          <w:ilvl w:val="0"/>
          <w:numId w:val="19"/>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19"/>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19"/>
        </w:numPr>
        <w:ind w:left="0" w:firstLine="480" w:firstLineChars="200"/>
        <w:rPr>
          <w:rFonts w:hint="eastAsia"/>
          <w:u w:val="single"/>
        </w:rPr>
      </w:pPr>
      <w:r>
        <w:rPr>
          <w:rFonts w:hint="eastAsia"/>
          <w:sz w:val="24"/>
          <w:szCs w:val="24"/>
          <w:u w:val="single"/>
        </w:rPr>
        <w:t xml:space="preserve">不存在规避监管的情形。                                                </w:t>
      </w:r>
    </w:p>
    <w:p>
      <w:pPr>
        <w:numPr>
          <w:ilvl w:val="0"/>
          <w:numId w:val="17"/>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17"/>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0"/>
        </w:numPr>
        <w:ind w:hanging="5"/>
        <w:jc w:val="left"/>
      </w:pPr>
      <w:r>
        <w:rPr>
          <w:rFonts w:hint="eastAsia"/>
          <w:sz w:val="24"/>
          <w:szCs w:val="24"/>
        </w:rPr>
        <w:t>项目功能清单；</w:t>
      </w:r>
    </w:p>
    <w:p>
      <w:pPr>
        <w:numPr>
          <w:ilvl w:val="0"/>
          <w:numId w:val="20"/>
        </w:numPr>
        <w:ind w:hanging="5"/>
        <w:jc w:val="left"/>
        <w:rPr>
          <w:rFonts w:hint="eastAsia"/>
        </w:rPr>
      </w:pPr>
      <w:r>
        <w:rPr>
          <w:rFonts w:hint="eastAsia"/>
          <w:sz w:val="24"/>
          <w:szCs w:val="24"/>
        </w:rPr>
        <w:t>项目实施方案。</w:t>
      </w:r>
    </w:p>
    <w:p>
      <w:pPr>
        <w:numPr>
          <w:ilvl w:val="0"/>
          <w:numId w:val="17"/>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1"/>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1"/>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1"/>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17"/>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17"/>
        </w:numPr>
        <w:ind w:left="0" w:firstLine="480" w:firstLineChars="200"/>
        <w:rPr>
          <w:rFonts w:hint="eastAsia"/>
        </w:rPr>
      </w:pPr>
      <w:r>
        <w:rPr>
          <w:rFonts w:hint="eastAsia"/>
          <w:sz w:val="24"/>
          <w:szCs w:val="24"/>
        </w:rPr>
        <w:t>乙方应接受甲方对本项目执行工作的监督、检查和评价。</w:t>
      </w:r>
    </w:p>
    <w:p>
      <w:pPr>
        <w:numPr>
          <w:ilvl w:val="0"/>
          <w:numId w:val="17"/>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17"/>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7"/>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17"/>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5"/>
        </w:numPr>
        <w:ind w:left="0" w:firstLine="480" w:firstLineChars="200"/>
        <w:rPr>
          <w:sz w:val="24"/>
          <w:szCs w:val="24"/>
        </w:rPr>
      </w:pPr>
      <w:bookmarkStart w:id="132" w:name="_Toc150434197"/>
      <w:bookmarkEnd w:id="132"/>
      <w:bookmarkStart w:id="133" w:name="_Toc150434293"/>
      <w:bookmarkEnd w:id="133"/>
      <w:bookmarkStart w:id="134" w:name="_Toc150424372"/>
      <w:bookmarkEnd w:id="134"/>
      <w:bookmarkStart w:id="135" w:name="_Toc150439550"/>
      <w:bookmarkEnd w:id="135"/>
      <w:bookmarkStart w:id="136" w:name="_Toc150439565"/>
      <w:r>
        <w:rPr>
          <w:rFonts w:hint="eastAsia"/>
          <w:sz w:val="24"/>
          <w:szCs w:val="24"/>
        </w:rPr>
        <w:t>甲方</w:t>
      </w:r>
      <w:r>
        <w:rPr>
          <w:sz w:val="24"/>
          <w:szCs w:val="24"/>
        </w:rPr>
        <w:t>的权利与义务</w:t>
      </w:r>
      <w:bookmarkEnd w:id="136"/>
    </w:p>
    <w:p>
      <w:pPr>
        <w:numPr>
          <w:ilvl w:val="0"/>
          <w:numId w:val="22"/>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3"/>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3"/>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3"/>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2"/>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2"/>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2"/>
        </w:numPr>
        <w:ind w:left="0" w:firstLine="480" w:firstLineChars="200"/>
        <w:rPr>
          <w:spacing w:val="7"/>
        </w:rPr>
      </w:pPr>
      <w:r>
        <w:rPr>
          <w:rFonts w:hint="eastAsia"/>
          <w:sz w:val="24"/>
          <w:szCs w:val="24"/>
        </w:rPr>
        <w:t>甲方必须遵守国家法律法规及气象部门管理制度的要求。</w:t>
      </w:r>
    </w:p>
    <w:p>
      <w:pPr>
        <w:numPr>
          <w:ilvl w:val="0"/>
          <w:numId w:val="22"/>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5"/>
        </w:numPr>
        <w:ind w:left="0" w:firstLine="480" w:firstLineChars="200"/>
        <w:rPr>
          <w:sz w:val="24"/>
          <w:szCs w:val="24"/>
        </w:rPr>
      </w:pPr>
      <w:r>
        <w:rPr>
          <w:rFonts w:hint="eastAsia"/>
          <w:sz w:val="24"/>
          <w:szCs w:val="24"/>
        </w:rPr>
        <w:t>知识产权归属</w:t>
      </w:r>
    </w:p>
    <w:p>
      <w:pPr>
        <w:numPr>
          <w:ilvl w:val="0"/>
          <w:numId w:val="24"/>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4"/>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4"/>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4"/>
        </w:numPr>
        <w:ind w:left="0" w:firstLine="480" w:firstLineChars="200"/>
      </w:pPr>
      <w:r>
        <w:rPr>
          <w:sz w:val="24"/>
          <w:szCs w:val="24"/>
        </w:rPr>
        <w:t>乙方利用研究开发经费所购置与研究开发工作有关的设备、器材、资料等财产，归甲方所有。</w:t>
      </w:r>
    </w:p>
    <w:p>
      <w:pPr>
        <w:numPr>
          <w:ilvl w:val="0"/>
          <w:numId w:val="24"/>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4"/>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4"/>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5"/>
        </w:numPr>
        <w:ind w:left="0" w:firstLine="480" w:firstLineChars="200"/>
        <w:rPr>
          <w:rFonts w:hint="eastAsia"/>
          <w:sz w:val="24"/>
          <w:szCs w:val="24"/>
        </w:rPr>
      </w:pPr>
      <w:r>
        <w:rPr>
          <w:rFonts w:hint="eastAsia"/>
          <w:sz w:val="24"/>
          <w:szCs w:val="24"/>
        </w:rPr>
        <w:t>项目联系人及相关约定</w:t>
      </w:r>
    </w:p>
    <w:p>
      <w:pPr>
        <w:numPr>
          <w:ilvl w:val="0"/>
          <w:numId w:val="25"/>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 </w:t>
      </w:r>
    </w:p>
    <w:p>
      <w:pPr>
        <w:numPr>
          <w:ilvl w:val="0"/>
          <w:numId w:val="26"/>
        </w:numPr>
        <w:ind w:hanging="5"/>
        <w:rPr>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5"/>
        </w:numPr>
        <w:ind w:left="0" w:firstLine="480" w:firstLineChars="200"/>
        <w:rPr>
          <w:rFonts w:hint="eastAsia"/>
        </w:rPr>
      </w:pPr>
      <w:r>
        <w:rPr>
          <w:rFonts w:hint="eastAsia"/>
          <w:sz w:val="24"/>
          <w:szCs w:val="24"/>
        </w:rPr>
        <w:t>联系人变更约定</w:t>
      </w:r>
    </w:p>
    <w:p>
      <w:pPr>
        <w:numPr>
          <w:ilvl w:val="0"/>
          <w:numId w:val="27"/>
        </w:numPr>
        <w:ind w:left="5" w:firstLine="415"/>
      </w:pPr>
      <w:r>
        <w:rPr>
          <w:sz w:val="24"/>
          <w:szCs w:val="24"/>
        </w:rPr>
        <w:t>一方变更项目联系人的，应当及时以书面形式通知另一方。未及时通知并影响本合同履行或造成损失的，应承担相应的责任。</w:t>
      </w:r>
    </w:p>
    <w:p>
      <w:pPr>
        <w:numPr>
          <w:ilvl w:val="0"/>
          <w:numId w:val="27"/>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27"/>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5"/>
        </w:numPr>
        <w:ind w:left="0" w:firstLine="480" w:firstLineChars="200"/>
        <w:rPr>
          <w:sz w:val="24"/>
          <w:szCs w:val="24"/>
        </w:rPr>
      </w:pPr>
      <w:bookmarkStart w:id="137" w:name="_Toc150439567"/>
      <w:r>
        <w:rPr>
          <w:rFonts w:hint="eastAsia"/>
          <w:sz w:val="24"/>
          <w:szCs w:val="24"/>
        </w:rPr>
        <w:t>项目交付</w:t>
      </w:r>
      <w:bookmarkEnd w:id="137"/>
    </w:p>
    <w:p>
      <w:pPr>
        <w:numPr>
          <w:ilvl w:val="0"/>
          <w:numId w:val="28"/>
        </w:numPr>
        <w:ind w:left="0" w:firstLine="480" w:firstLineChars="200"/>
        <w:rPr>
          <w:rFonts w:hint="eastAsia"/>
        </w:rPr>
      </w:pPr>
      <w:r>
        <w:rPr>
          <w:rFonts w:hint="eastAsia"/>
          <w:sz w:val="24"/>
          <w:szCs w:val="24"/>
        </w:rPr>
        <w:t>乙方应当按以下方式向甲方交付研究开发成果：</w:t>
      </w:r>
    </w:p>
    <w:p>
      <w:pPr>
        <w:numPr>
          <w:ilvl w:val="0"/>
          <w:numId w:val="29"/>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29"/>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29"/>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28"/>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0"/>
        </w:numPr>
        <w:ind w:left="0" w:firstLine="480" w:firstLineChars="200"/>
        <w:rPr>
          <w:rFonts w:hint="eastAsia"/>
        </w:rPr>
      </w:pPr>
      <w:r>
        <w:rPr>
          <w:rFonts w:hint="eastAsia"/>
          <w:sz w:val="24"/>
          <w:szCs w:val="24"/>
        </w:rPr>
        <w:t>确保达到系统正常运行条件和相关技术标准及业务要求；</w:t>
      </w:r>
    </w:p>
    <w:p>
      <w:pPr>
        <w:numPr>
          <w:ilvl w:val="0"/>
          <w:numId w:val="30"/>
        </w:numPr>
        <w:ind w:left="0" w:firstLine="480" w:firstLineChars="200"/>
        <w:rPr>
          <w:rFonts w:hint="eastAsia"/>
        </w:rPr>
      </w:pPr>
      <w:r>
        <w:rPr>
          <w:rFonts w:hint="eastAsia"/>
          <w:sz w:val="24"/>
          <w:szCs w:val="24"/>
        </w:rPr>
        <w:t>系统数据达到规范要求，运行正常；</w:t>
      </w:r>
    </w:p>
    <w:p>
      <w:pPr>
        <w:numPr>
          <w:ilvl w:val="0"/>
          <w:numId w:val="30"/>
        </w:numPr>
        <w:ind w:left="0" w:firstLine="480" w:firstLineChars="200"/>
        <w:rPr>
          <w:rFonts w:hint="eastAsia"/>
        </w:rPr>
      </w:pPr>
      <w:r>
        <w:rPr>
          <w:rFonts w:hint="eastAsia"/>
          <w:sz w:val="24"/>
          <w:szCs w:val="24"/>
        </w:rPr>
        <w:t>系统运行保证安全稳定；</w:t>
      </w:r>
    </w:p>
    <w:p>
      <w:pPr>
        <w:numPr>
          <w:ilvl w:val="0"/>
          <w:numId w:val="30"/>
        </w:numPr>
        <w:ind w:left="0" w:firstLine="480" w:firstLineChars="200"/>
        <w:rPr>
          <w:rFonts w:hint="eastAsia"/>
        </w:rPr>
      </w:pPr>
      <w:r>
        <w:rPr>
          <w:rFonts w:hint="eastAsia"/>
          <w:sz w:val="24"/>
          <w:szCs w:val="24"/>
        </w:rPr>
        <w:t>平台业务运行机制要完整。</w:t>
      </w:r>
    </w:p>
    <w:p>
      <w:pPr>
        <w:numPr>
          <w:ilvl w:val="0"/>
          <w:numId w:val="28"/>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5"/>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1"/>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p>
    <w:p>
      <w:pPr>
        <w:numPr>
          <w:ilvl w:val="0"/>
          <w:numId w:val="31"/>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lang w:val="en-US" w:eastAsia="zh-CN"/>
        </w:rPr>
        <w:t>30</w:t>
      </w:r>
      <w:r>
        <w:rPr>
          <w:rFonts w:hint="eastAsia"/>
          <w:sz w:val="24"/>
          <w:szCs w:val="24"/>
          <w:u w:val="single"/>
        </w:rPr>
        <w:t>%_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w:t>
      </w:r>
      <w:r>
        <w:rPr>
          <w:rFonts w:hint="eastAsia"/>
          <w:sz w:val="24"/>
          <w:szCs w:val="24"/>
          <w:u w:val="single"/>
          <w:lang w:val="en-US" w:eastAsia="zh-CN"/>
        </w:rPr>
        <w:t>60</w:t>
      </w:r>
      <w:r>
        <w:rPr>
          <w:rFonts w:hint="eastAsia"/>
          <w:sz w:val="24"/>
          <w:szCs w:val="24"/>
          <w:u w:val="single"/>
        </w:rPr>
        <w:t xml:space="preserve">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w:t>
      </w:r>
      <w:r>
        <w:rPr>
          <w:rFonts w:hint="eastAsia"/>
          <w:sz w:val="24"/>
          <w:szCs w:val="24"/>
          <w:u w:val="single"/>
          <w:lang w:val="en-US" w:eastAsia="zh-CN"/>
        </w:rPr>
        <w:t>10</w:t>
      </w:r>
      <w:r>
        <w:rPr>
          <w:rFonts w:hint="eastAsia"/>
          <w:sz w:val="24"/>
          <w:szCs w:val="24"/>
          <w:u w:val="single"/>
        </w:rPr>
        <w:t xml:space="preserve">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1"/>
        </w:numPr>
        <w:tabs>
          <w:tab w:val="left" w:pos="720"/>
        </w:tabs>
        <w:ind w:left="0" w:firstLine="480" w:firstLineChars="200"/>
        <w:rPr>
          <w:rFonts w:hint="eastAsia"/>
        </w:rPr>
      </w:pPr>
      <w:r>
        <w:rPr>
          <w:rFonts w:hint="eastAsia"/>
          <w:sz w:val="24"/>
          <w:szCs w:val="24"/>
        </w:rPr>
        <w:t>履约保证金或履约保函</w:t>
      </w:r>
    </w:p>
    <w:p>
      <w:pPr>
        <w:numPr>
          <w:ilvl w:val="0"/>
          <w:numId w:val="33"/>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3"/>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3"/>
        </w:numPr>
        <w:tabs>
          <w:tab w:val="left" w:pos="720"/>
        </w:tabs>
        <w:ind w:left="0" w:firstLine="420"/>
        <w:rPr>
          <w:rFonts w:hint="eastAsia"/>
        </w:rPr>
      </w:pPr>
      <w:r>
        <w:rPr>
          <w:rFonts w:hint="eastAsia"/>
          <w:sz w:val="24"/>
          <w:szCs w:val="24"/>
        </w:rPr>
        <w:t>履约保证金应用本合同货币。</w:t>
      </w:r>
    </w:p>
    <w:p>
      <w:pPr>
        <w:numPr>
          <w:ilvl w:val="0"/>
          <w:numId w:val="31"/>
        </w:numPr>
        <w:tabs>
          <w:tab w:val="left" w:pos="720"/>
        </w:tabs>
        <w:ind w:left="0" w:firstLine="480" w:firstLineChars="200"/>
      </w:pPr>
      <w:r>
        <w:rPr>
          <w:rFonts w:hint="eastAsia"/>
          <w:sz w:val="24"/>
          <w:szCs w:val="24"/>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甲方开户银行名称、地址和账号为：</w:t>
            </w:r>
          </w:p>
        </w:tc>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开户银行：</w:t>
            </w:r>
          </w:p>
        </w:tc>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地址：</w:t>
            </w:r>
          </w:p>
        </w:tc>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地址：</w:t>
            </w:r>
          </w:p>
        </w:tc>
      </w:tr>
      <w:tr>
        <w:tblPrEx>
          <w:tblW w:w="5000" w:type="pct"/>
          <w:tblInd w:w="0" w:type="dxa"/>
          <w:tblCellMar>
            <w:top w:w="0" w:type="dxa"/>
            <w:left w:w="108" w:type="dxa"/>
            <w:bottom w:w="0" w:type="dxa"/>
            <w:right w:w="108" w:type="dxa"/>
          </w:tblCellMar>
        </w:tblPrEx>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账号：</w:t>
            </w:r>
          </w:p>
        </w:tc>
        <w:tc>
          <w:tcPr>
            <w:tcW w:w="2500" w:type="pct"/>
            <w:noWrap w:val="0"/>
            <w:vAlign w:val="top"/>
          </w:tcPr>
          <w:p>
            <w:pPr>
              <w:keepNext w:val="0"/>
              <w:keepLines w:val="0"/>
              <w:suppressLineNumbers w:val="0"/>
              <w:tabs>
                <w:tab w:val="left" w:pos="720"/>
              </w:tabs>
              <w:spacing w:before="0" w:beforeAutospacing="0" w:after="0" w:afterAutospacing="0"/>
              <w:ind w:left="0" w:right="0" w:firstLine="200"/>
              <w:rPr>
                <w:rFonts w:hint="eastAsia"/>
              </w:rPr>
            </w:pPr>
            <w:r>
              <w:rPr>
                <w:rFonts w:hint="eastAsia"/>
                <w:sz w:val="24"/>
                <w:szCs w:val="24"/>
              </w:rPr>
              <w:t>账号：</w:t>
            </w:r>
          </w:p>
        </w:tc>
      </w:tr>
    </w:tbl>
    <w:p>
      <w:pPr>
        <w:numPr>
          <w:ilvl w:val="0"/>
          <w:numId w:val="31"/>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4"/>
        </w:numPr>
        <w:tabs>
          <w:tab w:val="left" w:pos="720"/>
        </w:tabs>
        <w:ind w:left="0" w:firstLine="420"/>
        <w:rPr>
          <w:rFonts w:hint="eastAsia"/>
        </w:rPr>
      </w:pPr>
      <w:r>
        <w:rPr>
          <w:rFonts w:hint="eastAsia"/>
          <w:sz w:val="24"/>
          <w:szCs w:val="24"/>
        </w:rPr>
        <w:t>乙方丧失继续完成本合同的基本条件或能力时；</w:t>
      </w:r>
    </w:p>
    <w:p>
      <w:pPr>
        <w:numPr>
          <w:ilvl w:val="0"/>
          <w:numId w:val="34"/>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4"/>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4"/>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5"/>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5"/>
        </w:numPr>
        <w:ind w:left="0" w:firstLine="480" w:firstLineChars="200"/>
        <w:rPr>
          <w:sz w:val="24"/>
          <w:szCs w:val="24"/>
        </w:rPr>
      </w:pPr>
      <w:bookmarkStart w:id="138" w:name="_Toc150434215"/>
      <w:bookmarkEnd w:id="138"/>
      <w:bookmarkStart w:id="139" w:name="_Toc150424390"/>
      <w:bookmarkEnd w:id="139"/>
      <w:bookmarkStart w:id="140" w:name="_Toc150439568"/>
      <w:bookmarkEnd w:id="140"/>
      <w:bookmarkStart w:id="141" w:name="_Toc150434311"/>
      <w:bookmarkEnd w:id="141"/>
      <w:bookmarkStart w:id="142" w:name="_Toc150439569"/>
      <w:r>
        <w:rPr>
          <w:rFonts w:hint="eastAsia"/>
          <w:sz w:val="24"/>
          <w:szCs w:val="24"/>
        </w:rPr>
        <w:t>项目验收</w:t>
      </w:r>
      <w:bookmarkEnd w:id="142"/>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35"/>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35"/>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35"/>
        </w:numPr>
        <w:ind w:left="0" w:firstLine="420"/>
        <w:rPr>
          <w:rFonts w:hint="eastAsia"/>
          <w:u w:val="single"/>
        </w:rPr>
      </w:pPr>
      <w:r>
        <w:rPr>
          <w:rFonts w:hint="eastAsia"/>
          <w:sz w:val="24"/>
          <w:szCs w:val="24"/>
          <w:u w:val="single"/>
        </w:rPr>
        <w:t xml:space="preserve">全部源代码（电子版）及说明；                                   </w:t>
      </w:r>
    </w:p>
    <w:p>
      <w:pPr>
        <w:numPr>
          <w:ilvl w:val="0"/>
          <w:numId w:val="35"/>
        </w:numPr>
        <w:ind w:left="0" w:firstLine="420"/>
        <w:rPr>
          <w:rFonts w:hint="eastAsia"/>
          <w:u w:val="single"/>
        </w:rPr>
      </w:pPr>
      <w:r>
        <w:rPr>
          <w:rFonts w:hint="eastAsia"/>
          <w:sz w:val="24"/>
          <w:szCs w:val="24"/>
          <w:u w:val="single"/>
        </w:rPr>
        <w:t xml:space="preserve">试运行方案、记录、报告、试运行改进报告                         </w:t>
      </w:r>
    </w:p>
    <w:p>
      <w:pPr>
        <w:numPr>
          <w:ilvl w:val="0"/>
          <w:numId w:val="35"/>
        </w:numPr>
        <w:ind w:left="0" w:firstLine="420"/>
        <w:rPr>
          <w:rFonts w:hint="eastAsia"/>
          <w:u w:val="single"/>
        </w:rPr>
      </w:pPr>
      <w:r>
        <w:rPr>
          <w:rFonts w:hint="eastAsia"/>
          <w:sz w:val="24"/>
          <w:szCs w:val="24"/>
          <w:u w:val="single"/>
        </w:rPr>
        <w:t xml:space="preserve">合同验收文件、开发总结报告、交接清单                           </w:t>
      </w:r>
    </w:p>
    <w:p>
      <w:pPr>
        <w:numPr>
          <w:ilvl w:val="0"/>
          <w:numId w:val="35"/>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5"/>
        </w:numPr>
        <w:ind w:left="0" w:firstLine="480" w:firstLineChars="200"/>
        <w:rPr>
          <w:sz w:val="24"/>
          <w:szCs w:val="24"/>
        </w:rPr>
      </w:pPr>
      <w:bookmarkStart w:id="143" w:name="_Toc150439566"/>
      <w:r>
        <w:rPr>
          <w:rFonts w:hint="eastAsia"/>
          <w:sz w:val="24"/>
          <w:szCs w:val="24"/>
        </w:rPr>
        <w:t>质量保证</w:t>
      </w:r>
      <w:bookmarkEnd w:id="143"/>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36"/>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36"/>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36"/>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36"/>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6"/>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5"/>
        </w:numPr>
        <w:ind w:left="0" w:firstLine="480" w:firstLineChars="200"/>
        <w:rPr>
          <w:sz w:val="24"/>
          <w:szCs w:val="24"/>
        </w:rPr>
      </w:pPr>
      <w:bookmarkStart w:id="144" w:name="_Toc150424425"/>
      <w:bookmarkEnd w:id="144"/>
      <w:bookmarkStart w:id="145" w:name="_Toc150439603"/>
      <w:bookmarkEnd w:id="145"/>
      <w:bookmarkStart w:id="146" w:name="_Toc150434346"/>
      <w:bookmarkEnd w:id="146"/>
      <w:bookmarkStart w:id="147" w:name="_Toc150434250"/>
      <w:bookmarkEnd w:id="147"/>
      <w:bookmarkStart w:id="148" w:name="_Toc150439612"/>
      <w:r>
        <w:rPr>
          <w:rFonts w:hint="eastAsia"/>
          <w:sz w:val="24"/>
          <w:szCs w:val="24"/>
        </w:rPr>
        <w:t>保密条款（保密协议）</w:t>
      </w:r>
      <w:bookmarkEnd w:id="148"/>
    </w:p>
    <w:p>
      <w:pPr>
        <w:ind w:firstLine="480" w:firstLineChars="200"/>
        <w:rPr>
          <w:rFonts w:hint="eastAsia"/>
        </w:rPr>
      </w:pPr>
      <w:r>
        <w:rPr>
          <w:rFonts w:hint="eastAsia"/>
          <w:sz w:val="24"/>
          <w:szCs w:val="24"/>
        </w:rPr>
        <w:t>甲方因履行本合同应遵守的保密义务如下：</w:t>
      </w:r>
    </w:p>
    <w:p>
      <w:pPr>
        <w:numPr>
          <w:ilvl w:val="0"/>
          <w:numId w:val="37"/>
        </w:numPr>
        <w:ind w:left="0" w:firstLine="480" w:firstLineChars="200"/>
        <w:rPr>
          <w:rFonts w:hint="eastAsia"/>
        </w:rPr>
      </w:pPr>
      <w:bookmarkStart w:id="149"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37"/>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37"/>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37"/>
        </w:numPr>
        <w:ind w:left="0" w:firstLine="480" w:firstLineChars="200"/>
        <w:rPr>
          <w:rFonts w:hint="eastAsia"/>
        </w:rPr>
      </w:pPr>
      <w:r>
        <w:rPr>
          <w:rFonts w:hint="eastAsia"/>
          <w:sz w:val="24"/>
          <w:szCs w:val="24"/>
        </w:rPr>
        <w:t>泄密责任：</w:t>
      </w:r>
      <w:r>
        <w:rPr>
          <w:rFonts w:hint="eastAsia"/>
          <w:sz w:val="24"/>
          <w:szCs w:val="24"/>
          <w:u w:val="single"/>
        </w:rPr>
        <w:t xml:space="preserve">                                                 。</w:t>
      </w:r>
    </w:p>
    <w:bookmarkEnd w:id="149"/>
    <w:p>
      <w:pPr>
        <w:ind w:firstLine="480" w:firstLineChars="200"/>
      </w:pPr>
      <w:r>
        <w:rPr>
          <w:rFonts w:hint="eastAsia"/>
          <w:sz w:val="24"/>
          <w:szCs w:val="24"/>
        </w:rPr>
        <w:t>乙方因履行本合同应遵守的保密义务如下：</w:t>
      </w:r>
    </w:p>
    <w:p>
      <w:pPr>
        <w:numPr>
          <w:ilvl w:val="0"/>
          <w:numId w:val="38"/>
        </w:numPr>
        <w:ind w:left="0" w:firstLine="480" w:firstLineChars="200"/>
        <w:rPr>
          <w:rFonts w:hint="eastAsia"/>
        </w:rPr>
      </w:pPr>
      <w:r>
        <w:rPr>
          <w:rFonts w:hint="eastAsia"/>
          <w:sz w:val="24"/>
          <w:szCs w:val="24"/>
        </w:rPr>
        <w:t>保密内容（包括技术信息和经营信息）：</w:t>
      </w:r>
    </w:p>
    <w:p>
      <w:pPr>
        <w:numPr>
          <w:ilvl w:val="0"/>
          <w:numId w:val="39"/>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39"/>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39"/>
        </w:numPr>
        <w:ind w:left="0" w:firstLine="420"/>
        <w:rPr>
          <w:u w:val="single"/>
        </w:rPr>
      </w:pPr>
      <w:r>
        <w:rPr>
          <w:rFonts w:hint="eastAsia"/>
          <w:sz w:val="24"/>
          <w:szCs w:val="24"/>
          <w:u w:val="single"/>
        </w:rPr>
        <w:t xml:space="preserve">涉及国家秘密和安全的 ，依照有关保密规定执行。                          </w:t>
      </w:r>
    </w:p>
    <w:p>
      <w:pPr>
        <w:numPr>
          <w:ilvl w:val="0"/>
          <w:numId w:val="38"/>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38"/>
        </w:numPr>
        <w:ind w:left="0" w:firstLine="480" w:firstLineChars="200"/>
        <w:rPr>
          <w:rFonts w:hint="eastAsia"/>
        </w:rPr>
      </w:pPr>
      <w:r>
        <w:rPr>
          <w:rFonts w:hint="eastAsia"/>
          <w:sz w:val="24"/>
          <w:szCs w:val="24"/>
        </w:rPr>
        <w:t>保密期限：</w:t>
      </w:r>
      <w:bookmarkStart w:id="150" w:name="_Hlk150343509"/>
      <w:r>
        <w:rPr>
          <w:rFonts w:hint="eastAsia"/>
          <w:sz w:val="24"/>
          <w:szCs w:val="24"/>
          <w:u w:val="single"/>
        </w:rPr>
        <w:t xml:space="preserve">      本条规定持续有效，不因本合同终止或解除而失效  </w:t>
      </w:r>
      <w:bookmarkEnd w:id="150"/>
    </w:p>
    <w:p>
      <w:pPr>
        <w:numPr>
          <w:ilvl w:val="0"/>
          <w:numId w:val="38"/>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5"/>
        </w:numPr>
        <w:ind w:left="0" w:firstLine="480" w:firstLineChars="200"/>
        <w:rPr>
          <w:sz w:val="24"/>
          <w:szCs w:val="24"/>
        </w:rPr>
      </w:pPr>
      <w:bookmarkStart w:id="151" w:name="_Toc150439618"/>
      <w:r>
        <w:rPr>
          <w:rFonts w:hint="eastAsia"/>
          <w:sz w:val="24"/>
          <w:szCs w:val="24"/>
        </w:rPr>
        <w:t>违约</w:t>
      </w:r>
      <w:r>
        <w:rPr>
          <w:sz w:val="24"/>
          <w:szCs w:val="24"/>
        </w:rPr>
        <w:t>责任及赔偿</w:t>
      </w:r>
      <w:bookmarkEnd w:id="151"/>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0"/>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0"/>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0"/>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0"/>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0"/>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0"/>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5"/>
        </w:numPr>
        <w:ind w:left="0" w:firstLine="480" w:firstLineChars="200"/>
        <w:rPr>
          <w:sz w:val="24"/>
          <w:szCs w:val="24"/>
        </w:rPr>
      </w:pPr>
      <w:bookmarkStart w:id="152" w:name="_Toc150439619"/>
      <w:r>
        <w:rPr>
          <w:rFonts w:hint="eastAsia"/>
          <w:sz w:val="24"/>
          <w:szCs w:val="24"/>
        </w:rPr>
        <w:t>争议的解决</w:t>
      </w:r>
      <w:bookmarkEnd w:id="152"/>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5"/>
        </w:numPr>
        <w:ind w:left="0" w:firstLine="0"/>
        <w:rPr>
          <w:sz w:val="24"/>
          <w:szCs w:val="24"/>
        </w:rPr>
      </w:pPr>
      <w:bookmarkStart w:id="153" w:name="_Toc150439621"/>
      <w:r>
        <w:rPr>
          <w:rFonts w:hint="eastAsia"/>
          <w:sz w:val="24"/>
          <w:szCs w:val="24"/>
        </w:rPr>
        <w:t>不可抗力</w:t>
      </w:r>
      <w:bookmarkEnd w:id="153"/>
    </w:p>
    <w:p>
      <w:pPr>
        <w:numPr>
          <w:ilvl w:val="0"/>
          <w:numId w:val="41"/>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2"/>
        </w:numPr>
        <w:ind w:hanging="5"/>
        <w:rPr>
          <w:rFonts w:hint="eastAsia"/>
        </w:rPr>
      </w:pPr>
      <w:r>
        <w:rPr>
          <w:rFonts w:hint="eastAsia"/>
          <w:sz w:val="24"/>
          <w:szCs w:val="24"/>
        </w:rPr>
        <w:t>本合同项目在现有技术水平条件下具有足够的难度；</w:t>
      </w:r>
    </w:p>
    <w:p>
      <w:pPr>
        <w:numPr>
          <w:ilvl w:val="0"/>
          <w:numId w:val="42"/>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1"/>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1"/>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3"/>
        </w:numPr>
        <w:ind w:hanging="5"/>
        <w:rPr>
          <w:rFonts w:hint="eastAsia"/>
        </w:rPr>
      </w:pPr>
      <w:r>
        <w:rPr>
          <w:rFonts w:hint="eastAsia"/>
          <w:sz w:val="24"/>
          <w:szCs w:val="24"/>
        </w:rPr>
        <w:t>因发生不可抗力或技术风险；</w:t>
      </w:r>
    </w:p>
    <w:p>
      <w:pPr>
        <w:numPr>
          <w:ilvl w:val="0"/>
          <w:numId w:val="43"/>
        </w:numPr>
        <w:ind w:hanging="5"/>
        <w:rPr>
          <w:rFonts w:hint="eastAsia"/>
        </w:rPr>
      </w:pPr>
      <w:r>
        <w:rPr>
          <w:rFonts w:hint="eastAsia"/>
          <w:sz w:val="24"/>
          <w:szCs w:val="24"/>
        </w:rPr>
        <w:t>因一方未按约定履行合同义务支付款项的；</w:t>
      </w:r>
    </w:p>
    <w:p>
      <w:pPr>
        <w:numPr>
          <w:ilvl w:val="0"/>
          <w:numId w:val="43"/>
        </w:numPr>
        <w:ind w:hanging="5"/>
        <w:rPr>
          <w:rFonts w:hint="eastAsia"/>
        </w:rPr>
      </w:pPr>
      <w:r>
        <w:rPr>
          <w:rFonts w:hint="eastAsia"/>
          <w:sz w:val="24"/>
          <w:szCs w:val="24"/>
        </w:rPr>
        <w:t>因一方未按期完成合同约定的项目开发任务。</w:t>
      </w:r>
    </w:p>
    <w:p>
      <w:pPr>
        <w:pStyle w:val="Heading2"/>
        <w:numPr>
          <w:ilvl w:val="0"/>
          <w:numId w:val="5"/>
        </w:numPr>
        <w:ind w:left="0" w:firstLine="480" w:firstLineChars="200"/>
        <w:rPr>
          <w:rFonts w:hint="eastAsia"/>
          <w:sz w:val="24"/>
          <w:szCs w:val="24"/>
        </w:rPr>
      </w:pPr>
      <w:bookmarkStart w:id="154" w:name="_Toc150439624"/>
      <w:r>
        <w:rPr>
          <w:rFonts w:hint="eastAsia"/>
          <w:sz w:val="24"/>
          <w:szCs w:val="24"/>
        </w:rPr>
        <w:t>本合同的变更</w:t>
      </w:r>
      <w:bookmarkEnd w:id="154"/>
    </w:p>
    <w:p>
      <w:pPr>
        <w:numPr>
          <w:ilvl w:val="0"/>
          <w:numId w:val="44"/>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4"/>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5"/>
        </w:numPr>
        <w:ind w:left="0" w:firstLine="480" w:firstLineChars="200"/>
        <w:rPr>
          <w:sz w:val="24"/>
          <w:szCs w:val="24"/>
        </w:rPr>
      </w:pPr>
      <w:bookmarkStart w:id="155" w:name="_Toc150434362"/>
      <w:bookmarkEnd w:id="155"/>
      <w:bookmarkStart w:id="156" w:name="_Toc150434266"/>
      <w:bookmarkEnd w:id="156"/>
      <w:bookmarkStart w:id="157" w:name="_Toc150424441"/>
      <w:bookmarkEnd w:id="157"/>
      <w:bookmarkStart w:id="158" w:name="_Toc150439622"/>
      <w:bookmarkEnd w:id="158"/>
      <w:bookmarkStart w:id="159" w:name="_Toc150439623"/>
      <w:r>
        <w:rPr>
          <w:rFonts w:hint="eastAsia"/>
          <w:sz w:val="24"/>
          <w:szCs w:val="24"/>
        </w:rPr>
        <w:t>其它</w:t>
      </w:r>
      <w:bookmarkEnd w:id="159"/>
    </w:p>
    <w:p>
      <w:pPr>
        <w:ind w:left="420" w:leftChars="200"/>
      </w:pPr>
      <w:r>
        <w:rPr>
          <w:rFonts w:hint="eastAsia"/>
          <w:sz w:val="24"/>
          <w:szCs w:val="24"/>
        </w:rPr>
        <w:t>本合同未尽事宜，由双方协商后按有关程序办理，并以书面形式进行确定。</w:t>
      </w:r>
    </w:p>
    <w:p>
      <w:pPr>
        <w:pStyle w:val="Heading2"/>
        <w:numPr>
          <w:ilvl w:val="0"/>
          <w:numId w:val="5"/>
        </w:numPr>
        <w:ind w:left="0" w:firstLine="480" w:firstLineChars="200"/>
        <w:rPr>
          <w:rFonts w:hint="eastAsia"/>
          <w:sz w:val="24"/>
          <w:szCs w:val="24"/>
        </w:rPr>
      </w:pPr>
      <w:bookmarkStart w:id="160" w:name="_Toc150439626"/>
      <w:r>
        <w:rPr>
          <w:rFonts w:hint="eastAsia"/>
          <w:sz w:val="24"/>
          <w:szCs w:val="24"/>
        </w:rPr>
        <w:t>合同生效</w:t>
      </w:r>
      <w:bookmarkEnd w:id="160"/>
    </w:p>
    <w:p>
      <w:pPr>
        <w:numPr>
          <w:ilvl w:val="0"/>
          <w:numId w:val="45"/>
        </w:numPr>
        <w:ind w:left="0" w:firstLine="480" w:firstLineChars="200"/>
      </w:pPr>
      <w:r>
        <w:rPr>
          <w:rFonts w:hint="eastAsia"/>
          <w:sz w:val="24"/>
          <w:szCs w:val="24"/>
        </w:rPr>
        <w:t>本合同经双方法定代表人或授权代表签字并加盖公章之日起生效，至质保期结束终止。</w:t>
      </w:r>
    </w:p>
    <w:p>
      <w:pPr>
        <w:numPr>
          <w:ilvl w:val="0"/>
          <w:numId w:val="45"/>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drawing>
          <wp:inline distT="0" distB="0" distL="114300" distR="114300">
            <wp:extent cx="5272405" cy="8616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xmlns:r="http://schemas.openxmlformats.org/officeDocument/2006/relationships" r:embed="rId15"/>
                    <a:stretch>
                      <a:fillRect/>
                    </a:stretch>
                  </pic:blipFill>
                  <pic:spPr>
                    <a:xfrm>
                      <a:off x="0" y="0"/>
                      <a:ext cx="5272405" cy="8616950"/>
                    </a:xfrm>
                    <a:prstGeom prst="rect">
                      <a:avLst/>
                    </a:prstGeom>
                    <a:noFill/>
                    <a:ln>
                      <a:noFill/>
                    </a:ln>
                  </pic:spPr>
                </pic:pic>
              </a:graphicData>
            </a:graphic>
          </wp:inline>
        </w:drawing>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w:t>
      </w:r>
      <w:r>
        <w:rPr>
          <w:rFonts w:hint="eastAsia"/>
          <w:kern w:val="0"/>
          <w:sz w:val="24"/>
          <w:szCs w:val="24"/>
          <w:lang w:val="en-US" w:eastAsia="zh-CN"/>
        </w:rPr>
        <w:t xml:space="preserve">               </w:t>
      </w:r>
      <w:r>
        <w:rPr>
          <w:rFonts w:hint="eastAsia"/>
          <w:kern w:val="0"/>
          <w:sz w:val="24"/>
          <w:szCs w:val="24"/>
        </w:rPr>
        <w:t>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w:t>
      </w:r>
      <w:r>
        <w:rPr>
          <w:rFonts w:hint="eastAsia"/>
          <w:sz w:val="24"/>
          <w:szCs w:val="24"/>
          <w:lang w:val="en-US" w:eastAsia="zh-CN"/>
        </w:rPr>
        <w:t xml:space="preserve"> </w:t>
      </w:r>
      <w:r>
        <w:rPr>
          <w:rFonts w:hint="eastAsia"/>
          <w:sz w:val="24"/>
          <w:szCs w:val="24"/>
        </w:rPr>
        <w:t>（盖章）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61" w:name="_Hlk99802248"/>
    </w:p>
    <w:p>
      <w:pPr>
        <w:jc w:val="center"/>
        <w:rPr>
          <w:rFonts w:hint="eastAsia"/>
          <w:spacing w:val="-16"/>
          <w:sz w:val="44"/>
          <w:szCs w:val="44"/>
        </w:rPr>
      </w:pPr>
      <w:r>
        <w:rPr>
          <w:rFonts w:hint="eastAsia"/>
          <w:spacing w:val="-16"/>
          <w:sz w:val="44"/>
          <w:szCs w:val="44"/>
        </w:rPr>
        <w:t>安全保密承诺书</w:t>
      </w:r>
      <w:bookmarkEnd w:id="161"/>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w:t>
      </w:r>
      <w:r>
        <w:rPr>
          <w:rFonts w:hint="eastAsia"/>
          <w:sz w:val="24"/>
          <w:szCs w:val="24"/>
          <w:lang w:val="en-US" w:eastAsia="zh-CN"/>
        </w:rPr>
        <w:t>印发</w:t>
      </w:r>
      <w:r>
        <w:rPr>
          <w:rFonts w:hint="eastAsia"/>
          <w:sz w:val="24"/>
          <w:szCs w:val="24"/>
        </w:rPr>
        <w:t>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云+端”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sectPr>
          <w:footerReference w:type="default" r:id="rId16"/>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p w:rsidR="00A77B3E"/>
    <w:p>
      <w:pPr>
        <w:ind w:right="-210" w:rightChars="-100"/>
        <w:rPr>
          <w:rFonts w:hint="eastAsia"/>
        </w:rPr>
      </w:pPr>
      <w:bookmarkEnd w:id="117"/>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6192"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1" type="#_x0000_t136" style="width:554.05pt;height:33.2pt;margin-top:0;margin-left:0;mso-height-relative:page;mso-position-horizontal:center;mso-position-horizontal-relative:margin;mso-position-vertical:center;mso-position-vertical-relative:margin;mso-width-relative:page;position:absolute;rotation:-45;z-index:-251658240" coordsize="21600,21600" adj="10800" filled="t" fillcolor="silver" stroked="f">
          <v:fill opacity="13107f"/>
          <v:textpath style="font-family:黑体;font-size:36pt;v-same-letter-heights:f;v-text-align:center" trim="t" fitpath="t" xscale="f" string="极端灾害性天气短临预警能力提升工程项目"/>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2" type="#_x0000_t136" style="width:554.05pt;height:33.2pt;margin-top:0;margin-left:0;mso-height-relative:page;mso-position-horizontal:center;mso-position-horizontal-relative:margin;mso-position-vertical:center;mso-position-vertical-relative:margin;mso-width-relative:page;position:absolute;rotation:-45;z-index:-251657216" coordsize="21600,21600" adj="10800" filled="t" fillcolor="silver" stroked="f">
          <v:fill opacity="13107f"/>
          <v:textpath style="font-family:黑体;font-size:36pt;v-same-letter-heights:f;v-text-align:center" trim="t" fitpath="t" xscale="f" string="极端灾害性天气短临预警能力提升工程项目"/>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7FFC18B"/>
    <w:multiLevelType w:val="singleLevel"/>
    <w:tmpl w:val="57FFC18B"/>
    <w:lvl w:ilvl="0">
      <w:start w:val="1"/>
      <w:numFmt w:val="decimal"/>
      <w:lvlText w:val="%1)"/>
      <w:lvlJc w:val="left"/>
      <w:pPr>
        <w:ind w:left="425" w:hanging="425"/>
      </w:pPr>
      <w:rPr>
        <w:rFonts w:hint="default"/>
      </w:rPr>
    </w:lvl>
  </w:abstractNum>
  <w:abstractNum w:abstractNumId="30">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2">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6">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83012BB"/>
    <w:multiLevelType w:val="multilevel"/>
    <w:tmpl w:val="783012BB"/>
    <w:lvl w:ilvl="0">
      <w:start w:val="1"/>
      <w:numFmt w:val="decimal"/>
      <w:pStyle w:val="Heading1"/>
      <w:lvlText w:val="%1"/>
      <w:lvlJc w:val="left"/>
      <w:pPr>
        <w:ind w:left="432" w:hanging="432"/>
      </w:pPr>
      <w:rPr>
        <w:rFonts w:hint="eastAsia"/>
      </w:rPr>
    </w:lvl>
    <w:lvl w:ilvl="1">
      <w:start w:val="1"/>
      <w:numFmt w:val="decimal"/>
      <w:pStyle w:val="Heading2"/>
      <w:lvlText w:val="%1.%2"/>
      <w:lvlJc w:val="left"/>
      <w:pPr>
        <w:ind w:left="576" w:hanging="576"/>
      </w:pPr>
      <w:rPr>
        <w:rFonts w:hint="eastAsia"/>
        <w:b/>
      </w:rPr>
    </w:lvl>
    <w:lvl w:ilvl="2">
      <w:start w:val="1"/>
      <w:numFmt w:val="decimal"/>
      <w:pStyle w:val="Heading3"/>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sz w:val="24"/>
        <w:szCs w:val="24"/>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40">
    <w:nsid w:val="79F8DDAB"/>
    <w:multiLevelType w:val="singleLevel"/>
    <w:tmpl w:val="79F8DDAB"/>
    <w:lvl w:ilvl="0">
      <w:start w:val="1"/>
      <w:numFmt w:val="decimal"/>
      <w:lvlText w:val="%1)"/>
      <w:lvlJc w:val="left"/>
      <w:pPr>
        <w:ind w:left="425" w:hanging="425"/>
      </w:pPr>
      <w:rPr>
        <w:rFonts w:hint="default"/>
      </w:rPr>
    </w:lvl>
  </w:abstractNum>
  <w:abstractNum w:abstractNumId="41">
    <w:nsid w:val="7BF79D3F"/>
    <w:multiLevelType w:val="singleLevel"/>
    <w:tmpl w:val="7BF79D3F"/>
    <w:lvl w:ilvl="0">
      <w:start w:val="1"/>
      <w:numFmt w:val="decimal"/>
      <w:lvlText w:val="%1)"/>
      <w:lvlJc w:val="left"/>
      <w:pPr>
        <w:ind w:left="425" w:hanging="425"/>
      </w:pPr>
      <w:rPr>
        <w:rFonts w:hint="default"/>
      </w:rPr>
    </w:lvl>
  </w:abstractNum>
  <w:abstractNum w:abstractNumId="42">
    <w:nsid w:val="7FAFA353"/>
    <w:multiLevelType w:val="singleLevel"/>
    <w:tmpl w:val="7FAFA353"/>
    <w:lvl w:ilvl="0">
      <w:start w:val="1"/>
      <w:numFmt w:val="decimal"/>
      <w:lvlText w:val="%1)"/>
      <w:lvlJc w:val="left"/>
      <w:pPr>
        <w:ind w:left="425" w:hanging="425"/>
      </w:pPr>
      <w:rPr>
        <w:rFonts w:hint="default"/>
      </w:rPr>
    </w:lvl>
  </w:abstractNum>
  <w:abstractNum w:abstractNumId="43">
    <w:nsid w:val="7FDAC479"/>
    <w:multiLevelType w:val="singleLevel"/>
    <w:tmpl w:val="7FDAC479"/>
    <w:lvl w:ilvl="0">
      <w:start w:val="1"/>
      <w:numFmt w:val="decimal"/>
      <w:lvlText w:val="%1)"/>
      <w:lvlJc w:val="left"/>
      <w:pPr>
        <w:ind w:left="425" w:hanging="425"/>
      </w:pPr>
      <w:rPr>
        <w:rFonts w:hint="default"/>
      </w:rPr>
    </w:lvl>
  </w:abstractNum>
  <w:abstractNum w:abstractNumId="44">
    <w:nsid w:val="7FF73EAD"/>
    <w:multiLevelType w:val="singleLevel"/>
    <w:tmpl w:val="7FF73EAD"/>
    <w:lvl w:ilvl="0">
      <w:start w:val="1"/>
      <w:numFmt w:val="decimal"/>
      <w:lvlText w:val="%1)"/>
      <w:lvlJc w:val="left"/>
      <w:pPr>
        <w:ind w:left="425" w:hanging="425"/>
      </w:pPr>
      <w:rPr>
        <w:rFonts w:hint="default"/>
      </w:rPr>
    </w:lvl>
  </w:abstractNum>
  <w:abstractNum w:abstractNumId="45">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39"/>
  </w:num>
  <w:num w:numId="5">
    <w:abstractNumId w:val="22"/>
  </w:num>
  <w:num w:numId="6">
    <w:abstractNumId w:val="35"/>
  </w:num>
  <w:num w:numId="7">
    <w:abstractNumId w:val="21"/>
  </w:num>
  <w:num w:numId="8">
    <w:abstractNumId w:val="38"/>
  </w:num>
  <w:num w:numId="9">
    <w:abstractNumId w:val="2"/>
  </w:num>
  <w:num w:numId="10">
    <w:abstractNumId w:val="44"/>
  </w:num>
  <w:num w:numId="11">
    <w:abstractNumId w:val="5"/>
  </w:num>
  <w:num w:numId="12">
    <w:abstractNumId w:val="34"/>
  </w:num>
  <w:num w:numId="13">
    <w:abstractNumId w:val="11"/>
  </w:num>
  <w:num w:numId="14">
    <w:abstractNumId w:val="33"/>
  </w:num>
  <w:num w:numId="15">
    <w:abstractNumId w:val="32"/>
  </w:num>
  <w:num w:numId="16">
    <w:abstractNumId w:val="16"/>
  </w:num>
  <w:num w:numId="17">
    <w:abstractNumId w:val="37"/>
  </w:num>
  <w:num w:numId="18">
    <w:abstractNumId w:val="1"/>
  </w:num>
  <w:num w:numId="19">
    <w:abstractNumId w:val="40"/>
  </w:num>
  <w:num w:numId="20">
    <w:abstractNumId w:val="41"/>
  </w:num>
  <w:num w:numId="21">
    <w:abstractNumId w:val="29"/>
  </w:num>
  <w:num w:numId="22">
    <w:abstractNumId w:val="24"/>
  </w:num>
  <w:num w:numId="23">
    <w:abstractNumId w:val="7"/>
  </w:num>
  <w:num w:numId="24">
    <w:abstractNumId w:val="0"/>
  </w:num>
  <w:num w:numId="25">
    <w:abstractNumId w:val="19"/>
  </w:num>
  <w:num w:numId="26">
    <w:abstractNumId w:val="42"/>
  </w:num>
  <w:num w:numId="27">
    <w:abstractNumId w:val="28"/>
  </w:num>
  <w:num w:numId="28">
    <w:abstractNumId w:val="25"/>
  </w:num>
  <w:num w:numId="29">
    <w:abstractNumId w:val="43"/>
  </w:num>
  <w:num w:numId="30">
    <w:abstractNumId w:val="6"/>
  </w:num>
  <w:num w:numId="31">
    <w:abstractNumId w:val="36"/>
  </w:num>
  <w:num w:numId="32">
    <w:abstractNumId w:val="8"/>
  </w:num>
  <w:num w:numId="33">
    <w:abstractNumId w:val="4"/>
  </w:num>
  <w:num w:numId="34">
    <w:abstractNumId w:val="45"/>
  </w:num>
  <w:num w:numId="35">
    <w:abstractNumId w:val="10"/>
  </w:num>
  <w:num w:numId="36">
    <w:abstractNumId w:val="27"/>
  </w:num>
  <w:num w:numId="37">
    <w:abstractNumId w:val="30"/>
  </w:num>
  <w:num w:numId="38">
    <w:abstractNumId w:val="18"/>
  </w:num>
  <w:num w:numId="39">
    <w:abstractNumId w:val="12"/>
  </w:num>
  <w:num w:numId="40">
    <w:abstractNumId w:val="20"/>
  </w:num>
  <w:num w:numId="41">
    <w:abstractNumId w:val="31"/>
  </w:num>
  <w:num w:numId="42">
    <w:abstractNumId w:val="3"/>
  </w:num>
  <w:num w:numId="43">
    <w:abstractNumId w:val="9"/>
  </w:num>
  <w:num w:numId="44">
    <w:abstractNumId w:val="15"/>
  </w:num>
  <w:num w:numId="45">
    <w:abstractNumId w:val="26"/>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27D"/>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593A"/>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1F26"/>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qFormat/>
    <w:pPr>
      <w:spacing w:line="360" w:lineRule="auto"/>
      <w:ind w:firstLine="200" w:firstLineChars="200"/>
    </w:pPr>
    <w:rPr>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header" Target="header8.xml" /><Relationship Id="rId22" Type="http://schemas.openxmlformats.org/officeDocument/2006/relationships/footer" Target="footer10.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