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6F8BFBFB">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w:t>
      </w:r>
      <w:r>
        <w:rPr>
          <w:rFonts w:ascii="宋体" w:eastAsia="宋体" w:hAnsi="宋体" w:cs="微软雅黑" w:hint="eastAsia"/>
          <w:b/>
          <w:kern w:val="0"/>
          <w:szCs w:val="21"/>
          <w:lang w:val="en-US" w:eastAsia="zh-CN"/>
        </w:rPr>
        <w:t>6</w:t>
      </w:r>
      <w:r>
        <w:rPr>
          <w:rFonts w:ascii="宋体" w:eastAsia="宋体" w:hAnsi="宋体" w:cs="微软雅黑" w:hint="eastAsia"/>
          <w:b/>
          <w:kern w:val="0"/>
          <w:szCs w:val="21"/>
        </w:rPr>
        <w:t>0</w:t>
      </w:r>
      <w:r>
        <w:rPr>
          <w:rFonts w:ascii="宋体" w:eastAsia="宋体" w:hAnsi="宋体" w:cs="微软雅黑" w:hint="eastAsia"/>
          <w:b/>
          <w:kern w:val="0"/>
          <w:szCs w:val="21"/>
          <w:lang w:val="en-US" w:eastAsia="zh-CN"/>
        </w:rPr>
        <w:t>201</w:t>
      </w:r>
    </w:p>
    <w:p w14:paraId="026B9E89">
      <w:pPr>
        <w:spacing w:line="360" w:lineRule="auto"/>
        <w:jc w:val="center"/>
        <w:rPr>
          <w:rFonts w:ascii="Times New Roman" w:eastAsia="宋体" w:hAnsi="Times New Roman" w:cs="Times New Roman"/>
          <w:b/>
          <w:sz w:val="28"/>
          <w:szCs w:val="28"/>
        </w:rPr>
      </w:pPr>
    </w:p>
    <w:p w14:paraId="2EC9BA8F">
      <w:pPr>
        <w:spacing w:line="360" w:lineRule="auto"/>
        <w:jc w:val="center"/>
        <w:rPr>
          <w:rFonts w:ascii="Times New Roman" w:eastAsia="宋体" w:hAnsi="Times New Roman" w:cs="Times New Roman"/>
          <w:b/>
          <w:sz w:val="28"/>
          <w:szCs w:val="28"/>
        </w:rPr>
      </w:pPr>
    </w:p>
    <w:p w14:paraId="29C35E07">
      <w:pPr>
        <w:adjustRightInd w:val="0"/>
        <w:snapToGrid w:val="0"/>
        <w:spacing w:line="360" w:lineRule="auto"/>
        <w:ind w:firstLine="260" w:firstLineChars="50"/>
        <w:jc w:val="center"/>
        <w:rPr>
          <w:rFonts w:ascii="仿宋_GB2312" w:eastAsia="仿宋_GB2312" w:hAnsi="华文仿宋" w:cs="Times New Roman"/>
          <w:b/>
          <w:bCs/>
          <w:w w:val="150"/>
          <w:sz w:val="52"/>
          <w:szCs w:val="52"/>
        </w:rPr>
      </w:pPr>
      <w:r>
        <w:rPr>
          <w:rFonts w:ascii="仿宋_GB2312" w:eastAsia="仿宋_GB2312" w:hAnsi="华文仿宋" w:cs="Times New Roman" w:hint="eastAsia"/>
          <w:b/>
          <w:bCs/>
          <w:w w:val="150"/>
          <w:sz w:val="52"/>
          <w:szCs w:val="52"/>
        </w:rPr>
        <w:t>单一来源文件</w:t>
      </w:r>
    </w:p>
    <w:p w14:paraId="361EE797">
      <w:pPr>
        <w:spacing w:line="360" w:lineRule="auto"/>
        <w:jc w:val="center"/>
        <w:rPr>
          <w:rFonts w:ascii="宋体" w:eastAsia="宋体" w:hAnsi="宋体" w:cs="Times New Roman"/>
          <w:b/>
          <w:sz w:val="48"/>
          <w:szCs w:val="20"/>
        </w:rPr>
      </w:pPr>
      <w:r>
        <w:rPr>
          <w:rFonts w:ascii="宋体" w:eastAsia="宋体" w:hAnsi="宋体" w:cs="Times New Roman" w:hint="eastAsia"/>
          <w:b/>
          <w:sz w:val="48"/>
          <w:szCs w:val="20"/>
        </w:rPr>
        <w:t>（范本，非软件开发服务类适用）</w:t>
      </w:r>
    </w:p>
    <w:p w14:paraId="36EFEDA9">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0" w:name="封面_projectName"/>
      <w:r>
        <w:rPr>
          <w:rFonts w:ascii="宋体" w:eastAsia="宋体" w:hAnsi="宋体" w:cs="微软雅黑" w:hint="eastAsia"/>
          <w:b/>
          <w:kern w:val="0"/>
          <w:sz w:val="32"/>
          <w:szCs w:val="32"/>
        </w:rPr>
        <w:t>江苏省“十四五”气象灾害防治能力提升工程-海上天气雷达海上交通船舶及相关人员服务采购项目（重新采购）</w:t>
      </w:r>
      <w:bookmarkEnd w:id="0"/>
    </w:p>
    <w:p w14:paraId="7A5C24AB">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1" w:name="封面_projectNo_1"/>
      <w:r>
        <w:rPr>
          <w:rFonts w:ascii="宋体" w:eastAsia="宋体" w:hAnsi="宋体" w:cs="微软雅黑" w:hint="eastAsia"/>
          <w:b/>
          <w:kern w:val="0"/>
          <w:sz w:val="32"/>
          <w:szCs w:val="32"/>
        </w:rPr>
        <w:t>ZQCD-26135</w:t>
      </w:r>
      <w:bookmarkEnd w:id="1"/>
    </w:p>
    <w:p w14:paraId="7F042F03">
      <w:pPr>
        <w:adjustRightInd w:val="0"/>
        <w:snapToGrid w:val="0"/>
        <w:spacing w:line="360" w:lineRule="auto"/>
        <w:ind w:firstLine="470" w:firstLineChars="147"/>
        <w:jc w:val="left"/>
        <w:rPr>
          <w:rFonts w:ascii="仿宋_GB2312" w:eastAsia="仿宋_GB2312" w:hAnsi="宋体" w:cs="Times New Roman"/>
          <w:b/>
          <w:sz w:val="32"/>
          <w:szCs w:val="32"/>
        </w:rPr>
      </w:pPr>
    </w:p>
    <w:p w14:paraId="5C29670C">
      <w:pPr>
        <w:adjustRightInd w:val="0"/>
        <w:snapToGrid w:val="0"/>
        <w:spacing w:line="360" w:lineRule="auto"/>
        <w:ind w:firstLine="470" w:firstLineChars="147"/>
        <w:jc w:val="left"/>
        <w:rPr>
          <w:rFonts w:ascii="仿宋_GB2312" w:eastAsia="仿宋_GB2312" w:hAnsi="宋体" w:cs="Times New Roman"/>
          <w:b/>
          <w:sz w:val="32"/>
          <w:szCs w:val="32"/>
        </w:rPr>
      </w:pPr>
    </w:p>
    <w:p w14:paraId="31BCEE49">
      <w:pPr>
        <w:adjustRightInd w:val="0"/>
        <w:snapToGrid w:val="0"/>
        <w:spacing w:line="360" w:lineRule="auto"/>
        <w:ind w:firstLine="470" w:firstLineChars="147"/>
        <w:jc w:val="left"/>
        <w:rPr>
          <w:rFonts w:ascii="仿宋_GB2312" w:eastAsia="仿宋_GB2312" w:hAnsi="宋体" w:cs="Times New Roman"/>
          <w:b/>
          <w:sz w:val="32"/>
          <w:szCs w:val="32"/>
        </w:rPr>
      </w:pPr>
    </w:p>
    <w:p w14:paraId="5BE02A5E">
      <w:pPr>
        <w:adjustRightInd w:val="0"/>
        <w:snapToGrid w:val="0"/>
        <w:spacing w:line="360" w:lineRule="auto"/>
        <w:ind w:firstLine="470" w:firstLineChars="147"/>
        <w:jc w:val="left"/>
        <w:rPr>
          <w:rFonts w:ascii="仿宋_GB2312" w:eastAsia="仿宋_GB2312" w:hAnsi="宋体" w:cs="Times New Roman"/>
          <w:b/>
          <w:sz w:val="32"/>
          <w:szCs w:val="32"/>
        </w:rPr>
      </w:pPr>
    </w:p>
    <w:p w14:paraId="406D99EE">
      <w:pPr>
        <w:adjustRightInd w:val="0"/>
        <w:snapToGrid w:val="0"/>
        <w:spacing w:line="360" w:lineRule="auto"/>
        <w:ind w:firstLine="470" w:firstLineChars="147"/>
        <w:jc w:val="left"/>
        <w:rPr>
          <w:rFonts w:ascii="仿宋_GB2312" w:eastAsia="仿宋_GB2312" w:hAnsi="宋体" w:cs="Times New Roman"/>
          <w:b/>
          <w:sz w:val="32"/>
          <w:szCs w:val="32"/>
        </w:rPr>
      </w:pPr>
    </w:p>
    <w:p w14:paraId="311F43D8">
      <w:pPr>
        <w:adjustRightInd w:val="0"/>
        <w:snapToGrid w:val="0"/>
        <w:spacing w:line="360" w:lineRule="auto"/>
        <w:ind w:firstLine="470" w:firstLineChars="147"/>
        <w:jc w:val="left"/>
        <w:rPr>
          <w:rFonts w:ascii="仿宋_GB2312" w:eastAsia="仿宋_GB2312" w:hAnsi="宋体" w:cs="Times New Roman"/>
          <w:b/>
          <w:sz w:val="32"/>
          <w:szCs w:val="32"/>
        </w:rPr>
      </w:pPr>
    </w:p>
    <w:p w14:paraId="633C8B62">
      <w:pPr>
        <w:adjustRightInd w:val="0"/>
        <w:snapToGrid w:val="0"/>
        <w:spacing w:line="360" w:lineRule="auto"/>
        <w:ind w:firstLine="470" w:firstLineChars="147"/>
        <w:jc w:val="left"/>
        <w:rPr>
          <w:rFonts w:ascii="仿宋_GB2312" w:eastAsia="仿宋_GB2312" w:hAnsi="Times New Roman" w:cs="Times New Roman"/>
          <w:b/>
          <w:sz w:val="32"/>
          <w:szCs w:val="32"/>
        </w:rPr>
      </w:pPr>
    </w:p>
    <w:p w14:paraId="0C54E28F">
      <w:pPr>
        <w:adjustRightInd w:val="0"/>
        <w:snapToGrid w:val="0"/>
        <w:spacing w:line="360" w:lineRule="auto"/>
        <w:jc w:val="left"/>
        <w:rPr>
          <w:rFonts w:ascii="仿宋_GB2312" w:eastAsia="仿宋_GB2312" w:hAnsi="Times New Roman" w:cs="Times New Roman"/>
          <w:b/>
          <w:szCs w:val="21"/>
        </w:rPr>
      </w:pPr>
    </w:p>
    <w:p w14:paraId="6202DDC3">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461987D7">
      <w:pPr>
        <w:adjustRightInd w:val="0"/>
        <w:snapToGrid w:val="0"/>
        <w:spacing w:line="360" w:lineRule="auto"/>
        <w:ind w:firstLine="529" w:firstLineChars="147"/>
        <w:jc w:val="center"/>
        <w:rPr>
          <w:rFonts w:ascii="仿宋" w:eastAsia="仿宋" w:hAnsi="仿宋" w:cs="微软雅黑"/>
          <w:b/>
          <w:kern w:val="0"/>
          <w:sz w:val="36"/>
          <w:szCs w:val="36"/>
        </w:rPr>
      </w:pPr>
      <w:bookmarkStart w:id="2" w:name="封面_createTime_ym"/>
      <w:r>
        <w:rPr>
          <w:rFonts w:ascii="仿宋" w:eastAsia="仿宋" w:hAnsi="仿宋" w:cs="微软雅黑" w:hint="eastAsia"/>
          <w:b/>
          <w:kern w:val="0"/>
          <w:sz w:val="36"/>
          <w:szCs w:val="36"/>
        </w:rPr>
        <w:t>2026年07月</w:t>
      </w:r>
      <w:bookmarkEnd w:id="2"/>
    </w:p>
    <w:p w14:paraId="72F65A99">
      <w:pPr>
        <w:spacing w:line="360" w:lineRule="auto"/>
        <w:jc w:val="center"/>
        <w:rPr>
          <w:rFonts w:ascii="Times New Roman" w:eastAsia="宋体" w:hAnsi="Times New Roman" w:cs="Times New Roman"/>
          <w:sz w:val="24"/>
          <w:szCs w:val="24"/>
        </w:rPr>
      </w:pPr>
    </w:p>
    <w:p w14:paraId="5BCDBD51">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71167D09">
      <w:pPr>
        <w:spacing w:line="360" w:lineRule="auto"/>
        <w:jc w:val="center"/>
        <w:rPr>
          <w:rFonts w:ascii="Times New Roman" w:eastAsia="宋体" w:hAnsi="Times New Roman" w:cs="Times New Roman"/>
          <w:sz w:val="24"/>
          <w:szCs w:val="24"/>
        </w:rPr>
      </w:pPr>
    </w:p>
    <w:p w14:paraId="0B7789E9">
      <w:pPr>
        <w:spacing w:line="360" w:lineRule="auto"/>
        <w:jc w:val="center"/>
        <w:rPr>
          <w:rFonts w:ascii="Times New Roman" w:eastAsia="宋体" w:hAnsi="Times New Roman" w:cs="Times New Roman"/>
          <w:sz w:val="24"/>
          <w:szCs w:val="24"/>
        </w:rPr>
      </w:pPr>
    </w:p>
    <w:p w14:paraId="31CB29A0">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4DFA5282">
      <w:pPr>
        <w:spacing w:line="360" w:lineRule="auto"/>
        <w:jc w:val="center"/>
        <w:rPr>
          <w:rFonts w:ascii="Times New Roman" w:eastAsia="宋体" w:hAnsi="Times New Roman" w:cs="Times New Roman"/>
          <w:b/>
          <w:sz w:val="28"/>
          <w:szCs w:val="28"/>
        </w:rPr>
      </w:pPr>
    </w:p>
    <w:p w14:paraId="64C48397">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62FB23F4">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47782035">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6C373245">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587E0E5F">
      <w:pPr>
        <w:spacing w:line="360" w:lineRule="auto"/>
        <w:jc w:val="center"/>
        <w:rPr>
          <w:rFonts w:ascii="宋体" w:eastAsia="宋体" w:hAnsi="宋体" w:cs="Times New Roman"/>
          <w:b/>
          <w:sz w:val="28"/>
          <w:szCs w:val="28"/>
        </w:rPr>
      </w:pPr>
    </w:p>
    <w:p w14:paraId="55A75486">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247288F1">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采购邀请书</w:t>
      </w:r>
    </w:p>
    <w:p w14:paraId="3FD1FC06">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44FC0A56">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采购需求</w:t>
      </w:r>
    </w:p>
    <w:p w14:paraId="006D4A1B">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响应被拒绝条款专用部分</w:t>
      </w:r>
    </w:p>
    <w:p w14:paraId="4F95C8F7">
      <w:pPr>
        <w:spacing w:line="360" w:lineRule="auto"/>
        <w:jc w:val="center"/>
        <w:rPr>
          <w:rFonts w:ascii="宋体" w:eastAsia="宋体" w:hAnsi="宋体" w:cs="Times New Roman"/>
          <w:b/>
          <w:sz w:val="28"/>
          <w:szCs w:val="28"/>
        </w:rPr>
      </w:pPr>
    </w:p>
    <w:p w14:paraId="6B7E9DF6">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6F4B0EA4">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采购合同</w:t>
      </w:r>
    </w:p>
    <w:p w14:paraId="5FD6804A">
      <w:pPr>
        <w:spacing w:line="360" w:lineRule="auto"/>
        <w:ind w:left="2520" w:firstLine="420"/>
        <w:jc w:val="left"/>
        <w:rPr>
          <w:rFonts w:ascii="Times New Roman" w:eastAsia="宋体" w:hAnsi="Times New Roman" w:cs="Times New Roman"/>
          <w:b/>
          <w:szCs w:val="21"/>
        </w:rPr>
      </w:pPr>
    </w:p>
    <w:p w14:paraId="3439C89E">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31DFA812">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14044A84">
      <w:pPr>
        <w:spacing w:line="360" w:lineRule="auto"/>
        <w:rPr>
          <w:rFonts w:ascii="Times New Roman" w:eastAsia="宋体" w:hAnsi="Times New Roman" w:cs="Times New Roman"/>
          <w:b/>
          <w:bCs/>
          <w:sz w:val="28"/>
          <w:szCs w:val="28"/>
        </w:rPr>
      </w:pPr>
    </w:p>
    <w:p w14:paraId="422C7556">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7F4CDB27">
      <w:pPr>
        <w:spacing w:line="360" w:lineRule="auto"/>
        <w:jc w:val="center"/>
        <w:rPr>
          <w:rFonts w:ascii="Times New Roman" w:eastAsia="宋体" w:hAnsi="Times New Roman" w:cs="Times New Roman"/>
          <w:b/>
          <w:bCs/>
          <w:sz w:val="28"/>
          <w:szCs w:val="28"/>
        </w:rPr>
      </w:pPr>
    </w:p>
    <w:p w14:paraId="0FD0ACEB">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1114A1FE">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7C46DFE4">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23081F57">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02DD973D">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457F10C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1F7523EA">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本单一来源采购文件（简称采购文件）适用于以单一来源方式采购本文件</w:t>
      </w:r>
      <w:r>
        <w:rPr>
          <w:rFonts w:ascii="宋体" w:eastAsia="宋体" w:hAnsi="宋体" w:cs="Times New Roman" w:hint="eastAsia"/>
          <w:b/>
          <w:bCs/>
          <w:szCs w:val="21"/>
        </w:rPr>
        <w:t>第六章采购需求</w:t>
      </w:r>
      <w:r>
        <w:rPr>
          <w:rFonts w:ascii="宋体" w:eastAsia="宋体" w:hAnsi="宋体" w:cs="Times New Roman" w:hint="eastAsia"/>
          <w:bCs/>
          <w:szCs w:val="21"/>
        </w:rPr>
        <w:t>中所述服务及相关货物。本项目属性确定为服务类（不含软件开发）采购。</w:t>
      </w:r>
    </w:p>
    <w:p w14:paraId="1AC7A3A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422CC858">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0919C141">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1.2.2“采购内容”指本采购文件中</w:t>
      </w:r>
      <w:r>
        <w:rPr>
          <w:rFonts w:ascii="宋体" w:eastAsia="宋体" w:hAnsi="宋体" w:cs="Times New Roman" w:hint="eastAsia"/>
          <w:b/>
          <w:bCs/>
          <w:szCs w:val="21"/>
        </w:rPr>
        <w:t>第六章采购需求</w:t>
      </w:r>
      <w:r>
        <w:rPr>
          <w:rFonts w:ascii="宋体" w:eastAsia="宋体" w:hAnsi="宋体" w:cs="Times New Roman" w:hint="eastAsia"/>
          <w:bCs/>
          <w:szCs w:val="21"/>
        </w:rPr>
        <w:t>所述所有服务内容、货物。</w:t>
      </w:r>
    </w:p>
    <w:p w14:paraId="463439F5">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本采购文件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r>
        <w:rPr>
          <w:rFonts w:ascii="宋体" w:eastAsia="宋体" w:hAnsi="宋体" w:cs="Times New Roman" w:hint="eastAsia"/>
          <w:bCs/>
          <w:szCs w:val="21"/>
        </w:rPr>
        <w:t>“货物”指本采购文件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所述所有货物（含不需要二次开发的软件），不包括响应人为提供相关服务而购置的所有权属于响应人的货物。</w:t>
      </w:r>
    </w:p>
    <w:p w14:paraId="0A9AF6C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1.2.4“响应人”，如无特殊说明，指符合本采购文件规定并参加响应的供应商。</w:t>
      </w:r>
    </w:p>
    <w:p w14:paraId="1666385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1.2.5本采购文件各部分规定的期间以时、日、月、年计算。期间开始的日，不计算在期间内，而从次日开始计算。期间届满的最后一天是节假日的，以节假日后的第一日为期间届满的日期。</w:t>
      </w:r>
    </w:p>
    <w:p w14:paraId="1D63863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1.2.6本采购文件所称的复印件，包括原件经扫描或照相后的打印件、影印件等。复印件应清晰。</w:t>
      </w:r>
    </w:p>
    <w:p w14:paraId="5CF3F5B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1.2.7盖章及签字。</w:t>
      </w:r>
    </w:p>
    <w:p w14:paraId="15BD05A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1.2.7.1盖章。在本采购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212D122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1.2.7.2签字。本采购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3FD36E6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3F744AF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1.3.1遵守《中华人民共和国政府采购法》、《中华人民共和国政府采购法实施条例》等法律法规，并符合《中华人民共和国政府采购法》第二十二条规定的条件，具有本项目生产、制造、供应或实施能力，符合、承认并承诺履行本采购文件各项规定，</w:t>
      </w:r>
      <w:r>
        <w:rPr>
          <w:rFonts w:ascii="宋体" w:eastAsia="宋体" w:hAnsi="宋体" w:cs="Times New Roman" w:hint="eastAsia"/>
          <w:kern w:val="0"/>
          <w:szCs w:val="21"/>
        </w:rPr>
        <w:t>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本采购文件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31299F5C">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1.3.2</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2972D45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0"/>
        </w:rPr>
        <w:t>1.3.3如响应人</w:t>
      </w:r>
      <w:r>
        <w:rPr>
          <w:rFonts w:ascii="Times New Roman" w:eastAsia="宋体" w:hAnsi="Times New Roman" w:cs="Times New Roman" w:hint="eastAsia"/>
          <w:szCs w:val="20"/>
        </w:rPr>
        <w:t>是</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两个或两个以上供应商组成的联合体，则应提交对联合体各方均有法律约束力的“联合体协议”，并</w:t>
      </w:r>
      <w:r>
        <w:rPr>
          <w:rFonts w:ascii="宋体" w:eastAsia="宋体" w:hAnsi="宋体" w:cs="Times New Roman" w:hint="eastAsia"/>
          <w:szCs w:val="21"/>
        </w:rPr>
        <w:t xml:space="preserve">确定其中一方为全权代表参加响应活动。除此之外，还应符合下列要求： </w:t>
      </w:r>
    </w:p>
    <w:p w14:paraId="00C69AA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3E20AAC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或其成员通过协议、控股或分支机构或其它方式就供货或服务等与任何独立或非独立的他方构成联合、分属或其它关系、相关责任义务等，均由联合体或其成员与该他方自行协商约定，对采购中心与采购人均不具有任何约束或效力。</w:t>
      </w:r>
    </w:p>
    <w:p w14:paraId="39C3512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或其成员未经采购人事先书面同意，不得将其在合同项下的权利或义务全部或部分转让给第三人，有关分包事项或服务委托等须事先取得采购人书面同意并且须遵守相关法律、法规、本次采购的全部相关规定。</w:t>
      </w:r>
    </w:p>
    <w:p w14:paraId="1169CAA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1.3.4响应人在响应过程中不得向采购人和采购中心提供、给予任何有价值的物品，一经发现，按照响应无效处理。</w:t>
      </w:r>
    </w:p>
    <w:p w14:paraId="7EE90445">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1.4服务团队及驻场</w:t>
      </w:r>
    </w:p>
    <w:p w14:paraId="2FFDFB7D">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1.4.1是否</w:t>
      </w:r>
      <w:r>
        <w:rPr>
          <w:rFonts w:ascii="宋体" w:eastAsia="宋体" w:hAnsi="宋体" w:cs="Times New Roman" w:hint="eastAsia"/>
          <w:bCs/>
          <w:szCs w:val="21"/>
        </w:rPr>
        <w:t>需要响应人组成专门的服务团队完成本项目所采购服务，见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如需要组成专门的服务团队，</w:t>
      </w:r>
      <w:r>
        <w:rPr>
          <w:rFonts w:ascii="宋体" w:eastAsia="宋体" w:hAnsi="宋体" w:cs="Times New Roman" w:hint="eastAsia"/>
          <w:szCs w:val="21"/>
        </w:rPr>
        <w:t>响应人应按采购人要求的人数、人员能力及资质等条件，委派若干名专职或兼职的项目管理及专业人员组成服务团队，并指定其中1-2名能力较强、对本次采购项目较熟悉的人员为团队的项目负责人（项目经理）。</w:t>
      </w:r>
    </w:p>
    <w:p w14:paraId="0B18258A">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1.4.2响应人获得本项目采购合同后，在本项目实施过程中应保持服务团队人员特别是</w:t>
      </w:r>
      <w:r>
        <w:rPr>
          <w:rFonts w:ascii="宋体" w:eastAsia="宋体" w:hAnsi="宋体" w:cs="Times New Roman" w:hint="eastAsia"/>
          <w:szCs w:val="21"/>
        </w:rPr>
        <w:t>项目负责人（项目经理）</w:t>
      </w:r>
      <w:r>
        <w:rPr>
          <w:rFonts w:ascii="宋体" w:eastAsia="宋体" w:hAnsi="宋体" w:cs="Times New Roman" w:hint="eastAsia"/>
          <w:bCs/>
          <w:szCs w:val="21"/>
        </w:rPr>
        <w:t>的稳定。</w:t>
      </w:r>
      <w:r>
        <w:rPr>
          <w:rFonts w:ascii="宋体" w:eastAsia="宋体" w:hAnsi="宋体" w:cs="Times New Roman" w:hint="eastAsia"/>
          <w:szCs w:val="21"/>
        </w:rPr>
        <w:t>在本项目实施过程中如需要对</w:t>
      </w:r>
      <w:r>
        <w:rPr>
          <w:rFonts w:ascii="宋体" w:eastAsia="宋体" w:hAnsi="宋体" w:cs="Times New Roman" w:hint="eastAsia"/>
          <w:bCs/>
          <w:szCs w:val="21"/>
        </w:rPr>
        <w:t>团队人员调整，按以下规则执行：</w:t>
      </w:r>
    </w:p>
    <w:p w14:paraId="4CF372AA">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（1）如采购人认为有必要调整团队有关人员，响应人应及时进行调整，并与采购人协商一致后，重新委派相关人员；</w:t>
      </w:r>
    </w:p>
    <w:p w14:paraId="4E55BF53">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（2）响应人未经采购人同意，不得自行调整团队人员；</w:t>
      </w:r>
    </w:p>
    <w:p w14:paraId="0512FA9B">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（3）如团队相关人员因离职、伤病等不能继续实施本项目时，响应人应及时通知采购人，并与采购人协商一致后，重新委派相关人员；</w:t>
      </w:r>
    </w:p>
    <w:p w14:paraId="40FD4F7E">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（4）响应人重新委派的人员，其能力、资质、有关工作经历等应不低于原人员。</w:t>
      </w:r>
    </w:p>
    <w:p w14:paraId="11A7A44D">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1.4.3服务团队是否需要驻场服务</w:t>
      </w:r>
      <w:r>
        <w:rPr>
          <w:rFonts w:ascii="宋体" w:eastAsia="宋体" w:hAnsi="宋体" w:cs="Times New Roman" w:hint="eastAsia"/>
          <w:bCs/>
          <w:szCs w:val="21"/>
        </w:rPr>
        <w:t>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如需要驻场服务，响应人应按采购人的要求提供驻场服务。</w:t>
      </w:r>
    </w:p>
    <w:p w14:paraId="197DD7F6">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1.5采购货物的规定</w:t>
      </w:r>
    </w:p>
    <w:p w14:paraId="7CCA1F9F">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本次采购内容是否包括货物见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如本次采购内容包括货物，按以下规则执行：</w:t>
      </w:r>
    </w:p>
    <w:p w14:paraId="46EAD987">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1"/>
        </w:rPr>
        <w:t>1.5.1</w:t>
      </w:r>
      <w:r>
        <w:rPr>
          <w:rFonts w:ascii="宋体" w:eastAsia="宋体" w:hAnsi="宋体" w:cs="Times New Roman" w:hint="eastAsia"/>
          <w:kern w:val="0"/>
          <w:szCs w:val="21"/>
        </w:rPr>
        <w:t>响应人所响应的货物如是国家法律、法规、政策禁止采购人采购的货物，或者响应人所响应的货物使用了国家法律、法规、政策禁止采购人采购的货物作为零件，响应将被拒绝。</w:t>
      </w:r>
    </w:p>
    <w:p w14:paraId="0360B1CB">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0"/>
        </w:rPr>
        <w:t>1.5.2如响应货物</w:t>
      </w:r>
      <w:r>
        <w:rPr>
          <w:rFonts w:ascii="Times New Roman" w:eastAsia="宋体" w:hAnsi="Times New Roman" w:cs="Times New Roman" w:hint="eastAsia"/>
          <w:szCs w:val="20"/>
        </w:rPr>
        <w:t>必须取得《气象专用技术装备使用许可证》，则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Cs w:val="20"/>
        </w:rPr>
        <w:t>。</w:t>
      </w:r>
      <w:r>
        <w:rPr>
          <w:rFonts w:ascii="Times New Roman" w:eastAsia="宋体" w:hAnsi="Times New Roman" w:cs="Times New Roman" w:hint="eastAsia"/>
          <w:szCs w:val="20"/>
        </w:rPr>
        <w:t>响应的货物是否必须取得《气象专用技术装备使用许可证》，见</w:t>
      </w:r>
      <w:r>
        <w:rPr>
          <w:rFonts w:ascii="Times New Roman" w:eastAsia="宋体" w:hAnsi="Times New Roman" w:cs="Times New Roman" w:hint="eastAsia"/>
          <w:b/>
          <w:szCs w:val="20"/>
        </w:rPr>
        <w:t>第五章响应人须知专用部分。</w:t>
      </w:r>
    </w:p>
    <w:p w14:paraId="212650E3">
      <w:pPr>
        <w:tabs>
          <w:tab w:val="left" w:pos="8460"/>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1.5.3</w:t>
      </w:r>
      <w:r>
        <w:rPr>
          <w:rFonts w:ascii="宋体" w:eastAsia="宋体" w:hAnsi="宋体" w:cs="Times New Roman" w:hint="eastAsia"/>
          <w:szCs w:val="21"/>
        </w:rPr>
        <w:t>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5.5条有关进口产品响应要求的，响应将被拒绝。</w:t>
      </w:r>
      <w:r>
        <w:rPr>
          <w:rFonts w:ascii="宋体" w:eastAsia="宋体" w:hAnsi="宋体" w:cs="Times New Roman" w:hint="eastAsia"/>
          <w:bCs/>
          <w:szCs w:val="21"/>
        </w:rPr>
        <w:t>如响应货物为进口产品，响应人应当具有进口产品制造商授权书，并遵守《财政部关于印发&lt;政府采购进口产品管理办法&gt;的通知》（财库〔2007〕119 号）、财政部办公厅《关于政府采购进口产品管理有关问题的通知》（财办库〔2008〕248 号）的相关规定。</w:t>
      </w:r>
    </w:p>
    <w:p w14:paraId="2D1B7F12">
      <w:pPr>
        <w:tabs>
          <w:tab w:val="left" w:pos="8460"/>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1.5.4节能及环保产品。根据《财政部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w:t>
      </w:r>
    </w:p>
    <w:p w14:paraId="0FB4F726">
      <w:pPr>
        <w:tabs>
          <w:tab w:val="left" w:pos="8460"/>
        </w:tabs>
        <w:adjustRightInd w:val="0"/>
        <w:snapToGrid w:val="0"/>
        <w:spacing w:line="360" w:lineRule="auto"/>
        <w:ind w:firstLine="420" w:firstLineChars="200"/>
        <w:jc w:val="left"/>
        <w:rPr>
          <w:rFonts w:ascii="宋体" w:eastAsia="宋体" w:hAnsi="宋体" w:cs="Times New Roman"/>
          <w:b/>
          <w:bCs/>
          <w:szCs w:val="21"/>
        </w:rPr>
      </w:pPr>
      <w:r>
        <w:rPr>
          <w:rFonts w:ascii="宋体" w:eastAsia="宋体" w:hAnsi="宋体" w:cs="Times New Roman" w:hint="eastAsia"/>
          <w:b/>
          <w:bCs/>
          <w:szCs w:val="21"/>
        </w:rPr>
        <w:t>1.6中小企业</w:t>
      </w:r>
    </w:p>
    <w:p w14:paraId="0AA68238">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5DF7F9BF">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1.6.2以联合体形式参加本次采购活动的，如联合体各方均为中小企业，则联合体视同中小企业。</w:t>
      </w:r>
    </w:p>
    <w:p w14:paraId="26F356F7">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1.6.3符合《财政部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04FAF73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1.7采购预算</w:t>
      </w:r>
    </w:p>
    <w:p w14:paraId="5A91B61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采购邀请书中所述的采购人已经落实本次采购标的物的采购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63C6F41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1.8响应费用</w:t>
      </w:r>
    </w:p>
    <w:p w14:paraId="4778AB0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1.8.1响应人应承担所有与准备和参加响应有关的费用。不论结果如何，采购人和采购中心均无义务和责任承担这些费用。</w:t>
      </w:r>
    </w:p>
    <w:p w14:paraId="5D2FCFA1">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1.8.2成交供应商是否交纳代理服务费见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23FA565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60525A44">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151FC2A6">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（3）代理服务收费标准：按差额定率累进法计算（50（含）万以下按固定值0.8万，50—100（含）万费率1%，100—200（含）万费率0.8%，200—500（含）万费率0.5% ，500—1000（含）万费率0.2%，1000万以上费率0.05%，最高不超过10万元），再根据项目技术复杂程度、组织项目采购的难易程度上下浮动20%。</w:t>
      </w:r>
    </w:p>
    <w:p w14:paraId="20818E4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4F0100E1">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0E24FBF6">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6CA40498">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6D290B4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1.9通知</w:t>
      </w:r>
    </w:p>
    <w:p w14:paraId="6B58DC7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对与本项目有关的通知，采购中心将以书面（包括书面材料、信函、传真、电子邮件、短信等，下同）的形式向响应人发出（通讯地址、邮件地址、传真和手机号码等以响应人的登记为准）。收到通知的响应人应以书面方式立即予以回复确认。</w:t>
      </w:r>
    </w:p>
    <w:p w14:paraId="284E102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1.9.2采购文件发出之日起至提交首次响应文件截止日不少于3个工作日。本项目成交结果公告的公告期限为1个工作日。</w:t>
      </w:r>
    </w:p>
    <w:p w14:paraId="3C710498">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二、采购文件</w:t>
      </w:r>
    </w:p>
    <w:p w14:paraId="12046A9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1.10采购文件的组成</w:t>
      </w:r>
    </w:p>
    <w:p w14:paraId="7724B83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采购文件由通用部分、专用部分和采购合同构成，具体</w:t>
      </w:r>
      <w:r>
        <w:rPr>
          <w:rFonts w:ascii="宋体" w:eastAsia="宋体" w:hAnsi="宋体" w:cs="Times New Roman"/>
          <w:szCs w:val="21"/>
        </w:rPr>
        <w:t>包括：</w:t>
      </w:r>
    </w:p>
    <w:p w14:paraId="332F389D">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0E63A682">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3C746D7B">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1A6286E2">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211FFFF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02C55CA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采购邀请书</w:t>
      </w:r>
    </w:p>
    <w:p w14:paraId="7A68AD7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68057DA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采购需求</w:t>
      </w:r>
    </w:p>
    <w:p w14:paraId="5ECA5184">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响应被拒绝条款专用部分</w:t>
      </w:r>
    </w:p>
    <w:p w14:paraId="664919E0">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4CE394C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第八章  采购合同</w:t>
      </w:r>
    </w:p>
    <w:p w14:paraId="414EC69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1.11提交首次响应文件截止日前采购文件的澄清和修改</w:t>
      </w:r>
    </w:p>
    <w:p w14:paraId="76AE3A5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1.11.1响应人可向采购中心提出对采购文件进行澄清、修改的要求，由采购中心商采购人就相关澄清、修改进行解释，并视情况作出澄清或修改的决定。</w:t>
      </w:r>
    </w:p>
    <w:p w14:paraId="4A543AF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1.11.2采购中心无论出于何种原因，均可主动对采购文件中的相关事项进行澄清或修改。</w:t>
      </w:r>
    </w:p>
    <w:p w14:paraId="73DB26B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1.11.3对采购文件的任何澄清、修改，由采购中心采</w:t>
      </w:r>
      <w:r>
        <w:rPr>
          <w:rFonts w:ascii="微软雅黑" w:hAnsi="微软雅黑" w:cs="微软雅黑" w:hint="eastAsia"/>
          <w:szCs w:val="21"/>
        </w:rPr>
        <w:t>用补充文件的方式向</w:t>
      </w:r>
      <w:r>
        <w:rPr>
          <w:rFonts w:ascii="宋体" w:eastAsia="宋体" w:hAnsi="宋体" w:cs="Times New Roman" w:hint="eastAsia"/>
          <w:szCs w:val="21"/>
        </w:rPr>
        <w:t>响应人发出。</w:t>
      </w:r>
    </w:p>
    <w:p w14:paraId="0E834FF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1.11.4采购中心一旦对采购文件作出了澄清、修改或进行其它答复，即刻发生效力，采购中心有关的补充文件，应当作为采购文件的组成部分，对响应人具有约束力，而无论是否已经实际收到该澄清或修改文件。同时，采购中心和响应人的权利及义务将受到新的截止期的约束。</w:t>
      </w:r>
    </w:p>
    <w:p w14:paraId="01449916">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5AEEF9B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1.12响应文件的语言和计量单位</w:t>
      </w:r>
    </w:p>
    <w:p w14:paraId="50F7641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1.12.1响应人提交的响应文件（包括技术文件和资料、图纸中的说明）以及响应人与采购中心就有关响应的所有来往函电均应使用中文简体字。</w:t>
      </w:r>
    </w:p>
    <w:p w14:paraId="5151697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协商小组可以要求响应人提供附有公证书的中文翻译文件或者与原版文件签章相一致的中文翻译文件。</w:t>
      </w:r>
    </w:p>
    <w:p w14:paraId="51A65A33">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0ACAE9A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1.12.3响应文件中所使用的计量单位，除采购文件中有特殊要求外，应采用中华人民共和国法定计量单位。</w:t>
      </w:r>
    </w:p>
    <w:p w14:paraId="6D7FFA9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1.12.4对不符合上述规定情形的，协商小组有权要求响应人限期提供相应文件或认定该文件无效。</w:t>
      </w:r>
    </w:p>
    <w:p w14:paraId="7EA8FF9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1.13响应文件的组成及要求</w:t>
      </w:r>
    </w:p>
    <w:p w14:paraId="3F80520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文件分为商务部分和技术部分。商务部分指响应人提交的能够证明响应人有资格参加响应的文件。技术部分指响应人提交的能够证明响应人提供的货物及服务符合采购文件规定和成交后有能力履行合同的文件。</w:t>
      </w:r>
    </w:p>
    <w:p w14:paraId="4DDC72C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1.13.2响应人应提交以下商务文件。其中加*项除特别说明外，若缺失或无效，可在协商时补正。补正后仍不能满足要求的，会导致响应被拒绝。</w:t>
      </w:r>
    </w:p>
    <w:p w14:paraId="4D51175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7E27F708">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29734084">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4AF1C71F">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54D57B5F">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（5）资格、资信证明文件：</w:t>
      </w:r>
    </w:p>
    <w:p w14:paraId="6044B204">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35EF727D">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1ECC9098">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36B23AB2">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7EC14B52">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6BFDA2CD">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3F5B12AB">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⑦</w:t>
      </w:r>
      <w:r>
        <w:rPr>
          <w:rFonts w:ascii="宋体" w:eastAsia="宋体" w:hAnsi="宋体" w:cs="Times New Roman" w:hint="eastAsia"/>
          <w:bCs/>
          <w:szCs w:val="20"/>
        </w:rPr>
        <w:t>*响应货物的《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（如本次采购内容不包括货物，或者响应货物</w:t>
      </w:r>
      <w:r>
        <w:rPr>
          <w:rFonts w:ascii="Times New Roman" w:eastAsia="宋体" w:hAnsi="Times New Roman" w:cs="Times New Roman" w:hint="eastAsia"/>
          <w:szCs w:val="20"/>
        </w:rPr>
        <w:t>不必须取得《气象专用技术装备使用许可证》的，可以不提供）</w:t>
      </w:r>
    </w:p>
    <w:p w14:paraId="5164D9FC">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⑧*进口产品制造商授权书（响应货物不是进口产品的，不提供）</w:t>
      </w:r>
    </w:p>
    <w:p w14:paraId="3CDDAFBF">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宋体" w:eastAsia="宋体" w:hAnsi="宋体" w:cs="Times New Roman" w:hint="eastAsia"/>
          <w:szCs w:val="21"/>
        </w:rPr>
        <w:t>⑨</w:t>
      </w:r>
      <w:r>
        <w:rPr>
          <w:rFonts w:ascii="宋体" w:eastAsia="宋体" w:hAnsi="宋体" w:cs="Times New Roman"/>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或残疾人福利性单位声明函或监狱企业证明文件（响应人不符合1.6条关于中小企业条件的不提供）</w:t>
      </w:r>
    </w:p>
    <w:p w14:paraId="63EBDD64">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微软雅黑" w:eastAsia="微软雅黑" w:hAnsi="微软雅黑" w:cs="Times New Roman" w:hint="eastAsia"/>
          <w:szCs w:val="21"/>
        </w:rPr>
        <w:t>⑩</w:t>
      </w:r>
      <w:r>
        <w:rPr>
          <w:rFonts w:ascii="宋体" w:eastAsia="宋体" w:hAnsi="宋体" w:cs="Times New Roman"/>
          <w:szCs w:val="21"/>
        </w:rPr>
        <w:t>*</w:t>
      </w:r>
      <w:r>
        <w:rPr>
          <w:rFonts w:ascii="宋体" w:eastAsia="宋体" w:hAnsi="宋体" w:cs="Times New Roman" w:hint="eastAsia"/>
          <w:szCs w:val="21"/>
        </w:rPr>
        <w:t>联合体协议（如有）</w:t>
      </w:r>
    </w:p>
    <w:p w14:paraId="0CD782C7">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分包意向协议（如有）</w:t>
      </w:r>
    </w:p>
    <w:p w14:paraId="41FA7C27">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12</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hint="eastAsia"/>
          <w:szCs w:val="21"/>
          <w:highlight w:val="none"/>
        </w:rPr>
        <w:t>*</w:t>
      </w: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第五章响应人须知专用部</w:t>
      </w:r>
      <w:r>
        <w:rPr>
          <w:rFonts w:ascii="Times New Roman" w:eastAsia="宋体" w:hAnsi="Times New Roman" w:cs="Times New Roman" w:hint="eastAsia"/>
          <w:b/>
          <w:szCs w:val="20"/>
        </w:rPr>
        <w:t>分5.2条</w:t>
      </w:r>
      <w:r>
        <w:rPr>
          <w:rFonts w:ascii="Times New Roman" w:eastAsia="宋体" w:hAnsi="Times New Roman" w:cs="Times New Roman" w:hint="eastAsia"/>
          <w:szCs w:val="20"/>
        </w:rPr>
        <w:t>规定应提交的特殊资质条件证明文件</w:t>
      </w:r>
    </w:p>
    <w:p w14:paraId="6885E6C9">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第五章响应人须知专用部分5.8条</w:t>
      </w:r>
      <w:r>
        <w:rPr>
          <w:rFonts w:ascii="Times New Roman" w:eastAsia="宋体" w:hAnsi="Times New Roman" w:cs="Times New Roman" w:hint="eastAsia"/>
          <w:szCs w:val="20"/>
        </w:rPr>
        <w:t>规定应提交的其他商务文件</w:t>
      </w:r>
    </w:p>
    <w:p w14:paraId="2DA45E9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（7）响应人自行编制的商务文件</w:t>
      </w:r>
    </w:p>
    <w:p w14:paraId="43A3A69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1.13.3响应人应提交以下技术文件。其中加*项除特别说明外，若缺失或无效，可在协商时补正。补正后仍不能满足要求的，会导致响应被拒绝。</w:t>
      </w:r>
    </w:p>
    <w:p w14:paraId="708CA77C">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42073F2C">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3FD581E3">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（3）*服务团队人员基本情况表（如未要求组成专门的服务团队的，不提供）</w:t>
      </w:r>
    </w:p>
    <w:p w14:paraId="2A51F05F">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（4）技术要求偏离表</w:t>
      </w:r>
    </w:p>
    <w:p w14:paraId="1183D13B">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（5）主要标的信息表</w:t>
      </w:r>
    </w:p>
    <w:p w14:paraId="001905C8">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第五章响应人须知专用部分5.8条</w:t>
      </w:r>
      <w:r>
        <w:rPr>
          <w:rFonts w:ascii="Times New Roman" w:eastAsia="宋体" w:hAnsi="Times New Roman" w:cs="Times New Roman" w:hint="eastAsia"/>
          <w:szCs w:val="20"/>
        </w:rPr>
        <w:t>规定应提交的其他技术文件</w:t>
      </w:r>
    </w:p>
    <w:p w14:paraId="265C52B3">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（7）响应人项目实施和售后服务方案</w:t>
      </w:r>
    </w:p>
    <w:p w14:paraId="57E41212">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（8）响应人自行编写的技术文件</w:t>
      </w:r>
    </w:p>
    <w:p w14:paraId="1269CAD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1.13.4响应文件对于上述商务和技术内容要有具体应答。有关文件的具体格式、填写要求及有关说明详见采购文件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67580175">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1.14响应文件签署及相关要求</w:t>
      </w:r>
    </w:p>
    <w:p w14:paraId="68EA39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1.14.1组成响应文件的各项文件均应遵守本条。</w:t>
      </w:r>
    </w:p>
    <w:p w14:paraId="3C489FF1">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文件的盖章、签字等签署要求见1.2.7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可在协商时补正。</w:t>
      </w:r>
    </w:p>
    <w:p w14:paraId="333F22C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1.14.3响应文件其他地方没有注明要求盖章签字的，可以不用盖章签字。</w:t>
      </w:r>
    </w:p>
    <w:p w14:paraId="3CB5FD30">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为合理节约政府采购成本，提倡诚实信用的响应行为，特别要求响应人应本着诚信精神，在本次响应文件的偏离表和其它偏离文件中(若本次采购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6C4F347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1.15响应报价</w:t>
      </w:r>
    </w:p>
    <w:p w14:paraId="439484F4">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1.15.1所有响应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响应人自行承担。</w:t>
      </w:r>
    </w:p>
    <w:p w14:paraId="1B75D0C6">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1.15.2</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报价未超过采购预算（或最高限价）。如协商后最终报价不符合上述要求，响应将被</w:t>
      </w:r>
      <w:r>
        <w:rPr>
          <w:rFonts w:hint="eastAsia"/>
          <w:b/>
          <w:bCs/>
        </w:rPr>
        <w:t>拒绝</w:t>
      </w:r>
      <w:r>
        <w:rPr>
          <w:rFonts w:ascii="宋体" w:eastAsia="宋体" w:hAnsi="宋体" w:cs="Times New Roman" w:hint="eastAsia"/>
          <w:szCs w:val="21"/>
        </w:rPr>
        <w:t>。</w:t>
      </w:r>
    </w:p>
    <w:p w14:paraId="2865E51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1.15.3响应人要按分项报价表的内容填写单价（包括服务清单、方式、费用，货物报价及品牌、型号、产地、装箱、包装、包装物料、运输和保险费用等）、总价及其他事项。</w:t>
      </w:r>
    </w:p>
    <w:p w14:paraId="56DC36D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1.15.4响应人投报多包的，应对每包分别报价并分别填写报价一览表。</w:t>
      </w:r>
    </w:p>
    <w:p w14:paraId="12BE165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1.15.5对于有配件、耗材、选件、工具、备件等的货物，还应填报响应货物配件、耗材、选件和工具、备件等清单，注明品牌、型号、产地、功能、单价、批量折扣等内容，该表格式由响应人自行设计。</w:t>
      </w:r>
    </w:p>
    <w:p w14:paraId="5DA2CF5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1.16分包</w:t>
      </w:r>
    </w:p>
    <w:p w14:paraId="5CB2058D">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1.16.1本项目是否允许响应人将项目的非主体、非关键性工作交由他人完成详见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67BBCEA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1.16.2响应人根据采购项目的实际情况,拟在成交后将项目的非主体、非关键性工作交由他人完成的，应当在响应文件中载明分包承担主体，分包承担主体应当具备相应资质条件且不得再次分包。</w:t>
      </w:r>
    </w:p>
    <w:p w14:paraId="75E326FB">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1.16.3</w:t>
      </w:r>
      <w:r>
        <w:rPr>
          <w:rFonts w:ascii="宋体" w:eastAsia="宋体" w:hAnsi="宋体" w:cs="Times New Roman" w:hint="eastAsia"/>
          <w:szCs w:val="21"/>
          <w:lang w:val="zh-CN"/>
        </w:rPr>
        <w:t>不符合采购文件中有关分包规定的，其响应将被拒绝。</w:t>
      </w:r>
    </w:p>
    <w:p w14:paraId="0F5FDEE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1.17响应内容填写说明</w:t>
      </w:r>
    </w:p>
    <w:p w14:paraId="66FA7C2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响应人应详细阅读采购文件的全部内容。响应文件须对采购文件中的内容做出实质性和完整的响应，如果响应文件填报的内容资料不详，或没有提供采购文件中所要求的全部资料及数据，将被视为响应文件完整性有缺陷。</w:t>
      </w:r>
    </w:p>
    <w:p w14:paraId="12E574C8">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1.17.2响应文件应按照采购文件的格式逐项填写，不得有空项。无相应内容可填的项应填写“无”、“未测试”、“没有相应指标”等明确的回答文字。响应文件未按规定提交或留有空项，将被视为响应文件完整性有缺陷。</w:t>
      </w:r>
    </w:p>
    <w:p w14:paraId="1BB61D92">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1.17.3响应人必须保证响应文件所提供的全部资料真实可靠，并接受采购中心或协商小组对其中任何资料进一步审查的要求。</w:t>
      </w:r>
    </w:p>
    <w:p w14:paraId="041C824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1.18响应有效期</w:t>
      </w:r>
    </w:p>
    <w:p w14:paraId="028C451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。在特殊情况下，采购中心可与响应人协商延长响应有效期。这种要求和答复都应以书面形式进行。同意延长有效期的响应人除按照采购中心要求修改响应文件有效期外，不能修改响应文件的其他内容。</w:t>
      </w:r>
    </w:p>
    <w:p w14:paraId="0D6986A0">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648F94C1">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1.19提交首次响应文件截止时间</w:t>
      </w:r>
    </w:p>
    <w:p w14:paraId="2DD585F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采购邀请书中规定的提交首次响应文件截止时间。如采购中心按本须知的规定，因修改采购文件导致提交首次响应文件截止时间延长，提交首次响应文件截止时间为延长后新的截止时间。在此情况下，采购中心和响应人受截止时间制约的所有权利和义务均延长至新的截止时间。</w:t>
      </w:r>
    </w:p>
    <w:p w14:paraId="6811C95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1.20响应文件递交方式</w:t>
      </w:r>
    </w:p>
    <w:p w14:paraId="27B5E0DF">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w:t>
      </w:r>
      <w:r>
        <w:rPr>
          <w:rFonts w:ascii="宋体" w:eastAsia="宋体" w:hAnsi="Times New Roman" w:cs="微软雅黑" w:hint="eastAsia"/>
          <w:color w:val="C00000"/>
          <w:szCs w:val="21"/>
        </w:rPr>
        <w:t>电子采购系统</w:t>
      </w:r>
      <w:r>
        <w:rPr>
          <w:rFonts w:ascii="宋体" w:eastAsia="宋体" w:hAnsi="Times New Roman" w:cs="微软雅黑" w:hint="eastAsia"/>
          <w:szCs w:val="21"/>
        </w:rPr>
        <w:t>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20C9586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1.21响应文件的补充、修改和撤回</w:t>
      </w:r>
    </w:p>
    <w:p w14:paraId="38C5954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1.21.1响应人可以在提交首次响应文件截止时间前，对所递交的响应文件进行补充、修改或者撤回。</w:t>
      </w:r>
    </w:p>
    <w:p w14:paraId="6804E2F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1.21.2重新提交的电子响应文件应按照1.14条要求重新签署并按1.20条要求重新上传。</w:t>
      </w:r>
    </w:p>
    <w:p w14:paraId="110B242D">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五、协商</w:t>
      </w:r>
    </w:p>
    <w:p w14:paraId="03B80DCA">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1.22响应文件解密</w:t>
      </w:r>
    </w:p>
    <w:p w14:paraId="559D27C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采购中心按照采购文件规定的时间、地点对完成上传的加密电子响应文件进行解密。</w:t>
      </w:r>
    </w:p>
    <w:p w14:paraId="350960CD">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1.23协商小组</w:t>
      </w:r>
    </w:p>
    <w:p w14:paraId="2E99DAD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1.23.1采购中心根据有关法律法规和本采购文件的规定，结合本项目专业要求组建协商小组，对响应文件进行评估，并与响应人进行协商。协商小组由具有相关经验的专业人员组成。</w:t>
      </w:r>
    </w:p>
    <w:p w14:paraId="06E021A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1.23.2采购中心工作人员不得参加协商。</w:t>
      </w:r>
    </w:p>
    <w:p w14:paraId="7A3951F4">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b/>
          <w:szCs w:val="21"/>
        </w:rPr>
        <w:t>1.2</w:t>
      </w:r>
      <w:r>
        <w:rPr>
          <w:rFonts w:ascii="宋体" w:eastAsia="宋体" w:hAnsi="宋体" w:cs="Times New Roman" w:hint="eastAsia"/>
          <w:b/>
          <w:szCs w:val="21"/>
        </w:rPr>
        <w:t>4资格审查</w:t>
      </w:r>
    </w:p>
    <w:p w14:paraId="1F143E4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协商小组或采购人或采购中心依法按照采购文件规定，对照响应文件中响应人提交的资格证明材料进行审查。资格证明材料如有缺失或失效，可以要求响应人补正。</w:t>
      </w:r>
    </w:p>
    <w:p w14:paraId="7E5412B8">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1.25协商</w:t>
      </w:r>
    </w:p>
    <w:p w14:paraId="0234A4D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1.25.1协商小组应当判断响应人所提交的响应文件是否符合采购文件规定，有重大偏离、报价高于预算或未按报价明细报价，经协商无法调整至合理范围的，确认属实后，应中止协商。</w:t>
      </w:r>
    </w:p>
    <w:p w14:paraId="3B685C3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1.25.2协商内容包括货物/软件开发/服务要求、价格以及协商小组认为有必要明确的其它问题。</w:t>
      </w:r>
    </w:p>
    <w:p w14:paraId="0A63716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1.25.3在协商过程中，协商小组可以根据采购文件和协商情况实质性变动采购需求中的技术、服务要求以及合同草案条款，但不得变动协商文件中的其他内容。实质性变动的内容，须经采购人代表确认。对协商文件作出的实质性变动是协商文件的有效组成部分，协商小组应及时告知响应人。</w:t>
      </w:r>
    </w:p>
    <w:p w14:paraId="1C7089C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1.25.4协商结束后，响应人应按采购中心通知的时间、地点提交最终响应文件。</w:t>
      </w:r>
    </w:p>
    <w:p w14:paraId="0756C0B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1.25.5协商小组将对最终响应文件进行复审，并对响应文件中对同类问题表述以及含义不明确或者有明显错误的内容等作必要的澄清、说明或者补正。响应人必须按照通知的澄清内容和时间做出书面答复，该答复经响应人代表的签字认可，将作为响应文件内容的组成部分。</w:t>
      </w:r>
    </w:p>
    <w:p w14:paraId="30E2F04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1.25.6复审结束后，协商小组将对响应人及其报价方案做出最终评定。</w:t>
      </w:r>
    </w:p>
    <w:p w14:paraId="6271F0ED">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1.25.7协商小组成员应当遵守工作纪律，不得泄露协商情况和协商中获悉的商业秘密。协商小组在协商过程中发现响应人有行贿、提供虚假材料或者串通等违法行为的，应当及时向财政部门报告。协商小组成员在协商过程中受到非法干涉的，应当及时向财政、监察等部门举报。</w:t>
      </w:r>
    </w:p>
    <w:p w14:paraId="667873C6">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1.26评定成交的标准</w:t>
      </w:r>
    </w:p>
    <w:p w14:paraId="5F62732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协商小组确定成交的响应人及其报价方案应当符合以下条件：</w:t>
      </w:r>
    </w:p>
    <w:p w14:paraId="6338138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（1）报价方案完全响应采购文件中所有的实质性要求；</w:t>
      </w:r>
    </w:p>
    <w:p w14:paraId="7A25D63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（2）合理的成交价格原则确定成交供应商；</w:t>
      </w:r>
    </w:p>
    <w:p w14:paraId="5937AA3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（3）有良好的执行合同能力和售后服务承诺。</w:t>
      </w:r>
    </w:p>
    <w:p w14:paraId="79203C14">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1.27拟定、签署《协商情况记录》</w:t>
      </w:r>
    </w:p>
    <w:p w14:paraId="752ECBB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1.27.1协商小组应根据协商情况编写《协商情况记录》，内容应包括：</w:t>
      </w:r>
    </w:p>
    <w:p w14:paraId="2218346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进行</w:t>
      </w:r>
      <w:r>
        <w:rPr>
          <w:rFonts w:ascii="宋体" w:eastAsia="宋体" w:hAnsi="宋体" w:cs="Times New Roman" w:hint="eastAsia"/>
          <w:szCs w:val="21"/>
        </w:rPr>
        <w:t>采购需求</w:t>
      </w:r>
      <w:r>
        <w:rPr>
          <w:rFonts w:ascii="宋体" w:eastAsia="宋体" w:hAnsi="宋体" w:cs="Times New Roman"/>
          <w:szCs w:val="21"/>
        </w:rPr>
        <w:t>公示的，公示情况说明；</w:t>
      </w:r>
    </w:p>
    <w:p w14:paraId="0E2AF0F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szCs w:val="21"/>
        </w:rPr>
        <w:t>协商日期和地点，采购人员名单；</w:t>
      </w:r>
    </w:p>
    <w:p w14:paraId="1F20A97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szCs w:val="21"/>
        </w:rPr>
        <w:t>供应商提供的采购标的成本、同类项目合同价格以及相关专利、专有技术等情况说明；</w:t>
      </w:r>
    </w:p>
    <w:p w14:paraId="1869935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（4）初步审查情况说明；</w:t>
      </w:r>
    </w:p>
    <w:p w14:paraId="6C7C964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（5）协商流程及协商各环节主要事项情况说明；</w:t>
      </w:r>
    </w:p>
    <w:p w14:paraId="7C22D18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szCs w:val="21"/>
        </w:rPr>
        <w:t>合同主要条款及价格商定情况</w:t>
      </w:r>
      <w:r>
        <w:rPr>
          <w:rFonts w:ascii="宋体" w:eastAsia="宋体" w:hAnsi="宋体" w:cs="Times New Roman" w:hint="eastAsia"/>
          <w:szCs w:val="21"/>
        </w:rPr>
        <w:t>；</w:t>
      </w:r>
    </w:p>
    <w:p w14:paraId="2B00297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（7）供应商提交最终报价材料及最终报价的情况说明。</w:t>
      </w:r>
    </w:p>
    <w:p w14:paraId="557EC1D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1.27.2</w:t>
      </w:r>
      <w:r>
        <w:rPr>
          <w:rFonts w:ascii="宋体" w:eastAsia="宋体" w:hAnsi="宋体" w:cs="Times New Roman"/>
          <w:szCs w:val="21"/>
        </w:rPr>
        <w:t>协商情况记录应当由</w:t>
      </w:r>
      <w:r>
        <w:rPr>
          <w:rFonts w:ascii="宋体" w:eastAsia="宋体" w:hAnsi="宋体" w:cs="Times New Roman" w:hint="eastAsia"/>
          <w:szCs w:val="21"/>
        </w:rPr>
        <w:t>协商小组</w:t>
      </w:r>
      <w:r>
        <w:rPr>
          <w:rFonts w:ascii="宋体" w:eastAsia="宋体" w:hAnsi="宋体" w:cs="Times New Roman"/>
          <w:szCs w:val="21"/>
        </w:rPr>
        <w:t>人员签字认可</w:t>
      </w:r>
      <w:r>
        <w:rPr>
          <w:rFonts w:ascii="宋体" w:eastAsia="宋体" w:hAnsi="宋体" w:cs="Times New Roman" w:hint="eastAsia"/>
          <w:szCs w:val="21"/>
        </w:rPr>
        <w:t>。</w:t>
      </w:r>
      <w:r>
        <w:rPr>
          <w:rFonts w:ascii="宋体" w:eastAsia="宋体" w:hAnsi="宋体" w:cs="Times New Roman"/>
          <w:szCs w:val="21"/>
        </w:rPr>
        <w:t>对记录有异议的</w:t>
      </w:r>
      <w:r>
        <w:rPr>
          <w:rFonts w:ascii="宋体" w:eastAsia="宋体" w:hAnsi="宋体" w:cs="Times New Roman" w:hint="eastAsia"/>
          <w:szCs w:val="21"/>
        </w:rPr>
        <w:t>协商小组成员</w:t>
      </w:r>
      <w:r>
        <w:rPr>
          <w:rFonts w:ascii="宋体" w:eastAsia="宋体" w:hAnsi="宋体" w:cs="Times New Roman"/>
          <w:szCs w:val="21"/>
        </w:rPr>
        <w:t>，应当签署不同意见并说明理由</w:t>
      </w:r>
      <w:r>
        <w:rPr>
          <w:rFonts w:ascii="宋体" w:eastAsia="宋体" w:hAnsi="宋体" w:cs="Times New Roman" w:hint="eastAsia"/>
          <w:szCs w:val="21"/>
        </w:rPr>
        <w:t>；</w:t>
      </w:r>
      <w:r>
        <w:rPr>
          <w:rFonts w:ascii="宋体" w:eastAsia="宋体" w:hAnsi="宋体" w:cs="Times New Roman"/>
          <w:szCs w:val="21"/>
        </w:rPr>
        <w:t>拒绝在记录上签字又不书面说明其不同意见和理由的，视为同意</w:t>
      </w:r>
      <w:r>
        <w:rPr>
          <w:rFonts w:ascii="宋体" w:eastAsia="宋体" w:hAnsi="宋体" w:cs="Times New Roman" w:hint="eastAsia"/>
          <w:szCs w:val="21"/>
        </w:rPr>
        <w:t>。</w:t>
      </w:r>
    </w:p>
    <w:p w14:paraId="4A84A1FB">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六、成交通知及合同</w:t>
      </w:r>
    </w:p>
    <w:p w14:paraId="3F95882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1.28成交通知</w:t>
      </w:r>
    </w:p>
    <w:p w14:paraId="6FECCBE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1.28.1</w:t>
      </w:r>
      <w:r>
        <w:rPr>
          <w:rFonts w:asciiTheme="minorEastAsia" w:hAnsiTheme="minorEastAsia" w:cs="Times New Roman"/>
          <w:szCs w:val="21"/>
        </w:rPr>
        <w:t>采购</w:t>
      </w:r>
      <w:r>
        <w:rPr>
          <w:rFonts w:asciiTheme="minorEastAsia" w:hAnsiTheme="minorEastAsia" w:cs="Times New Roman" w:hint="eastAsia"/>
          <w:szCs w:val="21"/>
        </w:rPr>
        <w:t>中心将在协商结束后</w:t>
      </w:r>
      <w:r>
        <w:rPr>
          <w:rFonts w:asciiTheme="minorEastAsia" w:hAnsiTheme="minorEastAsia" w:cs="Times New Roman"/>
          <w:szCs w:val="21"/>
        </w:rPr>
        <w:t>2个工作日内将</w:t>
      </w:r>
      <w:r>
        <w:rPr>
          <w:rFonts w:asciiTheme="minorEastAsia" w:hAnsiTheme="minorEastAsia" w:cs="Times New Roman" w:hint="eastAsia"/>
          <w:szCs w:val="21"/>
        </w:rPr>
        <w:t>协商结果</w:t>
      </w:r>
      <w:r>
        <w:rPr>
          <w:rFonts w:asciiTheme="minorEastAsia" w:hAnsiTheme="minorEastAsia" w:cs="Times New Roman"/>
          <w:szCs w:val="21"/>
        </w:rPr>
        <w:t>送采购人确认。</w:t>
      </w:r>
      <w:r>
        <w:rPr>
          <w:rFonts w:ascii="宋体" w:eastAsia="宋体" w:hAnsi="宋体" w:cs="Times New Roman" w:hint="eastAsia"/>
          <w:szCs w:val="21"/>
        </w:rPr>
        <w:t>成交供应商确定后,采购中心将在政府采购信息发布媒体上发布成交结果公告，公告期限为１个工作日。</w:t>
      </w:r>
    </w:p>
    <w:p w14:paraId="72A31B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1.28.2成交通知书是合同的组成部分。</w:t>
      </w:r>
    </w:p>
    <w:p w14:paraId="61E8559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1.29合同</w:t>
      </w:r>
    </w:p>
    <w:p w14:paraId="21AE966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采购文件和成交供应商的响应文件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189D9AA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1.29.2成交合同应按照采购文件、响应文件及协商过程中的有关澄清、说明或者补正文件的内容签订。成交供应商与采购人不得背离上述文件的实质性内容签订成交合同，也不得背离成交合同的实质性内容签订其他协议或发表声明。</w:t>
      </w:r>
    </w:p>
    <w:p w14:paraId="21BA1C90">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1.29.3</w:t>
      </w:r>
      <w:r>
        <w:rPr>
          <w:rFonts w:ascii="Times New Roman" w:eastAsia="宋体" w:hAnsi="Times New Roman" w:cs="Times New Roman" w:hint="eastAsia"/>
          <w:szCs w:val="20"/>
        </w:rPr>
        <w:t>成交供应商签订成交合同后，不得转包，亦不得将合同全部及任何权利、义务向第三方转让。</w:t>
      </w:r>
    </w:p>
    <w:p w14:paraId="5285709D">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1.29.4成交供应商有关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2BF831B5">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1.29.5若在合同履行过程中，发现成交供应商提供的货物和服务与响应文件中提供的技术指标不符，采购人有权终止合同，并有权反映至政府采购监督管理部门或财政部。</w:t>
      </w:r>
    </w:p>
    <w:p w14:paraId="1D74E40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1.29.6违反1.29.4、1.29.5条的规定，给对方造成损失的，应承担赔偿责任。</w:t>
      </w:r>
    </w:p>
    <w:p w14:paraId="5CC14F2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1.29.7成交供应商应当自合同或补充合同签订之日起5个工作日内，将合同副本及电子版报采购中心备案。</w:t>
      </w:r>
      <w:bookmarkStart w:id="3" w:name="_Toc89569872"/>
    </w:p>
    <w:p w14:paraId="3DB4532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1.30履约保证金</w:t>
      </w:r>
      <w:bookmarkEnd w:id="3"/>
    </w:p>
    <w:p w14:paraId="30A6C5A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第八章采购合同</w:t>
      </w:r>
      <w:r>
        <w:rPr>
          <w:rFonts w:ascii="宋体" w:eastAsia="宋体" w:hAnsi="宋体" w:cs="Times New Roman" w:hint="eastAsia"/>
          <w:szCs w:val="21"/>
        </w:rPr>
        <w:t>。</w:t>
      </w:r>
    </w:p>
    <w:p w14:paraId="73CBF588">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七、质疑、投诉</w:t>
      </w:r>
    </w:p>
    <w:p w14:paraId="45A8F29C">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1.31质疑</w:t>
      </w:r>
    </w:p>
    <w:p w14:paraId="56AD669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若响应人认为采购文件、协商过程、成交结果使自己的合法权益受到损害的，可以按照《政府采购质疑和投诉办法》（财政部94号令）的规定提出质疑。</w:t>
      </w:r>
    </w:p>
    <w:p w14:paraId="388C3402">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1.32投诉</w:t>
      </w:r>
    </w:p>
    <w:p w14:paraId="15A89B1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采购人、采购中心对响应人提出的质疑答复后，如响应人对答复不满意，或者采购人、采购中心未在规定的时间内做出答复的，可以在答复期满后15个工作日内依法向政府采购监督管理部门提起投诉。</w:t>
      </w:r>
    </w:p>
    <w:p w14:paraId="04E6DA25">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bookmarkStart w:id="4" w:name="_Toc520356167"/>
      <w:r>
        <w:rPr>
          <w:rFonts w:ascii="宋体" w:eastAsia="宋体" w:hAnsi="宋体" w:cs="Times New Roman" w:hint="eastAsia"/>
          <w:b/>
          <w:szCs w:val="21"/>
        </w:rPr>
        <w:t>八、保密和披露</w:t>
      </w:r>
    </w:p>
    <w:p w14:paraId="54E21FA6">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1.33保密和披露</w:t>
      </w:r>
    </w:p>
    <w:bookmarkEnd w:id="4"/>
    <w:p w14:paraId="177ED36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1.33.1响应人自领取采购文件之日起，须履行本采购项目下保密义务，不得将因本次协商获得的信息向第三人外传。</w:t>
      </w:r>
    </w:p>
    <w:p w14:paraId="613694B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w:t>
      </w:r>
      <w:bookmarkStart w:id="5" w:name="_Toc89569864"/>
      <w:r>
        <w:rPr>
          <w:rFonts w:ascii="宋体" w:eastAsia="宋体" w:hAnsi="宋体" w:cs="Times New Roman" w:hint="eastAsia"/>
          <w:szCs w:val="21"/>
        </w:rPr>
        <w:t>2</w:t>
      </w:r>
      <w:bookmarkEnd w:id="5"/>
      <w:r>
        <w:rPr>
          <w:rFonts w:ascii="宋体" w:eastAsia="宋体" w:hAnsi="宋体" w:cs="Times New Roman" w:hint="eastAsia"/>
          <w:szCs w:val="21"/>
        </w:rPr>
        <w:t>提交首次响应文件截止时间之后，直到授予成交供应商合同为止，凡与本次协商有关人员对属于审查、澄清、评价和比较响应的有关资料以及授标意向等，除1.33.3条和1.33.4条规定的情况外，均不得向响应人或其他无关的人员透露。</w:t>
      </w:r>
    </w:p>
    <w:p w14:paraId="20B03D1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1.33.3采购中心有权将响应人提供的所有资料向有关政府部门或协商小组披露。</w:t>
      </w:r>
    </w:p>
    <w:p w14:paraId="5BA7F57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39EC3AD7">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九、 供应商诚信评价</w:t>
      </w:r>
    </w:p>
    <w:p w14:paraId="40412FDE">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szCs w:val="21"/>
        </w:rPr>
      </w:pPr>
      <w:r>
        <w:rPr>
          <w:rFonts w:ascii="宋体" w:eastAsia="宋体" w:hAnsi="宋体" w:cs="Times New Roman" w:hint="eastAsia"/>
          <w:b/>
          <w:bCs/>
          <w:szCs w:val="21"/>
        </w:rPr>
        <w:t>1.34供应商诚信评价</w:t>
      </w:r>
    </w:p>
    <w:p w14:paraId="702F5921">
      <w:pPr>
        <w:spacing w:line="360" w:lineRule="auto"/>
        <w:ind w:firstLine="420" w:firstLineChars="200"/>
        <w:rPr>
          <w:rFonts w:ascii="宋体" w:eastAsia="宋体" w:hAnsi="宋体" w:cs="Times New Roman"/>
          <w:szCs w:val="20"/>
        </w:rPr>
      </w:pPr>
      <w:r>
        <w:rPr>
          <w:rFonts w:ascii="宋体" w:eastAsia="宋体" w:hAnsi="宋体" w:cs="Times New Roman" w:hint="eastAsia"/>
          <w:szCs w:val="20"/>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宋体" w:eastAsia="宋体" w:hAnsi="宋体" w:cs="Times New Roman"/>
          <w:szCs w:val="20"/>
        </w:rPr>
        <w:br w:type="page"/>
      </w:r>
    </w:p>
    <w:p w14:paraId="5147FA85">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22069FB8">
      <w:pPr>
        <w:tabs>
          <w:tab w:val="left" w:pos="709"/>
          <w:tab w:val="left" w:pos="1573"/>
        </w:tabs>
        <w:spacing w:line="360" w:lineRule="auto"/>
        <w:ind w:firstLine="420" w:firstLineChars="200"/>
        <w:rPr>
          <w:rFonts w:ascii="宋体" w:eastAsia="宋体" w:hAnsi="宋体" w:cs="Times New Roman"/>
          <w:szCs w:val="44"/>
        </w:rPr>
      </w:pPr>
    </w:p>
    <w:p w14:paraId="7E0C7CCC">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330BD512">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44"/>
        </w:rPr>
        <w:t>2.1</w:t>
      </w:r>
      <w:r>
        <w:rPr>
          <w:rFonts w:ascii="宋体" w:eastAsia="宋体" w:hAnsi="宋体" w:cs="Times New Roman" w:hint="eastAsia"/>
          <w:bCs/>
          <w:szCs w:val="44"/>
        </w:rPr>
        <w:t>本部分内容仅提供格式和填写要求，并不代表所有列出格式的文件全部必须提交。本项目需提交的商务、技术文件应以</w:t>
      </w:r>
      <w:r>
        <w:rPr>
          <w:rFonts w:ascii="宋体" w:eastAsia="宋体" w:hAnsi="宋体" w:cs="Times New Roman" w:hint="eastAsia"/>
          <w:b/>
          <w:bCs/>
          <w:szCs w:val="44"/>
        </w:rPr>
        <w:t>第一章响应人须知通用部分1.13条</w:t>
      </w:r>
      <w:r>
        <w:rPr>
          <w:rFonts w:ascii="宋体" w:eastAsia="宋体" w:hAnsi="宋体" w:cs="Times New Roman" w:hint="eastAsia"/>
          <w:bCs/>
          <w:szCs w:val="44"/>
        </w:rPr>
        <w:t>和</w:t>
      </w:r>
      <w:r>
        <w:rPr>
          <w:rFonts w:ascii="宋体" w:eastAsia="宋体" w:hAnsi="宋体" w:cs="Times New Roman" w:hint="eastAsia"/>
          <w:b/>
          <w:szCs w:val="44"/>
        </w:rPr>
        <w:t>第五章响应人须知专用部分</w:t>
      </w:r>
      <w:r>
        <w:rPr>
          <w:rFonts w:ascii="宋体" w:eastAsia="宋体" w:hAnsi="宋体" w:cs="Times New Roman" w:hint="eastAsia"/>
          <w:bCs/>
          <w:szCs w:val="44"/>
        </w:rPr>
        <w:t>为准。</w:t>
      </w:r>
      <w:r>
        <w:rPr>
          <w:rFonts w:ascii="宋体" w:eastAsia="宋体" w:hAnsi="宋体" w:cs="Times New Roman" w:hint="eastAsia"/>
          <w:szCs w:val="21"/>
        </w:rPr>
        <w:t>全部文件应按</w:t>
      </w:r>
      <w:r>
        <w:rPr>
          <w:rFonts w:ascii="宋体" w:eastAsia="宋体" w:hAnsi="宋体" w:cs="Times New Roman" w:hint="eastAsia"/>
          <w:b/>
          <w:szCs w:val="44"/>
        </w:rPr>
        <w:t>第一章响应人须知通用部分</w:t>
      </w:r>
      <w:r>
        <w:rPr>
          <w:rFonts w:ascii="宋体" w:eastAsia="宋体" w:hAnsi="宋体" w:cs="Times New Roman" w:hint="eastAsia"/>
          <w:szCs w:val="21"/>
        </w:rPr>
        <w:t>以及</w:t>
      </w:r>
      <w:r>
        <w:rPr>
          <w:rFonts w:ascii="宋体" w:eastAsia="宋体" w:hAnsi="宋体" w:cs="Times New Roman" w:hint="eastAsia"/>
          <w:b/>
          <w:szCs w:val="44"/>
        </w:rPr>
        <w:t>第五章响应人须知专用部分</w:t>
      </w:r>
      <w:r>
        <w:rPr>
          <w:rFonts w:ascii="宋体" w:eastAsia="宋体" w:hAnsi="宋体" w:cs="Times New Roman" w:hint="eastAsia"/>
          <w:szCs w:val="21"/>
        </w:rPr>
        <w:t>中的规定提交。</w:t>
      </w:r>
    </w:p>
    <w:p w14:paraId="428C510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240CD0D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6B1106B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协商小组将应用响应人提交的资料并根据自己的判断，决定响应人履行合同的合格性及能力。</w:t>
      </w:r>
    </w:p>
    <w:p w14:paraId="4535259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26DC9489">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二、</w:t>
      </w:r>
      <w:bookmarkStart w:id="6" w:name="_Toc175294337"/>
      <w:r>
        <w:rPr>
          <w:rFonts w:ascii="宋体" w:eastAsia="宋体" w:hAnsi="宋体" w:cs="Times New Roman" w:hint="eastAsia"/>
          <w:b/>
          <w:bCs/>
          <w:szCs w:val="44"/>
        </w:rPr>
        <w:t>响应文件商务部分</w:t>
      </w:r>
    </w:p>
    <w:p w14:paraId="60D15CFA">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7" w:name="插入_投标文件商务部分"/>
      <w:r>
        <w:rPr>
          <w:rFonts w:ascii="宋体" w:eastAsia="宋体" w:hAnsi="宋体" w:cs="Times New Roman" w:hint="eastAsia"/>
          <w:b/>
          <w:szCs w:val="20"/>
        </w:rPr>
        <w:t>2.6法定代表人身份证明或授权委托书</w:t>
      </w:r>
    </w:p>
    <w:p w14:paraId="1595BE2B">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21DC982A">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59F2CFBA">
      <w:pPr>
        <w:tabs>
          <w:tab w:val="left" w:pos="5580"/>
        </w:tabs>
        <w:adjustRightInd w:val="0"/>
        <w:snapToGrid w:val="0"/>
        <w:spacing w:line="360" w:lineRule="auto"/>
        <w:jc w:val="center"/>
        <w:rPr>
          <w:rFonts w:ascii="华文楷体" w:eastAsia="华文楷体" w:hAnsi="华文楷体" w:cs="Times New Roman"/>
          <w:b/>
          <w:szCs w:val="21"/>
        </w:rPr>
      </w:pPr>
    </w:p>
    <w:p w14:paraId="03A33A52">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441ED91A">
      <w:pPr>
        <w:widowControl/>
        <w:adjustRightInd w:val="0"/>
        <w:snapToGrid w:val="0"/>
        <w:spacing w:line="360" w:lineRule="auto"/>
        <w:ind w:firstLine="420" w:firstLineChars="200"/>
        <w:jc w:val="left"/>
        <w:rPr>
          <w:rFonts w:ascii="华文楷体" w:eastAsia="华文楷体" w:hAnsi="华文楷体" w:cs="Times New Roman"/>
          <w:szCs w:val="21"/>
        </w:rPr>
      </w:pPr>
    </w:p>
    <w:p w14:paraId="58895984">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2FDF3EB7">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4F0EE21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15E0D647">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03993CCC">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20F54596">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177EC10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3E2B3E75">
      <w:pPr>
        <w:tabs>
          <w:tab w:val="left" w:pos="1573"/>
        </w:tabs>
        <w:adjustRightInd w:val="0"/>
        <w:snapToGrid w:val="0"/>
        <w:spacing w:line="360" w:lineRule="auto"/>
        <w:ind w:firstLine="420" w:firstLineChars="200"/>
        <w:rPr>
          <w:rFonts w:ascii="华文楷体" w:eastAsia="华文楷体" w:hAnsi="华文楷体" w:cs="Times New Roman"/>
          <w:szCs w:val="20"/>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F19E998">
      <w:pPr>
        <w:tabs>
          <w:tab w:val="left" w:pos="1573"/>
        </w:tabs>
        <w:adjustRightInd w:val="0"/>
        <w:snapToGrid w:val="0"/>
        <w:spacing w:line="360" w:lineRule="auto"/>
        <w:ind w:firstLine="420" w:firstLineChars="200"/>
        <w:rPr>
          <w:rFonts w:ascii="宋体" w:eastAsia="宋体" w:hAnsi="宋体" w:cs="Times New Roman"/>
          <w:szCs w:val="21"/>
        </w:rPr>
      </w:pPr>
    </w:p>
    <w:p w14:paraId="3FA23311">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5FF7BC06">
      <w:pPr>
        <w:tabs>
          <w:tab w:val="left" w:pos="1573"/>
        </w:tabs>
        <w:adjustRightInd w:val="0"/>
        <w:snapToGrid w:val="0"/>
        <w:spacing w:line="360" w:lineRule="auto"/>
        <w:ind w:firstLine="420" w:firstLineChars="200"/>
        <w:rPr>
          <w:rFonts w:ascii="宋体" w:eastAsia="宋体" w:hAnsi="宋体" w:cs="Times New Roman"/>
          <w:bCs/>
          <w:szCs w:val="20"/>
        </w:rPr>
      </w:pPr>
    </w:p>
    <w:p w14:paraId="3DC039CD">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76001683">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3BB0276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37F3BDE6">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6899FA2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09C0E4CB">
      <w:pPr>
        <w:widowControl/>
        <w:adjustRightInd w:val="0"/>
        <w:snapToGrid w:val="0"/>
        <w:spacing w:line="360" w:lineRule="auto"/>
        <w:ind w:firstLine="420" w:firstLineChars="200"/>
        <w:jc w:val="left"/>
        <w:rPr>
          <w:rFonts w:ascii="华文楷体" w:eastAsia="华文楷体" w:hAnsi="华文楷体" w:cs="Times New Roman"/>
          <w:szCs w:val="21"/>
        </w:rPr>
      </w:pPr>
    </w:p>
    <w:p w14:paraId="58BF6956">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7B88CAE8">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29F010E9">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0C4C9D71">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3590E8C9">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附：授权代表身份证复印件</w:t>
      </w:r>
    </w:p>
    <w:p w14:paraId="30D8718F">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1649B1CD">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27342BDF">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5C684A47">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5681421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4523956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（包号）单一来源协商的有关活动，并对此项目进行响应。为此，我方承诺如下：</w:t>
      </w:r>
    </w:p>
    <w:p w14:paraId="200AA19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1.我方同意在本项目采购文件中规定的响应有效期内遵守本响应文件中的承诺且在此期限期满之前均具有约束力。</w:t>
      </w:r>
    </w:p>
    <w:p w14:paraId="7660449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2.提供采购文件规定的全部响应文件。</w:t>
      </w:r>
    </w:p>
    <w:p w14:paraId="4410BC8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3.截止到提交首次响应文件截止日，所响应货物中无国家法律、法规、政策禁止采购人采购的货物，也未使用国家法律、法规、政策禁止采购人采购的货物作为零件。</w:t>
      </w:r>
    </w:p>
    <w:p w14:paraId="4CF3716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4.按采购文件要求提供和交付的货物和服务的响应报价详见报价一览表。</w:t>
      </w:r>
    </w:p>
    <w:p w14:paraId="0D525CC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5.完全理解响应报价超过预算金额或最高限价时，响应无效。</w:t>
      </w:r>
    </w:p>
    <w:p w14:paraId="14EE5E1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6.报价一览表或响应文件中未注明出处的优惠金额可由采购人按用户利益最大化原则分摊到主要服务费用中，折算后的价格作为可能的追加采购服务的计费依据。</w:t>
      </w:r>
    </w:p>
    <w:p w14:paraId="32F3717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7.保证忠实地执行双方所签订的合同，并承担合同规定的责任和义务。</w:t>
      </w:r>
    </w:p>
    <w:p w14:paraId="7F5FB5F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8.完全理解采购文件中的各项商务和服务、技术要求，若有偏差，已在响应文件商务条款和技术要求偏离表中予以明确特别说明。</w:t>
      </w:r>
    </w:p>
    <w:p w14:paraId="5B43A8F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9.愿意向贵方提供任何与本项响应有关的数据、情况和技术资料。若贵方需要，我方愿意提供我方作出的一切承诺的证明材料。</w:t>
      </w:r>
    </w:p>
    <w:p w14:paraId="0874F9DB">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10.我方已详细审核全部响应文件，包括响应文件修改书（如有的话）、参考资料及有关附件，确认无误。</w:t>
      </w:r>
    </w:p>
    <w:p w14:paraId="156C2F4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11.采购人若需追加采购本项目采购文件所列货物及相关服务的，在不改变合同其他实质性条款的前提下，按相同或更优惠的折扣率保证供货。</w:t>
      </w:r>
    </w:p>
    <w:p w14:paraId="21F27DF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12.接受采购文件中合同条款的全部条款且无任何异议。</w:t>
      </w:r>
    </w:p>
    <w:p w14:paraId="10CFFAA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0B181D0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20B17B8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0579573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2BE9F69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435DEE6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6A51D19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718CEDF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343247F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2BEF8399">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6076EFFC">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14:paraId="66062C1B">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24CBDBC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2D12217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0C551F79">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54EA8880">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0C70DCBF">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08248F65">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238545E7">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33337928">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41789825"/>
    <w:p w14:paraId="73333C05">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2F128779">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3F8380F0">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2B4503A2">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7CE7CB0E">
            <w:pPr>
              <w:ind w:right="-42" w:rightChars="-20"/>
              <w:rPr>
                <w:rFonts w:ascii="Arial" w:eastAsia="宋体" w:hAnsi="Arial" w:cs="Arial"/>
                <w:szCs w:val="20"/>
              </w:rPr>
            </w:pPr>
          </w:p>
        </w:tc>
      </w:tr>
      <w:tr w14:paraId="50D9F400">
        <w:tblPrEx>
          <w:tblW w:w="5000" w:type="pct"/>
          <w:tblInd w:w="0" w:type="dxa"/>
          <w:tblCellMar>
            <w:top w:w="0" w:type="dxa"/>
            <w:left w:w="108" w:type="dxa"/>
            <w:bottom w:w="0" w:type="dxa"/>
            <w:right w:w="108" w:type="dxa"/>
          </w:tblCellMar>
        </w:tblPrEx>
        <w:trPr>
          <w:trHeight w:val="397"/>
        </w:trPr>
        <w:tc>
          <w:tcPr>
            <w:tcW w:w="796" w:type="pct"/>
            <w:vAlign w:val="center"/>
          </w:tcPr>
          <w:p w14:paraId="61CBD3C4">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4112D167">
            <w:pPr>
              <w:ind w:right="-42" w:rightChars="-20"/>
              <w:rPr>
                <w:rFonts w:ascii="Arial" w:eastAsia="宋体" w:hAnsi="Arial" w:cs="Arial"/>
                <w:szCs w:val="20"/>
              </w:rPr>
            </w:pPr>
          </w:p>
        </w:tc>
      </w:tr>
      <w:tr w14:paraId="1A748DEA">
        <w:tblPrEx>
          <w:tblW w:w="5000" w:type="pct"/>
          <w:tblInd w:w="0" w:type="dxa"/>
          <w:tblCellMar>
            <w:top w:w="0" w:type="dxa"/>
            <w:left w:w="108" w:type="dxa"/>
            <w:bottom w:w="0" w:type="dxa"/>
            <w:right w:w="108" w:type="dxa"/>
          </w:tblCellMar>
        </w:tblPrEx>
        <w:trPr>
          <w:trHeight w:val="397"/>
        </w:trPr>
        <w:tc>
          <w:tcPr>
            <w:tcW w:w="796" w:type="pct"/>
            <w:vAlign w:val="center"/>
          </w:tcPr>
          <w:p w14:paraId="72DF3181">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5BBF8C97">
            <w:pPr>
              <w:ind w:right="-42" w:rightChars="-20"/>
              <w:rPr>
                <w:rFonts w:ascii="Arial" w:eastAsia="宋体" w:hAnsi="Arial" w:cs="Arial"/>
                <w:szCs w:val="20"/>
              </w:rPr>
            </w:pPr>
          </w:p>
        </w:tc>
      </w:tr>
      <w:tr w14:paraId="56F6E7C2">
        <w:tblPrEx>
          <w:tblW w:w="5000" w:type="pct"/>
          <w:tblInd w:w="0" w:type="dxa"/>
          <w:tblCellMar>
            <w:top w:w="0" w:type="dxa"/>
            <w:left w:w="108" w:type="dxa"/>
            <w:bottom w:w="0" w:type="dxa"/>
            <w:right w:w="108" w:type="dxa"/>
          </w:tblCellMar>
        </w:tblPrEx>
        <w:trPr>
          <w:trHeight w:val="397"/>
        </w:trPr>
        <w:tc>
          <w:tcPr>
            <w:tcW w:w="796" w:type="pct"/>
            <w:vAlign w:val="center"/>
          </w:tcPr>
          <w:p w14:paraId="5B62F372">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554A1619">
            <w:pPr>
              <w:ind w:right="-42" w:rightChars="-20"/>
              <w:rPr>
                <w:rFonts w:ascii="Arial" w:eastAsia="宋体" w:hAnsi="Arial" w:cs="Arial"/>
                <w:szCs w:val="20"/>
              </w:rPr>
            </w:pPr>
          </w:p>
        </w:tc>
        <w:tc>
          <w:tcPr>
            <w:tcW w:w="795" w:type="pct"/>
            <w:vAlign w:val="center"/>
          </w:tcPr>
          <w:p w14:paraId="64CD9918">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5DC7F639">
            <w:pPr>
              <w:ind w:right="-42" w:rightChars="-20"/>
              <w:jc w:val="center"/>
              <w:rPr>
                <w:rFonts w:ascii="Arial" w:eastAsia="黑体" w:hAnsi="Arial" w:cs="Arial"/>
                <w:szCs w:val="20"/>
              </w:rPr>
            </w:pPr>
          </w:p>
        </w:tc>
        <w:tc>
          <w:tcPr>
            <w:tcW w:w="796" w:type="pct"/>
            <w:gridSpan w:val="2"/>
            <w:vAlign w:val="center"/>
          </w:tcPr>
          <w:p w14:paraId="4BAFBFA9">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5595DF1E">
            <w:pPr>
              <w:ind w:right="-42" w:rightChars="-20"/>
              <w:rPr>
                <w:rFonts w:ascii="Arial" w:eastAsia="宋体" w:hAnsi="Arial" w:cs="Arial"/>
                <w:szCs w:val="20"/>
              </w:rPr>
            </w:pPr>
          </w:p>
        </w:tc>
      </w:tr>
      <w:tr w14:paraId="6D96FE14">
        <w:tblPrEx>
          <w:tblW w:w="5000" w:type="pct"/>
          <w:tblInd w:w="0" w:type="dxa"/>
          <w:tblCellMar>
            <w:top w:w="0" w:type="dxa"/>
            <w:left w:w="108" w:type="dxa"/>
            <w:bottom w:w="0" w:type="dxa"/>
            <w:right w:w="108" w:type="dxa"/>
          </w:tblCellMar>
        </w:tblPrEx>
        <w:trPr>
          <w:trHeight w:val="397"/>
        </w:trPr>
        <w:tc>
          <w:tcPr>
            <w:tcW w:w="796" w:type="pct"/>
            <w:vAlign w:val="center"/>
          </w:tcPr>
          <w:p w14:paraId="7DF0ECCD">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4B11D287">
            <w:pPr>
              <w:ind w:right="-42" w:rightChars="-20"/>
              <w:rPr>
                <w:rFonts w:ascii="Arial" w:eastAsia="宋体" w:hAnsi="Arial" w:cs="Arial"/>
                <w:szCs w:val="20"/>
              </w:rPr>
            </w:pPr>
          </w:p>
        </w:tc>
        <w:tc>
          <w:tcPr>
            <w:tcW w:w="795" w:type="pct"/>
            <w:vAlign w:val="center"/>
          </w:tcPr>
          <w:p w14:paraId="2FB30C51">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4D470FAC">
            <w:pPr>
              <w:ind w:right="-42" w:rightChars="-20"/>
              <w:jc w:val="center"/>
              <w:rPr>
                <w:rFonts w:ascii="Arial" w:eastAsia="黑体" w:hAnsi="Arial" w:cs="Arial"/>
                <w:szCs w:val="20"/>
              </w:rPr>
            </w:pPr>
          </w:p>
        </w:tc>
        <w:tc>
          <w:tcPr>
            <w:tcW w:w="796" w:type="pct"/>
            <w:gridSpan w:val="2"/>
            <w:vAlign w:val="center"/>
          </w:tcPr>
          <w:p w14:paraId="0CCA84F0">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2155F868">
            <w:pPr>
              <w:ind w:right="-42" w:rightChars="-20"/>
              <w:rPr>
                <w:rFonts w:ascii="Arial" w:eastAsia="宋体" w:hAnsi="Arial" w:cs="Arial"/>
                <w:szCs w:val="20"/>
              </w:rPr>
            </w:pPr>
          </w:p>
        </w:tc>
      </w:tr>
      <w:tr w14:paraId="1D6AA038">
        <w:tblPrEx>
          <w:tblW w:w="5000" w:type="pct"/>
          <w:tblInd w:w="0" w:type="dxa"/>
          <w:tblCellMar>
            <w:top w:w="0" w:type="dxa"/>
            <w:left w:w="108" w:type="dxa"/>
            <w:bottom w:w="0" w:type="dxa"/>
            <w:right w:w="108" w:type="dxa"/>
          </w:tblCellMar>
        </w:tblPrEx>
        <w:trPr>
          <w:trHeight w:val="397"/>
        </w:trPr>
        <w:tc>
          <w:tcPr>
            <w:tcW w:w="796" w:type="pct"/>
            <w:vAlign w:val="center"/>
          </w:tcPr>
          <w:p w14:paraId="4962697A">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6C971C34">
            <w:pPr>
              <w:ind w:right="-42" w:rightChars="-20"/>
              <w:rPr>
                <w:rFonts w:ascii="Arial" w:eastAsia="宋体" w:hAnsi="Arial" w:cs="Arial"/>
                <w:szCs w:val="20"/>
              </w:rPr>
            </w:pPr>
          </w:p>
        </w:tc>
      </w:tr>
      <w:tr w14:paraId="6074E5C3">
        <w:tblPrEx>
          <w:tblW w:w="5000" w:type="pct"/>
          <w:tblInd w:w="0" w:type="dxa"/>
          <w:tblCellMar>
            <w:top w:w="0" w:type="dxa"/>
            <w:left w:w="108" w:type="dxa"/>
            <w:bottom w:w="0" w:type="dxa"/>
            <w:right w:w="108" w:type="dxa"/>
          </w:tblCellMar>
        </w:tblPrEx>
        <w:trPr>
          <w:trHeight w:val="397"/>
        </w:trPr>
        <w:tc>
          <w:tcPr>
            <w:tcW w:w="796" w:type="pct"/>
            <w:vAlign w:val="center"/>
          </w:tcPr>
          <w:p w14:paraId="4532DA17">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31BC9B16">
            <w:pPr>
              <w:ind w:right="-42" w:rightChars="-20"/>
              <w:rPr>
                <w:rFonts w:ascii="Arial" w:eastAsia="宋体" w:hAnsi="Arial" w:cs="Arial"/>
                <w:szCs w:val="20"/>
              </w:rPr>
            </w:pPr>
          </w:p>
        </w:tc>
      </w:tr>
      <w:tr w14:paraId="0BCC7A48">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0028C86B">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2ED8140A">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58597BC0">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091E57B2">
            <w:pPr>
              <w:ind w:right="-42" w:rightChars="-20"/>
              <w:rPr>
                <w:rFonts w:ascii="Arial" w:eastAsia="黑体" w:hAnsi="Arial" w:cs="Arial"/>
                <w:szCs w:val="20"/>
              </w:rPr>
            </w:pPr>
            <w:r>
              <w:rPr>
                <w:rFonts w:ascii="Arial" w:eastAsia="黑体" w:hAnsi="Arial" w:cs="Arial" w:hint="eastAsia"/>
                <w:szCs w:val="20"/>
              </w:rPr>
              <w:t>管理人员     人</w:t>
            </w:r>
          </w:p>
        </w:tc>
      </w:tr>
      <w:tr w14:paraId="21ABD06B">
        <w:tblPrEx>
          <w:tblW w:w="5000" w:type="pct"/>
          <w:tblInd w:w="0" w:type="dxa"/>
          <w:tblCellMar>
            <w:top w:w="0" w:type="dxa"/>
            <w:left w:w="108" w:type="dxa"/>
            <w:bottom w:w="0" w:type="dxa"/>
            <w:right w:w="108" w:type="dxa"/>
          </w:tblCellMar>
        </w:tblPrEx>
        <w:trPr>
          <w:trHeight w:val="397"/>
        </w:trPr>
        <w:tc>
          <w:tcPr>
            <w:tcW w:w="796" w:type="pct"/>
            <w:vMerge/>
            <w:vAlign w:val="center"/>
          </w:tcPr>
          <w:p w14:paraId="5E83BF8C">
            <w:pPr>
              <w:ind w:right="-42" w:rightChars="-20"/>
              <w:jc w:val="center"/>
              <w:rPr>
                <w:rFonts w:ascii="Arial" w:eastAsia="黑体" w:hAnsi="Arial" w:cs="Arial"/>
                <w:szCs w:val="20"/>
              </w:rPr>
            </w:pPr>
          </w:p>
        </w:tc>
        <w:tc>
          <w:tcPr>
            <w:tcW w:w="678" w:type="pct"/>
            <w:vMerge/>
            <w:vAlign w:val="center"/>
          </w:tcPr>
          <w:p w14:paraId="6CC1CA0B">
            <w:pPr>
              <w:snapToGrid w:val="0"/>
              <w:ind w:right="-42" w:rightChars="-20"/>
              <w:jc w:val="center"/>
              <w:rPr>
                <w:rFonts w:ascii="Arial" w:eastAsia="黑体" w:hAnsi="Arial" w:cs="Arial"/>
                <w:szCs w:val="20"/>
              </w:rPr>
            </w:pPr>
          </w:p>
        </w:tc>
        <w:tc>
          <w:tcPr>
            <w:tcW w:w="940" w:type="pct"/>
            <w:gridSpan w:val="3"/>
            <w:vMerge/>
            <w:vAlign w:val="center"/>
          </w:tcPr>
          <w:p w14:paraId="39139647">
            <w:pPr>
              <w:snapToGrid w:val="0"/>
              <w:ind w:right="-42" w:rightChars="-20"/>
              <w:jc w:val="center"/>
              <w:rPr>
                <w:rFonts w:ascii="Arial" w:eastAsia="黑体" w:hAnsi="Arial" w:cs="Arial"/>
                <w:szCs w:val="20"/>
              </w:rPr>
            </w:pPr>
          </w:p>
        </w:tc>
        <w:tc>
          <w:tcPr>
            <w:tcW w:w="2586" w:type="pct"/>
            <w:gridSpan w:val="4"/>
          </w:tcPr>
          <w:p w14:paraId="39E43A04">
            <w:pPr>
              <w:ind w:right="-42" w:rightChars="-20"/>
              <w:rPr>
                <w:rFonts w:ascii="Arial" w:eastAsia="黑体" w:hAnsi="Arial" w:cs="Arial"/>
                <w:szCs w:val="20"/>
              </w:rPr>
            </w:pPr>
            <w:r>
              <w:rPr>
                <w:rFonts w:ascii="Arial" w:eastAsia="黑体" w:hAnsi="Arial" w:cs="Arial" w:hint="eastAsia"/>
                <w:szCs w:val="20"/>
              </w:rPr>
              <w:t>技术人员     人</w:t>
            </w:r>
          </w:p>
        </w:tc>
      </w:tr>
      <w:tr w14:paraId="1F3493C3">
        <w:tblPrEx>
          <w:tblW w:w="5000" w:type="pct"/>
          <w:tblInd w:w="0" w:type="dxa"/>
          <w:tblCellMar>
            <w:top w:w="0" w:type="dxa"/>
            <w:left w:w="108" w:type="dxa"/>
            <w:bottom w:w="0" w:type="dxa"/>
            <w:right w:w="108" w:type="dxa"/>
          </w:tblCellMar>
        </w:tblPrEx>
        <w:trPr>
          <w:trHeight w:val="397"/>
        </w:trPr>
        <w:tc>
          <w:tcPr>
            <w:tcW w:w="796" w:type="pct"/>
            <w:vMerge/>
            <w:vAlign w:val="center"/>
          </w:tcPr>
          <w:p w14:paraId="3AEFAECD">
            <w:pPr>
              <w:ind w:right="-42" w:rightChars="-20"/>
              <w:jc w:val="center"/>
              <w:rPr>
                <w:rFonts w:ascii="Arial" w:eastAsia="黑体" w:hAnsi="Arial" w:cs="Arial"/>
                <w:szCs w:val="20"/>
              </w:rPr>
            </w:pPr>
          </w:p>
        </w:tc>
        <w:tc>
          <w:tcPr>
            <w:tcW w:w="678" w:type="pct"/>
            <w:vAlign w:val="center"/>
          </w:tcPr>
          <w:p w14:paraId="0D1DA086">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4FB37A27">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376173BB">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13470D9C">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7261E09A">
            <w:pPr>
              <w:ind w:right="-42" w:rightChars="-20"/>
              <w:jc w:val="center"/>
              <w:rPr>
                <w:rFonts w:ascii="Arial" w:eastAsia="黑体" w:hAnsi="Arial" w:cs="Arial"/>
                <w:szCs w:val="20"/>
              </w:rPr>
            </w:pPr>
            <w:r>
              <w:rPr>
                <w:rFonts w:ascii="Arial" w:eastAsia="黑体" w:hAnsi="Arial" w:cs="Arial"/>
                <w:szCs w:val="20"/>
              </w:rPr>
              <w:t>技工</w:t>
            </w:r>
          </w:p>
        </w:tc>
      </w:tr>
      <w:tr w14:paraId="10AB0ACA">
        <w:tblPrEx>
          <w:tblW w:w="5000" w:type="pct"/>
          <w:tblInd w:w="0" w:type="dxa"/>
          <w:tblCellMar>
            <w:top w:w="0" w:type="dxa"/>
            <w:left w:w="108" w:type="dxa"/>
            <w:bottom w:w="0" w:type="dxa"/>
            <w:right w:w="108" w:type="dxa"/>
          </w:tblCellMar>
        </w:tblPrEx>
        <w:trPr>
          <w:trHeight w:val="397"/>
        </w:trPr>
        <w:tc>
          <w:tcPr>
            <w:tcW w:w="796" w:type="pct"/>
            <w:vMerge/>
            <w:vAlign w:val="center"/>
          </w:tcPr>
          <w:p w14:paraId="364E5B46">
            <w:pPr>
              <w:ind w:right="-42" w:rightChars="-20"/>
              <w:jc w:val="center"/>
              <w:rPr>
                <w:rFonts w:ascii="Arial" w:eastAsia="黑体" w:hAnsi="Arial" w:cs="Arial"/>
                <w:szCs w:val="20"/>
              </w:rPr>
            </w:pPr>
          </w:p>
        </w:tc>
        <w:tc>
          <w:tcPr>
            <w:tcW w:w="678" w:type="pct"/>
            <w:vAlign w:val="center"/>
          </w:tcPr>
          <w:p w14:paraId="05529C7E">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3A3ADC6C">
            <w:pPr>
              <w:snapToGrid w:val="0"/>
              <w:ind w:right="-42" w:rightChars="-20"/>
              <w:rPr>
                <w:rFonts w:ascii="Arial" w:eastAsia="黑体" w:hAnsi="Arial" w:cs="Arial"/>
                <w:szCs w:val="20"/>
              </w:rPr>
            </w:pPr>
          </w:p>
        </w:tc>
        <w:tc>
          <w:tcPr>
            <w:tcW w:w="806" w:type="pct"/>
            <w:gridSpan w:val="2"/>
          </w:tcPr>
          <w:p w14:paraId="63393C9B">
            <w:pPr>
              <w:ind w:right="-42" w:rightChars="-20"/>
              <w:rPr>
                <w:rFonts w:ascii="Arial" w:eastAsia="黑体" w:hAnsi="Arial" w:cs="Arial"/>
                <w:szCs w:val="20"/>
              </w:rPr>
            </w:pPr>
          </w:p>
        </w:tc>
        <w:tc>
          <w:tcPr>
            <w:tcW w:w="757" w:type="pct"/>
          </w:tcPr>
          <w:p w14:paraId="07E78165">
            <w:pPr>
              <w:ind w:right="-42" w:rightChars="-20"/>
              <w:rPr>
                <w:rFonts w:ascii="Arial" w:eastAsia="黑体" w:hAnsi="Arial" w:cs="Arial"/>
                <w:szCs w:val="20"/>
              </w:rPr>
            </w:pPr>
          </w:p>
        </w:tc>
        <w:tc>
          <w:tcPr>
            <w:tcW w:w="1023" w:type="pct"/>
          </w:tcPr>
          <w:p w14:paraId="4444837E">
            <w:pPr>
              <w:ind w:right="-42" w:rightChars="-20"/>
              <w:rPr>
                <w:rFonts w:ascii="Arial" w:eastAsia="黑体" w:hAnsi="Arial" w:cs="Arial"/>
                <w:szCs w:val="20"/>
              </w:rPr>
            </w:pPr>
          </w:p>
        </w:tc>
      </w:tr>
      <w:tr w14:paraId="46DFF9A5">
        <w:tblPrEx>
          <w:tblW w:w="5000" w:type="pct"/>
          <w:tblInd w:w="0" w:type="dxa"/>
          <w:tblCellMar>
            <w:top w:w="0" w:type="dxa"/>
            <w:left w:w="108" w:type="dxa"/>
            <w:bottom w:w="0" w:type="dxa"/>
            <w:right w:w="108" w:type="dxa"/>
          </w:tblCellMar>
        </w:tblPrEx>
        <w:trPr>
          <w:trHeight w:val="397"/>
        </w:trPr>
        <w:tc>
          <w:tcPr>
            <w:tcW w:w="796" w:type="pct"/>
            <w:vMerge/>
            <w:vAlign w:val="center"/>
          </w:tcPr>
          <w:p w14:paraId="536C6C87">
            <w:pPr>
              <w:ind w:right="-42" w:rightChars="-20"/>
              <w:jc w:val="center"/>
              <w:rPr>
                <w:rFonts w:ascii="Arial" w:eastAsia="黑体" w:hAnsi="Arial" w:cs="Arial"/>
                <w:szCs w:val="20"/>
              </w:rPr>
            </w:pPr>
          </w:p>
        </w:tc>
        <w:tc>
          <w:tcPr>
            <w:tcW w:w="678" w:type="pct"/>
            <w:vMerge w:val="restart"/>
            <w:vAlign w:val="center"/>
          </w:tcPr>
          <w:p w14:paraId="6AC4D542">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2995DC89">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3C5FF384">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0B0965B9">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50189319">
            <w:pPr>
              <w:ind w:right="-42" w:firstLine="840" w:rightChars="-20" w:firstLineChars="400"/>
              <w:rPr>
                <w:rFonts w:ascii="Arial" w:eastAsia="黑体" w:hAnsi="Arial" w:cs="Arial"/>
                <w:szCs w:val="20"/>
              </w:rPr>
            </w:pPr>
            <w:r>
              <w:rPr>
                <w:rFonts w:ascii="Arial" w:eastAsia="黑体" w:hAnsi="Arial" w:cs="Arial"/>
                <w:szCs w:val="20"/>
              </w:rPr>
              <w:t>万元</w:t>
            </w:r>
          </w:p>
        </w:tc>
      </w:tr>
      <w:tr w14:paraId="37005294">
        <w:tblPrEx>
          <w:tblW w:w="5000" w:type="pct"/>
          <w:tblInd w:w="0" w:type="dxa"/>
          <w:tblCellMar>
            <w:top w:w="0" w:type="dxa"/>
            <w:left w:w="108" w:type="dxa"/>
            <w:bottom w:w="0" w:type="dxa"/>
            <w:right w:w="108" w:type="dxa"/>
          </w:tblCellMar>
        </w:tblPrEx>
        <w:trPr>
          <w:trHeight w:val="397"/>
        </w:trPr>
        <w:tc>
          <w:tcPr>
            <w:tcW w:w="796" w:type="pct"/>
            <w:vMerge/>
            <w:vAlign w:val="center"/>
          </w:tcPr>
          <w:p w14:paraId="419C3771">
            <w:pPr>
              <w:ind w:right="-42" w:rightChars="-20"/>
              <w:jc w:val="center"/>
              <w:rPr>
                <w:rFonts w:ascii="Arial" w:eastAsia="黑体" w:hAnsi="Arial" w:cs="Arial"/>
                <w:szCs w:val="20"/>
              </w:rPr>
            </w:pPr>
          </w:p>
        </w:tc>
        <w:tc>
          <w:tcPr>
            <w:tcW w:w="678" w:type="pct"/>
            <w:vMerge/>
            <w:vAlign w:val="center"/>
          </w:tcPr>
          <w:p w14:paraId="5E437B32">
            <w:pPr>
              <w:snapToGrid w:val="0"/>
              <w:ind w:right="-42" w:rightChars="-20"/>
              <w:rPr>
                <w:rFonts w:ascii="Arial" w:eastAsia="黑体" w:hAnsi="Arial" w:cs="Arial"/>
                <w:szCs w:val="20"/>
              </w:rPr>
            </w:pPr>
          </w:p>
        </w:tc>
        <w:tc>
          <w:tcPr>
            <w:tcW w:w="940" w:type="pct"/>
            <w:gridSpan w:val="3"/>
            <w:vMerge/>
            <w:vAlign w:val="center"/>
          </w:tcPr>
          <w:p w14:paraId="116D0366">
            <w:pPr>
              <w:snapToGrid w:val="0"/>
              <w:ind w:right="-42" w:rightChars="-20"/>
              <w:rPr>
                <w:rFonts w:ascii="Arial" w:eastAsia="黑体" w:hAnsi="Arial" w:cs="Arial"/>
                <w:szCs w:val="20"/>
              </w:rPr>
            </w:pPr>
          </w:p>
        </w:tc>
        <w:tc>
          <w:tcPr>
            <w:tcW w:w="806" w:type="pct"/>
            <w:gridSpan w:val="2"/>
            <w:vMerge/>
            <w:vAlign w:val="center"/>
          </w:tcPr>
          <w:p w14:paraId="150A5119">
            <w:pPr>
              <w:ind w:right="-42" w:rightChars="-20"/>
              <w:jc w:val="center"/>
              <w:rPr>
                <w:rFonts w:ascii="Arial" w:eastAsia="黑体" w:hAnsi="Arial" w:cs="Arial"/>
                <w:szCs w:val="20"/>
              </w:rPr>
            </w:pPr>
          </w:p>
        </w:tc>
        <w:tc>
          <w:tcPr>
            <w:tcW w:w="757" w:type="pct"/>
            <w:vAlign w:val="center"/>
          </w:tcPr>
          <w:p w14:paraId="7F866E4E">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3AFD4AF3">
            <w:pPr>
              <w:ind w:right="-42" w:firstLine="840" w:rightChars="-20" w:firstLineChars="400"/>
              <w:rPr>
                <w:rFonts w:ascii="Arial" w:eastAsia="黑体" w:hAnsi="Arial" w:cs="Arial"/>
                <w:szCs w:val="20"/>
              </w:rPr>
            </w:pPr>
            <w:r>
              <w:rPr>
                <w:rFonts w:ascii="Arial" w:eastAsia="黑体" w:hAnsi="Arial" w:cs="Arial"/>
                <w:szCs w:val="20"/>
              </w:rPr>
              <w:t>万元</w:t>
            </w:r>
          </w:p>
        </w:tc>
      </w:tr>
      <w:tr w14:paraId="33C38A97">
        <w:tblPrEx>
          <w:tblW w:w="5000" w:type="pct"/>
          <w:tblInd w:w="0" w:type="dxa"/>
          <w:tblCellMar>
            <w:top w:w="0" w:type="dxa"/>
            <w:left w:w="108" w:type="dxa"/>
            <w:bottom w:w="0" w:type="dxa"/>
            <w:right w:w="108" w:type="dxa"/>
          </w:tblCellMar>
        </w:tblPrEx>
        <w:trPr>
          <w:trHeight w:val="397"/>
        </w:trPr>
        <w:tc>
          <w:tcPr>
            <w:tcW w:w="796" w:type="pct"/>
            <w:vMerge/>
            <w:vAlign w:val="center"/>
          </w:tcPr>
          <w:p w14:paraId="47FF243A">
            <w:pPr>
              <w:ind w:right="-42" w:rightChars="-20"/>
              <w:jc w:val="center"/>
              <w:rPr>
                <w:rFonts w:ascii="Arial" w:eastAsia="黑体" w:hAnsi="Arial" w:cs="Arial"/>
                <w:szCs w:val="20"/>
              </w:rPr>
            </w:pPr>
          </w:p>
        </w:tc>
        <w:tc>
          <w:tcPr>
            <w:tcW w:w="678" w:type="pct"/>
            <w:vAlign w:val="center"/>
          </w:tcPr>
          <w:p w14:paraId="7E431006">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03142B9C">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3B62D399">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5A7457E1">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1A1D5609">
            <w:pPr>
              <w:ind w:right="-42" w:firstLine="840" w:rightChars="-20" w:firstLineChars="400"/>
              <w:rPr>
                <w:rFonts w:ascii="Arial" w:eastAsia="黑体" w:hAnsi="Arial" w:cs="Arial"/>
                <w:szCs w:val="20"/>
              </w:rPr>
            </w:pPr>
            <w:r>
              <w:rPr>
                <w:rFonts w:ascii="Arial" w:eastAsia="黑体" w:hAnsi="Arial" w:cs="Arial"/>
                <w:szCs w:val="20"/>
              </w:rPr>
              <w:t>万元</w:t>
            </w:r>
          </w:p>
        </w:tc>
      </w:tr>
      <w:tr w14:paraId="6C1AAE77">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7D128C07">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7174CE20">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66707A53">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71A12E89">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7ACD273C">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01636279">
            <w:pPr>
              <w:ind w:right="-42" w:rightChars="-20"/>
              <w:jc w:val="center"/>
              <w:rPr>
                <w:rFonts w:ascii="Arial" w:eastAsia="黑体" w:hAnsi="Arial" w:cs="Arial"/>
                <w:szCs w:val="20"/>
              </w:rPr>
            </w:pPr>
            <w:r>
              <w:rPr>
                <w:rFonts w:ascii="Arial" w:eastAsia="黑体" w:hAnsi="Arial" w:cs="Arial"/>
                <w:szCs w:val="20"/>
              </w:rPr>
              <w:t>负债总额</w:t>
            </w:r>
          </w:p>
        </w:tc>
      </w:tr>
      <w:tr w14:paraId="416EEA5C">
        <w:tblPrEx>
          <w:tblW w:w="5000" w:type="pct"/>
          <w:tblInd w:w="0" w:type="dxa"/>
          <w:tblCellMar>
            <w:top w:w="0" w:type="dxa"/>
            <w:left w:w="108" w:type="dxa"/>
            <w:bottom w:w="0" w:type="dxa"/>
            <w:right w:w="108" w:type="dxa"/>
          </w:tblCellMar>
        </w:tblPrEx>
        <w:trPr>
          <w:trHeight w:val="397"/>
        </w:trPr>
        <w:tc>
          <w:tcPr>
            <w:tcW w:w="796" w:type="pct"/>
            <w:vMerge/>
            <w:vAlign w:val="center"/>
          </w:tcPr>
          <w:p w14:paraId="60448A32">
            <w:pPr>
              <w:ind w:right="-42" w:rightChars="-20"/>
              <w:jc w:val="center"/>
              <w:rPr>
                <w:rFonts w:ascii="Arial" w:eastAsia="黑体" w:hAnsi="Arial" w:cs="Arial"/>
                <w:szCs w:val="20"/>
              </w:rPr>
            </w:pPr>
          </w:p>
        </w:tc>
        <w:tc>
          <w:tcPr>
            <w:tcW w:w="678" w:type="pct"/>
            <w:vAlign w:val="center"/>
          </w:tcPr>
          <w:p w14:paraId="4E76664D">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709EF5D1">
            <w:pPr>
              <w:snapToGrid w:val="0"/>
              <w:ind w:right="-42" w:rightChars="-20"/>
              <w:rPr>
                <w:rFonts w:ascii="Arial" w:eastAsia="黑体" w:hAnsi="Arial" w:cs="Arial"/>
                <w:szCs w:val="20"/>
              </w:rPr>
            </w:pPr>
          </w:p>
        </w:tc>
        <w:tc>
          <w:tcPr>
            <w:tcW w:w="806" w:type="pct"/>
            <w:gridSpan w:val="2"/>
            <w:vAlign w:val="center"/>
          </w:tcPr>
          <w:p w14:paraId="49E073ED">
            <w:pPr>
              <w:ind w:right="-42" w:rightChars="-20"/>
              <w:rPr>
                <w:rFonts w:ascii="Arial" w:eastAsia="黑体" w:hAnsi="Arial" w:cs="Arial"/>
                <w:szCs w:val="20"/>
              </w:rPr>
            </w:pPr>
          </w:p>
        </w:tc>
        <w:tc>
          <w:tcPr>
            <w:tcW w:w="757" w:type="pct"/>
            <w:vAlign w:val="center"/>
          </w:tcPr>
          <w:p w14:paraId="58CFE57A">
            <w:pPr>
              <w:ind w:right="-42" w:rightChars="-20"/>
              <w:rPr>
                <w:rFonts w:ascii="Arial" w:eastAsia="黑体" w:hAnsi="Arial" w:cs="Arial"/>
                <w:szCs w:val="20"/>
              </w:rPr>
            </w:pPr>
          </w:p>
        </w:tc>
        <w:tc>
          <w:tcPr>
            <w:tcW w:w="1023" w:type="pct"/>
            <w:vAlign w:val="center"/>
          </w:tcPr>
          <w:p w14:paraId="6ECD524F">
            <w:pPr>
              <w:ind w:right="-42" w:rightChars="-20"/>
              <w:rPr>
                <w:rFonts w:ascii="Arial" w:eastAsia="黑体" w:hAnsi="Arial" w:cs="Arial"/>
                <w:szCs w:val="20"/>
              </w:rPr>
            </w:pPr>
          </w:p>
        </w:tc>
      </w:tr>
    </w:tbl>
    <w:p w14:paraId="1F33F2F9">
      <w:pPr>
        <w:tabs>
          <w:tab w:val="left" w:pos="5580"/>
        </w:tabs>
        <w:adjustRightInd w:val="0"/>
        <w:snapToGrid w:val="0"/>
        <w:spacing w:line="360" w:lineRule="auto"/>
        <w:jc w:val="center"/>
        <w:rPr>
          <w:rFonts w:ascii="宋体" w:eastAsia="宋体" w:hAnsi="宋体" w:cs="Times New Roman"/>
          <w:szCs w:val="21"/>
        </w:rPr>
      </w:pPr>
    </w:p>
    <w:p w14:paraId="2F422C7F">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8" w:name="OLE_LINK46"/>
      <w:r>
        <w:rPr>
          <w:rFonts w:ascii="Times New Roman" w:eastAsia="宋体" w:hAnsi="Times New Roman" w:cs="Times New Roman" w:hint="eastAsia"/>
          <w:szCs w:val="20"/>
        </w:rPr>
        <w:t>“微型企业”。</w:t>
      </w:r>
      <w:bookmarkEnd w:id="8"/>
      <w:r>
        <w:rPr>
          <w:rFonts w:ascii="Times New Roman" w:eastAsia="宋体" w:hAnsi="Times New Roman" w:cs="Times New Roman" w:hint="eastAsia"/>
          <w:szCs w:val="20"/>
        </w:rPr>
        <w:t>属于监狱企业的应填写为“监狱企业”，属于残疾人福利性单位的应填写为“残疾人福利性单位”。</w:t>
      </w:r>
    </w:p>
    <w:p w14:paraId="4BB09E8C">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36672857"/>
    <w:p w14:paraId="339019EA">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36B0C522">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如响应人提交的响应文件商务条款及合同条款与采购文件的要求存在偏离，需逐项填写；如响应人完全满足采购文件的要求，则需应答“完全满足采购文件的全部要求”；如</w:t>
      </w:r>
      <w:r>
        <w:rPr>
          <w:rFonts w:ascii="Times New Roman" w:eastAsia="宋体" w:hAnsi="Times New Roman" w:cs="Times New Roman" w:hint="eastAsia"/>
          <w:szCs w:val="20"/>
        </w:rPr>
        <w:t>项目分包的，应以包为单位分别填写；如未逐包分别填写，可能导致的不利后果由响应人承担。</w:t>
      </w:r>
    </w:p>
    <w:p w14:paraId="21D6AC1D">
      <w:pPr>
        <w:tabs>
          <w:tab w:val="left" w:pos="1573"/>
        </w:tabs>
        <w:adjustRightInd w:val="0"/>
        <w:snapToGrid w:val="0"/>
        <w:spacing w:line="360" w:lineRule="auto"/>
        <w:ind w:firstLine="412" w:firstLineChars="196"/>
        <w:rPr>
          <w:rFonts w:ascii="宋体" w:eastAsia="宋体" w:hAnsi="宋体" w:cs="Times New Roman"/>
          <w:szCs w:val="21"/>
        </w:rPr>
      </w:pPr>
    </w:p>
    <w:p w14:paraId="429AFE5B">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1D4392A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542AF8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67BFFED0">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6A531E6B">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采购文件条目号</w:t>
            </w:r>
          </w:p>
        </w:tc>
        <w:tc>
          <w:tcPr>
            <w:tcW w:w="1701" w:type="dxa"/>
            <w:vAlign w:val="center"/>
          </w:tcPr>
          <w:p w14:paraId="69803C09">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采购文件商务文件要求</w:t>
            </w:r>
          </w:p>
        </w:tc>
        <w:tc>
          <w:tcPr>
            <w:tcW w:w="1843" w:type="dxa"/>
            <w:vAlign w:val="center"/>
          </w:tcPr>
          <w:p w14:paraId="7AD7C2A2">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1784F61B">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2A635CF0">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1C54A053">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7CDBEEA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77099CD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431830A1">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11B5382D">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2E84760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1979E56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57384EA2">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4DA68EB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BEE280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0979F1D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1629CA4">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7AFAA17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0B30E5E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100B18A7">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107658D1">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363A20B6">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4F78D5CD"/>
    <w:p w14:paraId="5D2C4EB9">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676C97A8">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7B697D1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3636E5DA">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2.10.2近一年内任何完税凭证或税务部门出具的税收减免证明</w:t>
      </w:r>
    </w:p>
    <w:p w14:paraId="3FBB7E1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45A44381">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2.10.3近一年内任何一期社会保障资金缴纳凭证</w:t>
      </w:r>
    </w:p>
    <w:p w14:paraId="516E07F4">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1ED2474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2.10.4财务状况证明</w:t>
      </w:r>
    </w:p>
    <w:p w14:paraId="5DBE2826">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434D0191">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2.10.5参加政府采购活动前三年内，在经营活动中没有重大违法记录的声明</w:t>
      </w:r>
    </w:p>
    <w:p w14:paraId="45AB31CD">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2FF43E51">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592CFE5F">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7DC4317D">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00DCC72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7D25C5D9">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2857BF58">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5442D1C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1393323C">
      <w:pPr>
        <w:adjustRightInd w:val="0"/>
        <w:snapToGrid w:val="0"/>
        <w:spacing w:line="360" w:lineRule="auto"/>
        <w:ind w:firstLine="412" w:firstLineChars="196"/>
        <w:rPr>
          <w:rFonts w:ascii="Times New Roman" w:eastAsia="宋体" w:hAnsi="Times New Roman" w:cs="Times New Roman"/>
          <w:szCs w:val="20"/>
        </w:rPr>
      </w:pPr>
    </w:p>
    <w:p w14:paraId="7859ACCF">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9" w:name="_Hlt509739007"/>
      <w:bookmarkEnd w:id="9"/>
      <w:r>
        <w:rPr>
          <w:rFonts w:ascii="宋体" w:eastAsia="宋体" w:hAnsi="宋体" w:cs="Times New Roman" w:hint="eastAsia"/>
          <w:b/>
          <w:szCs w:val="21"/>
        </w:rPr>
        <w:t>2.10.6响应人信用查询记录。</w:t>
      </w:r>
    </w:p>
    <w:p w14:paraId="2989BDC5">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查询记录截图，查询时间为采购文件发出之日后。</w:t>
      </w:r>
    </w:p>
    <w:p w14:paraId="276A939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2.10.7响应货物的《气象专用技术装备使用许可证》。</w:t>
      </w:r>
    </w:p>
    <w:p w14:paraId="7DFFAF38">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如本次采购内容包括货物，且</w:t>
      </w:r>
      <w:r>
        <w:rPr>
          <w:rFonts w:ascii="宋体" w:eastAsia="宋体" w:hAnsi="宋体" w:cs="Times New Roman" w:hint="eastAsia"/>
          <w:szCs w:val="20"/>
        </w:rPr>
        <w:t>响应货物必须取得《气象专用技术装备使用许可证》的，应提供气象行业主管部门颁发的</w:t>
      </w:r>
      <w:r>
        <w:rPr>
          <w:rFonts w:ascii="Times New Roman" w:eastAsia="宋体" w:hAnsi="Times New Roman" w:cs="Times New Roman" w:hint="eastAsia"/>
          <w:szCs w:val="20"/>
        </w:rPr>
        <w:t>且至提交首次响应文件截止日仍有效的</w:t>
      </w:r>
      <w:r>
        <w:rPr>
          <w:rFonts w:ascii="宋体" w:eastAsia="宋体" w:hAnsi="宋体" w:cs="Times New Roman" w:hint="eastAsia"/>
          <w:szCs w:val="20"/>
        </w:rPr>
        <w:t>《气象专用技术装备使用许可证》的复印件</w:t>
      </w:r>
      <w:r>
        <w:rPr>
          <w:rFonts w:ascii="宋体" w:eastAsia="宋体" w:hAnsi="宋体" w:cs="Times New Roman" w:hint="eastAsia"/>
          <w:szCs w:val="21"/>
        </w:rPr>
        <w:t>，且所载产品名称、规格型号应与响应货物的名称、规格型号一致</w:t>
      </w:r>
      <w:r>
        <w:rPr>
          <w:rFonts w:ascii="宋体" w:eastAsia="拒绝" w:hAnsi="宋体" w:cs="Times New Roman" w:hint="eastAsia"/>
          <w:b/>
          <w:szCs w:val="21"/>
        </w:rPr>
        <w:t>。</w:t>
      </w:r>
    </w:p>
    <w:p w14:paraId="35831267">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bCs/>
          <w:szCs w:val="21"/>
        </w:rPr>
        <w:t>2.10.8</w:t>
      </w:r>
      <w:r>
        <w:rPr>
          <w:rFonts w:ascii="宋体" w:eastAsia="宋体" w:hAnsi="宋体" w:cs="Times New Roman" w:hint="eastAsia"/>
          <w:b/>
          <w:szCs w:val="21"/>
        </w:rPr>
        <w:t>进口产品制造商授权书</w:t>
      </w:r>
    </w:p>
    <w:p w14:paraId="05413A47">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444C4BC7">
      <w:pPr>
        <w:adjustRightInd w:val="0"/>
        <w:snapToGrid w:val="0"/>
        <w:spacing w:line="360" w:lineRule="auto"/>
        <w:ind w:firstLine="412" w:firstLineChars="196"/>
        <w:rPr>
          <w:rFonts w:ascii="宋体" w:eastAsia="宋体" w:hAnsi="宋体" w:cs="Times New Roman"/>
          <w:szCs w:val="20"/>
        </w:rPr>
      </w:pPr>
    </w:p>
    <w:p w14:paraId="35F556E1">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5508F768">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5676516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13D9B08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采购邀请要求提供的由我方制造的货物的有关事宜，并对我方具有约束力。</w:t>
      </w:r>
    </w:p>
    <w:p w14:paraId="265EDA22">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（2）作为制造商，我方保证以响应合作者来约束自己，并对该响应共同和分别承担采购文件中所规定的义务。</w:t>
      </w:r>
    </w:p>
    <w:p w14:paraId="1DCF5952">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1A37F1DE">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5441DE29">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0A7187B6">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765CF539">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3C452617">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5802E63D">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4F727859">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30F73306">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0" w:name="_Toc86202647"/>
      <w:r>
        <w:rPr>
          <w:rFonts w:ascii="宋体" w:eastAsia="宋体" w:hAnsi="宋体" w:cs="Times New Roman" w:hint="eastAsia"/>
          <w:b/>
          <w:szCs w:val="21"/>
        </w:rPr>
        <w:t>2.10.9中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562CDFA1">
      <w:pPr>
        <w:tabs>
          <w:tab w:val="left" w:pos="709"/>
          <w:tab w:val="left" w:pos="1573"/>
        </w:tabs>
        <w:adjustRightInd w:val="0"/>
        <w:snapToGrid w:val="0"/>
        <w:spacing w:line="360" w:lineRule="auto"/>
        <w:ind w:firstLine="420" w:firstLineChars="200"/>
        <w:jc w:val="left"/>
        <w:outlineLvl w:val="9"/>
        <w:rPr>
          <w:rFonts w:ascii="宋体" w:eastAsia="宋体" w:hAnsi="宋体" w:cs="Times New Roman"/>
          <w:szCs w:val="21"/>
        </w:rPr>
      </w:pPr>
      <w:r>
        <w:rPr>
          <w:rFonts w:ascii="宋体" w:eastAsia="宋体" w:hAnsi="宋体" w:cs="Times New Roman" w:hint="eastAsia"/>
          <w:bCs/>
          <w:szCs w:val="21"/>
        </w:rPr>
        <w:t>符合条件的响应人提供，在公布成交结果时使用。</w:t>
      </w:r>
    </w:p>
    <w:p w14:paraId="39449ECD">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2B59F2CA">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5CE9086D">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（服务）</w:t>
      </w:r>
    </w:p>
    <w:p w14:paraId="1F39AEE0">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本公司（联合体）郑重声明，根据《政府采购促进中小企业发展管理办法》（财库﹝2020﹞46 号）的规定，本公司（联合体）参加</w:t>
      </w:r>
      <w:r>
        <w:rPr>
          <w:rFonts w:ascii="华文楷体" w:eastAsia="华文楷体" w:hAnsi="华文楷体" w:cs="仿宋" w:hint="eastAsia"/>
          <w:szCs w:val="21"/>
          <w:u w:val="single"/>
        </w:rPr>
        <w:t>（单位名称）</w:t>
      </w:r>
      <w:r>
        <w:rPr>
          <w:rFonts w:ascii="华文楷体" w:eastAsia="华文楷体" w:hAnsi="华文楷体" w:cs="仿宋" w:hint="eastAsia"/>
          <w:szCs w:val="21"/>
        </w:rPr>
        <w:t>的</w:t>
      </w:r>
      <w:r>
        <w:rPr>
          <w:rFonts w:ascii="华文楷体" w:eastAsia="华文楷体" w:hAnsi="华文楷体" w:cs="仿宋" w:hint="eastAsia"/>
          <w:szCs w:val="21"/>
          <w:u w:val="single"/>
        </w:rPr>
        <w:t>（项目名称）</w:t>
      </w:r>
      <w:r>
        <w:rPr>
          <w:rFonts w:ascii="华文楷体" w:eastAsia="华文楷体" w:hAnsi="华文楷体" w:cs="仿宋" w:hint="eastAsia"/>
          <w:szCs w:val="21"/>
        </w:rPr>
        <w:t>采购活动，服务全部由符合政策要求的中小企业承接；如有货物，所</w:t>
      </w:r>
      <w:r>
        <w:rPr>
          <w:rFonts w:ascii="华文楷体" w:eastAsia="华文楷体" w:hAnsi="华文楷体" w:cs="仿宋_GB2312" w:hint="eastAsia"/>
          <w:szCs w:val="21"/>
        </w:rPr>
        <w:t>提供的货物全部由符合政策要求的中小企业制造。</w:t>
      </w:r>
      <w:r>
        <w:rPr>
          <w:rFonts w:ascii="华文楷体" w:eastAsia="华文楷体" w:hAnsi="华文楷体" w:cs="仿宋" w:hint="eastAsia"/>
          <w:szCs w:val="21"/>
        </w:rPr>
        <w:t>相关企业（含联合体中的中小企业、签订分包意向协议的中小企业）的具体情况如下：</w:t>
      </w:r>
    </w:p>
    <w:p w14:paraId="22DC077A">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1.（</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（采购文件中明确的所属行业）行业</w:t>
      </w:r>
      <w:r>
        <w:rPr>
          <w:rFonts w:ascii="华文楷体" w:eastAsia="华文楷体" w:hAnsi="华文楷体" w:cs="仿宋" w:hint="eastAsia"/>
          <w:szCs w:val="21"/>
        </w:rPr>
        <w:t>；</w:t>
      </w:r>
    </w:p>
    <w:p w14:paraId="6F2ACBBA">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2FF98B8A">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2.（</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（采购文件中明确的所属行业）行业</w:t>
      </w:r>
      <w:r>
        <w:rPr>
          <w:rFonts w:ascii="华文楷体" w:eastAsia="华文楷体" w:hAnsi="华文楷体" w:cs="仿宋" w:hint="eastAsia"/>
          <w:szCs w:val="21"/>
        </w:rPr>
        <w:t>；</w:t>
      </w:r>
    </w:p>
    <w:p w14:paraId="4B416E47">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719A9E25">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w:t>
      </w:r>
    </w:p>
    <w:p w14:paraId="553066E1">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以上企业，不属于大企业的分支机构，不存在控股股东为大企业的情形，也不存在与大企业的负责人为同一人的情形。</w:t>
      </w:r>
    </w:p>
    <w:p w14:paraId="14A376C4">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本企业对上述声明内容的真实性负责。如有虚假，将依法承担相应责任。</w:t>
      </w:r>
    </w:p>
    <w:p w14:paraId="47033CAD">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295E6C99">
      <w:pPr>
        <w:adjustRightInd w:val="0"/>
        <w:snapToGrid w:val="0"/>
        <w:spacing w:line="360" w:lineRule="auto"/>
        <w:ind w:right="105" w:firstLine="420" w:rightChars="50" w:firstLineChars="200"/>
        <w:jc w:val="left"/>
        <w:rPr>
          <w:rFonts w:ascii="华文楷体" w:eastAsia="华文楷体" w:hAnsi="华文楷体" w:cs="仿宋_GB2312"/>
          <w:szCs w:val="21"/>
        </w:rPr>
      </w:pPr>
    </w:p>
    <w:p w14:paraId="6430BDB5">
      <w:pPr>
        <w:adjustRightInd w:val="0"/>
        <w:snapToGrid w:val="0"/>
        <w:spacing w:line="360" w:lineRule="auto"/>
        <w:ind w:right="105" w:firstLine="4536" w:rightChars="50" w:firstLineChars="2160"/>
        <w:jc w:val="left"/>
        <w:rPr>
          <w:rFonts w:ascii="华文楷体" w:eastAsia="华文楷体" w:hAnsi="华文楷体" w:cs="仿宋_GB2312"/>
          <w:szCs w:val="21"/>
          <w:u w:val="single"/>
        </w:rPr>
      </w:pPr>
      <w:r>
        <w:rPr>
          <w:rFonts w:ascii="华文楷体" w:eastAsia="华文楷体" w:hAnsi="华文楷体" w:cs="仿宋_GB2312" w:hint="eastAsia"/>
          <w:szCs w:val="21"/>
        </w:rPr>
        <w:t>响应人</w:t>
      </w:r>
      <w:r>
        <w:rPr>
          <w:rFonts w:ascii="华文楷体" w:eastAsia="华文楷体" w:hAnsi="华文楷体" w:cs="仿宋_GB2312"/>
          <w:szCs w:val="21"/>
        </w:rPr>
        <w:t>名称（</w:t>
      </w:r>
      <w:r>
        <w:rPr>
          <w:rFonts w:ascii="华文楷体" w:eastAsia="华文楷体" w:hAnsi="华文楷体" w:cs="仿宋_GB2312" w:hint="eastAsia"/>
          <w:szCs w:val="21"/>
        </w:rPr>
        <w:t>电子签章</w:t>
      </w:r>
      <w:r>
        <w:rPr>
          <w:rFonts w:ascii="华文楷体" w:eastAsia="华文楷体" w:hAnsi="华文楷体" w:cs="仿宋_GB2312"/>
          <w:szCs w:val="21"/>
        </w:rPr>
        <w:t>）：</w:t>
      </w:r>
      <w:r>
        <w:rPr>
          <w:rFonts w:ascii="华文楷体" w:eastAsia="华文楷体" w:hAnsi="华文楷体" w:cs="仿宋_GB2312" w:hint="eastAsia"/>
          <w:szCs w:val="21"/>
          <w:u w:val="single"/>
        </w:rPr>
        <w:t xml:space="preserve">         </w:t>
      </w:r>
    </w:p>
    <w:p w14:paraId="48B77290">
      <w:pPr>
        <w:adjustRightInd w:val="0"/>
        <w:snapToGrid w:val="0"/>
        <w:spacing w:line="360" w:lineRule="auto"/>
        <w:ind w:right="105" w:firstLine="4536" w:rightChars="50" w:firstLineChars="2160"/>
        <w:jc w:val="left"/>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7F396CFC">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89722AC">
      <w:pPr>
        <w:autoSpaceDN w:val="0"/>
        <w:spacing w:line="440" w:lineRule="exact"/>
        <w:ind w:firstLine="420" w:firstLineChars="200"/>
        <w:rPr>
          <w:rFonts w:ascii="宋体" w:eastAsia="宋体" w:hAnsi="宋体" w:cs="仿宋_GB2312"/>
          <w:b/>
          <w:szCs w:val="21"/>
        </w:rPr>
      </w:pPr>
    </w:p>
    <w:p w14:paraId="02246701">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0D1018D0">
      <w:pPr>
        <w:tabs>
          <w:tab w:val="left" w:pos="1573"/>
        </w:tabs>
        <w:autoSpaceDN w:val="0"/>
        <w:adjustRightInd w:val="0"/>
        <w:snapToGrid w:val="0"/>
        <w:spacing w:line="360" w:lineRule="auto"/>
        <w:jc w:val="center"/>
        <w:rPr>
          <w:rFonts w:ascii="华文楷体" w:eastAsia="华文楷体" w:hAnsi="华文楷体" w:cs="仿宋_GB2312"/>
          <w:b/>
          <w:szCs w:val="21"/>
        </w:rPr>
      </w:pPr>
    </w:p>
    <w:p w14:paraId="77CACA97">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6AA631B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3881FCD">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60962746">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4A73CF42">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p>
    <w:p w14:paraId="46E9FC3B">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7C98F759">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5FABBA9E">
      <w:pPr>
        <w:tabs>
          <w:tab w:val="left" w:pos="1573"/>
        </w:tabs>
        <w:autoSpaceDN w:val="0"/>
        <w:adjustRightInd w:val="0"/>
        <w:snapToGrid w:val="0"/>
        <w:spacing w:line="360" w:lineRule="auto"/>
        <w:ind w:left="105" w:leftChars="50"/>
        <w:jc w:val="left"/>
        <w:rPr>
          <w:rFonts w:ascii="宋体" w:eastAsia="宋体" w:hAnsi="宋体" w:cs="仿宋_GB2312"/>
          <w:szCs w:val="21"/>
        </w:rPr>
      </w:pPr>
      <w:r>
        <w:rPr>
          <w:rFonts w:ascii="华文楷体" w:eastAsia="华文楷体" w:hAnsi="华文楷体" w:cs="Times New Roman" w:hint="eastAsia"/>
          <w:bCs/>
          <w:szCs w:val="20"/>
        </w:rPr>
        <w:t xml:space="preserve">    </w:t>
      </w: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298BB1F4">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21D1DD75">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2.10.10联合体协议</w:t>
      </w:r>
    </w:p>
    <w:p w14:paraId="1A9A483E">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09A9041F">
      <w:pPr>
        <w:tabs>
          <w:tab w:val="left" w:pos="1573"/>
        </w:tabs>
        <w:autoSpaceDN w:val="0"/>
        <w:adjustRightInd w:val="0"/>
        <w:snapToGrid w:val="0"/>
        <w:spacing w:line="360" w:lineRule="auto"/>
        <w:rPr>
          <w:rFonts w:ascii="宋体" w:eastAsia="宋体" w:hAnsi="宋体" w:cs="Times New Roman"/>
          <w:b/>
          <w:szCs w:val="21"/>
        </w:rPr>
      </w:pPr>
    </w:p>
    <w:p w14:paraId="751E676F">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5B2D4CFC">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29B090E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36F4AAE9">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47F913DB">
      <w:pPr>
        <w:spacing w:line="360" w:lineRule="auto"/>
        <w:ind w:firstLine="420" w:firstLineChars="200"/>
        <w:rPr>
          <w:rFonts w:ascii="华文楷体" w:eastAsia="华文楷体" w:hAnsi="华文楷体" w:cs="仿宋_GB2312"/>
          <w:szCs w:val="21"/>
          <w:u w:val="single"/>
        </w:rPr>
      </w:pPr>
      <w:bookmarkStart w:id="11" w:name="_Toc23749_WPSOffice_Level2"/>
      <w:bookmarkStart w:id="12" w:name="_Toc15561_WPSOffice_Level2"/>
      <w:r>
        <w:rPr>
          <w:rFonts w:ascii="华文楷体" w:eastAsia="华文楷体" w:hAnsi="华文楷体" w:cs="仿宋_GB2312" w:hint="eastAsia"/>
          <w:szCs w:val="21"/>
        </w:rPr>
        <w:t>1.</w:t>
      </w:r>
      <w:bookmarkEnd w:id="11"/>
      <w:bookmarkEnd w:id="12"/>
      <w:r>
        <w:rPr>
          <w:rFonts w:ascii="华文楷体" w:eastAsia="华文楷体" w:hAnsi="华文楷体" w:cs="仿宋_GB2312" w:hint="eastAsia"/>
          <w:szCs w:val="21"/>
          <w:u w:val="single"/>
        </w:rPr>
        <w:t xml:space="preserve">                  </w:t>
      </w:r>
    </w:p>
    <w:p w14:paraId="52AF5C13">
      <w:pPr>
        <w:spacing w:line="360" w:lineRule="auto"/>
        <w:ind w:firstLine="420" w:firstLineChars="200"/>
        <w:rPr>
          <w:rFonts w:ascii="华文楷体" w:eastAsia="华文楷体" w:hAnsi="华文楷体" w:cs="仿宋_GB2312"/>
          <w:szCs w:val="21"/>
        </w:rPr>
      </w:pPr>
      <w:bookmarkStart w:id="13" w:name="_Toc405_WPSOffice_Level2"/>
      <w:bookmarkStart w:id="14" w:name="_Toc22173_WPSOffice_Level2"/>
      <w:r>
        <w:rPr>
          <w:rFonts w:ascii="华文楷体" w:eastAsia="华文楷体" w:hAnsi="华文楷体" w:cs="仿宋_GB2312" w:hint="eastAsia"/>
          <w:szCs w:val="21"/>
        </w:rPr>
        <w:t>2.</w:t>
      </w:r>
      <w:bookmarkEnd w:id="13"/>
      <w:bookmarkEnd w:id="14"/>
      <w:r>
        <w:rPr>
          <w:rFonts w:ascii="华文楷体" w:eastAsia="华文楷体" w:hAnsi="华文楷体" w:cs="仿宋_GB2312" w:hint="eastAsia"/>
          <w:szCs w:val="21"/>
          <w:u w:val="single"/>
        </w:rPr>
        <w:t xml:space="preserve">                  </w:t>
      </w:r>
    </w:p>
    <w:p w14:paraId="4C77317D">
      <w:pPr>
        <w:spacing w:line="360" w:lineRule="auto"/>
        <w:ind w:firstLine="420" w:firstLineChars="200"/>
        <w:rPr>
          <w:rFonts w:ascii="华文楷体" w:eastAsia="华文楷体" w:hAnsi="华文楷体" w:cs="仿宋_GB2312"/>
          <w:szCs w:val="21"/>
        </w:rPr>
      </w:pPr>
      <w:bookmarkStart w:id="15" w:name="_Toc23482_WPSOffice_Level2"/>
      <w:bookmarkStart w:id="16" w:name="_Toc7084_WPSOffice_Level2"/>
      <w:r>
        <w:rPr>
          <w:rFonts w:ascii="华文楷体" w:eastAsia="华文楷体" w:hAnsi="华文楷体" w:cs="仿宋_GB2312" w:hint="eastAsia"/>
          <w:szCs w:val="21"/>
        </w:rPr>
        <w:t>3.</w:t>
      </w:r>
      <w:bookmarkEnd w:id="15"/>
      <w:bookmarkEnd w:id="16"/>
      <w:r>
        <w:rPr>
          <w:rFonts w:ascii="华文楷体" w:eastAsia="华文楷体" w:hAnsi="华文楷体" w:cs="仿宋_GB2312" w:hint="eastAsia"/>
          <w:szCs w:val="21"/>
          <w:u w:val="single"/>
        </w:rPr>
        <w:t xml:space="preserve">                  </w:t>
      </w:r>
    </w:p>
    <w:p w14:paraId="54089DB9">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3AF8F638">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7992D122">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四、联合体将严格按照采购文件的各项要求，递交响应文件，参加响应，履行成交义务和成交后的合同，并向采购人承担连带责任。</w:t>
      </w:r>
    </w:p>
    <w:p w14:paraId="71CF4608">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3411F5EC">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08DE4657">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6F479440">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53F716EC">
      <w:pPr>
        <w:spacing w:line="360" w:lineRule="auto"/>
        <w:ind w:firstLine="420" w:firstLineChars="200"/>
        <w:rPr>
          <w:rFonts w:ascii="华文楷体" w:eastAsia="华文楷体" w:hAnsi="华文楷体" w:cs="仿宋_GB2312"/>
          <w:szCs w:val="21"/>
        </w:rPr>
      </w:pPr>
    </w:p>
    <w:p w14:paraId="665A8A25">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30ADA4B7">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040DF3F8">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5A188407">
      <w:pPr>
        <w:spacing w:line="360" w:lineRule="exact"/>
        <w:ind w:right="1050" w:firstLine="2835" w:rightChars="500" w:firstLineChars="1350"/>
        <w:jc w:val="left"/>
        <w:rPr>
          <w:rFonts w:ascii="华文楷体" w:eastAsia="华文楷体" w:hAnsi="华文楷体" w:cs="仿宋_GB2312"/>
          <w:szCs w:val="21"/>
        </w:rPr>
      </w:pPr>
    </w:p>
    <w:p w14:paraId="4E546CD2">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56B8C83B">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720AC8FC">
      <w:pPr>
        <w:spacing w:line="360" w:lineRule="exact"/>
        <w:ind w:right="1050" w:firstLine="2835" w:rightChars="500" w:firstLineChars="1350"/>
        <w:jc w:val="left"/>
        <w:rPr>
          <w:rFonts w:ascii="华文楷体" w:eastAsia="华文楷体" w:hAnsi="华文楷体" w:cs="仿宋_GB2312"/>
          <w:szCs w:val="21"/>
        </w:rPr>
      </w:pPr>
    </w:p>
    <w:p w14:paraId="35A3340A">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2.10.11分包意向协议</w:t>
      </w:r>
    </w:p>
    <w:p w14:paraId="70369172">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7BF909C7">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639FB8A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224ECA0F">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758B19F8">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7FC7906B">
      <w:pPr>
        <w:autoSpaceDN w:val="0"/>
        <w:spacing w:line="440" w:lineRule="exact"/>
        <w:ind w:firstLine="420" w:firstLineChars="200"/>
        <w:rPr>
          <w:rFonts w:ascii="华文楷体" w:eastAsia="华文楷体" w:hAnsi="华文楷体" w:cs="仿宋_GB2312"/>
          <w:szCs w:val="21"/>
        </w:rPr>
      </w:pPr>
    </w:p>
    <w:p w14:paraId="37E3071D">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5C4A182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1BCB1ED4">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72370D72">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520CF7D4">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473E21EA">
      <w:pPr>
        <w:tabs>
          <w:tab w:val="left" w:pos="1573"/>
        </w:tabs>
        <w:autoSpaceDN w:val="0"/>
        <w:adjustRightInd w:val="0"/>
        <w:snapToGrid w:val="0"/>
        <w:spacing w:line="360" w:lineRule="auto"/>
        <w:rPr>
          <w:rFonts w:ascii="宋体" w:eastAsia="宋体" w:hAnsi="宋体" w:cs="Times New Roman"/>
          <w:b/>
          <w:szCs w:val="21"/>
        </w:rPr>
      </w:pPr>
    </w:p>
    <w:bookmarkEnd w:id="10"/>
    <w:p w14:paraId="37A6721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2.10.12其他资格证明文件</w:t>
      </w:r>
    </w:p>
    <w:p w14:paraId="252820D3">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136676F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2.12</w:t>
      </w:r>
      <w:r>
        <w:rPr>
          <w:rFonts w:ascii="宋体" w:eastAsia="宋体" w:hAnsi="宋体" w:cs="Times New Roman" w:hint="eastAsia"/>
          <w:b/>
          <w:szCs w:val="20"/>
        </w:rPr>
        <w:t>其他商务文件</w:t>
      </w:r>
    </w:p>
    <w:p w14:paraId="79A3A601">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按照第五章响应人须知专用部分5.8条规定应提交的各种商务文件</w:t>
      </w:r>
      <w:r>
        <w:rPr>
          <w:rFonts w:ascii="宋体" w:eastAsia="宋体" w:hAnsi="宋体" w:cs="Times New Roman" w:hint="eastAsia"/>
          <w:szCs w:val="20"/>
        </w:rPr>
        <w:t>。</w:t>
      </w:r>
    </w:p>
    <w:p w14:paraId="27D69143"/>
    <w:p w14:paraId="237707DD">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2.13响应人自行编写的商务文件</w:t>
      </w:r>
    </w:p>
    <w:p w14:paraId="53A58A25">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响应人认为需要进行介绍、说明的其他事项，由响应人自行设计格式</w:t>
      </w:r>
      <w:r>
        <w:rPr>
          <w:rFonts w:ascii="宋体" w:eastAsia="宋体" w:hAnsi="宋体" w:cs="Times New Roman" w:hint="eastAsia"/>
          <w:szCs w:val="21"/>
        </w:rPr>
        <w:t>。</w:t>
      </w:r>
    </w:p>
    <w:p w14:paraId="557E0480"/>
    <w:p w:rsidR="00A77B3E"/>
    <w:p w14:paraId="2014C03B">
      <w:pPr>
        <w:tabs>
          <w:tab w:val="left" w:pos="1573"/>
        </w:tabs>
        <w:adjustRightInd w:val="0"/>
        <w:snapToGrid w:val="0"/>
        <w:spacing w:line="360" w:lineRule="auto"/>
        <w:ind w:firstLine="412" w:firstLineChars="196"/>
        <w:jc w:val="left"/>
        <w:rPr>
          <w:rFonts w:ascii="宋体" w:hAnsi="宋体"/>
          <w:b/>
          <w:szCs w:val="21"/>
        </w:rPr>
        <w:sectPr>
          <w:headerReference w:type="default" r:id="rId6"/>
          <w:footerReference w:type="default" r:id="rId7"/>
          <w:pgSz w:w="11906" w:h="16838"/>
          <w:pgMar w:top="1418" w:right="1418" w:bottom="1418" w:left="1701" w:header="851" w:footer="851" w:gutter="0"/>
          <w:pgNumType w:start="1"/>
          <w:cols w:num="1" w:space="720"/>
          <w:docGrid w:type="linesAndChars" w:linePitch="312" w:charSpace="0"/>
        </w:sectPr>
      </w:pPr>
      <w:bookmarkEnd w:id="7"/>
    </w:p>
    <w:p w14:paraId="0C0DAC2A">
      <w:pPr>
        <w:adjustRightInd w:val="0"/>
        <w:snapToGrid w:val="0"/>
        <w:spacing w:line="360" w:lineRule="auto"/>
        <w:ind w:firstLine="420"/>
        <w:outlineLvl w:val="9"/>
        <w:rPr>
          <w:rFonts w:ascii="宋体" w:eastAsia="宋体" w:hAnsi="宋体" w:cs="Times New Roman"/>
          <w:b/>
          <w:bCs/>
          <w:szCs w:val="44"/>
        </w:rPr>
      </w:pPr>
    </w:p>
    <w:p w14:paraId="4C184EF1">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p w14:paraId="3334CCC0">
      <w:pPr>
        <w:adjustRightInd w:val="0"/>
        <w:snapToGrid w:val="0"/>
        <w:spacing w:line="360" w:lineRule="auto"/>
        <w:ind w:firstLine="420"/>
        <w:outlineLvl w:val="3"/>
        <w:rPr>
          <w:rFonts w:ascii="宋体" w:eastAsia="宋体" w:hAnsi="宋体" w:cs="Times New Roman"/>
          <w:b/>
          <w:szCs w:val="21"/>
        </w:rPr>
      </w:pPr>
      <w:bookmarkStart w:id="17" w:name="插入_投标文件技术部分"/>
      <w:r>
        <w:rPr>
          <w:rFonts w:ascii="宋体" w:eastAsia="宋体" w:hAnsi="宋体" w:cs="Times New Roman" w:hint="eastAsia"/>
          <w:b/>
          <w:szCs w:val="21"/>
        </w:rPr>
        <w:t>2.13报价一览表</w:t>
      </w:r>
    </w:p>
    <w:p w14:paraId="2270984B">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1A3B563A">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40FCF79F">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312E5897">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2E2193DA">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2D7C17FB">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317154D1">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16419C1E">
            <w:pPr>
              <w:tabs>
                <w:tab w:val="left" w:pos="5580"/>
              </w:tabs>
              <w:adjustRightInd w:val="0"/>
              <w:snapToGrid w:val="0"/>
              <w:spacing w:line="360" w:lineRule="auto"/>
              <w:jc w:val="center"/>
              <w:rPr>
                <w:rFonts w:ascii="华文楷体" w:eastAsia="华文楷体" w:hAnsi="华文楷体" w:cs="Times New Roman"/>
                <w:szCs w:val="21"/>
              </w:rPr>
            </w:pPr>
          </w:p>
        </w:tc>
      </w:tr>
      <w:tr w14:paraId="5C046C5B">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23BF0E29">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20AAF409">
            <w:pPr>
              <w:tabs>
                <w:tab w:val="left" w:pos="5580"/>
              </w:tabs>
              <w:adjustRightInd w:val="0"/>
              <w:snapToGrid w:val="0"/>
              <w:spacing w:line="360" w:lineRule="auto"/>
              <w:jc w:val="center"/>
              <w:rPr>
                <w:rFonts w:ascii="华文楷体" w:eastAsia="华文楷体" w:hAnsi="华文楷体" w:cs="Times New Roman"/>
                <w:szCs w:val="21"/>
              </w:rPr>
            </w:pPr>
          </w:p>
        </w:tc>
      </w:tr>
    </w:tbl>
    <w:p w14:paraId="46A675B7">
      <w:pPr>
        <w:adjustRightInd w:val="0"/>
        <w:snapToGrid w:val="0"/>
        <w:spacing w:line="360" w:lineRule="auto"/>
        <w:rPr>
          <w:rFonts w:ascii="华文楷体" w:eastAsia="华文楷体" w:hAnsi="华文楷体" w:cs="Times New Roman"/>
          <w:szCs w:val="21"/>
        </w:rPr>
      </w:pPr>
    </w:p>
    <w:p w14:paraId="1FE4EEAB">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1092803F">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7354C9EE">
      <w:pPr>
        <w:tabs>
          <w:tab w:val="left" w:pos="5580"/>
        </w:tabs>
        <w:adjustRightInd w:val="0"/>
        <w:snapToGrid w:val="0"/>
        <w:spacing w:line="360" w:lineRule="auto"/>
        <w:jc w:val="left"/>
        <w:rPr>
          <w:rFonts w:ascii="华文楷体" w:eastAsia="华文楷体" w:hAnsi="华文楷体" w:cs="Times New Roman"/>
          <w:szCs w:val="21"/>
        </w:rPr>
      </w:pPr>
    </w:p>
    <w:p w14:paraId="334AF4BF">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1EBE8842">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w:t>
      </w:r>
      <w:r>
        <w:rPr>
          <w:rFonts w:ascii="华文楷体" w:eastAsia="华文楷体" w:hAnsi="华文楷体" w:hint="eastAsia"/>
          <w:szCs w:val="21"/>
        </w:rPr>
        <w:t>/软件开发/服务</w:t>
      </w:r>
      <w:r>
        <w:rPr>
          <w:rFonts w:ascii="华文楷体" w:eastAsia="华文楷体" w:hAnsi="华文楷体" w:cs="Times New Roman" w:hint="eastAsia"/>
          <w:szCs w:val="21"/>
        </w:rPr>
        <w:t>只允许有一个报价，不得有任何选择性报价和有条件的优惠报价。</w:t>
      </w:r>
    </w:p>
    <w:p w14:paraId="47723326">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725C1BC6">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4E8E825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2D3817FA"/>
    <w:p w14:paraId="505A2891">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2.14分项</w:t>
      </w:r>
      <w:r>
        <w:rPr>
          <w:rFonts w:ascii="宋体" w:eastAsia="宋体" w:hAnsi="宋体" w:cs="Times New Roman" w:hint="eastAsia"/>
          <w:b/>
          <w:szCs w:val="21"/>
        </w:rPr>
        <w:t>报价表</w:t>
      </w:r>
    </w:p>
    <w:p w14:paraId="1BF5F51A">
      <w:pPr>
        <w:adjustRightInd w:val="0"/>
        <w:snapToGrid w:val="0"/>
        <w:spacing w:line="360" w:lineRule="auto"/>
        <w:ind w:firstLine="420" w:firstLineChars="200"/>
        <w:outlineLvl w:val="3"/>
        <w:rPr>
          <w:rFonts w:ascii="华文楷体" w:eastAsia="华文楷体" w:hAnsi="华文楷体" w:cs="Times New Roman"/>
          <w:szCs w:val="21"/>
        </w:rPr>
      </w:pPr>
      <w:r>
        <w:rPr>
          <w:rFonts w:ascii="华文楷体" w:eastAsia="华文楷体" w:hAnsi="华文楷体" w:cs="Times New Roman" w:hint="eastAsia"/>
          <w:szCs w:val="21"/>
        </w:rPr>
        <w:t>说明：1、采购内容不含货物购置的不提供表二。表一、二总价之和应等于报价一览表总价。</w:t>
      </w:r>
    </w:p>
    <w:p w14:paraId="2FECE722">
      <w:pPr>
        <w:adjustRightInd w:val="0"/>
        <w:snapToGrid w:val="0"/>
        <w:spacing w:line="360" w:lineRule="auto"/>
        <w:ind w:firstLine="1050" w:firstLineChars="500"/>
        <w:jc w:val="left"/>
        <w:rPr>
          <w:rFonts w:ascii="华文楷体" w:eastAsia="华文楷体" w:hAnsi="华文楷体" w:cs="Times New Roman"/>
          <w:szCs w:val="21"/>
        </w:rPr>
      </w:pPr>
      <w:r>
        <w:rPr>
          <w:rFonts w:ascii="华文楷体" w:eastAsia="华文楷体" w:hAnsi="华文楷体" w:cs="Times New Roman"/>
          <w:szCs w:val="21"/>
        </w:rPr>
        <w:t>2.</w:t>
      </w:r>
      <w:r>
        <w:rPr>
          <w:rFonts w:ascii="华文楷体" w:eastAsia="华文楷体" w:hAnsi="华文楷体" w:cs="Times New Roman" w:hint="eastAsia"/>
          <w:szCs w:val="21"/>
        </w:rPr>
        <w:t>响应人认为分项报价表格式不符合自身要求，格式可以自拟。</w:t>
      </w:r>
    </w:p>
    <w:p w14:paraId="1CA963B3">
      <w:pPr>
        <w:adjustRightInd w:val="0"/>
        <w:snapToGrid w:val="0"/>
        <w:spacing w:line="360" w:lineRule="auto"/>
        <w:ind w:firstLine="1050" w:firstLineChars="500"/>
        <w:jc w:val="left"/>
        <w:rPr>
          <w:rFonts w:ascii="华文楷体" w:eastAsia="华文楷体" w:hAnsi="华文楷体" w:cs="Times New Roman"/>
          <w:szCs w:val="21"/>
        </w:rPr>
      </w:pPr>
      <w:r>
        <w:rPr>
          <w:rFonts w:ascii="华文楷体" w:eastAsia="华文楷体" w:hAnsi="华文楷体" w:cs="Times New Roman" w:hint="eastAsia"/>
          <w:szCs w:val="21"/>
        </w:rPr>
        <w:t>3.响应人如认为还有需要提供的内容可另列表说明，格式自拟。</w:t>
      </w:r>
    </w:p>
    <w:p w14:paraId="57FC34DA">
      <w:pPr>
        <w:adjustRightInd w:val="0"/>
        <w:snapToGrid w:val="0"/>
        <w:spacing w:line="360" w:lineRule="auto"/>
        <w:ind w:firstLine="420" w:firstLineChars="200"/>
        <w:rPr>
          <w:rFonts w:ascii="Times New Roman" w:eastAsia="宋体" w:hAnsi="Times New Roman" w:cs="Times New Roman"/>
          <w:b/>
          <w:szCs w:val="20"/>
        </w:rPr>
      </w:pPr>
    </w:p>
    <w:p w14:paraId="5905359D">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表一、分项报价表——服务内容</w:t>
      </w:r>
    </w:p>
    <w:p w14:paraId="66748EE1">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14:paraId="2D383458">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vAlign w:val="center"/>
          </w:tcPr>
          <w:p w14:paraId="13332E51">
            <w:pPr>
              <w:snapToGrid w:val="0"/>
              <w:spacing w:line="360" w:lineRule="auto"/>
              <w:ind w:left="-370" w:firstLine="370"/>
              <w:jc w:val="center"/>
              <w:rPr>
                <w:rFonts w:ascii="华文楷体" w:eastAsia="华文楷体" w:hAnsi="华文楷体" w:cs="Times New Roman"/>
                <w:szCs w:val="21"/>
              </w:rPr>
            </w:pPr>
            <w:r>
              <w:rPr>
                <w:rFonts w:ascii="华文楷体" w:eastAsia="华文楷体" w:hAnsi="华文楷体" w:cs="Times New Roman"/>
                <w:szCs w:val="21"/>
              </w:rPr>
              <w:t>序号</w:t>
            </w:r>
          </w:p>
        </w:tc>
        <w:tc>
          <w:tcPr>
            <w:tcW w:w="1123" w:type="dxa"/>
            <w:tcBorders>
              <w:top w:val="single" w:sz="12" w:space="0" w:color="000000"/>
              <w:left w:val="single" w:sz="2" w:space="0" w:color="000000"/>
              <w:bottom w:val="single" w:sz="2" w:space="0" w:color="000000"/>
              <w:right w:val="single" w:sz="2" w:space="0" w:color="000000"/>
            </w:tcBorders>
            <w:vAlign w:val="center"/>
          </w:tcPr>
          <w:p w14:paraId="73C5B4A9">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服务项目</w:t>
            </w:r>
          </w:p>
        </w:tc>
        <w:tc>
          <w:tcPr>
            <w:tcW w:w="1208" w:type="dxa"/>
            <w:tcBorders>
              <w:top w:val="single" w:sz="12" w:space="0" w:color="000000"/>
              <w:left w:val="single" w:sz="2" w:space="0" w:color="000000"/>
              <w:bottom w:val="single" w:sz="2" w:space="0" w:color="000000"/>
              <w:right w:val="single" w:sz="2" w:space="0" w:color="000000"/>
            </w:tcBorders>
            <w:vAlign w:val="center"/>
          </w:tcPr>
          <w:p w14:paraId="5DEC33C3">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tcPr>
          <w:p w14:paraId="58E75F17">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tcPr>
          <w:p w14:paraId="7C88DD6F">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服务费用</w:t>
            </w:r>
          </w:p>
        </w:tc>
        <w:tc>
          <w:tcPr>
            <w:tcW w:w="1418" w:type="dxa"/>
            <w:tcBorders>
              <w:top w:val="single" w:sz="12" w:space="0" w:color="000000"/>
              <w:left w:val="single" w:sz="2" w:space="0" w:color="000000"/>
              <w:bottom w:val="single" w:sz="2" w:space="0" w:color="000000"/>
              <w:right w:val="single" w:sz="12" w:space="0" w:color="000000"/>
            </w:tcBorders>
          </w:tcPr>
          <w:p w14:paraId="4BE87E93">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081CC5D1">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030A3F98">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1</w:t>
            </w:r>
          </w:p>
        </w:tc>
        <w:tc>
          <w:tcPr>
            <w:tcW w:w="1123" w:type="dxa"/>
            <w:tcBorders>
              <w:top w:val="single" w:sz="2" w:space="0" w:color="000000"/>
              <w:left w:val="single" w:sz="2" w:space="0" w:color="000000"/>
              <w:bottom w:val="single" w:sz="2" w:space="0" w:color="000000"/>
              <w:right w:val="single" w:sz="2" w:space="0" w:color="000000"/>
            </w:tcBorders>
          </w:tcPr>
          <w:p w14:paraId="782A6D74">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55D7C3FA">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53818B8B">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542A1875">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04A7A91E">
            <w:pPr>
              <w:snapToGrid w:val="0"/>
              <w:spacing w:line="360" w:lineRule="auto"/>
              <w:rPr>
                <w:rFonts w:ascii="华文楷体" w:eastAsia="华文楷体" w:hAnsi="华文楷体" w:cs="Times New Roman"/>
                <w:szCs w:val="21"/>
              </w:rPr>
            </w:pPr>
          </w:p>
        </w:tc>
      </w:tr>
      <w:tr w14:paraId="6CBCDB67">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7F51C7EA">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2</w:t>
            </w:r>
          </w:p>
        </w:tc>
        <w:tc>
          <w:tcPr>
            <w:tcW w:w="1123" w:type="dxa"/>
            <w:tcBorders>
              <w:top w:val="single" w:sz="2" w:space="0" w:color="000000"/>
              <w:left w:val="single" w:sz="2" w:space="0" w:color="000000"/>
              <w:bottom w:val="single" w:sz="2" w:space="0" w:color="000000"/>
              <w:right w:val="single" w:sz="2" w:space="0" w:color="000000"/>
            </w:tcBorders>
          </w:tcPr>
          <w:p w14:paraId="2F578152">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20C08F53">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749CA274">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7C2C574">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12674E03">
            <w:pPr>
              <w:snapToGrid w:val="0"/>
              <w:spacing w:line="360" w:lineRule="auto"/>
              <w:rPr>
                <w:rFonts w:ascii="华文楷体" w:eastAsia="华文楷体" w:hAnsi="华文楷体" w:cs="Times New Roman"/>
                <w:szCs w:val="21"/>
              </w:rPr>
            </w:pPr>
          </w:p>
        </w:tc>
      </w:tr>
      <w:tr w14:paraId="6A9B93DE">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0948237B">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3</w:t>
            </w:r>
          </w:p>
        </w:tc>
        <w:tc>
          <w:tcPr>
            <w:tcW w:w="1123" w:type="dxa"/>
            <w:tcBorders>
              <w:top w:val="single" w:sz="2" w:space="0" w:color="000000"/>
              <w:left w:val="single" w:sz="2" w:space="0" w:color="000000"/>
              <w:bottom w:val="single" w:sz="2" w:space="0" w:color="000000"/>
              <w:right w:val="single" w:sz="2" w:space="0" w:color="000000"/>
            </w:tcBorders>
          </w:tcPr>
          <w:p w14:paraId="07D03F53">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7FCA6B7F">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0B136F35">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0CA7E114">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4F887AA3">
            <w:pPr>
              <w:snapToGrid w:val="0"/>
              <w:spacing w:line="360" w:lineRule="auto"/>
              <w:rPr>
                <w:rFonts w:ascii="华文楷体" w:eastAsia="华文楷体" w:hAnsi="华文楷体" w:cs="Times New Roman"/>
                <w:szCs w:val="21"/>
              </w:rPr>
            </w:pPr>
          </w:p>
        </w:tc>
      </w:tr>
      <w:tr w14:paraId="7D5946FD">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535D71A0">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471762F3">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601BC57B">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0E9A2E90">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43A4B171">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34328F3F">
            <w:pPr>
              <w:snapToGrid w:val="0"/>
              <w:spacing w:line="360" w:lineRule="auto"/>
              <w:rPr>
                <w:rFonts w:ascii="华文楷体" w:eastAsia="华文楷体" w:hAnsi="华文楷体" w:cs="Times New Roman"/>
                <w:szCs w:val="21"/>
              </w:rPr>
            </w:pPr>
          </w:p>
        </w:tc>
      </w:tr>
      <w:tr w14:paraId="167C3494">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0C9DF67C">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449FA0BD">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6F053B5D">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6CCACE51">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1F109C5B">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19A7C69F">
            <w:pPr>
              <w:snapToGrid w:val="0"/>
              <w:spacing w:line="360" w:lineRule="auto"/>
              <w:rPr>
                <w:rFonts w:ascii="华文楷体" w:eastAsia="华文楷体" w:hAnsi="华文楷体" w:cs="Times New Roman"/>
                <w:szCs w:val="21"/>
              </w:rPr>
            </w:pPr>
          </w:p>
        </w:tc>
      </w:tr>
      <w:tr w14:paraId="047858C6">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tcPr>
          <w:p w14:paraId="72C00C11">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tcPr>
          <w:p w14:paraId="2DDBC622">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13DF71C3">
      <w:pPr>
        <w:adjustRightInd w:val="0"/>
        <w:snapToGrid w:val="0"/>
        <w:spacing w:line="360" w:lineRule="auto"/>
        <w:rPr>
          <w:rFonts w:ascii="华文楷体" w:eastAsia="华文楷体" w:hAnsi="华文楷体" w:cs="Times New Roman"/>
          <w:b/>
          <w:szCs w:val="21"/>
        </w:rPr>
      </w:pPr>
    </w:p>
    <w:p w14:paraId="4731450D">
      <w:pPr>
        <w:adjustRightInd w:val="0"/>
        <w:snapToGrid w:val="0"/>
        <w:spacing w:line="360" w:lineRule="auto"/>
        <w:rPr>
          <w:rFonts w:ascii="华文楷体" w:eastAsia="华文楷体" w:hAnsi="华文楷体" w:cs="Times New Roman"/>
          <w:b/>
          <w:szCs w:val="21"/>
        </w:rPr>
      </w:pPr>
    </w:p>
    <w:p w14:paraId="19D13540">
      <w:pPr>
        <w:adjustRightInd w:val="0"/>
        <w:snapToGrid w:val="0"/>
        <w:spacing w:line="360" w:lineRule="auto"/>
        <w:rPr>
          <w:rFonts w:ascii="华文楷体" w:eastAsia="华文楷体" w:hAnsi="华文楷体" w:cs="Times New Roman"/>
          <w:b/>
          <w:szCs w:val="21"/>
        </w:rPr>
      </w:pPr>
    </w:p>
    <w:p w14:paraId="4A653ABC">
      <w:pPr>
        <w:adjustRightInd w:val="0"/>
        <w:snapToGrid w:val="0"/>
        <w:spacing w:line="360" w:lineRule="auto"/>
        <w:rPr>
          <w:rFonts w:ascii="华文楷体" w:eastAsia="华文楷体" w:hAnsi="华文楷体" w:cs="Times New Roman"/>
          <w:b/>
          <w:szCs w:val="21"/>
        </w:rPr>
      </w:pPr>
    </w:p>
    <w:p w14:paraId="693B928E">
      <w:pPr>
        <w:adjustRightInd w:val="0"/>
        <w:snapToGrid w:val="0"/>
        <w:spacing w:line="360" w:lineRule="auto"/>
        <w:rPr>
          <w:rFonts w:ascii="华文楷体" w:eastAsia="华文楷体" w:hAnsi="华文楷体" w:cs="Times New Roman"/>
          <w:b/>
          <w:szCs w:val="21"/>
        </w:rPr>
      </w:pPr>
    </w:p>
    <w:p w14:paraId="6B71ADF5">
      <w:pPr>
        <w:adjustRightInd w:val="0"/>
        <w:snapToGrid w:val="0"/>
        <w:spacing w:line="360" w:lineRule="auto"/>
        <w:jc w:val="center"/>
        <w:rPr>
          <w:rFonts w:ascii="华文楷体" w:eastAsia="华文楷体" w:hAnsi="华文楷体" w:cs="Times New Roman"/>
          <w:b/>
          <w:szCs w:val="21"/>
        </w:rPr>
      </w:pPr>
    </w:p>
    <w:p w14:paraId="03C066AF">
      <w:pPr>
        <w:adjustRightInd w:val="0"/>
        <w:snapToGrid w:val="0"/>
        <w:spacing w:line="360" w:lineRule="auto"/>
        <w:jc w:val="center"/>
        <w:rPr>
          <w:rFonts w:ascii="华文楷体" w:eastAsia="华文楷体" w:hAnsi="华文楷体" w:cs="Times New Roman"/>
          <w:b/>
          <w:szCs w:val="21"/>
        </w:rPr>
      </w:pPr>
    </w:p>
    <w:p w14:paraId="7C6C655B">
      <w:pPr>
        <w:adjustRightInd w:val="0"/>
        <w:snapToGrid w:val="0"/>
        <w:spacing w:line="360" w:lineRule="auto"/>
        <w:jc w:val="center"/>
        <w:rPr>
          <w:rFonts w:ascii="华文楷体" w:eastAsia="华文楷体" w:hAnsi="华文楷体" w:cs="Times New Roman"/>
          <w:b/>
          <w:szCs w:val="21"/>
        </w:rPr>
      </w:pPr>
    </w:p>
    <w:p w14:paraId="52A6E79C">
      <w:pPr>
        <w:adjustRightInd w:val="0"/>
        <w:snapToGrid w:val="0"/>
        <w:spacing w:line="360" w:lineRule="auto"/>
        <w:jc w:val="center"/>
        <w:rPr>
          <w:rFonts w:ascii="华文楷体" w:eastAsia="华文楷体" w:hAnsi="华文楷体" w:cs="Times New Roman"/>
          <w:b/>
          <w:szCs w:val="21"/>
        </w:rPr>
      </w:pPr>
    </w:p>
    <w:p w14:paraId="25703D27">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表二、分项报价表——货物购置</w:t>
      </w:r>
    </w:p>
    <w:p w14:paraId="42F49BC2">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14:paraId="46970116">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5BFA663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524" w:type="pct"/>
            <w:tcBorders>
              <w:top w:val="single" w:sz="4" w:space="0" w:color="auto"/>
              <w:left w:val="single" w:sz="4" w:space="0" w:color="auto"/>
              <w:bottom w:val="single" w:sz="4" w:space="0" w:color="auto"/>
              <w:right w:val="single" w:sz="4" w:space="0" w:color="auto"/>
            </w:tcBorders>
            <w:vAlign w:val="center"/>
          </w:tcPr>
          <w:p w14:paraId="582D389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名称</w:t>
            </w:r>
          </w:p>
        </w:tc>
        <w:tc>
          <w:tcPr>
            <w:tcW w:w="1046" w:type="pct"/>
            <w:tcBorders>
              <w:top w:val="single" w:sz="4" w:space="0" w:color="auto"/>
              <w:left w:val="single" w:sz="4" w:space="0" w:color="auto"/>
              <w:bottom w:val="single" w:sz="4" w:space="0" w:color="auto"/>
              <w:right w:val="single" w:sz="4" w:space="0" w:color="auto"/>
            </w:tcBorders>
            <w:vAlign w:val="center"/>
          </w:tcPr>
          <w:p w14:paraId="335FC6B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vAlign w:val="center"/>
          </w:tcPr>
          <w:p w14:paraId="4C69AEB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数量</w:t>
            </w:r>
          </w:p>
        </w:tc>
        <w:tc>
          <w:tcPr>
            <w:tcW w:w="942" w:type="pct"/>
            <w:tcBorders>
              <w:top w:val="single" w:sz="4" w:space="0" w:color="auto"/>
              <w:left w:val="single" w:sz="4" w:space="0" w:color="auto"/>
              <w:bottom w:val="single" w:sz="4" w:space="0" w:color="auto"/>
              <w:right w:val="single" w:sz="4" w:space="0" w:color="auto"/>
            </w:tcBorders>
            <w:vAlign w:val="center"/>
          </w:tcPr>
          <w:p w14:paraId="0A31895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原产地和</w:t>
            </w:r>
          </w:p>
          <w:p w14:paraId="6EC3530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vAlign w:val="center"/>
          </w:tcPr>
          <w:p w14:paraId="1BDE6E5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单</w:t>
            </w:r>
            <w:r>
              <w:rPr>
                <w:rFonts w:ascii="华文楷体" w:eastAsia="华文楷体" w:hAnsi="华文楷体" w:cs="Times New Roman"/>
                <w:szCs w:val="21"/>
              </w:rPr>
              <w:t xml:space="preserve">   </w:t>
            </w:r>
            <w:r>
              <w:rPr>
                <w:rFonts w:ascii="华文楷体" w:eastAsia="华文楷体" w:hAnsi="华文楷体" w:cs="Times New Roman" w:hint="eastAsia"/>
                <w:szCs w:val="21"/>
              </w:rPr>
              <w:t>价</w:t>
            </w:r>
          </w:p>
        </w:tc>
        <w:tc>
          <w:tcPr>
            <w:tcW w:w="628" w:type="pct"/>
            <w:tcBorders>
              <w:top w:val="single" w:sz="4" w:space="0" w:color="auto"/>
              <w:left w:val="single" w:sz="4" w:space="0" w:color="auto"/>
              <w:bottom w:val="single" w:sz="4" w:space="0" w:color="auto"/>
              <w:right w:val="single" w:sz="4" w:space="0" w:color="auto"/>
            </w:tcBorders>
            <w:vAlign w:val="center"/>
          </w:tcPr>
          <w:p w14:paraId="75DC0D7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小计</w:t>
            </w:r>
          </w:p>
        </w:tc>
      </w:tr>
      <w:tr w14:paraId="5B046660">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vAlign w:val="center"/>
          </w:tcPr>
          <w:p w14:paraId="4488FCC8">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4E3C725C">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04DC9992">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089F0F51">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58D4529B">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48AA1B49">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3E862C53">
            <w:pPr>
              <w:adjustRightInd w:val="0"/>
              <w:snapToGrid w:val="0"/>
              <w:spacing w:line="360" w:lineRule="auto"/>
              <w:jc w:val="left"/>
              <w:rPr>
                <w:rFonts w:ascii="华文楷体" w:eastAsia="华文楷体" w:hAnsi="华文楷体" w:cs="Times New Roman"/>
                <w:szCs w:val="21"/>
              </w:rPr>
            </w:pPr>
          </w:p>
        </w:tc>
      </w:tr>
      <w:tr w14:paraId="092CACFF">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vAlign w:val="center"/>
          </w:tcPr>
          <w:p w14:paraId="2FA26062">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0A14E88B">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545B6747">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7BD771D6">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70B31644">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3B48DD51">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4E863871">
            <w:pPr>
              <w:adjustRightInd w:val="0"/>
              <w:snapToGrid w:val="0"/>
              <w:spacing w:line="360" w:lineRule="auto"/>
              <w:jc w:val="left"/>
              <w:rPr>
                <w:rFonts w:ascii="华文楷体" w:eastAsia="华文楷体" w:hAnsi="华文楷体" w:cs="Times New Roman"/>
                <w:szCs w:val="21"/>
              </w:rPr>
            </w:pPr>
          </w:p>
        </w:tc>
      </w:tr>
      <w:tr w14:paraId="53162579">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vAlign w:val="center"/>
          </w:tcPr>
          <w:p w14:paraId="0D7B0F39">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46098E73">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61887AF5">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6DD0FBF4">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2AC8AA29">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4FF7E886">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4FAE7C2A">
            <w:pPr>
              <w:adjustRightInd w:val="0"/>
              <w:snapToGrid w:val="0"/>
              <w:spacing w:line="360" w:lineRule="auto"/>
              <w:jc w:val="left"/>
              <w:rPr>
                <w:rFonts w:ascii="华文楷体" w:eastAsia="华文楷体" w:hAnsi="华文楷体" w:cs="Times New Roman"/>
                <w:szCs w:val="21"/>
              </w:rPr>
            </w:pPr>
          </w:p>
        </w:tc>
      </w:tr>
      <w:tr w14:paraId="284E7062">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2AF718B8">
            <w:pPr>
              <w:adjustRightInd w:val="0"/>
              <w:snapToGrid w:val="0"/>
              <w:spacing w:line="360" w:lineRule="auto"/>
              <w:jc w:val="left"/>
              <w:rPr>
                <w:rFonts w:ascii="华文楷体" w:eastAsia="华文楷体" w:hAnsi="华文楷体" w:cs="Times New Roman"/>
                <w:szCs w:val="21"/>
              </w:rPr>
            </w:pPr>
          </w:p>
        </w:tc>
        <w:tc>
          <w:tcPr>
            <w:tcW w:w="1570" w:type="pct"/>
            <w:gridSpan w:val="2"/>
            <w:tcBorders>
              <w:top w:val="single" w:sz="4" w:space="0" w:color="auto"/>
              <w:left w:val="single" w:sz="4" w:space="0" w:color="auto"/>
              <w:bottom w:val="single" w:sz="4" w:space="0" w:color="auto"/>
              <w:right w:val="single" w:sz="4" w:space="0" w:color="auto"/>
            </w:tcBorders>
            <w:vAlign w:val="center"/>
          </w:tcPr>
          <w:p w14:paraId="2A73E331">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vAlign w:val="center"/>
          </w:tcPr>
          <w:p w14:paraId="385C7E57">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6CB6CCEE">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7EC30CC8">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35DB5EF1">
            <w:pPr>
              <w:adjustRightInd w:val="0"/>
              <w:snapToGrid w:val="0"/>
              <w:spacing w:line="360" w:lineRule="auto"/>
              <w:jc w:val="left"/>
              <w:rPr>
                <w:rFonts w:ascii="华文楷体" w:eastAsia="华文楷体" w:hAnsi="华文楷体" w:cs="Times New Roman"/>
                <w:szCs w:val="21"/>
              </w:rPr>
            </w:pPr>
          </w:p>
        </w:tc>
      </w:tr>
      <w:tr w14:paraId="602B0647">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vAlign w:val="center"/>
          </w:tcPr>
          <w:p w14:paraId="2CE3C7D4">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vAlign w:val="center"/>
          </w:tcPr>
          <w:p w14:paraId="18D34465">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353BB419"/>
    <w:p w14:paraId="041DAEA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2.15服务团队人员基本情况表</w:t>
      </w:r>
    </w:p>
    <w:p w14:paraId="513408FE">
      <w:pPr>
        <w:adjustRightInd w:val="0"/>
        <w:snapToGrid w:val="0"/>
        <w:spacing w:line="360" w:lineRule="auto"/>
        <w:jc w:val="left"/>
        <w:rPr>
          <w:rFonts w:ascii="宋体" w:eastAsia="宋体" w:hAnsi="宋体" w:cs="Times New Roman"/>
          <w:b/>
          <w:szCs w:val="21"/>
        </w:rPr>
      </w:pPr>
    </w:p>
    <w:p w14:paraId="6A8A27BF">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14:paraId="35B64EC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14:paraId="7EFD95C6">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vAlign w:val="center"/>
          </w:tcPr>
          <w:p w14:paraId="292F801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vAlign w:val="center"/>
          </w:tcPr>
          <w:p w14:paraId="57D4410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vAlign w:val="center"/>
          </w:tcPr>
          <w:p w14:paraId="3557D44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vAlign w:val="center"/>
          </w:tcPr>
          <w:p w14:paraId="53C7AE1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tcPr>
          <w:p w14:paraId="4692F02C">
            <w:pPr>
              <w:rPr>
                <w:rFonts w:ascii="华文楷体" w:eastAsia="华文楷体" w:hAnsi="华文楷体" w:cs="Times New Roman"/>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tcPr>
          <w:p w14:paraId="3E48921E">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vAlign w:val="center"/>
          </w:tcPr>
          <w:p w14:paraId="404D0EC0">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5DF90E35">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vAlign w:val="center"/>
          </w:tcPr>
          <w:p w14:paraId="788FCEAA">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325A6A98">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2F8E1CEB">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7A6D6D22">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6FB08D1E">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7FE166AD">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61080F9C">
            <w:pPr>
              <w:adjustRightInd w:val="0"/>
              <w:snapToGrid w:val="0"/>
              <w:spacing w:line="360" w:lineRule="auto"/>
              <w:jc w:val="left"/>
              <w:rPr>
                <w:rFonts w:ascii="华文楷体" w:eastAsia="华文楷体" w:hAnsi="华文楷体" w:cs="Times New Roman"/>
                <w:szCs w:val="21"/>
              </w:rPr>
            </w:pPr>
          </w:p>
        </w:tc>
      </w:tr>
      <w:tr w14:paraId="4C9AD111">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vAlign w:val="center"/>
          </w:tcPr>
          <w:p w14:paraId="32DDA526">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04DBCBB5">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38F914E1">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30064A83">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73890252">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17D96248">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674888CF">
            <w:pPr>
              <w:adjustRightInd w:val="0"/>
              <w:snapToGrid w:val="0"/>
              <w:spacing w:line="360" w:lineRule="auto"/>
              <w:jc w:val="left"/>
              <w:rPr>
                <w:rFonts w:ascii="华文楷体" w:eastAsia="华文楷体" w:hAnsi="华文楷体" w:cs="Times New Roman"/>
                <w:szCs w:val="21"/>
              </w:rPr>
            </w:pPr>
          </w:p>
        </w:tc>
      </w:tr>
      <w:tr w14:paraId="385DCA74">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vAlign w:val="center"/>
          </w:tcPr>
          <w:p w14:paraId="0B1418C9">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5FD7CFD1">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74CBDD3A">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667A0A04">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4EE5A154">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46B12BC0">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6735D1B5">
            <w:pPr>
              <w:adjustRightInd w:val="0"/>
              <w:snapToGrid w:val="0"/>
              <w:spacing w:line="360" w:lineRule="auto"/>
              <w:jc w:val="left"/>
              <w:rPr>
                <w:rFonts w:ascii="华文楷体" w:eastAsia="华文楷体" w:hAnsi="华文楷体" w:cs="Times New Roman"/>
                <w:szCs w:val="21"/>
              </w:rPr>
            </w:pPr>
          </w:p>
        </w:tc>
      </w:tr>
    </w:tbl>
    <w:p w14:paraId="71C56C8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注：如本项目要求驻场服务，请在备注中说明该人员是否驻场</w:t>
      </w:r>
    </w:p>
    <w:p w14:paraId="31F31E97">
      <w:pPr>
        <w:adjustRightInd w:val="0"/>
        <w:snapToGrid w:val="0"/>
        <w:spacing w:line="360" w:lineRule="auto"/>
        <w:jc w:val="left"/>
        <w:rPr>
          <w:rFonts w:ascii="宋体" w:eastAsia="宋体" w:hAnsi="宋体" w:cs="Times New Roman"/>
          <w:b/>
          <w:szCs w:val="21"/>
        </w:rPr>
      </w:pPr>
    </w:p>
    <w:p w14:paraId="683B93FC">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表二、服务团队人员基本情况表（个人）</w:t>
      </w:r>
    </w:p>
    <w:p w14:paraId="5D3BF0F4">
      <w:pPr>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14:paraId="0BD9A055">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vAlign w:val="center"/>
          </w:tcPr>
          <w:p w14:paraId="55C180F1">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vAlign w:val="center"/>
          </w:tcPr>
          <w:p w14:paraId="12670F26">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vAlign w:val="center"/>
          </w:tcPr>
          <w:p w14:paraId="7BD37BE9">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vAlign w:val="center"/>
          </w:tcPr>
          <w:p w14:paraId="22CF5D99">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38EC73D3">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01DCA1BF">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3EFC58A3">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33B4D62E">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vAlign w:val="center"/>
          </w:tcPr>
          <w:p w14:paraId="27C2DAC6">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2DFA7290">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2030FE20">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4BB91D74">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vAlign w:val="center"/>
          </w:tcPr>
          <w:p w14:paraId="5D4E07A4">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vAlign w:val="center"/>
          </w:tcPr>
          <w:p w14:paraId="1625840C">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53358CA1">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响应人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77C4D4FD">
            <w:pPr>
              <w:adjustRightInd w:val="0"/>
              <w:snapToGrid w:val="0"/>
              <w:jc w:val="center"/>
              <w:rPr>
                <w:rFonts w:ascii="华文楷体" w:eastAsia="华文楷体" w:hAnsi="华文楷体" w:cs="Times New Roman"/>
                <w:szCs w:val="21"/>
              </w:rPr>
            </w:pPr>
          </w:p>
        </w:tc>
      </w:tr>
      <w:tr w14:paraId="7DAB0A21">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1F58A994">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vAlign w:val="center"/>
          </w:tcPr>
          <w:p w14:paraId="5D9B967D">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41AB4F15">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492F5085">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14:paraId="5F0A604F">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745C8531">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14:paraId="0AFEE3D7">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vAlign w:val="center"/>
          </w:tcPr>
          <w:p w14:paraId="699F44E8">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vAlign w:val="center"/>
          </w:tcPr>
          <w:p w14:paraId="27F685CA">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vAlign w:val="center"/>
          </w:tcPr>
          <w:p w14:paraId="0DDDBAFA">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vAlign w:val="center"/>
          </w:tcPr>
          <w:p w14:paraId="0507A104">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14:paraId="2540F241">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tcPr>
          <w:p w14:paraId="35E88B09">
            <w:pPr>
              <w:adjustRightInd w:val="0"/>
              <w:snapToGrid w:val="0"/>
              <w:jc w:val="center"/>
              <w:rPr>
                <w:rFonts w:ascii="华文楷体" w:eastAsia="华文楷体" w:hAnsi="华文楷体" w:cs="Times New Roman"/>
                <w:szCs w:val="21"/>
              </w:rPr>
            </w:pPr>
          </w:p>
          <w:p w14:paraId="3E603057">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tcPr>
          <w:p w14:paraId="4FC070CB">
            <w:pPr>
              <w:adjustRightInd w:val="0"/>
              <w:snapToGrid w:val="0"/>
              <w:jc w:val="center"/>
              <w:rPr>
                <w:rFonts w:ascii="华文楷体" w:eastAsia="华文楷体" w:hAnsi="华文楷体" w:cs="Times New Roman"/>
                <w:szCs w:val="21"/>
              </w:rPr>
            </w:pPr>
          </w:p>
          <w:p w14:paraId="4C138832">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tcPr>
          <w:p w14:paraId="4A3FEDBA">
            <w:pPr>
              <w:adjustRightInd w:val="0"/>
              <w:snapToGrid w:val="0"/>
              <w:jc w:val="center"/>
              <w:rPr>
                <w:rFonts w:ascii="华文楷体" w:eastAsia="华文楷体" w:hAnsi="华文楷体" w:cs="Times New Roman"/>
                <w:szCs w:val="21"/>
              </w:rPr>
            </w:pPr>
          </w:p>
          <w:p w14:paraId="3C3E9E5C">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tcPr>
          <w:p w14:paraId="48E485E9">
            <w:pPr>
              <w:adjustRightInd w:val="0"/>
              <w:snapToGrid w:val="0"/>
              <w:jc w:val="center"/>
              <w:rPr>
                <w:rFonts w:ascii="华文楷体" w:eastAsia="华文楷体" w:hAnsi="华文楷体" w:cs="Times New Roman"/>
                <w:szCs w:val="21"/>
              </w:rPr>
            </w:pPr>
          </w:p>
          <w:p w14:paraId="6C3D491F">
            <w:pPr>
              <w:adjustRightInd w:val="0"/>
              <w:snapToGrid w:val="0"/>
              <w:jc w:val="center"/>
              <w:rPr>
                <w:rFonts w:ascii="华文楷体" w:eastAsia="华文楷体" w:hAnsi="华文楷体" w:cs="Times New Roman"/>
                <w:szCs w:val="21"/>
              </w:rPr>
            </w:pPr>
          </w:p>
        </w:tc>
      </w:tr>
    </w:tbl>
    <w:p w14:paraId="10075EA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14:paraId="093902EA">
      <w:pPr>
        <w:adjustRightInd w:val="0"/>
        <w:snapToGrid w:val="0"/>
        <w:spacing w:line="360" w:lineRule="auto"/>
        <w:ind w:firstLine="435"/>
        <w:jc w:val="left"/>
        <w:rPr>
          <w:rFonts w:ascii="宋体" w:eastAsia="宋体" w:hAnsi="宋体" w:cs="Times New Roman"/>
          <w:sz w:val="18"/>
          <w:szCs w:val="18"/>
        </w:rPr>
      </w:pPr>
      <w:r>
        <w:rPr>
          <w:rFonts w:ascii="华文楷体" w:eastAsia="华文楷体" w:hAnsi="华文楷体" w:cs="Times New Roman" w:hint="eastAsia"/>
          <w:szCs w:val="20"/>
        </w:rPr>
        <w:t>2、须后附相关人员职称及资质证书，社保证明（如无社保证明，应提供截止提交首次响应文件截止之日仍有效的劳动合同），否则该人员不被认为是针对本项目的委派人员。</w:t>
      </w:r>
    </w:p>
    <w:p w14:paraId="12DB2E86"/>
    <w:p w14:paraId="4FDE1847">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2.16技术要求偏离表</w:t>
      </w:r>
    </w:p>
    <w:p w14:paraId="6C5A1FF6">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5B3DA5F0">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26A87FE6">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7E42743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5367595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采购文件条目号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7B8AE77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采购文件服务标准、时间、范围及货物的技术等要求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vAlign w:val="center"/>
          </w:tcPr>
          <w:p w14:paraId="52FC8FA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43BF8A8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2950EEF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2E17FBF5">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6B31EC12">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0A620908">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vAlign w:val="center"/>
          </w:tcPr>
          <w:p w14:paraId="26C6F172">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67A5F59">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08A19E21">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356D5E6F">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044E1350">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013C71E">
            <w:pPr>
              <w:adjustRightInd w:val="0"/>
              <w:snapToGrid w:val="0"/>
              <w:spacing w:line="360" w:lineRule="auto"/>
              <w:jc w:val="left"/>
              <w:rPr>
                <w:rFonts w:ascii="华文楷体" w:eastAsia="华文楷体" w:hAnsi="华文楷体" w:cs="Times New Roman"/>
                <w:szCs w:val="21"/>
              </w:rPr>
            </w:pPr>
          </w:p>
        </w:tc>
      </w:tr>
      <w:tr w14:paraId="7E166A8D">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7BFC6B97">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vAlign w:val="center"/>
          </w:tcPr>
          <w:p w14:paraId="05FEE6CD">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4EBC9678">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6F4CA976">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7EF94CD2">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3913F6E0">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73E24B81">
            <w:pPr>
              <w:adjustRightInd w:val="0"/>
              <w:snapToGrid w:val="0"/>
              <w:spacing w:line="360" w:lineRule="auto"/>
              <w:jc w:val="left"/>
              <w:rPr>
                <w:rFonts w:ascii="华文楷体" w:eastAsia="华文楷体" w:hAnsi="华文楷体" w:cs="Times New Roman"/>
                <w:szCs w:val="21"/>
              </w:rPr>
            </w:pPr>
          </w:p>
        </w:tc>
      </w:tr>
      <w:tr w14:paraId="0B857659">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7446E060">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4F2A015B">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993DABB">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37975E85">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除以上内容，我司对采购文件的其他技术要求完全响应，无偏离。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62D928F7">
            <w:pPr>
              <w:adjustRightInd w:val="0"/>
              <w:snapToGrid w:val="0"/>
              <w:spacing w:line="360" w:lineRule="auto"/>
              <w:jc w:val="left"/>
              <w:rPr>
                <w:rFonts w:ascii="华文楷体" w:eastAsia="华文楷体" w:hAnsi="华文楷体" w:cs="Times New Roman"/>
                <w:szCs w:val="21"/>
              </w:rPr>
            </w:pPr>
          </w:p>
        </w:tc>
      </w:tr>
    </w:tbl>
    <w:p w14:paraId="0161E3DA">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服务，应符合采购文件中采购需求提出的服务标准、服务范围、服务时间、服务质量、服务方式等要求，响应人所提供的货物，应符合采购文件中采购需求提出的质量、技术要求。如有合理建议或更改，应在本表中注明。此部分不能简单填写“满足”，必须按要求附上相应证明材料，只填写“满足”而不能提供相关证明材料的或相关材料不符合要求的，不作为协商依据。</w:t>
      </w:r>
    </w:p>
    <w:p w14:paraId="365FC3BA">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2、采购需求标注为*的实质性条款应逐条应答，其余可填写完全满足采购文件的全部要求；</w:t>
      </w:r>
    </w:p>
    <w:p w14:paraId="5DC72943">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0AD93D50">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6DE3C12A">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1980F49A"/>
    <w:p w14:paraId="1CEA34B3">
      <w:pPr>
        <w:adjustRightInd w:val="0"/>
        <w:snapToGrid w:val="0"/>
        <w:spacing w:line="360" w:lineRule="auto"/>
        <w:ind w:firstLine="420"/>
        <w:outlineLvl w:val="3"/>
        <w:rPr>
          <w:rFonts w:ascii="宋体" w:eastAsia="宋体" w:hAnsi="宋体" w:cs="Times New Roman"/>
          <w:b/>
          <w:szCs w:val="21"/>
        </w:rPr>
      </w:pPr>
      <w:bookmarkStart w:id="18" w:name="_Ref462505472"/>
      <w:r>
        <w:rPr>
          <w:rFonts w:ascii="宋体" w:eastAsia="宋体" w:hAnsi="宋体" w:cs="Times New Roman" w:hint="eastAsia"/>
          <w:b/>
          <w:szCs w:val="21"/>
        </w:rPr>
        <w:t>2.17主要标的信息表</w:t>
      </w:r>
      <w:bookmarkEnd w:id="18"/>
    </w:p>
    <w:p w14:paraId="1F30424D">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14:paraId="2705FF2A">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5D5CE55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vAlign w:val="center"/>
          </w:tcPr>
          <w:p w14:paraId="120EFC2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vAlign w:val="center"/>
          </w:tcPr>
          <w:p w14:paraId="668F45D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vAlign w:val="center"/>
          </w:tcPr>
          <w:p w14:paraId="07B4979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vAlign w:val="center"/>
          </w:tcPr>
          <w:p w14:paraId="311D7BA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vAlign w:val="center"/>
          </w:tcPr>
          <w:p w14:paraId="3270834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14:paraId="41FF4EAF">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47873F3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tcPr>
          <w:p w14:paraId="2C74645A">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08E31A98">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4FF0CB27">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015A0B97">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51AB2564">
            <w:pPr>
              <w:adjustRightInd w:val="0"/>
              <w:snapToGrid w:val="0"/>
              <w:spacing w:line="360" w:lineRule="auto"/>
              <w:jc w:val="center"/>
              <w:rPr>
                <w:rFonts w:ascii="华文楷体" w:eastAsia="华文楷体" w:hAnsi="华文楷体" w:cs="Times New Roman"/>
                <w:szCs w:val="21"/>
              </w:rPr>
            </w:pPr>
          </w:p>
        </w:tc>
      </w:tr>
      <w:tr w14:paraId="5653BCA1">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73268E0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tcPr>
          <w:p w14:paraId="0B543BE3">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529BD331">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33A476D0">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28BFD581">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40F92132">
            <w:pPr>
              <w:adjustRightInd w:val="0"/>
              <w:snapToGrid w:val="0"/>
              <w:spacing w:line="360" w:lineRule="auto"/>
              <w:jc w:val="center"/>
              <w:rPr>
                <w:rFonts w:ascii="华文楷体" w:eastAsia="华文楷体" w:hAnsi="华文楷体" w:cs="Times New Roman"/>
                <w:szCs w:val="21"/>
              </w:rPr>
            </w:pPr>
          </w:p>
        </w:tc>
      </w:tr>
      <w:tr w14:paraId="0DBCFA5A">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7C17865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tcPr>
          <w:p w14:paraId="602ECA64">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2AF5385A">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74EB85EB">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7D5A23B5">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3386EE96">
            <w:pPr>
              <w:adjustRightInd w:val="0"/>
              <w:snapToGrid w:val="0"/>
              <w:spacing w:line="360" w:lineRule="auto"/>
              <w:jc w:val="center"/>
              <w:rPr>
                <w:rFonts w:ascii="华文楷体" w:eastAsia="华文楷体" w:hAnsi="华文楷体" w:cs="Times New Roman"/>
                <w:szCs w:val="21"/>
              </w:rPr>
            </w:pPr>
          </w:p>
        </w:tc>
      </w:tr>
      <w:tr w14:paraId="7EAAF330">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6DCCE52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tcPr>
          <w:p w14:paraId="00604252">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5D446C8E">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2F9E2E52">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00CFC154">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63536A10">
            <w:pPr>
              <w:adjustRightInd w:val="0"/>
              <w:snapToGrid w:val="0"/>
              <w:spacing w:line="360" w:lineRule="auto"/>
              <w:jc w:val="center"/>
              <w:rPr>
                <w:rFonts w:ascii="华文楷体" w:eastAsia="华文楷体" w:hAnsi="华文楷体" w:cs="Times New Roman"/>
                <w:szCs w:val="21"/>
              </w:rPr>
            </w:pPr>
          </w:p>
        </w:tc>
      </w:tr>
    </w:tbl>
    <w:p w14:paraId="3F144A7C">
      <w:pPr>
        <w:keepNext/>
        <w:tabs>
          <w:tab w:val="left" w:pos="5580"/>
        </w:tabs>
        <w:adjustRightInd w:val="0"/>
        <w:snapToGrid w:val="0"/>
        <w:spacing w:line="360" w:lineRule="auto"/>
        <w:ind w:left="1525" w:hanging="1254"/>
        <w:jc w:val="center"/>
        <w:rPr>
          <w:rFonts w:ascii="宋体" w:eastAsia="宋体" w:hAnsi="宋体" w:cs="Times New Roman"/>
          <w:szCs w:val="21"/>
        </w:rPr>
      </w:pPr>
    </w:p>
    <w:p w14:paraId="40571A5A">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14:paraId="01D237F2">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274BAFE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vAlign w:val="center"/>
          </w:tcPr>
          <w:p w14:paraId="76E32BF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vAlign w:val="center"/>
          </w:tcPr>
          <w:p w14:paraId="05D7FA2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vAlign w:val="center"/>
          </w:tcPr>
          <w:p w14:paraId="34C9F0E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vAlign w:val="center"/>
          </w:tcPr>
          <w:p w14:paraId="2740AB8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vAlign w:val="center"/>
          </w:tcPr>
          <w:p w14:paraId="1ECD529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6B2613FA">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7D9396E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tcPr>
          <w:p w14:paraId="2350938F">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37AF8992">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5232F907">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671B1562">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2FD38D1F">
            <w:pPr>
              <w:adjustRightInd w:val="0"/>
              <w:snapToGrid w:val="0"/>
              <w:spacing w:line="360" w:lineRule="auto"/>
              <w:jc w:val="center"/>
              <w:rPr>
                <w:rFonts w:ascii="华文楷体" w:eastAsia="华文楷体" w:hAnsi="华文楷体" w:cs="Times New Roman"/>
                <w:szCs w:val="21"/>
              </w:rPr>
            </w:pPr>
          </w:p>
        </w:tc>
      </w:tr>
      <w:tr w14:paraId="3DF1240B">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68991B9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tcPr>
          <w:p w14:paraId="3A6BA3C8">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4F7FE8E0">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0DD6A17D">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7862514D">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156FD622">
            <w:pPr>
              <w:adjustRightInd w:val="0"/>
              <w:snapToGrid w:val="0"/>
              <w:spacing w:line="360" w:lineRule="auto"/>
              <w:jc w:val="center"/>
              <w:rPr>
                <w:rFonts w:ascii="华文楷体" w:eastAsia="华文楷体" w:hAnsi="华文楷体" w:cs="Times New Roman"/>
                <w:szCs w:val="21"/>
              </w:rPr>
            </w:pPr>
          </w:p>
        </w:tc>
      </w:tr>
      <w:tr w14:paraId="0F950E30">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7EA9675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tcPr>
          <w:p w14:paraId="7D5D5CED">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3B5FCFDC">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2B1586C9">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6E358E1F">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656BB2D4">
            <w:pPr>
              <w:adjustRightInd w:val="0"/>
              <w:snapToGrid w:val="0"/>
              <w:spacing w:line="360" w:lineRule="auto"/>
              <w:jc w:val="center"/>
              <w:rPr>
                <w:rFonts w:ascii="华文楷体" w:eastAsia="华文楷体" w:hAnsi="华文楷体" w:cs="Times New Roman"/>
                <w:szCs w:val="21"/>
              </w:rPr>
            </w:pPr>
          </w:p>
        </w:tc>
      </w:tr>
      <w:tr w14:paraId="42841C7A">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1543301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tcPr>
          <w:p w14:paraId="1C6BDA86">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7AE08209">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26566AE3">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53523592">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6DC8A3C2">
            <w:pPr>
              <w:adjustRightInd w:val="0"/>
              <w:snapToGrid w:val="0"/>
              <w:spacing w:line="360" w:lineRule="auto"/>
              <w:jc w:val="center"/>
              <w:rPr>
                <w:rFonts w:ascii="华文楷体" w:eastAsia="华文楷体" w:hAnsi="华文楷体" w:cs="Times New Roman"/>
                <w:szCs w:val="21"/>
              </w:rPr>
            </w:pPr>
          </w:p>
        </w:tc>
      </w:tr>
    </w:tbl>
    <w:p w14:paraId="63B1AAFB">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注：1、必须按此格式填写，用途是用来发布成交结果公告时按照中国政府采购网格式公布供应商的主要标的信息。</w:t>
      </w:r>
    </w:p>
    <w:p w14:paraId="3DA2B8CE">
      <w:pPr>
        <w:adjustRightInd w:val="0"/>
        <w:snapToGrid w:val="0"/>
        <w:spacing w:line="360" w:lineRule="auto"/>
        <w:ind w:firstLine="420" w:firstLineChars="200"/>
        <w:rPr>
          <w:rFonts w:ascii="宋体" w:eastAsia="宋体" w:hAnsi="宋体" w:cs="Times New Roman"/>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14:paraId="3EE819BC"/>
    <w:p w14:paraId="3C519994">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2.18响应人项目实施和售后服务方案</w:t>
      </w:r>
    </w:p>
    <w:p w14:paraId="31372052">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服务方案包括但不限于可能涉及的运行维护、升级更新、备品备件、耗材等后续采购，以及其他相关情况。格式由响应人自拟</w:t>
      </w:r>
      <w:r>
        <w:rPr>
          <w:rFonts w:ascii="宋体" w:eastAsia="宋体" w:hAnsi="宋体" w:cs="Times New Roman" w:hint="eastAsia"/>
          <w:szCs w:val="20"/>
        </w:rPr>
        <w:t>。</w:t>
      </w:r>
    </w:p>
    <w:p w14:paraId="4829A3DC"/>
    <w:p w14:paraId="4C39AAA2">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2.19其他技术文件</w:t>
      </w:r>
    </w:p>
    <w:p w14:paraId="687EFE7F">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按照第五章响应人须知专用部分5.8条规定应提交的各种技术文件。如采购文件第六章采购需求等章节中有专门格式要求，按专门格式编写。如无专门格式要求，由响应人自拟格式编写</w:t>
      </w:r>
      <w:r>
        <w:rPr>
          <w:rFonts w:ascii="宋体" w:eastAsia="宋体" w:hAnsi="宋体" w:cs="Times New Roman" w:hint="eastAsia"/>
          <w:szCs w:val="20"/>
        </w:rPr>
        <w:t>。</w:t>
      </w:r>
    </w:p>
    <w:p w14:paraId="7A4C0546"/>
    <w:p w14:paraId="02D9CFF6">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2.20响应人自行编写的技术文件。</w:t>
      </w:r>
    </w:p>
    <w:p w14:paraId="28C3C3C5">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响应人按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的规定以及采购文件</w:t>
      </w:r>
      <w:r>
        <w:rPr>
          <w:rFonts w:ascii="Times New Roman" w:eastAsia="宋体" w:hAnsi="Times New Roman" w:cs="Times New Roman" w:hint="eastAsia"/>
          <w:b/>
          <w:bCs/>
          <w:szCs w:val="20"/>
        </w:rPr>
        <w:t>第六章采购需求</w:t>
      </w:r>
      <w:r>
        <w:rPr>
          <w:rFonts w:ascii="宋体" w:eastAsia="宋体" w:hAnsi="宋体" w:cs="Times New Roman" w:hint="eastAsia"/>
          <w:szCs w:val="20"/>
        </w:rPr>
        <w:t>中的要求自行编写，包括响应人认为需要提供的其它说明和资料</w:t>
      </w:r>
      <w:r>
        <w:rPr>
          <w:rFonts w:ascii="宋体" w:eastAsia="宋体" w:hAnsi="宋体" w:cs="Times New Roman" w:hint="eastAsia"/>
          <w:szCs w:val="20"/>
        </w:rPr>
        <w:t>。</w:t>
      </w:r>
    </w:p>
    <w:p w:rsidR="00A77B3E"/>
    <w:p w14:paraId="611207CC">
      <w:pPr>
        <w:adjustRightInd w:val="0"/>
        <w:snapToGrid w:val="0"/>
        <w:spacing w:line="360" w:lineRule="auto"/>
        <w:ind w:firstLine="412" w:firstLineChars="196"/>
        <w:rPr>
          <w:b/>
        </w:rPr>
        <w:sectPr>
          <w:pgSz w:w="11906" w:h="16838"/>
          <w:pgMar w:top="1418" w:right="1418" w:bottom="1418" w:left="1701" w:header="851" w:footer="851" w:gutter="0"/>
          <w:pgNumType w:start="59"/>
          <w:cols w:num="1" w:space="720"/>
          <w:docGrid w:type="linesAndChars" w:linePitch="312" w:charSpace="0"/>
        </w:sectPr>
      </w:pPr>
      <w:bookmarkEnd w:id="17"/>
    </w:p>
    <w:bookmarkEnd w:id="6"/>
    <w:p w14:paraId="655F8055">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6C66650E">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第七章响应被拒绝条款专用部分</w:t>
      </w:r>
      <w:r>
        <w:rPr>
          <w:rFonts w:ascii="Times New Roman" w:eastAsia="宋体" w:hAnsi="Times New Roman" w:cs="Times New Roman" w:hint="eastAsia"/>
          <w:szCs w:val="21"/>
        </w:rPr>
        <w:t>以外，其它内容均不得在协商中作为拒绝响应的条件。响应人若符合下表任何要求之一的，将导致响应被拒绝。</w:t>
      </w:r>
    </w:p>
    <w:tbl>
      <w:tblPr>
        <w:tblStyle w:val="TableNormal"/>
        <w:tblpPr w:leftFromText="180" w:rightFromText="180" w:vertAnchor="text" w:horzAnchor="page" w:tblpX="1619" w:tblpY="419"/>
        <w:tblOverlap w:val="never"/>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4"/>
        <w:gridCol w:w="792"/>
        <w:gridCol w:w="58"/>
        <w:gridCol w:w="7723"/>
      </w:tblGrid>
      <w:tr w14:paraId="1EA01802">
        <w:tblPrEx>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534" w:type="dxa"/>
            <w:vAlign w:val="center"/>
          </w:tcPr>
          <w:p w14:paraId="7390D640">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792" w:type="dxa"/>
            <w:vAlign w:val="center"/>
          </w:tcPr>
          <w:p w14:paraId="62E4DED4">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44B2C45E">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81" w:type="dxa"/>
            <w:gridSpan w:val="2"/>
            <w:vAlign w:val="center"/>
          </w:tcPr>
          <w:p w14:paraId="7B469C5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01288836">
        <w:tblPrEx>
          <w:tblW w:w="9107" w:type="dxa"/>
          <w:tblInd w:w="0" w:type="dxa"/>
          <w:tblLayout w:type="fixed"/>
          <w:tblCellMar>
            <w:top w:w="0" w:type="dxa"/>
            <w:left w:w="108" w:type="dxa"/>
            <w:bottom w:w="0" w:type="dxa"/>
            <w:right w:w="108" w:type="dxa"/>
          </w:tblCellMar>
        </w:tblPrEx>
        <w:trPr>
          <w:cantSplit/>
        </w:trPr>
        <w:tc>
          <w:tcPr>
            <w:tcW w:w="9107" w:type="dxa"/>
            <w:gridSpan w:val="4"/>
            <w:vAlign w:val="center"/>
          </w:tcPr>
          <w:p w14:paraId="05B28213">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59A18D4F">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E6D9527">
            <w:pPr>
              <w:numPr>
                <w:ilvl w:val="0"/>
                <w:numId w:val="3"/>
              </w:numPr>
              <w:jc w:val="left"/>
              <w:rPr>
                <w:rFonts w:ascii="宋体" w:eastAsia="宋体" w:hAnsi="宋体" w:cs="Times New Roman"/>
                <w:sz w:val="18"/>
                <w:szCs w:val="18"/>
              </w:rPr>
            </w:pPr>
          </w:p>
        </w:tc>
        <w:tc>
          <w:tcPr>
            <w:tcW w:w="850" w:type="dxa"/>
            <w:gridSpan w:val="2"/>
            <w:vAlign w:val="center"/>
          </w:tcPr>
          <w:p w14:paraId="4EB90583">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085E93F5">
            <w:pPr>
              <w:tabs>
                <w:tab w:val="left" w:pos="709"/>
                <w:tab w:val="left" w:pos="1573"/>
              </w:tabs>
              <w:adjustRightInd w:val="0"/>
              <w:snapToGrid w:val="0"/>
              <w:spacing w:line="360" w:lineRule="auto"/>
              <w:rPr>
                <w:rFonts w:ascii="宋体" w:eastAsia="宋体" w:hAnsi="宋体" w:cs="Times New Roman"/>
                <w:sz w:val="18"/>
                <w:szCs w:val="18"/>
              </w:rPr>
            </w:pPr>
            <w:r>
              <w:rPr>
                <w:rFonts w:ascii="Times New Roman" w:eastAsia="宋体" w:hAnsi="Times New Roman" w:cs="Times New Roman" w:hint="eastAsia"/>
                <w:sz w:val="18"/>
                <w:szCs w:val="18"/>
              </w:rPr>
              <w:t>遵守《中华人民共和国政府采购法》、《中华人民共和国政府采购法实施条例》等法律法规，并符合《中华人民共和国政府采购法》第二十二条规定的条件，具有本项目生产、制造、供应或实施能力，符合、承认并承诺履行本采购文件各项规定，没有其他不符合</w:t>
            </w:r>
            <w:r>
              <w:rPr>
                <w:rFonts w:ascii="Times New Roman" w:eastAsia="宋体" w:hAnsi="Times New Roman" w:cs="Times New Roman"/>
                <w:sz w:val="18"/>
                <w:szCs w:val="18"/>
              </w:rPr>
              <w:t>国家法律法规的</w:t>
            </w:r>
            <w:r>
              <w:rPr>
                <w:rFonts w:ascii="Times New Roman" w:eastAsia="宋体" w:hAnsi="Times New Roman" w:cs="Times New Roman" w:hint="eastAsia"/>
                <w:sz w:val="18"/>
                <w:szCs w:val="18"/>
              </w:rPr>
              <w:t>不合格</w:t>
            </w:r>
            <w:r>
              <w:rPr>
                <w:rFonts w:ascii="Times New Roman" w:eastAsia="宋体" w:hAnsi="Times New Roman" w:cs="Times New Roman"/>
                <w:sz w:val="18"/>
                <w:szCs w:val="18"/>
              </w:rPr>
              <w:t>响应人的情况</w:t>
            </w:r>
            <w:r>
              <w:rPr>
                <w:rFonts w:ascii="Times New Roman" w:eastAsia="宋体" w:hAnsi="Times New Roman" w:cs="Times New Roman" w:hint="eastAsia"/>
                <w:sz w:val="18"/>
                <w:szCs w:val="18"/>
              </w:rPr>
              <w:t>，以及</w:t>
            </w:r>
            <w:r>
              <w:rPr>
                <w:rFonts w:ascii="Times New Roman" w:eastAsia="宋体" w:hAnsi="Times New Roman" w:cs="Times New Roman"/>
                <w:sz w:val="18"/>
                <w:szCs w:val="18"/>
              </w:rPr>
              <w:t>本采购文件</w:t>
            </w:r>
            <w:r>
              <w:rPr>
                <w:rFonts w:ascii="Times New Roman" w:eastAsia="宋体" w:hAnsi="Times New Roman" w:cs="Times New Roman" w:hint="eastAsia"/>
                <w:sz w:val="18"/>
                <w:szCs w:val="18"/>
              </w:rPr>
              <w:t>所</w:t>
            </w:r>
            <w:r>
              <w:rPr>
                <w:rFonts w:ascii="Times New Roman" w:eastAsia="宋体" w:hAnsi="Times New Roman" w:cs="Times New Roman"/>
                <w:sz w:val="18"/>
                <w:szCs w:val="18"/>
              </w:rPr>
              <w:t>规定的</w:t>
            </w:r>
            <w:r>
              <w:rPr>
                <w:rFonts w:ascii="Times New Roman" w:eastAsia="宋体" w:hAnsi="Times New Roman" w:cs="Times New Roman" w:hint="eastAsia"/>
                <w:sz w:val="18"/>
                <w:szCs w:val="18"/>
              </w:rPr>
              <w:t>不合格</w:t>
            </w:r>
            <w:r>
              <w:rPr>
                <w:rFonts w:ascii="Times New Roman" w:eastAsia="宋体" w:hAnsi="Times New Roman" w:cs="Times New Roman"/>
                <w:sz w:val="18"/>
                <w:szCs w:val="18"/>
              </w:rPr>
              <w:t>响应人的情况</w:t>
            </w:r>
            <w:r>
              <w:rPr>
                <w:rFonts w:ascii="Times New Roman" w:eastAsia="宋体" w:hAnsi="Times New Roman" w:cs="Times New Roman" w:hint="eastAsia"/>
                <w:sz w:val="18"/>
                <w:szCs w:val="18"/>
              </w:rPr>
              <w:t>。否则响应将被拒绝。</w:t>
            </w:r>
          </w:p>
        </w:tc>
      </w:tr>
      <w:tr w14:paraId="5326378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1476C16">
            <w:pPr>
              <w:numPr>
                <w:ilvl w:val="0"/>
                <w:numId w:val="3"/>
              </w:numPr>
              <w:jc w:val="left"/>
              <w:rPr>
                <w:rFonts w:ascii="宋体" w:eastAsia="宋体" w:hAnsi="宋体" w:cs="Times New Roman"/>
                <w:sz w:val="18"/>
                <w:szCs w:val="18"/>
              </w:rPr>
            </w:pPr>
          </w:p>
        </w:tc>
        <w:tc>
          <w:tcPr>
            <w:tcW w:w="850" w:type="dxa"/>
            <w:gridSpan w:val="2"/>
            <w:vAlign w:val="center"/>
          </w:tcPr>
          <w:p w14:paraId="2BF705E6">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3D8E0942">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35F9A28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1B7628C">
            <w:pPr>
              <w:numPr>
                <w:ilvl w:val="0"/>
                <w:numId w:val="3"/>
              </w:numPr>
              <w:jc w:val="left"/>
              <w:rPr>
                <w:rFonts w:ascii="宋体" w:eastAsia="宋体" w:hAnsi="宋体" w:cs="Times New Roman"/>
                <w:sz w:val="18"/>
                <w:szCs w:val="18"/>
              </w:rPr>
            </w:pPr>
          </w:p>
        </w:tc>
        <w:tc>
          <w:tcPr>
            <w:tcW w:w="850" w:type="dxa"/>
            <w:gridSpan w:val="2"/>
            <w:vAlign w:val="center"/>
          </w:tcPr>
          <w:p w14:paraId="4BA0465B">
            <w:pPr>
              <w:rPr>
                <w:rFonts w:ascii="宋体" w:eastAsia="宋体" w:hAnsi="宋体" w:cs="Times New Roman"/>
                <w:sz w:val="18"/>
                <w:szCs w:val="18"/>
              </w:rPr>
            </w:pPr>
            <w:r>
              <w:rPr>
                <w:rFonts w:ascii="宋体" w:eastAsia="宋体" w:hAnsi="宋体" w:cs="Times New Roman" w:hint="eastAsia"/>
                <w:bCs/>
                <w:sz w:val="18"/>
                <w:szCs w:val="18"/>
              </w:rPr>
              <w:t>1.3.4</w:t>
            </w:r>
          </w:p>
        </w:tc>
        <w:tc>
          <w:tcPr>
            <w:tcW w:w="7723" w:type="dxa"/>
            <w:vAlign w:val="center"/>
          </w:tcPr>
          <w:p w14:paraId="50FF1673">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18CAF7B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C047122">
            <w:pPr>
              <w:numPr>
                <w:ilvl w:val="0"/>
                <w:numId w:val="3"/>
              </w:numPr>
              <w:jc w:val="left"/>
              <w:rPr>
                <w:rFonts w:ascii="宋体" w:eastAsia="宋体" w:hAnsi="宋体" w:cs="Times New Roman"/>
                <w:sz w:val="18"/>
                <w:szCs w:val="18"/>
              </w:rPr>
            </w:pPr>
          </w:p>
        </w:tc>
        <w:tc>
          <w:tcPr>
            <w:tcW w:w="850" w:type="dxa"/>
            <w:gridSpan w:val="2"/>
            <w:vAlign w:val="center"/>
          </w:tcPr>
          <w:p w14:paraId="3A857742">
            <w:pPr>
              <w:rPr>
                <w:rFonts w:ascii="宋体" w:eastAsia="宋体" w:hAnsi="宋体" w:cs="Times New Roman"/>
                <w:bCs/>
                <w:sz w:val="18"/>
                <w:szCs w:val="18"/>
              </w:rPr>
            </w:pPr>
            <w:r>
              <w:rPr>
                <w:rFonts w:ascii="宋体" w:eastAsia="宋体" w:hAnsi="宋体" w:cs="Times New Roman" w:hint="eastAsia"/>
                <w:bCs/>
                <w:sz w:val="18"/>
                <w:szCs w:val="18"/>
              </w:rPr>
              <w:t>1.5.1</w:t>
            </w:r>
          </w:p>
        </w:tc>
        <w:tc>
          <w:tcPr>
            <w:tcW w:w="7723" w:type="dxa"/>
            <w:vAlign w:val="center"/>
          </w:tcPr>
          <w:p w14:paraId="37545F9D">
            <w:pPr>
              <w:tabs>
                <w:tab w:val="left" w:pos="8460"/>
              </w:tabs>
              <w:adjustRightInd w:val="0"/>
              <w:snapToGrid w:val="0"/>
              <w:spacing w:line="360" w:lineRule="auto"/>
              <w:jc w:val="left"/>
              <w:rPr>
                <w:rFonts w:ascii="宋体" w:eastAsia="宋体" w:hAnsi="宋体" w:cs="Times New Roman"/>
                <w:kern w:val="0"/>
                <w:szCs w:val="21"/>
              </w:rPr>
            </w:pPr>
            <w:r>
              <w:rPr>
                <w:rFonts w:ascii="宋体" w:eastAsia="宋体" w:hAnsi="宋体" w:cs="Times New Roman" w:hint="eastAsia"/>
                <w:sz w:val="18"/>
                <w:szCs w:val="18"/>
              </w:rPr>
              <w:t>如本次采购内容包括货物，且</w:t>
            </w: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7FF53AF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40FEA77">
            <w:pPr>
              <w:numPr>
                <w:ilvl w:val="0"/>
                <w:numId w:val="3"/>
              </w:numPr>
              <w:jc w:val="left"/>
              <w:rPr>
                <w:rFonts w:ascii="宋体" w:eastAsia="宋体" w:hAnsi="宋体" w:cs="Times New Roman"/>
                <w:sz w:val="18"/>
                <w:szCs w:val="18"/>
              </w:rPr>
            </w:pPr>
          </w:p>
        </w:tc>
        <w:tc>
          <w:tcPr>
            <w:tcW w:w="850" w:type="dxa"/>
            <w:gridSpan w:val="2"/>
            <w:vAlign w:val="center"/>
          </w:tcPr>
          <w:p w14:paraId="68FCC7C8">
            <w:pPr>
              <w:rPr>
                <w:rFonts w:ascii="宋体" w:eastAsia="宋体" w:hAnsi="宋体" w:cs="Times New Roman"/>
                <w:bCs/>
                <w:sz w:val="18"/>
                <w:szCs w:val="18"/>
              </w:rPr>
            </w:pPr>
            <w:r>
              <w:rPr>
                <w:rFonts w:ascii="宋体" w:eastAsia="宋体" w:hAnsi="宋体" w:cs="Times New Roman" w:hint="eastAsia"/>
                <w:bCs/>
                <w:sz w:val="18"/>
                <w:szCs w:val="18"/>
              </w:rPr>
              <w:t>1.5.2</w:t>
            </w:r>
          </w:p>
        </w:tc>
        <w:tc>
          <w:tcPr>
            <w:tcW w:w="7723" w:type="dxa"/>
            <w:vAlign w:val="center"/>
          </w:tcPr>
          <w:p w14:paraId="7BD33B1F">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如本次采购内容包括货物，且</w:t>
            </w:r>
            <w:r>
              <w:rPr>
                <w:rFonts w:ascii="Times New Roman" w:eastAsia="宋体" w:hAnsi="Times New Roman" w:cs="Times New Roman" w:hint="eastAsia"/>
                <w:sz w:val="18"/>
                <w:szCs w:val="18"/>
              </w:rPr>
              <w:t>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 w:val="18"/>
                <w:szCs w:val="18"/>
              </w:rPr>
              <w:t>。</w:t>
            </w:r>
          </w:p>
        </w:tc>
      </w:tr>
      <w:tr w14:paraId="7DCFD28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F4D2363">
            <w:pPr>
              <w:numPr>
                <w:ilvl w:val="0"/>
                <w:numId w:val="3"/>
              </w:numPr>
              <w:jc w:val="left"/>
              <w:rPr>
                <w:rFonts w:ascii="宋体" w:eastAsia="宋体" w:hAnsi="宋体" w:cs="Times New Roman"/>
                <w:sz w:val="18"/>
                <w:szCs w:val="18"/>
              </w:rPr>
            </w:pPr>
          </w:p>
        </w:tc>
        <w:tc>
          <w:tcPr>
            <w:tcW w:w="850" w:type="dxa"/>
            <w:gridSpan w:val="2"/>
            <w:vAlign w:val="center"/>
          </w:tcPr>
          <w:p w14:paraId="7DD26A56">
            <w:pPr>
              <w:rPr>
                <w:rFonts w:ascii="宋体" w:eastAsia="宋体" w:hAnsi="宋体" w:cs="Times New Roman"/>
                <w:bCs/>
                <w:sz w:val="18"/>
                <w:szCs w:val="18"/>
              </w:rPr>
            </w:pPr>
            <w:r>
              <w:rPr>
                <w:rFonts w:ascii="宋体" w:eastAsia="宋体" w:hAnsi="宋体" w:cs="Times New Roman" w:hint="eastAsia"/>
                <w:bCs/>
                <w:sz w:val="18"/>
                <w:szCs w:val="18"/>
              </w:rPr>
              <w:t>1.5.3</w:t>
            </w:r>
          </w:p>
        </w:tc>
        <w:tc>
          <w:tcPr>
            <w:tcW w:w="7723" w:type="dxa"/>
            <w:vAlign w:val="center"/>
          </w:tcPr>
          <w:p w14:paraId="3AF8B6E2">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5.5条有关进口产品响应要求的，响应将被拒绝。</w:t>
            </w:r>
          </w:p>
        </w:tc>
      </w:tr>
      <w:tr w14:paraId="20AF65C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4B1DEB2">
            <w:pPr>
              <w:numPr>
                <w:ilvl w:val="0"/>
                <w:numId w:val="3"/>
              </w:numPr>
              <w:jc w:val="left"/>
              <w:rPr>
                <w:rFonts w:ascii="宋体" w:eastAsia="宋体" w:hAnsi="宋体" w:cs="Times New Roman"/>
                <w:sz w:val="18"/>
                <w:szCs w:val="18"/>
              </w:rPr>
            </w:pPr>
          </w:p>
        </w:tc>
        <w:tc>
          <w:tcPr>
            <w:tcW w:w="850" w:type="dxa"/>
            <w:gridSpan w:val="2"/>
            <w:vAlign w:val="center"/>
          </w:tcPr>
          <w:p w14:paraId="192FDEB4">
            <w:pPr>
              <w:rPr>
                <w:rFonts w:ascii="宋体" w:eastAsia="宋体" w:hAnsi="宋体" w:cs="Times New Roman"/>
                <w:sz w:val="18"/>
                <w:szCs w:val="18"/>
              </w:rPr>
            </w:pPr>
            <w:r>
              <w:rPr>
                <w:rFonts w:ascii="宋体" w:eastAsia="宋体" w:hAnsi="宋体" w:cs="Times New Roman" w:hint="eastAsia"/>
                <w:sz w:val="18"/>
                <w:szCs w:val="18"/>
              </w:rPr>
              <w:t>1.5.4</w:t>
            </w:r>
          </w:p>
        </w:tc>
        <w:tc>
          <w:tcPr>
            <w:tcW w:w="7723" w:type="dxa"/>
            <w:vAlign w:val="center"/>
          </w:tcPr>
          <w:p w14:paraId="18DC7DCA">
            <w:pPr>
              <w:tabs>
                <w:tab w:val="left" w:pos="5580"/>
              </w:tabs>
              <w:adjustRightInd w:val="0"/>
              <w:snapToGrid w:val="0"/>
              <w:spacing w:line="360" w:lineRule="auto"/>
              <w:jc w:val="left"/>
              <w:rPr>
                <w:rFonts w:ascii="Times New Roman" w:eastAsia="宋体" w:hAnsi="Times New Roman"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30A5F45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30A35E1">
            <w:pPr>
              <w:numPr>
                <w:ilvl w:val="0"/>
                <w:numId w:val="3"/>
              </w:numPr>
              <w:jc w:val="left"/>
              <w:rPr>
                <w:rFonts w:ascii="宋体" w:eastAsia="宋体" w:hAnsi="宋体" w:cs="Times New Roman"/>
                <w:sz w:val="18"/>
                <w:szCs w:val="18"/>
              </w:rPr>
            </w:pPr>
          </w:p>
        </w:tc>
        <w:tc>
          <w:tcPr>
            <w:tcW w:w="850" w:type="dxa"/>
            <w:gridSpan w:val="2"/>
            <w:vAlign w:val="center"/>
          </w:tcPr>
          <w:p w14:paraId="06226687">
            <w:pPr>
              <w:rPr>
                <w:rFonts w:ascii="宋体" w:eastAsia="宋体" w:hAnsi="宋体" w:cs="Times New Roman"/>
                <w:sz w:val="18"/>
                <w:szCs w:val="18"/>
              </w:rPr>
            </w:pPr>
            <w:r>
              <w:rPr>
                <w:rFonts w:ascii="宋体" w:eastAsia="宋体" w:hAnsi="宋体" w:cs="Times New Roman" w:hint="eastAsia"/>
                <w:sz w:val="18"/>
                <w:szCs w:val="18"/>
              </w:rPr>
              <w:t>1.13.2</w:t>
            </w:r>
          </w:p>
        </w:tc>
        <w:tc>
          <w:tcPr>
            <w:tcW w:w="7723" w:type="dxa"/>
            <w:vAlign w:val="center"/>
          </w:tcPr>
          <w:p w14:paraId="14AA4CED">
            <w:pPr>
              <w:tabs>
                <w:tab w:val="left" w:pos="558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响应人应提交以下商务文件。其中加*项除特别说明外，若缺失或无效，可在协商时补正。补正后仍不能满足要求的，会导致响应被拒绝。（1）法定代表人身份证明或授权委托书；（2）响应函；（3）资格、资信证明文件：①响应人</w:t>
            </w:r>
            <w:r>
              <w:rPr>
                <w:rFonts w:ascii="Times New Roman" w:eastAsia="宋体" w:hAnsi="Times New Roman" w:cs="Times New Roman"/>
                <w:sz w:val="18"/>
                <w:szCs w:val="18"/>
              </w:rPr>
              <w:t>法人</w:t>
            </w:r>
            <w:r>
              <w:rPr>
                <w:rFonts w:ascii="Times New Roman" w:eastAsia="宋体" w:hAnsi="Times New Roman" w:cs="Times New Roman" w:hint="eastAsia"/>
                <w:sz w:val="18"/>
                <w:szCs w:val="18"/>
              </w:rPr>
              <w:t>资格</w:t>
            </w:r>
            <w:r>
              <w:rPr>
                <w:rFonts w:ascii="Times New Roman" w:eastAsia="宋体" w:hAnsi="Times New Roman" w:cs="Times New Roman"/>
                <w:sz w:val="18"/>
                <w:szCs w:val="18"/>
              </w:rPr>
              <w:t>证明文件</w:t>
            </w:r>
            <w:r>
              <w:rPr>
                <w:rFonts w:ascii="Times New Roman" w:eastAsia="宋体" w:hAnsi="Times New Roman" w:cs="Times New Roman" w:hint="eastAsia"/>
                <w:sz w:val="18"/>
                <w:szCs w:val="18"/>
              </w:rPr>
              <w:t>；②以提交首次响应文件截止日为基准日，近一年内任何完税凭证或税务部门出具的税收减免证明；③以提交首次响应文件截止日为基准日，近一年内任何一期社会保障资金缴纳凭证；④财务状况证明；⑤近三年内参加政府采购活动中没有重大违法记录声明；⑥响应货物的《气象专用技术装备使用许可证》（如本次采购内容不包括货物，或者响应货物不必须取得《气象专用技术装备使用许可证》的，可以不提供）；⑦进口产品制造商授权书（响应货物不是进口产品的，不提供）；⑧中小</w:t>
            </w:r>
            <w:r>
              <w:rPr>
                <w:rFonts w:ascii="Times New Roman" w:eastAsia="宋体" w:hAnsi="Times New Roman" w:cs="Times New Roman"/>
                <w:sz w:val="18"/>
                <w:szCs w:val="18"/>
              </w:rPr>
              <w:t>企业声明函</w:t>
            </w:r>
            <w:r>
              <w:rPr>
                <w:rFonts w:ascii="Times New Roman" w:eastAsia="宋体" w:hAnsi="Times New Roman" w:cs="Times New Roman" w:hint="eastAsia"/>
                <w:sz w:val="18"/>
                <w:szCs w:val="18"/>
              </w:rPr>
              <w:t>或残疾人福利性单位声明函或监狱企业证明文件（响应</w:t>
            </w:r>
            <w:r>
              <w:rPr>
                <w:rFonts w:ascii="Times New Roman" w:eastAsia="宋体" w:hAnsi="Times New Roman" w:cs="Times New Roman" w:hint="eastAsia"/>
                <w:sz w:val="18"/>
                <w:szCs w:val="18"/>
                <w:highlight w:val="none"/>
              </w:rPr>
              <w:t>人不符合1.6条关于中小企业条件的不提供）；⑨联合体协议（如有）；⑩分包意向协议（如有）；</w:t>
            </w:r>
            <w:r>
              <w:rPr>
                <w:rFonts w:ascii="Times New Roman" w:eastAsia="宋体" w:hAnsi="Times New Roman" w:cs="Times New Roman"/>
                <w:sz w:val="18"/>
                <w:szCs w:val="18"/>
                <w:highlight w:val="none"/>
              </w:rPr>
              <w:fldChar w:fldCharType="begin"/>
            </w:r>
            <w:r>
              <w:rPr>
                <w:rFonts w:ascii="Times New Roman" w:eastAsia="宋体" w:hAnsi="Times New Roman" w:cs="Times New Roman"/>
                <w:sz w:val="18"/>
                <w:szCs w:val="18"/>
                <w:highlight w:val="none"/>
              </w:rPr>
              <w:instrText xml:space="preserve"> eq \o\ac(</w:instrText>
            </w:r>
            <w:r>
              <w:rPr>
                <w:rFonts w:ascii="Times New Roman" w:eastAsia="宋体" w:hAnsi="Times New Roman" w:cs="Times New Roman" w:hint="eastAsia"/>
                <w:sz w:val="18"/>
                <w:szCs w:val="18"/>
                <w:highlight w:val="none"/>
              </w:rPr>
              <w:instrText>○</w:instrText>
            </w:r>
            <w:r>
              <w:rPr>
                <w:rFonts w:ascii="Times New Roman" w:eastAsia="宋体" w:hAnsi="Times New Roman" w:cs="Times New Roman"/>
                <w:sz w:val="18"/>
                <w:szCs w:val="18"/>
                <w:highlight w:val="none"/>
              </w:rPr>
              <w:instrText>,</w:instrText>
            </w:r>
            <w:r>
              <w:rPr>
                <w:rFonts w:ascii="Times New Roman" w:eastAsia="宋体" w:hAnsi="Times New Roman" w:cs="Times New Roman" w:hint="eastAsia"/>
                <w:position w:val="2"/>
                <w:sz w:val="12"/>
                <w:szCs w:val="18"/>
                <w:highlight w:val="none"/>
              </w:rPr>
              <w:instrText>11</w:instrText>
            </w:r>
            <w:r>
              <w:rPr>
                <w:rFonts w:ascii="Times New Roman" w:eastAsia="宋体" w:hAnsi="Times New Roman" w:cs="Times New Roman" w:hint="eastAsia"/>
                <w:sz w:val="18"/>
                <w:szCs w:val="18"/>
                <w:highlight w:val="none"/>
              </w:rPr>
              <w:instrText>)</w:instrText>
            </w:r>
            <w:r>
              <w:rPr>
                <w:rFonts w:ascii="Times New Roman" w:eastAsia="宋体" w:hAnsi="Times New Roman" w:cs="Times New Roman"/>
                <w:sz w:val="18"/>
                <w:szCs w:val="18"/>
                <w:highlight w:val="none"/>
              </w:rPr>
              <w:fldChar w:fldCharType="separate"/>
            </w:r>
            <w:r>
              <w:rPr>
                <w:rFonts w:ascii="Times New Roman" w:eastAsia="宋体" w:hAnsi="Times New Roman" w:cs="Times New Roman"/>
                <w:sz w:val="18"/>
                <w:szCs w:val="18"/>
                <w:highlight w:val="none"/>
              </w:rPr>
              <w:fldChar w:fldCharType="end"/>
            </w:r>
            <w:r>
              <w:rPr>
                <w:rFonts w:ascii="Times New Roman" w:eastAsia="宋体" w:hAnsi="Times New Roman" w:cs="Times New Roman" w:hint="eastAsia"/>
                <w:sz w:val="18"/>
                <w:szCs w:val="18"/>
                <w:highlight w:val="none"/>
              </w:rPr>
              <w:t>按照第五章响应人须知专用部</w:t>
            </w:r>
            <w:r>
              <w:rPr>
                <w:rFonts w:ascii="Times New Roman" w:eastAsia="宋体" w:hAnsi="Times New Roman" w:cs="Times New Roman" w:hint="eastAsia"/>
                <w:sz w:val="18"/>
                <w:szCs w:val="18"/>
              </w:rPr>
              <w:t>分5.2条规定应提交的特殊资质条件证明文件；（4）按照第五章响应人须知专用部分5.8条规定应提交的其他商务文件。</w:t>
            </w:r>
          </w:p>
        </w:tc>
      </w:tr>
      <w:tr w14:paraId="0A92633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02368CE">
            <w:pPr>
              <w:numPr>
                <w:ilvl w:val="0"/>
                <w:numId w:val="3"/>
              </w:numPr>
              <w:jc w:val="left"/>
              <w:rPr>
                <w:rFonts w:ascii="宋体" w:eastAsia="宋体" w:hAnsi="宋体" w:cs="Times New Roman"/>
                <w:sz w:val="18"/>
                <w:szCs w:val="18"/>
              </w:rPr>
            </w:pPr>
          </w:p>
        </w:tc>
        <w:tc>
          <w:tcPr>
            <w:tcW w:w="850" w:type="dxa"/>
            <w:gridSpan w:val="2"/>
            <w:vAlign w:val="center"/>
          </w:tcPr>
          <w:p w14:paraId="74B57145">
            <w:pPr>
              <w:rPr>
                <w:rFonts w:ascii="宋体" w:eastAsia="宋体" w:hAnsi="宋体" w:cs="Times New Roman"/>
                <w:sz w:val="18"/>
                <w:szCs w:val="18"/>
              </w:rPr>
            </w:pPr>
            <w:r>
              <w:rPr>
                <w:rFonts w:ascii="宋体" w:eastAsia="宋体" w:hAnsi="宋体" w:cs="Times New Roman" w:hint="eastAsia"/>
                <w:sz w:val="18"/>
                <w:szCs w:val="18"/>
              </w:rPr>
              <w:t>1.13.3</w:t>
            </w:r>
          </w:p>
        </w:tc>
        <w:tc>
          <w:tcPr>
            <w:tcW w:w="7723" w:type="dxa"/>
          </w:tcPr>
          <w:p w14:paraId="3307ACC3">
            <w:pPr>
              <w:rPr>
                <w:rFonts w:ascii="Times New Roman" w:eastAsia="宋体" w:hAnsi="Times New Roman" w:cs="Times New Roman"/>
                <w:sz w:val="18"/>
                <w:szCs w:val="18"/>
              </w:rPr>
            </w:pPr>
            <w:r>
              <w:rPr>
                <w:rFonts w:ascii="Times New Roman" w:eastAsia="宋体" w:hAnsi="Times New Roman" w:cs="Times New Roman" w:hint="eastAsia"/>
                <w:sz w:val="18"/>
                <w:szCs w:val="18"/>
              </w:rPr>
              <w:t>响应人应提交以下技术文件。其中加*项除特别说明外，若缺失或无效，可在协商时补正。补正后仍不能满足要求的，会导致响应被拒绝。（1）报价一览表；（2）分项报价表；（3）服务团队人员基本情况表（如未要求组成专门的服务团队的，不提供）；（4）按照第五章响应人须知专用部分5.8条规定应提交的其他技术文件。</w:t>
            </w:r>
          </w:p>
        </w:tc>
      </w:tr>
      <w:tr w14:paraId="3304AD3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BF362BA">
            <w:pPr>
              <w:numPr>
                <w:ilvl w:val="0"/>
                <w:numId w:val="3"/>
              </w:numPr>
              <w:jc w:val="left"/>
              <w:rPr>
                <w:rFonts w:ascii="宋体" w:eastAsia="宋体" w:hAnsi="宋体" w:cs="Times New Roman"/>
                <w:sz w:val="18"/>
                <w:szCs w:val="18"/>
              </w:rPr>
            </w:pPr>
          </w:p>
        </w:tc>
        <w:tc>
          <w:tcPr>
            <w:tcW w:w="850" w:type="dxa"/>
            <w:gridSpan w:val="2"/>
            <w:vAlign w:val="center"/>
          </w:tcPr>
          <w:p w14:paraId="140B858A">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7225480C">
            <w:pPr>
              <w:tabs>
                <w:tab w:val="left" w:pos="1480"/>
              </w:tabs>
              <w:adjustRightInd w:val="0"/>
              <w:snapToGrid w:val="0"/>
              <w:spacing w:line="360" w:lineRule="auto"/>
              <w:rPr>
                <w:rFonts w:ascii="Times New Roman" w:eastAsia="宋体" w:hAnsi="Times New Roman"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报价未超过采购预算（或最高限价）。如协商后最终报价不符合上述要求，响应将被</w:t>
            </w:r>
            <w:r>
              <w:rPr>
                <w:rFonts w:hint="eastAsia"/>
                <w:b/>
                <w:bCs/>
                <w:sz w:val="18"/>
                <w:szCs w:val="18"/>
              </w:rPr>
              <w:t>拒绝</w:t>
            </w:r>
            <w:r>
              <w:rPr>
                <w:rFonts w:ascii="宋体" w:eastAsia="宋体" w:hAnsi="宋体" w:cs="Times New Roman" w:hint="eastAsia"/>
                <w:sz w:val="18"/>
                <w:szCs w:val="18"/>
              </w:rPr>
              <w:t>。</w:t>
            </w:r>
          </w:p>
        </w:tc>
      </w:tr>
      <w:tr w14:paraId="7236C6A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3E0DE70">
            <w:pPr>
              <w:numPr>
                <w:ilvl w:val="0"/>
                <w:numId w:val="3"/>
              </w:numPr>
              <w:jc w:val="left"/>
              <w:rPr>
                <w:rFonts w:ascii="宋体" w:eastAsia="宋体" w:hAnsi="宋体" w:cs="Times New Roman"/>
                <w:sz w:val="18"/>
                <w:szCs w:val="18"/>
              </w:rPr>
            </w:pPr>
          </w:p>
        </w:tc>
        <w:tc>
          <w:tcPr>
            <w:tcW w:w="850" w:type="dxa"/>
            <w:gridSpan w:val="2"/>
            <w:vAlign w:val="center"/>
          </w:tcPr>
          <w:p w14:paraId="0F075EC1">
            <w:pPr>
              <w:rPr>
                <w:rFonts w:ascii="宋体" w:eastAsia="宋体" w:hAnsi="宋体" w:cs="Times New Roman"/>
                <w:sz w:val="18"/>
                <w:szCs w:val="18"/>
              </w:rPr>
            </w:pPr>
            <w:r>
              <w:rPr>
                <w:rFonts w:ascii="宋体" w:eastAsia="宋体" w:hAnsi="宋体" w:cs="Times New Roman" w:hint="eastAsia"/>
                <w:sz w:val="18"/>
                <w:szCs w:val="18"/>
              </w:rPr>
              <w:t>1.16</w:t>
            </w:r>
          </w:p>
        </w:tc>
        <w:tc>
          <w:tcPr>
            <w:tcW w:w="7723" w:type="dxa"/>
            <w:vAlign w:val="center"/>
          </w:tcPr>
          <w:p w14:paraId="335A3A3E">
            <w:pPr>
              <w:tabs>
                <w:tab w:val="left" w:pos="1480"/>
              </w:tabs>
              <w:adjustRightInd w:val="0"/>
              <w:snapToGrid w:val="0"/>
              <w:spacing w:line="360" w:lineRule="auto"/>
              <w:rPr>
                <w:rFonts w:ascii="Times New Roman" w:eastAsia="宋体" w:hAnsi="Times New Roman" w:cs="Times New Roman"/>
                <w:sz w:val="18"/>
                <w:szCs w:val="18"/>
              </w:rPr>
            </w:pPr>
            <w:r>
              <w:rPr>
                <w:rFonts w:ascii="Times New Roman" w:eastAsia="宋体" w:hAnsi="Times New Roman" w:cs="Times New Roman" w:hint="eastAsia"/>
                <w:sz w:val="18"/>
                <w:szCs w:val="18"/>
              </w:rPr>
              <w:t>本项目是否允许响应人将项目的非主体、非关键性工作交由他人完成详见第五章响应人须知专用部分。响应人根据采购项目的实际情况</w:t>
            </w:r>
            <w:r>
              <w:rPr>
                <w:rFonts w:ascii="Times New Roman" w:eastAsia="宋体" w:hAnsi="Times New Roman" w:cs="Times New Roman"/>
                <w:sz w:val="18"/>
                <w:szCs w:val="18"/>
              </w:rPr>
              <w:t>,</w:t>
            </w:r>
            <w:r>
              <w:rPr>
                <w:rFonts w:ascii="Times New Roman" w:eastAsia="宋体" w:hAnsi="Times New Roman" w:cs="Times New Roman" w:hint="eastAsia"/>
                <w:sz w:val="18"/>
                <w:szCs w:val="18"/>
              </w:rPr>
              <w:t>拟在成交后将项目的非主体、非关键性工作交由他人完成的，应当在响应文件中载明分包承担主体，分包承担主体应当具备相应资质条件且不得再次分包。不符合采购文件中有关分包规定的，其响应将被拒绝。</w:t>
            </w:r>
          </w:p>
        </w:tc>
      </w:tr>
      <w:tr w14:paraId="62769D8A">
        <w:tblPrEx>
          <w:tblW w:w="9107" w:type="dxa"/>
          <w:tblInd w:w="0" w:type="dxa"/>
          <w:tblLayout w:type="fixed"/>
          <w:tblCellMar>
            <w:top w:w="0" w:type="dxa"/>
            <w:left w:w="108" w:type="dxa"/>
            <w:bottom w:w="0" w:type="dxa"/>
            <w:right w:w="108" w:type="dxa"/>
          </w:tblCellMar>
        </w:tblPrEx>
        <w:trPr>
          <w:cantSplit/>
          <w:trHeight w:val="376"/>
        </w:trPr>
        <w:tc>
          <w:tcPr>
            <w:tcW w:w="9107" w:type="dxa"/>
            <w:gridSpan w:val="4"/>
            <w:vAlign w:val="center"/>
          </w:tcPr>
          <w:p w14:paraId="51F976AF">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6C390650">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2846211">
            <w:pPr>
              <w:numPr>
                <w:ilvl w:val="0"/>
                <w:numId w:val="3"/>
              </w:numPr>
              <w:jc w:val="left"/>
              <w:rPr>
                <w:rFonts w:ascii="宋体" w:eastAsia="宋体" w:hAnsi="宋体" w:cs="Times New Roman"/>
                <w:sz w:val="18"/>
                <w:szCs w:val="18"/>
              </w:rPr>
            </w:pPr>
          </w:p>
        </w:tc>
        <w:tc>
          <w:tcPr>
            <w:tcW w:w="850" w:type="dxa"/>
            <w:gridSpan w:val="2"/>
            <w:vAlign w:val="center"/>
          </w:tcPr>
          <w:p w14:paraId="675D3304">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72C78834">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在格式文本中，除可填报内容外，任何实质性修改将被视为非实质性响应响应，从而导致该响应被拒绝。</w:t>
            </w:r>
          </w:p>
        </w:tc>
      </w:tr>
      <w:tr w14:paraId="4B25F4DF">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602AB169">
            <w:pPr>
              <w:numPr>
                <w:ilvl w:val="0"/>
                <w:numId w:val="3"/>
              </w:numPr>
              <w:jc w:val="left"/>
              <w:rPr>
                <w:rFonts w:ascii="宋体" w:eastAsia="宋体" w:hAnsi="宋体" w:cs="Times New Roman"/>
                <w:sz w:val="18"/>
                <w:szCs w:val="18"/>
              </w:rPr>
            </w:pPr>
          </w:p>
        </w:tc>
        <w:tc>
          <w:tcPr>
            <w:tcW w:w="850" w:type="dxa"/>
            <w:gridSpan w:val="2"/>
            <w:vAlign w:val="center"/>
          </w:tcPr>
          <w:p w14:paraId="2B3055D1">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6AD178D2">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在格式文本中，除可填报内容外，任何实质性修改将被视为非实质性响应响应，从而导致该响应被拒绝。</w:t>
            </w:r>
          </w:p>
        </w:tc>
      </w:tr>
      <w:tr w14:paraId="27840EF5">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035315E3">
            <w:pPr>
              <w:numPr>
                <w:ilvl w:val="0"/>
                <w:numId w:val="3"/>
              </w:numPr>
              <w:jc w:val="left"/>
              <w:rPr>
                <w:rFonts w:ascii="宋体" w:eastAsia="宋体" w:hAnsi="宋体" w:cs="Times New Roman"/>
                <w:sz w:val="18"/>
                <w:szCs w:val="18"/>
              </w:rPr>
            </w:pPr>
          </w:p>
        </w:tc>
        <w:tc>
          <w:tcPr>
            <w:tcW w:w="850" w:type="dxa"/>
            <w:gridSpan w:val="2"/>
            <w:vAlign w:val="center"/>
          </w:tcPr>
          <w:p w14:paraId="5ACFC391">
            <w:pPr>
              <w:jc w:val="left"/>
              <w:rPr>
                <w:rFonts w:ascii="宋体" w:eastAsia="宋体" w:hAnsi="宋体" w:cs="Times New Roman"/>
                <w:sz w:val="18"/>
                <w:szCs w:val="18"/>
              </w:rPr>
            </w:pPr>
            <w:r>
              <w:rPr>
                <w:rFonts w:ascii="宋体" w:eastAsia="宋体" w:hAnsi="宋体" w:cs="Times New Roman" w:hint="eastAsia"/>
                <w:sz w:val="18"/>
                <w:szCs w:val="18"/>
              </w:rPr>
              <w:t>2.10.5</w:t>
            </w:r>
          </w:p>
        </w:tc>
        <w:tc>
          <w:tcPr>
            <w:tcW w:w="7723" w:type="dxa"/>
            <w:vAlign w:val="center"/>
          </w:tcPr>
          <w:p w14:paraId="3CCE6C55">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bl>
    <w:p w14:paraId="037EE90A">
      <w:pPr>
        <w:spacing w:line="360" w:lineRule="auto"/>
        <w:jc w:val="left"/>
        <w:rPr>
          <w:rFonts w:ascii="Times New Roman" w:eastAsia="宋体" w:hAnsi="Times New Roman" w:cs="Times New Roman"/>
          <w:b/>
          <w:bCs/>
          <w:sz w:val="44"/>
          <w:szCs w:val="44"/>
        </w:rPr>
      </w:pPr>
    </w:p>
    <w:p w14:paraId="09669306">
      <w:pPr>
        <w:spacing w:line="360" w:lineRule="auto"/>
        <w:jc w:val="left"/>
        <w:rPr>
          <w:rFonts w:ascii="Times New Roman" w:eastAsia="宋体" w:hAnsi="Times New Roman" w:cs="Times New Roman"/>
          <w:b/>
          <w:bCs/>
          <w:sz w:val="44"/>
          <w:szCs w:val="44"/>
        </w:rPr>
      </w:pPr>
      <w:r>
        <w:rPr>
          <w:rFonts w:ascii="Times New Roman" w:eastAsia="宋体" w:hAnsi="Times New Roman" w:cs="Times New Roman"/>
          <w:b/>
          <w:bCs/>
          <w:sz w:val="44"/>
          <w:szCs w:val="44"/>
        </w:rPr>
        <w:br w:type="page"/>
      </w:r>
    </w:p>
    <w:p w14:paraId="6B8FB4C7">
      <w:pPr>
        <w:spacing w:line="360" w:lineRule="auto"/>
        <w:jc w:val="left"/>
        <w:rPr>
          <w:rFonts w:ascii="Times New Roman" w:eastAsia="宋体" w:hAnsi="Times New Roman" w:cs="Times New Roman"/>
          <w:b/>
          <w:bCs/>
          <w:sz w:val="44"/>
          <w:szCs w:val="44"/>
        </w:rPr>
      </w:pPr>
    </w:p>
    <w:p w14:paraId="4D153EC1">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758D227F">
      <w:pPr>
        <w:spacing w:line="360" w:lineRule="auto"/>
        <w:rPr>
          <w:rFonts w:ascii="Times New Roman" w:eastAsia="宋体" w:hAnsi="Times New Roman" w:cs="Times New Roman"/>
          <w:szCs w:val="20"/>
        </w:rPr>
      </w:pPr>
    </w:p>
    <w:p w14:paraId="77B9575C">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3A2D685B">
      <w:pPr>
        <w:spacing w:line="360" w:lineRule="auto"/>
        <w:rPr>
          <w:rFonts w:ascii="Times New Roman" w:eastAsia="宋体" w:hAnsi="Times New Roman" w:cs="Times New Roman"/>
          <w:b/>
          <w:bCs/>
          <w:szCs w:val="21"/>
        </w:rPr>
      </w:pPr>
    </w:p>
    <w:p w14:paraId="3427FFFA">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采购邀请书</w:t>
      </w:r>
    </w:p>
    <w:p w14:paraId="60039723">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54820DAC">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szCs w:val="21"/>
        </w:rPr>
        <w:t>第六章  采购需求</w:t>
      </w:r>
    </w:p>
    <w:p w14:paraId="538C6ECE">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第七章  响应被拒绝条款专用部分</w:t>
      </w:r>
    </w:p>
    <w:p w14:paraId="1A93BE56">
      <w:pPr>
        <w:adjustRightInd w:val="0"/>
        <w:snapToGrid w:val="0"/>
        <w:spacing w:line="360" w:lineRule="auto"/>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4A21C1C0">
      <w:pPr>
        <w:adjustRightInd w:val="0"/>
        <w:snapToGrid w:val="0"/>
        <w:spacing w:line="360" w:lineRule="auto"/>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采购邀请书</w:t>
      </w:r>
    </w:p>
    <w:p w14:paraId="74767F68">
      <w:pPr>
        <w:spacing w:line="360" w:lineRule="auto"/>
        <w:jc w:val="center"/>
        <w:rPr>
          <w:rFonts w:ascii="Times New Roman" w:eastAsia="宋体" w:hAnsi="Times New Roman" w:cs="Times New Roman"/>
          <w:b/>
          <w:bCs/>
          <w:sz w:val="28"/>
          <w:szCs w:val="28"/>
        </w:rPr>
      </w:pPr>
    </w:p>
    <w:p w14:paraId="6A0FBB0B">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中国气象局政府采购中心受</w:t>
      </w:r>
      <w:bookmarkStart w:id="19" w:name="采购人_recorderOrgName"/>
      <w:r>
        <w:rPr>
          <w:rFonts w:ascii="宋体" w:hAnsi="宋体" w:cs="微软雅黑"/>
          <w:b/>
          <w:color w:val="0000FF"/>
          <w:kern w:val="0"/>
          <w:szCs w:val="21"/>
        </w:rPr>
        <w:t>盐城市气象局</w:t>
      </w:r>
      <w:bookmarkEnd w:id="19"/>
      <w:r>
        <w:rPr>
          <w:rFonts w:ascii="宋体" w:eastAsia="宋体" w:hAnsi="宋体" w:cs="Times New Roman" w:hint="eastAsia"/>
          <w:szCs w:val="21"/>
        </w:rPr>
        <w:t>委托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的相关货物和有关服务采购进行境内单一来源采购协商，邀请合格响应人参与。</w:t>
      </w:r>
    </w:p>
    <w:p w14:paraId="1717A69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项目名</w:t>
      </w:r>
      <w:r>
        <w:rPr>
          <w:rFonts w:ascii="宋体" w:hAnsi="宋体" w:hint="eastAsia"/>
          <w:b/>
          <w:szCs w:val="21"/>
        </w:rPr>
        <w:t>称：</w:t>
      </w:r>
      <w:r>
        <w:rPr>
          <w:rFonts w:ascii="微软雅黑" w:eastAsia="微软雅黑" w:hAnsi="微软雅黑" w:cs="微软雅黑" w:hint="eastAsia"/>
          <w:color w:val="0000FF"/>
          <w:kern w:val="0"/>
          <w:szCs w:val="21"/>
        </w:rPr>
        <w:t xml:space="preserve"> </w:t>
      </w:r>
      <w:bookmarkStart w:id="20" w:name="项目名称_taskName"/>
      <w:r>
        <w:rPr>
          <w:rFonts w:ascii="宋体" w:hAnsi="宋体" w:cs="微软雅黑"/>
          <w:b/>
          <w:color w:val="0000FF"/>
          <w:kern w:val="0"/>
          <w:szCs w:val="21"/>
        </w:rPr>
        <w:t>江苏省“十四五”气象灾害防治能力提升工程-海上天气雷达海上交通船舶及相关人员服务采购项目（重新采购）</w:t>
      </w:r>
      <w:bookmarkEnd w:id="20"/>
      <w:r>
        <w:rPr>
          <w:rFonts w:ascii="宋体" w:hAnsi="宋体" w:cs="宋体" w:hint="eastAsia"/>
          <w:b/>
          <w:bCs/>
          <w:szCs w:val="21"/>
        </w:rPr>
        <w:t>。</w:t>
      </w:r>
    </w:p>
    <w:p w14:paraId="1D12270D">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1" w:name="封面_projectNo_2"/>
      <w:r>
        <w:rPr>
          <w:rFonts w:ascii="宋体" w:hAnsi="宋体" w:cs="微软雅黑" w:hint="eastAsia"/>
          <w:b/>
          <w:color w:val="0000FF"/>
          <w:kern w:val="0"/>
          <w:szCs w:val="21"/>
        </w:rPr>
        <w:t>ZQCD-26135</w:t>
      </w:r>
      <w:bookmarkEnd w:id="21"/>
      <w:r>
        <w:rPr>
          <w:rFonts w:ascii="宋体" w:eastAsia="宋体" w:hAnsi="宋体" w:cs="宋体" w:hint="eastAsia"/>
          <w:b/>
          <w:bCs/>
          <w:szCs w:val="21"/>
        </w:rPr>
        <w:t>。</w:t>
      </w:r>
    </w:p>
    <w:p w14:paraId="48CDAC39">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w:t>
      </w:r>
      <w:r>
        <w:rPr>
          <w:rFonts w:ascii="宋体" w:eastAsia="宋体" w:hAnsi="宋体" w:cs="Times New Roman" w:hint="eastAsia"/>
          <w:b/>
          <w:szCs w:val="21"/>
        </w:rPr>
        <w:t>采购内容</w:t>
      </w:r>
    </w:p>
    <w:p w14:paraId="359EFC42">
      <w:pPr>
        <w:adjustRightInd w:val="0"/>
        <w:snapToGrid w:val="0"/>
        <w:spacing w:line="360" w:lineRule="auto"/>
        <w:ind w:firstLine="420" w:firstLineChars="20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本次采购</w:t>
      </w:r>
      <w:r>
        <w:rPr>
          <w:rFonts w:ascii="宋体" w:eastAsia="宋体" w:hAnsi="宋体" w:cs="宋体" w:hint="eastAsia"/>
          <w:szCs w:val="21"/>
        </w:rPr>
        <w:t>共</w:t>
      </w:r>
      <w:r>
        <w:rPr>
          <w:rFonts w:ascii="宋体" w:hAnsi="宋体" w:cs="微软雅黑" w:hint="eastAsia"/>
          <w:b/>
          <w:color w:val="0000FF"/>
          <w:kern w:val="0"/>
          <w:szCs w:val="21"/>
        </w:rPr>
        <w:t xml:space="preserve"> </w:t>
      </w:r>
      <w:bookmarkStart w:id="22" w:name="包数量_packageCount"/>
      <w:r>
        <w:rPr>
          <w:rFonts w:ascii="宋体" w:hAnsi="宋体" w:cs="微软雅黑" w:hint="eastAsia"/>
          <w:color w:val="0000FF"/>
          <w:kern w:val="0"/>
          <w:szCs w:val="21"/>
        </w:rPr>
        <w:t>1</w:t>
      </w:r>
      <w:bookmarkEnd w:id="22"/>
      <w:r>
        <w:rPr>
          <w:rFonts w:ascii="宋体" w:eastAsia="宋体" w:hAnsi="宋体" w:cs="微软雅黑" w:hint="eastAsia"/>
          <w:b/>
          <w:color w:val="0000FF"/>
          <w:kern w:val="0"/>
          <w:szCs w:val="21"/>
        </w:rPr>
        <w:t>包</w:t>
      </w:r>
      <w:r>
        <w:rPr>
          <w:rFonts w:ascii="宋体" w:eastAsia="宋体" w:hAnsi="宋体" w:cs="宋体" w:hint="eastAsia"/>
          <w:szCs w:val="21"/>
        </w:rPr>
        <w:t>。</w:t>
      </w:r>
    </w:p>
    <w:p w14:paraId="0FFC8743">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（根据项目具体情况编制）</w:t>
      </w:r>
    </w:p>
    <w:p w14:paraId="131D8502">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上述服务产品及设备、系统软件的供应、运输、安装调试、培训及售后服务。</w:t>
      </w:r>
    </w:p>
    <w:p w14:paraId="4E875C99">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采购文件中商务、技术和服务的相应规定为准。响应人的响应文件必须满足本次采购的实质目的，完全实现所应有的全部要求。响应人若存在任何理解上无法正确确定之处，均应当按照采购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3E5A53AF">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4、履约时间：</w:t>
      </w:r>
      <w:bookmarkStart w:id="23" w:name="合同履约期限_contractPerformancePeriod"/>
      <w:r>
        <w:rPr>
          <w:rFonts w:ascii="宋体" w:eastAsia="宋体" w:hAnsi="宋体" w:cs="微软雅黑" w:hint="eastAsia"/>
          <w:b/>
          <w:color w:val="0000FF"/>
          <w:kern w:val="0"/>
          <w:szCs w:val="21"/>
        </w:rPr>
        <w:t xml:space="preserve">合同签订之日起提供8年海上交通船舶及相关人员服务 </w:t>
      </w:r>
      <w:bookmarkEnd w:id="23"/>
    </w:p>
    <w:p w14:paraId="0D4383F3">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4" w:name="合同履约期限_performanceAddress"/>
      <w:r>
        <w:rPr>
          <w:rFonts w:ascii="宋体" w:hAnsi="宋体" w:cs="微软雅黑" w:hint="eastAsia"/>
          <w:b/>
          <w:color w:val="0000FF"/>
          <w:kern w:val="0"/>
          <w:szCs w:val="21"/>
        </w:rPr>
        <w:t>三峡大丰海上风电H9平台</w:t>
      </w:r>
      <w:bookmarkEnd w:id="24"/>
      <w:r>
        <w:rPr>
          <w:rFonts w:ascii="宋体" w:eastAsia="宋体" w:hAnsi="宋体" w:cs="微软雅黑" w:hint="eastAsia"/>
          <w:b/>
          <w:color w:val="0000FF"/>
          <w:kern w:val="0"/>
          <w:szCs w:val="21"/>
        </w:rPr>
        <w:t>。</w:t>
      </w:r>
    </w:p>
    <w:p w14:paraId="7EB25C33">
      <w:pPr>
        <w:adjustRightInd w:val="0"/>
        <w:snapToGrid w:val="0"/>
        <w:spacing w:line="360" w:lineRule="auto"/>
        <w:ind w:firstLine="420" w:firstLineChars="200"/>
        <w:rPr>
          <w:rFonts w:ascii="宋体" w:eastAsia="宋体" w:hAnsi="宋体" w:cs="Times New Roman"/>
          <w:b/>
          <w:szCs w:val="24"/>
        </w:rPr>
      </w:pPr>
      <w:r>
        <w:rPr>
          <w:rFonts w:ascii="宋体" w:eastAsia="宋体" w:hAnsi="宋体" w:cs="宋体" w:hint="eastAsia"/>
          <w:b/>
          <w:szCs w:val="21"/>
        </w:rPr>
        <w:t>四、</w:t>
      </w:r>
      <w:r>
        <w:rPr>
          <w:rFonts w:ascii="宋体" w:eastAsia="宋体" w:hAnsi="宋体" w:cs="Times New Roman" w:hint="eastAsia"/>
          <w:b/>
          <w:szCs w:val="24"/>
        </w:rPr>
        <w:t>采购文件获取</w:t>
      </w:r>
    </w:p>
    <w:p w14:paraId="05690BF8">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响应人按以下步骤获取采购文件：</w:t>
      </w:r>
      <w:bookmarkStart w:id="25" w:name="_GoBack"/>
      <w:bookmarkEnd w:id="25"/>
    </w:p>
    <w:p w14:paraId="727D8325">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25A63704">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第二步：下载采购文件。响应人登录系统即可下载拟参加项目对应包号的采购文件。</w:t>
      </w:r>
    </w:p>
    <w:p w14:paraId="4105E6A9">
      <w:pPr>
        <w:spacing w:line="400" w:lineRule="exact"/>
        <w:ind w:firstLine="420"/>
        <w:rPr>
          <w:rFonts w:ascii="宋体" w:eastAsia="宋体" w:hAnsi="Times New Roman" w:cs="Times New Roman"/>
          <w:b/>
          <w:bCs/>
          <w:szCs w:val="21"/>
        </w:rPr>
      </w:pPr>
      <w:r>
        <w:rPr>
          <w:rFonts w:ascii="宋体" w:eastAsia="宋体" w:hAnsi="宋体" w:cs="Times New Roman" w:hint="eastAsia"/>
          <w:bCs/>
          <w:szCs w:val="21"/>
        </w:rPr>
        <w:t>响应人在注册及下载采购文件的过程中，涉及系统平台操作的技术问题，可致电采购中心技术支持电话。</w:t>
      </w:r>
    </w:p>
    <w:p w14:paraId="020A8FD2">
      <w:pPr>
        <w:spacing w:line="400" w:lineRule="exact"/>
        <w:ind w:firstLine="420"/>
        <w:rPr>
          <w:rFonts w:ascii="宋体" w:eastAsia="宋体" w:hAnsi="Times New Roman" w:cs="Times New Roman"/>
          <w:szCs w:val="21"/>
        </w:rPr>
      </w:pPr>
      <w:r>
        <w:rPr>
          <w:rFonts w:ascii="宋体" w:eastAsia="宋体" w:hAnsi="Times New Roman" w:cs="Times New Roman" w:hint="eastAsia"/>
          <w:b/>
          <w:bCs/>
          <w:szCs w:val="21"/>
        </w:rPr>
        <w:t>五、提交首次响应文件截止时间及响应方式</w:t>
      </w:r>
    </w:p>
    <w:p w14:paraId="1AD730C3">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w:t>
      </w:r>
      <w:r>
        <w:rPr>
          <w:rFonts w:ascii="宋体" w:eastAsia="宋体" w:hAnsi="Times New Roman" w:cs="Times New Roman" w:hint="eastAsia"/>
          <w:szCs w:val="21"/>
          <w:highlight w:val="none"/>
        </w:rPr>
        <w:t>件提交截止时</w:t>
      </w:r>
      <w:r>
        <w:rPr>
          <w:rFonts w:ascii="宋体" w:hint="eastAsia"/>
          <w:szCs w:val="21"/>
          <w:highlight w:val="none"/>
        </w:rPr>
        <w:t>间：</w:t>
      </w:r>
      <w:bookmarkStart w:id="26" w:name="项目公告_openBidTime"/>
      <w:r>
        <w:rPr>
          <w:rFonts w:asciiTheme="minorEastAsia" w:eastAsiaTheme="minorEastAsia" w:hAnsiTheme="minorEastAsia" w:hint="eastAsia"/>
          <w:bCs/>
          <w:szCs w:val="21"/>
          <w:highlight w:val="none"/>
        </w:rPr>
        <w:t>2026年07月15日 14:00:00</w:t>
      </w:r>
      <w:bookmarkEnd w:id="26"/>
      <w:r>
        <w:rPr>
          <w:rFonts w:ascii="宋体" w:eastAsia="宋体" w:hAnsi="Times New Roman" w:cs="Times New Roman" w:hint="eastAsia"/>
          <w:bCs/>
          <w:szCs w:val="21"/>
          <w:highlight w:val="none"/>
        </w:rPr>
        <w:t>（</w:t>
      </w:r>
      <w:r>
        <w:rPr>
          <w:rFonts w:ascii="宋体" w:eastAsia="宋体" w:hAnsi="Times New Roman" w:cs="Times New Roman" w:hint="eastAsia"/>
          <w:bCs/>
          <w:szCs w:val="21"/>
        </w:rPr>
        <w:t>北京时间）</w:t>
      </w:r>
      <w:r>
        <w:rPr>
          <w:rFonts w:ascii="宋体" w:eastAsia="宋体" w:hAnsi="Times New Roman" w:cs="Times New Roman" w:hint="eastAsia"/>
          <w:szCs w:val="21"/>
        </w:rPr>
        <w:t>。</w:t>
      </w:r>
    </w:p>
    <w:p w14:paraId="38A9E09C">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在供应商专栏下载投标（响应）工具及驱动程序安装包。</w:t>
      </w:r>
    </w:p>
    <w:p w14:paraId="4402A5E1">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31F4E834">
      <w:pPr>
        <w:autoSpaceDN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供应商在响应过程中，涉及系统平台操作的技术问题，可致电采购中心技术支持电话。</w:t>
      </w:r>
    </w:p>
    <w:p w14:paraId="19B9A15A">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5A66BA86">
      <w:pPr>
        <w:tabs>
          <w:tab w:val="left" w:pos="1573"/>
        </w:tabs>
        <w:adjustRightInd w:val="0"/>
        <w:snapToGrid w:val="0"/>
        <w:spacing w:line="360" w:lineRule="auto"/>
        <w:ind w:firstLine="420" w:firstLineChars="200"/>
        <w:rPr>
          <w:rFonts w:ascii="宋体" w:eastAsia="宋体" w:hAnsi="宋体" w:cs="Times New Roman"/>
          <w:bCs/>
          <w:szCs w:val="21"/>
        </w:rPr>
      </w:pPr>
      <w:bookmarkStart w:id="27" w:name="开标地点_openArddress"/>
      <w:r>
        <w:rPr>
          <w:rFonts w:ascii="宋体" w:hAnsi="宋体" w:hint="eastAsia"/>
          <w:b/>
          <w:szCs w:val="21"/>
          <w:highlight w:val="none"/>
          <w:u w:val="single"/>
        </w:rPr>
        <w:t>北京市海淀区中关村南大街46号中国气象局北区7号楼2层大/小会议室（科技大楼前草坪西侧），届时投标人的法定代表人或其授权的投标人授权代表可到场参加。</w:t>
      </w:r>
      <w:bookmarkEnd w:id="27"/>
    </w:p>
    <w:p w14:paraId="59B2DBCD">
      <w:pPr>
        <w:tabs>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七、信息发布</w:t>
      </w:r>
    </w:p>
    <w:p w14:paraId="4DE48B3B">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本项目相关信息已通知响应人。</w:t>
      </w:r>
    </w:p>
    <w:p w14:paraId="421C4FF1">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6E5BB10F">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b/>
          <w:bCs/>
          <w:szCs w:val="21"/>
        </w:rPr>
        <w:t>采购中心</w:t>
      </w:r>
      <w:r>
        <w:rPr>
          <w:rFonts w:ascii="宋体" w:hAnsi="宋体" w:hint="eastAsia"/>
          <w:bCs/>
          <w:szCs w:val="21"/>
        </w:rPr>
        <w:t>联系方式</w:t>
      </w:r>
    </w:p>
    <w:p w14:paraId="54C1BABC">
      <w:pPr>
        <w:tabs>
          <w:tab w:val="left" w:pos="943"/>
          <w:tab w:val="left" w:pos="1573"/>
        </w:tabs>
        <w:adjustRightInd w:val="0"/>
        <w:snapToGrid w:val="0"/>
        <w:spacing w:line="360" w:lineRule="auto"/>
        <w:ind w:firstLine="945"/>
        <w:rPr>
          <w:rFonts w:ascii="宋体" w:hAnsi="宋体" w:hint="eastAsia"/>
          <w:b/>
          <w:szCs w:val="21"/>
          <w:u w:val="single"/>
          <w:lang w:eastAsia="zh-CN"/>
        </w:rPr>
      </w:pPr>
      <w:r>
        <w:rPr>
          <w:rFonts w:ascii="宋体" w:hAnsi="宋体"/>
          <w:bCs/>
          <w:szCs w:val="21"/>
        </w:rPr>
        <w:t>地址：</w:t>
      </w:r>
      <w:r>
        <w:rPr>
          <w:rFonts w:ascii="宋体" w:hAnsi="宋体" w:hint="eastAsia"/>
          <w:b/>
          <w:szCs w:val="21"/>
          <w:u w:val="single"/>
        </w:rPr>
        <w:t>北京市海淀区中关村南大街46号中国气象</w:t>
      </w:r>
      <w:r>
        <w:rPr>
          <w:rFonts w:ascii="宋体" w:hAnsi="宋体" w:hint="eastAsia"/>
          <w:b/>
          <w:szCs w:val="21"/>
          <w:highlight w:val="none"/>
          <w:u w:val="single"/>
        </w:rPr>
        <w:t>局北区7号楼30</w:t>
      </w:r>
      <w:r>
        <w:rPr>
          <w:rFonts w:ascii="宋体" w:hAnsi="宋体" w:hint="eastAsia"/>
          <w:b/>
          <w:szCs w:val="21"/>
          <w:u w:val="single"/>
        </w:rPr>
        <w:t>1室（中国气象局政府采购中心），</w:t>
      </w:r>
    </w:p>
    <w:p w14:paraId="1190A487">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417FD4D">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28" w:name="contactName"/>
      <w:r>
        <w:rPr>
          <w:rFonts w:ascii="宋体" w:hAnsi="宋体" w:cs="微软雅黑"/>
          <w:b/>
          <w:color w:val="0000FF"/>
          <w:kern w:val="0"/>
          <w:szCs w:val="21"/>
        </w:rPr>
        <w:t>卢介然</w:t>
      </w:r>
      <w:bookmarkEnd w:id="28"/>
    </w:p>
    <w:p w14:paraId="41997663">
      <w:pPr>
        <w:tabs>
          <w:tab w:val="left" w:pos="943"/>
          <w:tab w:val="left" w:pos="1573"/>
        </w:tabs>
        <w:adjustRightInd w:val="0"/>
        <w:snapToGrid w:val="0"/>
        <w:spacing w:line="360" w:lineRule="auto"/>
        <w:rPr>
          <w:rFonts w:ascii="宋体" w:hAnsi="宋体" w:hint="eastAsia"/>
          <w:bCs/>
          <w:szCs w:val="21"/>
          <w:u w:val="single"/>
        </w:rPr>
      </w:pPr>
      <w:r>
        <w:rPr>
          <w:rFonts w:ascii="宋体" w:hAnsi="宋体" w:hint="eastAsia"/>
          <w:bCs/>
          <w:szCs w:val="21"/>
        </w:rPr>
        <w:t xml:space="preserve">        </w:t>
      </w:r>
      <w:r>
        <w:rPr>
          <w:rFonts w:ascii="宋体" w:hAnsi="宋体"/>
          <w:bCs/>
          <w:szCs w:val="21"/>
        </w:rPr>
        <w:t xml:space="preserve"> 联系电话：</w:t>
      </w:r>
      <w:bookmarkStart w:id="29" w:name="contactPhone"/>
      <w:r>
        <w:rPr>
          <w:rFonts w:ascii="宋体" w:hAnsi="宋体" w:cs="微软雅黑"/>
          <w:b/>
          <w:color w:val="0000FF"/>
          <w:kern w:val="0"/>
          <w:szCs w:val="21"/>
        </w:rPr>
        <w:t>010-68406642</w:t>
      </w:r>
      <w:bookmarkEnd w:id="29"/>
    </w:p>
    <w:p w14:paraId="2543B2A0">
      <w:pPr>
        <w:tabs>
          <w:tab w:val="left" w:pos="943"/>
          <w:tab w:val="left" w:pos="1573"/>
        </w:tabs>
        <w:adjustRightInd w:val="0"/>
        <w:snapToGrid w:val="0"/>
        <w:spacing w:line="360" w:lineRule="auto"/>
        <w:rPr>
          <w:rFonts w:ascii="宋体" w:hAnsi="宋体" w:hint="eastAsia"/>
          <w:bCs/>
          <w:szCs w:val="21"/>
        </w:rPr>
      </w:pPr>
      <w:r>
        <w:rPr>
          <w:rFonts w:ascii="宋体" w:hAnsi="宋体"/>
          <w:bCs/>
          <w:szCs w:val="21"/>
        </w:rPr>
        <w:t xml:space="preserve">   </w:t>
      </w:r>
      <w:r>
        <w:rPr>
          <w:rFonts w:ascii="宋体" w:hAnsi="宋体" w:hint="eastAsia"/>
          <w:bCs/>
          <w:szCs w:val="21"/>
        </w:rPr>
        <w:t xml:space="preserve">      </w:t>
      </w:r>
    </w:p>
    <w:p w14:paraId="39FE1B7C">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24E65F8C">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0" w:name="采购人1_recorderOrgName"/>
      <w:r>
        <w:rPr>
          <w:rFonts w:ascii="宋体" w:hAnsi="宋体" w:cs="微软雅黑"/>
          <w:b/>
          <w:color w:val="0000FF"/>
          <w:kern w:val="0"/>
          <w:szCs w:val="21"/>
        </w:rPr>
        <w:t>盐城市气象局</w:t>
      </w:r>
      <w:bookmarkEnd w:id="30"/>
    </w:p>
    <w:p w14:paraId="67263408">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1" w:name="采购项目负责人_contactsName"/>
      <w:r>
        <w:rPr>
          <w:rFonts w:ascii="宋体" w:hAnsi="宋体" w:cs="微软雅黑"/>
          <w:b/>
          <w:color w:val="0000FF"/>
          <w:kern w:val="0"/>
          <w:szCs w:val="21"/>
        </w:rPr>
        <w:t>陈洋</w:t>
      </w:r>
      <w:bookmarkEnd w:id="31"/>
    </w:p>
    <w:p w14:paraId="42E252A5">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2" w:name="采购项目负责人办公电话_contactsTel"/>
      <w:r>
        <w:rPr>
          <w:rFonts w:ascii="宋体" w:hAnsi="宋体" w:cs="微软雅黑"/>
          <w:b/>
          <w:color w:val="0000FF"/>
          <w:kern w:val="0"/>
          <w:szCs w:val="21"/>
        </w:rPr>
        <w:t>0515-81880516</w:t>
      </w:r>
      <w:bookmarkEnd w:id="32"/>
    </w:p>
    <w:p w14:paraId="4863AEFC">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3" w:name="采购单位所在地址_recorderOrgAddress"/>
      <w:r>
        <w:rPr>
          <w:rFonts w:ascii="宋体" w:hAnsi="宋体" w:cs="微软雅黑"/>
          <w:b/>
          <w:color w:val="0000FF"/>
          <w:kern w:val="0"/>
          <w:szCs w:val="21"/>
        </w:rPr>
        <w:t>盐城市亭湖区东亭路1号</w:t>
      </w:r>
      <w:bookmarkEnd w:id="33"/>
    </w:p>
    <w:p w14:paraId="701F4D99">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15D199CD">
      <w:pPr>
        <w:adjustRightInd w:val="0"/>
        <w:snapToGrid w:val="0"/>
        <w:spacing w:line="360" w:lineRule="auto"/>
        <w:ind w:firstLine="420" w:firstLineChars="200"/>
        <w:rPr>
          <w:rFonts w:ascii="宋体" w:hAnsi="宋体" w:cs="宋体"/>
          <w:szCs w:val="21"/>
        </w:rPr>
      </w:pPr>
      <w:r>
        <w:rPr>
          <w:rFonts w:ascii="宋体" w:hAnsi="宋体" w:cs="宋体" w:hint="eastAsia"/>
          <w:szCs w:val="21"/>
        </w:rPr>
        <w:t>采购中心技术支持电话：</w:t>
      </w:r>
      <w:bookmarkStart w:id="34" w:name="技术电话_technicalSupportPhoneNumber"/>
      <w:r>
        <w:rPr>
          <w:rFonts w:ascii="宋体" w:hAnsi="宋体" w:cs="宋体" w:hint="eastAsia"/>
          <w:szCs w:val="21"/>
        </w:rPr>
        <w:t>010-68406701</w:t>
      </w:r>
      <w:bookmarkEnd w:id="34"/>
    </w:p>
    <w:p w14:paraId="139DB641">
      <w:pPr>
        <w:tabs>
          <w:tab w:val="left" w:pos="943"/>
          <w:tab w:val="left" w:pos="1573"/>
        </w:tabs>
        <w:adjustRightInd w:val="0"/>
        <w:snapToGrid w:val="0"/>
        <w:spacing w:line="360" w:lineRule="auto"/>
        <w:rPr>
          <w:rFonts w:ascii="宋体" w:eastAsia="宋体" w:hAnsi="宋体" w:cs="Times New Roman"/>
          <w:bCs/>
          <w:szCs w:val="21"/>
        </w:rPr>
      </w:pPr>
    </w:p>
    <w:p w14:paraId="444270AA">
      <w:pPr>
        <w:tabs>
          <w:tab w:val="left" w:pos="943"/>
          <w:tab w:val="left" w:pos="1573"/>
        </w:tabs>
        <w:adjustRightInd w:val="0"/>
        <w:snapToGrid w:val="0"/>
        <w:spacing w:line="360" w:lineRule="auto"/>
        <w:jc w:val="center"/>
        <w:rPr>
          <w:rFonts w:ascii="Times New Roman" w:eastAsia="宋体" w:hAnsi="Times New Roman" w:cs="Times New Roman"/>
          <w:bCs/>
          <w:szCs w:val="21"/>
        </w:rPr>
        <w:sectPr>
          <w:pgSz w:w="11906" w:h="16838"/>
          <w:pgMar w:top="1440" w:right="1800" w:bottom="1440" w:left="1800" w:header="851" w:footer="992" w:gutter="0"/>
          <w:cols w:num="1" w:space="425"/>
          <w:docGrid w:type="lines" w:linePitch="312" w:charSpace="0"/>
        </w:sectPr>
      </w:pPr>
      <w:r>
        <w:rPr>
          <w:rFonts w:ascii="Times New Roman" w:eastAsia="宋体" w:hAnsi="Times New Roman" w:cs="Times New Roman"/>
          <w:bCs/>
          <w:szCs w:val="21"/>
        </w:rPr>
        <w:br w:type="page"/>
      </w:r>
    </w:p>
    <w:p w14:paraId="30EB079C">
      <w:pPr>
        <w:adjustRightInd w:val="0"/>
        <w:snapToGrid w:val="0"/>
        <w:spacing w:line="360" w:lineRule="auto"/>
        <w:jc w:val="center"/>
        <w:outlineLvl w:val="1"/>
        <w:rPr>
          <w:rFonts w:ascii="Times New Roman" w:eastAsia="宋体" w:hAnsi="Times New Roman" w:cs="Times New Roman"/>
          <w:b/>
          <w:bCs/>
          <w:sz w:val="30"/>
          <w:szCs w:val="30"/>
        </w:rPr>
      </w:pPr>
      <w:bookmarkStart w:id="35" w:name="投标人须知专用部分_TBXZ"/>
      <w:r>
        <w:rPr>
          <w:rFonts w:ascii="Times New Roman" w:eastAsia="宋体" w:hAnsi="Times New Roman" w:cs="Times New Roman" w:hint="eastAsia"/>
          <w:b/>
          <w:bCs/>
          <w:sz w:val="30"/>
          <w:szCs w:val="30"/>
        </w:rPr>
        <w:t>第五章  响应人须知专用部分</w:t>
      </w:r>
    </w:p>
    <w:p w14:paraId="7849A4C9">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063FBECD">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表格中要求事项且已列入第三章、第七章响应被拒绝条款的，若有缺失或无效，将导致响应被拒绝</w:t>
      </w:r>
      <w:r>
        <w:rPr>
          <w:rFonts w:ascii="宋体" w:eastAsia="宋体" w:hAnsi="宋体" w:cs="Times New Roman" w:hint="eastAsia"/>
          <w:szCs w:val="21"/>
        </w:rPr>
        <w:t>。响应人须知通用部分或采购文件其余部分与本表不一致的，以本表要求为准。</w:t>
      </w:r>
    </w:p>
    <w:p w14:paraId="0D63CA9D">
      <w:pPr>
        <w:adjustRightInd w:val="0"/>
        <w:snapToGrid w:val="0"/>
        <w:spacing w:line="360" w:lineRule="auto"/>
        <w:rPr>
          <w:rFonts w:ascii="Times New Roman" w:eastAsia="宋体" w:hAnsi="Times New Roman" w:cs="Times New Roman"/>
          <w:szCs w:val="21"/>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4297E07B">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766C8107">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395FC574">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2B1724B1">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2416F3EF">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1E414605">
        <w:tblPrEx>
          <w:tblW w:w="0" w:type="auto"/>
          <w:tblInd w:w="0" w:type="dxa"/>
          <w:tblLayout w:type="fixed"/>
          <w:tblCellMar>
            <w:top w:w="0" w:type="dxa"/>
            <w:left w:w="108" w:type="dxa"/>
            <w:bottom w:w="0" w:type="dxa"/>
            <w:right w:w="108" w:type="dxa"/>
          </w:tblCellMar>
        </w:tblPrEx>
        <w:trPr>
          <w:trHeight w:val="302"/>
        </w:trPr>
        <w:tc>
          <w:tcPr>
            <w:tcW w:w="675" w:type="dxa"/>
            <w:vAlign w:val="center"/>
          </w:tcPr>
          <w:p w14:paraId="4D5398ED">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64DCB1A4">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59C90837">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465F61DF">
            <w:pPr>
              <w:rPr>
                <w:rFonts w:ascii="宋体" w:eastAsia="宋体" w:hAnsi="宋体" w:cs="微软雅黑"/>
                <w:kern w:val="0"/>
                <w:szCs w:val="21"/>
              </w:rPr>
            </w:pPr>
            <w:bookmarkStart w:id="36" w:name="采购人1_recorderOrgName_0"/>
            <w:r>
              <w:rPr>
                <w:rFonts w:ascii="宋体" w:eastAsia="宋体" w:hAnsi="宋体" w:cs="微软雅黑" w:hint="eastAsia"/>
                <w:kern w:val="0"/>
                <w:szCs w:val="21"/>
              </w:rPr>
              <w:t>盐城市气象局</w:t>
            </w:r>
            <w:bookmarkEnd w:id="36"/>
          </w:p>
        </w:tc>
      </w:tr>
      <w:tr w14:paraId="3015FC65">
        <w:tblPrEx>
          <w:tblW w:w="0" w:type="auto"/>
          <w:tblInd w:w="0" w:type="dxa"/>
          <w:tblLayout w:type="fixed"/>
          <w:tblCellMar>
            <w:top w:w="0" w:type="dxa"/>
            <w:left w:w="108" w:type="dxa"/>
            <w:bottom w:w="0" w:type="dxa"/>
            <w:right w:w="108" w:type="dxa"/>
          </w:tblCellMar>
        </w:tblPrEx>
        <w:trPr>
          <w:trHeight w:val="449"/>
        </w:trPr>
        <w:tc>
          <w:tcPr>
            <w:tcW w:w="675" w:type="dxa"/>
            <w:vAlign w:val="center"/>
          </w:tcPr>
          <w:p w14:paraId="42D7CC92">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1389923A">
            <w:pPr>
              <w:rPr>
                <w:rFonts w:ascii="Times New Roman" w:eastAsia="宋体" w:hAnsi="Times New Roman" w:cs="Times New Roman"/>
                <w:szCs w:val="21"/>
              </w:rPr>
            </w:pPr>
            <w:r>
              <w:rPr>
                <w:rFonts w:ascii="Times New Roman" w:eastAsia="宋体" w:hAnsi="Times New Roman" w:cs="Times New Roman" w:hint="eastAsia"/>
                <w:szCs w:val="21"/>
              </w:rPr>
              <w:t>1.3.2、1.13.2</w:t>
            </w:r>
          </w:p>
        </w:tc>
        <w:tc>
          <w:tcPr>
            <w:tcW w:w="1701" w:type="dxa"/>
            <w:vAlign w:val="center"/>
          </w:tcPr>
          <w:p w14:paraId="5A1D2F16">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368B226D">
            <w:pPr>
              <w:jc w:val="left"/>
              <w:rPr>
                <w:rFonts w:ascii="宋体" w:eastAsia="宋体" w:hAnsi="宋体" w:cs="微软雅黑"/>
                <w:kern w:val="0"/>
                <w:szCs w:val="21"/>
              </w:rPr>
            </w:pPr>
            <w:r>
              <w:rPr>
                <w:rFonts w:ascii="Calibri" w:eastAsia="宋体" w:hAnsi="Calibri" w:cs="微软雅黑" w:hint="eastAsia"/>
                <w:kern w:val="0"/>
                <w:szCs w:val="21"/>
              </w:rPr>
              <w:t>响应人应具有以下有效期超过提交首次响应文件截止日的资质：</w:t>
            </w:r>
            <w:bookmarkStart w:id="37" w:name="资_bidderQualificationValidBeyondDeadline"/>
            <w:r>
              <w:rPr>
                <w:rFonts w:ascii="宋体" w:eastAsia="宋体" w:hAnsi="宋体" w:cs="微软雅黑" w:hint="eastAsia"/>
                <w:kern w:val="0"/>
                <w:szCs w:val="21"/>
              </w:rPr>
              <w:t>无</w:t>
            </w:r>
            <w:bookmarkEnd w:id="37"/>
          </w:p>
        </w:tc>
      </w:tr>
      <w:tr w14:paraId="79E61190">
        <w:tblPrEx>
          <w:tblW w:w="0" w:type="auto"/>
          <w:tblInd w:w="0" w:type="dxa"/>
          <w:tblLayout w:type="fixed"/>
          <w:tblCellMar>
            <w:top w:w="0" w:type="dxa"/>
            <w:left w:w="108" w:type="dxa"/>
            <w:bottom w:w="0" w:type="dxa"/>
            <w:right w:w="108" w:type="dxa"/>
          </w:tblCellMar>
        </w:tblPrEx>
        <w:trPr>
          <w:trHeight w:val="449"/>
        </w:trPr>
        <w:tc>
          <w:tcPr>
            <w:tcW w:w="675" w:type="dxa"/>
            <w:vAlign w:val="center"/>
          </w:tcPr>
          <w:p w14:paraId="64E4ABB9">
            <w:pPr>
              <w:rPr>
                <w:rFonts w:ascii="Times New Roman" w:eastAsia="宋体" w:hAnsi="Times New Roman" w:cs="Times New Roman"/>
                <w:szCs w:val="21"/>
              </w:rPr>
            </w:pPr>
            <w:r>
              <w:rPr>
                <w:rFonts w:ascii="Times New Roman" w:eastAsia="宋体" w:hAnsi="Times New Roman" w:cs="Times New Roman" w:hint="eastAsia"/>
                <w:szCs w:val="21"/>
              </w:rPr>
              <w:t>5.3</w:t>
            </w:r>
          </w:p>
        </w:tc>
        <w:tc>
          <w:tcPr>
            <w:tcW w:w="1418" w:type="dxa"/>
            <w:vAlign w:val="center"/>
          </w:tcPr>
          <w:p w14:paraId="124DCC2A">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62AD980B">
            <w:pPr>
              <w:rPr>
                <w:rFonts w:ascii="Times New Roman" w:eastAsia="宋体" w:hAnsi="Times New Roman" w:cs="Times New Roman"/>
                <w:szCs w:val="21"/>
              </w:rPr>
            </w:pPr>
            <w:r>
              <w:rPr>
                <w:rFonts w:ascii="Times New Roman" w:eastAsia="宋体" w:hAnsi="Times New Roman" w:cs="Times New Roman" w:hint="eastAsia"/>
                <w:szCs w:val="21"/>
              </w:rPr>
              <w:t>是否需要组成专门服务团队以及相关要求</w:t>
            </w:r>
          </w:p>
        </w:tc>
        <w:tc>
          <w:tcPr>
            <w:tcW w:w="5209" w:type="dxa"/>
            <w:vAlign w:val="center"/>
          </w:tcPr>
          <w:p w14:paraId="727B2A78">
            <w:pPr>
              <w:rPr>
                <w:rFonts w:ascii="宋体" w:eastAsia="宋体" w:hAnsi="宋体" w:cs="微软雅黑"/>
                <w:kern w:val="0"/>
                <w:szCs w:val="21"/>
              </w:rPr>
            </w:pPr>
            <w:bookmarkStart w:id="38" w:name="服务团队_isMakeSpecializedServiceFlagText"/>
            <w:r>
              <w:rPr>
                <w:rFonts w:ascii="宋体" w:eastAsia="宋体" w:hAnsi="宋体" w:cs="微软雅黑" w:hint="eastAsia"/>
                <w:kern w:val="0"/>
                <w:szCs w:val="21"/>
              </w:rPr>
              <w:t>不需要</w:t>
            </w:r>
            <w:bookmarkEnd w:id="38"/>
          </w:p>
        </w:tc>
      </w:tr>
      <w:tr w14:paraId="3DA481DE">
        <w:tblPrEx>
          <w:tblW w:w="0" w:type="auto"/>
          <w:tblInd w:w="0" w:type="dxa"/>
          <w:tblLayout w:type="fixed"/>
          <w:tblCellMar>
            <w:top w:w="0" w:type="dxa"/>
            <w:left w:w="108" w:type="dxa"/>
            <w:bottom w:w="0" w:type="dxa"/>
            <w:right w:w="108" w:type="dxa"/>
          </w:tblCellMar>
        </w:tblPrEx>
        <w:trPr>
          <w:trHeight w:val="449"/>
        </w:trPr>
        <w:tc>
          <w:tcPr>
            <w:tcW w:w="675" w:type="dxa"/>
            <w:vAlign w:val="center"/>
          </w:tcPr>
          <w:p w14:paraId="35FF305B">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3ED9F0C2">
            <w:pPr>
              <w:rPr>
                <w:rFonts w:ascii="Times New Roman" w:eastAsia="宋体" w:hAnsi="Times New Roman" w:cs="Times New Roman"/>
                <w:szCs w:val="21"/>
              </w:rPr>
            </w:pPr>
            <w:r>
              <w:rPr>
                <w:rFonts w:ascii="Times New Roman" w:eastAsia="宋体" w:hAnsi="Times New Roman" w:cs="Times New Roman" w:hint="eastAsia"/>
                <w:szCs w:val="21"/>
              </w:rPr>
              <w:t>1.4.3</w:t>
            </w:r>
          </w:p>
        </w:tc>
        <w:tc>
          <w:tcPr>
            <w:tcW w:w="1701" w:type="dxa"/>
            <w:vAlign w:val="center"/>
          </w:tcPr>
          <w:p w14:paraId="60E1F730">
            <w:pPr>
              <w:rPr>
                <w:rFonts w:ascii="Times New Roman" w:eastAsia="宋体" w:hAnsi="Times New Roman" w:cs="Times New Roman"/>
                <w:szCs w:val="21"/>
              </w:rPr>
            </w:pPr>
            <w:r>
              <w:rPr>
                <w:rFonts w:ascii="Times New Roman" w:eastAsia="宋体" w:hAnsi="Times New Roman" w:cs="Times New Roman" w:hint="eastAsia"/>
                <w:szCs w:val="21"/>
              </w:rPr>
              <w:t>是否驻场服务</w:t>
            </w:r>
          </w:p>
        </w:tc>
        <w:tc>
          <w:tcPr>
            <w:tcW w:w="5209" w:type="dxa"/>
            <w:vAlign w:val="center"/>
          </w:tcPr>
          <w:p w14:paraId="31664F5E">
            <w:pPr>
              <w:rPr>
                <w:rFonts w:ascii="宋体" w:eastAsia="宋体" w:hAnsi="宋体" w:cs="微软雅黑"/>
                <w:kern w:val="0"/>
                <w:szCs w:val="21"/>
              </w:rPr>
            </w:pPr>
            <w:bookmarkStart w:id="39" w:name="驻场服务_residentServiceFlagText"/>
            <w:r>
              <w:rPr>
                <w:rFonts w:ascii="宋体" w:eastAsia="宋体" w:hAnsi="宋体" w:cs="微软雅黑" w:hint="eastAsia"/>
                <w:kern w:val="0"/>
                <w:szCs w:val="21"/>
              </w:rPr>
              <w:t>否</w:t>
            </w:r>
            <w:bookmarkEnd w:id="39"/>
          </w:p>
        </w:tc>
      </w:tr>
      <w:tr w14:paraId="7968BC62">
        <w:tblPrEx>
          <w:tblW w:w="0" w:type="auto"/>
          <w:tblInd w:w="0" w:type="dxa"/>
          <w:tblLayout w:type="fixed"/>
          <w:tblCellMar>
            <w:top w:w="0" w:type="dxa"/>
            <w:left w:w="108" w:type="dxa"/>
            <w:bottom w:w="0" w:type="dxa"/>
            <w:right w:w="108" w:type="dxa"/>
          </w:tblCellMar>
        </w:tblPrEx>
        <w:trPr>
          <w:trHeight w:val="609"/>
        </w:trPr>
        <w:tc>
          <w:tcPr>
            <w:tcW w:w="675" w:type="dxa"/>
            <w:vAlign w:val="center"/>
          </w:tcPr>
          <w:p w14:paraId="7A12F7A9">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050AC6E8">
            <w:pPr>
              <w:jc w:val="left"/>
              <w:rPr>
                <w:rFonts w:ascii="Times New Roman" w:eastAsia="宋体" w:hAnsi="Times New Roman" w:cs="Times New Roman"/>
                <w:szCs w:val="21"/>
              </w:rPr>
            </w:pPr>
            <w:r>
              <w:rPr>
                <w:rFonts w:ascii="Times New Roman" w:eastAsia="宋体" w:hAnsi="Times New Roman" w:cs="Times New Roman" w:hint="eastAsia"/>
                <w:szCs w:val="21"/>
              </w:rPr>
              <w:t>1.5、1.5.2、1.5.3</w:t>
            </w:r>
          </w:p>
        </w:tc>
        <w:tc>
          <w:tcPr>
            <w:tcW w:w="1701" w:type="dxa"/>
            <w:vAlign w:val="center"/>
          </w:tcPr>
          <w:p w14:paraId="5A3F6AA1">
            <w:pPr>
              <w:rPr>
                <w:rFonts w:ascii="Times New Roman" w:eastAsia="宋体" w:hAnsi="Times New Roman" w:cs="Times New Roman"/>
                <w:szCs w:val="21"/>
              </w:rPr>
            </w:pPr>
            <w:r>
              <w:rPr>
                <w:rFonts w:ascii="Times New Roman" w:eastAsia="宋体" w:hAnsi="Times New Roman" w:cs="Times New Roman" w:hint="eastAsia"/>
                <w:szCs w:val="21"/>
              </w:rPr>
              <w:t>本次采购是否包括货物</w:t>
            </w:r>
          </w:p>
        </w:tc>
        <w:tc>
          <w:tcPr>
            <w:tcW w:w="5209" w:type="dxa"/>
            <w:vAlign w:val="center"/>
          </w:tcPr>
          <w:p w14:paraId="787B39AB">
            <w:pPr>
              <w:rPr>
                <w:rFonts w:ascii="宋体" w:eastAsia="宋体" w:hAnsi="宋体" w:cs="微软雅黑"/>
                <w:kern w:val="0"/>
                <w:szCs w:val="21"/>
                <w:highlight w:val="none"/>
              </w:rPr>
            </w:pPr>
            <w:bookmarkStart w:id="40" w:name="选择是否为货物_includingGoodsFlagText"/>
            <w:r>
              <w:rPr>
                <w:rFonts w:ascii="宋体" w:eastAsia="宋体" w:hAnsi="宋体" w:cs="微软雅黑" w:hint="eastAsia"/>
                <w:kern w:val="0"/>
                <w:szCs w:val="21"/>
                <w:highlight w:val="none"/>
              </w:rPr>
              <w:t>否</w:t>
            </w:r>
            <w:bookmarkEnd w:id="40"/>
          </w:p>
        </w:tc>
      </w:tr>
      <w:tr w14:paraId="37BC2FA2">
        <w:tblPrEx>
          <w:tblW w:w="0" w:type="auto"/>
          <w:tblInd w:w="0" w:type="dxa"/>
          <w:tblLayout w:type="fixed"/>
          <w:tblCellMar>
            <w:top w:w="0" w:type="dxa"/>
            <w:left w:w="108" w:type="dxa"/>
            <w:bottom w:w="0" w:type="dxa"/>
            <w:right w:w="108" w:type="dxa"/>
          </w:tblCellMar>
        </w:tblPrEx>
        <w:trPr>
          <w:trHeight w:val="609"/>
        </w:trPr>
        <w:tc>
          <w:tcPr>
            <w:tcW w:w="675" w:type="dxa"/>
            <w:vAlign w:val="center"/>
          </w:tcPr>
          <w:p w14:paraId="7BF3AFA6">
            <w:pPr>
              <w:rPr>
                <w:rFonts w:ascii="Calibri" w:eastAsia="宋体" w:hAnsi="Calibri" w:cs="Times New Roman"/>
              </w:rPr>
            </w:pPr>
            <w:r>
              <w:rPr>
                <w:rFonts w:ascii="Calibri" w:eastAsia="宋体" w:hAnsi="Calibri" w:cs="Times New Roman" w:hint="eastAsia"/>
              </w:rPr>
              <w:t>5.6</w:t>
            </w:r>
          </w:p>
        </w:tc>
        <w:tc>
          <w:tcPr>
            <w:tcW w:w="1418" w:type="dxa"/>
            <w:vAlign w:val="center"/>
          </w:tcPr>
          <w:p w14:paraId="166A2529">
            <w:pPr>
              <w:rPr>
                <w:rFonts w:ascii="Calibri" w:eastAsia="宋体" w:hAnsi="Calibri" w:cs="Times New Roman"/>
              </w:rPr>
            </w:pPr>
            <w:r>
              <w:rPr>
                <w:rFonts w:ascii="Calibri" w:eastAsia="宋体" w:hAnsi="Calibri" w:cs="Times New Roman" w:hint="eastAsia"/>
              </w:rPr>
              <w:t>1.6.1</w:t>
            </w:r>
          </w:p>
        </w:tc>
        <w:tc>
          <w:tcPr>
            <w:tcW w:w="1701" w:type="dxa"/>
            <w:vAlign w:val="center"/>
          </w:tcPr>
          <w:p w14:paraId="68DEB422">
            <w:pPr>
              <w:rPr>
                <w:rFonts w:ascii="Calibri" w:eastAsia="宋体" w:hAnsi="Calibri" w:cs="Times New Roman"/>
              </w:rPr>
            </w:pPr>
            <w:r>
              <w:rPr>
                <w:rFonts w:ascii="Calibri" w:eastAsia="宋体" w:hAnsi="Calibri" w:cs="Times New Roman" w:hint="eastAsia"/>
              </w:rPr>
              <w:t>采购标的对应的中小企业划分标准所属行业</w:t>
            </w:r>
          </w:p>
        </w:tc>
        <w:tc>
          <w:tcPr>
            <w:tcW w:w="5209" w:type="dxa"/>
            <w:vAlign w:val="center"/>
          </w:tcPr>
          <w:p w14:paraId="696EED9F">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1" w:name="行业_smeIndustryClassification"/>
            <w:r>
              <w:rPr>
                <w:rFonts w:ascii="宋体" w:hAnsi="宋体" w:cs="微软雅黑" w:hint="eastAsia"/>
                <w:kern w:val="0"/>
                <w:szCs w:val="21"/>
                <w:highlight w:val="none"/>
              </w:rPr>
              <w:t>（1）标的：海上天气雷达海上交通船舶及相关人员服务   ，属于 租赁和商务服务业行业；</w:t>
            </w:r>
            <w:bookmarkEnd w:id="41"/>
          </w:p>
        </w:tc>
      </w:tr>
      <w:tr w14:paraId="3F300609">
        <w:tblPrEx>
          <w:tblW w:w="0" w:type="auto"/>
          <w:tblInd w:w="0" w:type="dxa"/>
          <w:tblLayout w:type="fixed"/>
          <w:tblCellMar>
            <w:top w:w="0" w:type="dxa"/>
            <w:left w:w="108" w:type="dxa"/>
            <w:bottom w:w="0" w:type="dxa"/>
            <w:right w:w="108" w:type="dxa"/>
          </w:tblCellMar>
        </w:tblPrEx>
        <w:tc>
          <w:tcPr>
            <w:tcW w:w="675" w:type="dxa"/>
            <w:vAlign w:val="center"/>
          </w:tcPr>
          <w:p w14:paraId="6FA24D88">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2527F33F">
            <w:pPr>
              <w:rPr>
                <w:rFonts w:ascii="Times New Roman" w:eastAsia="宋体" w:hAnsi="Times New Roman" w:cs="Times New Roman"/>
                <w:szCs w:val="21"/>
              </w:rPr>
            </w:pPr>
            <w:r>
              <w:rPr>
                <w:rFonts w:ascii="Times New Roman" w:eastAsia="宋体" w:hAnsi="Times New Roman" w:cs="Times New Roman" w:hint="eastAsia"/>
                <w:szCs w:val="21"/>
              </w:rPr>
              <w:t>1.8.2</w:t>
            </w:r>
          </w:p>
        </w:tc>
        <w:tc>
          <w:tcPr>
            <w:tcW w:w="1701" w:type="dxa"/>
            <w:vAlign w:val="center"/>
          </w:tcPr>
          <w:p w14:paraId="585E1272">
            <w:pPr>
              <w:rPr>
                <w:rFonts w:ascii="Times New Roman" w:eastAsia="宋体" w:hAnsi="Times New Roman" w:cs="Times New Roman"/>
                <w:szCs w:val="21"/>
              </w:rPr>
            </w:pPr>
            <w:r>
              <w:rPr>
                <w:rFonts w:ascii="Times New Roman" w:eastAsia="宋体" w:hAnsi="Times New Roman" w:cs="Times New Roman" w:hint="eastAsia"/>
                <w:szCs w:val="21"/>
              </w:rPr>
              <w:t>成交供应商是否交纳代理服务费</w:t>
            </w:r>
          </w:p>
        </w:tc>
        <w:tc>
          <w:tcPr>
            <w:tcW w:w="5209" w:type="dxa"/>
            <w:vAlign w:val="center"/>
          </w:tcPr>
          <w:p w14:paraId="55899C58">
            <w:pPr>
              <w:rPr>
                <w:rFonts w:hint="eastAsia"/>
              </w:rPr>
            </w:pPr>
            <w:bookmarkStart w:id="42" w:name="中标服务费_finalAmountText"/>
            <w:r>
              <w:rPr>
                <w:rFonts w:hint="eastAsia"/>
                <w:lang w:eastAsia="zh-CN"/>
              </w:rPr>
              <w:t>是，中标服务费：0.0万元。</w:t>
            </w:r>
            <w:bookmarkEnd w:id="42"/>
          </w:p>
        </w:tc>
      </w:tr>
      <w:tr w14:paraId="05AA1D51">
        <w:tblPrEx>
          <w:tblW w:w="0" w:type="auto"/>
          <w:tblInd w:w="0" w:type="dxa"/>
          <w:tblLayout w:type="fixed"/>
          <w:tblCellMar>
            <w:top w:w="0" w:type="dxa"/>
            <w:left w:w="108" w:type="dxa"/>
            <w:bottom w:w="0" w:type="dxa"/>
            <w:right w:w="108" w:type="dxa"/>
          </w:tblCellMar>
        </w:tblPrEx>
        <w:tc>
          <w:tcPr>
            <w:tcW w:w="675" w:type="dxa"/>
          </w:tcPr>
          <w:p w14:paraId="26FE4269">
            <w:pPr>
              <w:rPr>
                <w:rFonts w:ascii="Calibri" w:eastAsia="宋体" w:hAnsi="Calibri" w:cs="Times New Roman"/>
              </w:rPr>
            </w:pP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8</w:t>
            </w:r>
          </w:p>
        </w:tc>
        <w:tc>
          <w:tcPr>
            <w:tcW w:w="1418" w:type="dxa"/>
          </w:tcPr>
          <w:p w14:paraId="7CEDA050">
            <w:pPr>
              <w:rPr>
                <w:rFonts w:ascii="Calibri" w:eastAsia="宋体" w:hAnsi="Calibri" w:cs="Times New Roman"/>
              </w:rPr>
            </w:pPr>
            <w:r>
              <w:rPr>
                <w:rFonts w:ascii="Calibri" w:eastAsia="宋体" w:hAnsi="Calibri" w:cs="Times New Roman" w:hint="eastAsia"/>
              </w:rPr>
              <w:t>1.13.2、1.13.3</w:t>
            </w:r>
          </w:p>
        </w:tc>
        <w:tc>
          <w:tcPr>
            <w:tcW w:w="1701" w:type="dxa"/>
          </w:tcPr>
          <w:p w14:paraId="1877B83F">
            <w:pPr>
              <w:rPr>
                <w:rFonts w:ascii="Calibri" w:eastAsia="宋体" w:hAnsi="Calibri" w:cs="Times New Roman"/>
              </w:rPr>
            </w:pPr>
            <w:r>
              <w:rPr>
                <w:rFonts w:ascii="Calibri" w:eastAsia="宋体" w:hAnsi="Calibri" w:cs="Times New Roman" w:hint="eastAsia"/>
                <w:szCs w:val="21"/>
              </w:rPr>
              <w:t>响应人应提交其他商务文件和技术文件</w:t>
            </w:r>
          </w:p>
        </w:tc>
        <w:tc>
          <w:tcPr>
            <w:tcW w:w="5209" w:type="dxa"/>
          </w:tcPr>
          <w:p w14:paraId="2062D97C">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22FF9616">
            <w:pPr>
              <w:rPr>
                <w:rFonts w:ascii="Calibri" w:eastAsia="宋体" w:hAnsi="Calibri" w:cs="Times New Roman"/>
              </w:rPr>
            </w:pPr>
            <w:r>
              <w:rPr>
                <w:rFonts w:ascii="宋体" w:eastAsia="宋体" w:hAnsi="宋体" w:cs="微软雅黑" w:hint="eastAsia"/>
                <w:kern w:val="0"/>
                <w:szCs w:val="21"/>
              </w:rPr>
              <w:t>无</w:t>
            </w:r>
          </w:p>
        </w:tc>
      </w:tr>
      <w:tr w14:paraId="3C0CA3E8">
        <w:tblPrEx>
          <w:tblW w:w="0" w:type="auto"/>
          <w:tblInd w:w="0" w:type="dxa"/>
          <w:tblLayout w:type="fixed"/>
          <w:tblCellMar>
            <w:top w:w="0" w:type="dxa"/>
            <w:left w:w="108" w:type="dxa"/>
            <w:bottom w:w="0" w:type="dxa"/>
            <w:right w:w="108" w:type="dxa"/>
          </w:tblCellMar>
        </w:tblPrEx>
        <w:trPr>
          <w:trHeight w:val="126"/>
        </w:trPr>
        <w:tc>
          <w:tcPr>
            <w:tcW w:w="675" w:type="dxa"/>
            <w:vAlign w:val="center"/>
          </w:tcPr>
          <w:p w14:paraId="29B73AF0">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vAlign w:val="center"/>
          </w:tcPr>
          <w:p w14:paraId="38A7918E">
            <w:pPr>
              <w:rPr>
                <w:rFonts w:ascii="Times New Roman" w:eastAsia="宋体" w:hAnsi="Times New Roman" w:cs="Times New Roman"/>
                <w:szCs w:val="21"/>
              </w:rPr>
            </w:pPr>
            <w:r>
              <w:rPr>
                <w:rFonts w:ascii="Times New Roman" w:eastAsia="宋体" w:hAnsi="Times New Roman" w:cs="Times New Roman" w:hint="eastAsia"/>
                <w:szCs w:val="21"/>
              </w:rPr>
              <w:t>1.15.2</w:t>
            </w:r>
          </w:p>
        </w:tc>
        <w:tc>
          <w:tcPr>
            <w:tcW w:w="1701" w:type="dxa"/>
            <w:vAlign w:val="center"/>
          </w:tcPr>
          <w:p w14:paraId="23F1451B">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026F85B7">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bookmarkStart w:id="43" w:name="预算金额_budgetAmount"/>
            <w:r>
              <w:rPr>
                <w:rFonts w:ascii="宋体" w:eastAsia="宋体" w:hAnsi="宋体" w:cs="微软雅黑" w:hint="eastAsia"/>
                <w:kern w:val="0"/>
                <w:szCs w:val="21"/>
              </w:rPr>
              <w:t>240.000000</w:t>
            </w:r>
            <w:bookmarkEnd w:id="43"/>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44" w:name="预算明细_packMoneyDetail"/>
            <w:r>
              <w:rPr>
                <w:rFonts w:hint="eastAsia"/>
                <w:szCs w:val="21"/>
                <w:highlight w:val="none"/>
              </w:rPr>
              <w:t>,包 1 采购预算(或最高限价)为人民币 240.000000 万元</w:t>
            </w:r>
            <w:bookmarkEnd w:id="44"/>
            <w:r>
              <w:rPr>
                <w:rFonts w:hint="eastAsia"/>
                <w:szCs w:val="21"/>
                <w:highlight w:val="none"/>
              </w:rPr>
              <w:t>。</w:t>
            </w:r>
          </w:p>
        </w:tc>
      </w:tr>
      <w:tr w14:paraId="3C59FC28">
        <w:tblPrEx>
          <w:tblW w:w="0" w:type="auto"/>
          <w:tblInd w:w="0" w:type="dxa"/>
          <w:tblLayout w:type="fixed"/>
          <w:tblCellMar>
            <w:top w:w="0" w:type="dxa"/>
            <w:left w:w="108" w:type="dxa"/>
            <w:bottom w:w="0" w:type="dxa"/>
            <w:right w:w="108" w:type="dxa"/>
          </w:tblCellMar>
        </w:tblPrEx>
        <w:trPr>
          <w:trHeight w:val="126"/>
        </w:trPr>
        <w:tc>
          <w:tcPr>
            <w:tcW w:w="675" w:type="dxa"/>
            <w:vAlign w:val="center"/>
          </w:tcPr>
          <w:p w14:paraId="4D57C6A6">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520D7DA1">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549EB597">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33E260DA">
            <w:pPr>
              <w:rPr>
                <w:rFonts w:ascii="宋体" w:hAnsi="宋体" w:cs="微软雅黑" w:hint="eastAsia"/>
                <w:kern w:val="0"/>
                <w:szCs w:val="21"/>
                <w:highlight w:val="none"/>
              </w:rPr>
            </w:pPr>
            <w:bookmarkStart w:id="45" w:name="关键性工作_entrustingOthersFlagText"/>
            <w:r>
              <w:rPr>
                <w:rFonts w:ascii="Wingdings 2" w:hAnsi="Wingdings 2" w:cs="微软雅黑"/>
                <w:kern w:val="0"/>
                <w:szCs w:val="21"/>
              </w:rPr>
              <w:t>不允许</w:t>
            </w:r>
            <w:bookmarkEnd w:id="45"/>
          </w:p>
        </w:tc>
      </w:tr>
      <w:tr w14:paraId="312ACEF0">
        <w:tblPrEx>
          <w:tblW w:w="0" w:type="auto"/>
          <w:tblInd w:w="0" w:type="dxa"/>
          <w:tblLayout w:type="fixed"/>
          <w:tblCellMar>
            <w:top w:w="0" w:type="dxa"/>
            <w:left w:w="108" w:type="dxa"/>
            <w:bottom w:w="0" w:type="dxa"/>
            <w:right w:w="108" w:type="dxa"/>
          </w:tblCellMar>
        </w:tblPrEx>
        <w:trPr>
          <w:trHeight w:val="556"/>
        </w:trPr>
        <w:tc>
          <w:tcPr>
            <w:tcW w:w="675" w:type="dxa"/>
            <w:vAlign w:val="center"/>
          </w:tcPr>
          <w:p w14:paraId="79AA9496">
            <w:pPr>
              <w:rPr>
                <w:rFonts w:ascii="Times New Roman" w:eastAsia="宋体" w:hAnsi="Times New Roman" w:cs="Times New Roman"/>
                <w:szCs w:val="21"/>
              </w:rPr>
            </w:pPr>
            <w:r>
              <w:rPr>
                <w:rFonts w:ascii="Times New Roman" w:eastAsia="宋体" w:hAnsi="Times New Roman" w:cs="Times New Roman" w:hint="eastAsia"/>
                <w:szCs w:val="21"/>
              </w:rPr>
              <w:t>5.11</w:t>
            </w:r>
          </w:p>
        </w:tc>
        <w:tc>
          <w:tcPr>
            <w:tcW w:w="1418" w:type="dxa"/>
            <w:vAlign w:val="center"/>
          </w:tcPr>
          <w:p w14:paraId="33BC5EB3">
            <w:pPr>
              <w:rPr>
                <w:rFonts w:ascii="Times New Roman" w:eastAsia="宋体" w:hAnsi="Times New Roman" w:cs="Times New Roman"/>
                <w:szCs w:val="21"/>
              </w:rPr>
            </w:pPr>
            <w:r>
              <w:rPr>
                <w:rFonts w:ascii="Times New Roman" w:eastAsia="宋体" w:hAnsi="Times New Roman" w:cs="Times New Roman" w:hint="eastAsia"/>
                <w:szCs w:val="21"/>
              </w:rPr>
              <w:t>1.18</w:t>
            </w:r>
          </w:p>
        </w:tc>
        <w:tc>
          <w:tcPr>
            <w:tcW w:w="1701" w:type="dxa"/>
            <w:vAlign w:val="center"/>
          </w:tcPr>
          <w:p w14:paraId="5D5F8C32">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05537860">
            <w:pPr>
              <w:rPr>
                <w:rFonts w:ascii="Times New Roman" w:eastAsia="宋体" w:hAnsi="Times New Roman" w:cs="Times New Roman"/>
                <w:szCs w:val="21"/>
              </w:rPr>
            </w:pPr>
            <w:bookmarkStart w:id="46" w:name="投标有效期_bidExpirationDate"/>
            <w:r>
              <w:rPr>
                <w:rFonts w:hint="eastAsia"/>
                <w:szCs w:val="21"/>
              </w:rPr>
              <w:t>120日历天</w:t>
            </w:r>
            <w:bookmarkEnd w:id="46"/>
            <w:r>
              <w:rPr>
                <w:rFonts w:ascii="宋体" w:eastAsia="宋体" w:hAnsi="宋体" w:cs="微软雅黑" w:hint="eastAsia"/>
                <w:kern w:val="0"/>
                <w:szCs w:val="21"/>
              </w:rPr>
              <w:t>（从提交首次响应文件截止日起计算）</w:t>
            </w:r>
          </w:p>
        </w:tc>
      </w:tr>
      <w:tr w14:paraId="0C42ABDD">
        <w:tblPrEx>
          <w:tblW w:w="0" w:type="auto"/>
          <w:tblInd w:w="0" w:type="dxa"/>
          <w:tblLayout w:type="fixed"/>
          <w:tblCellMar>
            <w:top w:w="0" w:type="dxa"/>
            <w:left w:w="108" w:type="dxa"/>
            <w:bottom w:w="0" w:type="dxa"/>
            <w:right w:w="108" w:type="dxa"/>
          </w:tblCellMar>
        </w:tblPrEx>
        <w:trPr>
          <w:trHeight w:val="556"/>
        </w:trPr>
        <w:tc>
          <w:tcPr>
            <w:tcW w:w="675" w:type="dxa"/>
            <w:vAlign w:val="center"/>
          </w:tcPr>
          <w:p w14:paraId="689F0A6E">
            <w:pPr>
              <w:rPr>
                <w:rFonts w:ascii="Times New Roman" w:eastAsia="宋体" w:hAnsi="Times New Roman" w:cs="Times New Roman"/>
                <w:szCs w:val="21"/>
              </w:rPr>
            </w:pPr>
            <w:r>
              <w:rPr>
                <w:rFonts w:ascii="Times New Roman" w:eastAsia="宋体" w:hAnsi="Times New Roman" w:cs="Times New Roman" w:hint="eastAsia"/>
                <w:szCs w:val="21"/>
              </w:rPr>
              <w:t>5.12</w:t>
            </w:r>
          </w:p>
        </w:tc>
        <w:tc>
          <w:tcPr>
            <w:tcW w:w="1418" w:type="dxa"/>
            <w:vAlign w:val="center"/>
          </w:tcPr>
          <w:p w14:paraId="7172BFA8">
            <w:pPr>
              <w:rPr>
                <w:rFonts w:ascii="Times New Roman" w:eastAsia="宋体" w:hAnsi="Times New Roman" w:cs="Times New Roman"/>
                <w:szCs w:val="21"/>
              </w:rPr>
            </w:pPr>
            <w:r>
              <w:rPr>
                <w:rFonts w:ascii="Times New Roman" w:eastAsia="宋体" w:hAnsi="Times New Roman" w:cs="Times New Roman" w:hint="eastAsia"/>
                <w:szCs w:val="21"/>
              </w:rPr>
              <w:t>1.20</w:t>
            </w:r>
          </w:p>
        </w:tc>
        <w:tc>
          <w:tcPr>
            <w:tcW w:w="1701" w:type="dxa"/>
            <w:vAlign w:val="center"/>
          </w:tcPr>
          <w:p w14:paraId="64084D1E">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1FD2587E">
            <w:pPr>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Calibri" w:cs="微软雅黑" w:hint="eastAsia"/>
                <w:szCs w:val="21"/>
              </w:rPr>
              <w:t>上传加密的电子响应文件</w:t>
            </w:r>
          </w:p>
        </w:tc>
      </w:tr>
      <w:tr w14:paraId="7C21A498">
        <w:tblPrEx>
          <w:tblW w:w="0" w:type="auto"/>
          <w:tblInd w:w="0" w:type="dxa"/>
          <w:tblLayout w:type="fixed"/>
          <w:tblCellMar>
            <w:top w:w="0" w:type="dxa"/>
            <w:left w:w="108" w:type="dxa"/>
            <w:bottom w:w="0" w:type="dxa"/>
            <w:right w:w="108" w:type="dxa"/>
          </w:tblCellMar>
        </w:tblPrEx>
        <w:trPr>
          <w:trHeight w:val="428"/>
        </w:trPr>
        <w:tc>
          <w:tcPr>
            <w:tcW w:w="675" w:type="dxa"/>
            <w:vAlign w:val="center"/>
          </w:tcPr>
          <w:p w14:paraId="38513E5E">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vAlign w:val="center"/>
          </w:tcPr>
          <w:p w14:paraId="59E13297">
            <w:pPr>
              <w:rPr>
                <w:rFonts w:ascii="Times New Roman" w:eastAsia="宋体" w:hAnsi="Times New Roman" w:cs="Times New Roman"/>
                <w:szCs w:val="21"/>
              </w:rPr>
            </w:pPr>
          </w:p>
        </w:tc>
        <w:tc>
          <w:tcPr>
            <w:tcW w:w="1701" w:type="dxa"/>
            <w:vAlign w:val="center"/>
          </w:tcPr>
          <w:p w14:paraId="543A1882">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7A13D577">
            <w:pPr>
              <w:rPr>
                <w:rFonts w:ascii="宋体" w:eastAsia="宋体" w:hAnsi="宋体" w:cs="Times New Roman"/>
                <w:szCs w:val="21"/>
              </w:rPr>
            </w:pPr>
            <w:r>
              <w:rPr>
                <w:rFonts w:ascii="Times New Roman" w:eastAsia="宋体" w:hAnsi="Times New Roman" w:cs="Times New Roman" w:hint="eastAsia"/>
                <w:szCs w:val="21"/>
              </w:rPr>
              <w:t>详见第八章采购合同</w:t>
            </w:r>
          </w:p>
        </w:tc>
      </w:tr>
      <w:tr w14:paraId="3C92CF09">
        <w:tblPrEx>
          <w:tblW w:w="0" w:type="auto"/>
          <w:tblInd w:w="0" w:type="dxa"/>
          <w:tblLayout w:type="fixed"/>
          <w:tblCellMar>
            <w:top w:w="0" w:type="dxa"/>
            <w:left w:w="108" w:type="dxa"/>
            <w:bottom w:w="0" w:type="dxa"/>
            <w:right w:w="108" w:type="dxa"/>
          </w:tblCellMar>
        </w:tblPrEx>
        <w:trPr>
          <w:trHeight w:val="428"/>
        </w:trPr>
        <w:tc>
          <w:tcPr>
            <w:tcW w:w="675" w:type="dxa"/>
            <w:vAlign w:val="center"/>
          </w:tcPr>
          <w:p w14:paraId="35659774">
            <w:pPr>
              <w:rPr>
                <w:rFonts w:ascii="Times New Roman" w:eastAsia="宋体" w:hAnsi="Times New Roman" w:cs="Times New Roman"/>
                <w:szCs w:val="21"/>
              </w:rPr>
            </w:pPr>
            <w:r>
              <w:rPr>
                <w:rFonts w:ascii="Times New Roman" w:eastAsia="宋体" w:hAnsi="Times New Roman" w:cs="Times New Roman" w:hint="eastAsia"/>
                <w:szCs w:val="21"/>
              </w:rPr>
              <w:t>5.14</w:t>
            </w:r>
          </w:p>
        </w:tc>
        <w:tc>
          <w:tcPr>
            <w:tcW w:w="1418" w:type="dxa"/>
            <w:vAlign w:val="center"/>
          </w:tcPr>
          <w:p w14:paraId="603B6092">
            <w:pPr>
              <w:rPr>
                <w:rFonts w:ascii="Times New Roman" w:eastAsia="宋体" w:hAnsi="Times New Roman" w:cs="Times New Roman"/>
                <w:szCs w:val="21"/>
              </w:rPr>
            </w:pPr>
          </w:p>
        </w:tc>
        <w:tc>
          <w:tcPr>
            <w:tcW w:w="1701" w:type="dxa"/>
            <w:vAlign w:val="center"/>
          </w:tcPr>
          <w:p w14:paraId="05405129">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5059026C">
            <w:pPr>
              <w:rPr>
                <w:rFonts w:ascii="Times New Roman" w:eastAsia="宋体" w:hAnsi="Times New Roman" w:cs="Times New Roman"/>
                <w:szCs w:val="21"/>
              </w:rPr>
            </w:pPr>
            <w:bookmarkStart w:id="47" w:name="其他事项_ottherReemarks"/>
            <w:r>
              <w:rPr>
                <w:rFonts w:ascii="宋体" w:eastAsia="宋体" w:hAnsi="宋体" w:cs="微软雅黑" w:hint="eastAsia"/>
                <w:kern w:val="0"/>
                <w:szCs w:val="21"/>
              </w:rPr>
              <w:t>无</w:t>
            </w:r>
            <w:bookmarkEnd w:id="47"/>
          </w:p>
        </w:tc>
      </w:tr>
    </w:tbl>
    <w:p w14:paraId="294ECFA7"/>
    <w:p w:rsidR="00A77B3E"/>
    <w:p w14:paraId="6463173B">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5"/>
    </w:p>
    <w:p>
      <w:pPr>
        <w:spacing w:before="156" w:beforeLines="50" w:line="360" w:lineRule="auto"/>
        <w:jc w:val="center"/>
        <w:outlineLvl w:val="1"/>
        <w:rPr>
          <w:rFonts w:ascii="宋体" w:hAnsi="宋体"/>
          <w:b/>
          <w:sz w:val="30"/>
          <w:szCs w:val="30"/>
        </w:rPr>
      </w:pPr>
      <w:bookmarkStart w:id="48" w:name="插入_采购需求书"/>
      <w:r>
        <w:rPr>
          <w:rFonts w:ascii="宋体" w:eastAsia="宋体" w:hAnsi="宋体" w:cs="Times New Roman" w:hint="eastAsia"/>
          <w:b/>
          <w:sz w:val="30"/>
          <w:szCs w:val="30"/>
        </w:rPr>
        <w:t>第六章  采购需求</w:t>
      </w:r>
    </w:p>
    <w:p>
      <w:pPr>
        <w:jc w:val="left"/>
        <w:rPr>
          <w:rFonts w:ascii="Times New Roman" w:hAnsi="Times New Roman"/>
          <w:b/>
          <w:szCs w:val="21"/>
        </w:rPr>
      </w:pPr>
    </w:p>
    <w:p>
      <w:pPr>
        <w:spacing w:line="500" w:lineRule="exact"/>
        <w:rPr>
          <w:rFonts w:ascii="宋体" w:hAnsi="宋体"/>
          <w:b/>
          <w:bCs/>
          <w:lang w:val="zh-CN"/>
        </w:rPr>
      </w:pPr>
      <w:r>
        <w:rPr>
          <w:rFonts w:ascii="宋体" w:hAnsi="宋体" w:hint="eastAsia"/>
          <w:b/>
          <w:bCs/>
          <w:sz w:val="24"/>
          <w:lang w:val="zh-CN"/>
        </w:rPr>
        <w:t>一、项目概述</w:t>
      </w:r>
    </w:p>
    <w:p>
      <w:pPr>
        <w:spacing w:line="500" w:lineRule="exact"/>
        <w:ind w:firstLine="482"/>
        <w:rPr>
          <w:rFonts w:ascii="宋体" w:hAnsi="宋体"/>
          <w:bCs/>
          <w:lang w:val="zh-CN"/>
        </w:rPr>
      </w:pPr>
      <w:r>
        <w:rPr>
          <w:rFonts w:ascii="宋体" w:hAnsi="宋体" w:hint="eastAsia"/>
          <w:bCs/>
          <w:sz w:val="24"/>
          <w:lang w:val="zh-CN"/>
        </w:rPr>
        <w:t>为进一步提升海洋气象灾害防治保障水平，对海洋观测进行补盲，近年来盐城市气象局依托江苏省</w:t>
      </w:r>
      <w:r>
        <w:rPr>
          <w:rFonts w:ascii="宋体" w:hAnsi="宋体" w:hint="eastAsia"/>
          <w:bCs/>
          <w:sz w:val="24"/>
          <w:lang w:val="zh-CN"/>
        </w:rPr>
        <w:t>“</w:t>
      </w:r>
      <w:r>
        <w:rPr>
          <w:rFonts w:ascii="宋体" w:hAnsi="宋体" w:hint="eastAsia"/>
          <w:bCs/>
          <w:sz w:val="24"/>
          <w:lang w:val="zh-CN"/>
        </w:rPr>
        <w:t>十四五</w:t>
      </w:r>
      <w:r>
        <w:rPr>
          <w:rFonts w:ascii="宋体" w:hAnsi="宋体" w:hint="eastAsia"/>
          <w:bCs/>
          <w:sz w:val="24"/>
          <w:lang w:val="zh-CN"/>
        </w:rPr>
        <w:t>”</w:t>
      </w:r>
      <w:r>
        <w:rPr>
          <w:rFonts w:ascii="宋体" w:hAnsi="宋体" w:hint="eastAsia"/>
          <w:bCs/>
          <w:sz w:val="24"/>
          <w:lang w:val="zh-CN"/>
        </w:rPr>
        <w:t>气象灾害防治能力提升工程海上雷达项目在江苏大丰800兆瓦三峡大丰海上风电H9平台（经度：121</w:t>
      </w:r>
      <w:r>
        <w:rPr>
          <w:rFonts w:ascii="宋体" w:hAnsi="宋体" w:hint="eastAsia"/>
          <w:bCs/>
          <w:sz w:val="24"/>
          <w:lang w:val="zh-CN"/>
        </w:rPr>
        <w:t>°</w:t>
      </w:r>
      <w:r>
        <w:rPr>
          <w:rFonts w:ascii="宋体" w:hAnsi="宋体" w:hint="eastAsia"/>
          <w:bCs/>
          <w:sz w:val="24"/>
          <w:lang w:val="zh-CN"/>
        </w:rPr>
        <w:t>30</w:t>
      </w:r>
      <w:r>
        <w:rPr>
          <w:rFonts w:ascii="宋体" w:hAnsi="宋体" w:hint="eastAsia"/>
          <w:bCs/>
          <w:sz w:val="24"/>
          <w:lang w:val="en-US" w:eastAsia="zh-CN"/>
        </w:rPr>
        <w:t>′</w:t>
      </w:r>
      <w:r>
        <w:rPr>
          <w:rFonts w:ascii="宋体" w:hAnsi="宋体" w:hint="eastAsia"/>
          <w:bCs/>
          <w:sz w:val="24"/>
          <w:lang w:val="zh-CN"/>
        </w:rPr>
        <w:t>35</w:t>
      </w:r>
      <w:r>
        <w:rPr>
          <w:rFonts w:ascii="宋体" w:hAnsi="宋体" w:hint="eastAsia"/>
          <w:bCs/>
          <w:sz w:val="24"/>
          <w:lang w:val="en-US" w:eastAsia="zh-CN"/>
        </w:rPr>
        <w:t>″</w:t>
      </w:r>
      <w:r>
        <w:rPr>
          <w:rFonts w:ascii="宋体" w:hAnsi="宋体" w:hint="eastAsia"/>
          <w:bCs/>
          <w:sz w:val="24"/>
          <w:lang w:val="zh-CN"/>
        </w:rPr>
        <w:t>，纬度：33</w:t>
      </w:r>
      <w:r>
        <w:rPr>
          <w:rFonts w:ascii="宋体" w:hAnsi="宋体" w:hint="eastAsia"/>
          <w:bCs/>
          <w:sz w:val="24"/>
          <w:lang w:val="zh-CN"/>
        </w:rPr>
        <w:t>°</w:t>
      </w:r>
      <w:r>
        <w:rPr>
          <w:rFonts w:ascii="宋体" w:hAnsi="宋体" w:hint="eastAsia"/>
          <w:bCs/>
          <w:sz w:val="24"/>
          <w:lang w:val="zh-CN"/>
        </w:rPr>
        <w:t>16</w:t>
      </w:r>
      <w:r>
        <w:rPr>
          <w:rFonts w:ascii="宋体" w:hAnsi="宋体" w:hint="eastAsia"/>
          <w:bCs/>
          <w:sz w:val="24"/>
          <w:lang w:val="en-US" w:eastAsia="zh-CN"/>
        </w:rPr>
        <w:t>′</w:t>
      </w:r>
      <w:r>
        <w:rPr>
          <w:rFonts w:ascii="宋体" w:hAnsi="宋体" w:hint="eastAsia"/>
          <w:bCs/>
          <w:sz w:val="24"/>
          <w:lang w:val="zh-CN"/>
        </w:rPr>
        <w:t>16</w:t>
      </w:r>
      <w:r>
        <w:rPr>
          <w:rFonts w:ascii="宋体" w:hAnsi="宋体" w:hint="eastAsia"/>
          <w:bCs/>
          <w:sz w:val="24"/>
          <w:lang w:val="en-US" w:eastAsia="zh-CN"/>
        </w:rPr>
        <w:t>″</w:t>
      </w:r>
      <w:r>
        <w:rPr>
          <w:rFonts w:ascii="宋体" w:hAnsi="宋体" w:hint="eastAsia"/>
          <w:bCs/>
          <w:sz w:val="24"/>
          <w:lang w:val="zh-CN"/>
        </w:rPr>
        <w:t>）建成一部S波段双偏振多普勒天气雷达。</w:t>
      </w:r>
    </w:p>
    <w:p>
      <w:pPr>
        <w:spacing w:line="500" w:lineRule="exact"/>
        <w:ind w:firstLine="482"/>
        <w:rPr>
          <w:rFonts w:ascii="宋体" w:hAnsi="宋体" w:hint="eastAsia"/>
          <w:bCs/>
          <w:lang w:val="zh-CN"/>
        </w:rPr>
      </w:pPr>
      <w:r>
        <w:rPr>
          <w:rFonts w:ascii="宋体" w:hAnsi="宋体" w:hint="eastAsia"/>
          <w:bCs/>
          <w:sz w:val="24"/>
          <w:lang w:val="zh-CN"/>
        </w:rPr>
        <w:t>目前该雷达及其附属设备已使用三峡大丰海上风电H9平台场地，后续雷达</w:t>
      </w:r>
      <w:r>
        <w:rPr>
          <w:rFonts w:ascii="宋体" w:hAnsi="宋体"/>
          <w:bCs/>
          <w:sz w:val="24"/>
          <w:lang w:val="zh-CN"/>
        </w:rPr>
        <w:t>每年</w:t>
      </w:r>
      <w:r>
        <w:rPr>
          <w:rFonts w:ascii="宋体" w:hAnsi="宋体" w:hint="eastAsia"/>
          <w:bCs/>
          <w:sz w:val="24"/>
          <w:lang w:val="zh-CN"/>
        </w:rPr>
        <w:t>的</w:t>
      </w:r>
      <w:r>
        <w:rPr>
          <w:rFonts w:ascii="宋体" w:hAnsi="宋体"/>
          <w:bCs/>
          <w:sz w:val="24"/>
          <w:lang w:val="zh-CN"/>
        </w:rPr>
        <w:t>年维护、年巡检、应急抢修、安全生产检查、设备运输、海上应急保障等工作需</w:t>
      </w:r>
      <w:r>
        <w:rPr>
          <w:rFonts w:ascii="宋体" w:hAnsi="宋体" w:hint="eastAsia"/>
          <w:bCs/>
          <w:sz w:val="24"/>
          <w:lang w:val="zh-CN"/>
        </w:rPr>
        <w:t>使用海上交通船舶及相关人员服务。</w:t>
      </w:r>
    </w:p>
    <w:p>
      <w:pPr>
        <w:spacing w:line="500" w:lineRule="exact"/>
        <w:rPr>
          <w:rFonts w:ascii="宋体" w:hAnsi="宋体"/>
          <w:b/>
          <w:bCs/>
          <w:highlight w:val="none"/>
          <w:lang w:val="zh-CN"/>
        </w:rPr>
      </w:pPr>
      <w:r>
        <w:rPr>
          <w:rFonts w:ascii="宋体" w:hAnsi="宋体" w:hint="eastAsia"/>
          <w:b/>
          <w:bCs/>
          <w:sz w:val="24"/>
          <w:highlight w:val="none"/>
          <w:lang w:val="zh-CN"/>
        </w:rPr>
        <w:t>二、服务时间</w:t>
      </w:r>
    </w:p>
    <w:p>
      <w:pPr>
        <w:spacing w:line="500" w:lineRule="exact"/>
        <w:ind w:firstLine="480"/>
        <w:rPr>
          <w:rFonts w:ascii="宋体" w:hAnsi="宋体" w:hint="eastAsia"/>
          <w:bCs/>
          <w:highlight w:val="none"/>
          <w:lang w:val="zh-CN"/>
        </w:rPr>
      </w:pPr>
      <w:r>
        <w:rPr>
          <w:rFonts w:ascii="宋体" w:hAnsi="宋体" w:hint="eastAsia"/>
          <w:bCs/>
          <w:sz w:val="24"/>
          <w:highlight w:val="none"/>
          <w:lang w:val="zh-CN"/>
        </w:rPr>
        <w:t>（一）航次计划：实施时间为合同签订之日起8年，每年完成码头至三峡大丰海上风电H9平台</w:t>
      </w:r>
      <w:r>
        <w:rPr>
          <w:rFonts w:ascii="宋体" w:hAnsi="宋体" w:hint="eastAsia"/>
          <w:bCs/>
          <w:sz w:val="24"/>
          <w:highlight w:val="none"/>
          <w:lang w:val="en-US" w:eastAsia="zh-CN"/>
        </w:rPr>
        <w:t>不少于10</w:t>
      </w:r>
      <w:r>
        <w:rPr>
          <w:rFonts w:ascii="宋体" w:hAnsi="宋体" w:hint="eastAsia"/>
          <w:bCs/>
          <w:sz w:val="24"/>
          <w:highlight w:val="none"/>
          <w:lang w:val="zh-CN"/>
        </w:rPr>
        <w:t>次人员及设备运输</w:t>
      </w:r>
      <w:r>
        <w:rPr>
          <w:rFonts w:ascii="宋体" w:hAnsi="宋体"/>
          <w:bCs/>
          <w:sz w:val="24"/>
          <w:highlight w:val="none"/>
          <w:lang w:val="zh-CN"/>
        </w:rPr>
        <w:t>。具体时间</w:t>
      </w:r>
      <w:r>
        <w:rPr>
          <w:rFonts w:ascii="宋体" w:hAnsi="宋体" w:hint="eastAsia"/>
          <w:bCs/>
          <w:sz w:val="24"/>
          <w:highlight w:val="none"/>
          <w:lang w:val="zh-CN"/>
        </w:rPr>
        <w:t>如下表：</w:t>
      </w:r>
    </w:p>
    <w:tbl>
      <w:tblPr>
        <w:tblStyle w:val="TableGrid"/>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3823"/>
        <w:gridCol w:w="1707"/>
        <w:gridCol w:w="276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jc w:val="center"/>
        </w:trPr>
        <w:tc>
          <w:tcPr>
            <w:tcW w:w="3823" w:type="dxa"/>
          </w:tcPr>
          <w:p>
            <w:pPr>
              <w:spacing w:line="500" w:lineRule="exact"/>
              <w:rPr>
                <w:rFonts w:ascii="宋体" w:hAnsi="宋体" w:hint="eastAsia"/>
                <w:bCs/>
                <w:highlight w:val="none"/>
                <w:lang w:val="zh-CN"/>
              </w:rPr>
            </w:pPr>
            <w:r>
              <w:rPr>
                <w:rFonts w:ascii="宋体" w:hAnsi="宋体" w:hint="eastAsia"/>
                <w:bCs/>
                <w:sz w:val="24"/>
                <w:highlight w:val="none"/>
                <w:lang w:val="zh-CN"/>
              </w:rPr>
              <w:t>内容</w:t>
            </w:r>
          </w:p>
        </w:tc>
        <w:tc>
          <w:tcPr>
            <w:tcW w:w="1707" w:type="dxa"/>
          </w:tcPr>
          <w:p>
            <w:pPr>
              <w:spacing w:line="500" w:lineRule="exact"/>
              <w:rPr>
                <w:rFonts w:ascii="宋体" w:hAnsi="宋体" w:hint="default"/>
                <w:bCs/>
                <w:highlight w:val="none"/>
              </w:rPr>
            </w:pPr>
            <w:r>
              <w:rPr>
                <w:rFonts w:ascii="宋体" w:hAnsi="宋体" w:hint="eastAsia"/>
                <w:bCs/>
                <w:sz w:val="24"/>
                <w:highlight w:val="none"/>
                <w:lang w:val="en-US" w:eastAsia="zh-CN"/>
              </w:rPr>
              <w:t>次</w:t>
            </w:r>
            <w:r>
              <w:rPr>
                <w:rFonts w:ascii="宋体" w:hAnsi="宋体" w:hint="eastAsia"/>
                <w:bCs/>
                <w:sz w:val="24"/>
                <w:highlight w:val="none"/>
                <w:lang w:val="zh-CN"/>
              </w:rPr>
              <w:t>数</w:t>
            </w:r>
            <w:r>
              <w:rPr>
                <w:rFonts w:ascii="宋体" w:hAnsi="宋体" w:hint="eastAsia"/>
                <w:bCs/>
                <w:sz w:val="24"/>
                <w:highlight w:val="none"/>
                <w:lang w:val="en-US" w:eastAsia="zh-CN"/>
              </w:rPr>
              <w:t>/年</w:t>
            </w:r>
          </w:p>
        </w:tc>
        <w:tc>
          <w:tcPr>
            <w:tcW w:w="2766" w:type="dxa"/>
          </w:tcPr>
          <w:p>
            <w:pPr>
              <w:spacing w:line="500" w:lineRule="exact"/>
              <w:rPr>
                <w:rFonts w:ascii="宋体" w:hAnsi="宋体" w:hint="eastAsia"/>
                <w:bCs/>
                <w:highlight w:val="none"/>
                <w:lang w:val="zh-CN"/>
              </w:rPr>
            </w:pPr>
            <w:r>
              <w:rPr>
                <w:rFonts w:ascii="宋体" w:hAnsi="宋体" w:hint="eastAsia"/>
                <w:bCs/>
                <w:sz w:val="24"/>
                <w:highlight w:val="none"/>
                <w:lang w:val="zh-CN"/>
              </w:rPr>
              <w:t>备注（</w:t>
            </w:r>
            <w:r>
              <w:rPr>
                <w:rFonts w:ascii="宋体" w:hAnsi="宋体" w:hint="eastAsia"/>
                <w:bCs/>
                <w:sz w:val="24"/>
                <w:highlight w:val="none"/>
                <w:lang w:val="en-US" w:eastAsia="zh-CN"/>
              </w:rPr>
              <w:t>单次预计时长</w:t>
            </w:r>
            <w:r>
              <w:rPr>
                <w:rFonts w:ascii="宋体" w:hAnsi="宋体" w:hint="eastAsia"/>
                <w:bCs/>
                <w:sz w:val="24"/>
                <w:highlight w:val="none"/>
                <w:lang w:val="zh-CN"/>
              </w:rPr>
              <w:t>）</w:t>
            </w:r>
          </w:p>
        </w:tc>
      </w:tr>
      <w:tr>
        <w:tblPrEx>
          <w:tblW w:w="0" w:type="auto"/>
          <w:jc w:val="center"/>
          <w:tblCellMar>
            <w:top w:w="0" w:type="dxa"/>
            <w:left w:w="108" w:type="dxa"/>
            <w:bottom w:w="0" w:type="dxa"/>
            <w:right w:w="108" w:type="dxa"/>
          </w:tblCellMar>
          <w:tblLook w:val="0000"/>
        </w:tblPrEx>
        <w:trPr>
          <w:jc w:val="center"/>
        </w:trPr>
        <w:tc>
          <w:tcPr>
            <w:tcW w:w="3823" w:type="dxa"/>
          </w:tcPr>
          <w:p>
            <w:pPr>
              <w:spacing w:line="500" w:lineRule="exact"/>
              <w:rPr>
                <w:rFonts w:ascii="宋体" w:hAnsi="宋体" w:hint="eastAsia"/>
                <w:bCs/>
                <w:highlight w:val="none"/>
                <w:lang w:val="zh-CN"/>
              </w:rPr>
            </w:pPr>
            <w:r>
              <w:rPr>
                <w:rFonts w:ascii="宋体" w:hAnsi="宋体" w:hint="eastAsia"/>
                <w:bCs/>
                <w:sz w:val="24"/>
                <w:highlight w:val="none"/>
                <w:lang w:val="zh-CN"/>
              </w:rPr>
              <w:t>每两月现场一次相关维护与检查</w:t>
            </w:r>
          </w:p>
        </w:tc>
        <w:tc>
          <w:tcPr>
            <w:tcW w:w="1707" w:type="dxa"/>
          </w:tcPr>
          <w:p>
            <w:pPr>
              <w:spacing w:line="500" w:lineRule="exact"/>
              <w:rPr>
                <w:rFonts w:ascii="宋体" w:hAnsi="宋体" w:hint="default"/>
                <w:bCs/>
                <w:highlight w:val="none"/>
              </w:rPr>
            </w:pPr>
            <w:r>
              <w:rPr>
                <w:rFonts w:ascii="宋体" w:hAnsi="宋体" w:hint="eastAsia"/>
                <w:bCs/>
                <w:sz w:val="24"/>
                <w:highlight w:val="none"/>
                <w:lang w:val="en-US" w:eastAsia="zh-CN"/>
              </w:rPr>
              <w:t>6次</w:t>
            </w:r>
          </w:p>
        </w:tc>
        <w:tc>
          <w:tcPr>
            <w:tcW w:w="2766" w:type="dxa"/>
          </w:tcPr>
          <w:p>
            <w:pPr>
              <w:spacing w:line="500" w:lineRule="exact"/>
              <w:rPr>
                <w:rFonts w:ascii="宋体" w:hAnsi="宋体" w:hint="eastAsia"/>
                <w:bCs/>
                <w:highlight w:val="none"/>
                <w:lang w:val="zh-CN"/>
              </w:rPr>
            </w:pPr>
            <w:r>
              <w:rPr>
                <w:rFonts w:ascii="宋体" w:hAnsi="宋体" w:hint="eastAsia"/>
                <w:bCs/>
                <w:sz w:val="24"/>
                <w:highlight w:val="none"/>
                <w:lang w:val="zh-CN"/>
              </w:rPr>
              <w:t>2</w:t>
            </w:r>
            <w:r>
              <w:rPr>
                <w:rFonts w:ascii="宋体" w:hAnsi="宋体"/>
                <w:bCs/>
                <w:sz w:val="24"/>
                <w:highlight w:val="none"/>
                <w:lang w:val="zh-CN"/>
              </w:rPr>
              <w:t>-</w:t>
            </w:r>
            <w:r>
              <w:rPr>
                <w:rFonts w:ascii="宋体" w:hAnsi="宋体" w:hint="eastAsia"/>
                <w:bCs/>
                <w:sz w:val="24"/>
                <w:highlight w:val="none"/>
                <w:lang w:val="zh-CN"/>
              </w:rPr>
              <w:t>3天</w:t>
            </w:r>
          </w:p>
        </w:tc>
      </w:tr>
      <w:tr>
        <w:tblPrEx>
          <w:tblW w:w="0" w:type="auto"/>
          <w:jc w:val="center"/>
          <w:tblCellMar>
            <w:top w:w="0" w:type="dxa"/>
            <w:left w:w="108" w:type="dxa"/>
            <w:bottom w:w="0" w:type="dxa"/>
            <w:right w:w="108" w:type="dxa"/>
          </w:tblCellMar>
          <w:tblLook w:val="0000"/>
        </w:tblPrEx>
        <w:trPr>
          <w:jc w:val="center"/>
        </w:trPr>
        <w:tc>
          <w:tcPr>
            <w:tcW w:w="3823" w:type="dxa"/>
          </w:tcPr>
          <w:p>
            <w:pPr>
              <w:spacing w:line="500" w:lineRule="exact"/>
              <w:rPr>
                <w:rFonts w:ascii="宋体" w:hAnsi="宋体" w:hint="eastAsia"/>
                <w:bCs/>
                <w:highlight w:val="none"/>
                <w:lang w:val="zh-CN"/>
              </w:rPr>
            </w:pPr>
            <w:r>
              <w:rPr>
                <w:rFonts w:ascii="宋体" w:hAnsi="宋体" w:hint="eastAsia"/>
                <w:bCs/>
                <w:sz w:val="24"/>
                <w:highlight w:val="none"/>
                <w:lang w:val="zh-CN"/>
              </w:rPr>
              <w:t>年巡检</w:t>
            </w:r>
          </w:p>
        </w:tc>
        <w:tc>
          <w:tcPr>
            <w:tcW w:w="1707" w:type="dxa"/>
          </w:tcPr>
          <w:p>
            <w:pPr>
              <w:spacing w:line="500" w:lineRule="exact"/>
              <w:rPr>
                <w:rFonts w:ascii="宋体" w:hAnsi="宋体" w:hint="eastAsia"/>
                <w:bCs/>
                <w:highlight w:val="none"/>
                <w:lang w:val="zh-CN"/>
              </w:rPr>
            </w:pPr>
            <w:r>
              <w:rPr>
                <w:rFonts w:ascii="宋体" w:hAnsi="宋体" w:hint="eastAsia"/>
                <w:bCs/>
                <w:sz w:val="24"/>
                <w:highlight w:val="none"/>
                <w:lang w:val="en-US" w:eastAsia="zh-CN"/>
              </w:rPr>
              <w:t>1次</w:t>
            </w:r>
          </w:p>
        </w:tc>
        <w:tc>
          <w:tcPr>
            <w:tcW w:w="2766" w:type="dxa"/>
          </w:tcPr>
          <w:p>
            <w:pPr>
              <w:spacing w:line="500" w:lineRule="exact"/>
              <w:rPr>
                <w:rFonts w:ascii="宋体" w:hAnsi="宋体" w:hint="eastAsia"/>
                <w:bCs/>
                <w:highlight w:val="none"/>
                <w:lang w:val="zh-CN"/>
              </w:rPr>
            </w:pPr>
            <w:r>
              <w:rPr>
                <w:rFonts w:ascii="宋体" w:hAnsi="宋体" w:hint="eastAsia"/>
                <w:bCs/>
                <w:sz w:val="24"/>
                <w:highlight w:val="none"/>
                <w:lang w:val="zh-CN"/>
              </w:rPr>
              <w:t>4</w:t>
            </w:r>
            <w:r>
              <w:rPr>
                <w:rFonts w:ascii="宋体" w:hAnsi="宋体"/>
                <w:bCs/>
                <w:sz w:val="24"/>
                <w:highlight w:val="none"/>
                <w:lang w:val="zh-CN"/>
              </w:rPr>
              <w:t>-5</w:t>
            </w:r>
            <w:r>
              <w:rPr>
                <w:rFonts w:ascii="宋体" w:hAnsi="宋体" w:hint="eastAsia"/>
                <w:bCs/>
                <w:sz w:val="24"/>
                <w:highlight w:val="none"/>
                <w:lang w:val="zh-CN"/>
              </w:rPr>
              <w:t>天</w:t>
            </w:r>
          </w:p>
        </w:tc>
      </w:tr>
      <w:tr>
        <w:tblPrEx>
          <w:tblW w:w="0" w:type="auto"/>
          <w:jc w:val="center"/>
          <w:tblCellMar>
            <w:top w:w="0" w:type="dxa"/>
            <w:left w:w="108" w:type="dxa"/>
            <w:bottom w:w="0" w:type="dxa"/>
            <w:right w:w="108" w:type="dxa"/>
          </w:tblCellMar>
          <w:tblLook w:val="0000"/>
        </w:tblPrEx>
        <w:trPr>
          <w:jc w:val="center"/>
        </w:trPr>
        <w:tc>
          <w:tcPr>
            <w:tcW w:w="3823" w:type="dxa"/>
          </w:tcPr>
          <w:p>
            <w:pPr>
              <w:spacing w:line="500" w:lineRule="exact"/>
              <w:rPr>
                <w:rFonts w:ascii="宋体" w:hAnsi="宋体" w:hint="eastAsia"/>
                <w:bCs/>
                <w:highlight w:val="none"/>
                <w:lang w:val="zh-CN"/>
              </w:rPr>
            </w:pPr>
            <w:r>
              <w:rPr>
                <w:rFonts w:ascii="宋体" w:hAnsi="宋体" w:hint="eastAsia"/>
                <w:bCs/>
                <w:sz w:val="24"/>
                <w:highlight w:val="none"/>
                <w:lang w:val="zh-CN"/>
              </w:rPr>
              <w:t>年维护</w:t>
            </w:r>
          </w:p>
        </w:tc>
        <w:tc>
          <w:tcPr>
            <w:tcW w:w="1707" w:type="dxa"/>
          </w:tcPr>
          <w:p>
            <w:pPr>
              <w:spacing w:line="500" w:lineRule="exact"/>
              <w:rPr>
                <w:rFonts w:ascii="宋体" w:hAnsi="宋体" w:hint="eastAsia"/>
                <w:bCs/>
                <w:highlight w:val="none"/>
                <w:lang w:val="zh-CN"/>
              </w:rPr>
            </w:pPr>
            <w:r>
              <w:rPr>
                <w:rFonts w:ascii="宋体" w:hAnsi="宋体" w:hint="eastAsia"/>
                <w:bCs/>
                <w:sz w:val="24"/>
                <w:highlight w:val="none"/>
                <w:lang w:val="en-US" w:eastAsia="zh-CN"/>
              </w:rPr>
              <w:t>1次</w:t>
            </w:r>
          </w:p>
        </w:tc>
        <w:tc>
          <w:tcPr>
            <w:tcW w:w="2766" w:type="dxa"/>
          </w:tcPr>
          <w:p>
            <w:pPr>
              <w:spacing w:line="500" w:lineRule="exact"/>
              <w:rPr>
                <w:rFonts w:ascii="宋体" w:hAnsi="宋体" w:hint="eastAsia"/>
                <w:bCs/>
                <w:highlight w:val="none"/>
                <w:lang w:val="zh-CN"/>
              </w:rPr>
            </w:pPr>
            <w:r>
              <w:rPr>
                <w:rFonts w:ascii="宋体" w:hAnsi="宋体" w:hint="eastAsia"/>
                <w:bCs/>
                <w:sz w:val="24"/>
                <w:highlight w:val="none"/>
                <w:lang w:val="zh-CN"/>
              </w:rPr>
              <w:t>4</w:t>
            </w:r>
            <w:r>
              <w:rPr>
                <w:rFonts w:ascii="宋体" w:hAnsi="宋体"/>
                <w:bCs/>
                <w:sz w:val="24"/>
                <w:highlight w:val="none"/>
                <w:lang w:val="zh-CN"/>
              </w:rPr>
              <w:t>-5</w:t>
            </w:r>
            <w:r>
              <w:rPr>
                <w:rFonts w:ascii="宋体" w:hAnsi="宋体" w:hint="eastAsia"/>
                <w:bCs/>
                <w:sz w:val="24"/>
                <w:highlight w:val="none"/>
                <w:lang w:val="zh-CN"/>
              </w:rPr>
              <w:t>天</w:t>
            </w:r>
          </w:p>
        </w:tc>
      </w:tr>
      <w:tr>
        <w:tblPrEx>
          <w:tblW w:w="0" w:type="auto"/>
          <w:jc w:val="center"/>
          <w:tblCellMar>
            <w:top w:w="0" w:type="dxa"/>
            <w:left w:w="108" w:type="dxa"/>
            <w:bottom w:w="0" w:type="dxa"/>
            <w:right w:w="108" w:type="dxa"/>
          </w:tblCellMar>
          <w:tblLook w:val="0000"/>
        </w:tblPrEx>
        <w:trPr>
          <w:jc w:val="center"/>
        </w:trPr>
        <w:tc>
          <w:tcPr>
            <w:tcW w:w="3823" w:type="dxa"/>
          </w:tcPr>
          <w:p>
            <w:pPr>
              <w:spacing w:line="500" w:lineRule="exact"/>
              <w:rPr>
                <w:rFonts w:ascii="宋体" w:hAnsi="宋体" w:hint="default"/>
                <w:bCs/>
                <w:highlight w:val="none"/>
              </w:rPr>
            </w:pPr>
            <w:r>
              <w:rPr>
                <w:rFonts w:ascii="宋体" w:hAnsi="宋体" w:hint="eastAsia"/>
                <w:bCs/>
                <w:sz w:val="24"/>
                <w:highlight w:val="none"/>
                <w:lang w:val="en-US" w:eastAsia="zh-CN"/>
              </w:rPr>
              <w:t>其他不可预计情况</w:t>
            </w:r>
          </w:p>
        </w:tc>
        <w:tc>
          <w:tcPr>
            <w:tcW w:w="1707" w:type="dxa"/>
          </w:tcPr>
          <w:p>
            <w:pPr>
              <w:spacing w:line="500" w:lineRule="exact"/>
              <w:rPr>
                <w:rFonts w:ascii="宋体" w:hAnsi="宋体" w:hint="default"/>
                <w:bCs/>
                <w:highlight w:val="none"/>
              </w:rPr>
            </w:pPr>
            <w:r>
              <w:rPr>
                <w:rFonts w:ascii="宋体" w:hAnsi="宋体" w:hint="eastAsia"/>
                <w:bCs/>
                <w:sz w:val="24"/>
                <w:highlight w:val="none"/>
                <w:lang w:val="en-US" w:eastAsia="zh-CN"/>
              </w:rPr>
              <w:t>2次以上</w:t>
            </w:r>
          </w:p>
        </w:tc>
        <w:tc>
          <w:tcPr>
            <w:tcW w:w="2766" w:type="dxa"/>
          </w:tcPr>
          <w:p>
            <w:pPr>
              <w:spacing w:line="500" w:lineRule="exact"/>
              <w:rPr>
                <w:rFonts w:ascii="宋体" w:hAnsi="宋体" w:hint="eastAsia"/>
                <w:bCs/>
                <w:highlight w:val="none"/>
                <w:lang w:val="zh-CN"/>
              </w:rPr>
            </w:pPr>
            <w:r>
              <w:rPr>
                <w:rFonts w:ascii="宋体" w:hAnsi="宋体" w:hint="eastAsia"/>
                <w:bCs/>
                <w:sz w:val="24"/>
                <w:highlight w:val="none"/>
                <w:lang w:val="en-US" w:eastAsia="zh-CN"/>
              </w:rPr>
              <w:t>2-3天</w:t>
            </w:r>
          </w:p>
        </w:tc>
      </w:tr>
    </w:tbl>
    <w:p>
      <w:pPr>
        <w:numPr>
          <w:ilvl w:val="0"/>
          <w:numId w:val="4"/>
        </w:numPr>
        <w:spacing w:line="500" w:lineRule="exact"/>
        <w:ind w:firstLine="480" w:firstLineChars="200"/>
        <w:rPr>
          <w:rFonts w:ascii="宋体" w:hAnsi="宋体" w:hint="eastAsia"/>
          <w:bCs/>
          <w:highlight w:val="none"/>
          <w:lang w:val="zh-CN"/>
        </w:rPr>
      </w:pPr>
      <w:r>
        <w:rPr>
          <w:rFonts w:ascii="宋体" w:hAnsi="宋体" w:hint="eastAsia"/>
          <w:bCs/>
          <w:sz w:val="24"/>
          <w:highlight w:val="none"/>
          <w:lang w:val="zh-CN"/>
        </w:rPr>
        <w:t>服务时间包干。如果航次期间受到如船舶和仪器故障、恶劣天气、海况等不可抗拒因素影响，造成的相关费用由供应商承担。</w:t>
      </w:r>
    </w:p>
    <w:p>
      <w:pPr>
        <w:numPr>
          <w:ilvl w:val="0"/>
          <w:numId w:val="4"/>
        </w:numPr>
        <w:spacing w:line="500" w:lineRule="exact"/>
        <w:ind w:firstLine="480" w:firstLineChars="200"/>
        <w:rPr>
          <w:rFonts w:ascii="宋体" w:hAnsi="宋体" w:hint="eastAsia"/>
          <w:bCs/>
          <w:highlight w:val="none"/>
          <w:lang w:val="zh-CN"/>
        </w:rPr>
      </w:pPr>
      <w:r>
        <w:rPr>
          <w:rFonts w:ascii="宋体" w:hAnsi="宋体" w:hint="eastAsia"/>
          <w:bCs/>
          <w:sz w:val="24"/>
          <w:highlight w:val="none"/>
          <w:lang w:val="en-US" w:eastAsia="zh-CN"/>
        </w:rPr>
        <w:t>服务响应时间</w:t>
      </w:r>
      <w:r>
        <w:rPr>
          <w:rFonts w:ascii="宋体" w:hAnsi="宋体" w:hint="eastAsia"/>
          <w:bCs/>
          <w:sz w:val="24"/>
          <w:highlight w:val="none"/>
          <w:lang w:val="en-US" w:eastAsia="zh-CN"/>
        </w:rPr>
        <w:t>≤</w:t>
      </w:r>
      <w:r>
        <w:rPr>
          <w:rFonts w:ascii="宋体" w:hAnsi="宋体" w:hint="eastAsia"/>
          <w:bCs/>
          <w:sz w:val="24"/>
          <w:highlight w:val="none"/>
          <w:lang w:val="en-US" w:eastAsia="zh-CN"/>
        </w:rPr>
        <w:t>24小时</w:t>
      </w:r>
    </w:p>
    <w:p>
      <w:pPr>
        <w:spacing w:line="500" w:lineRule="exact"/>
        <w:rPr>
          <w:rFonts w:ascii="宋体" w:hAnsi="宋体"/>
          <w:b/>
          <w:bCs/>
          <w:highlight w:val="none"/>
          <w:lang w:val="zh-CN"/>
        </w:rPr>
      </w:pPr>
      <w:r>
        <w:rPr>
          <w:rFonts w:ascii="宋体" w:hAnsi="宋体" w:hint="eastAsia"/>
          <w:b/>
          <w:bCs/>
          <w:sz w:val="24"/>
          <w:highlight w:val="none"/>
          <w:lang w:val="zh-CN"/>
        </w:rPr>
        <w:t>三、服务报价</w:t>
      </w:r>
    </w:p>
    <w:p>
      <w:pPr>
        <w:spacing w:line="500" w:lineRule="exact"/>
        <w:ind w:firstLine="480"/>
        <w:rPr>
          <w:rFonts w:ascii="宋体" w:hAnsi="宋体"/>
          <w:bCs/>
          <w:highlight w:val="none"/>
          <w:lang w:val="zh-CN"/>
        </w:rPr>
      </w:pPr>
      <w:r>
        <w:rPr>
          <w:rFonts w:ascii="宋体" w:hAnsi="宋体" w:hint="eastAsia"/>
          <w:bCs/>
          <w:sz w:val="24"/>
          <w:highlight w:val="none"/>
          <w:lang w:val="zh-CN"/>
        </w:rPr>
        <w:t>（一）服务费。</w:t>
      </w:r>
      <w:r>
        <w:rPr>
          <w:rFonts w:ascii="宋体" w:hAnsi="宋体"/>
          <w:bCs/>
          <w:sz w:val="24"/>
          <w:highlight w:val="none"/>
          <w:lang w:val="zh-CN"/>
        </w:rPr>
        <w:t>船舶运行费和</w:t>
      </w:r>
      <w:r>
        <w:rPr>
          <w:rFonts w:ascii="宋体" w:hAnsi="宋体" w:hint="eastAsia"/>
          <w:bCs/>
          <w:sz w:val="24"/>
          <w:highlight w:val="none"/>
          <w:lang w:val="zh-CN"/>
        </w:rPr>
        <w:t>相关人员服务</w:t>
      </w:r>
      <w:r>
        <w:rPr>
          <w:rFonts w:ascii="宋体" w:hAnsi="宋体"/>
          <w:bCs/>
          <w:sz w:val="24"/>
          <w:highlight w:val="none"/>
          <w:lang w:val="zh-CN"/>
        </w:rPr>
        <w:t>费等。</w:t>
      </w:r>
    </w:p>
    <w:p>
      <w:pPr>
        <w:spacing w:line="500" w:lineRule="exact"/>
        <w:ind w:firstLine="480"/>
        <w:rPr>
          <w:rFonts w:ascii="宋体" w:hAnsi="宋体"/>
          <w:bCs/>
          <w:highlight w:val="none"/>
          <w:lang w:val="zh-CN"/>
        </w:rPr>
      </w:pPr>
      <w:r>
        <w:rPr>
          <w:rFonts w:ascii="宋体" w:hAnsi="宋体" w:hint="eastAsia"/>
          <w:bCs/>
          <w:sz w:val="24"/>
          <w:highlight w:val="none"/>
          <w:lang w:val="zh-CN"/>
        </w:rPr>
        <w:t>（二）服务费内容。包括但不限于：</w:t>
      </w:r>
      <w:r>
        <w:rPr>
          <w:rFonts w:ascii="宋体" w:hAnsi="宋体"/>
          <w:bCs/>
          <w:sz w:val="24"/>
          <w:highlight w:val="none"/>
          <w:lang w:val="zh-CN"/>
        </w:rPr>
        <w:t>1.船舶油料费；2.人员费用（船员、</w:t>
      </w:r>
      <w:r>
        <w:rPr>
          <w:rFonts w:ascii="宋体" w:hAnsi="宋体" w:hint="eastAsia"/>
          <w:bCs/>
          <w:sz w:val="24"/>
          <w:highlight w:val="none"/>
          <w:lang w:val="zh-CN"/>
        </w:rPr>
        <w:t>平台运维人员</w:t>
      </w:r>
      <w:r>
        <w:rPr>
          <w:rFonts w:ascii="宋体" w:hAnsi="宋体"/>
          <w:bCs/>
          <w:sz w:val="24"/>
          <w:highlight w:val="none"/>
          <w:lang w:val="zh-CN"/>
        </w:rPr>
        <w:t>）；3.保险费（船</w:t>
      </w:r>
      <w:r>
        <w:rPr>
          <w:rFonts w:ascii="宋体" w:hAnsi="宋体" w:hint="eastAsia"/>
          <w:bCs/>
          <w:sz w:val="24"/>
          <w:highlight w:val="none"/>
          <w:lang w:val="zh-CN"/>
        </w:rPr>
        <w:t>舶、设备、船员、平台运维人员）；</w:t>
      </w:r>
      <w:r>
        <w:rPr>
          <w:rFonts w:ascii="宋体" w:hAnsi="宋体"/>
          <w:bCs/>
          <w:sz w:val="24"/>
          <w:highlight w:val="none"/>
          <w:lang w:val="zh-CN"/>
        </w:rPr>
        <w:t>4.管理费；5.税费；</w:t>
      </w:r>
      <w:r>
        <w:rPr>
          <w:rFonts w:ascii="宋体" w:hAnsi="宋体" w:hint="eastAsia"/>
          <w:bCs/>
          <w:sz w:val="24"/>
          <w:highlight w:val="none"/>
          <w:lang w:val="zh-CN"/>
        </w:rPr>
        <w:t>6</w:t>
      </w:r>
      <w:r>
        <w:rPr>
          <w:rFonts w:ascii="宋体" w:hAnsi="宋体"/>
          <w:bCs/>
          <w:sz w:val="24"/>
          <w:highlight w:val="none"/>
          <w:lang w:val="zh-CN"/>
        </w:rPr>
        <w:t>.</w:t>
      </w:r>
      <w:r>
        <w:rPr>
          <w:rFonts w:ascii="宋体" w:hAnsi="宋体" w:hint="eastAsia"/>
          <w:bCs/>
          <w:sz w:val="24"/>
          <w:highlight w:val="none"/>
          <w:lang w:val="zh-CN"/>
        </w:rPr>
        <w:t>相关人员食宿费；</w:t>
      </w:r>
      <w:r>
        <w:rPr>
          <w:rFonts w:ascii="宋体" w:hAnsi="宋体"/>
          <w:bCs/>
          <w:sz w:val="24"/>
          <w:highlight w:val="none"/>
          <w:lang w:val="zh-CN"/>
        </w:rPr>
        <w:t>7.其他费用（运输、吊装、仓储、船舶物料费、药品</w:t>
      </w:r>
      <w:r>
        <w:rPr>
          <w:rFonts w:ascii="宋体" w:hAnsi="宋体" w:hint="eastAsia"/>
          <w:bCs/>
          <w:sz w:val="24"/>
          <w:highlight w:val="none"/>
          <w:lang w:val="zh-CN"/>
        </w:rPr>
        <w:t>采购、劳防用品、船舶代理等）；等。</w:t>
      </w:r>
    </w:p>
    <w:p>
      <w:pPr>
        <w:spacing w:line="500" w:lineRule="exact"/>
        <w:ind w:firstLine="480"/>
        <w:rPr>
          <w:rFonts w:ascii="宋体" w:hAnsi="宋体"/>
          <w:bCs/>
          <w:highlight w:val="none"/>
          <w:lang w:val="zh-CN"/>
        </w:rPr>
      </w:pPr>
      <w:r>
        <w:rPr>
          <w:rFonts w:ascii="宋体" w:hAnsi="宋体" w:hint="eastAsia"/>
          <w:bCs/>
          <w:sz w:val="24"/>
          <w:highlight w:val="none"/>
          <w:lang w:val="zh-CN"/>
        </w:rPr>
        <w:t>（三）报价内容。船舶运行。</w:t>
      </w:r>
    </w:p>
    <w:p>
      <w:pPr>
        <w:spacing w:line="500" w:lineRule="exact"/>
        <w:rPr>
          <w:rFonts w:ascii="宋体" w:hAnsi="宋体"/>
          <w:b/>
          <w:bCs/>
          <w:highlight w:val="none"/>
          <w:lang w:val="zh-CN"/>
        </w:rPr>
      </w:pPr>
      <w:r>
        <w:rPr>
          <w:rFonts w:ascii="宋体" w:hAnsi="宋体" w:hint="eastAsia"/>
          <w:b/>
          <w:bCs/>
          <w:sz w:val="24"/>
          <w:highlight w:val="none"/>
          <w:lang w:val="zh-CN"/>
        </w:rPr>
        <w:t>四、船舶及船载相关要求</w:t>
      </w:r>
    </w:p>
    <w:p>
      <w:pPr>
        <w:spacing w:line="500" w:lineRule="exact"/>
        <w:ind w:firstLine="480"/>
        <w:rPr>
          <w:rFonts w:ascii="宋体" w:hAnsi="宋体"/>
          <w:bCs/>
          <w:highlight w:val="none"/>
          <w:lang w:val="zh-CN"/>
        </w:rPr>
      </w:pPr>
      <w:r>
        <w:rPr>
          <w:rFonts w:ascii="宋体" w:hAnsi="宋体" w:hint="eastAsia"/>
          <w:bCs/>
          <w:sz w:val="24"/>
          <w:highlight w:val="none"/>
          <w:lang w:val="zh-CN"/>
        </w:rPr>
        <w:t>（一）船舶</w:t>
      </w:r>
    </w:p>
    <w:p>
      <w:pPr>
        <w:spacing w:line="500" w:lineRule="exact"/>
        <w:ind w:firstLine="480"/>
        <w:rPr>
          <w:rFonts w:ascii="宋体" w:hAnsi="宋体"/>
          <w:bCs/>
          <w:highlight w:val="none"/>
          <w:lang w:val="zh-CN"/>
        </w:rPr>
      </w:pPr>
      <w:r>
        <w:rPr>
          <w:rFonts w:ascii="宋体" w:hAnsi="宋体" w:hint="eastAsia"/>
          <w:bCs/>
          <w:sz w:val="24"/>
          <w:highlight w:val="none"/>
          <w:lang w:val="zh-CN"/>
        </w:rPr>
        <w:t>船舶参数。船长</w:t>
      </w:r>
      <w:r>
        <w:rPr>
          <w:rFonts w:ascii="宋体" w:hAnsi="宋体" w:hint="eastAsia"/>
          <w:bCs/>
          <w:sz w:val="24"/>
          <w:highlight w:val="none"/>
          <w:lang w:val="zh-CN"/>
        </w:rPr>
        <w:t>≥</w:t>
      </w:r>
      <w:r>
        <w:rPr>
          <w:rFonts w:ascii="宋体" w:hAnsi="宋体" w:hint="eastAsia"/>
          <w:bCs/>
          <w:sz w:val="24"/>
          <w:highlight w:val="none"/>
          <w:lang w:val="en-US" w:eastAsia="zh-CN"/>
        </w:rPr>
        <w:t>38</w:t>
      </w:r>
      <w:r>
        <w:rPr>
          <w:rFonts w:ascii="宋体" w:hAnsi="宋体"/>
          <w:bCs/>
          <w:sz w:val="24"/>
          <w:highlight w:val="none"/>
          <w:lang w:val="zh-CN"/>
        </w:rPr>
        <w:t>米；</w:t>
      </w:r>
      <w:r>
        <w:rPr>
          <w:rFonts w:ascii="宋体" w:hAnsi="宋体" w:hint="eastAsia"/>
          <w:bCs/>
          <w:sz w:val="24"/>
          <w:highlight w:val="none"/>
          <w:lang w:val="en-US" w:eastAsia="zh-CN"/>
        </w:rPr>
        <w:t>航速</w:t>
      </w:r>
      <w:r>
        <w:rPr>
          <w:rFonts w:ascii="宋体" w:hAnsi="宋体"/>
          <w:bCs/>
          <w:sz w:val="24"/>
          <w:highlight w:val="none"/>
          <w:lang w:val="zh-CN"/>
        </w:rPr>
        <w:t>≥</w:t>
      </w:r>
      <w:r>
        <w:rPr>
          <w:rFonts w:ascii="宋体" w:hAnsi="宋体" w:hint="eastAsia"/>
          <w:bCs/>
          <w:sz w:val="24"/>
          <w:highlight w:val="none"/>
          <w:lang w:val="en-US" w:eastAsia="zh-CN"/>
        </w:rPr>
        <w:t>10节</w:t>
      </w:r>
      <w:r>
        <w:rPr>
          <w:rFonts w:ascii="宋体" w:hAnsi="宋体"/>
          <w:bCs/>
          <w:sz w:val="24"/>
          <w:highlight w:val="none"/>
          <w:lang w:val="zh-CN"/>
        </w:rPr>
        <w:t>；航区适合。</w:t>
      </w:r>
    </w:p>
    <w:p>
      <w:pPr>
        <w:spacing w:line="500" w:lineRule="exact"/>
        <w:ind w:firstLine="480"/>
        <w:rPr>
          <w:rFonts w:ascii="宋体" w:hAnsi="宋体"/>
          <w:bCs/>
          <w:highlight w:val="none"/>
          <w:lang w:val="zh-CN"/>
        </w:rPr>
      </w:pPr>
      <w:r>
        <w:rPr>
          <w:rFonts w:ascii="宋体" w:hAnsi="宋体" w:hint="eastAsia"/>
          <w:bCs/>
          <w:sz w:val="24"/>
          <w:highlight w:val="none"/>
          <w:lang w:val="zh-CN"/>
        </w:rPr>
        <w:t>船舶证书。具备有效的</w:t>
      </w:r>
      <w:r>
        <w:rPr>
          <w:rFonts w:ascii="宋体" w:hAnsi="宋体" w:hint="eastAsia"/>
          <w:bCs/>
          <w:sz w:val="24"/>
          <w:highlight w:val="none"/>
          <w:lang w:val="en-US" w:eastAsia="zh-CN"/>
        </w:rPr>
        <w:t>海事认可的</w:t>
      </w:r>
      <w:r>
        <w:rPr>
          <w:rFonts w:ascii="宋体" w:hAnsi="宋体"/>
          <w:bCs/>
          <w:sz w:val="24"/>
          <w:highlight w:val="none"/>
          <w:lang w:val="zh-CN"/>
        </w:rPr>
        <w:t>证书，船舶及消防救生设备满足检验要求。</w:t>
      </w:r>
    </w:p>
    <w:p>
      <w:pPr>
        <w:spacing w:line="500" w:lineRule="exact"/>
        <w:ind w:firstLine="480"/>
        <w:rPr>
          <w:rFonts w:ascii="宋体" w:hAnsi="宋体"/>
          <w:bCs/>
          <w:highlight w:val="none"/>
          <w:lang w:val="zh-CN"/>
        </w:rPr>
      </w:pPr>
      <w:r>
        <w:rPr>
          <w:rFonts w:ascii="宋体" w:hAnsi="宋体" w:hint="eastAsia"/>
          <w:bCs/>
          <w:sz w:val="24"/>
          <w:highlight w:val="none"/>
          <w:lang w:val="zh-CN"/>
        </w:rPr>
        <w:t>通信导航。按要求配备完好的航海罗经、</w:t>
      </w:r>
      <w:r>
        <w:rPr>
          <w:rFonts w:ascii="宋体" w:hAnsi="宋体"/>
          <w:bCs/>
          <w:sz w:val="24"/>
          <w:highlight w:val="none"/>
          <w:lang w:val="zh-CN"/>
        </w:rPr>
        <w:t>GPS、雷达、应急信号等；。</w:t>
      </w:r>
    </w:p>
    <w:p>
      <w:pPr>
        <w:spacing w:line="500" w:lineRule="exact"/>
        <w:ind w:firstLine="480"/>
        <w:rPr>
          <w:rFonts w:ascii="宋体" w:hAnsi="宋体"/>
          <w:bCs/>
          <w:highlight w:val="none"/>
          <w:lang w:val="zh-CN"/>
        </w:rPr>
      </w:pPr>
      <w:r>
        <w:rPr>
          <w:rFonts w:ascii="宋体" w:hAnsi="宋体" w:hint="eastAsia"/>
          <w:bCs/>
          <w:sz w:val="24"/>
          <w:highlight w:val="none"/>
          <w:lang w:val="zh-CN"/>
        </w:rPr>
        <w:t>抗风浪。需具备一定抗风能力，在</w:t>
      </w:r>
      <w:r>
        <w:rPr>
          <w:rFonts w:ascii="宋体" w:hAnsi="宋体"/>
          <w:bCs/>
          <w:sz w:val="24"/>
          <w:highlight w:val="none"/>
          <w:lang w:val="zh-CN"/>
        </w:rPr>
        <w:t xml:space="preserve"> 7 级风以下能保障作业。</w:t>
      </w:r>
    </w:p>
    <w:p>
      <w:pPr>
        <w:spacing w:line="500" w:lineRule="exact"/>
        <w:ind w:firstLine="480"/>
        <w:rPr>
          <w:rFonts w:ascii="宋体" w:hAnsi="宋体"/>
          <w:bCs/>
          <w:highlight w:val="none"/>
          <w:lang w:val="zh-CN"/>
        </w:rPr>
      </w:pPr>
      <w:r>
        <w:rPr>
          <w:rFonts w:ascii="宋体" w:hAnsi="宋体" w:hint="eastAsia"/>
          <w:bCs/>
          <w:sz w:val="24"/>
          <w:highlight w:val="none"/>
          <w:lang w:val="zh-CN"/>
        </w:rPr>
        <w:t>救生筏数量。每舷配备容纳</w:t>
      </w:r>
      <w:r>
        <w:rPr>
          <w:rFonts w:ascii="宋体" w:hAnsi="宋体"/>
          <w:bCs/>
          <w:sz w:val="24"/>
          <w:highlight w:val="none"/>
          <w:lang w:val="zh-CN"/>
        </w:rPr>
        <w:t xml:space="preserve"> 100%在船人员。</w:t>
      </w:r>
    </w:p>
    <w:p>
      <w:pPr>
        <w:spacing w:line="500" w:lineRule="exact"/>
        <w:ind w:firstLine="480"/>
        <w:rPr>
          <w:rFonts w:ascii="宋体" w:hAnsi="宋体"/>
          <w:bCs/>
          <w:highlight w:val="none"/>
          <w:lang w:val="zh-CN"/>
        </w:rPr>
      </w:pPr>
      <w:r>
        <w:rPr>
          <w:rFonts w:ascii="宋体" w:hAnsi="宋体" w:hint="eastAsia"/>
          <w:bCs/>
          <w:sz w:val="24"/>
          <w:highlight w:val="none"/>
          <w:lang w:val="zh-CN"/>
        </w:rPr>
        <w:t>监控。视频监控覆盖区域应包括驾驶台、机舱和甲板作业现场；视频保存期限至少</w:t>
      </w:r>
      <w:r>
        <w:rPr>
          <w:rFonts w:ascii="宋体" w:hAnsi="宋体"/>
          <w:bCs/>
          <w:sz w:val="24"/>
          <w:highlight w:val="none"/>
          <w:lang w:val="zh-CN"/>
        </w:rPr>
        <w:t xml:space="preserve"> 90 天；</w:t>
      </w:r>
    </w:p>
    <w:p>
      <w:pPr>
        <w:spacing w:line="500" w:lineRule="exact"/>
        <w:ind w:firstLine="480"/>
        <w:rPr>
          <w:rFonts w:ascii="宋体" w:hAnsi="宋体"/>
          <w:bCs/>
          <w:highlight w:val="none"/>
          <w:lang w:val="zh-CN"/>
        </w:rPr>
      </w:pPr>
      <w:r>
        <w:rPr>
          <w:rFonts w:ascii="宋体" w:hAnsi="宋体" w:hint="eastAsia"/>
          <w:bCs/>
          <w:sz w:val="24"/>
          <w:highlight w:val="none"/>
          <w:lang w:val="zh-CN"/>
        </w:rPr>
        <w:t>油污。按照船检部门规范要求配备的防污染设备且能正常使用；垃圾按规范要求处理且有法定记载；油污水处理依法合规，且保留单据；</w:t>
      </w:r>
    </w:p>
    <w:p>
      <w:pPr>
        <w:spacing w:line="500" w:lineRule="exact"/>
        <w:ind w:firstLine="480"/>
        <w:rPr>
          <w:rFonts w:ascii="宋体" w:hAnsi="宋体"/>
          <w:bCs/>
          <w:highlight w:val="none"/>
          <w:lang w:val="zh-CN"/>
        </w:rPr>
      </w:pPr>
      <w:r>
        <w:rPr>
          <w:rFonts w:ascii="宋体" w:hAnsi="宋体" w:hint="eastAsia"/>
          <w:bCs/>
          <w:sz w:val="24"/>
          <w:highlight w:val="none"/>
          <w:lang w:val="zh-CN"/>
        </w:rPr>
        <w:t>备案。船舶满足渔业、海事、外交、区域性国际渔业管理组织等备案要求。</w:t>
      </w:r>
    </w:p>
    <w:p>
      <w:pPr>
        <w:spacing w:line="500" w:lineRule="exact"/>
        <w:ind w:firstLine="480"/>
        <w:rPr>
          <w:rFonts w:ascii="宋体" w:hAnsi="宋体"/>
          <w:bCs/>
          <w:highlight w:val="none"/>
          <w:lang w:val="zh-CN"/>
        </w:rPr>
      </w:pPr>
      <w:r>
        <w:rPr>
          <w:rFonts w:ascii="宋体" w:hAnsi="宋体" w:hint="eastAsia"/>
          <w:bCs/>
          <w:sz w:val="24"/>
          <w:highlight w:val="none"/>
          <w:lang w:val="zh-CN"/>
        </w:rPr>
        <w:t>（二）船员</w:t>
      </w:r>
    </w:p>
    <w:p>
      <w:pPr>
        <w:spacing w:line="500" w:lineRule="exact"/>
        <w:ind w:firstLine="480"/>
        <w:rPr>
          <w:rFonts w:ascii="宋体" w:hAnsi="宋体"/>
          <w:bCs/>
          <w:highlight w:val="none"/>
          <w:lang w:val="zh-CN"/>
        </w:rPr>
      </w:pPr>
      <w:r>
        <w:rPr>
          <w:rFonts w:ascii="宋体" w:hAnsi="宋体" w:hint="eastAsia"/>
          <w:bCs/>
          <w:sz w:val="24"/>
          <w:highlight w:val="none"/>
          <w:lang w:val="zh-CN"/>
        </w:rPr>
        <w:t>船员数量：满足</w:t>
      </w:r>
      <w:r>
        <w:rPr>
          <w:rFonts w:ascii="宋体" w:hAnsi="宋体" w:hint="eastAsia"/>
          <w:bCs/>
          <w:sz w:val="24"/>
          <w:highlight w:val="none"/>
          <w:lang w:val="en-US" w:eastAsia="zh-CN"/>
        </w:rPr>
        <w:t>8</w:t>
      </w:r>
      <w:r>
        <w:rPr>
          <w:rFonts w:ascii="宋体" w:hAnsi="宋体"/>
          <w:bCs/>
          <w:sz w:val="24"/>
          <w:highlight w:val="none"/>
          <w:lang w:val="zh-CN"/>
        </w:rPr>
        <w:t>小时作业配员要求，供应商聘用的船员</w:t>
      </w:r>
      <w:r>
        <w:rPr>
          <w:rFonts w:ascii="宋体" w:hAnsi="宋体" w:hint="eastAsia"/>
          <w:bCs/>
          <w:sz w:val="24"/>
          <w:highlight w:val="none"/>
          <w:lang w:val="zh-CN"/>
        </w:rPr>
        <w:t>年龄在</w:t>
      </w:r>
      <w:r>
        <w:rPr>
          <w:rFonts w:ascii="宋体" w:hAnsi="宋体"/>
          <w:bCs/>
          <w:sz w:val="24"/>
          <w:highlight w:val="none"/>
          <w:lang w:val="zh-CN"/>
        </w:rPr>
        <w:t>18周岁-60 周岁（不含）之间。</w:t>
      </w:r>
    </w:p>
    <w:p>
      <w:pPr>
        <w:spacing w:line="500" w:lineRule="exact"/>
        <w:ind w:firstLine="480"/>
        <w:rPr>
          <w:rFonts w:ascii="宋体" w:hAnsi="宋体" w:hint="eastAsia"/>
          <w:bCs/>
          <w:highlight w:val="none"/>
          <w:lang w:val="zh-CN"/>
        </w:rPr>
      </w:pPr>
      <w:r>
        <w:rPr>
          <w:rFonts w:ascii="宋体" w:hAnsi="宋体" w:hint="eastAsia"/>
          <w:bCs/>
          <w:sz w:val="24"/>
          <w:highlight w:val="none"/>
          <w:lang w:val="zh-CN"/>
        </w:rPr>
        <w:t>船员证书：所有船员必须持与其岗位相匹配的船员证、海员证，所有人员必须持有健康证或者有效的健康证明材料。安全资格证书。特种作业人员应持有有效的特种作业证书。</w:t>
      </w:r>
    </w:p>
    <w:p>
      <w:pPr>
        <w:spacing w:line="500" w:lineRule="exact"/>
        <w:ind w:firstLine="480"/>
        <w:rPr>
          <w:rFonts w:ascii="宋体" w:hAnsi="宋体"/>
          <w:bCs/>
          <w:highlight w:val="none"/>
          <w:lang w:val="zh-CN"/>
        </w:rPr>
      </w:pPr>
      <w:r>
        <w:rPr>
          <w:rFonts w:ascii="宋体" w:hAnsi="宋体" w:hint="eastAsia"/>
          <w:bCs/>
          <w:sz w:val="24"/>
          <w:highlight w:val="none"/>
          <w:lang w:val="zh-CN"/>
        </w:rPr>
        <w:t>（</w:t>
      </w:r>
      <w:r>
        <w:rPr>
          <w:rFonts w:ascii="宋体" w:hAnsi="宋体" w:hint="eastAsia"/>
          <w:bCs/>
          <w:sz w:val="24"/>
          <w:highlight w:val="none"/>
          <w:lang w:val="en-US" w:eastAsia="zh-CN"/>
        </w:rPr>
        <w:t>三</w:t>
      </w:r>
      <w:r>
        <w:rPr>
          <w:rFonts w:ascii="宋体" w:hAnsi="宋体" w:hint="eastAsia"/>
          <w:bCs/>
          <w:sz w:val="24"/>
          <w:highlight w:val="none"/>
          <w:lang w:val="zh-CN"/>
        </w:rPr>
        <w:t>）</w:t>
      </w:r>
      <w:r>
        <w:rPr>
          <w:rFonts w:ascii="宋体" w:hAnsi="宋体" w:hint="eastAsia"/>
          <w:bCs/>
          <w:sz w:val="24"/>
          <w:highlight w:val="none"/>
          <w:lang w:val="en-US" w:eastAsia="zh-CN"/>
        </w:rPr>
        <w:t>运维人</w:t>
      </w:r>
      <w:r>
        <w:rPr>
          <w:rFonts w:ascii="宋体" w:hAnsi="宋体" w:hint="eastAsia"/>
          <w:bCs/>
          <w:sz w:val="24"/>
          <w:highlight w:val="none"/>
          <w:lang w:val="zh-CN"/>
        </w:rPr>
        <w:t>员</w:t>
      </w:r>
    </w:p>
    <w:p>
      <w:pPr>
        <w:spacing w:line="500" w:lineRule="exact"/>
        <w:ind w:firstLine="480"/>
        <w:rPr>
          <w:rFonts w:ascii="宋体" w:hAnsi="宋体" w:hint="eastAsia"/>
          <w:bCs/>
          <w:highlight w:val="none"/>
        </w:rPr>
      </w:pPr>
      <w:r>
        <w:rPr>
          <w:rFonts w:ascii="宋体" w:hAnsi="宋体" w:hint="eastAsia"/>
          <w:bCs/>
          <w:sz w:val="24"/>
          <w:highlight w:val="none"/>
          <w:lang w:val="en-US" w:eastAsia="zh-CN"/>
        </w:rPr>
        <w:t>运维人</w:t>
      </w:r>
      <w:r>
        <w:rPr>
          <w:rFonts w:ascii="宋体" w:hAnsi="宋体" w:hint="eastAsia"/>
          <w:bCs/>
          <w:sz w:val="24"/>
          <w:highlight w:val="none"/>
          <w:lang w:val="zh-CN"/>
        </w:rPr>
        <w:t>员数量：</w:t>
      </w:r>
      <w:r>
        <w:rPr>
          <w:rFonts w:ascii="宋体" w:hAnsi="宋体" w:hint="eastAsia"/>
          <w:bCs/>
          <w:sz w:val="24"/>
          <w:highlight w:val="none"/>
          <w:lang w:val="en-US" w:eastAsia="zh-CN"/>
        </w:rPr>
        <w:t>每航次不少于2人，具体人数需满足单次航次作业需求。</w:t>
      </w:r>
    </w:p>
    <w:p>
      <w:pPr>
        <w:spacing w:line="500" w:lineRule="exact"/>
        <w:ind w:firstLine="480"/>
        <w:rPr>
          <w:rFonts w:ascii="宋体" w:hAnsi="宋体" w:hint="default"/>
          <w:bCs/>
          <w:highlight w:val="none"/>
        </w:rPr>
      </w:pPr>
      <w:r>
        <w:rPr>
          <w:rFonts w:ascii="宋体" w:hAnsi="宋体" w:hint="eastAsia"/>
          <w:bCs/>
          <w:sz w:val="24"/>
          <w:highlight w:val="none"/>
          <w:lang w:val="en-US" w:eastAsia="zh-CN"/>
        </w:rPr>
        <w:t>运维人员证书：需持有相关特种作业证书。</w:t>
      </w:r>
    </w:p>
    <w:p>
      <w:pPr>
        <w:spacing w:line="500" w:lineRule="exact"/>
        <w:rPr>
          <w:rFonts w:ascii="宋体" w:hAnsi="宋体"/>
          <w:b/>
          <w:bCs w:val="0"/>
          <w:highlight w:val="none"/>
          <w:lang w:val="zh-CN"/>
        </w:rPr>
      </w:pPr>
      <w:r>
        <w:rPr>
          <w:rFonts w:ascii="宋体" w:hAnsi="宋体" w:hint="eastAsia"/>
          <w:b/>
          <w:bCs w:val="0"/>
          <w:sz w:val="24"/>
          <w:highlight w:val="none"/>
          <w:lang w:val="zh-CN"/>
        </w:rPr>
        <w:t>五、其他相关要求</w:t>
      </w:r>
    </w:p>
    <w:p>
      <w:pPr>
        <w:spacing w:line="500" w:lineRule="exact"/>
        <w:ind w:firstLine="480"/>
        <w:rPr>
          <w:rFonts w:ascii="宋体" w:hAnsi="宋体" w:hint="eastAsia"/>
          <w:bCs/>
          <w:highlight w:val="none"/>
          <w:lang w:val="zh-CN"/>
        </w:rPr>
      </w:pPr>
      <w:r>
        <w:rPr>
          <w:rFonts w:ascii="宋体" w:hAnsi="宋体" w:hint="eastAsia"/>
          <w:bCs/>
          <w:sz w:val="24"/>
          <w:highlight w:val="none"/>
          <w:lang w:val="zh-CN"/>
        </w:rPr>
        <w:t>1、船舶性能良好，满足采购人使用要求，确保采购人能按时、安全登上平台开展相关工作。</w:t>
      </w:r>
    </w:p>
    <w:p>
      <w:pPr>
        <w:spacing w:line="500" w:lineRule="exact"/>
        <w:ind w:firstLine="480"/>
        <w:rPr>
          <w:rFonts w:ascii="宋体" w:hAnsi="宋体" w:hint="eastAsia"/>
          <w:bCs/>
          <w:highlight w:val="none"/>
        </w:rPr>
      </w:pPr>
      <w:r>
        <w:rPr>
          <w:rFonts w:ascii="宋体" w:eastAsia="宋体" w:hAnsi="宋体" w:cs="宋体" w:hint="eastAsia"/>
          <w:bCs/>
          <w:sz w:val="24"/>
          <w:highlight w:val="none"/>
          <w:lang w:val="en-US" w:eastAsia="zh-CN"/>
        </w:rPr>
        <w:t>★</w:t>
      </w:r>
      <w:r>
        <w:rPr>
          <w:rFonts w:ascii="宋体" w:hAnsi="宋体" w:hint="eastAsia"/>
          <w:bCs/>
          <w:sz w:val="24"/>
          <w:highlight w:val="none"/>
          <w:lang w:val="en-US" w:eastAsia="zh-CN"/>
        </w:rPr>
        <w:t>2、投标方投标时所投船舶需取得地方海事相关作业许可及三峡大丰海上风电平台靠泊及登站许可</w:t>
      </w:r>
    </w:p>
    <w:p>
      <w:pPr>
        <w:spacing w:line="360" w:lineRule="auto"/>
        <w:ind w:firstLine="480" w:firstLineChars="200"/>
      </w:pPr>
      <w:r>
        <w:rPr>
          <w:rFonts w:ascii="宋体" w:eastAsia="宋体" w:hAnsi="宋体" w:cs="宋体" w:hint="eastAsia"/>
          <w:bCs/>
          <w:sz w:val="24"/>
          <w:highlight w:val="none"/>
          <w:lang w:val="en-US" w:eastAsia="zh-CN"/>
        </w:rPr>
        <w:t>★</w:t>
      </w:r>
      <w:r>
        <w:rPr>
          <w:rFonts w:ascii="宋体" w:eastAsia="宋体" w:hAnsi="宋体" w:cs="宋体" w:hint="eastAsia"/>
          <w:bCs/>
          <w:sz w:val="24"/>
          <w:highlight w:val="none"/>
          <w:lang w:val="en-US" w:eastAsia="zh-CN"/>
        </w:rPr>
        <w:t>3</w:t>
      </w:r>
      <w:r>
        <w:rPr>
          <w:rFonts w:ascii="宋体" w:hAnsi="宋体" w:hint="eastAsia"/>
          <w:bCs/>
          <w:sz w:val="24"/>
          <w:highlight w:val="none"/>
          <w:lang w:val="en-US" w:eastAsia="zh-CN"/>
        </w:rPr>
        <w:t>、投标方投标时运维人员需取得</w:t>
      </w:r>
      <w:r>
        <w:rPr>
          <w:rFonts w:ascii="宋体" w:hAnsi="宋体" w:hint="eastAsia"/>
          <w:bCs/>
          <w:sz w:val="24"/>
          <w:highlight w:val="none"/>
          <w:lang w:val="zh-CN" w:eastAsia="zh-CN"/>
        </w:rPr>
        <w:t>三峡大丰海上风电平台</w:t>
      </w:r>
      <w:r>
        <w:rPr>
          <w:rFonts w:ascii="宋体" w:hAnsi="宋体" w:hint="eastAsia"/>
          <w:bCs/>
          <w:sz w:val="24"/>
          <w:highlight w:val="none"/>
          <w:lang w:val="en-US" w:eastAsia="zh-CN"/>
        </w:rPr>
        <w:t>的作业许可。</w:t>
      </w:r>
    </w:p>
    <w:p w:rsidR="00A77B3E"/>
    <w:p w14:paraId="4A748C35">
      <w:pPr>
        <w:adjustRightInd w:val="0"/>
        <w:snapToGrid w:val="0"/>
        <w:spacing w:line="360" w:lineRule="auto"/>
        <w:jc w:val="center"/>
        <w:rPr>
          <w:rFonts w:ascii="Times New Roman" w:eastAsia="方正小标宋_GBK" w:hAnsi="Times New Roman" w:cs="Times New Roman" w:hint="default"/>
          <w:color w:val="0000FF"/>
          <w:sz w:val="44"/>
          <w:szCs w:val="20"/>
          <w:highlight w:val="none"/>
          <w:lang w:val="en-US" w:eastAsia="zh-CN"/>
        </w:rPr>
        <w:sectPr>
          <w:pgSz w:w="11906" w:h="16838"/>
          <w:pgMar w:top="1418" w:right="1418" w:bottom="1418" w:left="1701" w:header="851" w:footer="851" w:gutter="0"/>
          <w:cols w:num="1" w:space="720"/>
          <w:docGrid w:type="linesAndChars" w:linePitch="312" w:charSpace="0"/>
        </w:sectPr>
      </w:pPr>
      <w:bookmarkEnd w:id="48"/>
    </w:p>
    <w:p w:rsidR="003C781C" w14:paraId="6A5D2D1F" w14:textId="77777777">
      <w:pPr>
        <w:tabs>
          <w:tab w:val="left" w:pos="1573"/>
        </w:tabs>
        <w:adjustRightInd w:val="0"/>
        <w:snapToGrid w:val="0"/>
        <w:spacing w:line="360" w:lineRule="auto"/>
        <w:jc w:val="center"/>
        <w:outlineLvl w:val="1"/>
        <w:rPr>
          <w:b/>
          <w:bCs/>
          <w:sz w:val="30"/>
          <w:szCs w:val="30"/>
        </w:rPr>
      </w:pPr>
      <w:bookmarkStart w:id="49"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3C781C" w14:paraId="4FB105EC" w14:textId="77777777">
      <w:pPr>
        <w:adjustRightInd w:val="0"/>
        <w:snapToGrid w:val="0"/>
        <w:spacing w:before="156" w:beforeLines="50" w:line="360" w:lineRule="auto"/>
        <w:ind w:firstLine="420"/>
        <w:rPr>
          <w:rFonts w:ascii="宋体" w:hAnsi="宋体" w:hint="eastAsia"/>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14:paraId="297BC5EE" w14:textId="77777777">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3C781C" w14:paraId="5B831E20" w14:textId="77777777">
            <w:pPr>
              <w:rPr>
                <w:sz w:val="18"/>
                <w:szCs w:val="18"/>
              </w:rPr>
            </w:pPr>
            <w:r>
              <w:rPr>
                <w:rFonts w:hint="eastAsia"/>
                <w:sz w:val="18"/>
                <w:szCs w:val="18"/>
              </w:rPr>
              <w:t>序号</w:t>
            </w:r>
          </w:p>
        </w:tc>
        <w:tc>
          <w:tcPr>
            <w:tcW w:w="898" w:type="dxa"/>
            <w:vAlign w:val="center"/>
          </w:tcPr>
          <w:p w:rsidR="003C781C" w14:paraId="6FCAD12C" w14:textId="77777777">
            <w:pPr>
              <w:jc w:val="center"/>
              <w:rPr>
                <w:sz w:val="18"/>
                <w:szCs w:val="18"/>
              </w:rPr>
            </w:pPr>
            <w:r>
              <w:rPr>
                <w:rFonts w:hint="eastAsia"/>
                <w:sz w:val="18"/>
                <w:szCs w:val="18"/>
              </w:rPr>
              <w:t>对应</w:t>
            </w:r>
          </w:p>
          <w:p w:rsidR="003C781C" w14:paraId="641B9743" w14:textId="77777777">
            <w:pPr>
              <w:jc w:val="center"/>
              <w:rPr>
                <w:sz w:val="18"/>
                <w:szCs w:val="18"/>
              </w:rPr>
            </w:pPr>
            <w:r>
              <w:rPr>
                <w:rFonts w:hint="eastAsia"/>
                <w:sz w:val="18"/>
                <w:szCs w:val="18"/>
              </w:rPr>
              <w:t>条款号</w:t>
            </w:r>
          </w:p>
        </w:tc>
        <w:tc>
          <w:tcPr>
            <w:tcW w:w="7347" w:type="dxa"/>
            <w:vAlign w:val="center"/>
          </w:tcPr>
          <w:p w:rsidR="003C781C" w14:paraId="6116AFB3" w14:textId="77777777">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14:paraId="65024191" w14:textId="77777777">
        <w:tblPrEx>
          <w:tblW w:w="8789" w:type="dxa"/>
          <w:tblLayout w:type="fixed"/>
          <w:tblLook w:val="04A0"/>
        </w:tblPrEx>
        <w:trPr>
          <w:cantSplit/>
        </w:trPr>
        <w:tc>
          <w:tcPr>
            <w:tcW w:w="8789" w:type="dxa"/>
            <w:gridSpan w:val="3"/>
            <w:vAlign w:val="center"/>
          </w:tcPr>
          <w:p w:rsidR="003C781C" w14:paraId="20BD32C3" w14:textId="77777777">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14:paraId="2DFEBFD6" w14:textId="77777777">
        <w:tblPrEx>
          <w:tblW w:w="8789" w:type="dxa"/>
          <w:tblLayout w:type="fixed"/>
          <w:tblLook w:val="04A0"/>
        </w:tblPrEx>
        <w:trPr>
          <w:cantSplit/>
        </w:trPr>
        <w:tc>
          <w:tcPr>
            <w:tcW w:w="544" w:type="dxa"/>
            <w:vAlign w:val="center"/>
          </w:tcPr>
          <w:p w:rsidR="003C781C" w14:paraId="157C90C4" w14:textId="77777777">
            <w:pPr>
              <w:numPr>
                <w:ilvl w:val="0"/>
                <w:numId w:val="8"/>
              </w:numPr>
              <w:rPr>
                <w:rFonts w:ascii="宋体" w:hAnsi="宋体" w:hint="eastAsia"/>
                <w:sz w:val="18"/>
                <w:szCs w:val="18"/>
              </w:rPr>
            </w:pPr>
          </w:p>
        </w:tc>
        <w:tc>
          <w:tcPr>
            <w:tcW w:w="898" w:type="dxa"/>
            <w:vAlign w:val="center"/>
          </w:tcPr>
          <w:p w:rsidR="003C781C" w14:paraId="2DE62436" w14:textId="5EB658C4">
            <w:pPr>
              <w:jc w:val="center"/>
              <w:rPr>
                <w:rFonts w:ascii="宋体" w:hAnsi="宋体" w:hint="eastAsia"/>
                <w:sz w:val="18"/>
                <w:szCs w:val="18"/>
              </w:rPr>
            </w:pPr>
            <w:r>
              <w:rPr>
                <w:rFonts w:ascii="宋体" w:hAnsi="宋体" w:hint="eastAsia"/>
                <w:sz w:val="18"/>
                <w:szCs w:val="18"/>
              </w:rPr>
              <w:t>-</w:t>
            </w:r>
          </w:p>
        </w:tc>
        <w:tc>
          <w:tcPr>
            <w:tcW w:w="7347" w:type="dxa"/>
          </w:tcPr>
          <w:p w:rsidR="003C781C" w14:paraId="391DEE11" w14:textId="02A4C5EE">
            <w:pPr>
              <w:tabs>
                <w:tab w:val="left" w:pos="709"/>
              </w:tabs>
              <w:spacing w:line="360" w:lineRule="auto"/>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rPr>
              <w:t>-</w:t>
            </w:r>
          </w:p>
        </w:tc>
      </w:tr>
      <w:tr w14:paraId="79F85C61" w14:textId="77777777">
        <w:tblPrEx>
          <w:tblW w:w="8789" w:type="dxa"/>
          <w:tblLayout w:type="fixed"/>
          <w:tblLook w:val="04A0"/>
        </w:tblPrEx>
        <w:trPr>
          <w:cantSplit/>
        </w:trPr>
        <w:tc>
          <w:tcPr>
            <w:tcW w:w="544" w:type="dxa"/>
            <w:vAlign w:val="center"/>
          </w:tcPr>
          <w:p w:rsidR="003C781C" w14:paraId="6A5D2A7A" w14:textId="77777777">
            <w:pPr>
              <w:numPr>
                <w:ilvl w:val="0"/>
                <w:numId w:val="8"/>
              </w:numPr>
              <w:rPr>
                <w:rFonts w:ascii="宋体" w:hAnsi="宋体" w:hint="eastAsia"/>
                <w:sz w:val="18"/>
                <w:szCs w:val="18"/>
              </w:rPr>
            </w:pPr>
          </w:p>
        </w:tc>
        <w:tc>
          <w:tcPr>
            <w:tcW w:w="898" w:type="dxa"/>
            <w:vAlign w:val="center"/>
          </w:tcPr>
          <w:p w:rsidR="003C781C" w14:paraId="6F5A3F1C" w14:textId="7467FD3F">
            <w:pPr>
              <w:jc w:val="center"/>
              <w:rPr>
                <w:rFonts w:ascii="宋体" w:hAnsi="宋体" w:hint="eastAsia"/>
                <w:sz w:val="18"/>
                <w:szCs w:val="18"/>
              </w:rPr>
            </w:pPr>
            <w:r>
              <w:rPr>
                <w:rFonts w:ascii="宋体" w:hAnsi="宋体" w:hint="eastAsia"/>
                <w:sz w:val="18"/>
                <w:szCs w:val="18"/>
              </w:rPr>
              <w:t>-</w:t>
            </w:r>
          </w:p>
        </w:tc>
        <w:tc>
          <w:tcPr>
            <w:tcW w:w="7347" w:type="dxa"/>
            <w:vAlign w:val="center"/>
          </w:tcPr>
          <w:p w:rsidR="003C781C" w14:paraId="6F783F80" w14:textId="604A3D75">
            <w:pPr>
              <w:rPr>
                <w:rFonts w:cs="微软雅黑" w:hint="eastAsia"/>
                <w:b/>
                <w:color w:val="0000FF"/>
                <w:kern w:val="0"/>
                <w:sz w:val="18"/>
                <w:szCs w:val="18"/>
              </w:rPr>
            </w:pPr>
            <w:r>
              <w:rPr>
                <w:rFonts w:cs="微软雅黑" w:hint="eastAsia"/>
                <w:b/>
                <w:color w:val="0000FF"/>
                <w:kern w:val="0"/>
                <w:sz w:val="18"/>
                <w:szCs w:val="18"/>
              </w:rPr>
              <w:t>-</w:t>
            </w:r>
          </w:p>
        </w:tc>
      </w:tr>
      <w:tr w14:paraId="3C238DD3" w14:textId="77777777">
        <w:tblPrEx>
          <w:tblW w:w="8789" w:type="dxa"/>
          <w:tblLayout w:type="fixed"/>
          <w:tblLook w:val="04A0"/>
        </w:tblPrEx>
        <w:trPr>
          <w:cantSplit/>
        </w:trPr>
        <w:tc>
          <w:tcPr>
            <w:tcW w:w="8789" w:type="dxa"/>
            <w:gridSpan w:val="3"/>
            <w:vAlign w:val="center"/>
          </w:tcPr>
          <w:p w:rsidR="003C781C" w14:paraId="1198A650" w14:textId="77777777">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14:paraId="373426A3" w14:textId="77777777">
        <w:tblPrEx>
          <w:tblW w:w="8789" w:type="dxa"/>
          <w:tblLayout w:type="fixed"/>
          <w:tblLook w:val="04A0"/>
        </w:tblPrEx>
        <w:trPr>
          <w:cantSplit/>
        </w:trPr>
        <w:tc>
          <w:tcPr>
            <w:tcW w:w="544" w:type="dxa"/>
            <w:vAlign w:val="center"/>
          </w:tcPr>
          <w:p w:rsidR="003C781C" w14:paraId="511A8B07" w14:textId="77777777">
            <w:pPr>
              <w:numPr>
                <w:ilvl w:val="0"/>
                <w:numId w:val="8"/>
              </w:numPr>
              <w:rPr>
                <w:rFonts w:ascii="宋体" w:hAnsi="宋体" w:hint="eastAsia"/>
                <w:sz w:val="18"/>
                <w:szCs w:val="18"/>
              </w:rPr>
            </w:pPr>
          </w:p>
        </w:tc>
        <w:tc>
          <w:tcPr>
            <w:tcW w:w="898" w:type="dxa"/>
            <w:vAlign w:val="center"/>
          </w:tcPr>
          <w:p w:rsidR="003C781C" w14:paraId="45987AF0" w14:textId="77777777">
            <w:pPr>
              <w:jc w:val="center"/>
              <w:rPr>
                <w:rFonts w:ascii="宋体" w:hAnsi="宋体" w:hint="eastAsia"/>
                <w:sz w:val="18"/>
                <w:szCs w:val="18"/>
              </w:rPr>
            </w:pPr>
            <w:r>
              <w:rPr>
                <w:rFonts w:ascii="宋体" w:hAnsi="宋体" w:hint="eastAsia"/>
                <w:sz w:val="18"/>
                <w:szCs w:val="18"/>
              </w:rPr>
              <w:t>7.2</w:t>
            </w:r>
          </w:p>
        </w:tc>
        <w:tc>
          <w:tcPr>
            <w:tcW w:w="7347" w:type="dxa"/>
            <w:vAlign w:val="center"/>
          </w:tcPr>
          <w:p w:rsidR="003C781C" w14:paraId="12BAB08A" w14:textId="77777777">
            <w:pPr>
              <w:tabs>
                <w:tab w:val="left" w:pos="709"/>
              </w:tabs>
              <w:spacing w:line="360" w:lineRule="auto"/>
              <w:jc w:val="left"/>
              <w:rPr>
                <w:rFonts w:ascii="宋体" w:hAnsi="宋体" w:hint="eastAsia"/>
                <w:sz w:val="18"/>
                <w:szCs w:val="18"/>
              </w:rPr>
            </w:pPr>
            <w:r>
              <w:rPr>
                <w:rFonts w:ascii="宋体" w:hAnsi="宋体" w:hint="eastAsia"/>
                <w:sz w:val="18"/>
                <w:szCs w:val="18"/>
              </w:rPr>
              <w:t>投标方投标时所投船舶需取得地方海事相关作业许可及</w:t>
            </w:r>
            <w:r>
              <w:rPr>
                <w:rFonts w:ascii="宋体" w:hAnsi="宋体" w:hint="eastAsia"/>
                <w:sz w:val="18"/>
                <w:szCs w:val="18"/>
                <w:lang w:val="zh-CN"/>
              </w:rPr>
              <w:t>三峡大丰海上风电平台</w:t>
            </w:r>
            <w:r>
              <w:rPr>
                <w:rFonts w:ascii="宋体" w:hAnsi="宋体" w:hint="eastAsia"/>
                <w:sz w:val="18"/>
                <w:szCs w:val="18"/>
              </w:rPr>
              <w:t>靠泊及登站许可。</w:t>
            </w:r>
          </w:p>
        </w:tc>
      </w:tr>
      <w:tr w14:paraId="44AC87D8" w14:textId="77777777">
        <w:tblPrEx>
          <w:tblW w:w="8789" w:type="dxa"/>
          <w:tblLayout w:type="fixed"/>
          <w:tblLook w:val="04A0"/>
        </w:tblPrEx>
        <w:trPr>
          <w:cantSplit/>
        </w:trPr>
        <w:tc>
          <w:tcPr>
            <w:tcW w:w="544" w:type="dxa"/>
            <w:vAlign w:val="center"/>
          </w:tcPr>
          <w:p w:rsidR="003C781C" w14:paraId="10A02AE2" w14:textId="77777777">
            <w:pPr>
              <w:numPr>
                <w:ilvl w:val="0"/>
                <w:numId w:val="8"/>
              </w:numPr>
              <w:rPr>
                <w:rFonts w:ascii="宋体" w:hAnsi="宋体" w:hint="eastAsia"/>
                <w:sz w:val="18"/>
                <w:szCs w:val="18"/>
              </w:rPr>
            </w:pPr>
          </w:p>
        </w:tc>
        <w:tc>
          <w:tcPr>
            <w:tcW w:w="898" w:type="dxa"/>
            <w:vAlign w:val="center"/>
          </w:tcPr>
          <w:p w:rsidR="003C781C" w14:paraId="7EF9984A" w14:textId="77777777">
            <w:pPr>
              <w:jc w:val="center"/>
              <w:rPr>
                <w:rFonts w:ascii="宋体" w:hAnsi="宋体" w:hint="eastAsia"/>
                <w:sz w:val="18"/>
                <w:szCs w:val="18"/>
              </w:rPr>
            </w:pPr>
            <w:r>
              <w:rPr>
                <w:rFonts w:ascii="宋体" w:hAnsi="宋体" w:hint="eastAsia"/>
                <w:sz w:val="18"/>
                <w:szCs w:val="18"/>
              </w:rPr>
              <w:t>7.3</w:t>
            </w:r>
          </w:p>
        </w:tc>
        <w:tc>
          <w:tcPr>
            <w:tcW w:w="7347" w:type="dxa"/>
            <w:vAlign w:val="center"/>
          </w:tcPr>
          <w:p w:rsidR="003C781C" w14:paraId="1486F7DE" w14:textId="77777777">
            <w:pPr>
              <w:tabs>
                <w:tab w:val="left" w:pos="709"/>
              </w:tabs>
              <w:spacing w:line="360" w:lineRule="auto"/>
              <w:jc w:val="left"/>
              <w:rPr>
                <w:rFonts w:ascii="宋体" w:hAnsi="宋体" w:hint="eastAsia"/>
                <w:sz w:val="18"/>
                <w:szCs w:val="18"/>
              </w:rPr>
            </w:pPr>
            <w:r>
              <w:rPr>
                <w:rFonts w:ascii="宋体" w:hAnsi="宋体" w:hint="eastAsia"/>
                <w:sz w:val="18"/>
                <w:szCs w:val="18"/>
              </w:rPr>
              <w:t>投标方投标时运</w:t>
            </w:r>
            <w:r>
              <w:rPr>
                <w:rFonts w:ascii="宋体" w:hAnsi="宋体" w:hint="eastAsia"/>
                <w:sz w:val="18"/>
                <w:szCs w:val="18"/>
              </w:rPr>
              <w:t>维人员</w:t>
            </w:r>
            <w:r>
              <w:rPr>
                <w:rFonts w:ascii="宋体" w:hAnsi="宋体" w:hint="eastAsia"/>
                <w:sz w:val="18"/>
                <w:szCs w:val="18"/>
              </w:rPr>
              <w:t>需取得</w:t>
            </w:r>
            <w:r>
              <w:rPr>
                <w:rFonts w:ascii="宋体" w:hAnsi="宋体" w:hint="eastAsia"/>
                <w:sz w:val="18"/>
                <w:szCs w:val="18"/>
                <w:lang w:val="zh-CN"/>
              </w:rPr>
              <w:t>三峡大丰海上风电平台</w:t>
            </w:r>
            <w:r>
              <w:rPr>
                <w:rFonts w:ascii="宋体" w:hAnsi="宋体" w:hint="eastAsia"/>
                <w:sz w:val="18"/>
                <w:szCs w:val="18"/>
              </w:rPr>
              <w:t>的作业许可。</w:t>
            </w:r>
          </w:p>
        </w:tc>
      </w:tr>
    </w:tbl>
    <w:p w:rsidR="003C781C" w14:paraId="150CE49F" w14:textId="77777777">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14:paraId="4A9193F5">
      <w:pPr>
        <w:tabs>
          <w:tab w:val="left" w:pos="1573"/>
        </w:tabs>
        <w:adjustRightInd w:val="0"/>
        <w:snapToGrid w:val="0"/>
        <w:spacing w:line="360" w:lineRule="auto"/>
        <w:jc w:val="center"/>
        <w:outlineLvl w:val="1"/>
        <w:rPr>
          <w:rFonts w:ascii="Times New Roman" w:eastAsia="宋体" w:hAnsi="Times New Roman" w:cs="Times New Roman" w:hint="default"/>
          <w:b/>
          <w:sz w:val="48"/>
          <w:szCs w:val="36"/>
          <w:lang w:val="en-US" w:eastAsia="zh-CN"/>
        </w:rPr>
        <w:sectPr>
          <w:headerReference w:type="default" r:id="rId8"/>
          <w:footerReference w:type="default" r:id="rId9"/>
          <w:pgSz w:w="11906" w:h="16838"/>
          <w:pgMar w:top="1440" w:right="1800" w:bottom="1440" w:left="1800" w:header="851" w:footer="992" w:gutter="0"/>
          <w:cols w:num="1" w:space="425"/>
          <w:docGrid w:type="lines" w:linePitch="312" w:charSpace="0"/>
        </w:sectPr>
      </w:pPr>
      <w:bookmarkEnd w:id="49"/>
    </w:p>
    <w:p w14:paraId="1D1F66CC">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79ED4CE3">
      <w:pPr>
        <w:spacing w:line="360" w:lineRule="auto"/>
        <w:rPr>
          <w:rFonts w:ascii="Times New Roman" w:eastAsia="宋体" w:hAnsi="Times New Roman" w:cs="Times New Roman"/>
          <w:b/>
          <w:bCs/>
          <w:sz w:val="28"/>
          <w:szCs w:val="28"/>
        </w:rPr>
      </w:pPr>
    </w:p>
    <w:p w14:paraId="1650D7B0">
      <w:pPr>
        <w:numPr>
          <w:ilvl w:val="0"/>
          <w:numId w:val="5"/>
        </w:numPr>
        <w:spacing w:line="360" w:lineRule="auto"/>
        <w:ind w:firstLine="3066" w:firstLineChars="1460"/>
        <w:jc w:val="left"/>
        <w:rPr>
          <w:rFonts w:ascii="Times New Roman" w:eastAsia="宋体" w:hAnsi="Times New Roman" w:cs="Times New Roman" w:hint="eastAsia"/>
          <w:b/>
          <w:bCs/>
          <w:szCs w:val="21"/>
          <w:highlight w:val="none"/>
        </w:rPr>
      </w:pPr>
      <w:bookmarkStart w:id="50" w:name="采购公告合同部分_ZBGGHT"/>
      <w:r>
        <w:rPr>
          <w:rFonts w:ascii="Times New Roman" w:eastAsia="宋体" w:hAnsi="Times New Roman" w:cs="Times New Roman" w:hint="eastAsia"/>
          <w:b/>
          <w:bCs/>
          <w:szCs w:val="21"/>
          <w:highlight w:val="none"/>
        </w:rPr>
        <w:t xml:space="preserve"> 采购合同</w:t>
      </w:r>
    </w:p>
    <w:p w14:paraId="784A9E13">
      <w:pPr>
        <w:numPr>
          <w:ilvl w:val="0"/>
          <w:numId w:val="0"/>
        </w:numPr>
        <w:spacing w:line="360" w:lineRule="auto"/>
        <w:ind w:left="1680" w:firstLine="420" w:leftChars="0" w:firstLineChars="0"/>
        <w:jc w:val="left"/>
        <w:rPr>
          <w:rFonts w:ascii="Times New Roman" w:eastAsia="宋体" w:hAnsi="Times New Roman" w:cs="Times New Roman" w:hint="eastAsia"/>
          <w:b/>
          <w:bCs/>
          <w:szCs w:val="21"/>
          <w:highlight w:val="none"/>
        </w:rPr>
      </w:pPr>
      <w:r>
        <w:rPr>
          <w:rFonts w:hint="eastAsia"/>
          <w:b/>
          <w:bCs/>
          <w:szCs w:val="21"/>
          <w:highlight w:val="none"/>
        </w:rPr>
        <w:t>必须明确合同金额支付条件及支付比例</w:t>
      </w:r>
    </w:p>
    <w:p w14:paraId="66F64252">
      <w:pPr>
        <w:spacing w:line="360" w:lineRule="auto"/>
        <w:ind w:firstLine="3066" w:firstLineChars="1460"/>
        <w:jc w:val="left"/>
        <w:rPr>
          <w:rFonts w:ascii="Times New Roman" w:eastAsia="宋体" w:hAnsi="Times New Roman" w:cs="Times New Roman"/>
          <w:b/>
          <w:bCs/>
          <w:szCs w:val="21"/>
          <w:highlight w:val="none"/>
        </w:rPr>
      </w:pPr>
      <w:r>
        <w:rPr>
          <w:rFonts w:ascii="Times New Roman" w:eastAsia="宋体" w:hAnsi="Times New Roman" w:cs="Times New Roman"/>
          <w:b/>
          <w:bCs/>
          <w:szCs w:val="21"/>
          <w:highlight w:val="none"/>
        </w:rPr>
        <w:br w:type="page"/>
      </w:r>
    </w:p>
    <w:p w14:paraId="40E6E76A">
      <w:pPr>
        <w:widowControl/>
        <w:jc w:val="center"/>
        <w:rPr>
          <w:rFonts w:ascii="宋体" w:eastAsia="微软雅黑" w:hAnsi="宋体" w:cs="宋体"/>
          <w:b/>
          <w:bCs/>
          <w:color w:val="595959"/>
          <w:spacing w:val="-20"/>
          <w:kern w:val="44"/>
          <w:sz w:val="48"/>
          <w:szCs w:val="48"/>
          <w:highlight w:val="none"/>
          <w:lang w:val="zh-CN"/>
        </w:rPr>
      </w:pPr>
      <w:r>
        <w:rPr>
          <w:rFonts w:ascii="宋体" w:eastAsia="微软雅黑" w:hAnsi="宋体" w:cs="宋体" w:hint="eastAsia"/>
          <w:b/>
          <w:bCs/>
          <w:color w:val="595959"/>
          <w:spacing w:val="-20"/>
          <w:kern w:val="44"/>
          <w:sz w:val="48"/>
          <w:szCs w:val="48"/>
          <w:highlight w:val="none"/>
          <w:lang w:val="zh-CN"/>
        </w:rPr>
        <w:t>服务类政府采购合同</w:t>
      </w:r>
    </w:p>
    <w:p w14:paraId="3A529930">
      <w:pPr>
        <w:rPr>
          <w:rFonts w:ascii="宋体" w:eastAsia="宋体" w:hAnsi="宋体" w:cs="宋体"/>
          <w:b/>
          <w:bCs/>
          <w:spacing w:val="-20"/>
          <w:kern w:val="44"/>
          <w:sz w:val="40"/>
          <w:szCs w:val="40"/>
          <w:highlight w:val="none"/>
        </w:rPr>
      </w:pPr>
    </w:p>
    <w:p w14:paraId="6DE08EF8">
      <w:pPr>
        <w:rPr>
          <w:rFonts w:ascii="宋体" w:eastAsia="宋体" w:hAnsi="宋体" w:cs="宋体"/>
          <w:b/>
          <w:bCs/>
          <w:spacing w:val="-20"/>
          <w:kern w:val="44"/>
          <w:sz w:val="40"/>
          <w:szCs w:val="40"/>
          <w:highlight w:val="none"/>
        </w:rPr>
      </w:pPr>
    </w:p>
    <w:p w14:paraId="6852DC0E">
      <w:pPr>
        <w:rPr>
          <w:rFonts w:ascii="宋体" w:eastAsia="宋体" w:hAnsi="宋体" w:cs="宋体"/>
          <w:b/>
          <w:bCs/>
          <w:spacing w:val="-20"/>
          <w:kern w:val="44"/>
          <w:sz w:val="40"/>
          <w:szCs w:val="40"/>
          <w:highlight w:val="none"/>
        </w:rPr>
      </w:pPr>
    </w:p>
    <w:p w14:paraId="3762B928">
      <w:pPr>
        <w:spacing w:line="360" w:lineRule="auto"/>
        <w:ind w:left="420" w:leftChars="200"/>
        <w:rPr>
          <w:rFonts w:ascii="Times New Roman" w:eastAsia="宋体" w:hAnsi="Times New Roman" w:cs="Times New Roman"/>
          <w:sz w:val="32"/>
          <w:szCs w:val="32"/>
          <w:highlight w:val="none"/>
        </w:rPr>
      </w:pPr>
      <w:r>
        <w:rPr>
          <w:rFonts w:ascii="宋体" w:eastAsia="宋体" w:hAnsi="宋体" w:cs="宋体" w:hint="eastAsia"/>
          <w:kern w:val="0"/>
          <w:sz w:val="32"/>
          <w:szCs w:val="32"/>
          <w:highlight w:val="none"/>
        </w:rPr>
        <w:t>项目名称：</w:t>
      </w:r>
      <w:r>
        <w:rPr>
          <w:rFonts w:ascii="Times New Roman" w:eastAsia="宋体" w:hAnsi="Times New Roman" w:cs="Times New Roman" w:hint="eastAsia"/>
          <w:sz w:val="32"/>
          <w:szCs w:val="32"/>
          <w:highlight w:val="none"/>
          <w:u w:val="single"/>
        </w:rPr>
        <w:t xml:space="preserve">                             </w:t>
      </w:r>
    </w:p>
    <w:p w14:paraId="2C2E731F">
      <w:pPr>
        <w:spacing w:line="360" w:lineRule="auto"/>
        <w:ind w:left="420" w:leftChars="200"/>
        <w:rPr>
          <w:rFonts w:ascii="Times New Roman" w:eastAsia="宋体" w:hAnsi="Times New Roman" w:cs="Times New Roman"/>
          <w:sz w:val="32"/>
          <w:szCs w:val="32"/>
          <w:highlight w:val="none"/>
          <w:u w:val="single"/>
        </w:rPr>
      </w:pPr>
      <w:r>
        <w:rPr>
          <w:rFonts w:ascii="Times New Roman" w:eastAsia="宋体" w:hAnsi="Times New Roman" w:cs="Times New Roman" w:hint="eastAsia"/>
          <w:sz w:val="32"/>
          <w:szCs w:val="32"/>
          <w:highlight w:val="none"/>
        </w:rPr>
        <w:t>合同编号：</w:t>
      </w:r>
      <w:r>
        <w:rPr>
          <w:rFonts w:ascii="Times New Roman" w:eastAsia="宋体" w:hAnsi="Times New Roman" w:cs="Times New Roman" w:hint="eastAsia"/>
          <w:sz w:val="32"/>
          <w:szCs w:val="32"/>
          <w:highlight w:val="none"/>
          <w:u w:val="single"/>
        </w:rPr>
        <w:t xml:space="preserve">                             </w:t>
      </w:r>
    </w:p>
    <w:p w14:paraId="65D972E4">
      <w:pPr>
        <w:spacing w:line="360" w:lineRule="auto"/>
        <w:ind w:left="420" w:leftChars="200"/>
        <w:rPr>
          <w:rFonts w:ascii="Times New Roman" w:eastAsia="宋体" w:hAnsi="Times New Roman" w:cs="Times New Roman"/>
          <w:sz w:val="32"/>
          <w:szCs w:val="32"/>
          <w:highlight w:val="none"/>
        </w:rPr>
      </w:pPr>
      <w:r>
        <w:rPr>
          <w:rFonts w:ascii="Times New Roman" w:eastAsia="宋体" w:hAnsi="Times New Roman" w:cs="Times New Roman" w:hint="eastAsia"/>
          <w:sz w:val="32"/>
          <w:szCs w:val="32"/>
          <w:highlight w:val="none"/>
        </w:rPr>
        <w:t>甲    方：</w:t>
      </w:r>
      <w:r>
        <w:rPr>
          <w:rFonts w:ascii="Times New Roman" w:eastAsia="宋体" w:hAnsi="Times New Roman" w:cs="Times New Roman" w:hint="eastAsia"/>
          <w:sz w:val="32"/>
          <w:szCs w:val="32"/>
          <w:highlight w:val="none"/>
          <w:u w:val="single"/>
        </w:rPr>
        <w:t xml:space="preserve">                             </w:t>
      </w:r>
    </w:p>
    <w:p w14:paraId="396FBB75">
      <w:pPr>
        <w:spacing w:line="360" w:lineRule="auto"/>
        <w:ind w:left="420" w:leftChars="200"/>
        <w:rPr>
          <w:rFonts w:ascii="Times New Roman" w:eastAsia="宋体" w:hAnsi="Times New Roman" w:cs="Times New Roman"/>
          <w:sz w:val="32"/>
          <w:szCs w:val="32"/>
          <w:highlight w:val="none"/>
          <w:u w:val="single"/>
        </w:rPr>
      </w:pPr>
      <w:r>
        <w:rPr>
          <w:rFonts w:ascii="Times New Roman" w:eastAsia="宋体" w:hAnsi="Times New Roman" w:cs="Times New Roman" w:hint="eastAsia"/>
          <w:sz w:val="32"/>
          <w:szCs w:val="32"/>
          <w:highlight w:val="none"/>
        </w:rPr>
        <w:t>乙    方：</w:t>
      </w:r>
      <w:r>
        <w:rPr>
          <w:rFonts w:ascii="Times New Roman" w:eastAsia="宋体" w:hAnsi="Times New Roman" w:cs="Times New Roman" w:hint="eastAsia"/>
          <w:sz w:val="32"/>
          <w:szCs w:val="32"/>
          <w:highlight w:val="none"/>
          <w:u w:val="single"/>
        </w:rPr>
        <w:t xml:space="preserve">                             </w:t>
      </w:r>
    </w:p>
    <w:p w14:paraId="6F943F18">
      <w:pPr>
        <w:spacing w:line="360" w:lineRule="auto"/>
        <w:ind w:left="420" w:leftChars="200"/>
        <w:rPr>
          <w:rFonts w:ascii="Times New Roman" w:eastAsia="宋体" w:hAnsi="Times New Roman" w:cs="Times New Roman"/>
          <w:sz w:val="32"/>
          <w:szCs w:val="32"/>
          <w:highlight w:val="none"/>
        </w:rPr>
      </w:pPr>
      <w:r>
        <w:rPr>
          <w:rFonts w:ascii="Times New Roman" w:eastAsia="宋体" w:hAnsi="Times New Roman" w:cs="Times New Roman" w:hint="eastAsia"/>
          <w:sz w:val="32"/>
          <w:szCs w:val="32"/>
          <w:highlight w:val="none"/>
        </w:rPr>
        <w:t>签订时间：</w:t>
      </w:r>
      <w:r>
        <w:rPr>
          <w:rFonts w:ascii="Times New Roman" w:eastAsia="宋体" w:hAnsi="Times New Roman" w:cs="Times New Roman" w:hint="eastAsia"/>
          <w:sz w:val="32"/>
          <w:szCs w:val="32"/>
          <w:highlight w:val="none"/>
          <w:u w:val="single"/>
        </w:rPr>
        <w:t xml:space="preserve">      </w:t>
      </w:r>
      <w:r>
        <w:rPr>
          <w:rFonts w:ascii="Times New Roman" w:eastAsia="宋体" w:hAnsi="Times New Roman" w:cs="Times New Roman"/>
          <w:sz w:val="32"/>
          <w:szCs w:val="32"/>
          <w:highlight w:val="none"/>
          <w:u w:val="single"/>
        </w:rPr>
        <w:t xml:space="preserve">           </w:t>
      </w:r>
      <w:r>
        <w:rPr>
          <w:rFonts w:ascii="Times New Roman" w:eastAsia="宋体" w:hAnsi="Times New Roman" w:cs="Times New Roman" w:hint="eastAsia"/>
          <w:sz w:val="32"/>
          <w:szCs w:val="32"/>
          <w:highlight w:val="none"/>
          <w:u w:val="single"/>
        </w:rPr>
        <w:t xml:space="preserve">            </w:t>
      </w:r>
    </w:p>
    <w:p w14:paraId="2F4F57DD">
      <w:pPr>
        <w:rPr>
          <w:rFonts w:ascii="Times New Roman" w:eastAsia="宋体" w:hAnsi="Times New Roman" w:cs="Times New Roman"/>
          <w:szCs w:val="20"/>
          <w:highlight w:val="none"/>
        </w:rPr>
      </w:pPr>
    </w:p>
    <w:p w14:paraId="57098074">
      <w:pPr>
        <w:rPr>
          <w:rFonts w:ascii="Times New Roman" w:eastAsia="黑体" w:hAnsi="Times New Roman" w:cs="Times New Roman"/>
          <w:sz w:val="44"/>
          <w:szCs w:val="44"/>
          <w:highlight w:val="none"/>
        </w:rPr>
      </w:pPr>
      <w:r>
        <w:rPr>
          <w:rFonts w:ascii="Times New Roman" w:eastAsia="黑体" w:hAnsi="Times New Roman" w:cs="Times New Roman"/>
          <w:sz w:val="44"/>
          <w:szCs w:val="44"/>
          <w:highlight w:val="none"/>
        </w:rPr>
        <w:br w:type="page"/>
      </w:r>
    </w:p>
    <w:p w14:paraId="3C66F4D7">
      <w:pPr>
        <w:rPr>
          <w:rFonts w:ascii="Times New Roman" w:eastAsia="黑体" w:hAnsi="Times New Roman" w:cs="Times New Roman"/>
          <w:sz w:val="44"/>
          <w:szCs w:val="44"/>
          <w:highlight w:val="none"/>
        </w:rPr>
      </w:pPr>
    </w:p>
    <w:p w14:paraId="78F3BD7D">
      <w:pPr>
        <w:rPr>
          <w:rFonts w:ascii="Times New Roman" w:eastAsia="黑体" w:hAnsi="Times New Roman" w:cs="Times New Roman"/>
          <w:sz w:val="44"/>
          <w:szCs w:val="44"/>
          <w:highlight w:val="none"/>
        </w:rPr>
      </w:pPr>
    </w:p>
    <w:p w14:paraId="31B9EC56">
      <w:pPr>
        <w:jc w:val="center"/>
        <w:rPr>
          <w:rFonts w:ascii="Times New Roman" w:eastAsia="黑体" w:hAnsi="Times New Roman" w:cs="Times New Roman"/>
          <w:sz w:val="44"/>
          <w:szCs w:val="44"/>
          <w:highlight w:val="none"/>
        </w:rPr>
      </w:pPr>
      <w:r>
        <w:rPr>
          <w:rFonts w:ascii="Times New Roman" w:eastAsia="黑体" w:hAnsi="Times New Roman" w:cs="Times New Roman" w:hint="eastAsia"/>
          <w:sz w:val="44"/>
          <w:szCs w:val="44"/>
          <w:highlight w:val="none"/>
        </w:rPr>
        <w:t>使 用 说 明</w:t>
      </w:r>
    </w:p>
    <w:p w14:paraId="45D7232F">
      <w:pPr>
        <w:ind w:firstLine="640" w:firstLineChars="200"/>
        <w:rPr>
          <w:rFonts w:ascii="仿宋_GB2312" w:eastAsia="仿宋_GB2312" w:hAnsi="仿宋_GB2312" w:cs="仿宋_GB2312"/>
          <w:sz w:val="32"/>
          <w:szCs w:val="32"/>
          <w:highlight w:val="none"/>
        </w:rPr>
      </w:pPr>
    </w:p>
    <w:p w14:paraId="10CD1A08">
      <w:pPr>
        <w:numPr>
          <w:ilvl w:val="0"/>
          <w:numId w:val="6"/>
        </w:numPr>
        <w:tabs>
          <w:tab w:val="left" w:pos="312"/>
        </w:tabs>
        <w:spacing w:line="360" w:lineRule="auto"/>
        <w:ind w:firstLine="638" w:firstLineChars="228"/>
        <w:rPr>
          <w:rFonts w:ascii="宋体" w:eastAsia="宋体" w:hAnsi="宋体" w:cs="宋体"/>
          <w:sz w:val="28"/>
          <w:szCs w:val="28"/>
          <w:highlight w:val="none"/>
        </w:rPr>
      </w:pPr>
      <w:r>
        <w:rPr>
          <w:rFonts w:ascii="宋体" w:eastAsia="宋体" w:hAnsi="宋体" w:cs="宋体" w:hint="eastAsia"/>
          <w:sz w:val="28"/>
          <w:szCs w:val="28"/>
          <w:highlight w:val="none"/>
        </w:rPr>
        <w:t>本合同标准文本适用于气象部门服务类（非定制开发软件）采购项目。</w:t>
      </w:r>
    </w:p>
    <w:p w14:paraId="31C60328">
      <w:pPr>
        <w:numPr>
          <w:ilvl w:val="0"/>
          <w:numId w:val="6"/>
        </w:numPr>
        <w:tabs>
          <w:tab w:val="left" w:pos="312"/>
        </w:tabs>
        <w:spacing w:line="360" w:lineRule="auto"/>
        <w:ind w:firstLine="638" w:firstLineChars="228"/>
        <w:rPr>
          <w:rFonts w:ascii="宋体" w:eastAsia="宋体" w:hAnsi="宋体" w:cs="宋体"/>
          <w:sz w:val="28"/>
          <w:szCs w:val="28"/>
          <w:highlight w:val="none"/>
        </w:rPr>
      </w:pPr>
      <w:r>
        <w:rPr>
          <w:rFonts w:ascii="宋体" w:eastAsia="宋体" w:hAnsi="宋体" w:cs="宋体" w:hint="eastAsia"/>
          <w:sz w:val="28"/>
          <w:szCs w:val="28"/>
          <w:highlight w:val="none"/>
        </w:rPr>
        <w:t>可以结合采购项目具体情况，对文本作必要的调整修订后使用。</w:t>
      </w:r>
    </w:p>
    <w:p w14:paraId="3FFC9E00">
      <w:pPr>
        <w:numPr>
          <w:ilvl w:val="0"/>
          <w:numId w:val="6"/>
        </w:numPr>
        <w:tabs>
          <w:tab w:val="left" w:pos="312"/>
        </w:tabs>
        <w:spacing w:line="360" w:lineRule="auto"/>
        <w:ind w:firstLine="638" w:firstLineChars="228"/>
        <w:rPr>
          <w:rFonts w:ascii="宋体" w:eastAsia="宋体" w:hAnsi="宋体" w:cs="宋体"/>
          <w:sz w:val="28"/>
          <w:szCs w:val="28"/>
          <w:highlight w:val="none"/>
        </w:rPr>
      </w:pPr>
      <w:r>
        <w:rPr>
          <w:rFonts w:ascii="宋体" w:eastAsia="宋体" w:hAnsi="宋体" w:cs="宋体" w:hint="eastAsia"/>
          <w:sz w:val="28"/>
          <w:szCs w:val="28"/>
          <w:highlight w:val="none"/>
        </w:rPr>
        <w:t>本合同标准文本各条款中，如涉及填写多家供应商、多种采购标的等信息的，可根据采购项目具体情况添加信息项。</w:t>
      </w:r>
    </w:p>
    <w:p w14:paraId="14C2E2E0">
      <w:pPr>
        <w:widowControl/>
        <w:jc w:val="left"/>
        <w:rPr>
          <w:rFonts w:ascii="宋体" w:eastAsia="宋体" w:hAnsi="宋体" w:cs="Times New Roman"/>
          <w:szCs w:val="21"/>
          <w:highlight w:val="none"/>
        </w:rPr>
      </w:pPr>
      <w:r>
        <w:rPr>
          <w:rFonts w:ascii="宋体" w:eastAsia="宋体" w:hAnsi="宋体" w:cs="Times New Roman"/>
          <w:szCs w:val="21"/>
          <w:highlight w:val="none"/>
        </w:rPr>
        <w:br w:type="page"/>
      </w:r>
    </w:p>
    <w:p w14:paraId="495425E2">
      <w:pPr>
        <w:snapToGrid w:val="0"/>
        <w:spacing w:line="360" w:lineRule="auto"/>
        <w:ind w:firstLine="420"/>
        <w:rPr>
          <w:rFonts w:ascii="宋体" w:eastAsia="宋体" w:hAnsi="宋体" w:cs="Times New Roman"/>
          <w:szCs w:val="21"/>
          <w:highlight w:val="none"/>
        </w:rPr>
      </w:pPr>
    </w:p>
    <w:p w14:paraId="16A44E12">
      <w:pPr>
        <w:tabs>
          <w:tab w:val="left" w:pos="1573"/>
        </w:tabs>
        <w:adjustRightInd w:val="0"/>
        <w:snapToGrid w:val="0"/>
        <w:spacing w:line="360" w:lineRule="auto"/>
        <w:ind w:left="708" w:hanging="708"/>
        <w:jc w:val="center"/>
        <w:outlineLvl w:val="1"/>
        <w:rPr>
          <w:rFonts w:ascii="宋体" w:eastAsia="宋体" w:hAnsi="宋体" w:cs="Times New Roman"/>
          <w:b/>
          <w:sz w:val="30"/>
          <w:szCs w:val="30"/>
          <w:highlight w:val="none"/>
        </w:rPr>
      </w:pPr>
      <w:r>
        <w:rPr>
          <w:rFonts w:ascii="宋体" w:eastAsia="宋体" w:hAnsi="宋体" w:cs="Times New Roman" w:hint="eastAsia"/>
          <w:b/>
          <w:sz w:val="30"/>
          <w:szCs w:val="30"/>
          <w:highlight w:val="none"/>
        </w:rPr>
        <w:t>第一部分  合同专用部分</w:t>
      </w:r>
    </w:p>
    <w:p w14:paraId="3CCED526">
      <w:pPr>
        <w:snapToGrid w:val="0"/>
        <w:spacing w:line="360" w:lineRule="auto"/>
        <w:ind w:firstLine="420"/>
        <w:jc w:val="center"/>
        <w:rPr>
          <w:rFonts w:ascii="宋体" w:eastAsia="宋体" w:hAnsi="宋体" w:cs="Times New Roman"/>
          <w:szCs w:val="21"/>
          <w:highlight w:val="none"/>
        </w:rPr>
      </w:pPr>
    </w:p>
    <w:p w14:paraId="044A31A1">
      <w:pPr>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甲方（采购人）：</w:t>
      </w:r>
      <w:r>
        <w:rPr>
          <w:rFonts w:ascii="Times New Roman" w:eastAsia="宋体" w:hAnsi="Times New Roman" w:cs="Times New Roman" w:hint="eastAsia"/>
          <w:szCs w:val="21"/>
          <w:highlight w:val="none"/>
          <w:u w:val="single"/>
        </w:rPr>
        <w:t xml:space="preserve">                                  </w:t>
      </w:r>
    </w:p>
    <w:p w14:paraId="45A657C3">
      <w:pPr>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乙方（中标人）：</w:t>
      </w:r>
      <w:r>
        <w:rPr>
          <w:rFonts w:ascii="Times New Roman" w:eastAsia="宋体" w:hAnsi="Times New Roman" w:cs="Times New Roman" w:hint="eastAsia"/>
          <w:szCs w:val="21"/>
          <w:highlight w:val="none"/>
          <w:u w:val="single"/>
        </w:rPr>
        <w:t xml:space="preserve">                                  </w:t>
      </w:r>
    </w:p>
    <w:p w14:paraId="75C79CC6">
      <w:pPr>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甲乙双方</w:t>
      </w:r>
      <w:r>
        <w:rPr>
          <w:rFonts w:ascii="Calibri" w:eastAsia="宋体" w:hAnsi="Calibri" w:cs="Times New Roman" w:hint="eastAsia"/>
          <w:szCs w:val="21"/>
          <w:highlight w:val="none"/>
        </w:rPr>
        <w:t>根据《中华人民共和国民法典（合同编）》、《中华人民共和国政府采购法》、《中华人民共和国政府采购法实施条例》和相关法律法规以及本项目招标文件的规定，</w:t>
      </w:r>
      <w:r>
        <w:rPr>
          <w:rFonts w:ascii="Times New Roman" w:eastAsia="宋体" w:hAnsi="Times New Roman" w:cs="Times New Roman" w:hint="eastAsia"/>
          <w:szCs w:val="21"/>
          <w:highlight w:val="none"/>
        </w:rPr>
        <w:t>经平等协商达成合同如下：</w:t>
      </w:r>
    </w:p>
    <w:p w14:paraId="3CEEBBA2">
      <w:pPr>
        <w:adjustRightInd w:val="0"/>
        <w:snapToGrid w:val="0"/>
        <w:spacing w:line="360" w:lineRule="auto"/>
        <w:ind w:firstLine="412" w:firstLineChars="196"/>
        <w:rPr>
          <w:rFonts w:ascii="Times New Roman" w:eastAsia="宋体" w:hAnsi="Times New Roman" w:cs="Times New Roman"/>
          <w:b/>
          <w:szCs w:val="20"/>
          <w:highlight w:val="none"/>
        </w:rPr>
      </w:pPr>
      <w:r>
        <w:rPr>
          <w:rFonts w:ascii="Times New Roman" w:eastAsia="宋体" w:hAnsi="Times New Roman" w:cs="Times New Roman" w:hint="eastAsia"/>
          <w:b/>
          <w:szCs w:val="20"/>
          <w:highlight w:val="none"/>
        </w:rPr>
        <w:t>一、项目</w:t>
      </w:r>
    </w:p>
    <w:p w14:paraId="1B343613">
      <w:pPr>
        <w:adjustRightInd w:val="0"/>
        <w:snapToGrid w:val="0"/>
        <w:spacing w:line="360" w:lineRule="auto"/>
        <w:ind w:firstLine="420" w:firstLineChars="200"/>
        <w:rPr>
          <w:rFonts w:ascii="Times New Roman" w:eastAsia="宋体" w:hAnsi="Times New Roman" w:cs="Times New Roman"/>
          <w:szCs w:val="21"/>
          <w:highlight w:val="none"/>
          <w:u w:val="single"/>
        </w:rPr>
      </w:pPr>
      <w:r>
        <w:rPr>
          <w:rFonts w:ascii="Times New Roman" w:eastAsia="宋体" w:hAnsi="Times New Roman" w:cs="Times New Roman" w:hint="eastAsia"/>
          <w:szCs w:val="21"/>
          <w:highlight w:val="none"/>
        </w:rPr>
        <w:t>项目名称：</w:t>
      </w:r>
      <w:r>
        <w:rPr>
          <w:rFonts w:ascii="Times New Roman" w:eastAsia="宋体" w:hAnsi="Times New Roman" w:cs="Times New Roman" w:hint="eastAsia"/>
          <w:szCs w:val="21"/>
          <w:highlight w:val="none"/>
          <w:u w:val="single"/>
        </w:rPr>
        <w:t xml:space="preserve">                                    </w:t>
      </w:r>
    </w:p>
    <w:p w14:paraId="5E3BC8D0">
      <w:pPr>
        <w:adjustRightInd w:val="0"/>
        <w:snapToGrid w:val="0"/>
        <w:spacing w:line="360" w:lineRule="auto"/>
        <w:ind w:firstLine="420" w:firstLineChars="200"/>
        <w:rPr>
          <w:rFonts w:ascii="Times New Roman" w:eastAsia="宋体" w:hAnsi="Times New Roman" w:cs="Times New Roman"/>
          <w:szCs w:val="21"/>
          <w:highlight w:val="none"/>
          <w:u w:val="single"/>
        </w:rPr>
      </w:pPr>
      <w:r>
        <w:rPr>
          <w:rFonts w:ascii="Times New Roman" w:eastAsia="宋体" w:hAnsi="Times New Roman" w:cs="Times New Roman" w:hint="eastAsia"/>
          <w:szCs w:val="21"/>
          <w:highlight w:val="none"/>
        </w:rPr>
        <w:t>项目编号和分包号：</w:t>
      </w:r>
      <w:r>
        <w:rPr>
          <w:rFonts w:ascii="Times New Roman" w:eastAsia="宋体" w:hAnsi="Times New Roman" w:cs="Times New Roman" w:hint="eastAsia"/>
          <w:szCs w:val="21"/>
          <w:highlight w:val="none"/>
          <w:u w:val="single"/>
        </w:rPr>
        <w:t xml:space="preserve">                            </w:t>
      </w:r>
    </w:p>
    <w:p w14:paraId="13F25FBD">
      <w:pPr>
        <w:adjustRightInd w:val="0"/>
        <w:snapToGrid w:val="0"/>
        <w:spacing w:line="360" w:lineRule="auto"/>
        <w:ind w:firstLine="420" w:firstLineChars="200"/>
        <w:rPr>
          <w:rFonts w:ascii="宋体" w:eastAsia="宋体" w:hAnsi="宋体" w:cs="Times New Roman"/>
          <w:b/>
          <w:szCs w:val="28"/>
          <w:highlight w:val="none"/>
        </w:rPr>
      </w:pPr>
      <w:r>
        <w:rPr>
          <w:rFonts w:ascii="Times New Roman" w:eastAsia="宋体" w:hAnsi="Times New Roman" w:cs="Times New Roman" w:hint="eastAsia"/>
          <w:szCs w:val="21"/>
          <w:highlight w:val="none"/>
        </w:rPr>
        <w:t>二、</w:t>
      </w:r>
      <w:r>
        <w:rPr>
          <w:rFonts w:ascii="宋体" w:eastAsia="宋体" w:hAnsi="宋体" w:cs="Times New Roman" w:hint="eastAsia"/>
          <w:b/>
          <w:szCs w:val="28"/>
          <w:highlight w:val="none"/>
        </w:rPr>
        <w:t>合同标的</w:t>
      </w:r>
    </w:p>
    <w:p w14:paraId="5A4AF758">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68"/>
        <w:gridCol w:w="2935"/>
        <w:gridCol w:w="735"/>
        <w:gridCol w:w="1318"/>
        <w:gridCol w:w="750"/>
        <w:gridCol w:w="1275"/>
      </w:tblGrid>
      <w:tr w14:paraId="4B91CC8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768" w:type="dxa"/>
            <w:noWrap w:val="0"/>
            <w:vAlign w:val="center"/>
          </w:tcPr>
          <w:p w14:paraId="437DC173">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序号</w:t>
            </w:r>
          </w:p>
        </w:tc>
        <w:tc>
          <w:tcPr>
            <w:tcW w:w="2935" w:type="dxa"/>
            <w:noWrap w:val="0"/>
            <w:vAlign w:val="center"/>
          </w:tcPr>
          <w:p w14:paraId="70BAC9E0">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服务产品名称</w:t>
            </w:r>
          </w:p>
        </w:tc>
        <w:tc>
          <w:tcPr>
            <w:tcW w:w="735" w:type="dxa"/>
            <w:noWrap w:val="0"/>
            <w:vAlign w:val="center"/>
          </w:tcPr>
          <w:p w14:paraId="219ED6CB">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数量</w:t>
            </w:r>
          </w:p>
        </w:tc>
        <w:tc>
          <w:tcPr>
            <w:tcW w:w="1318" w:type="dxa"/>
            <w:noWrap w:val="0"/>
            <w:vAlign w:val="center"/>
          </w:tcPr>
          <w:p w14:paraId="021394AC">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质量说明</w:t>
            </w:r>
          </w:p>
        </w:tc>
        <w:tc>
          <w:tcPr>
            <w:tcW w:w="750" w:type="dxa"/>
            <w:noWrap w:val="0"/>
            <w:vAlign w:val="center"/>
          </w:tcPr>
          <w:p w14:paraId="22EF82A4">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价格</w:t>
            </w:r>
          </w:p>
        </w:tc>
        <w:tc>
          <w:tcPr>
            <w:tcW w:w="1275" w:type="dxa"/>
            <w:noWrap w:val="0"/>
            <w:vAlign w:val="center"/>
          </w:tcPr>
          <w:p w14:paraId="4943E95A">
            <w:pPr>
              <w:tabs>
                <w:tab w:val="left" w:pos="1573"/>
              </w:tabs>
              <w:autoSpaceDE w:val="0"/>
              <w:autoSpaceDN w:val="0"/>
              <w:adjustRightInd w:val="0"/>
              <w:snapToGrid w:val="0"/>
              <w:spacing w:line="360" w:lineRule="auto"/>
              <w:jc w:val="center"/>
              <w:rPr>
                <w:rFonts w:ascii="宋体" w:eastAsia="宋体" w:hAnsi="宋体" w:cs="Times New Roman"/>
                <w:szCs w:val="21"/>
                <w:highlight w:val="none"/>
              </w:rPr>
            </w:pPr>
            <w:r>
              <w:rPr>
                <w:rFonts w:ascii="宋体" w:eastAsia="宋体" w:hAnsi="宋体" w:cs="Times New Roman" w:hint="eastAsia"/>
                <w:szCs w:val="21"/>
                <w:highlight w:val="none"/>
              </w:rPr>
              <w:t>交付时间</w:t>
            </w:r>
          </w:p>
        </w:tc>
      </w:tr>
      <w:tr w14:paraId="2716042C">
        <w:tblPrEx>
          <w:tblW w:w="0" w:type="auto"/>
          <w:jc w:val="center"/>
          <w:tblLayout w:type="fixed"/>
          <w:tblCellMar>
            <w:top w:w="0" w:type="dxa"/>
            <w:left w:w="108" w:type="dxa"/>
            <w:bottom w:w="0" w:type="dxa"/>
            <w:right w:w="108" w:type="dxa"/>
          </w:tblCellMar>
        </w:tblPrEx>
        <w:trPr>
          <w:jc w:val="center"/>
        </w:trPr>
        <w:tc>
          <w:tcPr>
            <w:tcW w:w="768" w:type="dxa"/>
            <w:noWrap w:val="0"/>
            <w:vAlign w:val="center"/>
          </w:tcPr>
          <w:p w14:paraId="09045DC3">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2935" w:type="dxa"/>
            <w:noWrap w:val="0"/>
            <w:vAlign w:val="center"/>
          </w:tcPr>
          <w:p w14:paraId="657D2E2D">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35" w:type="dxa"/>
            <w:noWrap w:val="0"/>
            <w:vAlign w:val="center"/>
          </w:tcPr>
          <w:p w14:paraId="45989F1B">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318" w:type="dxa"/>
            <w:noWrap w:val="0"/>
            <w:vAlign w:val="center"/>
          </w:tcPr>
          <w:p w14:paraId="19C565EE">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50" w:type="dxa"/>
            <w:noWrap w:val="0"/>
            <w:vAlign w:val="center"/>
          </w:tcPr>
          <w:p w14:paraId="407F619D">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275" w:type="dxa"/>
            <w:noWrap w:val="0"/>
            <w:vAlign w:val="center"/>
          </w:tcPr>
          <w:p w14:paraId="5F674976">
            <w:pPr>
              <w:tabs>
                <w:tab w:val="left" w:pos="1573"/>
              </w:tabs>
              <w:autoSpaceDE w:val="0"/>
              <w:autoSpaceDN w:val="0"/>
              <w:adjustRightInd w:val="0"/>
              <w:snapToGrid w:val="0"/>
              <w:spacing w:line="360" w:lineRule="auto"/>
              <w:rPr>
                <w:rFonts w:ascii="宋体" w:eastAsia="宋体" w:hAnsi="宋体" w:cs="Times New Roman"/>
                <w:szCs w:val="21"/>
                <w:highlight w:val="none"/>
              </w:rPr>
            </w:pPr>
          </w:p>
        </w:tc>
      </w:tr>
      <w:tr w14:paraId="06CDE2F9">
        <w:tblPrEx>
          <w:tblW w:w="0" w:type="auto"/>
          <w:jc w:val="center"/>
          <w:tblLayout w:type="fixed"/>
          <w:tblCellMar>
            <w:top w:w="0" w:type="dxa"/>
            <w:left w:w="108" w:type="dxa"/>
            <w:bottom w:w="0" w:type="dxa"/>
            <w:right w:w="108" w:type="dxa"/>
          </w:tblCellMar>
        </w:tblPrEx>
        <w:trPr>
          <w:jc w:val="center"/>
        </w:trPr>
        <w:tc>
          <w:tcPr>
            <w:tcW w:w="768" w:type="dxa"/>
            <w:noWrap w:val="0"/>
            <w:vAlign w:val="center"/>
          </w:tcPr>
          <w:p w14:paraId="645BB238">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2935" w:type="dxa"/>
            <w:noWrap w:val="0"/>
            <w:vAlign w:val="center"/>
          </w:tcPr>
          <w:p w14:paraId="464276BE">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35" w:type="dxa"/>
            <w:noWrap w:val="0"/>
            <w:vAlign w:val="center"/>
          </w:tcPr>
          <w:p w14:paraId="39899D6D">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318" w:type="dxa"/>
            <w:noWrap w:val="0"/>
            <w:vAlign w:val="center"/>
          </w:tcPr>
          <w:p w14:paraId="1F44AC71">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50" w:type="dxa"/>
            <w:noWrap w:val="0"/>
            <w:vAlign w:val="center"/>
          </w:tcPr>
          <w:p w14:paraId="6A68E061">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275" w:type="dxa"/>
            <w:noWrap w:val="0"/>
            <w:vAlign w:val="center"/>
          </w:tcPr>
          <w:p w14:paraId="20AA5AA0">
            <w:pPr>
              <w:tabs>
                <w:tab w:val="left" w:pos="1573"/>
              </w:tabs>
              <w:autoSpaceDE w:val="0"/>
              <w:autoSpaceDN w:val="0"/>
              <w:adjustRightInd w:val="0"/>
              <w:snapToGrid w:val="0"/>
              <w:spacing w:line="360" w:lineRule="auto"/>
              <w:rPr>
                <w:rFonts w:ascii="宋体" w:eastAsia="宋体" w:hAnsi="宋体" w:cs="Times New Roman"/>
                <w:szCs w:val="21"/>
                <w:highlight w:val="none"/>
              </w:rPr>
            </w:pPr>
          </w:p>
        </w:tc>
      </w:tr>
      <w:tr w14:paraId="2B245AC5">
        <w:tblPrEx>
          <w:tblW w:w="0" w:type="auto"/>
          <w:jc w:val="center"/>
          <w:tblLayout w:type="fixed"/>
          <w:tblCellMar>
            <w:top w:w="0" w:type="dxa"/>
            <w:left w:w="108" w:type="dxa"/>
            <w:bottom w:w="0" w:type="dxa"/>
            <w:right w:w="108" w:type="dxa"/>
          </w:tblCellMar>
        </w:tblPrEx>
        <w:trPr>
          <w:jc w:val="center"/>
        </w:trPr>
        <w:tc>
          <w:tcPr>
            <w:tcW w:w="768" w:type="dxa"/>
            <w:noWrap w:val="0"/>
            <w:vAlign w:val="center"/>
          </w:tcPr>
          <w:p w14:paraId="703E0804">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2935" w:type="dxa"/>
            <w:noWrap w:val="0"/>
            <w:vAlign w:val="center"/>
          </w:tcPr>
          <w:p w14:paraId="16A208E9">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35" w:type="dxa"/>
            <w:noWrap w:val="0"/>
            <w:vAlign w:val="center"/>
          </w:tcPr>
          <w:p w14:paraId="15C8F28E">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318" w:type="dxa"/>
            <w:noWrap w:val="0"/>
            <w:vAlign w:val="center"/>
          </w:tcPr>
          <w:p w14:paraId="73D3E92B">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50" w:type="dxa"/>
            <w:noWrap w:val="0"/>
            <w:vAlign w:val="center"/>
          </w:tcPr>
          <w:p w14:paraId="55841558">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275" w:type="dxa"/>
            <w:noWrap w:val="0"/>
            <w:vAlign w:val="center"/>
          </w:tcPr>
          <w:p w14:paraId="6A90EC81">
            <w:pPr>
              <w:tabs>
                <w:tab w:val="left" w:pos="1573"/>
              </w:tabs>
              <w:autoSpaceDE w:val="0"/>
              <w:autoSpaceDN w:val="0"/>
              <w:adjustRightInd w:val="0"/>
              <w:snapToGrid w:val="0"/>
              <w:spacing w:line="360" w:lineRule="auto"/>
              <w:rPr>
                <w:rFonts w:ascii="宋体" w:eastAsia="宋体" w:hAnsi="宋体" w:cs="Times New Roman"/>
                <w:szCs w:val="21"/>
                <w:highlight w:val="none"/>
              </w:rPr>
            </w:pPr>
          </w:p>
        </w:tc>
      </w:tr>
    </w:tbl>
    <w:p w14:paraId="1B094D10">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宋体" w:eastAsia="宋体" w:hAnsi="宋体" w:cs="Times New Roman" w:hint="eastAsia"/>
          <w:b/>
          <w:szCs w:val="28"/>
          <w:highlight w:val="none"/>
        </w:rPr>
        <w:t>三</w:t>
      </w:r>
      <w:r>
        <w:rPr>
          <w:rFonts w:ascii="Times New Roman" w:eastAsia="宋体" w:hAnsi="宋体" w:cs="Times New Roman" w:hint="eastAsia"/>
          <w:b/>
          <w:szCs w:val="20"/>
          <w:highlight w:val="none"/>
        </w:rPr>
        <w:t>、合同价格及</w:t>
      </w:r>
      <w:r>
        <w:rPr>
          <w:rFonts w:ascii="宋体" w:eastAsia="宋体" w:hAnsi="宋体" w:cs="Times New Roman" w:hint="eastAsia"/>
          <w:b/>
          <w:szCs w:val="28"/>
          <w:highlight w:val="none"/>
        </w:rPr>
        <w:t>付款方式</w:t>
      </w:r>
    </w:p>
    <w:p w14:paraId="41A7BE75">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1、合同总金额为人民币</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元（大写）：</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元（小写）。</w:t>
      </w:r>
    </w:p>
    <w:p w14:paraId="7B069A03">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2、合同生效后付款：双方签署合同后7个工作日内，甲方向乙方支付合同总金额的</w:t>
      </w:r>
      <w:r>
        <w:rPr>
          <w:rFonts w:ascii="宋体" w:eastAsia="宋体" w:hAnsi="宋体" w:cs="Times New Roman" w:hint="eastAsia"/>
          <w:szCs w:val="21"/>
          <w:highlight w:val="none"/>
          <w:lang w:val="en-US" w:eastAsia="zh-CN"/>
        </w:rPr>
        <w:t>50</w:t>
      </w:r>
      <w:r>
        <w:rPr>
          <w:rFonts w:ascii="宋体" w:eastAsia="宋体" w:hAnsi="宋体" w:cs="微软雅黑" w:hint="eastAsia"/>
          <w:b/>
          <w:color w:val="0000FF"/>
          <w:kern w:val="0"/>
          <w:szCs w:val="21"/>
          <w:highlight w:val="none"/>
        </w:rPr>
        <w:t>%</w:t>
      </w:r>
      <w:r>
        <w:rPr>
          <w:rFonts w:ascii="宋体" w:eastAsia="宋体" w:hAnsi="宋体" w:cs="Times New Roman" w:hint="eastAsia"/>
          <w:szCs w:val="21"/>
          <w:highlight w:val="none"/>
        </w:rPr>
        <w:t>，即人民币</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元（大写）：</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元（小写）；</w:t>
      </w:r>
    </w:p>
    <w:p w14:paraId="2B6F911F">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3、签署验收报告后付款：双方签署验收报告后7个工作日内，甲方向乙方支付合同总金额的</w:t>
      </w:r>
      <w:r>
        <w:rPr>
          <w:rFonts w:ascii="宋体" w:eastAsia="宋体" w:hAnsi="宋体" w:cs="微软雅黑" w:hint="eastAsia"/>
          <w:b/>
          <w:color w:val="0000FF"/>
          <w:kern w:val="0"/>
          <w:szCs w:val="21"/>
          <w:highlight w:val="none"/>
          <w:lang w:val="en-US" w:eastAsia="zh-CN"/>
        </w:rPr>
        <w:t>50</w:t>
      </w:r>
      <w:r>
        <w:rPr>
          <w:rFonts w:ascii="宋体" w:eastAsia="宋体" w:hAnsi="宋体" w:cs="微软雅黑" w:hint="eastAsia"/>
          <w:b/>
          <w:color w:val="0000FF"/>
          <w:kern w:val="0"/>
          <w:szCs w:val="21"/>
          <w:highlight w:val="none"/>
        </w:rPr>
        <w:t>%</w:t>
      </w:r>
      <w:r>
        <w:rPr>
          <w:rFonts w:ascii="宋体" w:eastAsia="宋体" w:hAnsi="宋体" w:cs="Times New Roman" w:hint="eastAsia"/>
          <w:szCs w:val="21"/>
          <w:highlight w:val="none"/>
        </w:rPr>
        <w:t>，即人民币</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元（大写）：</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元（小写）； </w:t>
      </w:r>
    </w:p>
    <w:p w14:paraId="7C7F7ADF">
      <w:pPr>
        <w:tabs>
          <w:tab w:val="left" w:pos="1573"/>
        </w:tabs>
        <w:adjustRightInd w:val="0"/>
        <w:snapToGrid w:val="0"/>
        <w:spacing w:line="360" w:lineRule="auto"/>
        <w:ind w:firstLine="420" w:firstLineChars="200"/>
        <w:jc w:val="left"/>
        <w:rPr>
          <w:rFonts w:ascii="Times New Roman" w:eastAsia="宋体" w:hAnsi="宋体" w:cs="Times New Roman"/>
          <w:kern w:val="0"/>
          <w:szCs w:val="20"/>
          <w:highlight w:val="none"/>
        </w:rPr>
      </w:pPr>
      <w:r>
        <w:rPr>
          <w:rFonts w:ascii="宋体" w:eastAsia="宋体" w:hAnsi="宋体" w:cs="Times New Roman" w:hint="eastAsia"/>
          <w:szCs w:val="21"/>
          <w:highlight w:val="none"/>
        </w:rPr>
        <w:t>4、保修期满后付款：保修期满期满后7个工作日内，甲方向乙方支付合同总金额的</w:t>
      </w:r>
      <w:r>
        <w:rPr>
          <w:rFonts w:ascii="宋体" w:eastAsia="宋体" w:hAnsi="宋体" w:cs="微软雅黑" w:hint="eastAsia"/>
          <w:b/>
          <w:color w:val="0000FF"/>
          <w:kern w:val="0"/>
          <w:szCs w:val="21"/>
          <w:highlight w:val="none"/>
        </w:rPr>
        <w:t>**%</w:t>
      </w:r>
      <w:r>
        <w:rPr>
          <w:rFonts w:ascii="宋体" w:eastAsia="宋体" w:hAnsi="宋体" w:cs="Times New Roman" w:hint="eastAsia"/>
          <w:szCs w:val="21"/>
          <w:highlight w:val="none"/>
        </w:rPr>
        <w:t>，即人民币</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元（大写）：</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元（小写）。</w:t>
      </w:r>
    </w:p>
    <w:p w14:paraId="0A5012CE">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四、甲方应向乙方提供的资料</w:t>
      </w:r>
    </w:p>
    <w:p w14:paraId="2E531A5D">
      <w:pPr>
        <w:tabs>
          <w:tab w:val="left" w:pos="1573"/>
        </w:tabs>
        <w:adjustRightInd w:val="0"/>
        <w:snapToGrid w:val="0"/>
        <w:spacing w:line="360" w:lineRule="auto"/>
        <w:ind w:firstLine="412" w:firstLineChars="196"/>
        <w:jc w:val="left"/>
        <w:rPr>
          <w:rFonts w:ascii="宋体" w:eastAsia="宋体" w:hAnsi="宋体" w:cs="Times New Roman"/>
          <w:szCs w:val="28"/>
          <w:highlight w:val="none"/>
        </w:rPr>
      </w:pPr>
      <w:r>
        <w:rPr>
          <w:rFonts w:ascii="宋体" w:eastAsia="宋体" w:hAnsi="宋体" w:cs="Times New Roman" w:hint="eastAsia"/>
          <w:szCs w:val="28"/>
          <w:highlight w:val="none"/>
        </w:rPr>
        <w:t>甲方提供该乙方履行合同所需的资料清单如下：</w:t>
      </w:r>
    </w:p>
    <w:p w14:paraId="190648E3">
      <w:pPr>
        <w:tabs>
          <w:tab w:val="left" w:pos="1573"/>
        </w:tabs>
        <w:adjustRightInd w:val="0"/>
        <w:snapToGrid w:val="0"/>
        <w:spacing w:line="360" w:lineRule="auto"/>
        <w:ind w:firstLine="412" w:firstLineChars="196"/>
        <w:jc w:val="left"/>
        <w:rPr>
          <w:rFonts w:ascii="宋体" w:eastAsia="宋体" w:hAnsi="宋体" w:cs="Times New Roman"/>
          <w:szCs w:val="28"/>
          <w:highlight w:val="none"/>
        </w:rPr>
      </w:pPr>
    </w:p>
    <w:p w14:paraId="552CE836">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五、进度要求及交付</w:t>
      </w:r>
    </w:p>
    <w:p w14:paraId="2F081D81">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1、交付日期：</w:t>
      </w:r>
      <w:r>
        <w:rPr>
          <w:rFonts w:ascii="宋体" w:eastAsia="宋体" w:hAnsi="宋体" w:cs="Times New Roman" w:hint="eastAsia"/>
          <w:szCs w:val="21"/>
          <w:highlight w:val="none"/>
          <w:u w:val="single"/>
        </w:rPr>
        <w:tab/>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w:t>
      </w:r>
    </w:p>
    <w:p w14:paraId="458DD154">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2、交付地点：</w:t>
      </w:r>
      <w:r>
        <w:rPr>
          <w:rFonts w:ascii="宋体" w:eastAsia="宋体" w:hAnsi="宋体" w:cs="Times New Roman" w:hint="eastAsia"/>
          <w:szCs w:val="21"/>
          <w:highlight w:val="none"/>
          <w:u w:val="single"/>
        </w:rPr>
        <w:tab/>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w:t>
      </w:r>
    </w:p>
    <w:p w14:paraId="6CEE7F70">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3、其他约定事项：</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w:t>
      </w:r>
    </w:p>
    <w:p w14:paraId="20B56523">
      <w:pPr>
        <w:tabs>
          <w:tab w:val="left" w:pos="1573"/>
        </w:tabs>
        <w:adjustRightInd w:val="0"/>
        <w:snapToGrid w:val="0"/>
        <w:spacing w:line="360" w:lineRule="auto"/>
        <w:ind w:left="420" w:leftChars="200"/>
        <w:rPr>
          <w:rFonts w:ascii="Times New Roman" w:eastAsia="宋体" w:hAnsi="Times New Roman" w:cs="Times New Roman"/>
          <w:b/>
          <w:szCs w:val="21"/>
          <w:highlight w:val="none"/>
        </w:rPr>
      </w:pPr>
      <w:r>
        <w:rPr>
          <w:rFonts w:ascii="宋体" w:eastAsia="宋体" w:hAnsi="宋体" w:cs="Times New Roman" w:hint="eastAsia"/>
          <w:b/>
          <w:szCs w:val="21"/>
          <w:highlight w:val="none"/>
        </w:rPr>
        <w:t>六、</w:t>
      </w:r>
      <w:r>
        <w:rPr>
          <w:rFonts w:ascii="Times New Roman" w:eastAsia="宋体" w:hAnsi="Times New Roman" w:cs="Times New Roman" w:hint="eastAsia"/>
          <w:b/>
          <w:szCs w:val="21"/>
          <w:highlight w:val="none"/>
        </w:rPr>
        <w:t>技术服务和保修责任</w:t>
      </w:r>
    </w:p>
    <w:p w14:paraId="6459DE1F">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r>
        <w:rPr>
          <w:rFonts w:ascii="宋体" w:eastAsia="宋体" w:hAnsi="宋体" w:cs="Times New Roman" w:hint="eastAsia"/>
          <w:szCs w:val="21"/>
          <w:highlight w:val="none"/>
        </w:rPr>
        <w:t>乙方对合同服务的质量保修期为验收证书签署之日起</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个月。</w:t>
      </w:r>
    </w:p>
    <w:p w14:paraId="3268DB87">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七、履约验收</w:t>
      </w:r>
    </w:p>
    <w:p w14:paraId="467B05BE">
      <w:pPr>
        <w:tabs>
          <w:tab w:val="left" w:pos="1573"/>
        </w:tabs>
        <w:adjustRightInd w:val="0"/>
        <w:snapToGrid w:val="0"/>
        <w:spacing w:line="360" w:lineRule="auto"/>
        <w:ind w:firstLine="412" w:firstLineChars="196"/>
        <w:jc w:val="left"/>
        <w:rPr>
          <w:rFonts w:ascii="宋体" w:eastAsia="宋体" w:hAnsi="宋体" w:cs="Times New Roman"/>
          <w:szCs w:val="28"/>
          <w:highlight w:val="none"/>
        </w:rPr>
      </w:pPr>
      <w:r>
        <w:rPr>
          <w:rFonts w:ascii="宋体" w:eastAsia="宋体" w:hAnsi="宋体" w:cs="Times New Roman" w:hint="eastAsia"/>
          <w:szCs w:val="28"/>
          <w:highlight w:val="none"/>
        </w:rPr>
        <w:t>（略）</w:t>
      </w:r>
    </w:p>
    <w:p w14:paraId="0B12BA12">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szCs w:val="28"/>
          <w:highlight w:val="none"/>
        </w:rPr>
        <w:t>具体条款由甲方商乙方拟定。基本内容应包括：验收时间；验收地点；一次性验收还是分阶段、分期验收；验收方式（包括</w:t>
      </w:r>
      <w:r>
        <w:rPr>
          <w:rFonts w:ascii="宋体" w:eastAsia="宋体" w:hAnsi="宋体" w:cs="Times New Roman" w:hint="eastAsia"/>
          <w:szCs w:val="21"/>
          <w:highlight w:val="none"/>
        </w:rPr>
        <w:t>自行简易验收、验收小组验收、委托第三方验收等）；验收内容和标准（参见附表）；验收未通过（整体未通过或部分未通过）的处理措施；验收费用承担方等</w:t>
      </w:r>
    </w:p>
    <w:p w14:paraId="33B47EC9">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八、风险管理</w:t>
      </w:r>
    </w:p>
    <w:p w14:paraId="0794A137">
      <w:pPr>
        <w:tabs>
          <w:tab w:val="left" w:pos="1573"/>
        </w:tabs>
        <w:adjustRightInd w:val="0"/>
        <w:snapToGrid w:val="0"/>
        <w:spacing w:line="360" w:lineRule="auto"/>
        <w:ind w:firstLine="412" w:firstLineChars="196"/>
        <w:jc w:val="left"/>
        <w:rPr>
          <w:rFonts w:ascii="宋体" w:eastAsia="宋体" w:hAnsi="宋体" w:cs="Times New Roman"/>
          <w:szCs w:val="20"/>
          <w:highlight w:val="none"/>
        </w:rPr>
      </w:pPr>
      <w:r>
        <w:rPr>
          <w:rFonts w:ascii="宋体" w:eastAsia="宋体" w:hAnsi="宋体" w:cs="Times New Roman" w:hint="eastAsia"/>
          <w:szCs w:val="20"/>
          <w:highlight w:val="none"/>
        </w:rPr>
        <w:t>（略）</w:t>
      </w:r>
    </w:p>
    <w:p w14:paraId="7ADFF70C">
      <w:pPr>
        <w:tabs>
          <w:tab w:val="left" w:pos="1573"/>
        </w:tabs>
        <w:adjustRightInd w:val="0"/>
        <w:snapToGrid w:val="0"/>
        <w:spacing w:line="360" w:lineRule="auto"/>
        <w:ind w:firstLine="412" w:firstLineChars="196"/>
        <w:jc w:val="left"/>
        <w:rPr>
          <w:rFonts w:ascii="宋体" w:eastAsia="宋体" w:hAnsi="宋体" w:cs="Times New Roman"/>
          <w:szCs w:val="20"/>
          <w:highlight w:val="none"/>
        </w:rPr>
      </w:pPr>
      <w:r>
        <w:rPr>
          <w:rFonts w:ascii="宋体" w:eastAsia="宋体" w:hAnsi="宋体" w:cs="Times New Roman" w:hint="eastAsia"/>
          <w:szCs w:val="20"/>
          <w:highlight w:val="none"/>
        </w:rPr>
        <w:t>按照《政府采购需求管理办法》（财库【2021】22号）有关规定，如本项目是1000万元以上的货物、服务采购项目或3000万元以上的工程采购项目，或者是涉及公共利益、社会关注度较高的采购项目（包括政府向社会公众提供的公共服务项目等），或者是技术复杂、专业性较强的项目（包括需要定制开发的信息化建设项目、采购进口产品的项目等），或者是采购人认为有必要的项目，要对合同履行过程中出现有关风险（如</w:t>
      </w:r>
      <w:r>
        <w:rPr>
          <w:rFonts w:ascii="Times New Roman" w:eastAsia="宋体" w:hAnsi="Times New Roman" w:cs="Times New Roman"/>
          <w:szCs w:val="20"/>
          <w:highlight w:val="none"/>
        </w:rPr>
        <w:t>国家政策变化</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实施环境变化</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重大技术变化</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预算项目调整</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因质疑投诉影响</w:t>
      </w:r>
      <w:r>
        <w:rPr>
          <w:rFonts w:ascii="Times New Roman" w:eastAsia="宋体" w:hAnsi="Times New Roman" w:cs="Times New Roman" w:hint="eastAsia"/>
          <w:szCs w:val="20"/>
          <w:highlight w:val="none"/>
        </w:rPr>
        <w:t>合同</w:t>
      </w:r>
      <w:r>
        <w:rPr>
          <w:rFonts w:ascii="Times New Roman" w:eastAsia="宋体" w:hAnsi="Times New Roman" w:cs="Times New Roman"/>
          <w:szCs w:val="20"/>
          <w:highlight w:val="none"/>
        </w:rPr>
        <w:t>进度</w:t>
      </w:r>
      <w:r>
        <w:rPr>
          <w:rFonts w:ascii="Times New Roman" w:eastAsia="宋体" w:hAnsi="Times New Roman" w:cs="Times New Roman" w:hint="eastAsia"/>
          <w:szCs w:val="20"/>
          <w:highlight w:val="none"/>
        </w:rPr>
        <w:t>等）</w:t>
      </w:r>
      <w:r>
        <w:rPr>
          <w:rFonts w:ascii="宋体" w:eastAsia="宋体" w:hAnsi="宋体" w:cs="Times New Roman" w:hint="eastAsia"/>
          <w:szCs w:val="20"/>
          <w:highlight w:val="none"/>
        </w:rPr>
        <w:t>的可能性、影响程度进行研判，明确管控责任，提出有针对性的处置措施和替代方案。如本项目不属于上述项目，“八、风险管理”可省略）</w:t>
      </w:r>
    </w:p>
    <w:p w14:paraId="555DD208">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九、违约责任</w:t>
      </w:r>
    </w:p>
    <w:p w14:paraId="79AF5D7C">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r>
        <w:rPr>
          <w:rFonts w:ascii="宋体" w:eastAsia="宋体" w:hAnsi="宋体" w:cs="Times New Roman" w:hint="eastAsia"/>
          <w:szCs w:val="28"/>
          <w:highlight w:val="none"/>
        </w:rPr>
        <w:t>1、</w:t>
      </w:r>
      <w:r>
        <w:rPr>
          <w:rFonts w:ascii="宋体" w:eastAsia="宋体" w:hAnsi="宋体" w:cs="Times New Roman" w:hint="eastAsia"/>
          <w:szCs w:val="21"/>
          <w:highlight w:val="none"/>
        </w:rPr>
        <w:t>延期交付或延期付款的违约责任：如乙方延期交付或甲方延期付款，每逾期一天，违约方应按延期交货所折合的金额或延期付款金额每天</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的比例向对方支付违约金，但该违约金累计不得超过合同总金额的</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%；上述逾期超过</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天，守约方有权解除合同，并要求违约方赔偿由此造成的损失。</w:t>
      </w:r>
    </w:p>
    <w:p w14:paraId="37758244">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r>
        <w:rPr>
          <w:rFonts w:ascii="宋体" w:eastAsia="宋体" w:hAnsi="宋体" w:cs="Times New Roman" w:hint="eastAsia"/>
          <w:szCs w:val="21"/>
          <w:highlight w:val="none"/>
        </w:rPr>
        <w:t>2、其它违约责任</w:t>
      </w:r>
    </w:p>
    <w:p w14:paraId="5F5F7172">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违约方应就每一单项违约向对方支付合同总金额</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%的违约金。</w:t>
      </w:r>
    </w:p>
    <w:p w14:paraId="2EAE3DE9">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宋体" w:eastAsia="宋体" w:hAnsi="宋体" w:cs="Times New Roman" w:hint="eastAsia"/>
          <w:b/>
          <w:szCs w:val="28"/>
          <w:highlight w:val="none"/>
        </w:rPr>
        <w:t>十、联系方式</w:t>
      </w:r>
    </w:p>
    <w:p w14:paraId="7F9E4E5C">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甲方：</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联系人：</w:t>
      </w:r>
      <w:r>
        <w:rPr>
          <w:rFonts w:ascii="宋体" w:eastAsia="宋体" w:hAnsi="宋体" w:cs="Times New Roman" w:hint="eastAsia"/>
          <w:szCs w:val="21"/>
          <w:highlight w:val="none"/>
          <w:u w:val="single"/>
        </w:rPr>
        <w:t xml:space="preserve">             </w:t>
      </w:r>
    </w:p>
    <w:p w14:paraId="2A7BA3C4">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地址：</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邮编：  </w:t>
      </w:r>
      <w:r>
        <w:rPr>
          <w:rFonts w:ascii="宋体" w:eastAsia="宋体" w:hAnsi="宋体" w:cs="Times New Roman" w:hint="eastAsia"/>
          <w:szCs w:val="21"/>
          <w:highlight w:val="none"/>
          <w:u w:val="single"/>
        </w:rPr>
        <w:t xml:space="preserve">             </w:t>
      </w:r>
    </w:p>
    <w:p w14:paraId="0F392FBB">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电话：</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E-mail：</w:t>
      </w:r>
      <w:r>
        <w:rPr>
          <w:rFonts w:ascii="宋体" w:eastAsia="宋体" w:hAnsi="宋体" w:cs="Times New Roman" w:hint="eastAsia"/>
          <w:szCs w:val="21"/>
          <w:highlight w:val="none"/>
          <w:u w:val="single"/>
        </w:rPr>
        <w:t xml:space="preserve">             </w:t>
      </w:r>
    </w:p>
    <w:p w14:paraId="2BCBDF29">
      <w:pPr>
        <w:tabs>
          <w:tab w:val="left" w:pos="1573"/>
        </w:tabs>
        <w:adjustRightInd w:val="0"/>
        <w:snapToGrid w:val="0"/>
        <w:ind w:firstLine="315" w:firstLineChars="150"/>
        <w:jc w:val="left"/>
        <w:rPr>
          <w:rFonts w:ascii="宋体" w:eastAsia="宋体" w:hAnsi="宋体" w:cs="Times New Roman"/>
          <w:szCs w:val="21"/>
          <w:highlight w:val="none"/>
          <w:u w:val="single"/>
        </w:rPr>
      </w:pPr>
      <w:r>
        <w:rPr>
          <w:rFonts w:ascii="宋体" w:eastAsia="宋体" w:hAnsi="宋体" w:cs="Times New Roman" w:hint="eastAsia"/>
          <w:szCs w:val="21"/>
          <w:highlight w:val="none"/>
        </w:rPr>
        <w:t>开户银行及帐号：</w:t>
      </w:r>
      <w:r>
        <w:rPr>
          <w:rFonts w:ascii="宋体" w:eastAsia="宋体" w:hAnsi="宋体" w:cs="Times New Roman" w:hint="eastAsia"/>
          <w:szCs w:val="21"/>
          <w:highlight w:val="none"/>
          <w:u w:val="single"/>
        </w:rPr>
        <w:t xml:space="preserve">                                              </w:t>
      </w:r>
    </w:p>
    <w:p w14:paraId="382E65F6">
      <w:pPr>
        <w:tabs>
          <w:tab w:val="left" w:pos="1573"/>
        </w:tabs>
        <w:adjustRightInd w:val="0"/>
        <w:snapToGrid w:val="0"/>
        <w:ind w:firstLine="315" w:firstLineChars="150"/>
        <w:jc w:val="left"/>
        <w:rPr>
          <w:rFonts w:ascii="宋体" w:eastAsia="宋体" w:hAnsi="宋体" w:cs="Times New Roman"/>
          <w:szCs w:val="21"/>
          <w:highlight w:val="none"/>
          <w:u w:val="single"/>
        </w:rPr>
      </w:pPr>
    </w:p>
    <w:p w14:paraId="1860EA3E">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乙方：</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联系人：</w:t>
      </w:r>
      <w:r>
        <w:rPr>
          <w:rFonts w:ascii="宋体" w:eastAsia="宋体" w:hAnsi="宋体" w:cs="Times New Roman" w:hint="eastAsia"/>
          <w:szCs w:val="21"/>
          <w:highlight w:val="none"/>
          <w:u w:val="single"/>
        </w:rPr>
        <w:t xml:space="preserve">             </w:t>
      </w:r>
    </w:p>
    <w:p w14:paraId="31AA9AF0">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地址：</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邮编：  </w:t>
      </w:r>
      <w:r>
        <w:rPr>
          <w:rFonts w:ascii="宋体" w:eastAsia="宋体" w:hAnsi="宋体" w:cs="Times New Roman" w:hint="eastAsia"/>
          <w:szCs w:val="21"/>
          <w:highlight w:val="none"/>
          <w:u w:val="single"/>
        </w:rPr>
        <w:t xml:space="preserve">             </w:t>
      </w:r>
    </w:p>
    <w:p w14:paraId="45456271">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电话：</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E-mail：</w:t>
      </w:r>
      <w:r>
        <w:rPr>
          <w:rFonts w:ascii="宋体" w:eastAsia="宋体" w:hAnsi="宋体" w:cs="Times New Roman" w:hint="eastAsia"/>
          <w:szCs w:val="21"/>
          <w:highlight w:val="none"/>
          <w:u w:val="single"/>
        </w:rPr>
        <w:t xml:space="preserve">             </w:t>
      </w:r>
    </w:p>
    <w:p w14:paraId="41906BF1">
      <w:pPr>
        <w:tabs>
          <w:tab w:val="left" w:pos="1573"/>
        </w:tabs>
        <w:adjustRightInd w:val="0"/>
        <w:snapToGrid w:val="0"/>
        <w:ind w:firstLine="315" w:firstLineChars="150"/>
        <w:jc w:val="left"/>
        <w:rPr>
          <w:rFonts w:ascii="宋体" w:eastAsia="宋体" w:hAnsi="宋体" w:cs="Times New Roman"/>
          <w:szCs w:val="21"/>
          <w:highlight w:val="none"/>
          <w:u w:val="single"/>
        </w:rPr>
      </w:pPr>
      <w:r>
        <w:rPr>
          <w:rFonts w:ascii="宋体" w:eastAsia="宋体" w:hAnsi="宋体" w:cs="Times New Roman" w:hint="eastAsia"/>
          <w:szCs w:val="21"/>
          <w:highlight w:val="none"/>
        </w:rPr>
        <w:t>开户银行及帐号：</w:t>
      </w:r>
      <w:r>
        <w:rPr>
          <w:rFonts w:ascii="宋体" w:eastAsia="宋体" w:hAnsi="宋体" w:cs="Times New Roman" w:hint="eastAsia"/>
          <w:szCs w:val="21"/>
          <w:highlight w:val="none"/>
          <w:u w:val="single"/>
        </w:rPr>
        <w:t xml:space="preserve">                                              </w:t>
      </w:r>
    </w:p>
    <w:p w14:paraId="60E7D5CF">
      <w:pPr>
        <w:tabs>
          <w:tab w:val="left" w:pos="1573"/>
        </w:tabs>
        <w:adjustRightInd w:val="0"/>
        <w:snapToGrid w:val="0"/>
        <w:spacing w:line="360" w:lineRule="auto"/>
        <w:ind w:firstLine="420" w:firstLineChars="200"/>
        <w:jc w:val="left"/>
        <w:rPr>
          <w:rFonts w:ascii="Times New Roman" w:eastAsia="宋体" w:hAnsi="Times New Roman" w:cs="Times New Roman"/>
          <w:b/>
          <w:szCs w:val="21"/>
          <w:highlight w:val="none"/>
        </w:rPr>
      </w:pPr>
    </w:p>
    <w:p w14:paraId="24E78717">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Times New Roman" w:eastAsia="宋体" w:hAnsi="Times New Roman" w:cs="Times New Roman" w:hint="eastAsia"/>
          <w:b/>
          <w:szCs w:val="21"/>
          <w:highlight w:val="none"/>
        </w:rPr>
        <w:t>十一、</w:t>
      </w:r>
      <w:r>
        <w:rPr>
          <w:rFonts w:ascii="宋体" w:eastAsia="宋体" w:hAnsi="宋体" w:cs="Times New Roman" w:hint="eastAsia"/>
          <w:b/>
          <w:szCs w:val="28"/>
          <w:highlight w:val="none"/>
        </w:rPr>
        <w:t>争议的解决</w:t>
      </w:r>
    </w:p>
    <w:p w14:paraId="3EE0E895">
      <w:pPr>
        <w:tabs>
          <w:tab w:val="left" w:pos="1573"/>
        </w:tabs>
        <w:adjustRightInd w:val="0"/>
        <w:snapToGrid w:val="0"/>
        <w:spacing w:line="360" w:lineRule="auto"/>
        <w:ind w:firstLine="420" w:firstLineChars="200"/>
        <w:jc w:val="left"/>
        <w:rPr>
          <w:rFonts w:ascii="宋体" w:eastAsia="宋体" w:hAnsi="宋体" w:cs="Times New Roman"/>
          <w:szCs w:val="28"/>
          <w:highlight w:val="none"/>
        </w:rPr>
      </w:pPr>
      <w:r>
        <w:rPr>
          <w:rFonts w:ascii="宋体" w:eastAsia="宋体" w:hAnsi="宋体" w:cs="Times New Roman" w:hint="eastAsia"/>
          <w:szCs w:val="28"/>
          <w:highlight w:val="none"/>
        </w:rPr>
        <w:t>本项目选择</w:t>
      </w:r>
      <w:r>
        <w:rPr>
          <w:rFonts w:ascii="宋体" w:eastAsia="宋体" w:hAnsi="宋体" w:cs="Times New Roman" w:hint="eastAsia"/>
          <w:b/>
          <w:szCs w:val="28"/>
          <w:highlight w:val="none"/>
        </w:rPr>
        <w:t>第二章合同条款通用部分</w:t>
      </w:r>
      <w:r>
        <w:rPr>
          <w:rFonts w:ascii="宋体" w:eastAsia="宋体" w:hAnsi="宋体" w:cs="Times New Roman" w:hint="eastAsia"/>
          <w:szCs w:val="28"/>
          <w:highlight w:val="none"/>
        </w:rPr>
        <w:t>“争议的解决”所属第</w:t>
      </w:r>
      <w:r>
        <w:rPr>
          <w:rFonts w:ascii="宋体" w:eastAsia="宋体" w:hAnsi="宋体" w:cs="Times New Roman" w:hint="eastAsia"/>
          <w:szCs w:val="28"/>
          <w:highlight w:val="none"/>
          <w:u w:val="single"/>
        </w:rPr>
        <w:t xml:space="preserve">      </w:t>
      </w:r>
      <w:r>
        <w:rPr>
          <w:rFonts w:ascii="宋体" w:eastAsia="宋体" w:hAnsi="宋体" w:cs="Times New Roman" w:hint="eastAsia"/>
          <w:szCs w:val="28"/>
          <w:highlight w:val="none"/>
        </w:rPr>
        <w:t>种方式解决。</w:t>
      </w:r>
    </w:p>
    <w:p w14:paraId="6D588C9D">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p>
    <w:p w14:paraId="74D14BE2">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宋体" w:eastAsia="宋体" w:hAnsi="宋体" w:cs="Times New Roman" w:hint="eastAsia"/>
          <w:b/>
          <w:szCs w:val="28"/>
          <w:highlight w:val="none"/>
        </w:rPr>
        <w:t>十二、履约保证金</w:t>
      </w:r>
    </w:p>
    <w:p w14:paraId="28EF6AE6">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中标人在收到中标通知书后</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个工作日内，向甲方提供相当于合同总价</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%的履约保证金。 </w:t>
      </w:r>
    </w:p>
    <w:p w14:paraId="18BC9454">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p>
    <w:p w14:paraId="0378B7B1">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甲方：                                   乙方：</w:t>
      </w:r>
    </w:p>
    <w:p w14:paraId="5649A2DE">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单位名称：（公章）                        单位名称：（公章）</w:t>
      </w:r>
    </w:p>
    <w:p w14:paraId="0026A34B">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法定代表人：                             法定代表人：</w:t>
      </w:r>
    </w:p>
    <w:p w14:paraId="6F16829D">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授权代表：                               授权代表：</w:t>
      </w:r>
    </w:p>
    <w:p w14:paraId="59D85038">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签约日期：                               签约日期：</w:t>
      </w:r>
    </w:p>
    <w:p w14:paraId="78264B7D">
      <w:pPr>
        <w:widowControl/>
        <w:jc w:val="left"/>
        <w:rPr>
          <w:rFonts w:ascii="宋体" w:eastAsia="宋体" w:hAnsi="宋体" w:cs="Times New Roman"/>
          <w:b/>
          <w:szCs w:val="21"/>
          <w:highlight w:val="none"/>
        </w:rPr>
      </w:pPr>
      <w:r>
        <w:rPr>
          <w:rFonts w:ascii="宋体" w:eastAsia="宋体" w:hAnsi="宋体" w:cs="Times New Roman"/>
          <w:b/>
          <w:szCs w:val="21"/>
          <w:highlight w:val="none"/>
        </w:rPr>
        <w:br w:type="page"/>
      </w:r>
    </w:p>
    <w:p w14:paraId="1865DF72">
      <w:pPr>
        <w:spacing w:line="360" w:lineRule="auto"/>
        <w:jc w:val="left"/>
        <w:rPr>
          <w:rFonts w:ascii="Times New Roman" w:eastAsia="宋体" w:hAnsi="Times New Roman" w:cs="Times New Roman"/>
          <w:b/>
          <w:bCs/>
          <w:sz w:val="44"/>
          <w:szCs w:val="44"/>
          <w:highlight w:val="none"/>
        </w:rPr>
      </w:pPr>
    </w:p>
    <w:p w14:paraId="3158EFEA">
      <w:pPr>
        <w:tabs>
          <w:tab w:val="left" w:pos="1573"/>
        </w:tabs>
        <w:adjustRightInd w:val="0"/>
        <w:snapToGrid w:val="0"/>
        <w:spacing w:line="360" w:lineRule="auto"/>
        <w:ind w:left="708" w:hanging="708"/>
        <w:jc w:val="center"/>
        <w:outlineLvl w:val="1"/>
        <w:rPr>
          <w:rFonts w:ascii="宋体" w:eastAsia="宋体" w:hAnsi="宋体" w:cs="Times New Roman"/>
          <w:b/>
          <w:sz w:val="30"/>
          <w:szCs w:val="30"/>
          <w:highlight w:val="none"/>
        </w:rPr>
      </w:pPr>
      <w:r>
        <w:rPr>
          <w:rFonts w:ascii="宋体" w:eastAsia="宋体" w:hAnsi="宋体" w:cs="Times New Roman" w:hint="eastAsia"/>
          <w:b/>
          <w:sz w:val="30"/>
          <w:szCs w:val="30"/>
          <w:highlight w:val="none"/>
        </w:rPr>
        <w:t>第二部分  合同通用部分</w:t>
      </w:r>
    </w:p>
    <w:p w14:paraId="0AC1954A">
      <w:pPr>
        <w:tabs>
          <w:tab w:val="left" w:pos="1573"/>
        </w:tabs>
        <w:snapToGrid w:val="0"/>
        <w:spacing w:line="360" w:lineRule="auto"/>
        <w:jc w:val="center"/>
        <w:rPr>
          <w:rFonts w:ascii="宋体" w:eastAsia="宋体" w:hAnsi="宋体" w:cs="Times New Roman"/>
          <w:szCs w:val="21"/>
          <w:highlight w:val="none"/>
        </w:rPr>
      </w:pPr>
    </w:p>
    <w:p w14:paraId="7C3439B8">
      <w:pPr>
        <w:tabs>
          <w:tab w:val="left" w:pos="1573"/>
        </w:tabs>
        <w:adjustRightInd w:val="0"/>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甲方在本项目中所需货物和服务由中国气象局政府采购中心（以下简称采购中心）在境内进行公开招标，经评标委员会评定，确定乙方为中标人。甲乙双方</w:t>
      </w:r>
      <w:r>
        <w:rPr>
          <w:rFonts w:ascii="Times New Roman" w:eastAsia="宋体" w:hAnsi="Times New Roman" w:cs="Times New Roman" w:hint="eastAsia"/>
          <w:szCs w:val="21"/>
          <w:highlight w:val="none"/>
        </w:rPr>
        <w:t>根据《中华人民共和国民法典（合同编）》、《中华人民共和国政府采购法》、《中华人民共和国政府采购法实施条例》和相关法律法规以及本项目招标文件的规定，经平等协商达成合同如下：</w:t>
      </w:r>
      <w:r>
        <w:rPr>
          <w:rFonts w:ascii="宋体" w:eastAsia="宋体" w:hAnsi="宋体" w:cs="Times New Roman" w:hint="eastAsia"/>
          <w:szCs w:val="21"/>
          <w:highlight w:val="none"/>
        </w:rPr>
        <w:t xml:space="preserve"> </w:t>
      </w:r>
    </w:p>
    <w:p w14:paraId="17A6DFA3">
      <w:pPr>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本合同所附下列文件是构成本合同不可分割的部分，若各文件之间存在含糊不清或互相冲突之处，优先顺序应按下列文件顺序解释：</w:t>
      </w:r>
    </w:p>
    <w:p w14:paraId="0554CD98">
      <w:pPr>
        <w:numPr>
          <w:ilvl w:val="0"/>
          <w:numId w:val="7"/>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中标通知书</w:t>
      </w:r>
    </w:p>
    <w:p w14:paraId="08F90AD8">
      <w:pPr>
        <w:numPr>
          <w:ilvl w:val="0"/>
          <w:numId w:val="7"/>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开标一览表及投标分项报价表</w:t>
      </w:r>
    </w:p>
    <w:p w14:paraId="668D4C1B">
      <w:pPr>
        <w:numPr>
          <w:ilvl w:val="0"/>
          <w:numId w:val="7"/>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商务和技术偏离表</w:t>
      </w:r>
    </w:p>
    <w:p w14:paraId="210388B5">
      <w:pPr>
        <w:numPr>
          <w:ilvl w:val="0"/>
          <w:numId w:val="7"/>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合同条款专用部分</w:t>
      </w:r>
    </w:p>
    <w:p w14:paraId="4B0A8109">
      <w:pPr>
        <w:numPr>
          <w:ilvl w:val="0"/>
          <w:numId w:val="7"/>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合同条款通用部分</w:t>
      </w:r>
    </w:p>
    <w:p w14:paraId="4BAA97AC">
      <w:pPr>
        <w:numPr>
          <w:ilvl w:val="0"/>
          <w:numId w:val="7"/>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采购需求</w:t>
      </w:r>
    </w:p>
    <w:p w14:paraId="6F1EBACC">
      <w:pPr>
        <w:numPr>
          <w:ilvl w:val="0"/>
          <w:numId w:val="7"/>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双方有关服务的洽商、变更等书面协议或文件</w:t>
      </w:r>
    </w:p>
    <w:p w14:paraId="54B59E53">
      <w:pPr>
        <w:numPr>
          <w:ilvl w:val="0"/>
          <w:numId w:val="7"/>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投标文件、招标文件除以上的其他部分</w:t>
      </w:r>
    </w:p>
    <w:p w14:paraId="0DFB03EC">
      <w:pPr>
        <w:numPr>
          <w:ilvl w:val="0"/>
          <w:numId w:val="7"/>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其他合同文本</w:t>
      </w:r>
    </w:p>
    <w:p w14:paraId="662FB4F3">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一、定义</w:t>
      </w:r>
    </w:p>
    <w:p w14:paraId="696E5542">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除非另有特别解释或说明，在本合同及与本合同相关的，双方另行签署的其他文件（包括但不限于本合同的附件）中，下述词语均依如下定义进行解释：</w:t>
      </w:r>
    </w:p>
    <w:p w14:paraId="5D3E9296">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1、“项目”详见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14:paraId="7CADDB1D">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2、“合同”指甲乙双方签署的，与本项目相关的协议、附件、附录和其他一切文件，还</w:t>
      </w:r>
      <w:r>
        <w:rPr>
          <w:rFonts w:ascii="宋体" w:eastAsia="宋体" w:hAnsi="宋体" w:cs="Times New Roman"/>
          <w:szCs w:val="21"/>
          <w:highlight w:val="none"/>
        </w:rPr>
        <w:t>包括招标文件、投标文件中的相关内容及其有效补充文件</w:t>
      </w:r>
      <w:r>
        <w:rPr>
          <w:rFonts w:ascii="宋体" w:eastAsia="宋体" w:hAnsi="宋体" w:cs="Times New Roman" w:hint="eastAsia"/>
          <w:szCs w:val="21"/>
          <w:highlight w:val="none"/>
        </w:rPr>
        <w:t>。</w:t>
      </w:r>
    </w:p>
    <w:p w14:paraId="74D201EA">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3、“附件”是指与本合同的订立、履行有关的，经甲乙双方认可的，对本合同约定的内容进行细化、补充、修改、变更的文件、图纸、音像制品等资料。</w:t>
      </w:r>
    </w:p>
    <w:p w14:paraId="222BF956">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4、“合同服务”指合同服务清单（同投标文件中分项报价表，下同）中所规定的服务内容、设备和软件购置等内容。</w:t>
      </w:r>
    </w:p>
    <w:p w14:paraId="53475EF5">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5、“验收证书”指验收完成后由合同双方签署的最终验收确认书。</w:t>
      </w:r>
    </w:p>
    <w:p w14:paraId="48B55152">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6、“保修期”指自验收证书甲方签署之日起，乙方免费对所提供给甲方服务内容进行技术支持、现场服务、升级服务等，并自担费用方式保证合同服务正常运行的时期。</w:t>
      </w:r>
    </w:p>
    <w:p w14:paraId="219E72A5">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7、“第三人”是指本合同双方以外的任何中国境内、外的自然人、法人或其他经济组织。</w:t>
      </w:r>
    </w:p>
    <w:p w14:paraId="03904507">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8、“法律、法规”是指由中国有关部门制定的法律、行政法规、地方性法规、规章及其他规范性文件以及经全国人民代表大会常务委员会批准的中国缔结、参加的国际条（公）约的有关规定。</w:t>
      </w:r>
    </w:p>
    <w:p w14:paraId="2AAB93D5">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9、“招标文件”指采购中心发布的本项目招标文件。</w:t>
      </w:r>
    </w:p>
    <w:p w14:paraId="73732EEC">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10、“投标文件”指乙方按照采购中心发布的本项目招标文件的要求编制和投递，并最终被采购中心接受的投标文件。</w:t>
      </w:r>
    </w:p>
    <w:p w14:paraId="0C55C696">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11、“合同标的”指甲方同意从乙方购买，乙方同意向甲方提供</w:t>
      </w:r>
      <w:r>
        <w:rPr>
          <w:rFonts w:ascii="黑体" w:eastAsia="黑体" w:hAnsi="黑体" w:cs="Times New Roman" w:hint="eastAsia"/>
          <w:b/>
          <w:szCs w:val="21"/>
          <w:highlight w:val="none"/>
        </w:rPr>
        <w:t>合同服务清单（同投标文件中分项报价表）</w:t>
      </w:r>
      <w:r>
        <w:rPr>
          <w:rFonts w:ascii="宋体" w:eastAsia="宋体" w:hAnsi="宋体" w:cs="Times New Roman" w:hint="eastAsia"/>
          <w:szCs w:val="21"/>
          <w:highlight w:val="none"/>
        </w:rPr>
        <w:t>中所列服务内容、设备和软件购置等内容。</w:t>
      </w:r>
    </w:p>
    <w:p w14:paraId="712578E2">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二、合同标的</w:t>
      </w:r>
    </w:p>
    <w:p w14:paraId="33AC6C51">
      <w:pPr>
        <w:numPr>
          <w:ilvl w:val="6"/>
          <w:numId w:val="0"/>
        </w:num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14:paraId="62386ADB">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三、合同价格</w:t>
      </w:r>
    </w:p>
    <w:p w14:paraId="6A4A5481">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1、合同总金额详见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14:paraId="4D2AEDE1">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2、本合同价格包括服务产品金额，是在项目交付前、交付时所发生或引起的本合同相关的全部成本、费用等，且为完税后价格。</w:t>
      </w:r>
    </w:p>
    <w:p w14:paraId="70F1F652">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3、合同服务产品详细目录及价格见</w:t>
      </w:r>
      <w:r>
        <w:rPr>
          <w:rFonts w:ascii="黑体" w:eastAsia="黑体" w:hAnsi="黑体" w:cs="Times New Roman" w:hint="eastAsia"/>
          <w:b/>
          <w:bCs/>
          <w:szCs w:val="21"/>
          <w:highlight w:val="none"/>
        </w:rPr>
        <w:t>合同服务产品清单（同投标文件中服务产品清单）</w:t>
      </w:r>
      <w:r>
        <w:rPr>
          <w:rFonts w:ascii="宋体" w:eastAsia="宋体" w:hAnsi="宋体" w:cs="Times New Roman" w:hint="eastAsia"/>
          <w:szCs w:val="21"/>
          <w:highlight w:val="none"/>
        </w:rPr>
        <w:t>。</w:t>
      </w:r>
    </w:p>
    <w:p w14:paraId="19C46A4C">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四、支付和结算方式</w:t>
      </w:r>
    </w:p>
    <w:p w14:paraId="7FE8C243">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1、双方因本合同发生的一切费用均以人民币结算及支付。</w:t>
      </w:r>
    </w:p>
    <w:p w14:paraId="27F1206E">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2、双方的帐户名称、开户银行及帐号以本合同提供的为准。</w:t>
      </w:r>
    </w:p>
    <w:p w14:paraId="04AF15E9">
      <w:pPr>
        <w:tabs>
          <w:tab w:val="left" w:pos="1573"/>
        </w:tabs>
        <w:adjustRightInd w:val="0"/>
        <w:snapToGrid w:val="0"/>
        <w:spacing w:line="360" w:lineRule="auto"/>
        <w:ind w:firstLine="420" w:firstLineChars="200"/>
        <w:rPr>
          <w:rFonts w:ascii="Times New Roman" w:eastAsia="宋体" w:hAnsi="宋体" w:cs="Times New Roman"/>
          <w:kern w:val="0"/>
          <w:szCs w:val="21"/>
          <w:highlight w:val="none"/>
        </w:rPr>
      </w:pPr>
      <w:r>
        <w:rPr>
          <w:rFonts w:ascii="宋体" w:eastAsia="宋体" w:hAnsi="宋体" w:cs="Times New Roman" w:hint="eastAsia"/>
          <w:szCs w:val="21"/>
          <w:highlight w:val="none"/>
        </w:rPr>
        <w:t>3、付款方式：</w:t>
      </w:r>
      <w:r>
        <w:rPr>
          <w:rFonts w:ascii="Times New Roman" w:eastAsia="宋体" w:hAnsi="宋体" w:cs="Times New Roman" w:hint="eastAsia"/>
          <w:kern w:val="0"/>
          <w:szCs w:val="21"/>
          <w:highlight w:val="none"/>
        </w:rPr>
        <w:t xml:space="preserve"> </w:t>
      </w:r>
    </w:p>
    <w:p w14:paraId="1B1D08CF">
      <w:pPr>
        <w:tabs>
          <w:tab w:val="left" w:pos="1573"/>
        </w:tabs>
        <w:adjustRightInd w:val="0"/>
        <w:snapToGrid w:val="0"/>
        <w:spacing w:line="360" w:lineRule="auto"/>
        <w:ind w:firstLine="420" w:firstLineChars="200"/>
        <w:rPr>
          <w:rFonts w:ascii="Times New Roman" w:eastAsia="宋体" w:hAnsi="宋体" w:cs="Times New Roman"/>
          <w:kern w:val="0"/>
          <w:szCs w:val="20"/>
          <w:highlight w:val="none"/>
        </w:rPr>
      </w:pPr>
      <w:r>
        <w:rPr>
          <w:rFonts w:ascii="Times New Roman" w:eastAsia="宋体" w:hAnsi="宋体" w:cs="Times New Roman" w:hint="eastAsia"/>
          <w:kern w:val="0"/>
          <w:szCs w:val="20"/>
          <w:highlight w:val="none"/>
        </w:rPr>
        <w:t>（1）合同生效后付款：双方签署合同后7个工作日内，甲方向乙方支付合同总金额的一定比例货款，支付比例、金额</w:t>
      </w:r>
      <w:r>
        <w:rPr>
          <w:rFonts w:ascii="Times New Roman" w:eastAsia="宋体" w:hAnsi="Times New Roman" w:cs="Times New Roman" w:hint="eastAsia"/>
          <w:szCs w:val="20"/>
          <w:highlight w:val="none"/>
        </w:rPr>
        <w:t>见</w:t>
      </w:r>
      <w:r>
        <w:rPr>
          <w:rFonts w:ascii="黑体" w:eastAsia="黑体" w:hAnsi="黑体" w:cs="Times New Roman" w:hint="eastAsia"/>
          <w:b/>
          <w:bCs/>
          <w:szCs w:val="20"/>
          <w:highlight w:val="none"/>
        </w:rPr>
        <w:t>合同条款专用部分</w:t>
      </w:r>
      <w:r>
        <w:rPr>
          <w:rFonts w:ascii="Times New Roman" w:eastAsia="宋体" w:hAnsi="宋体" w:cs="Times New Roman" w:hint="eastAsia"/>
          <w:kern w:val="0"/>
          <w:szCs w:val="20"/>
          <w:highlight w:val="none"/>
        </w:rPr>
        <w:t>；</w:t>
      </w:r>
    </w:p>
    <w:p w14:paraId="14D7EC32">
      <w:pPr>
        <w:tabs>
          <w:tab w:val="left" w:pos="1573"/>
        </w:tabs>
        <w:adjustRightInd w:val="0"/>
        <w:snapToGrid w:val="0"/>
        <w:spacing w:line="360" w:lineRule="auto"/>
        <w:ind w:firstLine="420" w:firstLineChars="200"/>
        <w:rPr>
          <w:rFonts w:ascii="Times New Roman" w:eastAsia="宋体" w:hAnsi="宋体" w:cs="Times New Roman"/>
          <w:kern w:val="0"/>
          <w:szCs w:val="20"/>
          <w:highlight w:val="none"/>
        </w:rPr>
      </w:pPr>
      <w:r>
        <w:rPr>
          <w:rFonts w:ascii="Times New Roman" w:eastAsia="宋体" w:hAnsi="宋体" w:cs="Times New Roman" w:hint="eastAsia"/>
          <w:kern w:val="0"/>
          <w:szCs w:val="20"/>
          <w:highlight w:val="none"/>
        </w:rPr>
        <w:t>（2）签署验收报后付款：合同服务安装、调试到位、试运行完成，经甲方核对无误、检验合格，双方签署验收报告后7个工作日内，甲方向乙方支付合同总金额的一定比例货款，支付比例、金额</w:t>
      </w:r>
      <w:r>
        <w:rPr>
          <w:rFonts w:ascii="Times New Roman" w:eastAsia="宋体" w:hAnsi="Times New Roman" w:cs="Times New Roman" w:hint="eastAsia"/>
          <w:szCs w:val="20"/>
          <w:highlight w:val="none"/>
        </w:rPr>
        <w:t>见</w:t>
      </w:r>
      <w:r>
        <w:rPr>
          <w:rFonts w:ascii="黑体" w:eastAsia="黑体" w:hAnsi="黑体" w:cs="Times New Roman" w:hint="eastAsia"/>
          <w:b/>
          <w:bCs/>
          <w:szCs w:val="20"/>
          <w:highlight w:val="none"/>
        </w:rPr>
        <w:t>合同条款专用部分</w:t>
      </w:r>
      <w:r>
        <w:rPr>
          <w:rFonts w:ascii="Times New Roman" w:eastAsia="宋体" w:hAnsi="宋体" w:cs="Times New Roman" w:hint="eastAsia"/>
          <w:kern w:val="0"/>
          <w:szCs w:val="20"/>
          <w:highlight w:val="none"/>
        </w:rPr>
        <w:t xml:space="preserve">； </w:t>
      </w:r>
    </w:p>
    <w:p w14:paraId="6E6D12E8">
      <w:pPr>
        <w:tabs>
          <w:tab w:val="left" w:pos="1573"/>
        </w:tabs>
        <w:adjustRightInd w:val="0"/>
        <w:snapToGrid w:val="0"/>
        <w:spacing w:line="360" w:lineRule="auto"/>
        <w:ind w:firstLine="420" w:firstLineChars="200"/>
        <w:rPr>
          <w:rFonts w:ascii="宋体" w:eastAsia="宋体" w:hAnsi="宋体" w:cs="Times New Roman"/>
          <w:kern w:val="0"/>
          <w:szCs w:val="20"/>
          <w:highlight w:val="none"/>
        </w:rPr>
      </w:pPr>
      <w:r>
        <w:rPr>
          <w:rFonts w:ascii="宋体" w:eastAsia="宋体" w:hAnsi="宋体" w:cs="Times New Roman" w:hint="eastAsia"/>
          <w:kern w:val="0"/>
          <w:szCs w:val="20"/>
          <w:highlight w:val="none"/>
        </w:rPr>
        <w:t>（3）保修期满后付款：合同服务的保修期（合同服务的保修期自全部服务验收合格，双方签署验收证书之日起算）期满后7个工作日内，甲方向乙方支付合同余款，支付比例、金额</w:t>
      </w:r>
      <w:r>
        <w:rPr>
          <w:rFonts w:ascii="宋体" w:eastAsia="宋体" w:hAnsi="Courier New"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kern w:val="0"/>
          <w:szCs w:val="20"/>
          <w:highlight w:val="none"/>
        </w:rPr>
        <w:t>，作为本合同最终结款。</w:t>
      </w:r>
    </w:p>
    <w:p w14:paraId="383811FC">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4、乙方在收到甲方每一笔付款的同时，应向甲方开具相应金额的商业发票。</w:t>
      </w:r>
    </w:p>
    <w:p w14:paraId="1CC778C2">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14:paraId="374C68A9">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五、资料的使用</w:t>
      </w:r>
    </w:p>
    <w:p w14:paraId="2792F2B2">
      <w:pPr>
        <w:adjustRightInd w:val="0"/>
        <w:snapToGrid w:val="0"/>
        <w:spacing w:line="360" w:lineRule="auto"/>
        <w:ind w:left="105" w:firstLine="315" w:leftChars="50" w:firstLineChars="150"/>
        <w:rPr>
          <w:rFonts w:ascii="宋体" w:eastAsia="宋体" w:hAnsi="宋体" w:cs="Times New Roman"/>
          <w:szCs w:val="21"/>
          <w:highlight w:val="none"/>
        </w:rPr>
      </w:pPr>
      <w:r>
        <w:rPr>
          <w:rFonts w:ascii="宋体" w:eastAsia="宋体" w:hAnsi="宋体" w:cs="Times New Roman" w:hint="eastAsia"/>
          <w:szCs w:val="21"/>
          <w:highlight w:val="none"/>
        </w:rPr>
        <w:t>1、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14:paraId="0F13B0FF">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2、没有甲方事先书面同意，除了履行本合同之外，乙方不应使用甲方提供的任何文件和资料。</w:t>
      </w:r>
    </w:p>
    <w:p w14:paraId="67D6C92D">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3、没有甲方事先书面同意，乙方不得泄露与本项目有关的任何资料、数据及其它信息。</w:t>
      </w:r>
    </w:p>
    <w:p w14:paraId="4DC67A0C">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4、除了合同本身以外，甲方提供给乙方的任何文件是甲方的财产。如果甲方有要求，乙方在完成合同后应将这些文件(全部拷贝)还给甲方。</w:t>
      </w:r>
    </w:p>
    <w:p w14:paraId="48603D88">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甲方提供该乙方履行合同所需的资料清单见</w:t>
      </w:r>
      <w:r>
        <w:rPr>
          <w:rFonts w:ascii="黑体" w:eastAsia="黑体" w:hAnsi="黑体" w:cs="Times New Roman" w:hint="eastAsia"/>
          <w:b/>
          <w:bCs/>
          <w:szCs w:val="21"/>
          <w:highlight w:val="none"/>
        </w:rPr>
        <w:t>合同条款专用部分。</w:t>
      </w:r>
    </w:p>
    <w:p w14:paraId="05DAAF27">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六、知识产权</w:t>
      </w:r>
    </w:p>
    <w:p w14:paraId="744627E0">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1、在本协议生效日前业已存在的版权及其他知识产权应属于本协议生效前既拥有该等权利的一方。</w:t>
      </w:r>
    </w:p>
    <w:p w14:paraId="2AA5DF5F">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2、任何一方均不可凭借本协议取得另一方此前所已经拥有且根据本合同不应被合理的推论为其已经同意转移的版权、专利、商业秘密、商标或其他知识产权的所有权。</w:t>
      </w:r>
    </w:p>
    <w:p w14:paraId="3C71B91F">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3、符合法律规定及当事人约定的原则：任何相关事项均应当符合法律规定，及应当符合当事人约定。</w:t>
      </w:r>
    </w:p>
    <w:p w14:paraId="7307F662">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甲方为排除任何争议或瑕疵所应当或所需要支付的一切相关及/或由此引起的费用。</w:t>
      </w:r>
    </w:p>
    <w:p w14:paraId="24339C1E">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甲方为排除任何争议及/或赔偿侵权所应当或所需要支付的一切相关及/或由此引起的费用。</w:t>
      </w:r>
    </w:p>
    <w:p w14:paraId="55E80F7F">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6、甲方将拥有其在本协议项下所从事的所有工作（包括各类纸质文档，电子文档及其他可交付物）中所包含的或与之相关的全部版权、专利、商业秘密、商标和其他知识产权以及所有权和其他权益。</w:t>
      </w:r>
    </w:p>
    <w:p w14:paraId="197B8145">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七、进度要求</w:t>
      </w:r>
    </w:p>
    <w:p w14:paraId="25644A9E">
      <w:pPr>
        <w:numPr>
          <w:ilvl w:val="6"/>
          <w:numId w:val="0"/>
        </w:numPr>
        <w:adjustRightInd w:val="0"/>
        <w:snapToGrid w:val="0"/>
        <w:spacing w:line="360" w:lineRule="auto"/>
        <w:ind w:firstLine="420" w:firstLineChars="200"/>
        <w:rPr>
          <w:rFonts w:ascii="宋体" w:eastAsia="宋体" w:hAnsi="宋体" w:cs="Times New Roman"/>
          <w:b/>
          <w:szCs w:val="21"/>
          <w:highlight w:val="none"/>
        </w:rPr>
      </w:pPr>
      <w:r>
        <w:rPr>
          <w:rFonts w:ascii="宋体" w:eastAsia="宋体" w:hAnsi="宋体" w:cs="Times New Roman" w:hint="eastAsia"/>
          <w:b/>
          <w:szCs w:val="21"/>
          <w:highlight w:val="none"/>
        </w:rPr>
        <w:t>见</w:t>
      </w:r>
      <w:r>
        <w:rPr>
          <w:rFonts w:ascii="黑体" w:eastAsia="黑体" w:hAnsi="黑体" w:cs="Times New Roman" w:hint="eastAsia"/>
          <w:b/>
          <w:bCs/>
          <w:szCs w:val="20"/>
          <w:highlight w:val="none"/>
        </w:rPr>
        <w:t>合同条款专用部分</w:t>
      </w:r>
      <w:r>
        <w:rPr>
          <w:rFonts w:ascii="宋体" w:eastAsia="宋体" w:hAnsi="宋体" w:cs="Times New Roman" w:hint="eastAsia"/>
          <w:b/>
          <w:szCs w:val="21"/>
          <w:highlight w:val="none"/>
        </w:rPr>
        <w:t>。</w:t>
      </w:r>
    </w:p>
    <w:p w14:paraId="589FE7A9">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八、技术服务和保修责任</w:t>
      </w:r>
    </w:p>
    <w:p w14:paraId="51270ADA">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关于本条的特别说明：本条中的服务时间，即相关的服务到达现场或完成维修工作所需的时间：小时、天数等，招标文件或有关保修服务的其它文件中有规定的，遵从其规定；若无相关文件或相关文件中并无规定的，或有关的规定明显与本次采购的采购人的实际需求不符的，则应当按照本合同中的相关规定。乙方对合同的技术服务和保修责任详见</w:t>
      </w:r>
      <w:r>
        <w:rPr>
          <w:rFonts w:ascii="黑体" w:eastAsia="黑体" w:hAnsi="黑体" w:cs="Times New Roman" w:hint="eastAsia"/>
          <w:b/>
          <w:bCs/>
          <w:szCs w:val="20"/>
          <w:highlight w:val="none"/>
        </w:rPr>
        <w:t>合同条款专用部分</w:t>
      </w:r>
      <w:r>
        <w:rPr>
          <w:rFonts w:ascii="宋体" w:eastAsia="宋体" w:hAnsi="宋体" w:cs="Times New Roman" w:hint="eastAsia"/>
          <w:szCs w:val="21"/>
          <w:highlight w:val="none"/>
        </w:rPr>
        <w:t>。</w:t>
      </w:r>
    </w:p>
    <w:p w14:paraId="12F0D3B1">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1、乙方对合同服务的质量保修期见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。乙方应保证所提供的产品、服务，符合合同规定的技术要求。如不符时，乙方应负全责并尽快处理解决，由此造成的损失和相关费用由乙方负责，甲方保留终止合同及索赔的权利。</w:t>
      </w:r>
    </w:p>
    <w:p w14:paraId="4C6877E1">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2、乙方应保证通过执行合同中全部方案后，可以取得本合同规定的结果，达到本合同规定的预期目标。对任何情况下出现问题的，应尽快提出解决方案。</w:t>
      </w:r>
    </w:p>
    <w:p w14:paraId="7622CEC5">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3、如果乙方提供的产品、服务和解决方案不符合甲方要求，或在规定的时间内没有弥补缺陷，甲方有权采取一切必要的补救措施，由此产生的费用全部由乙方负责。</w:t>
      </w:r>
    </w:p>
    <w:p w14:paraId="4C3181C4">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九、履约保证金</w:t>
      </w:r>
    </w:p>
    <w:p w14:paraId="3B61F72B">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1、中标人应在收到中标通知书后规定时间内（具体时间</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）内，以信汇、电汇或履约保函形式向甲方提供履约保证金，保证金金额：见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14:paraId="41A51D07">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2、如果中标人没有按照上述规定执行，甲方将有充分理由取消该中标决定，并不予退还其投标保证金。在此情况下甲方可将合同授予排名第二的中标候选人，或重新招标。</w:t>
      </w:r>
    </w:p>
    <w:p w14:paraId="695466DB">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3、如果中标人在与甲方签定合同以后，将中标项目转包给第三方或者</w:t>
      </w:r>
      <w:r>
        <w:rPr>
          <w:rFonts w:ascii="Times New Roman" w:eastAsia="宋体" w:hAnsi="Times New Roman" w:cs="Times New Roman" w:hint="eastAsia"/>
          <w:szCs w:val="20"/>
          <w:highlight w:val="none"/>
        </w:rPr>
        <w:t>将合同全部及任何权利、义务向第三方转让，或者在</w:t>
      </w:r>
      <w:r>
        <w:rPr>
          <w:rFonts w:ascii="宋体" w:eastAsia="宋体" w:hAnsi="宋体" w:cs="Times New Roman" w:hint="eastAsia"/>
          <w:szCs w:val="21"/>
          <w:highlight w:val="none"/>
        </w:rPr>
        <w:t>本项目不允许分包的情况下将中标项目分包给第三方，甲方将有充分理由终止合同，并不予退还其履约保证金。</w:t>
      </w:r>
    </w:p>
    <w:p w14:paraId="333F0C66">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4、中标人的履约保证金将在合同服务试经甲方终验合格，履行完必要的审批手续后30日内退还中标人。</w:t>
      </w:r>
    </w:p>
    <w:p w14:paraId="5D362468">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5、如乙方未能完全履行合同规定的义务，甲方有权从履约保证金中得到补偿。</w:t>
      </w:r>
    </w:p>
    <w:p w14:paraId="15F42805">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十、审计及检查</w:t>
      </w:r>
    </w:p>
    <w:p w14:paraId="03E687F3">
      <w:pPr>
        <w:tabs>
          <w:tab w:val="left" w:pos="360"/>
          <w:tab w:val="left" w:pos="1573"/>
        </w:tabs>
        <w:adjustRightInd w:val="0"/>
        <w:snapToGrid w:val="0"/>
        <w:spacing w:line="360" w:lineRule="auto"/>
        <w:ind w:firstLine="420" w:firstLineChars="200"/>
        <w:rPr>
          <w:rFonts w:ascii="宋体" w:eastAsia="宋体" w:hAnsi="宋体" w:cs="Times New Roman"/>
          <w:bCs/>
          <w:szCs w:val="21"/>
          <w:highlight w:val="none"/>
        </w:rPr>
      </w:pPr>
      <w:r>
        <w:rPr>
          <w:rFonts w:ascii="宋体" w:eastAsia="宋体" w:hAnsi="宋体" w:cs="Times New Roman" w:hint="eastAsia"/>
          <w:bCs/>
          <w:szCs w:val="21"/>
          <w:highlight w:val="none"/>
        </w:rPr>
        <w:t>如果采购人要求，中标人应允许采购人检查中标人与实施本合同有关的资金、帐户和记录，并由采购人指定的审计人员对其进行审计。</w:t>
      </w:r>
    </w:p>
    <w:p w14:paraId="3AF78F9B">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十一、违约责任</w:t>
      </w:r>
    </w:p>
    <w:p w14:paraId="251565D1">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14:paraId="63D7D5A2">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若乙方未如期按照合同约定的任何或全部款项内容之要求交付合同服务产品，或乙方未能履行合同规定的任何其它义务时，甲方有权直接向乙方发出违约通知书，乙方应按照甲方选择的下列一种或多种方式承担赔偿责任及违约责任：</w:t>
      </w:r>
    </w:p>
    <w:p w14:paraId="1E173473">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（1）在甲方同意延长的期限内交付服务产品并承担由此给甲方造成的直接损失及甲方因此产生的对第三方的责任。</w:t>
      </w:r>
    </w:p>
    <w:p w14:paraId="1BEB10CF">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（2）甲方有权部分或全部解除合同并要求乙方赔偿由此造成的损失及甲方因此产生的对第三方的责任。此时甲方可采取必要的补救措施，相关费用由乙方承担。</w:t>
      </w:r>
    </w:p>
    <w:p w14:paraId="1A2D4867">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（3）上述情形下甲方为采取必要的补救措施或因防止损失扩大而支出的合理费用应由乙方承担。</w:t>
      </w:r>
    </w:p>
    <w:p w14:paraId="4958FB11">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14:paraId="6122DE50">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4、延期交货或延期付款的违约责任：如乙方延期交货或甲方延期付款，每逾期一天，违约方应按延期交付服务产品所折合的金额或延期付款金额的比例（详</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）向对方支付违约金，但该违约金累计不得超过合同总金额的一定比例（详</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）；上述逾期超过一定时间（详</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），守约方有权解除合同，并要求违约方赔偿由此造成的损失。</w:t>
      </w:r>
    </w:p>
    <w:p w14:paraId="35F720F7">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 xml:space="preserve">5、其它违约责任 </w:t>
      </w:r>
    </w:p>
    <w:p w14:paraId="47614F75">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（1）如任何一方无故解除合同或有违反本合同规定的任何情形均属于违约行为，违约方应就每一单项违约向对方支付合同总金额一定比例的违约金，具体比例见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14:paraId="644F4ADD">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（2）如乙方在合同规定的交付日期后10天内仍未能交付，则视为乙方不能交付，甲方有权解除合同，乙方若已经收取了甲方的定金则同时还应双倍返还已收取的定金。</w:t>
      </w:r>
    </w:p>
    <w:p w14:paraId="282E50E2">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6、乙方违反规定，有下列行为之一的，甲方有权对因此造成的损失追究责任；构成犯罪的，由司法机关追究其刑事责任：</w:t>
      </w:r>
    </w:p>
    <w:p w14:paraId="33B0C222">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1）擅自向第三方提供或者转让项目资料的；</w:t>
      </w:r>
    </w:p>
    <w:p w14:paraId="69081D84">
      <w:pPr>
        <w:adjustRightInd w:val="0"/>
        <w:snapToGrid w:val="0"/>
        <w:spacing w:line="360" w:lineRule="auto"/>
        <w:ind w:left="200" w:firstLine="200" w:leftChars="95" w:firstLineChars="95"/>
        <w:rPr>
          <w:rFonts w:ascii="宋体" w:eastAsia="宋体" w:hAnsi="宋体" w:cs="Times New Roman"/>
          <w:szCs w:val="21"/>
          <w:highlight w:val="none"/>
        </w:rPr>
      </w:pPr>
      <w:r>
        <w:rPr>
          <w:rFonts w:ascii="宋体" w:eastAsia="宋体" w:hAnsi="宋体" w:cs="Times New Roman" w:hint="eastAsia"/>
          <w:szCs w:val="21"/>
          <w:highlight w:val="none"/>
        </w:rPr>
        <w:t>2）未经甲方许可使用项目资料的；</w:t>
      </w:r>
    </w:p>
    <w:p w14:paraId="4116BCC0">
      <w:pPr>
        <w:adjustRightInd w:val="0"/>
        <w:snapToGrid w:val="0"/>
        <w:spacing w:line="360" w:lineRule="auto"/>
        <w:ind w:left="200" w:firstLine="200" w:leftChars="95" w:firstLineChars="95"/>
        <w:rPr>
          <w:rFonts w:ascii="宋体" w:eastAsia="宋体" w:hAnsi="宋体" w:cs="Times New Roman"/>
          <w:szCs w:val="21"/>
          <w:highlight w:val="none"/>
        </w:rPr>
      </w:pPr>
      <w:r>
        <w:rPr>
          <w:rFonts w:ascii="宋体" w:eastAsia="宋体" w:hAnsi="宋体" w:cs="Times New Roman" w:hint="eastAsia"/>
          <w:szCs w:val="21"/>
          <w:highlight w:val="none"/>
        </w:rPr>
        <w:t>3）项目完成后，乙方未经甲方许可保留项目资料的；</w:t>
      </w:r>
    </w:p>
    <w:p w14:paraId="4A52F763">
      <w:pPr>
        <w:adjustRightInd w:val="0"/>
        <w:snapToGrid w:val="0"/>
        <w:spacing w:line="360" w:lineRule="auto"/>
        <w:ind w:left="200" w:firstLine="200" w:leftChars="95" w:firstLineChars="95"/>
        <w:rPr>
          <w:rFonts w:ascii="宋体" w:eastAsia="宋体" w:hAnsi="宋体" w:cs="Times New Roman"/>
          <w:szCs w:val="21"/>
          <w:highlight w:val="none"/>
        </w:rPr>
      </w:pPr>
      <w:r>
        <w:rPr>
          <w:rFonts w:ascii="宋体" w:eastAsia="宋体" w:hAnsi="宋体" w:cs="Times New Roman" w:hint="eastAsia"/>
          <w:szCs w:val="21"/>
          <w:highlight w:val="none"/>
        </w:rPr>
        <w:t>4）对项目资料保管不当，造成数据全部或者部分丢失、被窃的。</w:t>
      </w:r>
    </w:p>
    <w:p w14:paraId="026A197D">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7、乙方在进行项目时违反有关保密规定的，依照《中华人民共和国保密法》等有关法律法规的规定处理。</w:t>
      </w:r>
    </w:p>
    <w:p w14:paraId="386B0EB6">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8、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当构成严重违约时，对方可以单方面决定解除或终止合同履行，违约方同时还应当承担违约或赔偿责任。</w:t>
      </w:r>
    </w:p>
    <w:p w14:paraId="1BE7EC28">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9、以上各项交付的违约金并不影响违约方履行合同的各项义务。</w:t>
      </w:r>
    </w:p>
    <w:p w14:paraId="1AD800DF">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10、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14:paraId="0CA7A56D">
      <w:pPr>
        <w:adjustRightInd w:val="0"/>
        <w:snapToGrid w:val="0"/>
        <w:spacing w:line="360" w:lineRule="auto"/>
        <w:ind w:firstLine="315" w:firstLineChars="150"/>
        <w:rPr>
          <w:rFonts w:ascii="宋体" w:eastAsia="宋体" w:hAnsi="宋体" w:cs="Times New Roman"/>
          <w:b/>
          <w:szCs w:val="21"/>
          <w:highlight w:val="none"/>
        </w:rPr>
      </w:pPr>
      <w:r>
        <w:rPr>
          <w:rFonts w:ascii="宋体" w:eastAsia="宋体" w:hAnsi="宋体" w:cs="Times New Roman" w:hint="eastAsia"/>
          <w:szCs w:val="21"/>
          <w:highlight w:val="none"/>
        </w:rPr>
        <w:t>11、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p w14:paraId="61FC90DF">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十二、不可抗力</w:t>
      </w:r>
    </w:p>
    <w:p w14:paraId="5C97B701">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1、不可抗力指下列事件：战争、动乱、瘟疫、严重火灾、洪水、地震、风暴或其他自然灾害，以及本合同各方不可预见、不可防止并不能避免或克服的一切其他因素及事件。</w:t>
      </w:r>
    </w:p>
    <w:p w14:paraId="355B3DFD">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作出的公证证明。</w:t>
      </w:r>
    </w:p>
    <w:p w14:paraId="101BB04A">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14:paraId="2CC82500">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4、合同各方应根据不可抗力对本合同履行的影响程度，协商确定是否终止本合同，或是继续履行本合同。</w:t>
      </w:r>
    </w:p>
    <w:p w14:paraId="47C22D8A">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十三、联系方式</w:t>
      </w:r>
    </w:p>
    <w:p w14:paraId="79B353EB">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p>
    <w:p w14:paraId="54C8984B">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2、合同双方发出的与本合同有关的通知或回复均应发至</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中的通讯地址，付款或收款应使用</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中的帐号，一方变更通讯地址或帐号，应自变更之日起三个工作日内，将变更后的地址通知对方。变更方不履行通知义务的，应对此造成的一切后果承担法律责任。</w:t>
      </w:r>
    </w:p>
    <w:p w14:paraId="4FE8CA56">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3、上述发出通知、回复的费用由发出一方承担。</w:t>
      </w:r>
    </w:p>
    <w:p w14:paraId="7A8D2A5F">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十四、保密条款</w:t>
      </w:r>
    </w:p>
    <w:p w14:paraId="4897AAF6">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0"/>
          <w:highlight w:val="none"/>
        </w:rPr>
        <w:t>1、</w:t>
      </w:r>
      <w:r>
        <w:rPr>
          <w:rFonts w:ascii="宋体" w:eastAsia="宋体" w:hAnsi="宋体" w:cs="Times New Roman" w:hint="eastAsia"/>
          <w:szCs w:val="21"/>
          <w:highlight w:val="none"/>
        </w:rPr>
        <w:t>任何一方对其获知的本合同及附件中其他各方的商业秘密和国家秘密负有保密义务。</w:t>
      </w:r>
    </w:p>
    <w:p w14:paraId="618F8FC4">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在下列情形下：当发布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14:paraId="2E028C00">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14:paraId="708EE892">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十五、合同的解释和法律适用</w:t>
      </w:r>
    </w:p>
    <w:p w14:paraId="1A93E21C">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1、任何一方对本合同及其附件的解释均应遵循诚实信用原则,依照本合同签订时有效的中国法律、法规以及通常的理解进行。</w:t>
      </w:r>
    </w:p>
    <w:p w14:paraId="4D61EC0E">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2、本合同标题仅供查阅方便，并非对本合同的诠释或解释；本合同中以日表述的时间期限均指自然日。</w:t>
      </w:r>
    </w:p>
    <w:p w14:paraId="7273B3AC">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3、对本合同的任何解释均应以书面作出。</w:t>
      </w:r>
    </w:p>
    <w:p w14:paraId="22AC98B2">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4、本合同及附件的订立、效力、解释、履行、争议的解决等适用本合同签订时有效的中华人民共和国法律、法规的有关规定。</w:t>
      </w:r>
    </w:p>
    <w:p w14:paraId="57325686">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十六、合同的终止</w:t>
      </w:r>
    </w:p>
    <w:p w14:paraId="70BE91D8">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1、本合同因下列原因而终止：</w:t>
      </w:r>
    </w:p>
    <w:p w14:paraId="2A8EA028">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（1）本合同正常履行完毕；</w:t>
      </w:r>
    </w:p>
    <w:p w14:paraId="7A75373A">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（2）合同双方协议终止本合同的履行；</w:t>
      </w:r>
    </w:p>
    <w:p w14:paraId="508E4560">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（3）不可抗力事件导致本合同无法履行或履行不必要；</w:t>
      </w:r>
    </w:p>
    <w:p w14:paraId="2E3D0FE5">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（4）任何一方行使解除权，解除本合同。</w:t>
      </w:r>
    </w:p>
    <w:p w14:paraId="1E969616">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2、对本合同终止有过错的一方应赔偿另一方因合同终止而受到的损失。对合同终止双方均无过错的，则各自承担所受到的损失。</w:t>
      </w:r>
    </w:p>
    <w:p w14:paraId="2AA34EAD">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十七、法律适用</w:t>
      </w:r>
    </w:p>
    <w:p w14:paraId="4515389D">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1、本合同及附件的订立、效力、解释、履行、争议的解决等适用本合同签订时有效的中华人民共和国法律、法规的有关规定。</w:t>
      </w:r>
    </w:p>
    <w:p w14:paraId="25F9149E">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2、在本合同履行期间，因中国法律、法规、政策的变化致使本合同的部分条款相冲突、无效或失去可强制执行效力时，双方同意将密切合作，尽快修改本合同中相冲突或无效或失去强制执行效力的有关条款。</w:t>
      </w:r>
    </w:p>
    <w:p w14:paraId="0B8D0C08">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十八、权利的保留</w:t>
      </w:r>
    </w:p>
    <w:p w14:paraId="6DE064F4">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14:paraId="7D18430C">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14:paraId="241A1FF4">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十九、争议的解决</w:t>
      </w:r>
    </w:p>
    <w:p w14:paraId="79A3E16E">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1、合同双方应通过友好协商解决因解释﹑执行本合同所发生的和本合同有关的一切争议。如果经协商不能达成协议，则双方同意：</w:t>
      </w:r>
    </w:p>
    <w:p w14:paraId="34F4E77E">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（1）在甲方所在地有管辖权的人民法院提起诉讼。</w:t>
      </w:r>
    </w:p>
    <w:p w14:paraId="09EE89CE">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（2）由贸易仲裁委员会根据现行有效的仲裁程序进行仲裁。仲裁裁决为最终裁决对双方均具有约束力。仲裁费除仲裁机关另有裁决外的应由败诉方承担。</w:t>
      </w:r>
    </w:p>
    <w:p w14:paraId="3B85704D">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本项目选择的具体解决方式见</w:t>
      </w:r>
      <w:r>
        <w:rPr>
          <w:rFonts w:ascii="黑体" w:eastAsia="黑体" w:hAnsi="黑体" w:cs="Times New Roman" w:hint="eastAsia"/>
          <w:b/>
          <w:bCs/>
          <w:szCs w:val="20"/>
          <w:highlight w:val="none"/>
        </w:rPr>
        <w:t>合同条款专用部分。</w:t>
      </w:r>
    </w:p>
    <w:p w14:paraId="258DCA6A">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2、本</w:t>
      </w:r>
      <w:r>
        <w:rPr>
          <w:rFonts w:ascii="宋体" w:eastAsia="宋体" w:hAnsi="宋体" w:cs="Times New Roman"/>
          <w:szCs w:val="21"/>
          <w:highlight w:val="none"/>
        </w:rPr>
        <w:t>合同</w:t>
      </w:r>
      <w:r>
        <w:rPr>
          <w:rFonts w:ascii="宋体" w:eastAsia="宋体" w:hAnsi="宋体" w:cs="Times New Roman" w:hint="eastAsia"/>
          <w:szCs w:val="21"/>
          <w:highlight w:val="none"/>
        </w:rPr>
        <w:t>甲、乙双方一致认为，本</w:t>
      </w:r>
      <w:r>
        <w:rPr>
          <w:rFonts w:ascii="宋体" w:eastAsia="宋体" w:hAnsi="宋体" w:cs="Times New Roman"/>
          <w:szCs w:val="21"/>
          <w:highlight w:val="none"/>
        </w:rPr>
        <w:t>合同</w:t>
      </w:r>
      <w:r>
        <w:rPr>
          <w:rFonts w:ascii="宋体" w:eastAsia="宋体" w:hAnsi="宋体" w:cs="Times New Roman" w:hint="eastAsia"/>
          <w:szCs w:val="21"/>
          <w:highlight w:val="none"/>
        </w:rPr>
        <w:t>仅</w:t>
      </w:r>
      <w:r>
        <w:rPr>
          <w:rFonts w:ascii="宋体" w:eastAsia="宋体" w:hAnsi="宋体" w:cs="Times New Roman"/>
          <w:szCs w:val="21"/>
          <w:highlight w:val="none"/>
        </w:rPr>
        <w:t>属于</w:t>
      </w:r>
      <w:r>
        <w:rPr>
          <w:rFonts w:ascii="宋体" w:eastAsia="宋体" w:hAnsi="宋体" w:cs="Times New Roman" w:hint="eastAsia"/>
          <w:szCs w:val="21"/>
          <w:highlight w:val="none"/>
        </w:rPr>
        <w:t>甲、乙双方</w:t>
      </w:r>
      <w:r>
        <w:rPr>
          <w:rFonts w:ascii="宋体" w:eastAsia="宋体" w:hAnsi="宋体" w:cs="Times New Roman"/>
          <w:szCs w:val="21"/>
          <w:highlight w:val="none"/>
        </w:rPr>
        <w:t>之间的</w:t>
      </w:r>
      <w:r>
        <w:rPr>
          <w:rFonts w:ascii="宋体" w:eastAsia="宋体" w:hAnsi="宋体" w:cs="Times New Roman" w:hint="eastAsia"/>
          <w:szCs w:val="21"/>
          <w:highlight w:val="none"/>
        </w:rPr>
        <w:t>协议，任何</w:t>
      </w:r>
      <w:r>
        <w:rPr>
          <w:rFonts w:ascii="宋体" w:eastAsia="宋体" w:hAnsi="宋体" w:cs="Times New Roman"/>
          <w:szCs w:val="21"/>
          <w:highlight w:val="none"/>
        </w:rPr>
        <w:t>争议</w:t>
      </w:r>
      <w:r>
        <w:rPr>
          <w:rFonts w:ascii="宋体" w:eastAsia="宋体" w:hAnsi="宋体" w:cs="Times New Roman" w:hint="eastAsia"/>
          <w:szCs w:val="21"/>
          <w:highlight w:val="none"/>
        </w:rPr>
        <w:t>均只</w:t>
      </w:r>
      <w:r>
        <w:rPr>
          <w:rFonts w:ascii="宋体" w:eastAsia="宋体" w:hAnsi="宋体" w:cs="Times New Roman"/>
          <w:szCs w:val="21"/>
          <w:highlight w:val="none"/>
        </w:rPr>
        <w:t>应当</w:t>
      </w:r>
      <w:r>
        <w:rPr>
          <w:rFonts w:ascii="宋体" w:eastAsia="宋体" w:hAnsi="宋体" w:cs="Times New Roman" w:hint="eastAsia"/>
          <w:szCs w:val="21"/>
          <w:highlight w:val="none"/>
        </w:rPr>
        <w:t>按照本合同</w:t>
      </w:r>
      <w:r>
        <w:rPr>
          <w:rFonts w:ascii="宋体" w:eastAsia="宋体" w:hAnsi="宋体" w:cs="Times New Roman"/>
          <w:szCs w:val="21"/>
          <w:highlight w:val="none"/>
        </w:rPr>
        <w:t>的约定方式处理，</w:t>
      </w:r>
      <w:r>
        <w:rPr>
          <w:rFonts w:ascii="宋体" w:eastAsia="宋体" w:hAnsi="宋体" w:cs="Times New Roman" w:hint="eastAsia"/>
          <w:szCs w:val="21"/>
          <w:highlight w:val="none"/>
        </w:rPr>
        <w:t>任何情形下采购中心均</w:t>
      </w:r>
      <w:r>
        <w:rPr>
          <w:rFonts w:ascii="宋体" w:eastAsia="宋体" w:hAnsi="宋体" w:cs="Times New Roman"/>
          <w:szCs w:val="21"/>
          <w:highlight w:val="none"/>
        </w:rPr>
        <w:t>不应当成为该等争议的当事人，无论该等诉讼均不得</w:t>
      </w:r>
      <w:r>
        <w:rPr>
          <w:rFonts w:ascii="宋体" w:eastAsia="宋体" w:hAnsi="宋体" w:cs="Times New Roman" w:hint="eastAsia"/>
          <w:szCs w:val="21"/>
          <w:highlight w:val="none"/>
        </w:rPr>
        <w:t>针</w:t>
      </w:r>
      <w:r>
        <w:rPr>
          <w:rFonts w:ascii="宋体" w:eastAsia="宋体" w:hAnsi="宋体" w:cs="Times New Roman"/>
          <w:szCs w:val="21"/>
          <w:highlight w:val="none"/>
        </w:rPr>
        <w:t>对</w:t>
      </w:r>
      <w:r>
        <w:rPr>
          <w:rFonts w:ascii="宋体" w:eastAsia="宋体" w:hAnsi="宋体" w:cs="Times New Roman" w:hint="eastAsia"/>
          <w:szCs w:val="21"/>
          <w:highlight w:val="none"/>
        </w:rPr>
        <w:t>采购中心</w:t>
      </w:r>
      <w:r>
        <w:rPr>
          <w:rFonts w:ascii="宋体" w:eastAsia="宋体" w:hAnsi="宋体" w:cs="Times New Roman"/>
          <w:szCs w:val="21"/>
          <w:highlight w:val="none"/>
        </w:rPr>
        <w:t>提起。</w:t>
      </w:r>
    </w:p>
    <w:p w14:paraId="0A3A789F">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3、在争议解决期间，除了诉讼进行过程中正在解决的部分问题外，合同其余部分应继续履行。</w:t>
      </w:r>
    </w:p>
    <w:p w14:paraId="40A462A5">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二十、合同的补充、修改和变更</w:t>
      </w:r>
    </w:p>
    <w:p w14:paraId="3A457843">
      <w:pPr>
        <w:adjustRightInd w:val="0"/>
        <w:snapToGrid w:val="0"/>
        <w:spacing w:line="360" w:lineRule="auto"/>
        <w:ind w:firstLine="420" w:firstLineChars="200"/>
        <w:rPr>
          <w:rFonts w:ascii="宋体" w:eastAsia="宋体" w:hAnsi="宋体" w:cs="Times New Roman"/>
          <w:b/>
          <w:bCs/>
          <w:szCs w:val="21"/>
          <w:highlight w:val="none"/>
        </w:rPr>
      </w:pPr>
      <w:r>
        <w:rPr>
          <w:rFonts w:ascii="宋体" w:eastAsia="宋体" w:hAnsi="宋体" w:cs="Times New Roman" w:hint="eastAsia"/>
          <w:szCs w:val="21"/>
          <w:highlight w:val="none"/>
        </w:rPr>
        <w:t>在不背离</w:t>
      </w:r>
      <w:r>
        <w:rPr>
          <w:rFonts w:ascii="Calibri" w:eastAsia="宋体" w:hAnsi="Calibri" w:cs="Times New Roman" w:hint="eastAsia"/>
          <w:szCs w:val="22"/>
          <w:highlight w:val="none"/>
        </w:rPr>
        <w:t>招标文件、投标文件及评审过程中的有关澄清、说明或者补正文件的实质性内容的前提下，</w:t>
      </w:r>
      <w:r>
        <w:rPr>
          <w:rFonts w:ascii="宋体" w:eastAsia="宋体" w:hAnsi="宋体" w:cs="Times New Roman" w:hint="eastAsia"/>
          <w:szCs w:val="21"/>
          <w:highlight w:val="none"/>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14:paraId="69579950">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甲方可以要求对技术文件进行修改。所有的修改要求都应以书面形式提交。甲方将准备一份书面的修改备忘录以说明所要求的更改，并列出对技术文件条款的任何修改。乙方应在3日内对此作出书面回应，其内容包括详细的该修改对合同价格、项目交付日期、项目技术参数的影响和变化以及对合同条款的影响等。</w:t>
      </w:r>
    </w:p>
    <w:p w14:paraId="264F1E84">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2、甲方收到乙方的上述回应后，应在3日内以书面方式通知乙方是否同意和接受乙方的上述回应。如果甲方接受乙方的上述回应，则双方另行对此修改签署予以确认，乙方则按修改后的约定履行本合同。</w:t>
      </w:r>
    </w:p>
    <w:p w14:paraId="1796FDAA">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14:paraId="7E9DB5F8">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4、如乙方提出项目的部分修改建议，乙方应同时详细阐明该变更对合同价格、项目交付日期、项目技术参数的影响和变化以及对合同条款的影响等。</w:t>
      </w:r>
    </w:p>
    <w:p w14:paraId="24CC402B">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甲方收到乙方的上述修改建议后，应在3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14:paraId="70A39456">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6、所有的修改应在双方签署书面的修改备忘录时生效。修改备忘录将变更或取代有关的技术文件中或先前的任何修改备忘录中所有不一致的条款。</w:t>
      </w:r>
    </w:p>
    <w:p w14:paraId="5D958657">
      <w:pPr>
        <w:adjustRightInd w:val="0"/>
        <w:snapToGrid w:val="0"/>
        <w:spacing w:line="360" w:lineRule="auto"/>
        <w:ind w:left="420"/>
        <w:rPr>
          <w:rFonts w:ascii="宋体" w:eastAsia="宋体" w:hAnsi="宋体" w:cs="Times New Roman"/>
          <w:szCs w:val="21"/>
          <w:highlight w:val="none"/>
        </w:rPr>
      </w:pPr>
      <w:r>
        <w:rPr>
          <w:rFonts w:ascii="宋体" w:eastAsia="宋体" w:hAnsi="宋体" w:cs="Times New Roman" w:hint="eastAsia"/>
          <w:szCs w:val="21"/>
          <w:highlight w:val="none"/>
        </w:rPr>
        <w:t>7、任何对合同条件的变更或修改均须双方签订书面的修改书。</w:t>
      </w:r>
    </w:p>
    <w:p w14:paraId="4A8BCD3D">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8、招投标文件及其全部条款、双方签订的补充协议以及修改或变更的条款与本合同具有同等法律效力。补充、修改或变更的协议的签署及生效方式与本合同的签署及生效方式相同。</w:t>
      </w:r>
    </w:p>
    <w:p w14:paraId="2C71DE13">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二十一、合同的生效</w:t>
      </w:r>
    </w:p>
    <w:p w14:paraId="1958BD72">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本合同经双方法定代表人（负责人）或授权代表签字并加盖单位公章后生效。</w:t>
      </w:r>
    </w:p>
    <w:p w14:paraId="6DAD9F7B">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二十二、其它约定事项</w:t>
      </w:r>
    </w:p>
    <w:p w14:paraId="2EE6FA62">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1、本合同中的附件均为本合同不可分割的部分，与本合同具有相同的法律效力。</w:t>
      </w:r>
    </w:p>
    <w:p w14:paraId="6B2AE65E">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14:paraId="586CB692">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3、本合同正本一式两份，甲、乙双方各执一份，每份正本具有同等法律效力，副本报财政部备案。</w:t>
      </w:r>
    </w:p>
    <w:p w14:paraId="79B458EB">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4、本合同涉及的招标文件和投标文件，正本由中国气象局政府采购中心保存。</w:t>
      </w:r>
    </w:p>
    <w:p w14:paraId="33FD578F">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p>
    <w:p w14:paraId="592F4CD4">
      <w:pPr>
        <w:rPr>
          <w:highlight w:val="none"/>
        </w:rPr>
      </w:pPr>
    </w:p>
    <w:p w:rsidR="00A77B3E"/>
    <w:p w14:paraId="010FA648">
      <w:pPr>
        <w:spacing w:line="360" w:lineRule="auto"/>
        <w:ind w:firstLine="3066" w:firstLineChars="1460"/>
        <w:jc w:val="left"/>
      </w:pPr>
      <w:bookmarkEnd w:id="50"/>
    </w:p>
    <w:sectPr>
      <w:headerReference w:type="even" r:id="rId10"/>
      <w:headerReference w:type="default" r:id="rId11"/>
      <w:footerReference w:type="default" r:id="rId12"/>
      <w:headerReference w:type="first" r:id="rId13"/>
      <w:pgSz w:w="11906" w:h="16838"/>
      <w:pgMar w:top="1418" w:right="1418" w:bottom="1418" w:left="1701" w:header="851" w:footer="851" w:gutter="0"/>
      <w:cols w:num="1" w:space="720"/>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华文楷体">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62027FC">
    <w:pPr>
      <w:pStyle w:val="Footer"/>
      <w:jc w:val="center"/>
    </w:pPr>
    <w:r>
      <w:fldChar w:fldCharType="begin"/>
    </w:r>
    <w:r>
      <w:instrText xml:space="preserve"> PAGE   \* MERGEFORMAT </w:instrText>
    </w:r>
    <w:r>
      <w:fldChar w:fldCharType="separate"/>
    </w:r>
    <w:r>
      <w:rPr>
        <w:lang w:val="zh-CN" w:eastAsia="zh-CN"/>
      </w:rPr>
      <w:t>61</w:t>
    </w:r>
    <w:r>
      <w:fldChar w:fldCharType="end"/>
    </w:r>
  </w:p>
  <w:p w14:paraId="5A641F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342044F">
    <w:pPr>
      <w:pStyle w:val="Footer"/>
      <w:jc w:val="center"/>
    </w:pPr>
    <w:r>
      <w:fldChar w:fldCharType="begin"/>
    </w:r>
    <w:r>
      <w:instrText xml:space="preserve"> PAGE   \* MERGEFORMAT </w:instrText>
    </w:r>
    <w:r>
      <w:fldChar w:fldCharType="separate"/>
    </w:r>
    <w:r>
      <w:rPr>
        <w:lang w:val="zh-CN" w:eastAsia="zh-CN"/>
      </w:rPr>
      <w:t>1</w:t>
    </w:r>
    <w:r>
      <w:fldChar w:fldCharType="end"/>
    </w:r>
  </w:p>
  <w:p w14:paraId="1034E07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3AF5119">
    <w:pPr>
      <w:pStyle w:val="Footer"/>
      <w:jc w:val="center"/>
    </w:pPr>
    <w:r>
      <w:fldChar w:fldCharType="begin"/>
    </w:r>
    <w:r>
      <w:instrText xml:space="preserve"> PAGE   \* MERGEFORMAT </w:instrText>
    </w:r>
    <w:r>
      <w:fldChar w:fldCharType="separate"/>
    </w:r>
    <w:r>
      <w:rPr>
        <w:lang w:val="zh-CN"/>
      </w:rPr>
      <w:t>53</w:t>
    </w:r>
    <w:r>
      <w:fldChar w:fldCharType="end"/>
    </w:r>
  </w:p>
  <w:p w14:paraId="4DF1E783">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73DC958C">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1"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00A15D2">
    <w:pPr>
      <w:widowControl w:val="0"/>
      <w:pBdr>
        <w:top w:val="none" w:sz="0" w:space="1" w:color="auto"/>
        <w:left w:val="none" w:sz="0" w:space="4" w:color="auto"/>
        <w:bottom w:val="none" w:sz="0" w:space="1" w:color="auto"/>
        <w:right w:val="none" w:sz="0" w:space="4" w:color="auto"/>
      </w:pBdr>
      <w:snapToGrid w:val="0"/>
      <w:jc w:val="left"/>
      <w:rPr>
        <w:rFonts w:ascii="Times New Roman" w:eastAsia="宋体" w:hAnsi="Times New Roman" w:cs="Times New Roman"/>
        <w:kern w:val="2"/>
        <w:sz w:val="18"/>
        <w:szCs w:val="20"/>
        <w:lang w:val="en-US" w:eastAsia="zh-CN" w:bidi="ar-SA"/>
      </w:rPr>
    </w:pPr>
    <w:r>
      <w:rPr>
        <w:rFonts w:ascii="Times New Roman" w:eastAsia="宋体" w:hAnsi="Times New Roman" w:cs="Times New Roman"/>
        <w:kern w:val="2"/>
        <w:sz w:val="18"/>
        <w:szCs w:val="20"/>
        <w:lang w:val="en-US" w:eastAsia="zh-CN" w:bidi="ar-SA"/>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2"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4144"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2AB20D9">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F9E57AD">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D07B4CA">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93FE6617"/>
    <w:multiLevelType w:val="singleLevel"/>
    <w:tmpl w:val="93FE6617"/>
    <w:lvl w:ilvl="0">
      <w:start w:val="1"/>
      <w:numFmt w:val="decimal"/>
      <w:lvlText w:val="%1."/>
      <w:lvlJc w:val="left"/>
      <w:pPr>
        <w:tabs>
          <w:tab w:val="left" w:pos="880"/>
        </w:tabs>
      </w:pPr>
    </w:lvl>
  </w:abstractNum>
  <w:abstractNum w:abstractNumId="1">
    <w:nsid w:val="9BDEECA8"/>
    <w:multiLevelType w:val="singleLevel"/>
    <w:tmpl w:val="9BDEECA8"/>
    <w:lvl w:ilvl="0">
      <w:start w:val="9"/>
      <w:numFmt w:val="chineseCounting"/>
      <w:suff w:val="space"/>
      <w:lvlText w:val="第%1章"/>
      <w:lvlJc w:val="left"/>
      <w:rPr>
        <w:rFonts w:hint="eastAsia"/>
      </w:rPr>
    </w:lvl>
  </w:abstractNum>
  <w:abstractNum w:abstractNumId="2">
    <w:nsid w:val="B951ABFB"/>
    <w:multiLevelType w:val="singleLevel"/>
    <w:tmpl w:val="B951ABFB"/>
    <w:lvl w:ilvl="0">
      <w:start w:val="2"/>
      <w:numFmt w:val="chineseCounting"/>
      <w:suff w:val="nothing"/>
      <w:lvlText w:val="（%1）"/>
      <w:lvlJc w:val="left"/>
      <w:rPr>
        <w:rFonts w:hint="eastAsia"/>
      </w:rPr>
    </w:lvl>
  </w:abstractNum>
  <w:abstractNum w:abstractNumId="3">
    <w:nsid w:val="00000003"/>
    <w:multiLevelType w:val="multilevel"/>
    <w:tmpl w:val="00000003"/>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4">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5">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7">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4"/>
  </w:num>
  <w:num w:numId="2">
    <w:abstractNumId w:val="3"/>
  </w:num>
  <w:num w:numId="3">
    <w:abstractNumId w:val="5"/>
  </w:num>
  <w:num w:numId="4">
    <w:abstractNumId w:val="2"/>
  </w:num>
  <w:num w:numId="5">
    <w:abstractNumId w:val="1"/>
  </w:num>
  <w:num w:numId="6">
    <w:abstractNumId w:val="0"/>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E9E"/>
    <w:rsid w:val="000016D2"/>
    <w:rsid w:val="00002E24"/>
    <w:rsid w:val="00005A8A"/>
    <w:rsid w:val="0001087D"/>
    <w:rsid w:val="00030BE6"/>
    <w:rsid w:val="00040C91"/>
    <w:rsid w:val="00045D67"/>
    <w:rsid w:val="00052802"/>
    <w:rsid w:val="00066F38"/>
    <w:rsid w:val="00075338"/>
    <w:rsid w:val="000754F9"/>
    <w:rsid w:val="00076C9A"/>
    <w:rsid w:val="000A2A54"/>
    <w:rsid w:val="000A59CB"/>
    <w:rsid w:val="000B7113"/>
    <w:rsid w:val="000C283C"/>
    <w:rsid w:val="000D351A"/>
    <w:rsid w:val="000D672E"/>
    <w:rsid w:val="000E0434"/>
    <w:rsid w:val="000E331A"/>
    <w:rsid w:val="0010272C"/>
    <w:rsid w:val="00112249"/>
    <w:rsid w:val="00120B7A"/>
    <w:rsid w:val="00141A82"/>
    <w:rsid w:val="00144CF6"/>
    <w:rsid w:val="00153C52"/>
    <w:rsid w:val="00157E9E"/>
    <w:rsid w:val="00173F72"/>
    <w:rsid w:val="00181B6B"/>
    <w:rsid w:val="0018633A"/>
    <w:rsid w:val="00192814"/>
    <w:rsid w:val="00196147"/>
    <w:rsid w:val="001C7440"/>
    <w:rsid w:val="00203887"/>
    <w:rsid w:val="002076FD"/>
    <w:rsid w:val="0022256E"/>
    <w:rsid w:val="00222B46"/>
    <w:rsid w:val="0022691C"/>
    <w:rsid w:val="00233E71"/>
    <w:rsid w:val="002341FF"/>
    <w:rsid w:val="00237079"/>
    <w:rsid w:val="00256469"/>
    <w:rsid w:val="00264274"/>
    <w:rsid w:val="00291EDF"/>
    <w:rsid w:val="002A2CC3"/>
    <w:rsid w:val="002B620D"/>
    <w:rsid w:val="002C0BB1"/>
    <w:rsid w:val="002E4430"/>
    <w:rsid w:val="002F03C6"/>
    <w:rsid w:val="002F0D91"/>
    <w:rsid w:val="002F2B35"/>
    <w:rsid w:val="00305021"/>
    <w:rsid w:val="00312D3E"/>
    <w:rsid w:val="00320E2C"/>
    <w:rsid w:val="003211C0"/>
    <w:rsid w:val="00352B8E"/>
    <w:rsid w:val="003559BB"/>
    <w:rsid w:val="00370A02"/>
    <w:rsid w:val="00371F1B"/>
    <w:rsid w:val="003772E0"/>
    <w:rsid w:val="003839DA"/>
    <w:rsid w:val="0039290C"/>
    <w:rsid w:val="003A6919"/>
    <w:rsid w:val="003A7175"/>
    <w:rsid w:val="003C781C"/>
    <w:rsid w:val="0040727B"/>
    <w:rsid w:val="004166F0"/>
    <w:rsid w:val="00425412"/>
    <w:rsid w:val="00433374"/>
    <w:rsid w:val="00455AE9"/>
    <w:rsid w:val="00461E69"/>
    <w:rsid w:val="00463F63"/>
    <w:rsid w:val="00473F5D"/>
    <w:rsid w:val="00474161"/>
    <w:rsid w:val="00476832"/>
    <w:rsid w:val="004D39DE"/>
    <w:rsid w:val="004E66CF"/>
    <w:rsid w:val="004F0275"/>
    <w:rsid w:val="0051346B"/>
    <w:rsid w:val="005212A4"/>
    <w:rsid w:val="00532B93"/>
    <w:rsid w:val="00533CE4"/>
    <w:rsid w:val="00536F3B"/>
    <w:rsid w:val="00541866"/>
    <w:rsid w:val="005537C4"/>
    <w:rsid w:val="00571771"/>
    <w:rsid w:val="0058257B"/>
    <w:rsid w:val="00583812"/>
    <w:rsid w:val="00590AA4"/>
    <w:rsid w:val="005932E2"/>
    <w:rsid w:val="0059685B"/>
    <w:rsid w:val="005A5798"/>
    <w:rsid w:val="005B12F7"/>
    <w:rsid w:val="005C2249"/>
    <w:rsid w:val="005C7ADD"/>
    <w:rsid w:val="005D430B"/>
    <w:rsid w:val="005F1E79"/>
    <w:rsid w:val="0062755C"/>
    <w:rsid w:val="00642C3E"/>
    <w:rsid w:val="00666252"/>
    <w:rsid w:val="0067469A"/>
    <w:rsid w:val="00675F4B"/>
    <w:rsid w:val="006864EA"/>
    <w:rsid w:val="006872E4"/>
    <w:rsid w:val="006913A1"/>
    <w:rsid w:val="006B137C"/>
    <w:rsid w:val="006C0E77"/>
    <w:rsid w:val="006D0D0F"/>
    <w:rsid w:val="006D2072"/>
    <w:rsid w:val="006E282D"/>
    <w:rsid w:val="006E4056"/>
    <w:rsid w:val="006F16BD"/>
    <w:rsid w:val="006F326B"/>
    <w:rsid w:val="0071159C"/>
    <w:rsid w:val="00717CD3"/>
    <w:rsid w:val="00755E36"/>
    <w:rsid w:val="00760D50"/>
    <w:rsid w:val="00764BC0"/>
    <w:rsid w:val="007813A5"/>
    <w:rsid w:val="0079401A"/>
    <w:rsid w:val="0079588A"/>
    <w:rsid w:val="007B0439"/>
    <w:rsid w:val="007B7164"/>
    <w:rsid w:val="007C1CF8"/>
    <w:rsid w:val="00812C53"/>
    <w:rsid w:val="008175D5"/>
    <w:rsid w:val="00821DB7"/>
    <w:rsid w:val="00827152"/>
    <w:rsid w:val="008429A1"/>
    <w:rsid w:val="00855E83"/>
    <w:rsid w:val="0085699C"/>
    <w:rsid w:val="008739BB"/>
    <w:rsid w:val="00890AE6"/>
    <w:rsid w:val="00895BFD"/>
    <w:rsid w:val="008B2378"/>
    <w:rsid w:val="008C0ABE"/>
    <w:rsid w:val="008C4F0E"/>
    <w:rsid w:val="008C5811"/>
    <w:rsid w:val="008D7779"/>
    <w:rsid w:val="008E080E"/>
    <w:rsid w:val="008E3E67"/>
    <w:rsid w:val="008F20DD"/>
    <w:rsid w:val="008F51AD"/>
    <w:rsid w:val="00901D61"/>
    <w:rsid w:val="00914364"/>
    <w:rsid w:val="0092771C"/>
    <w:rsid w:val="00936597"/>
    <w:rsid w:val="00956726"/>
    <w:rsid w:val="00960E81"/>
    <w:rsid w:val="009641D4"/>
    <w:rsid w:val="009644FB"/>
    <w:rsid w:val="0096672C"/>
    <w:rsid w:val="00981D16"/>
    <w:rsid w:val="009969E1"/>
    <w:rsid w:val="00996DAB"/>
    <w:rsid w:val="009B4887"/>
    <w:rsid w:val="009D6FCD"/>
    <w:rsid w:val="009F6878"/>
    <w:rsid w:val="00A0025F"/>
    <w:rsid w:val="00A02864"/>
    <w:rsid w:val="00A15318"/>
    <w:rsid w:val="00A42E2A"/>
    <w:rsid w:val="00A442CF"/>
    <w:rsid w:val="00A46640"/>
    <w:rsid w:val="00A57520"/>
    <w:rsid w:val="00A77B3E"/>
    <w:rsid w:val="00A83502"/>
    <w:rsid w:val="00A84092"/>
    <w:rsid w:val="00A854DC"/>
    <w:rsid w:val="00AA2F2A"/>
    <w:rsid w:val="00AA50EE"/>
    <w:rsid w:val="00AA75A8"/>
    <w:rsid w:val="00AC229B"/>
    <w:rsid w:val="00AE54BE"/>
    <w:rsid w:val="00AF0917"/>
    <w:rsid w:val="00AF097B"/>
    <w:rsid w:val="00AF33F7"/>
    <w:rsid w:val="00B00A4E"/>
    <w:rsid w:val="00B134C4"/>
    <w:rsid w:val="00B273AA"/>
    <w:rsid w:val="00B27DCC"/>
    <w:rsid w:val="00B315C9"/>
    <w:rsid w:val="00B37ACD"/>
    <w:rsid w:val="00B743C1"/>
    <w:rsid w:val="00B90A57"/>
    <w:rsid w:val="00BA2D0B"/>
    <w:rsid w:val="00BA69FD"/>
    <w:rsid w:val="00BB4734"/>
    <w:rsid w:val="00BB704A"/>
    <w:rsid w:val="00BC3682"/>
    <w:rsid w:val="00BD4FAE"/>
    <w:rsid w:val="00BD7D44"/>
    <w:rsid w:val="00BF6D4B"/>
    <w:rsid w:val="00C01FAF"/>
    <w:rsid w:val="00C12916"/>
    <w:rsid w:val="00C15773"/>
    <w:rsid w:val="00C16333"/>
    <w:rsid w:val="00C2122C"/>
    <w:rsid w:val="00C27D52"/>
    <w:rsid w:val="00C334C6"/>
    <w:rsid w:val="00C53BE2"/>
    <w:rsid w:val="00C55ACA"/>
    <w:rsid w:val="00C83D9E"/>
    <w:rsid w:val="00C90B39"/>
    <w:rsid w:val="00C930D6"/>
    <w:rsid w:val="00CB1FDF"/>
    <w:rsid w:val="00CB36EC"/>
    <w:rsid w:val="00CC10F2"/>
    <w:rsid w:val="00CD51E9"/>
    <w:rsid w:val="00CD73F1"/>
    <w:rsid w:val="00CE0A64"/>
    <w:rsid w:val="00D00587"/>
    <w:rsid w:val="00D1266A"/>
    <w:rsid w:val="00D27F73"/>
    <w:rsid w:val="00D6681C"/>
    <w:rsid w:val="00D66D55"/>
    <w:rsid w:val="00D82805"/>
    <w:rsid w:val="00D86694"/>
    <w:rsid w:val="00D92E39"/>
    <w:rsid w:val="00DA6BA6"/>
    <w:rsid w:val="00DB7D54"/>
    <w:rsid w:val="00DD2C20"/>
    <w:rsid w:val="00DD2C32"/>
    <w:rsid w:val="00DE2A3D"/>
    <w:rsid w:val="00DF248D"/>
    <w:rsid w:val="00E33810"/>
    <w:rsid w:val="00E50F80"/>
    <w:rsid w:val="00E512CF"/>
    <w:rsid w:val="00E63906"/>
    <w:rsid w:val="00E66C36"/>
    <w:rsid w:val="00E77DA4"/>
    <w:rsid w:val="00E84A5F"/>
    <w:rsid w:val="00EA3E18"/>
    <w:rsid w:val="00EB50B3"/>
    <w:rsid w:val="00EC0158"/>
    <w:rsid w:val="00EC0AB1"/>
    <w:rsid w:val="00ED3F77"/>
    <w:rsid w:val="00EF2E6C"/>
    <w:rsid w:val="00F01C52"/>
    <w:rsid w:val="00F040AF"/>
    <w:rsid w:val="00F047F6"/>
    <w:rsid w:val="00F052E0"/>
    <w:rsid w:val="00F147D4"/>
    <w:rsid w:val="00F14F1E"/>
    <w:rsid w:val="00F166A6"/>
    <w:rsid w:val="00F16F1D"/>
    <w:rsid w:val="00F308BD"/>
    <w:rsid w:val="00F32641"/>
    <w:rsid w:val="00F36C39"/>
    <w:rsid w:val="00F56A4B"/>
    <w:rsid w:val="00F61871"/>
    <w:rsid w:val="00F809D4"/>
    <w:rsid w:val="00F82764"/>
    <w:rsid w:val="00F82FD5"/>
    <w:rsid w:val="00FA3AF4"/>
    <w:rsid w:val="00FC665E"/>
    <w:rsid w:val="00FD599A"/>
    <w:rsid w:val="116B70C3"/>
    <w:rsid w:val="30242202"/>
    <w:rsid w:val="3ED77CD3"/>
    <w:rsid w:val="48D80DB9"/>
    <w:rsid w:val="54A35EA4"/>
    <w:rsid w:val="55FB7897"/>
    <w:rsid w:val="5DA3691C"/>
    <w:rsid w:val="6B776B7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qFormat="1"/>
    <w:lsdException w:name="header" w:semiHidden="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nhideWhenUsed="0" w:qFormat="1"/>
    <w:lsdException w:name="Table Grid" w:semiHidden="0" w:uiPriority="59" w:unhideWhenUsed="0"/>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10"/>
    <w:unhideWhenUsed/>
    <w:qFormat/>
    <w:pPr>
      <w:jc w:val="left"/>
    </w:pPr>
  </w:style>
  <w:style w:type="paragraph" w:styleId="BodyText">
    <w:name w:val="Body Text"/>
    <w:basedOn w:val="Normal"/>
    <w:link w:val="Char9"/>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PlainText">
    <w:name w:val="Plain Text"/>
    <w:basedOn w:val="Normal"/>
    <w:link w:val="Char5"/>
    <w:qFormat/>
    <w:rPr>
      <w:rFonts w:ascii="宋体" w:eastAsia="宋体" w:hAnsi="Courier New" w:cs="Times New Roman"/>
      <w:szCs w:val="21"/>
    </w:rPr>
  </w:style>
  <w:style w:type="paragraph" w:styleId="Date">
    <w:name w:val="Date"/>
    <w:basedOn w:val="Normal"/>
    <w:next w:val="Normal"/>
    <w:link w:val="Char8"/>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3"/>
    <w:uiPriority w:val="99"/>
    <w:qFormat/>
    <w:rPr>
      <w:sz w:val="18"/>
      <w:szCs w:val="18"/>
    </w:rPr>
  </w:style>
  <w:style w:type="paragraph" w:styleId="Footer">
    <w:name w:val="footer"/>
    <w:basedOn w:val="Normal"/>
    <w:link w:val="Char0"/>
    <w:uiPriority w:val="99"/>
    <w:qFormat/>
    <w:pPr>
      <w:tabs>
        <w:tab w:val="center" w:pos="4153"/>
        <w:tab w:val="right" w:pos="8306"/>
      </w:tabs>
      <w:snapToGrid w:val="0"/>
      <w:jc w:val="left"/>
    </w:pPr>
    <w:rPr>
      <w:sz w:val="18"/>
    </w:rPr>
  </w:style>
  <w:style w:type="paragraph" w:styleId="Header">
    <w:name w:val="header"/>
    <w:basedOn w:val="Normal"/>
    <w:link w:val="Char7"/>
    <w:uiPriority w:val="99"/>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4"/>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2"/>
    <w:qFormat/>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uiPriority w:val="99"/>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
    <w:name w:val="文档结构图 Char"/>
    <w:link w:val="DocumentMap"/>
    <w:uiPriority w:val="99"/>
    <w:qFormat/>
    <w:rPr>
      <w:rFonts w:ascii="宋体"/>
      <w:sz w:val="18"/>
      <w:szCs w:val="18"/>
    </w:rPr>
  </w:style>
  <w:style w:type="character" w:customStyle="1" w:styleId="Char0">
    <w:name w:val="页脚 Char"/>
    <w:link w:val="Footer"/>
    <w:uiPriority w:val="99"/>
    <w:qFormat/>
    <w:rPr>
      <w:sz w:val="18"/>
    </w:rPr>
  </w:style>
  <w:style w:type="character" w:customStyle="1" w:styleId="Char1">
    <w:name w:val="批注文字 Char"/>
    <w:qFormat/>
    <w:rPr>
      <w:kern w:val="2"/>
      <w:sz w:val="21"/>
    </w:rPr>
  </w:style>
  <w:style w:type="character" w:customStyle="1" w:styleId="px10">
    <w:name w:val="px_10"/>
    <w:basedOn w:val="DefaultParagraphFont"/>
    <w:qFormat/>
  </w:style>
  <w:style w:type="character" w:customStyle="1" w:styleId="Char2">
    <w:name w:val="批注主题 Char"/>
    <w:link w:val="CommentSubject"/>
    <w:qFormat/>
  </w:style>
  <w:style w:type="character" w:customStyle="1" w:styleId="Char3">
    <w:name w:val="批注框文本 Char"/>
    <w:link w:val="BalloonText"/>
    <w:uiPriority w:val="99"/>
    <w:qFormat/>
    <w:rPr>
      <w:sz w:val="18"/>
      <w:szCs w:val="18"/>
    </w:rPr>
  </w:style>
  <w:style w:type="character" w:customStyle="1" w:styleId="Char4">
    <w:name w:val="标题 Char"/>
    <w:link w:val="Title"/>
    <w:qFormat/>
    <w:rPr>
      <w:rFonts w:ascii="Cambria" w:hAnsi="Cambria" w:cs="Times New Roman"/>
      <w:b/>
      <w:bCs/>
      <w:sz w:val="32"/>
      <w:szCs w:val="32"/>
    </w:rPr>
  </w:style>
  <w:style w:type="character" w:customStyle="1" w:styleId="Char10">
    <w:name w:val="批注文字 Char1"/>
    <w:basedOn w:val="DefaultParagraphFont"/>
    <w:link w:val="CommentText"/>
    <w:uiPriority w:val="99"/>
    <w:semiHidden/>
    <w:qFormat/>
  </w:style>
  <w:style w:type="character" w:customStyle="1" w:styleId="Char11">
    <w:name w:val="批注主题 Char1"/>
    <w:basedOn w:val="Char10"/>
    <w:uiPriority w:val="99"/>
    <w:semiHidden/>
    <w:qFormat/>
    <w:rPr>
      <w:b/>
      <w:bCs/>
    </w:rPr>
  </w:style>
  <w:style w:type="character" w:customStyle="1" w:styleId="Char5">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6">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12">
    <w:name w:val="文档结构图 Char1"/>
    <w:basedOn w:val="DefaultParagraphFont"/>
    <w:uiPriority w:val="99"/>
    <w:semiHidden/>
    <w:qFormat/>
    <w:rPr>
      <w:rFonts w:ascii="宋体" w:eastAsia="宋体"/>
      <w:sz w:val="18"/>
      <w:szCs w:val="18"/>
    </w:rPr>
  </w:style>
  <w:style w:type="character" w:customStyle="1" w:styleId="Char7">
    <w:name w:val="页眉 Char"/>
    <w:basedOn w:val="DefaultParagraphFont"/>
    <w:link w:val="Header"/>
    <w:uiPriority w:val="99"/>
    <w:qFormat/>
    <w:rPr>
      <w:rFonts w:ascii="Times New Roman" w:eastAsia="宋体" w:hAnsi="Times New Roman" w:cs="Times New Roman"/>
      <w:sz w:val="18"/>
      <w:szCs w:val="20"/>
    </w:rPr>
  </w:style>
  <w:style w:type="character" w:customStyle="1" w:styleId="Char8">
    <w:name w:val="日期 Char"/>
    <w:basedOn w:val="DefaultParagraphFont"/>
    <w:link w:val="Date"/>
    <w:qFormat/>
    <w:rPr>
      <w:rFonts w:ascii="宋体" w:eastAsia="宋体" w:hAnsi="Times New Roman" w:cs="Times New Roman"/>
      <w:sz w:val="24"/>
      <w:szCs w:val="20"/>
    </w:rPr>
  </w:style>
  <w:style w:type="character" w:customStyle="1" w:styleId="Char13">
    <w:name w:val="批注框文本 Char1"/>
    <w:basedOn w:val="DefaultParagraphFont"/>
    <w:uiPriority w:val="99"/>
    <w:semiHidden/>
    <w:qFormat/>
    <w:rPr>
      <w:sz w:val="18"/>
      <w:szCs w:val="18"/>
    </w:rPr>
  </w:style>
  <w:style w:type="character" w:customStyle="1" w:styleId="Char14">
    <w:name w:val="页脚 Char1"/>
    <w:basedOn w:val="DefaultParagraphFont"/>
    <w:uiPriority w:val="99"/>
    <w:semiHidden/>
    <w:qFormat/>
    <w:rPr>
      <w:sz w:val="18"/>
      <w:szCs w:val="18"/>
    </w:rPr>
  </w:style>
  <w:style w:type="character" w:customStyle="1" w:styleId="Char15">
    <w:name w:val="标题 Char1"/>
    <w:basedOn w:val="DefaultParagraphFont"/>
    <w:uiPriority w:val="10"/>
    <w:qFormat/>
    <w:rPr>
      <w:rFonts w:eastAsia="宋体" w:asciiTheme="majorHAnsi" w:hAnsiTheme="majorHAnsi" w:cstheme="majorBidi"/>
      <w:b/>
      <w:bCs/>
      <w:sz w:val="32"/>
      <w:szCs w:val="32"/>
    </w:rPr>
  </w:style>
  <w:style w:type="paragraph" w:customStyle="1" w:styleId="10">
    <w:name w:val="样式1"/>
    <w:basedOn w:val="Normal"/>
    <w:qFormat/>
    <w:pPr>
      <w:numPr>
        <w:ilvl w:val="0"/>
        <w:numId w:val="2"/>
      </w:numPr>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7"/>
    <w:qFormat/>
    <w:pPr>
      <w:ind w:firstLine="420" w:firstLineChars="200"/>
    </w:pPr>
    <w:rPr>
      <w:rFonts w:ascii="Times New Roman" w:eastAsia="宋体" w:hAnsi="Times New Roman" w:cs="Times New Roman"/>
      <w:szCs w:val="21"/>
    </w:rPr>
  </w:style>
  <w:style w:type="character" w:customStyle="1" w:styleId="Char9">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34"/>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6">
    <w:name w:val="表格正文 Char"/>
    <w:link w:val="a1"/>
    <w:qFormat/>
  </w:style>
  <w:style w:type="paragraph" w:customStyle="1" w:styleId="a1">
    <w:name w:val="表格正文"/>
    <w:link w:val="Char16"/>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character" w:customStyle="1" w:styleId="Char17">
    <w:name w:val="列出段落 Char"/>
    <w:link w:val="12"/>
    <w:qFormat/>
    <w:rPr>
      <w:rFonts w:ascii="Times New Roman" w:eastAsia="宋体" w:hAnsi="Times New Roman" w:cs="Times New Roman"/>
      <w:szCs w:val="21"/>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 w:type="table" w:styleId="TableGrid">
    <w:name w:val="Table Grid"/>
    <w:basedOn w:val="TableNormal"/>
    <w:uiPriority w:val="59"/>
    <w:qFormat/>
    <w:rPr>
      <w:rFonts w:ascii="Calibri" w:eastAsia="宋体" w:hAnsi="Calibri" w:cs="Times New Roman"/>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header" Target="header5.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101"/>
    <customShpInfo spid="_x0000_s4102"/>
    <customShpInfo spid="_x0000_s4099"/>
    <customShpInfo spid="_x0000_s4100"/>
    <customShpInfo spid="_x0000_s4098"/>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F2FE29D-BF96-49AC-8995-E80AEDF22FF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13710</Words>
  <Characters>14630</Characters>
  <Application>Microsoft Office Word</Application>
  <DocSecurity>0</DocSecurity>
  <Lines>436</Lines>
  <Paragraphs>122</Paragraphs>
  <ScaleCrop>false</ScaleCrop>
  <Company/>
  <LinksUpToDate>false</LinksUpToDate>
  <CharactersWithSpaces>14787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206</cp:revision>
  <dcterms:created xsi:type="dcterms:W3CDTF">2025-03-06T07:41:00Z</dcterms:created>
  <dcterms:modified xsi:type="dcterms:W3CDTF">2026-02-02T10:33:10Z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272718E852F047179FD1159AFDFEF433_12</vt:lpwstr>
  </property>
  <property fmtid="{D5CDD505-2E9C-101B-9397-08002B2CF9AE}" pid="3" name="KSOProductBuildVer">
    <vt:lpwstr>2052-12.1.0.24657</vt:lpwstr>
  </property>
  <property fmtid="{D5CDD505-2E9C-101B-9397-08002B2CF9AE}" pid="4" name="KSOTemplateDocerSaveRecord">
    <vt:lpwstr>eyJoZGlkIjoiM2FkMjdjNjAxZjdmYjI5MjMyNmE5MTA5ZjJkMDM4NmEiLCJ1c2VySWQiOiI0MTI2MjIxMDYifQ==</vt:lpwstr>
  </property>
</Properties>
</file>