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华北人影项目（山西）人工增减雨雪试验示范基地移动式X波段双偏振多普勒雷达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华北人影项目（山西）人工增减雨雪试验示范基地移动式X波段双偏振多普勒雷达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ZQCD-26115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山西省大同市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2026年07月02日 15:00:00</w:t>
      </w:r>
      <w:bookmarkEnd w:id="26"/>
      <w:r>
        <w:rPr>
          <w:rFonts w:ascii="宋体" w:hint="eastAsia"/>
          <w:szCs w:val="21"/>
          <w:highlight w:val="none"/>
        </w:rPr>
        <w:t>至</w:t>
      </w:r>
      <w:bookmarkStart w:id="27" w:name="项目公告_signUpLastTime"/>
      <w:r>
        <w:rPr>
          <w:rFonts w:ascii="宋体" w:hint="eastAsia"/>
          <w:szCs w:val="21"/>
          <w:highlight w:val="none"/>
        </w:rPr>
        <w:t>2026年07月09日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杨俊梅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0351-7562210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山西省太原市迎泽区朝阳街500号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不允许（仅针对以下产品：X波段双偏振多普勒雷达  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设有，核心产品为X波段双偏振多普勒雷达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必须，以下产品需要提供至投标截止日仍有效的《气象专用技术装备使用许可证》：X波段双线偏振多普勒天气雷达（全固态）气象专用技术装备许可证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标的：X波段双偏振多普勒雷达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378.000000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378.000000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 X 波段双偏振多普勒雷达，每提供1份合同得1分，最多得5分。否则不得分。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针对本项目采购的移动式 X 波段双偏振多普勒雷达，承诺每提前30天交货的得1分，最多得1分。否则不得分。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 波段双偏振多普勒雷达设备，每提供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请输根据投标人提供能证明投标产品技术性能的第三方测试报告进行评分，具体评分标准如下：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入评分标准</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针对移动式 X 波段双偏振多普勒雷达设备，测试报告应涵盖电磁兼容性、工作温度范围等内容，每包含一项得1分，最多得2分。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566B78">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566B78">
      <w:pPr>
        <w:spacing w:line="360" w:lineRule="auto"/>
        <w:ind w:firstLine="420" w:firstLineChars="200"/>
        <w:rPr>
          <w:rFonts w:ascii="宋体" w:hAnsi="宋体"/>
          <w:szCs w:val="21"/>
        </w:rPr>
      </w:pPr>
      <w:r>
        <w:rPr>
          <w:rFonts w:ascii="宋体" w:hAnsi="宋体" w:hint="eastAsia"/>
          <w:szCs w:val="21"/>
        </w:rPr>
        <w:t>一、项目概况及总体要求</w:t>
      </w:r>
    </w:p>
    <w:p w:rsidR="00566B78">
      <w:pPr>
        <w:spacing w:line="360" w:lineRule="auto"/>
        <w:ind w:firstLine="420" w:firstLineChars="200"/>
        <w:rPr>
          <w:rFonts w:ascii="宋体" w:eastAsia="宋体" w:hAnsi="宋体" w:cs="Times New Roman"/>
          <w:szCs w:val="21"/>
        </w:rPr>
      </w:pPr>
      <w:r>
        <w:rPr>
          <w:rFonts w:ascii="宋体" w:hAnsi="宋体" w:hint="eastAsia"/>
          <w:szCs w:val="21"/>
        </w:rPr>
        <w:t>本次招标内容为华北区域人工影响天气能力建设项目（</w:t>
      </w:r>
      <w:r>
        <w:rPr>
          <w:rFonts w:ascii="宋体" w:hAnsi="宋体" w:hint="eastAsia"/>
          <w:szCs w:val="21"/>
        </w:rPr>
        <w:t>山西</w:t>
      </w:r>
      <w:r>
        <w:rPr>
          <w:rFonts w:ascii="宋体" w:hAnsi="宋体" w:hint="eastAsia"/>
          <w:szCs w:val="21"/>
        </w:rPr>
        <w:t>）—人工增减雨雪试验示范基地建设，采购一套移动式</w:t>
      </w:r>
      <w:r>
        <w:rPr>
          <w:rFonts w:ascii="宋体" w:hAnsi="宋体" w:hint="eastAsia"/>
          <w:szCs w:val="21"/>
        </w:rPr>
        <w:t>X</w:t>
      </w:r>
      <w:r>
        <w:rPr>
          <w:rFonts w:ascii="宋体" w:hAnsi="宋体" w:hint="eastAsia"/>
          <w:szCs w:val="21"/>
        </w:rPr>
        <w:t>波段双</w:t>
      </w:r>
      <w:r>
        <w:rPr>
          <w:rFonts w:ascii="宋体" w:hAnsi="宋体" w:hint="eastAsia"/>
          <w:szCs w:val="21"/>
        </w:rPr>
        <w:t>偏振多普勒雷达。在</w:t>
      </w:r>
      <w:r>
        <w:rPr>
          <w:rFonts w:ascii="宋体" w:hAnsi="宋体" w:hint="eastAsia"/>
          <w:szCs w:val="21"/>
        </w:rPr>
        <w:t>华北地区</w:t>
      </w:r>
      <w:r>
        <w:rPr>
          <w:rFonts w:ascii="宋体" w:hAnsi="宋体" w:hint="eastAsia"/>
          <w:szCs w:val="21"/>
        </w:rPr>
        <w:t>小区域降水、雹云、龙卷、气旋等小尺度强天气识别、小尺度云系发展监测方面</w:t>
      </w:r>
      <w:r>
        <w:rPr>
          <w:rFonts w:ascii="宋体" w:hAnsi="宋体" w:hint="eastAsia"/>
          <w:szCs w:val="21"/>
        </w:rPr>
        <w:t>发挥</w:t>
      </w:r>
      <w:r>
        <w:rPr>
          <w:rFonts w:ascii="宋体" w:hAnsi="宋体" w:hint="eastAsia"/>
          <w:szCs w:val="21"/>
        </w:rPr>
        <w:t>作用，</w:t>
      </w:r>
      <w:r>
        <w:rPr>
          <w:rFonts w:ascii="宋体" w:hAnsi="宋体" w:hint="eastAsia"/>
          <w:szCs w:val="21"/>
        </w:rPr>
        <w:t>获取</w:t>
      </w:r>
      <w:r>
        <w:rPr>
          <w:rFonts w:ascii="宋体" w:hAnsi="宋体" w:hint="eastAsia"/>
          <w:szCs w:val="21"/>
        </w:rPr>
        <w:t>更加细微地云、雨滴、冰雹等水凝物的微物理过程信息，应用于暴雨和冰雹等灾害性天气过程监测、预警、人工影响天气作业指挥和效果评估</w:t>
      </w:r>
      <w:r>
        <w:rPr>
          <w:rFonts w:ascii="宋体" w:eastAsia="宋体" w:hAnsi="宋体" w:cs="Times New Roman" w:hint="eastAsia"/>
          <w:szCs w:val="21"/>
        </w:rPr>
        <w:t>。</w:t>
      </w:r>
    </w:p>
    <w:p w:rsidR="00566B78">
      <w:pPr>
        <w:spacing w:line="360" w:lineRule="auto"/>
        <w:ind w:firstLine="420" w:firstLineChars="200"/>
        <w:rPr>
          <w:rFonts w:ascii="宋体" w:hAnsi="宋体"/>
          <w:szCs w:val="21"/>
        </w:rPr>
      </w:pPr>
      <w:r>
        <w:rPr>
          <w:rFonts w:ascii="宋体" w:hAnsi="宋体" w:hint="eastAsia"/>
          <w:szCs w:val="21"/>
        </w:rPr>
        <w:t>二、</w:t>
      </w:r>
      <w:r>
        <w:rPr>
          <w:rFonts w:ascii="宋体" w:hAnsi="宋体" w:hint="eastAsia"/>
          <w:szCs w:val="21"/>
        </w:rPr>
        <w:t>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8757" w:type="dxa"/>
        <w:jc w:val="center"/>
        <w:tblLayout w:type="fixed"/>
        <w:tblCellMar>
          <w:left w:w="0" w:type="dxa"/>
          <w:right w:w="0" w:type="dxa"/>
        </w:tblCellMar>
        <w:tblLook w:val="04A0"/>
      </w:tblPr>
      <w:tblGrid>
        <w:gridCol w:w="845"/>
        <w:gridCol w:w="1694"/>
        <w:gridCol w:w="1068"/>
        <w:gridCol w:w="1455"/>
        <w:gridCol w:w="1166"/>
        <w:gridCol w:w="1455"/>
        <w:gridCol w:w="1074"/>
      </w:tblGrid>
      <w:tr>
        <w:tblPrEx>
          <w:tblW w:w="8757" w:type="dxa"/>
          <w:jc w:val="center"/>
          <w:tblLayout w:type="fixed"/>
          <w:tblCellMar>
            <w:left w:w="0" w:type="dxa"/>
            <w:right w:w="0" w:type="dxa"/>
          </w:tblCellMar>
          <w:tblLook w:val="04A0"/>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w:t>
            </w:r>
            <w:r>
              <w:rPr>
                <w:rFonts w:ascii="微软雅黑" w:eastAsia="微软雅黑" w:cs="微软雅黑" w:hint="eastAsia"/>
                <w:kern w:val="0"/>
                <w:szCs w:val="21"/>
              </w:rPr>
              <w:t>地</w:t>
            </w:r>
            <w:r>
              <w:rPr>
                <w:rFonts w:ascii="微软雅黑" w:eastAsia="微软雅黑" w:cs="微软雅黑" w:hint="eastAsia"/>
                <w:kern w:val="0"/>
                <w:szCs w:val="21"/>
              </w:rPr>
              <w:t>点</w:t>
            </w:r>
          </w:p>
        </w:tc>
        <w:tc>
          <w:tcPr>
            <w:tcW w:w="1074" w:type="dxa"/>
            <w:tcBorders>
              <w:top w:val="single" w:sz="4" w:space="0" w:color="000000"/>
              <w:left w:val="single" w:sz="4" w:space="0" w:color="000000"/>
              <w:bottom w:val="single" w:sz="4" w:space="0" w:color="000000"/>
              <w:right w:val="single" w:sz="4" w:space="0" w:color="000000"/>
            </w:tcBorders>
            <w:vAlign w:val="center"/>
          </w:tcPr>
          <w:p w:rsidR="00566B78">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left w:w="0" w:type="dxa"/>
            <w:right w:w="0" w:type="dxa"/>
          </w:tblCellMar>
          <w:tblLook w:val="04A0"/>
        </w:tblPrEx>
        <w:trPr>
          <w:trHeight w:hRule="exact" w:val="109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566B78">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rsidR="00566B78">
            <w:pPr>
              <w:jc w:val="center"/>
              <w:rPr>
                <w:rFonts w:eastAsia="宋体"/>
                <w:sz w:val="20"/>
                <w:szCs w:val="20"/>
              </w:rPr>
            </w:pPr>
            <w:r>
              <w:rPr>
                <w:sz w:val="20"/>
                <w:szCs w:val="20"/>
              </w:rPr>
              <w:t>移动式</w:t>
            </w:r>
            <w:r>
              <w:rPr>
                <w:sz w:val="20"/>
                <w:szCs w:val="20"/>
              </w:rPr>
              <w:t>X</w:t>
            </w:r>
            <w:r>
              <w:rPr>
                <w:sz w:val="20"/>
                <w:szCs w:val="20"/>
              </w:rPr>
              <w:t>波段双</w:t>
            </w:r>
            <w:r>
              <w:rPr>
                <w:sz w:val="20"/>
                <w:szCs w:val="20"/>
              </w:rPr>
              <w:t>偏振多普勒雷达</w:t>
            </w:r>
          </w:p>
        </w:tc>
        <w:tc>
          <w:tcPr>
            <w:tcW w:w="1068" w:type="dxa"/>
            <w:tcBorders>
              <w:top w:val="single" w:sz="4" w:space="0" w:color="000000"/>
              <w:left w:val="single" w:sz="4" w:space="0" w:color="000000"/>
              <w:bottom w:val="single" w:sz="4" w:space="0" w:color="000000"/>
              <w:right w:val="single" w:sz="4" w:space="0" w:color="000000"/>
            </w:tcBorders>
            <w:vAlign w:val="center"/>
          </w:tcPr>
          <w:p w:rsidR="00566B78">
            <w:pPr>
              <w:jc w:val="center"/>
              <w:rPr>
                <w:rFonts w:eastAsia="宋体"/>
                <w:sz w:val="20"/>
                <w:szCs w:val="20"/>
              </w:rPr>
            </w:pPr>
            <w:r>
              <w:rPr>
                <w:sz w:val="20"/>
                <w:szCs w:val="20"/>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rsidR="00566B78">
            <w:pPr>
              <w:jc w:val="center"/>
              <w:rPr>
                <w:rFonts w:eastAsia="宋体"/>
                <w:sz w:val="20"/>
                <w:szCs w:val="20"/>
              </w:rPr>
            </w:pPr>
            <w:r>
              <w:rPr>
                <w:sz w:val="20"/>
                <w:szCs w:val="20"/>
              </w:rPr>
              <w:t>1</w:t>
            </w:r>
            <w:r>
              <w:rPr>
                <w:sz w:val="20"/>
                <w:szCs w:val="20"/>
              </w:rPr>
              <w:t>部</w:t>
            </w:r>
          </w:p>
        </w:tc>
        <w:tc>
          <w:tcPr>
            <w:tcW w:w="1166" w:type="dxa"/>
            <w:tcBorders>
              <w:top w:val="single" w:sz="4" w:space="0" w:color="000000"/>
              <w:left w:val="single" w:sz="4" w:space="0" w:color="000000"/>
              <w:bottom w:val="single" w:sz="4" w:space="0" w:color="000000"/>
              <w:right w:val="single" w:sz="4" w:space="0" w:color="000000"/>
            </w:tcBorders>
            <w:vAlign w:val="center"/>
          </w:tcPr>
          <w:p w:rsidR="00566B78">
            <w:pPr>
              <w:jc w:val="center"/>
              <w:rPr>
                <w:rFonts w:eastAsia="宋体"/>
                <w:sz w:val="20"/>
                <w:szCs w:val="20"/>
              </w:rPr>
            </w:pPr>
            <w:r>
              <w:rPr>
                <w:sz w:val="20"/>
                <w:szCs w:val="20"/>
              </w:rPr>
              <w:t>按照合同实际签订执行</w:t>
            </w:r>
          </w:p>
        </w:tc>
        <w:tc>
          <w:tcPr>
            <w:tcW w:w="1455" w:type="dxa"/>
            <w:tcBorders>
              <w:top w:val="single" w:sz="4" w:space="0" w:color="000000"/>
              <w:left w:val="single" w:sz="4" w:space="0" w:color="000000"/>
              <w:bottom w:val="single" w:sz="4" w:space="0" w:color="000000"/>
              <w:right w:val="single" w:sz="4" w:space="0" w:color="000000"/>
            </w:tcBorders>
            <w:vAlign w:val="center"/>
          </w:tcPr>
          <w:p w:rsidR="00566B78">
            <w:pPr>
              <w:jc w:val="center"/>
              <w:rPr>
                <w:rFonts w:eastAsia="宋体"/>
                <w:sz w:val="20"/>
                <w:szCs w:val="20"/>
              </w:rPr>
            </w:pPr>
            <w:r>
              <w:rPr>
                <w:rFonts w:hint="eastAsia"/>
                <w:sz w:val="20"/>
                <w:szCs w:val="20"/>
              </w:rPr>
              <w:t>大同</w:t>
            </w:r>
          </w:p>
        </w:tc>
        <w:tc>
          <w:tcPr>
            <w:tcW w:w="1074" w:type="dxa"/>
            <w:tcBorders>
              <w:top w:val="single" w:sz="4" w:space="0" w:color="000000"/>
              <w:left w:val="single" w:sz="4" w:space="0" w:color="000000"/>
              <w:bottom w:val="single" w:sz="4" w:space="0" w:color="000000"/>
              <w:right w:val="single" w:sz="4" w:space="0" w:color="000000"/>
            </w:tcBorders>
            <w:vAlign w:val="center"/>
          </w:tcPr>
          <w:p w:rsidR="00566B78">
            <w:pPr>
              <w:jc w:val="center"/>
              <w:rPr>
                <w:sz w:val="20"/>
                <w:szCs w:val="20"/>
              </w:rPr>
            </w:pPr>
          </w:p>
        </w:tc>
      </w:tr>
    </w:tbl>
    <w:p w:rsidR="00566B78">
      <w:pPr>
        <w:spacing w:line="360" w:lineRule="auto"/>
        <w:rPr>
          <w:rFonts w:ascii="宋体" w:hAnsi="宋体"/>
          <w:szCs w:val="21"/>
        </w:rPr>
      </w:pPr>
    </w:p>
    <w:p w:rsidR="00566B78">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rsidR="00566B78">
      <w:pPr>
        <w:pStyle w:val="Caption"/>
      </w:pPr>
      <w:r>
        <w:t>移动式</w:t>
      </w:r>
      <w:r>
        <w:t>X</w:t>
      </w:r>
      <w:r>
        <w:t>波段双</w:t>
      </w:r>
      <w:r>
        <w:t>偏振多普勒天气雷达主要设备组成表</w:t>
      </w:r>
    </w:p>
    <w:tbl>
      <w:tblPr>
        <w:tblStyle w:val="TableNormal"/>
        <w:tblW w:w="4677"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
      <w:tblGrid>
        <w:gridCol w:w="1043"/>
        <w:gridCol w:w="1947"/>
        <w:gridCol w:w="1267"/>
        <w:gridCol w:w="4164"/>
      </w:tblGrid>
      <w:tr>
        <w:tblPrEx>
          <w:tblW w:w="4677"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Ex>
        <w:trPr>
          <w:jc w:val="center"/>
        </w:trPr>
        <w:tc>
          <w:tcPr>
            <w:tcW w:w="1044" w:type="dxa"/>
            <w:vAlign w:val="center"/>
          </w:tcPr>
          <w:p w:rsidR="00566B78">
            <w:pPr>
              <w:jc w:val="center"/>
              <w:rPr>
                <w:b/>
                <w:sz w:val="20"/>
              </w:rPr>
            </w:pPr>
            <w:r>
              <w:rPr>
                <w:b/>
                <w:sz w:val="20"/>
              </w:rPr>
              <w:t>序号</w:t>
            </w:r>
          </w:p>
        </w:tc>
        <w:tc>
          <w:tcPr>
            <w:tcW w:w="1947" w:type="dxa"/>
            <w:vAlign w:val="center"/>
          </w:tcPr>
          <w:p w:rsidR="00566B78">
            <w:pPr>
              <w:jc w:val="center"/>
              <w:rPr>
                <w:b/>
                <w:sz w:val="20"/>
              </w:rPr>
            </w:pPr>
            <w:r>
              <w:rPr>
                <w:b/>
                <w:sz w:val="20"/>
              </w:rPr>
              <w:t>名称</w:t>
            </w:r>
          </w:p>
        </w:tc>
        <w:tc>
          <w:tcPr>
            <w:tcW w:w="1267" w:type="dxa"/>
            <w:vAlign w:val="center"/>
          </w:tcPr>
          <w:p w:rsidR="00566B78">
            <w:pPr>
              <w:jc w:val="center"/>
              <w:rPr>
                <w:b/>
                <w:sz w:val="20"/>
              </w:rPr>
            </w:pPr>
            <w:r>
              <w:rPr>
                <w:b/>
                <w:sz w:val="20"/>
              </w:rPr>
              <w:t>数量</w:t>
            </w:r>
          </w:p>
        </w:tc>
        <w:tc>
          <w:tcPr>
            <w:tcW w:w="4165" w:type="dxa"/>
            <w:vAlign w:val="center"/>
          </w:tcPr>
          <w:p w:rsidR="00566B78">
            <w:pPr>
              <w:jc w:val="center"/>
              <w:rPr>
                <w:b/>
                <w:sz w:val="20"/>
              </w:rPr>
            </w:pPr>
            <w:r>
              <w:rPr>
                <w:b/>
                <w:sz w:val="20"/>
              </w:rPr>
              <w:t>备注</w:t>
            </w:r>
          </w:p>
        </w:tc>
      </w:tr>
      <w:tr>
        <w:tblPrEx>
          <w:tblW w:w="4677" w:type="pct"/>
          <w:jc w:val="center"/>
          <w:tblLayout w:type="fixed"/>
          <w:tblLook w:val="04A0"/>
        </w:tblPrEx>
        <w:trPr>
          <w:jc w:val="center"/>
        </w:trPr>
        <w:tc>
          <w:tcPr>
            <w:tcW w:w="1044" w:type="dxa"/>
            <w:shd w:val="clear" w:color="auto" w:fill="auto"/>
            <w:vAlign w:val="center"/>
          </w:tcPr>
          <w:p w:rsidR="00566B78">
            <w:pPr>
              <w:rPr>
                <w:sz w:val="20"/>
              </w:rPr>
            </w:pPr>
            <w:r>
              <w:rPr>
                <w:sz w:val="20"/>
              </w:rPr>
              <w:t>1</w:t>
            </w:r>
          </w:p>
        </w:tc>
        <w:tc>
          <w:tcPr>
            <w:tcW w:w="1947" w:type="dxa"/>
            <w:shd w:val="clear" w:color="000000" w:fill="FFFFFF"/>
            <w:vAlign w:val="center"/>
          </w:tcPr>
          <w:p w:rsidR="00566B78">
            <w:pPr>
              <w:rPr>
                <w:sz w:val="20"/>
              </w:rPr>
            </w:pPr>
            <w:r>
              <w:rPr>
                <w:sz w:val="20"/>
              </w:rPr>
              <w:t>雷达系统</w:t>
            </w:r>
          </w:p>
        </w:tc>
        <w:tc>
          <w:tcPr>
            <w:tcW w:w="1267" w:type="dxa"/>
            <w:shd w:val="clear" w:color="auto" w:fill="auto"/>
            <w:vAlign w:val="center"/>
          </w:tcPr>
          <w:p w:rsidR="00566B78">
            <w:pPr>
              <w:rPr>
                <w:rFonts w:eastAsia="宋体"/>
                <w:sz w:val="20"/>
              </w:rPr>
            </w:pPr>
            <w:r>
              <w:rPr>
                <w:sz w:val="20"/>
              </w:rPr>
              <w:t>1</w:t>
            </w:r>
            <w:r>
              <w:rPr>
                <w:rFonts w:hint="eastAsia"/>
                <w:sz w:val="20"/>
              </w:rPr>
              <w:t>套</w:t>
            </w:r>
          </w:p>
        </w:tc>
        <w:tc>
          <w:tcPr>
            <w:tcW w:w="4165" w:type="dxa"/>
            <w:shd w:val="clear" w:color="000000" w:fill="FFFFFF"/>
            <w:vAlign w:val="center"/>
          </w:tcPr>
          <w:p w:rsidR="00566B78">
            <w:pPr>
              <w:rPr>
                <w:sz w:val="20"/>
              </w:rPr>
            </w:pPr>
            <w:r>
              <w:rPr>
                <w:sz w:val="20"/>
              </w:rPr>
              <w:t>含雷达天线及馈线、发射机、接收系统、信号处理器等</w:t>
            </w:r>
          </w:p>
        </w:tc>
      </w:tr>
      <w:tr>
        <w:tblPrEx>
          <w:tblW w:w="4677" w:type="pct"/>
          <w:jc w:val="center"/>
          <w:tblLayout w:type="fixed"/>
          <w:tblLook w:val="04A0"/>
        </w:tblPrEx>
        <w:trPr>
          <w:jc w:val="center"/>
        </w:trPr>
        <w:tc>
          <w:tcPr>
            <w:tcW w:w="1044" w:type="dxa"/>
            <w:shd w:val="clear" w:color="auto" w:fill="auto"/>
            <w:vAlign w:val="center"/>
          </w:tcPr>
          <w:p w:rsidR="00566B78">
            <w:pPr>
              <w:rPr>
                <w:sz w:val="20"/>
              </w:rPr>
            </w:pPr>
            <w:r>
              <w:rPr>
                <w:sz w:val="20"/>
              </w:rPr>
              <w:t>2</w:t>
            </w:r>
          </w:p>
        </w:tc>
        <w:tc>
          <w:tcPr>
            <w:tcW w:w="1947" w:type="dxa"/>
            <w:shd w:val="clear" w:color="000000" w:fill="FFFFFF"/>
            <w:vAlign w:val="center"/>
          </w:tcPr>
          <w:p w:rsidR="00566B78">
            <w:pPr>
              <w:rPr>
                <w:sz w:val="20"/>
              </w:rPr>
            </w:pPr>
            <w:r>
              <w:rPr>
                <w:sz w:val="20"/>
              </w:rPr>
              <w:t>方舱</w:t>
            </w:r>
          </w:p>
        </w:tc>
        <w:tc>
          <w:tcPr>
            <w:tcW w:w="1267" w:type="dxa"/>
            <w:shd w:val="clear" w:color="auto" w:fill="auto"/>
            <w:vAlign w:val="center"/>
          </w:tcPr>
          <w:p w:rsidR="00566B78">
            <w:pPr>
              <w:rPr>
                <w:sz w:val="20"/>
              </w:rPr>
            </w:pPr>
            <w:r>
              <w:rPr>
                <w:sz w:val="20"/>
              </w:rPr>
              <w:t>1</w:t>
            </w:r>
            <w:r>
              <w:rPr>
                <w:rFonts w:hint="eastAsia"/>
                <w:sz w:val="20"/>
              </w:rPr>
              <w:t>套</w:t>
            </w:r>
          </w:p>
        </w:tc>
        <w:tc>
          <w:tcPr>
            <w:tcW w:w="4165" w:type="dxa"/>
            <w:shd w:val="clear" w:color="000000" w:fill="FFFFFF"/>
            <w:vAlign w:val="center"/>
          </w:tcPr>
          <w:p w:rsidR="00566B78">
            <w:pPr>
              <w:rPr>
                <w:sz w:val="20"/>
              </w:rPr>
            </w:pPr>
            <w:r>
              <w:rPr>
                <w:sz w:val="20"/>
              </w:rPr>
              <w:t>含运输</w:t>
            </w:r>
            <w:r>
              <w:rPr>
                <w:sz w:val="20"/>
              </w:rPr>
              <w:t>方舱及天线升降系统等</w:t>
            </w:r>
          </w:p>
        </w:tc>
      </w:tr>
      <w:tr>
        <w:tblPrEx>
          <w:tblW w:w="4677" w:type="pct"/>
          <w:jc w:val="center"/>
          <w:tblLayout w:type="fixed"/>
          <w:tblLook w:val="04A0"/>
        </w:tblPrEx>
        <w:trPr>
          <w:jc w:val="center"/>
        </w:trPr>
        <w:tc>
          <w:tcPr>
            <w:tcW w:w="1044" w:type="dxa"/>
            <w:shd w:val="clear" w:color="auto" w:fill="auto"/>
            <w:vAlign w:val="center"/>
          </w:tcPr>
          <w:p w:rsidR="00566B78">
            <w:pPr>
              <w:rPr>
                <w:sz w:val="20"/>
              </w:rPr>
            </w:pPr>
            <w:r>
              <w:rPr>
                <w:sz w:val="20"/>
              </w:rPr>
              <w:t>3</w:t>
            </w:r>
          </w:p>
        </w:tc>
        <w:tc>
          <w:tcPr>
            <w:tcW w:w="1947" w:type="dxa"/>
            <w:shd w:val="clear" w:color="000000" w:fill="FFFFFF"/>
            <w:vAlign w:val="center"/>
          </w:tcPr>
          <w:p w:rsidR="00566B78">
            <w:pPr>
              <w:rPr>
                <w:sz w:val="20"/>
              </w:rPr>
            </w:pPr>
            <w:r>
              <w:rPr>
                <w:sz w:val="20"/>
              </w:rPr>
              <w:t>附属设备</w:t>
            </w:r>
          </w:p>
        </w:tc>
        <w:tc>
          <w:tcPr>
            <w:tcW w:w="1267" w:type="dxa"/>
            <w:shd w:val="clear" w:color="auto" w:fill="auto"/>
            <w:vAlign w:val="center"/>
          </w:tcPr>
          <w:p w:rsidR="00566B78">
            <w:pPr>
              <w:rPr>
                <w:sz w:val="20"/>
              </w:rPr>
            </w:pPr>
            <w:r>
              <w:rPr>
                <w:sz w:val="20"/>
              </w:rPr>
              <w:t>1</w:t>
            </w:r>
            <w:r>
              <w:rPr>
                <w:rFonts w:hint="eastAsia"/>
                <w:sz w:val="20"/>
              </w:rPr>
              <w:t>套</w:t>
            </w:r>
          </w:p>
        </w:tc>
        <w:tc>
          <w:tcPr>
            <w:tcW w:w="4165" w:type="dxa"/>
            <w:shd w:val="clear" w:color="000000" w:fill="FFFFFF"/>
            <w:vAlign w:val="center"/>
          </w:tcPr>
          <w:p w:rsidR="00566B78">
            <w:pPr>
              <w:rPr>
                <w:sz w:val="20"/>
              </w:rPr>
            </w:pPr>
            <w:r>
              <w:rPr>
                <w:rFonts w:hint="eastAsia"/>
                <w:sz w:val="20"/>
              </w:rPr>
              <w:t>含</w:t>
            </w:r>
            <w:r>
              <w:rPr>
                <w:rFonts w:hint="eastAsia"/>
                <w:sz w:val="20"/>
              </w:rPr>
              <w:t>发电机、</w:t>
            </w:r>
            <w:r>
              <w:rPr>
                <w:rFonts w:hint="eastAsia"/>
                <w:sz w:val="20"/>
              </w:rPr>
              <w:t>UPS</w:t>
            </w:r>
            <w:r>
              <w:rPr>
                <w:rFonts w:hint="eastAsia"/>
                <w:sz w:val="20"/>
              </w:rPr>
              <w:t>供电、通信、防雷等</w:t>
            </w:r>
          </w:p>
        </w:tc>
      </w:tr>
    </w:tbl>
    <w:p w:rsidR="00566B78">
      <w:pPr>
        <w:pStyle w:val="Caption"/>
      </w:pPr>
      <w:r>
        <w:t>移动式Ｘ</w:t>
      </w:r>
      <w:r>
        <w:t>波段双</w:t>
      </w:r>
      <w:r>
        <w:t>偏振多普勒雷达总体技术性能要求表</w:t>
      </w:r>
    </w:p>
    <w:tbl>
      <w:tblPr>
        <w:tblStyle w:val="TableNormal"/>
        <w:tblW w:w="527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76"/>
        <w:gridCol w:w="582"/>
        <w:gridCol w:w="1097"/>
        <w:gridCol w:w="1672"/>
        <w:gridCol w:w="1895"/>
        <w:gridCol w:w="2555"/>
      </w:tblGrid>
      <w:tr w:rsidTr="00A26C04">
        <w:tblPrEx>
          <w:tblW w:w="527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hRule="exact" w:val="41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b/>
                <w:sz w:val="20"/>
              </w:rPr>
            </w:pPr>
            <w:r>
              <w:rPr>
                <w:rFonts w:ascii="Times New Roman" w:eastAsia="宋体" w:hAnsi="Times New Roman" w:cs="Times New Roman"/>
                <w:b/>
                <w:sz w:val="20"/>
              </w:rPr>
              <w:t>项目</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b/>
                <w:sz w:val="20"/>
              </w:rPr>
            </w:pPr>
            <w:r>
              <w:rPr>
                <w:rFonts w:ascii="Times New Roman" w:eastAsia="宋体" w:hAnsi="Times New Roman" w:cs="Times New Roman"/>
                <w:b/>
                <w:sz w:val="20"/>
              </w:rPr>
              <w:t>性能指标</w:t>
            </w:r>
          </w:p>
        </w:tc>
      </w:tr>
      <w:tr w:rsidTr="00A26C04">
        <w:tblPrEx>
          <w:tblW w:w="5273" w:type="pct"/>
          <w:jc w:val="center"/>
          <w:tblLayout w:type="fixed"/>
          <w:tblLook w:val="04A0"/>
        </w:tblPrEx>
        <w:trPr>
          <w:trHeight w:hRule="exact" w:val="41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雷达体制</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全固态</w:t>
            </w:r>
            <w:r>
              <w:rPr>
                <w:rFonts w:ascii="Times New Roman" w:eastAsia="宋体" w:hAnsi="Times New Roman" w:cs="Times New Roman" w:hint="eastAsia"/>
                <w:sz w:val="20"/>
                <w:szCs w:val="20"/>
              </w:rPr>
              <w:t xml:space="preserve"> </w:t>
            </w:r>
            <w:r>
              <w:rPr>
                <w:rFonts w:ascii="Times New Roman" w:eastAsia="宋体" w:hAnsi="Times New Roman" w:cs="Times New Roman" w:hint="eastAsia"/>
                <w:sz w:val="20"/>
                <w:szCs w:val="20"/>
              </w:rPr>
              <w:t>双线偏振多普勒体制</w:t>
            </w:r>
          </w:p>
        </w:tc>
      </w:tr>
      <w:tr w:rsidTr="00A26C04">
        <w:tblPrEx>
          <w:tblW w:w="5273" w:type="pct"/>
          <w:jc w:val="center"/>
          <w:tblLayout w:type="fixed"/>
          <w:tblLook w:val="04A0"/>
        </w:tblPrEx>
        <w:trPr>
          <w:trHeight w:hRule="exact" w:val="41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工作频率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9.3-9.5GHz,</w:t>
            </w:r>
            <w:r>
              <w:rPr>
                <w:rFonts w:ascii="Times New Roman" w:eastAsia="宋体" w:hAnsi="Times New Roman" w:cs="Times New Roman" w:hint="eastAsia"/>
                <w:sz w:val="20"/>
                <w:szCs w:val="20"/>
              </w:rPr>
              <w:t>间隔</w:t>
            </w:r>
            <w:r>
              <w:rPr>
                <w:rFonts w:ascii="Times New Roman" w:eastAsia="宋体" w:hAnsi="Times New Roman" w:cs="Times New Roman" w:hint="eastAsia"/>
                <w:sz w:val="20"/>
                <w:szCs w:val="20"/>
              </w:rPr>
              <w:t>1M</w:t>
            </w:r>
            <w:r>
              <w:rPr>
                <w:rFonts w:ascii="Times New Roman" w:eastAsia="宋体" w:hAnsi="Times New Roman" w:cs="Times New Roman" w:hint="eastAsia"/>
                <w:sz w:val="20"/>
                <w:szCs w:val="20"/>
              </w:rPr>
              <w:t>可选</w:t>
            </w:r>
          </w:p>
        </w:tc>
      </w:tr>
      <w:tr w:rsidTr="00A26C04">
        <w:tblPrEx>
          <w:tblW w:w="5273" w:type="pct"/>
          <w:jc w:val="center"/>
          <w:tblLayout w:type="fixed"/>
          <w:tblLook w:val="04A0"/>
        </w:tblPrEx>
        <w:trPr>
          <w:trHeight w:hRule="exact" w:val="90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多普勒工作方式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强度测量距离≥</w:t>
            </w:r>
            <w:r>
              <w:rPr>
                <w:rFonts w:ascii="Times New Roman" w:eastAsia="宋体" w:hAnsi="Times New Roman" w:cs="Times New Roman" w:hint="eastAsia"/>
                <w:sz w:val="20"/>
              </w:rPr>
              <w:t>240km</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速度测量距离≥</w:t>
            </w:r>
            <w:r>
              <w:rPr>
                <w:rFonts w:ascii="Times New Roman" w:eastAsia="宋体" w:hAnsi="Times New Roman" w:cs="Times New Roman" w:hint="eastAsia"/>
                <w:sz w:val="20"/>
              </w:rPr>
              <w:t>150km</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谱宽测量距离≥</w:t>
            </w:r>
            <w:r>
              <w:rPr>
                <w:rFonts w:ascii="Times New Roman" w:eastAsia="宋体" w:hAnsi="Times New Roman" w:cs="Times New Roman" w:hint="eastAsia"/>
                <w:sz w:val="20"/>
              </w:rPr>
              <w:t>150km</w:t>
            </w:r>
          </w:p>
        </w:tc>
      </w:tr>
      <w:tr w:rsidTr="00A26C04">
        <w:tblPrEx>
          <w:tblW w:w="5273" w:type="pct"/>
          <w:jc w:val="center"/>
          <w:tblLayout w:type="fixed"/>
          <w:tblLook w:val="04A0"/>
        </w:tblPrEx>
        <w:trPr>
          <w:trHeight w:hRule="exact" w:val="314"/>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偏振工作方式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测量距离≥</w:t>
            </w:r>
            <w:r>
              <w:rPr>
                <w:rFonts w:ascii="Times New Roman" w:eastAsia="宋体" w:hAnsi="Times New Roman" w:cs="Times New Roman" w:hint="eastAsia"/>
                <w:sz w:val="20"/>
              </w:rPr>
              <w:t>150km</w:t>
            </w:r>
          </w:p>
          <w:p w:rsidR="00566B78">
            <w:pPr>
              <w:adjustRightInd w:val="0"/>
              <w:textAlignment w:val="baseline"/>
              <w:rPr>
                <w:rFonts w:ascii="Times New Roman" w:eastAsia="宋体" w:hAnsi="Times New Roman" w:cs="Times New Roman"/>
                <w:sz w:val="20"/>
              </w:rPr>
            </w:pPr>
          </w:p>
        </w:tc>
      </w:tr>
      <w:tr w:rsidTr="00A26C04">
        <w:tblPrEx>
          <w:tblW w:w="5273" w:type="pct"/>
          <w:jc w:val="center"/>
          <w:tblLayout w:type="fixed"/>
          <w:tblLook w:val="04A0"/>
        </w:tblPrEx>
        <w:trPr>
          <w:trHeight w:hRule="exact" w:val="41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近距离盲区范围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500m</w:t>
            </w:r>
          </w:p>
        </w:tc>
      </w:tr>
      <w:tr w:rsidTr="00A26C04">
        <w:tblPrEx>
          <w:tblW w:w="5273" w:type="pct"/>
          <w:jc w:val="center"/>
          <w:tblLayout w:type="fixed"/>
          <w:tblLook w:val="04A0"/>
        </w:tblPrEx>
        <w:trPr>
          <w:trHeight w:hRule="exact" w:val="41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整机寿命</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15</w:t>
            </w:r>
            <w:r>
              <w:rPr>
                <w:rFonts w:ascii="Times New Roman" w:eastAsia="宋体" w:hAnsi="Times New Roman" w:cs="Times New Roman" w:hint="eastAsia"/>
                <w:sz w:val="20"/>
              </w:rPr>
              <w:t>年</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测量范围</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强度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-15</w:t>
            </w:r>
            <w:r>
              <w:rPr>
                <w:rFonts w:ascii="Times New Roman" w:eastAsia="宋体" w:hAnsi="Times New Roman" w:cs="Times New Roman" w:hint="eastAsia"/>
                <w:sz w:val="20"/>
              </w:rPr>
              <w:t>～</w:t>
            </w:r>
            <w:r>
              <w:rPr>
                <w:rFonts w:ascii="Times New Roman" w:eastAsia="宋体" w:hAnsi="Times New Roman" w:cs="Times New Roman" w:hint="eastAsia"/>
                <w:sz w:val="20"/>
              </w:rPr>
              <w:t>+80dBZ</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速度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48m/s</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谱宽</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0</w:t>
            </w:r>
            <w:r>
              <w:rPr>
                <w:rFonts w:ascii="Times New Roman" w:eastAsia="宋体" w:hAnsi="Times New Roman" w:cs="Times New Roman" w:hint="eastAsia"/>
                <w:sz w:val="20"/>
              </w:rPr>
              <w:t>～</w:t>
            </w:r>
            <w:r>
              <w:rPr>
                <w:rFonts w:ascii="Times New Roman" w:eastAsia="宋体" w:hAnsi="Times New Roman" w:cs="Times New Roman" w:hint="eastAsia"/>
                <w:sz w:val="20"/>
              </w:rPr>
              <w:t>16m/s</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差分反射率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-7.9dB</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+7.9dB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差分传播相移</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-180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+180</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差分传播相移率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-2</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/km</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/km</w:t>
            </w:r>
          </w:p>
        </w:tc>
      </w:tr>
      <w:tr w:rsidTr="00A26C04">
        <w:tblPrEx>
          <w:tblW w:w="5273" w:type="pct"/>
          <w:jc w:val="center"/>
          <w:tblLayout w:type="fixed"/>
          <w:tblLook w:val="04A0"/>
        </w:tblPrEx>
        <w:trPr>
          <w:trHeight w:hRule="exact" w:val="424"/>
          <w:jc w:val="center"/>
        </w:trPr>
        <w:tc>
          <w:tcPr>
            <w:tcW w:w="1946" w:type="dxa"/>
            <w:gridSpan w:val="2"/>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相关系数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退偏振比</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-35dB</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6dB</w:t>
            </w:r>
            <w:r>
              <w:rPr>
                <w:rFonts w:ascii="Times New Roman" w:eastAsia="宋体" w:hAnsi="Times New Roman" w:cs="Times New Roman" w:hint="eastAsia"/>
                <w:sz w:val="20"/>
                <w:szCs w:val="20"/>
              </w:rPr>
              <w:t>（单发双收模式）</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测量精度</w:t>
            </w:r>
            <w:r>
              <w:rPr>
                <w:rFonts w:ascii="Times New Roman" w:eastAsia="宋体" w:hAnsi="Times New Roman" w:cs="Times New Roman" w:hint="eastAsia"/>
                <w:sz w:val="20"/>
              </w:rPr>
              <w:t>（标准差）</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强度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sz w:val="20"/>
              </w:rPr>
              <w:t>1dB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速度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1m/s</w:t>
            </w:r>
          </w:p>
        </w:tc>
      </w:tr>
      <w:tr w:rsidTr="00A26C04">
        <w:tblPrEx>
          <w:tblW w:w="5273" w:type="pct"/>
          <w:jc w:val="center"/>
          <w:tblLayout w:type="fixed"/>
          <w:tblLook w:val="04A0"/>
        </w:tblPrEx>
        <w:trPr>
          <w:trHeight w:hRule="exact" w:val="411"/>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谱宽</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1m/s</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差分反射率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0.2dB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差分传播相移</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3</w:t>
            </w:r>
            <w:r>
              <w:rPr>
                <w:rFonts w:ascii="Times New Roman" w:eastAsia="宋体" w:hAnsi="Times New Roman" w:cs="Times New Roman" w:hint="eastAsia"/>
                <w:sz w:val="20"/>
              </w:rPr>
              <w:t>°</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差分传播相移率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0.2</w:t>
            </w:r>
            <w:r>
              <w:rPr>
                <w:rFonts w:ascii="Times New Roman" w:eastAsia="宋体" w:hAnsi="Times New Roman" w:cs="Times New Roman" w:hint="eastAsia"/>
                <w:sz w:val="20"/>
              </w:rPr>
              <w:t>°</w:t>
            </w:r>
            <w:r>
              <w:rPr>
                <w:rFonts w:ascii="Times New Roman" w:eastAsia="宋体" w:hAnsi="Times New Roman" w:cs="Times New Roman" w:hint="eastAsia"/>
                <w:sz w:val="20"/>
              </w:rPr>
              <w:t>/km</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相关系数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0.01</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分辨率</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距离</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75m</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角度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sz w:val="20"/>
              </w:rPr>
              <w:t>1°</w:t>
            </w:r>
          </w:p>
        </w:tc>
      </w:tr>
      <w:tr w:rsidTr="00A26C04">
        <w:tblPrEx>
          <w:tblW w:w="5273" w:type="pct"/>
          <w:jc w:val="center"/>
          <w:tblLayout w:type="fixed"/>
          <w:tblLook w:val="04A0"/>
        </w:tblPrEx>
        <w:trPr>
          <w:trHeight w:hRule="exact" w:val="621"/>
          <w:jc w:val="center"/>
        </w:trPr>
        <w:tc>
          <w:tcPr>
            <w:tcW w:w="194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输出参数</w:t>
            </w:r>
          </w:p>
        </w:tc>
        <w:tc>
          <w:tcPr>
            <w:tcW w:w="682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滤波前回波强度、滤波后回波强度、径向速度、速度谱宽、差分反射率、差分传播相移、差分传播相移率、相关系数、信噪比，退偏振比</w:t>
            </w:r>
          </w:p>
        </w:tc>
      </w:tr>
      <w:tr w:rsidTr="00A26C04">
        <w:tblPrEx>
          <w:tblW w:w="5273" w:type="pct"/>
          <w:jc w:val="center"/>
          <w:tblLayout w:type="fixed"/>
          <w:tblLook w:val="04A0"/>
        </w:tblPrEx>
        <w:trPr>
          <w:trHeight w:hRule="exact" w:val="967"/>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rPr>
              <w:t>#</w:t>
            </w:r>
            <w:r>
              <w:rPr>
                <w:rFonts w:ascii="Times New Roman" w:eastAsia="宋体" w:hAnsi="Times New Roman" w:cs="Times New Roman" w:hint="eastAsia"/>
                <w:sz w:val="20"/>
                <w:szCs w:val="20"/>
              </w:rPr>
              <w:t>可探测的最小反射率因子（</w:t>
            </w:r>
            <w:r>
              <w:rPr>
                <w:rFonts w:ascii="Times New Roman" w:eastAsia="宋体" w:hAnsi="Times New Roman" w:cs="Times New Roman" w:hint="eastAsia"/>
                <w:sz w:val="20"/>
                <w:szCs w:val="20"/>
              </w:rPr>
              <w:t>50km</w:t>
            </w:r>
            <w:r>
              <w:rPr>
                <w:rFonts w:ascii="Times New Roman" w:eastAsia="宋体" w:hAnsi="Times New Roman" w:cs="Times New Roman" w:hint="eastAsia"/>
                <w:sz w:val="20"/>
                <w:szCs w:val="20"/>
              </w:rPr>
              <w:t>处，</w:t>
            </w:r>
            <w:r>
              <w:rPr>
                <w:rFonts w:ascii="Times New Roman" w:eastAsia="宋体" w:hAnsi="Times New Roman" w:cs="Times New Roman" w:hint="eastAsia"/>
                <w:sz w:val="20"/>
                <w:szCs w:val="20"/>
              </w:rPr>
              <w:t>75m</w:t>
            </w:r>
            <w:r>
              <w:rPr>
                <w:rFonts w:ascii="Times New Roman" w:eastAsia="宋体" w:hAnsi="Times New Roman" w:cs="Times New Roman" w:hint="eastAsia"/>
                <w:sz w:val="20"/>
                <w:szCs w:val="20"/>
              </w:rPr>
              <w:t>分辨率，同</w:t>
            </w:r>
            <w:r>
              <w:rPr>
                <w:rFonts w:ascii="Times New Roman" w:eastAsia="宋体" w:hAnsi="Times New Roman" w:cs="Times New Roman" w:hint="eastAsia"/>
                <w:sz w:val="20"/>
                <w:szCs w:val="20"/>
              </w:rPr>
              <w:t>发同收</w:t>
            </w:r>
            <w:r>
              <w:rPr>
                <w:rFonts w:ascii="Times New Roman" w:eastAsia="宋体" w:hAnsi="Times New Roman" w:cs="Times New Roman" w:hint="eastAsia"/>
                <w:sz w:val="20"/>
                <w:szCs w:val="20"/>
              </w:rPr>
              <w:t>）</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3dBZ</w:t>
            </w:r>
          </w:p>
        </w:tc>
      </w:tr>
      <w:tr w:rsidTr="00A26C04">
        <w:tblPrEx>
          <w:tblW w:w="5273" w:type="pct"/>
          <w:jc w:val="center"/>
          <w:tblLayout w:type="fixed"/>
          <w:tblLook w:val="04A0"/>
        </w:tblPrEx>
        <w:trPr>
          <w:trHeight w:hRule="exact" w:val="305"/>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滤波前后功率比</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55dB</w:t>
            </w:r>
          </w:p>
        </w:tc>
      </w:tr>
      <w:tr w:rsidTr="00A26C04">
        <w:tblPrEx>
          <w:tblW w:w="5273" w:type="pct"/>
          <w:jc w:val="center"/>
          <w:tblLayout w:type="fixed"/>
          <w:tblLook w:val="04A0"/>
        </w:tblPrEx>
        <w:trPr>
          <w:trHeight w:hRule="exact" w:val="305"/>
          <w:jc w:val="center"/>
        </w:trPr>
        <w:tc>
          <w:tcPr>
            <w:tcW w:w="4564" w:type="dxa"/>
            <w:gridSpan w:val="4"/>
            <w:tcMar>
              <w:left w:w="0" w:type="dxa"/>
              <w:right w:w="0" w:type="dxa"/>
            </w:tcMar>
            <w:vAlign w:val="center"/>
          </w:tcPr>
          <w:p w:rsidR="00566B78">
            <w:r>
              <w:rPr>
                <w:rFonts w:ascii="Times New Roman" w:eastAsia="宋体" w:hAnsi="Times New Roman" w:cs="Times New Roman" w:hint="eastAsia"/>
                <w:sz w:val="20"/>
              </w:rPr>
              <w:t>#</w:t>
            </w:r>
            <w:r>
              <w:rPr>
                <w:rFonts w:ascii="Times New Roman" w:eastAsia="宋体" w:hAnsi="Times New Roman" w:cs="Times New Roman" w:hint="eastAsia"/>
                <w:sz w:val="20"/>
                <w:szCs w:val="20"/>
              </w:rPr>
              <w:t>实际地物抑制能力</w:t>
            </w:r>
          </w:p>
          <w:p w:rsidR="00566B78"/>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35dB</w:t>
            </w:r>
          </w:p>
          <w:p w:rsidR="00566B78">
            <w:pPr>
              <w:adjustRightInd w:val="0"/>
              <w:textAlignment w:val="baseline"/>
              <w:rPr>
                <w:rFonts w:ascii="Times New Roman" w:eastAsia="宋体" w:hAnsi="Times New Roman" w:cs="Times New Roman"/>
                <w:sz w:val="20"/>
              </w:rPr>
            </w:pPr>
          </w:p>
        </w:tc>
      </w:tr>
      <w:tr w:rsidTr="00A26C04">
        <w:tblPrEx>
          <w:tblW w:w="5273" w:type="pct"/>
          <w:jc w:val="center"/>
          <w:tblLayout w:type="fixed"/>
          <w:tblLook w:val="04A0"/>
        </w:tblPrEx>
        <w:trPr>
          <w:trHeight w:hRule="exact" w:val="305"/>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szCs w:val="20"/>
              </w:rPr>
              <w:t>占用带宽</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30MHz</w:t>
            </w:r>
          </w:p>
        </w:tc>
      </w:tr>
      <w:tr w:rsidTr="00A26C04">
        <w:tblPrEx>
          <w:tblW w:w="5273" w:type="pct"/>
          <w:jc w:val="center"/>
          <w:tblLayout w:type="fixed"/>
          <w:tblLook w:val="04A0"/>
        </w:tblPrEx>
        <w:trPr>
          <w:trHeight w:hRule="exact" w:val="743"/>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系统相位噪声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0.1</w:t>
            </w:r>
            <w:r>
              <w:rPr>
                <w:rFonts w:ascii="Times New Roman" w:eastAsia="宋体" w:hAnsi="Times New Roman" w:cs="Times New Roman" w:hint="eastAsia"/>
                <w:sz w:val="20"/>
              </w:rPr>
              <w:t>°</w:t>
            </w:r>
          </w:p>
        </w:tc>
      </w:tr>
      <w:tr w:rsidTr="00A26C04">
        <w:tblPrEx>
          <w:tblW w:w="5273" w:type="pct"/>
          <w:jc w:val="center"/>
          <w:tblLayout w:type="fixed"/>
          <w:tblLook w:val="04A0"/>
        </w:tblPrEx>
        <w:trPr>
          <w:trHeight w:hRule="exact" w:val="721"/>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电源要求</w:t>
            </w:r>
          </w:p>
          <w:p w:rsidR="00566B78">
            <w:pPr>
              <w:adjustRightInd w:val="0"/>
              <w:textAlignment w:val="baseline"/>
              <w:rPr>
                <w:rFonts w:ascii="Times New Roman" w:eastAsia="宋体" w:hAnsi="Times New Roman" w:cs="Times New Roman"/>
                <w:sz w:val="20"/>
              </w:rPr>
            </w:pPr>
          </w:p>
          <w:p w:rsidR="00566B78">
            <w:pPr>
              <w:adjustRightInd w:val="0"/>
              <w:textAlignment w:val="baseline"/>
              <w:rPr>
                <w:rFonts w:ascii="Times New Roman" w:eastAsia="宋体" w:hAnsi="Times New Roman" w:cs="Times New Roman"/>
                <w:sz w:val="20"/>
              </w:rPr>
            </w:pPr>
          </w:p>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单相</w:t>
            </w:r>
            <w:r>
              <w:rPr>
                <w:rFonts w:ascii="Times New Roman" w:eastAsia="宋体" w:hAnsi="Times New Roman" w:cs="Times New Roman" w:hint="eastAsia"/>
                <w:sz w:val="20"/>
                <w:szCs w:val="20"/>
              </w:rPr>
              <w:t>AC220V</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或三相</w:t>
            </w:r>
            <w:r>
              <w:rPr>
                <w:rFonts w:ascii="Times New Roman" w:eastAsia="宋体" w:hAnsi="Times New Roman" w:cs="Times New Roman" w:hint="eastAsia"/>
                <w:sz w:val="20"/>
                <w:szCs w:val="20"/>
              </w:rPr>
              <w:t>AC380V</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50Hz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w:t>
            </w:r>
          </w:p>
        </w:tc>
      </w:tr>
      <w:tr w:rsidTr="00A26C04">
        <w:tblPrEx>
          <w:tblW w:w="5273" w:type="pct"/>
          <w:jc w:val="center"/>
          <w:tblLayout w:type="fixed"/>
          <w:tblLook w:val="04A0"/>
        </w:tblPrEx>
        <w:trPr>
          <w:trHeight w:hRule="exact" w:val="305"/>
          <w:jc w:val="center"/>
        </w:trPr>
        <w:tc>
          <w:tcPr>
            <w:tcW w:w="1946" w:type="dxa"/>
            <w:gridSpan w:val="2"/>
            <w:vMerge w:val="restart"/>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rPr>
              <w:t>环境要求</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工作温度</w:t>
            </w:r>
          </w:p>
        </w:tc>
        <w:tc>
          <w:tcPr>
            <w:tcW w:w="4206" w:type="dxa"/>
            <w:gridSpan w:val="2"/>
            <w:tcMar>
              <w:left w:w="0" w:type="dxa"/>
              <w:right w:w="0" w:type="dxa"/>
            </w:tcMar>
            <w:vAlign w:val="center"/>
          </w:tcPr>
          <w:p w:rsidR="00566B78">
            <w:r>
              <w:rPr>
                <w:rFonts w:ascii="Times New Roman" w:eastAsia="宋体" w:hAnsi="Times New Roman" w:cs="Times New Roman" w:hint="eastAsia"/>
                <w:sz w:val="20"/>
                <w:szCs w:val="20"/>
              </w:rPr>
              <w:t>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+40</w:t>
            </w:r>
            <w:r>
              <w:rPr>
                <w:rFonts w:ascii="Times New Roman" w:eastAsia="宋体" w:hAnsi="Times New Roman" w:cs="Times New Roman" w:hint="eastAsia"/>
                <w:sz w:val="20"/>
                <w:szCs w:val="20"/>
              </w:rPr>
              <w:t>℃</w:t>
            </w:r>
          </w:p>
          <w:p w:rsidR="00566B78">
            <w:pPr>
              <w:adjustRightInd w:val="0"/>
              <w:textAlignment w:val="baseline"/>
              <w:rPr>
                <w:rFonts w:ascii="Times New Roman" w:eastAsia="宋体" w:hAnsi="Times New Roman" w:cs="Times New Roman"/>
                <w:sz w:val="20"/>
              </w:rPr>
            </w:pP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贮存温度</w:t>
            </w:r>
          </w:p>
        </w:tc>
        <w:tc>
          <w:tcPr>
            <w:tcW w:w="4206" w:type="dxa"/>
            <w:gridSpan w:val="2"/>
            <w:tcMar>
              <w:left w:w="0" w:type="dxa"/>
              <w:right w:w="0" w:type="dxa"/>
            </w:tcMar>
            <w:vAlign w:val="center"/>
          </w:tcPr>
          <w:p w:rsidR="00566B78">
            <w:pPr>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-40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+60</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hRule="exact" w:val="29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工作湿度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90%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+30</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hRule="exact" w:val="375"/>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工作高度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海拔≤</w:t>
            </w:r>
            <w:r>
              <w:rPr>
                <w:rFonts w:ascii="Times New Roman" w:eastAsia="宋体" w:hAnsi="Times New Roman" w:cs="Times New Roman" w:hint="eastAsia"/>
                <w:sz w:val="20"/>
                <w:szCs w:val="20"/>
              </w:rPr>
              <w:t>5000m</w:t>
            </w:r>
          </w:p>
        </w:tc>
      </w:tr>
      <w:tr w:rsidTr="00A26C04">
        <w:tblPrEx>
          <w:tblW w:w="5273" w:type="pct"/>
          <w:jc w:val="center"/>
          <w:tblLayout w:type="fixed"/>
          <w:tblLook w:val="04A0"/>
        </w:tblPrEx>
        <w:trPr>
          <w:trHeight w:hRule="exact" w:val="38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冲击、振动、淋雨</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符合国家有关部门规定，且满足野外运输要求</w:t>
            </w:r>
          </w:p>
        </w:tc>
      </w:tr>
      <w:tr w:rsidTr="00A26C04">
        <w:tblPrEx>
          <w:tblW w:w="5273" w:type="pct"/>
          <w:jc w:val="center"/>
          <w:tblLayout w:type="fixed"/>
          <w:tblLook w:val="04A0"/>
        </w:tblPrEx>
        <w:trPr>
          <w:trHeight w:hRule="exact" w:val="599"/>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抗干扰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电源干扰、电磁干扰、无线电频率干扰</w:t>
            </w:r>
          </w:p>
        </w:tc>
      </w:tr>
      <w:tr w:rsidTr="00A26C04">
        <w:tblPrEx>
          <w:tblW w:w="5273" w:type="pct"/>
          <w:jc w:val="center"/>
          <w:tblLayout w:type="fixed"/>
          <w:tblLook w:val="04A0"/>
        </w:tblPrEx>
        <w:trPr>
          <w:trHeight w:hRule="exact" w:val="599"/>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其它</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防水、防霉、防盐雾</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整机功耗（峰值）</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3000W</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平均严重故障间隔时间（</w:t>
            </w:r>
            <w:r>
              <w:rPr>
                <w:rFonts w:ascii="Times New Roman" w:eastAsia="宋体" w:hAnsi="Times New Roman" w:cs="Times New Roman" w:hint="eastAsia"/>
                <w:sz w:val="20"/>
                <w:szCs w:val="20"/>
              </w:rPr>
              <w:t>MTBCF</w:t>
            </w:r>
            <w:r>
              <w:rPr>
                <w:rFonts w:ascii="Times New Roman" w:eastAsia="宋体" w:hAnsi="Times New Roman" w:cs="Times New Roman" w:hint="eastAsia"/>
                <w:sz w:val="20"/>
                <w:szCs w:val="20"/>
              </w:rPr>
              <w:t>）</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5000h</w:t>
            </w:r>
          </w:p>
        </w:tc>
      </w:tr>
      <w:tr w:rsidTr="00A26C04">
        <w:tblPrEx>
          <w:tblW w:w="5273" w:type="pct"/>
          <w:jc w:val="center"/>
          <w:tblLayout w:type="fixed"/>
          <w:tblLook w:val="04A0"/>
        </w:tblPrEx>
        <w:trPr>
          <w:trHeight w:hRule="exact" w:val="543"/>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开机时间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5min</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微波辐射安全性</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雷达微波漏能功率密度应符合</w:t>
            </w:r>
            <w:r>
              <w:rPr>
                <w:rFonts w:ascii="Times New Roman" w:eastAsia="宋体" w:hAnsi="Times New Roman" w:cs="Times New Roman" w:hint="eastAsia"/>
                <w:sz w:val="20"/>
                <w:szCs w:val="20"/>
              </w:rPr>
              <w:t>GJB5313-2004</w:t>
            </w:r>
            <w:r>
              <w:rPr>
                <w:rFonts w:ascii="Times New Roman" w:eastAsia="宋体" w:hAnsi="Times New Roman" w:cs="Times New Roman" w:hint="eastAsia"/>
                <w:sz w:val="20"/>
                <w:szCs w:val="20"/>
              </w:rPr>
              <w:t>的要求。</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安全标识</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微波泄漏部位、机械转动部位、危险电压部位等应有清晰、醒目的安全警示标记。</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互换性</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雷达备份零件、部件、组件和功能单元均能在现场更换，无需调整而正常工作。</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电磁兼容性</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雷达具有市电滤波和防电磁干扰的能力，设置静电屏蔽、电磁屏蔽，模拟地线、数字地线和安全地线严格分开，避雷地线要单独接地。</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安全性</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雷达应有安全性设计，确保雷达按规定条件进行制造、安装、运输、贮存、使用和维护时的人身安全和设备安全。雷达系统电源开关、伺服转台维护开关带自锁功能和指示灯。</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防雷要求</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雷达电源线</w:t>
            </w:r>
            <w:r>
              <w:rPr>
                <w:rFonts w:ascii="Times New Roman" w:eastAsia="宋体" w:hAnsi="Times New Roman" w:cs="Times New Roman" w:hint="eastAsia"/>
                <w:sz w:val="20"/>
                <w:szCs w:val="20"/>
              </w:rPr>
              <w:t>输入端应加装</w:t>
            </w:r>
            <w:r>
              <w:rPr>
                <w:rFonts w:ascii="Times New Roman" w:eastAsia="宋体" w:hAnsi="Times New Roman" w:cs="Times New Roman" w:hint="eastAsia"/>
                <w:sz w:val="20"/>
                <w:szCs w:val="20"/>
              </w:rPr>
              <w:t>防雷滤波器，室外电缆一律采用屏蔽电缆或光缆。</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绝缘性</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雷达各初级电源与大地间绝缘电阻应大于</w:t>
            </w:r>
            <w:r>
              <w:rPr>
                <w:rFonts w:ascii="Times New Roman" w:eastAsia="宋体" w:hAnsi="Times New Roman" w:cs="Times New Roman" w:hint="eastAsia"/>
                <w:sz w:val="20"/>
                <w:szCs w:val="20"/>
              </w:rPr>
              <w:t>1M</w:t>
            </w:r>
            <w:r>
              <w:rPr>
                <w:rFonts w:ascii="Times New Roman" w:eastAsia="宋体" w:hAnsi="Times New Roman" w:cs="Times New Roman" w:hint="eastAsia"/>
                <w:sz w:val="20"/>
                <w:szCs w:val="20"/>
              </w:rPr>
              <w:t>Ω。</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外观质量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雷达整体形象应协调一致。外表面应无凹痕、碰伤、裂痕和变形等缺陷；</w:t>
            </w:r>
            <w:r>
              <w:rPr>
                <w:rFonts w:ascii="Times New Roman" w:eastAsia="宋体" w:hAnsi="Times New Roman" w:cs="Times New Roman" w:hint="eastAsia"/>
                <w:sz w:val="20"/>
                <w:szCs w:val="20"/>
              </w:rPr>
              <w:t>镀</w:t>
            </w:r>
            <w:r>
              <w:rPr>
                <w:rFonts w:ascii="Times New Roman" w:eastAsia="宋体" w:hAnsi="Times New Roman" w:cs="Times New Roman" w:hint="eastAsia"/>
                <w:sz w:val="20"/>
                <w:szCs w:val="20"/>
              </w:rPr>
              <w:t>涂层</w:t>
            </w:r>
            <w:r>
              <w:rPr>
                <w:rFonts w:ascii="Times New Roman" w:eastAsia="宋体" w:hAnsi="Times New Roman" w:cs="Times New Roman" w:hint="eastAsia"/>
                <w:sz w:val="20"/>
                <w:szCs w:val="20"/>
              </w:rPr>
              <w:t>不</w:t>
            </w:r>
            <w:r>
              <w:rPr>
                <w:rFonts w:ascii="Times New Roman" w:eastAsia="宋体" w:hAnsi="Times New Roman" w:cs="Times New Roman" w:hint="eastAsia"/>
                <w:sz w:val="20"/>
                <w:szCs w:val="20"/>
              </w:rPr>
              <w:t>起泡、龟裂和脱落；金属零件无锈蚀、毛刺及其它机械损伤。</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标记与代号</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机箱、机箱、插件和线缆等应有统一的编号和标记，符合国家标准。</w:t>
            </w:r>
          </w:p>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印制板、主要元器件等应在相应位置印有与电路图中项目代号相符的标记。</w:t>
            </w:r>
          </w:p>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标记的文字、字母和符号应完整、规范、清晰和牢固，且便于识读。</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环境噪声要求</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发射机和接收机的噪音应低于</w:t>
            </w:r>
            <w:r>
              <w:rPr>
                <w:rFonts w:ascii="Times New Roman" w:eastAsia="宋体" w:hAnsi="Times New Roman" w:cs="Times New Roman" w:hint="eastAsia"/>
                <w:sz w:val="20"/>
                <w:szCs w:val="20"/>
              </w:rPr>
              <w:t>85dB</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hRule="exact" w:val="599"/>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雷达应有的铭牌包括的内容</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雷达的名称、型号（代号）；出厂编号；出厂年月；制造厂商标。</w:t>
            </w:r>
          </w:p>
        </w:tc>
      </w:tr>
      <w:tr w:rsidTr="00A26C04">
        <w:tblPrEx>
          <w:tblW w:w="5273" w:type="pct"/>
          <w:jc w:val="center"/>
          <w:tblLayout w:type="fixed"/>
          <w:tblLook w:val="04A0"/>
        </w:tblPrEx>
        <w:trPr>
          <w:trHeight w:hRule="exact" w:val="417"/>
          <w:jc w:val="center"/>
        </w:trPr>
        <w:tc>
          <w:tcPr>
            <w:tcW w:w="8770" w:type="dxa"/>
            <w:gridSpan w:val="6"/>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雷达分系统主要技术指标</w:t>
            </w:r>
          </w:p>
        </w:tc>
      </w:tr>
      <w:tr w:rsidTr="00A26C04">
        <w:tblPrEx>
          <w:tblW w:w="5273" w:type="pct"/>
          <w:jc w:val="center"/>
          <w:tblLayout w:type="fixed"/>
          <w:tblLook w:val="04A0"/>
        </w:tblPrEx>
        <w:trPr>
          <w:trHeight w:hRule="exact" w:val="454"/>
          <w:jc w:val="center"/>
        </w:trPr>
        <w:tc>
          <w:tcPr>
            <w:tcW w:w="4564" w:type="dxa"/>
            <w:gridSpan w:val="4"/>
            <w:tcMar>
              <w:left w:w="0" w:type="dxa"/>
              <w:right w:w="0" w:type="dxa"/>
            </w:tcMar>
            <w:vAlign w:val="center"/>
          </w:tcPr>
          <w:p w:rsidR="00566B78">
            <w:pPr>
              <w:adjustRightInd w:val="0"/>
              <w:textAlignment w:val="baseline"/>
              <w:rPr>
                <w:rFonts w:ascii="Times New Roman" w:eastAsia="宋体" w:hAnsi="Times New Roman" w:cs="Times New Roman"/>
                <w:b/>
                <w:bCs/>
                <w:sz w:val="20"/>
              </w:rPr>
            </w:pPr>
            <w:r>
              <w:rPr>
                <w:rFonts w:ascii="Times New Roman" w:eastAsia="宋体" w:hAnsi="Times New Roman" w:cs="Times New Roman"/>
                <w:b/>
                <w:bCs/>
                <w:sz w:val="20"/>
              </w:rPr>
              <w:t>项目</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b/>
                <w:bCs/>
                <w:sz w:val="20"/>
              </w:rPr>
            </w:pPr>
            <w:r>
              <w:rPr>
                <w:rFonts w:ascii="Times New Roman" w:eastAsia="宋体" w:hAnsi="Times New Roman" w:cs="Times New Roman"/>
                <w:b/>
                <w:bCs/>
                <w:sz w:val="20"/>
              </w:rPr>
              <w:t>性能指标</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1</w:t>
            </w:r>
            <w:r>
              <w:rPr>
                <w:rFonts w:ascii="Times New Roman" w:eastAsia="宋体" w:hAnsi="Times New Roman" w:cs="Times New Roman"/>
                <w:sz w:val="20"/>
              </w:rPr>
              <w:t>、天线</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天线形式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圆形旋转抛物面反射体天线，喇叭中心馈电</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工作频率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9.</w:t>
            </w:r>
            <w:r>
              <w:rPr>
                <w:rFonts w:ascii="Times New Roman" w:eastAsia="宋体" w:hAnsi="Times New Roman" w:cs="Times New Roman" w:hint="eastAsia"/>
                <w:sz w:val="20"/>
              </w:rPr>
              <w:t>3</w:t>
            </w:r>
            <w:r>
              <w:rPr>
                <w:rFonts w:ascii="Times New Roman" w:eastAsia="宋体" w:hAnsi="Times New Roman" w:cs="Times New Roman"/>
                <w:sz w:val="20"/>
              </w:rPr>
              <w:t>～</w:t>
            </w:r>
            <w:r>
              <w:rPr>
                <w:rFonts w:ascii="Times New Roman" w:eastAsia="宋体" w:hAnsi="Times New Roman" w:cs="Times New Roman"/>
                <w:sz w:val="20"/>
              </w:rPr>
              <w:t>9.5GHz</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极化方式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线性水平、垂直极化</w:t>
            </w:r>
          </w:p>
        </w:tc>
      </w:tr>
      <w:tr w:rsidTr="00A26C04">
        <w:tblPrEx>
          <w:tblW w:w="5273" w:type="pct"/>
          <w:jc w:val="center"/>
          <w:tblLayout w:type="fixed"/>
          <w:tblLook w:val="04A0"/>
        </w:tblPrEx>
        <w:trPr>
          <w:trHeight w:hRule="exact" w:val="425"/>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反射面</w:t>
            </w:r>
            <w:r>
              <w:rPr>
                <w:rFonts w:ascii="Times New Roman" w:eastAsia="宋体" w:hAnsi="Times New Roman" w:cs="Times New Roman"/>
                <w:sz w:val="20"/>
              </w:rPr>
              <w:t>直径</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2.4</w:t>
            </w:r>
            <w:r>
              <w:rPr>
                <w:rFonts w:ascii="Times New Roman" w:eastAsia="宋体" w:hAnsi="Times New Roman" w:cs="Times New Roman"/>
                <w:sz w:val="20"/>
              </w:rPr>
              <w:t>～</w:t>
            </w:r>
            <w:r>
              <w:rPr>
                <w:rFonts w:ascii="Times New Roman" w:eastAsia="宋体" w:hAnsi="Times New Roman" w:cs="Times New Roman"/>
                <w:sz w:val="20"/>
              </w:rPr>
              <w:t>2.424m</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水平和垂直波束宽度（</w:t>
            </w:r>
            <w:r>
              <w:rPr>
                <w:rFonts w:ascii="Times New Roman" w:eastAsia="宋体" w:hAnsi="Times New Roman" w:cs="Times New Roman"/>
                <w:sz w:val="20"/>
              </w:rPr>
              <w:t>3dB</w:t>
            </w:r>
            <w:r>
              <w:rPr>
                <w:rFonts w:ascii="Times New Roman" w:eastAsia="宋体" w:hAnsi="Times New Roman" w:cs="Times New Roman"/>
                <w:sz w:val="20"/>
              </w:rPr>
              <w:t>）</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w:t>
            </w:r>
            <w:r>
              <w:rPr>
                <w:rFonts w:ascii="Times New Roman" w:eastAsia="宋体" w:hAnsi="Times New Roman" w:cs="Times New Roman"/>
                <w:sz w:val="20"/>
              </w:rPr>
              <w:t>1°</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双极化波束宽度差异（</w:t>
            </w:r>
            <w:r>
              <w:rPr>
                <w:rFonts w:ascii="Times New Roman" w:eastAsia="宋体" w:hAnsi="Times New Roman" w:cs="Times New Roman"/>
                <w:sz w:val="20"/>
                <w:szCs w:val="20"/>
              </w:rPr>
              <w:t>3dB</w:t>
            </w:r>
            <w:r>
              <w:rPr>
                <w:rFonts w:ascii="Times New Roman" w:eastAsia="宋体" w:hAnsi="Times New Roman" w:cs="Times New Roman"/>
                <w:sz w:val="20"/>
                <w:szCs w:val="20"/>
              </w:rPr>
              <w:t>）</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≤0.05°</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增益（水平和垂直）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≥44dB</w:t>
            </w:r>
          </w:p>
        </w:tc>
      </w:tr>
      <w:tr w:rsidTr="00A26C04">
        <w:tblPrEx>
          <w:tblW w:w="5273" w:type="pct"/>
          <w:jc w:val="center"/>
          <w:tblLayout w:type="fixed"/>
          <w:tblLook w:val="04A0"/>
        </w:tblPrEx>
        <w:trPr>
          <w:trHeight w:hRule="exact" w:val="715"/>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双极化天线增益差（</w:t>
            </w:r>
            <w:r>
              <w:rPr>
                <w:rFonts w:ascii="Times New Roman" w:eastAsia="宋体" w:hAnsi="Times New Roman" w:cs="Times New Roman"/>
                <w:sz w:val="20"/>
                <w:szCs w:val="20"/>
              </w:rPr>
              <w:t>H</w:t>
            </w:r>
            <w:r>
              <w:rPr>
                <w:rFonts w:ascii="Times New Roman" w:eastAsia="宋体" w:hAnsi="Times New Roman" w:cs="Times New Roman"/>
                <w:sz w:val="20"/>
                <w:szCs w:val="20"/>
              </w:rPr>
              <w:t>面和</w:t>
            </w:r>
            <w:r>
              <w:rPr>
                <w:rFonts w:ascii="Times New Roman" w:eastAsia="宋体" w:hAnsi="Times New Roman" w:cs="Times New Roman"/>
                <w:sz w:val="20"/>
                <w:szCs w:val="20"/>
              </w:rPr>
              <w:t>E</w:t>
            </w:r>
            <w:r>
              <w:rPr>
                <w:rFonts w:ascii="Times New Roman" w:eastAsia="宋体" w:hAnsi="Times New Roman" w:cs="Times New Roman"/>
                <w:sz w:val="20"/>
                <w:szCs w:val="20"/>
              </w:rPr>
              <w:t>面）</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≤0.3dB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sz w:val="20"/>
                <w:szCs w:val="20"/>
              </w:rPr>
              <w:t>最大副瓣电平</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t>不含罩</w:t>
            </w:r>
            <w:r>
              <w:t>≤-29 dB</w:t>
            </w:r>
            <w:r>
              <w:t>；含罩</w:t>
            </w:r>
            <w:r>
              <w:t>≤-26 dB</w:t>
            </w:r>
          </w:p>
        </w:tc>
      </w:tr>
      <w:tr w:rsidTr="00A26C04">
        <w:tblPrEx>
          <w:tblW w:w="5273" w:type="pct"/>
          <w:jc w:val="center"/>
          <w:tblLayout w:type="fixed"/>
          <w:tblLook w:val="04A0"/>
        </w:tblPrEx>
        <w:trPr>
          <w:trHeight w:hRule="exact" w:val="37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sz w:val="20"/>
                <w:szCs w:val="20"/>
              </w:rPr>
              <w:t>交叉极化隔离度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szCs w:val="20"/>
              </w:rPr>
              <w:t>≥35dB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szCs w:val="20"/>
              </w:rPr>
              <w:t>天线座水平度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szCs w:val="20"/>
              </w:rPr>
              <w:t>≤30″</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2</w:t>
            </w:r>
            <w:r>
              <w:rPr>
                <w:rFonts w:ascii="Times New Roman" w:eastAsia="宋体" w:hAnsi="Times New Roman" w:cs="Times New Roman"/>
                <w:sz w:val="20"/>
              </w:rPr>
              <w:t>、</w:t>
            </w:r>
            <w:r>
              <w:rPr>
                <w:rFonts w:ascii="Times New Roman" w:eastAsia="宋体" w:hAnsi="Times New Roman" w:cs="Times New Roman" w:hint="eastAsia"/>
                <w:sz w:val="20"/>
              </w:rPr>
              <w:t>馈</w:t>
            </w:r>
            <w:r>
              <w:rPr>
                <w:rFonts w:ascii="Times New Roman" w:eastAsia="宋体" w:hAnsi="Times New Roman" w:cs="Times New Roman"/>
                <w:sz w:val="20"/>
              </w:rPr>
              <w:t>线</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rPr>
              <w:t>收发支路损耗差异（双发双收）</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rPr>
              <w:t>≤0.4dB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rPr>
              <w:t>驻波比</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rPr>
              <w:t>≤1.5:1</w:t>
            </w:r>
          </w:p>
        </w:tc>
      </w:tr>
      <w:tr w:rsidTr="00A26C04">
        <w:tblPrEx>
          <w:tblW w:w="5273" w:type="pct"/>
          <w:jc w:val="center"/>
          <w:tblLayout w:type="fixed"/>
          <w:tblLook w:val="04A0"/>
        </w:tblPrEx>
        <w:trPr>
          <w:trHeight w:hRule="exact" w:val="370"/>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3</w:t>
            </w:r>
            <w:r>
              <w:rPr>
                <w:rFonts w:ascii="Times New Roman" w:eastAsia="宋体" w:hAnsi="Times New Roman" w:cs="Times New Roman"/>
                <w:sz w:val="20"/>
              </w:rPr>
              <w:t>、发射机</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形式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全固态功率</w:t>
            </w:r>
            <w:r>
              <w:rPr>
                <w:rFonts w:ascii="Times New Roman" w:eastAsia="宋体" w:hAnsi="Times New Roman" w:cs="Times New Roman" w:hint="eastAsia"/>
                <w:sz w:val="20"/>
              </w:rPr>
              <w:t>合成</w:t>
            </w:r>
          </w:p>
        </w:tc>
      </w:tr>
      <w:tr w:rsidTr="00A26C04">
        <w:tblPrEx>
          <w:tblW w:w="5273" w:type="pct"/>
          <w:jc w:val="center"/>
          <w:tblLayout w:type="fixed"/>
          <w:tblLook w:val="04A0"/>
        </w:tblPrEx>
        <w:trPr>
          <w:trHeight w:hRule="exact" w:val="36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寿命</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全寿命周期</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工作频率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9.</w:t>
            </w:r>
            <w:r>
              <w:rPr>
                <w:rFonts w:ascii="Times New Roman" w:eastAsia="宋体" w:hAnsi="Times New Roman" w:cs="Times New Roman" w:hint="eastAsia"/>
                <w:sz w:val="20"/>
              </w:rPr>
              <w:t>3</w:t>
            </w:r>
            <w:r>
              <w:rPr>
                <w:rFonts w:ascii="Times New Roman" w:eastAsia="宋体" w:hAnsi="Times New Roman" w:cs="Times New Roman" w:hint="eastAsia"/>
                <w:sz w:val="20"/>
              </w:rPr>
              <w:t>～</w:t>
            </w:r>
            <w:r>
              <w:rPr>
                <w:rFonts w:ascii="Times New Roman" w:eastAsia="宋体" w:hAnsi="Times New Roman" w:cs="Times New Roman" w:hint="eastAsia"/>
                <w:sz w:val="20"/>
              </w:rPr>
              <w:t>9.5GHz</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脉冲峰值功率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1000</w:t>
            </w:r>
            <w:r>
              <w:rPr>
                <w:rFonts w:ascii="Times New Roman" w:eastAsia="宋体" w:hAnsi="Times New Roman" w:cs="Times New Roman" w:hint="eastAsia"/>
                <w:sz w:val="20"/>
                <w:szCs w:val="20"/>
              </w:rPr>
              <w:t>W</w:t>
            </w:r>
          </w:p>
        </w:tc>
      </w:tr>
      <w:tr w:rsidTr="00A26C04">
        <w:tblPrEx>
          <w:tblW w:w="5273" w:type="pct"/>
          <w:jc w:val="center"/>
          <w:tblLayout w:type="fixed"/>
          <w:tblLook w:val="04A0"/>
        </w:tblPrEx>
        <w:trPr>
          <w:trHeight w:hRule="exact" w:val="77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脉冲宽度</w:t>
            </w:r>
          </w:p>
        </w:tc>
        <w:tc>
          <w:tcPr>
            <w:tcW w:w="4206" w:type="dxa"/>
            <w:gridSpan w:val="2"/>
            <w:tcMar>
              <w:left w:w="0" w:type="dxa"/>
              <w:right w:w="0" w:type="dxa"/>
            </w:tcMar>
            <w:vAlign w:val="center"/>
          </w:tcPr>
          <w:p w:rsidR="00566B78">
            <w:r>
              <w:rPr>
                <w:rFonts w:ascii="Times New Roman" w:eastAsia="宋体" w:hAnsi="Times New Roman" w:cs="Times New Roman" w:hint="eastAsia"/>
                <w:sz w:val="20"/>
                <w:szCs w:val="20"/>
              </w:rPr>
              <w:t>0.5</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0.05</w:t>
            </w:r>
            <w:r>
              <w:rPr>
                <w:rFonts w:ascii="Times New Roman" w:eastAsia="宋体" w:hAnsi="Times New Roman" w:cs="Times New Roman" w:hint="eastAsia"/>
                <w:sz w:val="20"/>
                <w:szCs w:val="20"/>
              </w:rPr>
              <w:t>μ</w:t>
            </w:r>
            <w:r>
              <w:rPr>
                <w:rFonts w:ascii="Times New Roman" w:eastAsia="宋体" w:hAnsi="Times New Roman" w:cs="Times New Roman" w:hint="eastAsia"/>
                <w:sz w:val="20"/>
                <w:szCs w:val="20"/>
              </w:rPr>
              <w:t>s</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0.10</w:t>
            </w:r>
            <w:r>
              <w:rPr>
                <w:rFonts w:ascii="Times New Roman" w:eastAsia="宋体" w:hAnsi="Times New Roman" w:cs="Times New Roman" w:hint="eastAsia"/>
                <w:sz w:val="20"/>
                <w:szCs w:val="20"/>
              </w:rPr>
              <w:t>μ</w:t>
            </w:r>
            <w:r>
              <w:rPr>
                <w:rFonts w:ascii="Times New Roman" w:eastAsia="宋体" w:hAnsi="Times New Roman" w:cs="Times New Roman" w:hint="eastAsia"/>
                <w:sz w:val="20"/>
                <w:szCs w:val="20"/>
              </w:rPr>
              <w:t>s</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0.5</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200</w:t>
            </w:r>
            <w:r>
              <w:rPr>
                <w:rFonts w:ascii="Times New Roman" w:eastAsia="宋体" w:hAnsi="Times New Roman" w:cs="Times New Roman" w:hint="eastAsia"/>
                <w:sz w:val="20"/>
                <w:szCs w:val="20"/>
              </w:rPr>
              <w:t>μ</w:t>
            </w:r>
            <w:r>
              <w:rPr>
                <w:rFonts w:ascii="Times New Roman" w:eastAsia="宋体" w:hAnsi="Times New Roman" w:cs="Times New Roman" w:hint="eastAsia"/>
                <w:sz w:val="20"/>
                <w:szCs w:val="20"/>
              </w:rPr>
              <w:t>s</w:t>
            </w:r>
            <w:r>
              <w:rPr>
                <w:rFonts w:ascii="Times New Roman" w:eastAsia="宋体" w:hAnsi="Times New Roman" w:cs="Times New Roman" w:hint="eastAsia"/>
                <w:sz w:val="20"/>
                <w:szCs w:val="20"/>
              </w:rPr>
              <w:t>（可选）</w:t>
            </w:r>
          </w:p>
          <w:p w:rsidR="00566B78">
            <w:pPr>
              <w:adjustRightInd w:val="0"/>
              <w:textAlignment w:val="baseline"/>
              <w:rPr>
                <w:rFonts w:ascii="Times New Roman" w:eastAsia="宋体" w:hAnsi="Times New Roman" w:cs="Times New Roman"/>
                <w:sz w:val="20"/>
              </w:rPr>
            </w:pPr>
          </w:p>
        </w:tc>
      </w:tr>
      <w:tr w:rsidTr="00A26C04">
        <w:tblPrEx>
          <w:tblW w:w="5273" w:type="pct"/>
          <w:jc w:val="center"/>
          <w:tblLayout w:type="fixed"/>
          <w:tblLook w:val="04A0"/>
        </w:tblPrEx>
        <w:trPr>
          <w:trHeight w:hRule="exact" w:val="41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脉冲重复频率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500Hz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3000Hz</w:t>
            </w:r>
          </w:p>
        </w:tc>
      </w:tr>
      <w:tr w:rsidTr="00A26C04">
        <w:tblPrEx>
          <w:tblW w:w="5273" w:type="pct"/>
          <w:jc w:val="center"/>
          <w:tblLayout w:type="fixed"/>
          <w:tblLook w:val="04A0"/>
        </w:tblPrEx>
        <w:trPr>
          <w:trHeight w:hRule="exact" w:val="41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机内外峰值功率最大偏差</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0.2dB</w:t>
            </w:r>
            <w:r>
              <w:rPr>
                <w:rFonts w:ascii="Times New Roman" w:eastAsia="宋体" w:hAnsi="Times New Roman" w:cs="Times New Roman" w:hint="eastAsia"/>
                <w:sz w:val="20"/>
                <w:szCs w:val="20"/>
              </w:rPr>
              <w:t>之间</w:t>
            </w:r>
          </w:p>
        </w:tc>
      </w:tr>
      <w:tr w:rsidTr="00A26C04">
        <w:tblPrEx>
          <w:tblW w:w="5273" w:type="pct"/>
          <w:jc w:val="center"/>
          <w:tblLayout w:type="fixed"/>
          <w:tblLook w:val="04A0"/>
        </w:tblPrEx>
        <w:trPr>
          <w:trHeight w:hRule="exact" w:val="65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峰值功率波动</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机外</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0.3dB</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机内</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0.4dB</w:t>
            </w:r>
          </w:p>
        </w:tc>
      </w:tr>
      <w:tr w:rsidTr="00A26C04">
        <w:tblPrEx>
          <w:tblW w:w="5273" w:type="pct"/>
          <w:jc w:val="center"/>
          <w:tblLayout w:type="fixed"/>
          <w:tblLook w:val="04A0"/>
        </w:tblPrEx>
        <w:trPr>
          <w:trHeight w:hRule="exact" w:val="65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上升时间、下降时间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200ns</w:t>
            </w:r>
          </w:p>
        </w:tc>
      </w:tr>
      <w:tr w:rsidTr="00A26C04">
        <w:tblPrEx>
          <w:tblW w:w="5273" w:type="pct"/>
          <w:jc w:val="center"/>
          <w:tblLayout w:type="fixed"/>
          <w:tblLook w:val="04A0"/>
        </w:tblPrEx>
        <w:trPr>
          <w:trHeight w:hRule="exact" w:val="65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顶降</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w:t>
            </w:r>
          </w:p>
        </w:tc>
      </w:tr>
      <w:tr w:rsidTr="00A26C04">
        <w:tblPrEx>
          <w:tblW w:w="5273" w:type="pct"/>
          <w:jc w:val="center"/>
          <w:tblLayout w:type="fixed"/>
          <w:tblLook w:val="04A0"/>
        </w:tblPrEx>
        <w:trPr>
          <w:trHeight w:hRule="exact" w:val="65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谱宽特性</w:t>
            </w:r>
          </w:p>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-40dB</w:t>
            </w:r>
            <w:r>
              <w:rPr>
                <w:rFonts w:ascii="Times New Roman" w:eastAsia="宋体" w:hAnsi="Times New Roman" w:cs="Times New Roman" w:hint="eastAsia"/>
                <w:sz w:val="20"/>
                <w:szCs w:val="20"/>
              </w:rPr>
              <w:t>处）</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左频偏</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-15.0MHz</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右频偏</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15.0MHz</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输出极限改善因子</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5</w:t>
            </w:r>
            <w:r>
              <w:rPr>
                <w:rFonts w:ascii="Times New Roman" w:eastAsia="宋体" w:hAnsi="Times New Roman" w:cs="Times New Roman" w:hint="eastAsia"/>
                <w:sz w:val="20"/>
              </w:rPr>
              <w:t>0</w:t>
            </w:r>
            <w:r>
              <w:rPr>
                <w:rFonts w:ascii="Times New Roman" w:eastAsia="宋体" w:hAnsi="Times New Roman" w:cs="Times New Roman" w:hint="eastAsia"/>
                <w:sz w:val="20"/>
              </w:rPr>
              <w:t>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输出杂噪比</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谐波和杂散抑制</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40dB</w:t>
            </w:r>
          </w:p>
        </w:tc>
      </w:tr>
      <w:tr w:rsidTr="00A26C04">
        <w:tblPrEx>
          <w:tblW w:w="5273" w:type="pct"/>
          <w:jc w:val="center"/>
          <w:tblLayout w:type="fixed"/>
          <w:tblLook w:val="04A0"/>
        </w:tblPrEx>
        <w:trPr>
          <w:trHeight w:hRule="exact" w:val="62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故障检测和保护</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发生过占空比、过脉宽、发生过温、过流等情况时可报警并实现自保；输出功率低时输出报警信号。</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4</w:t>
            </w:r>
            <w:r>
              <w:rPr>
                <w:rFonts w:ascii="Times New Roman" w:eastAsia="宋体" w:hAnsi="Times New Roman" w:cs="Times New Roman"/>
                <w:sz w:val="20"/>
              </w:rPr>
              <w:t>、接收机</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工作频率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9.</w:t>
            </w:r>
            <w:r>
              <w:rPr>
                <w:rFonts w:ascii="Times New Roman" w:eastAsia="宋体" w:hAnsi="Times New Roman" w:cs="Times New Roman" w:hint="eastAsia"/>
                <w:sz w:val="20"/>
                <w:szCs w:val="20"/>
              </w:rPr>
              <w:t>3</w:t>
            </w:r>
            <w:r>
              <w:rPr>
                <w:rFonts w:ascii="Times New Roman" w:eastAsia="宋体" w:hAnsi="Times New Roman" w:cs="Times New Roman"/>
                <w:sz w:val="20"/>
                <w:szCs w:val="20"/>
              </w:rPr>
              <w:t>～</w:t>
            </w:r>
            <w:r>
              <w:rPr>
                <w:rFonts w:ascii="Times New Roman" w:eastAsia="宋体" w:hAnsi="Times New Roman" w:cs="Times New Roman"/>
                <w:sz w:val="20"/>
                <w:szCs w:val="20"/>
              </w:rPr>
              <w:t>9.5GHz</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数字中频采样速率</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w:t>
            </w:r>
            <w:r>
              <w:rPr>
                <w:rFonts w:ascii="Times New Roman" w:eastAsia="宋体" w:hAnsi="Times New Roman" w:cs="Times New Roman"/>
                <w:sz w:val="20"/>
                <w:szCs w:val="20"/>
              </w:rPr>
              <w:t>40MHz</w:t>
            </w:r>
          </w:p>
        </w:tc>
      </w:tr>
      <w:tr w:rsidTr="00A26C04">
        <w:tblPrEx>
          <w:tblW w:w="5273" w:type="pct"/>
          <w:jc w:val="center"/>
          <w:tblLayout w:type="fixed"/>
          <w:tblLook w:val="04A0"/>
        </w:tblPrEx>
        <w:trPr>
          <w:trHeight w:hRule="exact" w:val="739"/>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szCs w:val="20"/>
              </w:rPr>
              <w:t>中频带宽</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0.5μs</w:t>
            </w:r>
            <w:r>
              <w:rPr>
                <w:rFonts w:ascii="Times New Roman" w:eastAsia="宋体" w:hAnsi="Times New Roman" w:cs="Times New Roman"/>
                <w:sz w:val="20"/>
              </w:rPr>
              <w:t>，</w:t>
            </w:r>
            <w:r>
              <w:rPr>
                <w:rFonts w:ascii="Times New Roman" w:eastAsia="宋体" w:hAnsi="Times New Roman" w:cs="Times New Roman"/>
                <w:sz w:val="20"/>
              </w:rPr>
              <w:t>2.00±0.10MHz</w:t>
            </w:r>
            <w:r>
              <w:rPr>
                <w:rFonts w:ascii="Times New Roman" w:eastAsia="宋体" w:hAnsi="Times New Roman" w:cs="Times New Roman"/>
                <w:sz w:val="20"/>
              </w:rPr>
              <w:t>；</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1.0μs</w:t>
            </w:r>
            <w:r>
              <w:rPr>
                <w:rFonts w:ascii="Times New Roman" w:eastAsia="宋体" w:hAnsi="Times New Roman" w:cs="Times New Roman"/>
                <w:sz w:val="20"/>
              </w:rPr>
              <w:t>，</w:t>
            </w:r>
            <w:r>
              <w:rPr>
                <w:rFonts w:ascii="Times New Roman" w:eastAsia="宋体" w:hAnsi="Times New Roman" w:cs="Times New Roman"/>
                <w:sz w:val="20"/>
              </w:rPr>
              <w:t>1.00±0.10MHz</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sz w:val="20"/>
              </w:rPr>
              <w:t>噪声系数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≤3dB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双通道噪声系数差异</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±0.3dB</w:t>
            </w:r>
            <w:r>
              <w:rPr>
                <w:rFonts w:ascii="Times New Roman" w:eastAsia="宋体" w:hAnsi="Times New Roman" w:cs="Times New Roman"/>
                <w:sz w:val="20"/>
                <w:szCs w:val="20"/>
              </w:rPr>
              <w:t>范围内</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机内外噪声系数差异</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±0.2dB</w:t>
            </w:r>
            <w:r>
              <w:rPr>
                <w:rFonts w:ascii="Times New Roman" w:eastAsia="宋体" w:hAnsi="Times New Roman" w:cs="Times New Roman"/>
                <w:sz w:val="20"/>
                <w:szCs w:val="20"/>
              </w:rPr>
              <w:t>范围内</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线性</w:t>
            </w:r>
            <w:r>
              <w:rPr>
                <w:rFonts w:ascii="Times New Roman" w:eastAsia="宋体" w:hAnsi="Times New Roman" w:cs="Times New Roman"/>
                <w:sz w:val="20"/>
              </w:rPr>
              <w:t>动态范围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≥9</w:t>
            </w:r>
            <w:r>
              <w:rPr>
                <w:rFonts w:ascii="Times New Roman" w:eastAsia="宋体" w:hAnsi="Times New Roman" w:cs="Times New Roman"/>
                <w:sz w:val="20"/>
              </w:rPr>
              <w:t>5</w:t>
            </w:r>
            <w:r>
              <w:rPr>
                <w:rFonts w:ascii="Times New Roman" w:eastAsia="宋体" w:hAnsi="Times New Roman" w:cs="Times New Roman"/>
                <w:sz w:val="20"/>
              </w:rPr>
              <w:t>dB</w:t>
            </w:r>
          </w:p>
        </w:tc>
      </w:tr>
      <w:tr w:rsidTr="00A26C04">
        <w:tblPrEx>
          <w:tblW w:w="5273" w:type="pct"/>
          <w:jc w:val="center"/>
          <w:tblLayout w:type="fixed"/>
          <w:tblLook w:val="04A0"/>
        </w:tblPrEx>
        <w:trPr>
          <w:trHeight w:val="19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最小可测功率（灵敏度）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szCs w:val="20"/>
              </w:rPr>
              <w:t>≤-107dBm</w:t>
            </w:r>
            <w:r>
              <w:rPr>
                <w:rFonts w:ascii="Times New Roman" w:eastAsia="宋体" w:hAnsi="Times New Roman" w:cs="Times New Roman"/>
                <w:sz w:val="20"/>
                <w:szCs w:val="20"/>
              </w:rPr>
              <w:t>（带宽</w:t>
            </w:r>
            <w:r>
              <w:rPr>
                <w:rFonts w:ascii="Times New Roman" w:eastAsia="宋体" w:hAnsi="Times New Roman" w:cs="Times New Roman"/>
                <w:sz w:val="20"/>
                <w:szCs w:val="20"/>
              </w:rPr>
              <w:t>2MHz</w:t>
            </w:r>
            <w:r>
              <w:rPr>
                <w:rFonts w:ascii="Times New Roman" w:eastAsia="宋体" w:hAnsi="Times New Roman" w:cs="Times New Roman"/>
                <w:sz w:val="20"/>
                <w:szCs w:val="20"/>
              </w:rPr>
              <w:t>）</w:t>
            </w:r>
          </w:p>
        </w:tc>
      </w:tr>
      <w:tr w:rsidTr="00A26C04">
        <w:tblPrEx>
          <w:tblW w:w="5273" w:type="pct"/>
          <w:jc w:val="center"/>
          <w:tblLayout w:type="fixed"/>
          <w:tblLook w:val="04A0"/>
        </w:tblPrEx>
        <w:trPr>
          <w:trHeight w:val="198"/>
          <w:jc w:val="center"/>
        </w:trPr>
        <w:tc>
          <w:tcPr>
            <w:tcW w:w="1946" w:type="dxa"/>
            <w:gridSpan w:val="2"/>
            <w:vMerge/>
            <w:tcMar>
              <w:left w:w="0" w:type="dxa"/>
              <w:right w:w="0" w:type="dxa"/>
            </w:tcMar>
            <w:vAlign w:val="center"/>
          </w:tcPr>
          <w:p w:rsidR="00566B78">
            <w:pPr>
              <w:adjustRightInd w:val="0"/>
              <w:textAlignment w:val="baseline"/>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szCs w:val="20"/>
              </w:rPr>
              <w:t>≤-110dBm</w:t>
            </w:r>
            <w:r>
              <w:rPr>
                <w:rFonts w:ascii="Times New Roman" w:eastAsia="宋体" w:hAnsi="Times New Roman" w:cs="Times New Roman"/>
                <w:sz w:val="20"/>
                <w:szCs w:val="20"/>
              </w:rPr>
              <w:t>（带宽</w:t>
            </w:r>
            <w:r>
              <w:rPr>
                <w:rFonts w:ascii="Times New Roman" w:eastAsia="宋体" w:hAnsi="Times New Roman" w:cs="Times New Roman"/>
                <w:sz w:val="20"/>
                <w:szCs w:val="20"/>
              </w:rPr>
              <w:t>1MHz</w:t>
            </w:r>
            <w:r>
              <w:rPr>
                <w:rFonts w:ascii="Times New Roman" w:eastAsia="宋体" w:hAnsi="Times New Roman" w:cs="Times New Roman"/>
                <w:sz w:val="20"/>
                <w:szCs w:val="20"/>
              </w:rPr>
              <w:t>）</w:t>
            </w:r>
          </w:p>
        </w:tc>
      </w:tr>
      <w:tr w:rsidTr="00A26C04">
        <w:tblPrEx>
          <w:tblW w:w="5273" w:type="pct"/>
          <w:jc w:val="center"/>
          <w:tblLayout w:type="fixed"/>
          <w:tblLook w:val="04A0"/>
        </w:tblPrEx>
        <w:trPr>
          <w:trHeight w:hRule="exact" w:val="45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灵敏度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≤-107dBm</w:t>
            </w:r>
            <w:r>
              <w:rPr>
                <w:rFonts w:ascii="Times New Roman" w:eastAsia="宋体" w:hAnsi="Times New Roman" w:cs="Times New Roman"/>
                <w:sz w:val="20"/>
              </w:rPr>
              <w:t>（</w:t>
            </w:r>
            <w:r>
              <w:rPr>
                <w:rFonts w:ascii="Times New Roman" w:eastAsia="宋体" w:hAnsi="Times New Roman" w:cs="Times New Roman" w:hint="eastAsia"/>
                <w:sz w:val="20"/>
              </w:rPr>
              <w:t>2</w:t>
            </w:r>
            <w:r>
              <w:rPr>
                <w:rFonts w:ascii="Times New Roman" w:eastAsia="宋体" w:hAnsi="Times New Roman" w:cs="Times New Roman"/>
                <w:sz w:val="20"/>
              </w:rPr>
              <w:t>MHz </w:t>
            </w:r>
            <w:r>
              <w:rPr>
                <w:rFonts w:ascii="Times New Roman" w:eastAsia="宋体" w:hAnsi="Times New Roman" w:cs="Times New Roman"/>
                <w:sz w:val="20"/>
              </w:rPr>
              <w:t>带宽）</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-110dBm</w:t>
            </w:r>
            <w:r>
              <w:rPr>
                <w:rFonts w:ascii="Times New Roman" w:eastAsia="宋体" w:hAnsi="Times New Roman" w:cs="Times New Roman" w:hint="eastAsia"/>
                <w:sz w:val="20"/>
              </w:rPr>
              <w:t>（</w:t>
            </w:r>
            <w:r>
              <w:rPr>
                <w:rFonts w:ascii="Times New Roman" w:eastAsia="宋体" w:hAnsi="Times New Roman" w:cs="Times New Roman" w:hint="eastAsia"/>
                <w:sz w:val="20"/>
              </w:rPr>
              <w:t>1MHz</w:t>
            </w:r>
            <w:r>
              <w:rPr>
                <w:rFonts w:ascii="Times New Roman" w:eastAsia="宋体" w:hAnsi="Times New Roman" w:cs="Times New Roman" w:hint="eastAsia"/>
                <w:sz w:val="20"/>
              </w:rPr>
              <w:t>带宽）</w:t>
            </w:r>
          </w:p>
        </w:tc>
      </w:tr>
      <w:tr w:rsidTr="00A26C04">
        <w:tblPrEx>
          <w:tblW w:w="5273" w:type="pct"/>
          <w:jc w:val="center"/>
          <w:tblLayout w:type="fixed"/>
          <w:tblLook w:val="04A0"/>
        </w:tblPrEx>
        <w:trPr>
          <w:trHeight w:hRule="exact" w:val="41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中频输出杂散</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-60dBc</w:t>
            </w:r>
          </w:p>
        </w:tc>
      </w:tr>
      <w:tr w:rsidTr="00A26C04">
        <w:tblPrEx>
          <w:tblW w:w="5273" w:type="pct"/>
          <w:jc w:val="center"/>
          <w:tblLayout w:type="fixed"/>
          <w:tblLook w:val="04A0"/>
        </w:tblPrEx>
        <w:trPr>
          <w:trHeight w:hRule="exact" w:val="87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频率源射频输出相位噪声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@1KHz</w:t>
            </w:r>
            <w:r>
              <w:rPr>
                <w:rFonts w:ascii="Times New Roman" w:eastAsia="宋体" w:hAnsi="Times New Roman" w:cs="Times New Roman"/>
                <w:sz w:val="20"/>
              </w:rPr>
              <w:tab/>
              <w:t xml:space="preserve">≤-110dBc/Hz </w:t>
            </w:r>
          </w:p>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rPr>
              <w:t>@10KHz</w:t>
            </w:r>
            <w:r>
              <w:rPr>
                <w:rFonts w:ascii="Times New Roman" w:eastAsia="宋体" w:hAnsi="Times New Roman" w:cs="Times New Roman"/>
                <w:sz w:val="20"/>
              </w:rPr>
              <w:tab/>
              <w:t xml:space="preserve">≤-115dBc/Hz </w:t>
            </w:r>
          </w:p>
        </w:tc>
      </w:tr>
      <w:tr w:rsidTr="00A26C04">
        <w:tblPrEx>
          <w:tblW w:w="5273" w:type="pct"/>
          <w:jc w:val="center"/>
          <w:tblLayout w:type="fixed"/>
          <w:tblLook w:val="04A0"/>
        </w:tblPrEx>
        <w:trPr>
          <w:trHeight w:hRule="exact" w:val="41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频率源晶振</w:t>
            </w:r>
            <w:r>
              <w:rPr>
                <w:rFonts w:ascii="Times New Roman" w:eastAsia="宋体" w:hAnsi="Times New Roman" w:cs="Times New Roman"/>
                <w:sz w:val="20"/>
                <w:szCs w:val="20"/>
              </w:rPr>
              <w:t>短期</w:t>
            </w:r>
            <w:r>
              <w:rPr>
                <w:rFonts w:ascii="Times New Roman" w:eastAsia="宋体" w:hAnsi="Times New Roman" w:cs="Times New Roman"/>
                <w:sz w:val="20"/>
                <w:szCs w:val="20"/>
              </w:rPr>
              <w:t>(1ms)</w:t>
            </w:r>
            <w:r>
              <w:rPr>
                <w:rFonts w:ascii="Times New Roman" w:eastAsia="宋体" w:hAnsi="Times New Roman" w:cs="Times New Roman"/>
                <w:sz w:val="20"/>
                <w:szCs w:val="20"/>
              </w:rPr>
              <w:t>稳定度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sz w:val="20"/>
                <w:szCs w:val="20"/>
              </w:rPr>
              <w:t>≤10</w:t>
            </w:r>
            <w:r>
              <w:rPr>
                <w:rFonts w:ascii="Times New Roman" w:eastAsia="宋体" w:hAnsi="Times New Roman" w:cs="Times New Roman"/>
                <w:sz w:val="20"/>
                <w:szCs w:val="20"/>
                <w:vertAlign w:val="superscript"/>
              </w:rPr>
              <w:t>-11</w:t>
            </w:r>
          </w:p>
        </w:tc>
      </w:tr>
      <w:tr w:rsidTr="00A26C04">
        <w:tblPrEx>
          <w:tblW w:w="5273" w:type="pct"/>
          <w:jc w:val="center"/>
          <w:tblLayout w:type="fixed"/>
          <w:tblLook w:val="04A0"/>
        </w:tblPrEx>
        <w:trPr>
          <w:trHeight w:hRule="exact" w:val="681"/>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谐波和杂散抑制</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60dB</w:t>
            </w:r>
          </w:p>
        </w:tc>
      </w:tr>
      <w:tr w:rsidTr="00A26C04">
        <w:tblPrEx>
          <w:tblW w:w="5273" w:type="pct"/>
          <w:jc w:val="center"/>
          <w:tblLayout w:type="fixed"/>
          <w:tblLook w:val="04A0"/>
        </w:tblPrEx>
        <w:trPr>
          <w:trHeight w:hRule="exact" w:val="41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sz w:val="20"/>
              </w:rPr>
              <w:t>本振中的射频信号抑制</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sz w:val="20"/>
              </w:rPr>
              <w:t>60dB</w:t>
            </w:r>
          </w:p>
        </w:tc>
      </w:tr>
      <w:tr w:rsidTr="00A26C04">
        <w:tblPrEx>
          <w:tblW w:w="5273" w:type="pct"/>
          <w:jc w:val="center"/>
          <w:tblLayout w:type="fixed"/>
          <w:tblLook w:val="04A0"/>
        </w:tblPrEx>
        <w:trPr>
          <w:trHeight w:hRule="exact" w:val="1420"/>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sz w:val="20"/>
              </w:rPr>
              <w:t>温度波动范围（采用恒温接收机）</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sz w:val="20"/>
              </w:rPr>
              <w:t>±2℃</w:t>
            </w:r>
            <w:r>
              <w:rPr>
                <w:rFonts w:ascii="Times New Roman" w:eastAsia="宋体" w:hAnsi="Times New Roman" w:cs="Times New Roman"/>
                <w:sz w:val="20"/>
              </w:rPr>
              <w:t>范围内（工作温度）。当环境温度为</w:t>
            </w:r>
            <w:r>
              <w:rPr>
                <w:rFonts w:ascii="Times New Roman" w:eastAsia="宋体" w:hAnsi="Times New Roman" w:cs="Times New Roman"/>
                <w:sz w:val="20"/>
              </w:rPr>
              <w:t>0</w:t>
            </w:r>
            <w:r>
              <w:rPr>
                <w:rFonts w:ascii="Times New Roman" w:eastAsia="宋体" w:hAnsi="Times New Roman" w:cs="Times New Roman"/>
                <w:sz w:val="20"/>
              </w:rPr>
              <w:t>度或</w:t>
            </w:r>
            <w:r>
              <w:rPr>
                <w:rFonts w:ascii="Times New Roman" w:eastAsia="宋体" w:hAnsi="Times New Roman" w:cs="Times New Roman"/>
                <w:sz w:val="20"/>
              </w:rPr>
              <w:t>+40</w:t>
            </w:r>
            <w:r>
              <w:rPr>
                <w:rFonts w:ascii="Times New Roman" w:eastAsia="宋体" w:hAnsi="Times New Roman" w:cs="Times New Roman"/>
                <w:sz w:val="20"/>
              </w:rPr>
              <w:t>度，达到恒定温度的时间不超过</w:t>
            </w:r>
            <w:r>
              <w:rPr>
                <w:rFonts w:ascii="Times New Roman" w:eastAsia="宋体" w:hAnsi="Times New Roman" w:cs="Times New Roman"/>
                <w:sz w:val="20"/>
              </w:rPr>
              <w:t>10min</w:t>
            </w:r>
            <w:r>
              <w:rPr>
                <w:rFonts w:ascii="Times New Roman" w:eastAsia="宋体" w:hAnsi="Times New Roman" w:cs="Times New Roman"/>
                <w:sz w:val="20"/>
              </w:rPr>
              <w:t>；当环境温度为</w:t>
            </w:r>
            <w:r>
              <w:rPr>
                <w:rFonts w:ascii="Times New Roman" w:eastAsia="宋体" w:hAnsi="Times New Roman" w:cs="Times New Roman"/>
                <w:sz w:val="20"/>
              </w:rPr>
              <w:t>-30</w:t>
            </w:r>
            <w:r>
              <w:rPr>
                <w:rFonts w:ascii="Times New Roman" w:eastAsia="宋体" w:hAnsi="Times New Roman" w:cs="Times New Roman"/>
                <w:sz w:val="20"/>
              </w:rPr>
              <w:t>度或</w:t>
            </w:r>
            <w:r>
              <w:rPr>
                <w:rFonts w:ascii="Times New Roman" w:eastAsia="宋体" w:hAnsi="Times New Roman" w:cs="Times New Roman"/>
                <w:sz w:val="20"/>
              </w:rPr>
              <w:t>+50</w:t>
            </w:r>
            <w:r>
              <w:rPr>
                <w:rFonts w:ascii="Times New Roman" w:eastAsia="宋体" w:hAnsi="Times New Roman" w:cs="Times New Roman"/>
                <w:sz w:val="20"/>
              </w:rPr>
              <w:t>度，达到恒定温度的时间不超过</w:t>
            </w:r>
            <w:r>
              <w:rPr>
                <w:rFonts w:ascii="Times New Roman" w:eastAsia="宋体" w:hAnsi="Times New Roman" w:cs="Times New Roman"/>
                <w:sz w:val="20"/>
              </w:rPr>
              <w:t>30min</w:t>
            </w:r>
            <w:r>
              <w:rPr>
                <w:rFonts w:ascii="Times New Roman" w:eastAsia="宋体" w:hAnsi="Times New Roman" w:cs="Times New Roman"/>
                <w:sz w:val="20"/>
              </w:rPr>
              <w:t>。</w:t>
            </w:r>
          </w:p>
        </w:tc>
      </w:tr>
      <w:tr w:rsidTr="00A26C04">
        <w:tblPrEx>
          <w:tblW w:w="5273" w:type="pct"/>
          <w:jc w:val="center"/>
          <w:tblLayout w:type="fixed"/>
          <w:tblLook w:val="04A0"/>
        </w:tblPrEx>
        <w:trPr>
          <w:trHeight w:hRule="exact" w:val="1420"/>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sz w:val="20"/>
                <w:szCs w:val="20"/>
              </w:rPr>
              <w:t>故障检测和保护</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sz w:val="20"/>
                <w:szCs w:val="20"/>
              </w:rPr>
              <w:t>发生本振故障、激励故障、时钟故障、</w:t>
            </w:r>
            <w:r>
              <w:rPr>
                <w:rFonts w:ascii="Times New Roman" w:eastAsia="宋体" w:hAnsi="Times New Roman" w:cs="Times New Roman"/>
                <w:sz w:val="20"/>
                <w:szCs w:val="20"/>
              </w:rPr>
              <w:t>RFD</w:t>
            </w:r>
            <w:r>
              <w:rPr>
                <w:rFonts w:ascii="Times New Roman" w:eastAsia="宋体" w:hAnsi="Times New Roman" w:cs="Times New Roman"/>
                <w:sz w:val="20"/>
                <w:szCs w:val="20"/>
              </w:rPr>
              <w:t>测量误差超限、噪声系数超限、地杂物抑制超限、双</w:t>
            </w:r>
            <w:r>
              <w:rPr>
                <w:rFonts w:ascii="Times New Roman" w:eastAsia="宋体" w:hAnsi="Times New Roman" w:cs="Times New Roman"/>
                <w:sz w:val="20"/>
                <w:szCs w:val="20"/>
              </w:rPr>
              <w:t>通道幅相一致性</w:t>
            </w:r>
            <w:r>
              <w:rPr>
                <w:rFonts w:ascii="Times New Roman" w:eastAsia="宋体" w:hAnsi="Times New Roman" w:cs="Times New Roman"/>
                <w:sz w:val="20"/>
                <w:szCs w:val="20"/>
              </w:rPr>
              <w:t>超限等情况时可报警。</w:t>
            </w:r>
            <w:r>
              <w:rPr>
                <w:rFonts w:ascii="Times New Roman" w:eastAsia="宋体" w:hAnsi="Times New Roman" w:cs="Times New Roman"/>
                <w:sz w:val="20"/>
                <w:szCs w:val="20"/>
              </w:rPr>
              <w:t xml:space="preserve"> </w:t>
            </w:r>
          </w:p>
        </w:tc>
      </w:tr>
      <w:tr w:rsidTr="00A26C04">
        <w:tblPrEx>
          <w:tblW w:w="5273" w:type="pct"/>
          <w:jc w:val="center"/>
          <w:tblLayout w:type="fixed"/>
          <w:tblLook w:val="04A0"/>
        </w:tblPrEx>
        <w:trPr>
          <w:trHeight w:hRule="exact" w:val="41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r>
              <w:rPr>
                <w:rFonts w:ascii="Times New Roman" w:eastAsia="宋体" w:hAnsi="Times New Roman" w:cs="Times New Roman" w:hint="eastAsia"/>
                <w:sz w:val="20"/>
              </w:rPr>
              <w:t>5</w:t>
            </w:r>
            <w:r>
              <w:rPr>
                <w:rFonts w:ascii="Times New Roman" w:eastAsia="宋体" w:hAnsi="Times New Roman" w:cs="Times New Roman"/>
                <w:sz w:val="20"/>
              </w:rPr>
              <w:t>、伺服</w:t>
            </w:r>
            <w:r>
              <w:rPr>
                <w:rFonts w:ascii="Times New Roman" w:eastAsia="宋体" w:hAnsi="Times New Roman" w:cs="Times New Roman" w:hint="eastAsia"/>
                <w:sz w:val="20"/>
              </w:rPr>
              <w:t>转台</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天线</w:t>
            </w:r>
            <w:r>
              <w:rPr>
                <w:rFonts w:ascii="Times New Roman" w:eastAsia="宋体" w:hAnsi="Times New Roman" w:cs="Times New Roman"/>
                <w:sz w:val="20"/>
              </w:rPr>
              <w:t>扫描方式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sz w:val="20"/>
              </w:rPr>
              <w:t>PPI</w:t>
            </w:r>
            <w:r>
              <w:rPr>
                <w:rFonts w:ascii="Times New Roman" w:eastAsia="宋体" w:hAnsi="Times New Roman" w:cs="Times New Roman" w:hint="eastAsia"/>
                <w:sz w:val="20"/>
              </w:rPr>
              <w:t>、</w:t>
            </w:r>
            <w:r>
              <w:rPr>
                <w:rFonts w:ascii="Times New Roman" w:eastAsia="宋体" w:hAnsi="Times New Roman" w:cs="Times New Roman"/>
                <w:sz w:val="20"/>
              </w:rPr>
              <w:t>RHI</w:t>
            </w:r>
            <w:r>
              <w:rPr>
                <w:rFonts w:ascii="Times New Roman" w:eastAsia="宋体" w:hAnsi="Times New Roman" w:cs="Times New Roman" w:hint="eastAsia"/>
                <w:sz w:val="20"/>
              </w:rPr>
              <w:t>、</w:t>
            </w:r>
            <w:r>
              <w:rPr>
                <w:rFonts w:ascii="Times New Roman" w:eastAsia="宋体" w:hAnsi="Times New Roman" w:cs="Times New Roman" w:hint="eastAsia"/>
                <w:sz w:val="20"/>
              </w:rPr>
              <w:t>体扫、扇扫、任意指向</w:t>
            </w:r>
          </w:p>
        </w:tc>
      </w:tr>
      <w:tr w:rsidTr="00A26C04">
        <w:tblPrEx>
          <w:tblW w:w="5273" w:type="pct"/>
          <w:jc w:val="center"/>
          <w:tblLayout w:type="fixed"/>
          <w:tblLook w:val="04A0"/>
        </w:tblPrEx>
        <w:trPr>
          <w:trHeight w:hRule="exact" w:val="66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天线扫描范围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方位</w:t>
            </w:r>
            <w:r>
              <w:rPr>
                <w:rFonts w:ascii="Times New Roman" w:eastAsia="宋体" w:hAnsi="Times New Roman" w:cs="Times New Roman" w:hint="eastAsia"/>
                <w:sz w:val="20"/>
              </w:rPr>
              <w:t xml:space="preserve"> 0</w:t>
            </w:r>
            <w:r>
              <w:rPr>
                <w:rFonts w:ascii="Times New Roman" w:eastAsia="宋体" w:hAnsi="Times New Roman" w:cs="Times New Roman" w:hint="eastAsia"/>
                <w:sz w:val="20"/>
              </w:rPr>
              <w:t>°</w:t>
            </w:r>
            <w:r>
              <w:rPr>
                <w:rFonts w:ascii="Times New Roman" w:eastAsia="宋体" w:hAnsi="Times New Roman" w:cs="Times New Roman" w:hint="eastAsia"/>
                <w:sz w:val="20"/>
              </w:rPr>
              <w:t>-360</w:t>
            </w:r>
            <w:r>
              <w:rPr>
                <w:rFonts w:ascii="Times New Roman" w:eastAsia="宋体" w:hAnsi="Times New Roman" w:cs="Times New Roman" w:hint="eastAsia"/>
                <w:sz w:val="20"/>
              </w:rPr>
              <w:t>°连续扫描</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俯仰</w:t>
            </w:r>
            <w:r>
              <w:rPr>
                <w:rFonts w:ascii="Times New Roman" w:eastAsia="宋体" w:hAnsi="Times New Roman" w:cs="Times New Roman" w:hint="eastAsia"/>
                <w:sz w:val="20"/>
              </w:rPr>
              <w:t xml:space="preserve"> -2</w:t>
            </w:r>
            <w:r>
              <w:rPr>
                <w:rFonts w:ascii="Times New Roman" w:eastAsia="宋体" w:hAnsi="Times New Roman" w:cs="Times New Roman" w:hint="eastAsia"/>
                <w:sz w:val="20"/>
              </w:rPr>
              <w:t>°</w:t>
            </w:r>
            <w:r>
              <w:rPr>
                <w:rFonts w:ascii="Times New Roman" w:eastAsia="宋体" w:hAnsi="Times New Roman" w:cs="Times New Roman" w:hint="eastAsia"/>
                <w:sz w:val="20"/>
              </w:rPr>
              <w:t>~+180</w:t>
            </w:r>
            <w:r>
              <w:rPr>
                <w:rFonts w:ascii="Times New Roman" w:eastAsia="宋体" w:hAnsi="Times New Roman" w:cs="Times New Roman" w:hint="eastAsia"/>
                <w:sz w:val="20"/>
              </w:rPr>
              <w:t>°往返扫描</w:t>
            </w:r>
          </w:p>
          <w:p w:rsidR="00566B78">
            <w:pPr>
              <w:adjustRightInd w:val="0"/>
              <w:textAlignment w:val="baseline"/>
              <w:rPr>
                <w:rFonts w:ascii="Times New Roman" w:eastAsia="宋体" w:hAnsi="Times New Roman" w:cs="Times New Roman"/>
                <w:sz w:val="20"/>
              </w:rPr>
            </w:pPr>
          </w:p>
          <w:p w:rsidR="00566B78">
            <w:pPr>
              <w:adjustRightInd w:val="0"/>
              <w:textAlignment w:val="baseline"/>
              <w:rPr>
                <w:rFonts w:ascii="Times New Roman" w:eastAsia="宋体" w:hAnsi="Times New Roman" w:cs="Times New Roman"/>
                <w:sz w:val="20"/>
              </w:rPr>
            </w:pPr>
          </w:p>
        </w:tc>
      </w:tr>
      <w:tr w:rsidTr="00A26C04">
        <w:tblPrEx>
          <w:tblW w:w="5273" w:type="pct"/>
          <w:jc w:val="center"/>
          <w:tblLayout w:type="fixed"/>
          <w:tblLook w:val="04A0"/>
        </w:tblPrEx>
        <w:trPr>
          <w:trHeight w:hRule="exact" w:val="66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天线扫描速度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方位</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60</w:t>
            </w:r>
            <w:r>
              <w:rPr>
                <w:rFonts w:ascii="Times New Roman" w:eastAsia="宋体" w:hAnsi="Times New Roman" w:cs="Times New Roman" w:hint="eastAsia"/>
                <w:sz w:val="20"/>
              </w:rPr>
              <w:t>°</w:t>
            </w:r>
            <w:r>
              <w:rPr>
                <w:rFonts w:ascii="Times New Roman" w:eastAsia="宋体" w:hAnsi="Times New Roman" w:cs="Times New Roman" w:hint="eastAsia"/>
                <w:sz w:val="20"/>
              </w:rPr>
              <w:t>/s</w:t>
            </w:r>
            <w:r>
              <w:rPr>
                <w:rFonts w:ascii="Times New Roman" w:eastAsia="宋体" w:hAnsi="Times New Roman" w:cs="Times New Roman" w:hint="eastAsia"/>
                <w:sz w:val="20"/>
              </w:rPr>
              <w:t>，≥</w:t>
            </w:r>
            <w:r>
              <w:rPr>
                <w:rFonts w:ascii="Times New Roman" w:eastAsia="宋体" w:hAnsi="Times New Roman" w:cs="Times New Roman" w:hint="eastAsia"/>
                <w:sz w:val="20"/>
              </w:rPr>
              <w:t>6</w:t>
            </w:r>
            <w:r>
              <w:rPr>
                <w:rFonts w:ascii="Times New Roman" w:eastAsia="宋体" w:hAnsi="Times New Roman" w:cs="Times New Roman" w:hint="eastAsia"/>
                <w:sz w:val="20"/>
              </w:rPr>
              <w:t>°</w:t>
            </w:r>
            <w:r>
              <w:rPr>
                <w:rFonts w:ascii="Times New Roman" w:eastAsia="宋体" w:hAnsi="Times New Roman" w:cs="Times New Roman" w:hint="eastAsia"/>
                <w:sz w:val="20"/>
              </w:rPr>
              <w:t>/s</w:t>
            </w:r>
            <w:r>
              <w:rPr>
                <w:rFonts w:ascii="Times New Roman" w:eastAsia="宋体" w:hAnsi="Times New Roman" w:cs="Times New Roman" w:hint="eastAsia"/>
                <w:sz w:val="20"/>
              </w:rPr>
              <w:t>误差≤</w:t>
            </w:r>
            <w:r>
              <w:rPr>
                <w:rFonts w:ascii="Times New Roman" w:eastAsia="宋体" w:hAnsi="Times New Roman" w:cs="Times New Roman" w:hint="eastAsia"/>
                <w:sz w:val="20"/>
              </w:rPr>
              <w:t>5%</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俯仰</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60</w:t>
            </w:r>
            <w:r>
              <w:rPr>
                <w:rFonts w:ascii="Times New Roman" w:eastAsia="宋体" w:hAnsi="Times New Roman" w:cs="Times New Roman" w:hint="eastAsia"/>
                <w:sz w:val="20"/>
              </w:rPr>
              <w:t>°</w:t>
            </w:r>
            <w:r>
              <w:rPr>
                <w:rFonts w:ascii="Times New Roman" w:eastAsia="宋体" w:hAnsi="Times New Roman" w:cs="Times New Roman" w:hint="eastAsia"/>
                <w:sz w:val="20"/>
              </w:rPr>
              <w:t>/s</w:t>
            </w:r>
            <w:r>
              <w:rPr>
                <w:rFonts w:ascii="Times New Roman" w:eastAsia="宋体" w:hAnsi="Times New Roman" w:cs="Times New Roman" w:hint="eastAsia"/>
                <w:sz w:val="20"/>
              </w:rPr>
              <w:t>，≥</w:t>
            </w:r>
            <w:r>
              <w:rPr>
                <w:rFonts w:ascii="Times New Roman" w:eastAsia="宋体" w:hAnsi="Times New Roman" w:cs="Times New Roman" w:hint="eastAsia"/>
                <w:sz w:val="20"/>
              </w:rPr>
              <w:t>6</w:t>
            </w:r>
            <w:r>
              <w:rPr>
                <w:rFonts w:ascii="Times New Roman" w:eastAsia="宋体" w:hAnsi="Times New Roman" w:cs="Times New Roman" w:hint="eastAsia"/>
                <w:sz w:val="20"/>
              </w:rPr>
              <w:t>°</w:t>
            </w:r>
            <w:r>
              <w:rPr>
                <w:rFonts w:ascii="Times New Roman" w:eastAsia="宋体" w:hAnsi="Times New Roman" w:cs="Times New Roman" w:hint="eastAsia"/>
                <w:sz w:val="20"/>
              </w:rPr>
              <w:t>/s</w:t>
            </w:r>
            <w:r>
              <w:rPr>
                <w:rFonts w:ascii="Times New Roman" w:eastAsia="宋体" w:hAnsi="Times New Roman" w:cs="Times New Roman" w:hint="eastAsia"/>
                <w:sz w:val="20"/>
              </w:rPr>
              <w:t>误差≤</w:t>
            </w:r>
            <w:r>
              <w:rPr>
                <w:rFonts w:ascii="Times New Roman" w:eastAsia="宋体" w:hAnsi="Times New Roman" w:cs="Times New Roman" w:hint="eastAsia"/>
                <w:sz w:val="20"/>
              </w:rPr>
              <w:t>5%</w:t>
            </w:r>
          </w:p>
        </w:tc>
      </w:tr>
      <w:tr w:rsidTr="00A26C04">
        <w:tblPrEx>
          <w:tblW w:w="5273" w:type="pct"/>
          <w:jc w:val="center"/>
          <w:tblLayout w:type="fixed"/>
          <w:tblLook w:val="04A0"/>
        </w:tblPrEx>
        <w:trPr>
          <w:trHeight w:hRule="exact" w:val="66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天线扫描加速度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方位</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60</w:t>
            </w:r>
            <w:r>
              <w:rPr>
                <w:rFonts w:ascii="Times New Roman" w:eastAsia="宋体" w:hAnsi="Times New Roman" w:cs="Times New Roman" w:hint="eastAsia"/>
                <w:sz w:val="20"/>
              </w:rPr>
              <w:t>°</w:t>
            </w:r>
            <w:r>
              <w:rPr>
                <w:rFonts w:ascii="Times New Roman" w:eastAsia="宋体" w:hAnsi="Times New Roman" w:cs="Times New Roman" w:hint="eastAsia"/>
                <w:sz w:val="20"/>
              </w:rPr>
              <w:t>/s2</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俯仰</w:t>
            </w:r>
            <w:r>
              <w:rPr>
                <w:rFonts w:ascii="Times New Roman" w:eastAsia="宋体" w:hAnsi="Times New Roman" w:cs="Times New Roman" w:hint="eastAsia"/>
                <w:sz w:val="20"/>
              </w:rPr>
              <w:tab/>
            </w:r>
            <w:r>
              <w:rPr>
                <w:rFonts w:ascii="Times New Roman" w:eastAsia="宋体" w:hAnsi="Times New Roman" w:cs="Times New Roman" w:hint="eastAsia"/>
                <w:sz w:val="20"/>
              </w:rPr>
              <w:t>≥</w:t>
            </w:r>
            <w:r>
              <w:rPr>
                <w:rFonts w:ascii="Times New Roman" w:eastAsia="宋体" w:hAnsi="Times New Roman" w:cs="Times New Roman" w:hint="eastAsia"/>
                <w:sz w:val="20"/>
              </w:rPr>
              <w:t>60</w:t>
            </w:r>
            <w:r>
              <w:rPr>
                <w:rFonts w:ascii="Times New Roman" w:eastAsia="宋体" w:hAnsi="Times New Roman" w:cs="Times New Roman" w:hint="eastAsia"/>
                <w:sz w:val="20"/>
              </w:rPr>
              <w:t>°</w:t>
            </w:r>
            <w:r>
              <w:rPr>
                <w:rFonts w:ascii="Times New Roman" w:eastAsia="宋体" w:hAnsi="Times New Roman" w:cs="Times New Roman" w:hint="eastAsia"/>
                <w:sz w:val="20"/>
              </w:rPr>
              <w:t>/s2</w:t>
            </w:r>
          </w:p>
        </w:tc>
      </w:tr>
      <w:tr w:rsidTr="00A26C04">
        <w:tblPrEx>
          <w:tblW w:w="5273" w:type="pct"/>
          <w:jc w:val="center"/>
          <w:tblLayout w:type="fixed"/>
          <w:tblLook w:val="04A0"/>
        </w:tblPrEx>
        <w:trPr>
          <w:trHeight w:hRule="exact" w:val="66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天线控制方式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预置全自动、人工干预自动</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手动控制</w:t>
            </w:r>
          </w:p>
        </w:tc>
      </w:tr>
      <w:tr w:rsidTr="00A26C04">
        <w:tblPrEx>
          <w:tblW w:w="5273" w:type="pct"/>
          <w:jc w:val="center"/>
          <w:tblLayout w:type="fixed"/>
          <w:tblLook w:val="04A0"/>
        </w:tblPrEx>
        <w:trPr>
          <w:trHeight w:hRule="exact" w:val="66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rPr>
              <w:t>#</w:t>
            </w:r>
            <w:r>
              <w:rPr>
                <w:rFonts w:ascii="Times New Roman" w:eastAsia="宋体" w:hAnsi="Times New Roman" w:cs="Times New Roman" w:hint="eastAsia"/>
                <w:sz w:val="20"/>
                <w:szCs w:val="20"/>
              </w:rPr>
              <w:t>波束指向误差</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rPr>
              <w:t>方位</w:t>
            </w:r>
            <w:r>
              <w:rPr>
                <w:rFonts w:ascii="Times New Roman" w:eastAsia="宋体" w:hAnsi="Times New Roman" w:cs="Times New Roman" w:hint="eastAsia"/>
                <w:sz w:val="20"/>
              </w:rPr>
              <w:t>/</w:t>
            </w:r>
            <w:r>
              <w:rPr>
                <w:rFonts w:ascii="Times New Roman" w:eastAsia="宋体" w:hAnsi="Times New Roman" w:cs="Times New Roman" w:hint="eastAsia"/>
                <w:sz w:val="20"/>
              </w:rPr>
              <w:t>仰角</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0.05</w:t>
            </w:r>
            <w:r>
              <w:rPr>
                <w:rFonts w:ascii="Times New Roman" w:eastAsia="宋体" w:hAnsi="Times New Roman" w:cs="Times New Roman" w:hint="eastAsia"/>
                <w:sz w:val="20"/>
                <w:szCs w:val="20"/>
              </w:rPr>
              <w:t>°之间</w:t>
            </w:r>
          </w:p>
        </w:tc>
      </w:tr>
      <w:tr w:rsidTr="00A26C04">
        <w:tblPrEx>
          <w:tblW w:w="5273" w:type="pct"/>
          <w:jc w:val="center"/>
          <w:tblLayout w:type="fixed"/>
          <w:tblLook w:val="04A0"/>
        </w:tblPrEx>
        <w:trPr>
          <w:trHeight w:hRule="exact" w:val="46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w:t>
            </w:r>
            <w:r>
              <w:rPr>
                <w:rFonts w:ascii="Times New Roman" w:eastAsia="宋体" w:hAnsi="Times New Roman" w:cs="Times New Roman" w:hint="eastAsia"/>
                <w:sz w:val="20"/>
              </w:rPr>
              <w:t>天线控制精度</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方位</w:t>
            </w:r>
            <w:r>
              <w:rPr>
                <w:rFonts w:ascii="Times New Roman" w:eastAsia="宋体" w:hAnsi="Times New Roman" w:cs="Times New Roman" w:hint="eastAsia"/>
                <w:sz w:val="20"/>
              </w:rPr>
              <w:t>/</w:t>
            </w:r>
            <w:r>
              <w:rPr>
                <w:rFonts w:ascii="Times New Roman" w:eastAsia="宋体" w:hAnsi="Times New Roman" w:cs="Times New Roman" w:hint="eastAsia"/>
                <w:sz w:val="20"/>
              </w:rPr>
              <w:t>仰角</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0.05</w:t>
            </w:r>
            <w:r>
              <w:rPr>
                <w:rFonts w:ascii="Times New Roman" w:eastAsia="宋体" w:hAnsi="Times New Roman" w:cs="Times New Roman" w:hint="eastAsia"/>
                <w:sz w:val="20"/>
                <w:szCs w:val="20"/>
              </w:rPr>
              <w:t>°之间</w:t>
            </w:r>
          </w:p>
        </w:tc>
      </w:tr>
      <w:tr w:rsidTr="00A26C04">
        <w:tblPrEx>
          <w:tblW w:w="5273" w:type="pct"/>
          <w:jc w:val="center"/>
          <w:tblLayout w:type="fixed"/>
          <w:tblLook w:val="04A0"/>
        </w:tblPrEx>
        <w:trPr>
          <w:trHeight w:hRule="exact" w:val="46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天线控制字长</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16</w:t>
            </w:r>
            <w:r>
              <w:rPr>
                <w:rFonts w:ascii="Times New Roman" w:eastAsia="宋体" w:hAnsi="Times New Roman" w:cs="Times New Roman" w:hint="eastAsia"/>
                <w:sz w:val="20"/>
                <w:szCs w:val="20"/>
              </w:rPr>
              <w:t>位</w:t>
            </w:r>
          </w:p>
        </w:tc>
      </w:tr>
      <w:tr w:rsidTr="00A26C04">
        <w:tblPrEx>
          <w:tblW w:w="5273" w:type="pct"/>
          <w:jc w:val="center"/>
          <w:tblLayout w:type="fixed"/>
          <w:tblLook w:val="04A0"/>
        </w:tblPrEx>
        <w:trPr>
          <w:trHeight w:hRule="exact" w:val="46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角度编码器字长</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16</w:t>
            </w:r>
            <w:r>
              <w:rPr>
                <w:rFonts w:ascii="Times New Roman" w:eastAsia="宋体" w:hAnsi="Times New Roman" w:cs="Times New Roman" w:hint="eastAsia"/>
                <w:sz w:val="20"/>
                <w:szCs w:val="20"/>
              </w:rPr>
              <w:t>位</w:t>
            </w:r>
          </w:p>
        </w:tc>
      </w:tr>
      <w:tr w:rsidTr="00A26C04">
        <w:tblPrEx>
          <w:tblW w:w="5273" w:type="pct"/>
          <w:jc w:val="center"/>
          <w:tblLayout w:type="fixed"/>
          <w:tblLook w:val="04A0"/>
        </w:tblPrEx>
        <w:trPr>
          <w:trHeight w:hRule="exact" w:val="46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角码传输延迟</w:t>
            </w:r>
            <w:r>
              <w:rPr>
                <w:rFonts w:ascii="Times New Roman" w:eastAsia="宋体" w:hAnsi="Times New Roman" w:cs="Times New Roman" w:hint="eastAsia"/>
                <w:sz w:val="20"/>
                <w:szCs w:val="20"/>
              </w:rPr>
              <w:t>时间</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5ms</w:t>
            </w:r>
          </w:p>
        </w:tc>
      </w:tr>
      <w:tr w:rsidTr="00A26C04">
        <w:tblPrEx>
          <w:tblW w:w="5273" w:type="pct"/>
          <w:jc w:val="center"/>
          <w:tblLayout w:type="fixed"/>
          <w:tblLook w:val="04A0"/>
        </w:tblPrEx>
        <w:trPr>
          <w:trHeight w:hRule="exact" w:val="244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安全与保护</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天线在方位、俯仰机构上应有电气、机械安全设施，以保护天线在工作与运输过程中的安全。方位、俯仰控制应有保护电路；天线在俯仰角最低和最高处应有机械安全开关，保证天线</w:t>
            </w:r>
            <w:r>
              <w:rPr>
                <w:rFonts w:ascii="Times New Roman" w:eastAsia="宋体" w:hAnsi="Times New Roman" w:cs="Times New Roman" w:hint="eastAsia"/>
                <w:sz w:val="20"/>
                <w:szCs w:val="20"/>
              </w:rPr>
              <w:t>上仰不超过</w:t>
            </w:r>
            <w:r>
              <w:rPr>
                <w:rFonts w:ascii="Times New Roman" w:eastAsia="宋体" w:hAnsi="Times New Roman" w:cs="Times New Roman" w:hint="eastAsia"/>
                <w:sz w:val="20"/>
                <w:szCs w:val="20"/>
              </w:rPr>
              <w:t>最高限位，下俯不低于最低限位；天线在方位和俯仰角上均应有机械锁定机构，防止天线在运输和架设过程中发生晃动。具有俯仰电源、方位电源故障监测等</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hRule="exact" w:val="46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highlight w:val="green"/>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移动式抗风要求</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rPr>
              <w:t>8</w:t>
            </w:r>
            <w:r>
              <w:rPr>
                <w:rFonts w:ascii="Times New Roman" w:eastAsia="宋体" w:hAnsi="Times New Roman" w:cs="Times New Roman" w:hint="eastAsia"/>
                <w:sz w:val="20"/>
              </w:rPr>
              <w:t>级风能工作，</w:t>
            </w:r>
            <w:r>
              <w:rPr>
                <w:rFonts w:ascii="Times New Roman" w:eastAsia="宋体" w:hAnsi="Times New Roman" w:cs="Times New Roman" w:hint="eastAsia"/>
                <w:sz w:val="20"/>
              </w:rPr>
              <w:t>10</w:t>
            </w:r>
            <w:r>
              <w:rPr>
                <w:rFonts w:ascii="Times New Roman" w:eastAsia="宋体" w:hAnsi="Times New Roman" w:cs="Times New Roman" w:hint="eastAsia"/>
                <w:sz w:val="20"/>
              </w:rPr>
              <w:t>级风不受损坏</w:t>
            </w:r>
            <w:r>
              <w:rPr>
                <w:rFonts w:ascii="Times New Roman" w:eastAsia="宋体" w:hAnsi="Times New Roman" w:cs="Times New Roman" w:hint="eastAsia"/>
                <w:sz w:val="20"/>
              </w:rPr>
              <w:t>。</w:t>
            </w:r>
          </w:p>
        </w:tc>
      </w:tr>
      <w:tr w:rsidTr="00A26C04">
        <w:tblPrEx>
          <w:tblW w:w="5273" w:type="pct"/>
          <w:jc w:val="center"/>
          <w:tblLayout w:type="fixed"/>
          <w:tblLook w:val="04A0"/>
        </w:tblPrEx>
        <w:trPr>
          <w:trHeight w:val="77"/>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rPr>
              <w:t>6</w:t>
            </w:r>
            <w:r>
              <w:rPr>
                <w:rFonts w:ascii="Times New Roman" w:eastAsia="宋体" w:hAnsi="Times New Roman" w:cs="Times New Roman" w:hint="eastAsia"/>
                <w:sz w:val="20"/>
              </w:rPr>
              <w:t>、信号处理算法</w:t>
            </w:r>
          </w:p>
        </w:tc>
        <w:tc>
          <w:tcPr>
            <w:tcW w:w="2618"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杂波抑制（采用先动态</w:t>
            </w:r>
            <w:r>
              <w:rPr>
                <w:rFonts w:ascii="Times New Roman" w:eastAsia="宋体" w:hAnsi="Times New Roman" w:cs="Times New Roman" w:hint="eastAsia"/>
                <w:sz w:val="20"/>
                <w:szCs w:val="20"/>
              </w:rPr>
              <w:t>识别再</w:t>
            </w:r>
            <w:r>
              <w:rPr>
                <w:rFonts w:ascii="Times New Roman" w:eastAsia="宋体" w:hAnsi="Times New Roman" w:cs="Times New Roman" w:hint="eastAsia"/>
                <w:sz w:val="20"/>
                <w:szCs w:val="20"/>
              </w:rPr>
              <w:t>进行自适应频域滤波的方法进行杂波过滤）</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电磁干扰识别</w:t>
            </w:r>
          </w:p>
        </w:tc>
      </w:tr>
      <w:tr w:rsidTr="00A26C04">
        <w:tblPrEx>
          <w:tblW w:w="5273" w:type="pct"/>
          <w:jc w:val="center"/>
          <w:tblLayout w:type="fixed"/>
          <w:tblLook w:val="04A0"/>
        </w:tblPrEx>
        <w:trPr>
          <w:trHeight w:val="77"/>
          <w:jc w:val="center"/>
        </w:trPr>
        <w:tc>
          <w:tcPr>
            <w:tcW w:w="1946" w:type="dxa"/>
            <w:gridSpan w:val="2"/>
            <w:vMerge/>
            <w:tcMar>
              <w:left w:w="0" w:type="dxa"/>
              <w:right w:w="0" w:type="dxa"/>
            </w:tcMar>
            <w:vAlign w:val="center"/>
          </w:tcPr>
          <w:p w:rsidR="00566B78">
            <w:pPr>
              <w:adjustRightInd w:val="0"/>
              <w:textAlignment w:val="baseline"/>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电磁干扰抑制</w:t>
            </w:r>
          </w:p>
        </w:tc>
      </w:tr>
      <w:tr w:rsidTr="00A26C04">
        <w:tblPrEx>
          <w:tblW w:w="5273" w:type="pct"/>
          <w:jc w:val="center"/>
          <w:tblLayout w:type="fixed"/>
          <w:tblLook w:val="04A0"/>
        </w:tblPrEx>
        <w:trPr>
          <w:trHeight w:val="7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风电干扰识别</w:t>
            </w:r>
          </w:p>
        </w:tc>
      </w:tr>
      <w:tr w:rsidTr="00A26C04">
        <w:tblPrEx>
          <w:tblW w:w="5273" w:type="pct"/>
          <w:jc w:val="center"/>
          <w:tblLayout w:type="fixed"/>
          <w:tblLook w:val="04A0"/>
        </w:tblPrEx>
        <w:trPr>
          <w:trHeight w:val="7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风电干扰抑制</w:t>
            </w:r>
          </w:p>
        </w:tc>
      </w:tr>
      <w:tr w:rsidTr="00A26C04">
        <w:tblPrEx>
          <w:tblW w:w="5273" w:type="pct"/>
          <w:jc w:val="center"/>
          <w:tblLayout w:type="fixed"/>
          <w:tblLook w:val="04A0"/>
        </w:tblPrEx>
        <w:trPr>
          <w:trHeight w:val="7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地杂波识别</w:t>
            </w:r>
          </w:p>
        </w:tc>
      </w:tr>
      <w:tr w:rsidTr="00A26C04">
        <w:tblPrEx>
          <w:tblW w:w="5273" w:type="pct"/>
          <w:jc w:val="center"/>
          <w:tblLayout w:type="fixed"/>
          <w:tblLook w:val="04A0"/>
        </w:tblPrEx>
        <w:trPr>
          <w:trHeight w:val="7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地杂波抑制</w:t>
            </w:r>
          </w:p>
        </w:tc>
      </w:tr>
      <w:tr w:rsidTr="00A26C04">
        <w:tblPrEx>
          <w:tblW w:w="5273" w:type="pct"/>
          <w:jc w:val="center"/>
          <w:tblLayout w:type="fixed"/>
          <w:tblLook w:val="04A0"/>
        </w:tblPrEx>
        <w:trPr>
          <w:trHeight w:val="5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距离</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速度退模糊</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双重频（</w:t>
            </w:r>
            <w:r>
              <w:rPr>
                <w:rFonts w:ascii="Times New Roman" w:eastAsia="宋体" w:hAnsi="Times New Roman" w:cs="Times New Roman" w:hint="eastAsia"/>
                <w:sz w:val="20"/>
                <w:szCs w:val="20"/>
              </w:rPr>
              <w:t>DPRF</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57"/>
          <w:jc w:val="center"/>
        </w:trPr>
        <w:tc>
          <w:tcPr>
            <w:tcW w:w="1946" w:type="dxa"/>
            <w:gridSpan w:val="2"/>
            <w:vMerge/>
            <w:tcMar>
              <w:left w:w="0" w:type="dxa"/>
              <w:right w:w="0" w:type="dxa"/>
            </w:tcMar>
            <w:vAlign w:val="center"/>
          </w:tcPr>
          <w:p w:rsidR="00566B78">
            <w:pPr>
              <w:adjustRightInd w:val="0"/>
              <w:textAlignment w:val="baseline"/>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参差重频（</w:t>
            </w:r>
            <w:r>
              <w:rPr>
                <w:rFonts w:ascii="Times New Roman" w:eastAsia="宋体" w:hAnsi="Times New Roman" w:cs="Times New Roman" w:hint="eastAsia"/>
                <w:sz w:val="20"/>
                <w:szCs w:val="20"/>
              </w:rPr>
              <w:t>SPRT</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5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随机相位调制</w:t>
            </w:r>
          </w:p>
        </w:tc>
      </w:tr>
      <w:tr w:rsidTr="00A26C04">
        <w:tblPrEx>
          <w:tblW w:w="5273" w:type="pct"/>
          <w:jc w:val="center"/>
          <w:tblLayout w:type="fixed"/>
          <w:tblLook w:val="04A0"/>
        </w:tblPrEx>
        <w:trPr>
          <w:trHeight w:val="5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系统相位编码</w:t>
            </w:r>
          </w:p>
        </w:tc>
      </w:tr>
      <w:tr w:rsidTr="00A26C04">
        <w:tblPrEx>
          <w:tblW w:w="5273" w:type="pct"/>
          <w:jc w:val="center"/>
          <w:tblLayout w:type="fixed"/>
          <w:tblLook w:val="04A0"/>
        </w:tblPrEx>
        <w:trPr>
          <w:trHeight w:val="5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批处理</w:t>
            </w:r>
          </w:p>
        </w:tc>
      </w:tr>
      <w:tr w:rsidTr="00A26C04">
        <w:tblPrEx>
          <w:tblW w:w="5273" w:type="pct"/>
          <w:jc w:val="center"/>
          <w:tblLayout w:type="fixed"/>
          <w:tblLook w:val="04A0"/>
        </w:tblPrEx>
        <w:trPr>
          <w:trHeight w:val="57"/>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分层处理</w:t>
            </w:r>
          </w:p>
        </w:tc>
      </w:tr>
      <w:tr w:rsidTr="00A26C04">
        <w:tblPrEx>
          <w:tblW w:w="5273" w:type="pct"/>
          <w:jc w:val="center"/>
          <w:tblLayout w:type="fixed"/>
          <w:tblLook w:val="04A0"/>
        </w:tblPrEx>
        <w:trPr>
          <w:trHeight w:val="17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参数估计</w:t>
            </w:r>
          </w:p>
        </w:tc>
        <w:tc>
          <w:tcPr>
            <w:tcW w:w="4206" w:type="dxa"/>
            <w:gridSpan w:val="2"/>
            <w:tcMar>
              <w:left w:w="0" w:type="dxa"/>
              <w:right w:w="0" w:type="dxa"/>
            </w:tcMar>
            <w:vAlign w:val="center"/>
          </w:tcPr>
          <w:p w:rsidR="00566B78">
            <w:r>
              <w:rPr>
                <w:rFonts w:ascii="Times New Roman" w:eastAsia="宋体" w:hAnsi="Times New Roman" w:cs="Times New Roman" w:hint="eastAsia"/>
                <w:sz w:val="20"/>
                <w:szCs w:val="20"/>
              </w:rPr>
              <w:t>常规估计（反射率因子、径向速度、速度谱宽、差分反射率、差分传播相移、相关系数）</w:t>
            </w:r>
          </w:p>
          <w:p w:rsidR="00566B78">
            <w:pPr>
              <w:adjustRightInd w:val="0"/>
              <w:textAlignment w:val="baseline"/>
              <w:rPr>
                <w:rFonts w:ascii="Times New Roman" w:eastAsia="宋体" w:hAnsi="Times New Roman" w:cs="Times New Roman"/>
                <w:sz w:val="20"/>
              </w:rPr>
            </w:pPr>
          </w:p>
        </w:tc>
      </w:tr>
      <w:tr w:rsidTr="00A26C04">
        <w:tblPrEx>
          <w:tblW w:w="5273" w:type="pct"/>
          <w:jc w:val="center"/>
          <w:tblLayout w:type="fixed"/>
          <w:tblLook w:val="04A0"/>
        </w:tblPrEx>
        <w:trPr>
          <w:trHeight w:val="172"/>
          <w:jc w:val="center"/>
        </w:trPr>
        <w:tc>
          <w:tcPr>
            <w:tcW w:w="1946" w:type="dxa"/>
            <w:gridSpan w:val="2"/>
            <w:vMerge/>
            <w:tcMar>
              <w:left w:w="0" w:type="dxa"/>
              <w:right w:w="0" w:type="dxa"/>
            </w:tcMar>
            <w:vAlign w:val="center"/>
          </w:tcPr>
          <w:p w:rsidR="00566B78">
            <w:pPr>
              <w:adjustRightInd w:val="0"/>
              <w:textAlignment w:val="baseline"/>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频域估计（反射率因子、径向速度、速度谱宽、差分反射率、差分传播相移、相关系数）</w:t>
            </w:r>
          </w:p>
        </w:tc>
      </w:tr>
      <w:tr w:rsidTr="00A26C04">
        <w:tblPrEx>
          <w:tblW w:w="5273" w:type="pct"/>
          <w:jc w:val="center"/>
          <w:tblLayout w:type="fixed"/>
          <w:tblLook w:val="04A0"/>
        </w:tblPrEx>
        <w:trPr>
          <w:trHeight w:val="17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多</w:t>
            </w:r>
            <w:r>
              <w:rPr>
                <w:rFonts w:ascii="Times New Roman" w:eastAsia="宋体" w:hAnsi="Times New Roman" w:cs="Times New Roman" w:hint="eastAsia"/>
                <w:sz w:val="20"/>
                <w:szCs w:val="20"/>
              </w:rPr>
              <w:t>阶相关</w:t>
            </w:r>
            <w:r>
              <w:rPr>
                <w:rFonts w:ascii="Times New Roman" w:eastAsia="宋体" w:hAnsi="Times New Roman" w:cs="Times New Roman" w:hint="eastAsia"/>
                <w:sz w:val="20"/>
                <w:szCs w:val="20"/>
              </w:rPr>
              <w:t>估计（反射率因子、径向速度、速度谱宽、差分反射率、差分传播相移、相关系数）</w:t>
            </w:r>
          </w:p>
        </w:tc>
      </w:tr>
      <w:tr w:rsidTr="00A26C04">
        <w:tblPrEx>
          <w:tblW w:w="5273" w:type="pct"/>
          <w:jc w:val="center"/>
          <w:tblLayout w:type="fixed"/>
          <w:tblLook w:val="04A0"/>
        </w:tblPrEx>
        <w:trPr>
          <w:trHeight w:val="172"/>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线性规划估计、最小二乘估计等多种方式（差分传播相移率）</w:t>
            </w:r>
          </w:p>
        </w:tc>
      </w:tr>
      <w:tr w:rsidTr="00A26C04">
        <w:tblPrEx>
          <w:tblW w:w="5273" w:type="pct"/>
          <w:jc w:val="center"/>
          <w:tblLayout w:type="fixed"/>
          <w:tblLook w:val="04A0"/>
        </w:tblPrEx>
        <w:trPr>
          <w:trHeight w:val="11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门限设置</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信号质量指数（</w:t>
            </w:r>
            <w:r>
              <w:rPr>
                <w:rFonts w:ascii="Times New Roman" w:eastAsia="宋体" w:hAnsi="Times New Roman" w:cs="Times New Roman" w:hint="eastAsia"/>
                <w:sz w:val="20"/>
                <w:szCs w:val="20"/>
              </w:rPr>
              <w:t>SQI</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16"/>
          <w:jc w:val="center"/>
        </w:trPr>
        <w:tc>
          <w:tcPr>
            <w:tcW w:w="1946" w:type="dxa"/>
            <w:gridSpan w:val="2"/>
            <w:vMerge/>
            <w:tcMar>
              <w:left w:w="0" w:type="dxa"/>
              <w:right w:w="0" w:type="dxa"/>
            </w:tcMar>
            <w:vAlign w:val="center"/>
          </w:tcPr>
          <w:p w:rsidR="00566B78">
            <w:pPr>
              <w:adjustRightInd w:val="0"/>
              <w:textAlignment w:val="baseline"/>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天气信号强度指数（</w:t>
            </w:r>
            <w:r>
              <w:rPr>
                <w:rFonts w:ascii="Times New Roman" w:eastAsia="宋体" w:hAnsi="Times New Roman" w:cs="Times New Roman" w:hint="eastAsia"/>
                <w:sz w:val="20"/>
                <w:szCs w:val="20"/>
              </w:rPr>
              <w:t>SIG</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1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杂波订正指数（</w:t>
            </w:r>
            <w:r>
              <w:rPr>
                <w:rFonts w:ascii="Times New Roman" w:eastAsia="宋体" w:hAnsi="Times New Roman" w:cs="Times New Roman" w:hint="eastAsia"/>
                <w:sz w:val="20"/>
                <w:szCs w:val="20"/>
              </w:rPr>
              <w:t>CCOR</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1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杂信比</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CSR</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1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信噪比（</w:t>
            </w:r>
            <w:r>
              <w:rPr>
                <w:rFonts w:ascii="Times New Roman" w:eastAsia="宋体" w:hAnsi="Times New Roman" w:cs="Times New Roman" w:hint="eastAsia"/>
                <w:sz w:val="20"/>
                <w:szCs w:val="20"/>
              </w:rPr>
              <w:t>LOG</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16"/>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color w:val="FF0000"/>
                <w:sz w:val="20"/>
              </w:rPr>
            </w:pPr>
          </w:p>
        </w:tc>
        <w:tc>
          <w:tcPr>
            <w:tcW w:w="2618"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偏振</w:t>
            </w:r>
            <w:r>
              <w:rPr>
                <w:rFonts w:ascii="Times New Roman" w:eastAsia="宋体" w:hAnsi="Times New Roman" w:cs="Times New Roman" w:hint="eastAsia"/>
                <w:sz w:val="20"/>
                <w:szCs w:val="20"/>
              </w:rPr>
              <w:t>量信噪比（</w:t>
            </w:r>
            <w:r>
              <w:rPr>
                <w:rFonts w:ascii="Times New Roman" w:eastAsia="宋体" w:hAnsi="Times New Roman" w:cs="Times New Roman" w:hint="eastAsia"/>
                <w:sz w:val="20"/>
                <w:szCs w:val="20"/>
              </w:rPr>
              <w:t>DPLOG</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04"/>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7.</w:t>
            </w:r>
            <w:r>
              <w:rPr>
                <w:rFonts w:ascii="Times New Roman" w:eastAsia="宋体" w:hAnsi="Times New Roman" w:cs="Times New Roman" w:hint="eastAsia"/>
                <w:sz w:val="20"/>
                <w:szCs w:val="20"/>
              </w:rPr>
              <w:t>数字中频单元</w:t>
            </w: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参考时钟</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800MHz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1dBm</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输出中频激励信号</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30MHz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70MHz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0</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5dBm</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输入中频信号</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30MHz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70MHz</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+15dBm</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脉冲压缩主副瓣比</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50dB</w:t>
            </w:r>
            <w:r>
              <w:rPr>
                <w:rFonts w:ascii="Times New Roman" w:eastAsia="宋体" w:hAnsi="Times New Roman" w:cs="Times New Roman" w:hint="eastAsia"/>
                <w:sz w:val="20"/>
                <w:szCs w:val="20"/>
              </w:rPr>
              <w:t>（脉压比≥</w:t>
            </w:r>
            <w:r>
              <w:rPr>
                <w:rFonts w:ascii="Times New Roman" w:eastAsia="宋体" w:hAnsi="Times New Roman" w:cs="Times New Roman" w:hint="eastAsia"/>
                <w:sz w:val="20"/>
                <w:szCs w:val="20"/>
              </w:rPr>
              <w:t>100</w:t>
            </w:r>
            <w:r>
              <w:rPr>
                <w:rFonts w:ascii="Times New Roman" w:eastAsia="宋体" w:hAnsi="Times New Roman" w:cs="Times New Roman" w:hint="eastAsia"/>
                <w:sz w:val="20"/>
                <w:szCs w:val="20"/>
              </w:rPr>
              <w:t>）</w:t>
            </w:r>
          </w:p>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45dB</w:t>
            </w:r>
            <w:r>
              <w:rPr>
                <w:rFonts w:ascii="Times New Roman" w:eastAsia="宋体" w:hAnsi="Times New Roman" w:cs="Times New Roman" w:hint="eastAsia"/>
                <w:sz w:val="20"/>
                <w:szCs w:val="20"/>
              </w:rPr>
              <w:t>（脉压比＜</w:t>
            </w:r>
            <w:r>
              <w:rPr>
                <w:rFonts w:ascii="Times New Roman" w:eastAsia="宋体" w:hAnsi="Times New Roman" w:cs="Times New Roman" w:hint="eastAsia"/>
                <w:sz w:val="20"/>
                <w:szCs w:val="20"/>
              </w:rPr>
              <w:t>100</w:t>
            </w:r>
            <w:r>
              <w:rPr>
                <w:rFonts w:ascii="Times New Roman" w:eastAsia="宋体" w:hAnsi="Times New Roman" w:cs="Times New Roman" w:hint="eastAsia"/>
                <w:sz w:val="20"/>
                <w:szCs w:val="20"/>
              </w:rPr>
              <w:t>）</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距离库长</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75m</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距离库数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2000</w:t>
            </w:r>
            <w:r>
              <w:rPr>
                <w:rFonts w:ascii="Times New Roman" w:eastAsia="宋体" w:hAnsi="Times New Roman" w:cs="Times New Roman" w:hint="eastAsia"/>
                <w:sz w:val="20"/>
                <w:szCs w:val="20"/>
              </w:rPr>
              <w:t>个</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相关系数处理方式</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一</w:t>
            </w:r>
            <w:r>
              <w:rPr>
                <w:rFonts w:ascii="Times New Roman" w:eastAsia="宋体" w:hAnsi="Times New Roman" w:cs="Times New Roman" w:hint="eastAsia"/>
                <w:sz w:val="20"/>
                <w:szCs w:val="20"/>
              </w:rPr>
              <w:t>阶相关</w:t>
            </w:r>
            <w:r>
              <w:rPr>
                <w:rFonts w:ascii="Times New Roman" w:eastAsia="宋体" w:hAnsi="Times New Roman" w:cs="Times New Roman" w:hint="eastAsia"/>
                <w:sz w:val="20"/>
                <w:szCs w:val="20"/>
              </w:rPr>
              <w:t>或多</w:t>
            </w:r>
            <w:r>
              <w:rPr>
                <w:rFonts w:ascii="Times New Roman" w:eastAsia="宋体" w:hAnsi="Times New Roman" w:cs="Times New Roman" w:hint="eastAsia"/>
                <w:sz w:val="20"/>
                <w:szCs w:val="20"/>
              </w:rPr>
              <w:t>阶相关</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处理对数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16</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32</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64</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128</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256</w:t>
            </w:r>
            <w:r>
              <w:rPr>
                <w:rFonts w:ascii="Times New Roman" w:eastAsia="宋体" w:hAnsi="Times New Roman" w:cs="Times New Roman" w:hint="eastAsia"/>
                <w:sz w:val="20"/>
                <w:szCs w:val="20"/>
              </w:rPr>
              <w:t>等可选</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支持脉冲数</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同一发射周期内最大支持</w:t>
            </w:r>
            <w:r>
              <w:rPr>
                <w:rFonts w:ascii="Times New Roman" w:eastAsia="宋体" w:hAnsi="Times New Roman" w:cs="Times New Roman" w:hint="eastAsia"/>
                <w:sz w:val="20"/>
                <w:szCs w:val="20"/>
              </w:rPr>
              <w:t>3</w:t>
            </w:r>
            <w:r>
              <w:rPr>
                <w:rFonts w:ascii="Times New Roman" w:eastAsia="宋体" w:hAnsi="Times New Roman" w:cs="Times New Roman" w:hint="eastAsia"/>
                <w:sz w:val="20"/>
                <w:szCs w:val="20"/>
              </w:rPr>
              <w:t>种脉冲宽度拼接补盲，可选脉冲宽度支持</w:t>
            </w:r>
            <w:r>
              <w:rPr>
                <w:rFonts w:ascii="Times New Roman" w:eastAsia="宋体" w:hAnsi="Times New Roman" w:cs="Times New Roman" w:hint="eastAsia"/>
                <w:sz w:val="20"/>
                <w:szCs w:val="20"/>
              </w:rPr>
              <w:t>0.5</w:t>
            </w:r>
            <w:r>
              <w:rPr>
                <w:rFonts w:ascii="Times New Roman" w:eastAsia="宋体" w:hAnsi="Times New Roman" w:cs="Times New Roman" w:hint="eastAsia"/>
                <w:sz w:val="20"/>
                <w:szCs w:val="20"/>
              </w:rPr>
              <w:t>μ</w:t>
            </w:r>
            <w:r>
              <w:rPr>
                <w:rFonts w:ascii="Times New Roman" w:eastAsia="宋体" w:hAnsi="Times New Roman" w:cs="Times New Roman" w:hint="eastAsia"/>
                <w:sz w:val="20"/>
                <w:szCs w:val="20"/>
              </w:rPr>
              <w:t>s</w:t>
            </w: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200</w:t>
            </w:r>
            <w:r>
              <w:rPr>
                <w:rFonts w:ascii="Times New Roman" w:eastAsia="宋体" w:hAnsi="Times New Roman" w:cs="Times New Roman" w:hint="eastAsia"/>
                <w:sz w:val="20"/>
                <w:szCs w:val="20"/>
              </w:rPr>
              <w:t>μ</w:t>
            </w:r>
            <w:r>
              <w:rPr>
                <w:rFonts w:ascii="Times New Roman" w:eastAsia="宋体" w:hAnsi="Times New Roman" w:cs="Times New Roman" w:hint="eastAsia"/>
                <w:sz w:val="20"/>
                <w:szCs w:val="20"/>
              </w:rPr>
              <w:t>s</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距离退模糊方法</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相位编码或其它等效方法</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速度退模糊方法</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双重频或其它等效方法</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故障检测和保护</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IQ</w:t>
            </w:r>
            <w:r>
              <w:rPr>
                <w:rFonts w:ascii="Times New Roman" w:eastAsia="宋体" w:hAnsi="Times New Roman" w:cs="Times New Roman" w:hint="eastAsia"/>
                <w:sz w:val="20"/>
                <w:szCs w:val="20"/>
              </w:rPr>
              <w:t>数据、数据丢包、参数输出等故障</w:t>
            </w:r>
          </w:p>
        </w:tc>
      </w:tr>
      <w:tr w:rsidTr="00A26C04">
        <w:tblPrEx>
          <w:tblW w:w="5273" w:type="pct"/>
          <w:jc w:val="center"/>
          <w:tblLayout w:type="fixed"/>
          <w:tblLook w:val="04A0"/>
        </w:tblPrEx>
        <w:trPr>
          <w:trHeight w:val="104"/>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rPr>
            </w:pPr>
          </w:p>
        </w:tc>
        <w:tc>
          <w:tcPr>
            <w:tcW w:w="2618"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其它</w:t>
            </w:r>
          </w:p>
        </w:tc>
        <w:tc>
          <w:tcPr>
            <w:tcW w:w="4206" w:type="dxa"/>
            <w:gridSpan w:val="2"/>
            <w:tcMar>
              <w:left w:w="0" w:type="dxa"/>
              <w:right w:w="0" w:type="dxa"/>
            </w:tcMar>
            <w:vAlign w:val="center"/>
          </w:tcPr>
          <w:p w:rsidR="00566B78">
            <w:pPr>
              <w:adjustRightInd w:val="0"/>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具有与信号带宽相匹配的数字下变频滤波处理和</w:t>
            </w:r>
            <w:r>
              <w:rPr>
                <w:rFonts w:ascii="Times New Roman" w:eastAsia="宋体" w:hAnsi="Times New Roman" w:cs="Times New Roman" w:hint="eastAsia"/>
                <w:sz w:val="20"/>
                <w:szCs w:val="20"/>
              </w:rPr>
              <w:t>NLFM</w:t>
            </w:r>
            <w:r>
              <w:rPr>
                <w:rFonts w:ascii="Times New Roman" w:eastAsia="宋体" w:hAnsi="Times New Roman" w:cs="Times New Roman" w:hint="eastAsia"/>
                <w:sz w:val="20"/>
                <w:szCs w:val="20"/>
              </w:rPr>
              <w:t>信号的脉冲压缩运算能力</w:t>
            </w:r>
          </w:p>
        </w:tc>
      </w:tr>
      <w:tr w:rsidTr="00A26C04">
        <w:tblPrEx>
          <w:tblW w:w="5273" w:type="pct"/>
          <w:jc w:val="center"/>
          <w:tblLayout w:type="fixed"/>
          <w:tblLook w:val="04A0"/>
        </w:tblPrEx>
        <w:trPr>
          <w:trHeight w:val="78"/>
          <w:jc w:val="center"/>
        </w:trPr>
        <w:tc>
          <w:tcPr>
            <w:tcW w:w="1946" w:type="dxa"/>
            <w:gridSpan w:val="2"/>
            <w:vMerge w:val="restart"/>
            <w:tcMar>
              <w:left w:w="0" w:type="dxa"/>
              <w:right w:w="0" w:type="dxa"/>
            </w:tcMar>
            <w:vAlign w:val="center"/>
          </w:tcPr>
          <w:p w:rsidR="00566B78">
            <w:pPr>
              <w:adjustRightInd w:val="0"/>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8.</w:t>
            </w:r>
            <w:r>
              <w:rPr>
                <w:rFonts w:ascii="Times New Roman" w:eastAsia="宋体" w:hAnsi="Times New Roman" w:cs="Times New Roman" w:hint="eastAsia"/>
                <w:sz w:val="20"/>
                <w:szCs w:val="20"/>
              </w:rPr>
              <w:t>雷达终端配置</w:t>
            </w: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CPU</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b/>
                <w:bCs/>
                <w:sz w:val="20"/>
                <w:szCs w:val="20"/>
              </w:rPr>
            </w:pPr>
            <w:r>
              <w:rPr>
                <w:rFonts w:ascii="Times New Roman" w:eastAsia="宋体" w:hAnsi="Times New Roman" w:cs="Times New Roman" w:hint="eastAsia"/>
                <w:sz w:val="20"/>
                <w:szCs w:val="20"/>
              </w:rPr>
              <w:t>不少于</w:t>
            </w:r>
            <w:r>
              <w:rPr>
                <w:rFonts w:ascii="Times New Roman" w:eastAsia="宋体" w:hAnsi="Times New Roman" w:cs="Times New Roman" w:hint="eastAsia"/>
                <w:sz w:val="20"/>
                <w:szCs w:val="20"/>
              </w:rPr>
              <w:t>8</w:t>
            </w:r>
            <w:r>
              <w:rPr>
                <w:rFonts w:ascii="Times New Roman" w:eastAsia="宋体" w:hAnsi="Times New Roman" w:cs="Times New Roman" w:hint="eastAsia"/>
                <w:sz w:val="20"/>
                <w:szCs w:val="20"/>
              </w:rPr>
              <w:t>核</w:t>
            </w:r>
            <w:r>
              <w:rPr>
                <w:rFonts w:ascii="Times New Roman" w:eastAsia="宋体" w:hAnsi="Times New Roman" w:cs="Times New Roman" w:hint="eastAsia"/>
                <w:sz w:val="20"/>
                <w:szCs w:val="20"/>
              </w:rPr>
              <w:t>16</w:t>
            </w:r>
            <w:r>
              <w:rPr>
                <w:rFonts w:ascii="Times New Roman" w:eastAsia="宋体" w:hAnsi="Times New Roman" w:cs="Times New Roman" w:hint="eastAsia"/>
                <w:sz w:val="20"/>
                <w:szCs w:val="20"/>
              </w:rPr>
              <w:t>线程，频率不低于</w:t>
            </w:r>
            <w:r>
              <w:rPr>
                <w:rFonts w:ascii="Times New Roman" w:eastAsia="宋体" w:hAnsi="Times New Roman" w:cs="Times New Roman" w:hint="eastAsia"/>
                <w:sz w:val="20"/>
                <w:szCs w:val="20"/>
              </w:rPr>
              <w:t>2.8GHz</w:t>
            </w:r>
          </w:p>
        </w:tc>
      </w:tr>
      <w:tr w:rsidTr="00A26C04">
        <w:tblPrEx>
          <w:tblW w:w="5273" w:type="pct"/>
          <w:jc w:val="center"/>
          <w:tblLayout w:type="fixed"/>
          <w:tblLook w:val="04A0"/>
        </w:tblPrEx>
        <w:trPr>
          <w:trHeight w:val="78"/>
          <w:jc w:val="center"/>
        </w:trPr>
        <w:tc>
          <w:tcPr>
            <w:tcW w:w="1946" w:type="dxa"/>
            <w:gridSpan w:val="2"/>
            <w:vMerge/>
            <w:tcMar>
              <w:left w:w="0" w:type="dxa"/>
              <w:right w:w="0" w:type="dxa"/>
            </w:tcMar>
            <w:vAlign w:val="center"/>
          </w:tcPr>
          <w:p w:rsidR="00566B78">
            <w:pPr>
              <w:adjustRightInd w:val="0"/>
              <w:textAlignment w:val="baseline"/>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内存</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b/>
                <w:bCs/>
                <w:sz w:val="20"/>
                <w:szCs w:val="20"/>
              </w:rPr>
            </w:pPr>
            <w:r>
              <w:rPr>
                <w:rFonts w:ascii="Times New Roman" w:eastAsia="宋体" w:hAnsi="Times New Roman" w:cs="Times New Roman" w:hint="eastAsia"/>
                <w:sz w:val="20"/>
                <w:szCs w:val="20"/>
              </w:rPr>
              <w:t>不低于</w:t>
            </w:r>
            <w:r>
              <w:rPr>
                <w:rFonts w:ascii="Times New Roman" w:eastAsia="宋体" w:hAnsi="Times New Roman" w:cs="Times New Roman" w:hint="eastAsia"/>
                <w:sz w:val="20"/>
                <w:szCs w:val="20"/>
              </w:rPr>
              <w:t>16GB</w:t>
            </w:r>
            <w:r>
              <w:rPr>
                <w:rFonts w:ascii="Times New Roman" w:eastAsia="宋体" w:hAnsi="Times New Roman" w:cs="Times New Roman" w:hint="eastAsia"/>
                <w:sz w:val="20"/>
                <w:szCs w:val="20"/>
              </w:rPr>
              <w:t>，不低于</w:t>
            </w:r>
            <w:r>
              <w:rPr>
                <w:rFonts w:ascii="Times New Roman" w:eastAsia="宋体" w:hAnsi="Times New Roman" w:cs="Times New Roman" w:hint="eastAsia"/>
                <w:sz w:val="20"/>
                <w:szCs w:val="20"/>
              </w:rPr>
              <w:t>DDR4</w:t>
            </w:r>
          </w:p>
        </w:tc>
      </w:tr>
      <w:tr w:rsidTr="00A26C04">
        <w:tblPrEx>
          <w:tblW w:w="5273" w:type="pct"/>
          <w:jc w:val="center"/>
          <w:tblLayout w:type="fixed"/>
          <w:tblLook w:val="04A0"/>
        </w:tblPrEx>
        <w:trPr>
          <w:trHeight w:val="7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szCs w:val="20"/>
              </w:rPr>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固态硬盘</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b/>
                <w:bCs/>
                <w:sz w:val="20"/>
                <w:szCs w:val="20"/>
              </w:rPr>
            </w:pPr>
            <w:r>
              <w:rPr>
                <w:rFonts w:ascii="Times New Roman" w:eastAsia="宋体" w:hAnsi="Times New Roman" w:cs="Times New Roman" w:hint="eastAsia"/>
                <w:sz w:val="20"/>
                <w:szCs w:val="20"/>
              </w:rPr>
              <w:t>NVME</w:t>
            </w:r>
            <w:r>
              <w:rPr>
                <w:rFonts w:ascii="Times New Roman" w:eastAsia="宋体" w:hAnsi="Times New Roman" w:cs="Times New Roman" w:hint="eastAsia"/>
                <w:sz w:val="20"/>
                <w:szCs w:val="20"/>
              </w:rPr>
              <w:t>协议，不低于</w:t>
            </w:r>
            <w:r>
              <w:rPr>
                <w:rFonts w:ascii="Times New Roman" w:eastAsia="宋体" w:hAnsi="Times New Roman" w:cs="Times New Roman" w:hint="eastAsia"/>
                <w:sz w:val="20"/>
                <w:szCs w:val="20"/>
              </w:rPr>
              <w:t>4TB</w:t>
            </w:r>
          </w:p>
        </w:tc>
      </w:tr>
      <w:tr w:rsidTr="00A26C04">
        <w:tblPrEx>
          <w:tblW w:w="5273" w:type="pct"/>
          <w:jc w:val="center"/>
          <w:tblLayout w:type="fixed"/>
          <w:tblLook w:val="04A0"/>
        </w:tblPrEx>
        <w:trPr>
          <w:trHeight w:val="78"/>
          <w:jc w:val="center"/>
        </w:trPr>
        <w:tc>
          <w:tcPr>
            <w:tcW w:w="1946" w:type="dxa"/>
            <w:gridSpan w:val="2"/>
            <w:vMerge/>
            <w:tcMar>
              <w:left w:w="0" w:type="dxa"/>
              <w:right w:w="0" w:type="dxa"/>
            </w:tcMar>
            <w:vAlign w:val="center"/>
          </w:tcPr>
          <w:p w:rsidR="00566B78">
            <w:pPr>
              <w:adjustRightInd w:val="0"/>
              <w:textAlignment w:val="baseline"/>
              <w:rPr>
                <w:rFonts w:ascii="Times New Roman" w:eastAsia="宋体" w:hAnsi="Times New Roman" w:cs="Times New Roman"/>
                <w:sz w:val="20"/>
                <w:szCs w:val="20"/>
              </w:rPr>
            </w:pPr>
          </w:p>
        </w:tc>
        <w:tc>
          <w:tcPr>
            <w:tcW w:w="2618"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操作系统</w:t>
            </w:r>
          </w:p>
        </w:tc>
        <w:tc>
          <w:tcPr>
            <w:tcW w:w="4206" w:type="dxa"/>
            <w:gridSpan w:val="2"/>
            <w:tcMar>
              <w:left w:w="0" w:type="dxa"/>
              <w:right w:w="0" w:type="dxa"/>
            </w:tcMar>
            <w:vAlign w:val="center"/>
          </w:tcPr>
          <w:p w:rsidR="00566B78">
            <w:pPr>
              <w:widowControl/>
              <w:adjustRightInd w:val="0"/>
              <w:jc w:val="left"/>
              <w:textAlignment w:val="baseline"/>
              <w:rPr>
                <w:rFonts w:ascii="Times New Roman" w:eastAsia="宋体" w:hAnsi="Times New Roman" w:cs="Times New Roman"/>
                <w:b/>
                <w:bCs/>
                <w:sz w:val="20"/>
                <w:szCs w:val="20"/>
              </w:rPr>
            </w:pPr>
            <w:r>
              <w:rPr>
                <w:rFonts w:ascii="Times New Roman" w:eastAsia="宋体" w:hAnsi="Times New Roman" w:cs="Times New Roman" w:hint="eastAsia"/>
                <w:sz w:val="20"/>
                <w:szCs w:val="20"/>
              </w:rPr>
              <w:t>国产信创系统</w:t>
            </w:r>
          </w:p>
        </w:tc>
      </w:tr>
      <w:tr w:rsidTr="00A26C04">
        <w:tblPrEx>
          <w:tblW w:w="5273" w:type="pct"/>
          <w:jc w:val="center"/>
          <w:tblLayout w:type="fixed"/>
          <w:tblLook w:val="04A0"/>
        </w:tblPrEx>
        <w:trPr>
          <w:trHeight w:val="167"/>
          <w:jc w:val="center"/>
        </w:trPr>
        <w:tc>
          <w:tcPr>
            <w:tcW w:w="1396" w:type="dxa"/>
            <w:vMerge w:val="restart"/>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szCs w:val="20"/>
              </w:rPr>
              <w:t>9.</w:t>
            </w:r>
            <w:r>
              <w:rPr>
                <w:rFonts w:ascii="Times New Roman" w:eastAsia="宋体" w:hAnsi="Times New Roman" w:cs="Times New Roman" w:hint="eastAsia"/>
                <w:sz w:val="20"/>
                <w:szCs w:val="20"/>
              </w:rPr>
              <w:t>气象产品要求</w:t>
            </w:r>
          </w:p>
          <w:p w:rsidR="00566B78">
            <w:pPr>
              <w:widowControl/>
              <w:adjustRightInd w:val="0"/>
              <w:jc w:val="left"/>
              <w:textAlignment w:val="baseline"/>
              <w:rPr>
                <w:rFonts w:ascii="Times New Roman" w:eastAsia="宋体" w:hAnsi="Times New Roman" w:cs="Times New Roman"/>
                <w:sz w:val="20"/>
                <w:szCs w:val="20"/>
              </w:rPr>
            </w:pPr>
          </w:p>
        </w:tc>
        <w:tc>
          <w:tcPr>
            <w:tcW w:w="3168" w:type="dxa"/>
            <w:gridSpan w:val="3"/>
            <w:vMerge w:val="restart"/>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r>
              <w:rPr>
                <w:rFonts w:ascii="Times New Roman" w:eastAsia="宋体" w:hAnsi="Times New Roman" w:cs="Times New Roman" w:hint="eastAsia"/>
                <w:sz w:val="20"/>
              </w:rPr>
              <w:t>数据质量控制</w:t>
            </w:r>
            <w:r>
              <w:rPr>
                <w:rFonts w:ascii="Times New Roman" w:eastAsia="宋体" w:hAnsi="Times New Roman" w:cs="Times New Roman" w:hint="eastAsia"/>
                <w:sz w:val="20"/>
              </w:rPr>
              <w:t>算法列表</w:t>
            </w:r>
          </w:p>
          <w:p w:rsidR="00566B78">
            <w:pPr>
              <w:widowControl/>
              <w:adjustRightInd w:val="0"/>
              <w:jc w:val="left"/>
              <w:textAlignment w:val="baseline"/>
              <w:rPr>
                <w:rFonts w:ascii="Times New Roman" w:eastAsia="宋体" w:hAnsi="Times New Roman" w:cs="Times New Roman"/>
                <w:sz w:val="20"/>
                <w:szCs w:val="20"/>
              </w:rPr>
            </w:pPr>
          </w:p>
        </w:tc>
        <w:tc>
          <w:tcPr>
            <w:tcW w:w="1791"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反射率因子衰减订正</w:t>
            </w:r>
          </w:p>
        </w:tc>
        <w:tc>
          <w:tcPr>
            <w:tcW w:w="2415"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衰减订正后，与相邻</w:t>
            </w:r>
            <w:r>
              <w:rPr>
                <w:rFonts w:ascii="Times New Roman" w:eastAsia="宋体" w:hAnsi="Times New Roman" w:cs="Times New Roman" w:hint="eastAsia"/>
                <w:sz w:val="20"/>
                <w:szCs w:val="20"/>
              </w:rPr>
              <w:t>S</w:t>
            </w:r>
            <w:r>
              <w:rPr>
                <w:rFonts w:ascii="Times New Roman" w:eastAsia="宋体" w:hAnsi="Times New Roman" w:cs="Times New Roman" w:hint="eastAsia"/>
                <w:sz w:val="20"/>
                <w:szCs w:val="20"/>
              </w:rPr>
              <w:t>波段雷达相比平均偏差≤</w:t>
            </w:r>
            <w:r>
              <w:rPr>
                <w:rFonts w:ascii="Times New Roman" w:eastAsia="宋体" w:hAnsi="Times New Roman" w:cs="Times New Roman" w:hint="eastAsia"/>
                <w:sz w:val="20"/>
                <w:szCs w:val="20"/>
              </w:rPr>
              <w:t>3.0dB</w:t>
            </w:r>
          </w:p>
        </w:tc>
      </w:tr>
      <w:tr w:rsidTr="00A26C04">
        <w:tblPrEx>
          <w:tblW w:w="5273" w:type="pct"/>
          <w:jc w:val="center"/>
          <w:tblLayout w:type="fixed"/>
          <w:tblLook w:val="04A0"/>
        </w:tblPrEx>
        <w:trPr>
          <w:trHeight w:val="167"/>
          <w:jc w:val="center"/>
        </w:trPr>
        <w:tc>
          <w:tcPr>
            <w:tcW w:w="1396" w:type="dxa"/>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3168" w:type="dxa"/>
            <w:gridSpan w:val="3"/>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rPr>
            </w:pPr>
          </w:p>
        </w:tc>
        <w:tc>
          <w:tcPr>
            <w:tcW w:w="1791"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差分反射率衰减订正</w:t>
            </w:r>
          </w:p>
        </w:tc>
        <w:tc>
          <w:tcPr>
            <w:tcW w:w="2415"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衰减订正后，与相邻</w:t>
            </w:r>
            <w:r>
              <w:rPr>
                <w:rFonts w:ascii="Times New Roman" w:eastAsia="宋体" w:hAnsi="Times New Roman" w:cs="Times New Roman" w:hint="eastAsia"/>
                <w:sz w:val="20"/>
                <w:szCs w:val="20"/>
              </w:rPr>
              <w:t>S</w:t>
            </w:r>
            <w:r>
              <w:rPr>
                <w:rFonts w:ascii="Times New Roman" w:eastAsia="宋体" w:hAnsi="Times New Roman" w:cs="Times New Roman" w:hint="eastAsia"/>
                <w:sz w:val="20"/>
                <w:szCs w:val="20"/>
              </w:rPr>
              <w:t>波段雷达相比平均偏差≤</w:t>
            </w:r>
            <w:r>
              <w:rPr>
                <w:rFonts w:ascii="Times New Roman" w:eastAsia="宋体" w:hAnsi="Times New Roman" w:cs="Times New Roman" w:hint="eastAsia"/>
                <w:sz w:val="20"/>
                <w:szCs w:val="20"/>
              </w:rPr>
              <w:t>0.6dB</w:t>
            </w:r>
          </w:p>
        </w:tc>
      </w:tr>
      <w:tr w:rsidTr="00A26C04">
        <w:tblPrEx>
          <w:tblW w:w="5273" w:type="pct"/>
          <w:jc w:val="center"/>
          <w:tblLayout w:type="fixed"/>
          <w:tblLook w:val="04A0"/>
        </w:tblPrEx>
        <w:trPr>
          <w:trHeight w:val="167"/>
          <w:jc w:val="center"/>
        </w:trPr>
        <w:tc>
          <w:tcPr>
            <w:tcW w:w="1396" w:type="dxa"/>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p>
        </w:tc>
        <w:tc>
          <w:tcPr>
            <w:tcW w:w="3168" w:type="dxa"/>
            <w:gridSpan w:val="3"/>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地物杂波消除</w:t>
            </w:r>
          </w:p>
        </w:tc>
        <w:tc>
          <w:tcPr>
            <w:tcW w:w="2415"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非降水回波识别准确率≥</w:t>
            </w:r>
            <w:r>
              <w:rPr>
                <w:rFonts w:ascii="Times New Roman" w:eastAsia="宋体" w:hAnsi="Times New Roman" w:cs="Times New Roman" w:hint="eastAsia"/>
                <w:sz w:val="20"/>
                <w:szCs w:val="20"/>
              </w:rPr>
              <w:t>88%</w:t>
            </w:r>
            <w:r>
              <w:rPr>
                <w:rFonts w:ascii="Times New Roman" w:eastAsia="宋体" w:hAnsi="Times New Roman" w:cs="Times New Roman" w:hint="eastAsia"/>
                <w:sz w:val="20"/>
                <w:szCs w:val="20"/>
              </w:rPr>
              <w:t>，且降水回波误判率≤</w:t>
            </w:r>
            <w:r>
              <w:rPr>
                <w:rFonts w:ascii="Times New Roman" w:eastAsia="宋体" w:hAnsi="Times New Roman" w:cs="Times New Roman" w:hint="eastAsia"/>
                <w:sz w:val="20"/>
                <w:szCs w:val="20"/>
              </w:rPr>
              <w:t>5%</w:t>
            </w:r>
          </w:p>
        </w:tc>
      </w:tr>
      <w:tr w:rsidTr="00A26C04">
        <w:tblPrEx>
          <w:tblW w:w="5273" w:type="pct"/>
          <w:jc w:val="center"/>
          <w:tblLayout w:type="fixed"/>
          <w:tblLook w:val="04A0"/>
        </w:tblPrEx>
        <w:trPr>
          <w:trHeight w:val="167"/>
          <w:jc w:val="center"/>
        </w:trPr>
        <w:tc>
          <w:tcPr>
            <w:tcW w:w="1396" w:type="dxa"/>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p>
        </w:tc>
        <w:tc>
          <w:tcPr>
            <w:tcW w:w="3168" w:type="dxa"/>
            <w:gridSpan w:val="3"/>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径向干扰消除</w:t>
            </w:r>
          </w:p>
        </w:tc>
        <w:tc>
          <w:tcPr>
            <w:tcW w:w="2415"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径向干扰识别准确率≥</w:t>
            </w:r>
            <w:r>
              <w:rPr>
                <w:rFonts w:ascii="Times New Roman" w:eastAsia="宋体" w:hAnsi="Times New Roman" w:cs="Times New Roman" w:hint="eastAsia"/>
                <w:sz w:val="20"/>
                <w:szCs w:val="20"/>
              </w:rPr>
              <w:t>90%</w:t>
            </w:r>
            <w:r>
              <w:rPr>
                <w:rFonts w:ascii="Times New Roman" w:eastAsia="宋体" w:hAnsi="Times New Roman" w:cs="Times New Roman" w:hint="eastAsia"/>
                <w:sz w:val="20"/>
                <w:szCs w:val="20"/>
              </w:rPr>
              <w:t>，且降水回波误判率≤</w:t>
            </w:r>
            <w:r>
              <w:rPr>
                <w:rFonts w:ascii="Times New Roman" w:eastAsia="宋体" w:hAnsi="Times New Roman" w:cs="Times New Roman" w:hint="eastAsia"/>
                <w:sz w:val="20"/>
                <w:szCs w:val="20"/>
              </w:rPr>
              <w:t>5%</w:t>
            </w:r>
          </w:p>
        </w:tc>
      </w:tr>
      <w:tr w:rsidTr="00A26C04">
        <w:tblPrEx>
          <w:tblW w:w="5273" w:type="pct"/>
          <w:jc w:val="center"/>
          <w:tblLayout w:type="fixed"/>
          <w:tblLook w:val="04A0"/>
        </w:tblPrEx>
        <w:trPr>
          <w:trHeight w:val="167"/>
          <w:jc w:val="center"/>
        </w:trPr>
        <w:tc>
          <w:tcPr>
            <w:tcW w:w="1396" w:type="dxa"/>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p>
        </w:tc>
        <w:tc>
          <w:tcPr>
            <w:tcW w:w="3168" w:type="dxa"/>
            <w:gridSpan w:val="3"/>
            <w:vMerge/>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晴空回波消除</w:t>
            </w:r>
          </w:p>
        </w:tc>
        <w:tc>
          <w:tcPr>
            <w:tcW w:w="2415" w:type="dxa"/>
            <w:tcMar>
              <w:left w:w="0" w:type="dxa"/>
              <w:right w:w="0" w:type="dxa"/>
            </w:tcMar>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非降水回波识别准确率≥</w:t>
            </w:r>
            <w:r>
              <w:rPr>
                <w:rFonts w:ascii="Times New Roman" w:eastAsia="宋体" w:hAnsi="Times New Roman" w:cs="Times New Roman" w:hint="eastAsia"/>
                <w:sz w:val="20"/>
                <w:szCs w:val="20"/>
              </w:rPr>
              <w:t>88%</w:t>
            </w:r>
            <w:r>
              <w:rPr>
                <w:rFonts w:ascii="Times New Roman" w:eastAsia="宋体" w:hAnsi="Times New Roman" w:cs="Times New Roman" w:hint="eastAsia"/>
                <w:sz w:val="20"/>
                <w:szCs w:val="20"/>
              </w:rPr>
              <w:t>，且降水回波误判率≤</w:t>
            </w:r>
            <w:r>
              <w:rPr>
                <w:rFonts w:ascii="Times New Roman" w:eastAsia="宋体" w:hAnsi="Times New Roman" w:cs="Times New Roman" w:hint="eastAsia"/>
                <w:sz w:val="20"/>
                <w:szCs w:val="20"/>
              </w:rPr>
              <w:t>5%</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val="restart"/>
          </w:tcPr>
          <w:p w:rsidR="00566B78">
            <w:pPr>
              <w:widowControl/>
              <w:adjustRightInd w:val="0"/>
              <w:jc w:val="left"/>
              <w:textAlignment w:val="baseline"/>
              <w:rPr>
                <w:rFonts w:ascii="Times New Roman" w:eastAsia="宋体" w:hAnsi="Times New Roman" w:cs="Times New Roman"/>
                <w:sz w:val="20"/>
                <w:szCs w:val="20"/>
              </w:rPr>
            </w:pPr>
          </w:p>
          <w:p w:rsidR="00566B78">
            <w:pPr>
              <w:widowControl/>
              <w:adjustRightInd w:val="0"/>
              <w:jc w:val="left"/>
              <w:textAlignment w:val="baseline"/>
              <w:rPr>
                <w:rFonts w:ascii="Times New Roman" w:eastAsia="宋体" w:hAnsi="Times New Roman" w:cs="Times New Roman"/>
                <w:sz w:val="20"/>
                <w:szCs w:val="20"/>
              </w:rPr>
            </w:pPr>
          </w:p>
          <w:p w:rsidR="00566B78">
            <w:pPr>
              <w:widowControl/>
              <w:adjustRightInd w:val="0"/>
              <w:jc w:val="left"/>
              <w:textAlignment w:val="baseline"/>
              <w:rPr>
                <w:rFonts w:ascii="Times New Roman" w:eastAsia="宋体" w:hAnsi="Times New Roman" w:cs="Times New Roman"/>
                <w:sz w:val="20"/>
                <w:szCs w:val="20"/>
              </w:rPr>
            </w:pPr>
          </w:p>
          <w:p w:rsidR="00566B78">
            <w:pPr>
              <w:widowControl/>
              <w:adjustRightInd w:val="0"/>
              <w:jc w:val="left"/>
              <w:textAlignment w:val="baseline"/>
              <w:rPr>
                <w:rFonts w:ascii="Times New Roman" w:eastAsia="宋体" w:hAnsi="Times New Roman" w:cs="Times New Roman"/>
                <w:sz w:val="20"/>
                <w:szCs w:val="20"/>
              </w:rPr>
            </w:pPr>
          </w:p>
          <w:p w:rsidR="00566B78">
            <w:pPr>
              <w:widowControl/>
              <w:adjustRightInd w:val="0"/>
              <w:jc w:val="left"/>
              <w:textAlignment w:val="baseline"/>
              <w:rPr>
                <w:rFonts w:ascii="Times New Roman" w:eastAsia="宋体" w:hAnsi="Times New Roman" w:cs="Times New Roman"/>
                <w:sz w:val="20"/>
                <w:szCs w:val="20"/>
              </w:rPr>
            </w:pPr>
          </w:p>
          <w:p w:rsidR="00566B78">
            <w:pPr>
              <w:widowControl/>
              <w:adjustRightInd w:val="0"/>
              <w:jc w:val="left"/>
              <w:textAlignment w:val="baseline"/>
              <w:rPr>
                <w:rFonts w:ascii="Times New Roman" w:eastAsia="宋体" w:hAnsi="Times New Roman" w:cs="Times New Roman"/>
                <w:sz w:val="20"/>
                <w:szCs w:val="20"/>
              </w:rPr>
            </w:pP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基本产品列表</w:t>
            </w:r>
          </w:p>
        </w:tc>
        <w:tc>
          <w:tcPr>
            <w:tcW w:w="1581" w:type="dxa"/>
            <w:vMerge w:val="restart"/>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基础量</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种）</w:t>
            </w: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滤波前反射率</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TR</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滤波后反射率</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R</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径向速度</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V</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速度谱宽</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SW</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差分反射率</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ZDR</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差分传播相移</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PDP</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差分传播相移率</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KDP</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相关系数</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CC</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水平通道信噪比</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SNRH</w:t>
            </w:r>
          </w:p>
        </w:tc>
      </w:tr>
      <w:tr w:rsidTr="00A26C04">
        <w:tblPrEx>
          <w:tblW w:w="5273" w:type="pct"/>
          <w:jc w:val="center"/>
          <w:tblLayout w:type="fixed"/>
          <w:tblLook w:val="04A0"/>
        </w:tblPrEx>
        <w:trPr>
          <w:trHeight w:val="61"/>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垂直通道信噪比</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SNRV</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restart"/>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物理量</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种）</w:t>
            </w: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组合反射率</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CR</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垂直积分液态水</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VIL</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回波顶高</w:t>
            </w:r>
          </w:p>
        </w:tc>
        <w:tc>
          <w:tcPr>
            <w:tcW w:w="2415" w:type="dxa"/>
            <w:vAlign w:val="bottom"/>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ET</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反射率等高平面位置显示</w:t>
            </w:r>
          </w:p>
        </w:tc>
        <w:tc>
          <w:tcPr>
            <w:tcW w:w="2415" w:type="dxa"/>
            <w:vAlign w:val="bottom"/>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CAP</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速度方位显示</w:t>
            </w:r>
          </w:p>
        </w:tc>
        <w:tc>
          <w:tcPr>
            <w:tcW w:w="2415" w:type="dxa"/>
            <w:vAlign w:val="bottom"/>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VAD</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速度方位显示风廓线</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VWP</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w:t>
            </w:r>
            <w:r>
              <w:rPr>
                <w:rFonts w:ascii="Times New Roman" w:eastAsia="宋体" w:hAnsi="Times New Roman" w:cs="Times New Roman" w:hint="eastAsia"/>
                <w:sz w:val="20"/>
                <w:szCs w:val="20"/>
              </w:rPr>
              <w:t>小时累积降水量</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1HP</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2</w:t>
            </w:r>
            <w:r>
              <w:rPr>
                <w:rFonts w:ascii="Times New Roman" w:eastAsia="宋体" w:hAnsi="Times New Roman" w:cs="Times New Roman" w:hint="eastAsia"/>
                <w:sz w:val="20"/>
                <w:szCs w:val="20"/>
              </w:rPr>
              <w:t>小时累积降水量</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2HP</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N</w:t>
            </w:r>
            <w:r>
              <w:rPr>
                <w:rFonts w:ascii="Times New Roman" w:eastAsia="宋体" w:hAnsi="Times New Roman" w:cs="Times New Roman" w:hint="eastAsia"/>
                <w:sz w:val="20"/>
                <w:szCs w:val="20"/>
              </w:rPr>
              <w:t>小时累积降水量</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NHP</w:t>
            </w:r>
          </w:p>
        </w:tc>
      </w:tr>
      <w:tr w:rsidTr="00A26C04">
        <w:tblPrEx>
          <w:tblW w:w="5273" w:type="pct"/>
          <w:jc w:val="center"/>
          <w:tblLayout w:type="fixed"/>
          <w:tblLook w:val="04A0"/>
        </w:tblPrEx>
        <w:trPr>
          <w:trHeight w:val="30"/>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ign w:val="center"/>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风暴质心高度</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RCH</w:t>
            </w:r>
          </w:p>
        </w:tc>
      </w:tr>
      <w:tr w:rsidTr="00A26C04">
        <w:tblPrEx>
          <w:tblW w:w="5273" w:type="pct"/>
          <w:jc w:val="center"/>
          <w:tblLayout w:type="fixed"/>
          <w:tblLook w:val="04A0"/>
        </w:tblPrEx>
        <w:trPr>
          <w:trHeight w:val="102"/>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val="restart"/>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识别产品</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w:t>
            </w:r>
            <w:r>
              <w:rPr>
                <w:rFonts w:ascii="Times New Roman" w:eastAsia="宋体" w:hAnsi="Times New Roman" w:cs="Times New Roman" w:hint="eastAsia"/>
                <w:sz w:val="20"/>
                <w:szCs w:val="20"/>
              </w:rPr>
              <w:t>6</w:t>
            </w:r>
            <w:r>
              <w:rPr>
                <w:rFonts w:ascii="Times New Roman" w:eastAsia="宋体" w:hAnsi="Times New Roman" w:cs="Times New Roman" w:hint="eastAsia"/>
                <w:sz w:val="20"/>
                <w:szCs w:val="20"/>
              </w:rPr>
              <w:t>种）</w:t>
            </w: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冰雹指数</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HI</w:t>
            </w:r>
          </w:p>
        </w:tc>
      </w:tr>
      <w:tr w:rsidTr="00A26C04">
        <w:tblPrEx>
          <w:tblW w:w="5273" w:type="pct"/>
          <w:jc w:val="center"/>
          <w:tblLayout w:type="fixed"/>
          <w:tblLook w:val="04A0"/>
        </w:tblPrEx>
        <w:trPr>
          <w:trHeight w:val="102"/>
          <w:jc w:val="center"/>
        </w:trPr>
        <w:tc>
          <w:tcPr>
            <w:tcW w:w="1396" w:type="dxa"/>
            <w:vMerge/>
          </w:tcPr>
          <w:p w:rsidR="00566B78">
            <w:pPr>
              <w:widowControl/>
              <w:adjustRightInd w:val="0"/>
              <w:jc w:val="left"/>
              <w:textAlignment w:val="baseline"/>
              <w:rPr>
                <w:rFonts w:ascii="Times New Roman" w:eastAsia="宋体" w:hAnsi="Times New Roman" w:cs="Times New Roman"/>
                <w:sz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rPr>
            </w:pPr>
          </w:p>
        </w:tc>
        <w:tc>
          <w:tcPr>
            <w:tcW w:w="1581" w:type="dxa"/>
            <w:vMerge/>
          </w:tcPr>
          <w:p w:rsidR="00566B78">
            <w:pPr>
              <w:widowControl/>
              <w:adjustRightInd w:val="0"/>
              <w:jc w:val="left"/>
              <w:textAlignment w:val="baseline"/>
              <w:rPr>
                <w:rFonts w:ascii="Times New Roman" w:eastAsia="宋体" w:hAnsi="Times New Roman" w:cs="Times New Roman"/>
                <w:sz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风暴追踪信息</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STI</w:t>
            </w:r>
          </w:p>
        </w:tc>
      </w:tr>
      <w:tr w:rsidTr="00A26C04">
        <w:tblPrEx>
          <w:tblW w:w="5273" w:type="pct"/>
          <w:jc w:val="center"/>
          <w:tblLayout w:type="fixed"/>
          <w:tblLook w:val="04A0"/>
        </w:tblPrEx>
        <w:trPr>
          <w:trHeight w:val="102"/>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中气旋</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M</w:t>
            </w:r>
          </w:p>
        </w:tc>
      </w:tr>
      <w:tr w:rsidTr="00A26C04">
        <w:tblPrEx>
          <w:tblW w:w="5273" w:type="pct"/>
          <w:jc w:val="center"/>
          <w:tblLayout w:type="fixed"/>
          <w:tblLook w:val="04A0"/>
        </w:tblPrEx>
        <w:trPr>
          <w:trHeight w:val="287"/>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水凝物分类</w:t>
            </w:r>
          </w:p>
        </w:tc>
        <w:tc>
          <w:tcPr>
            <w:tcW w:w="2415" w:type="dxa"/>
            <w:vAlign w:val="bottom"/>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HCL</w:t>
            </w:r>
          </w:p>
        </w:tc>
      </w:tr>
      <w:tr w:rsidTr="00A26C04">
        <w:tblPrEx>
          <w:tblW w:w="5273" w:type="pct"/>
          <w:jc w:val="center"/>
          <w:tblLayout w:type="fixed"/>
          <w:tblLook w:val="04A0"/>
        </w:tblPrEx>
        <w:trPr>
          <w:trHeight w:val="102"/>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雷暴大风</w:t>
            </w:r>
          </w:p>
        </w:tc>
        <w:tc>
          <w:tcPr>
            <w:tcW w:w="2415"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TD</w:t>
            </w:r>
          </w:p>
        </w:tc>
      </w:tr>
      <w:tr w:rsidTr="00A26C04">
        <w:tblPrEx>
          <w:tblW w:w="5273" w:type="pct"/>
          <w:jc w:val="center"/>
          <w:tblLayout w:type="fixed"/>
          <w:tblLook w:val="04A0"/>
        </w:tblPrEx>
        <w:trPr>
          <w:trHeight w:val="102"/>
          <w:jc w:val="center"/>
        </w:trPr>
        <w:tc>
          <w:tcPr>
            <w:tcW w:w="1396" w:type="dxa"/>
            <w:vMerge/>
          </w:tcPr>
          <w:p w:rsidR="00566B78">
            <w:pPr>
              <w:widowControl/>
              <w:adjustRightInd w:val="0"/>
              <w:jc w:val="left"/>
              <w:textAlignment w:val="baseline"/>
              <w:rPr>
                <w:rFonts w:ascii="Times New Roman" w:eastAsia="宋体" w:hAnsi="Times New Roman" w:cs="Times New Roman"/>
                <w:sz w:val="20"/>
                <w:szCs w:val="20"/>
              </w:rPr>
            </w:pPr>
          </w:p>
        </w:tc>
        <w:tc>
          <w:tcPr>
            <w:tcW w:w="1587"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1581" w:type="dxa"/>
            <w:vMerge/>
          </w:tcPr>
          <w:p w:rsidR="00566B78">
            <w:pPr>
              <w:widowControl/>
              <w:adjustRightInd w:val="0"/>
              <w:jc w:val="left"/>
              <w:textAlignment w:val="baseline"/>
              <w:rPr>
                <w:rFonts w:ascii="Times New Roman" w:eastAsia="宋体" w:hAnsi="Times New Roman" w:cs="Times New Roman"/>
                <w:sz w:val="20"/>
                <w:szCs w:val="20"/>
              </w:rPr>
            </w:pPr>
          </w:p>
        </w:tc>
        <w:tc>
          <w:tcPr>
            <w:tcW w:w="1791" w:type="dxa"/>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短时强降水</w:t>
            </w:r>
          </w:p>
        </w:tc>
        <w:tc>
          <w:tcPr>
            <w:tcW w:w="2415" w:type="dxa"/>
            <w:vAlign w:val="bottom"/>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HR</w:t>
            </w:r>
          </w:p>
        </w:tc>
      </w:tr>
      <w:tr w:rsidTr="00A26C04">
        <w:tblPrEx>
          <w:tblW w:w="5273" w:type="pct"/>
          <w:jc w:val="center"/>
          <w:tblLayout w:type="fixed"/>
          <w:tblLook w:val="04A0"/>
        </w:tblPrEx>
        <w:trPr>
          <w:trHeight w:val="78"/>
          <w:jc w:val="center"/>
        </w:trPr>
        <w:tc>
          <w:tcPr>
            <w:tcW w:w="1946" w:type="dxa"/>
            <w:gridSpan w:val="2"/>
            <w:vMerge w:val="restart"/>
          </w:tcPr>
          <w:p w:rsidR="00566B78">
            <w:pPr>
              <w:widowControl/>
              <w:adjustRightInd w:val="0"/>
              <w:jc w:val="left"/>
              <w:textAlignment w:val="baseline"/>
              <w:rPr>
                <w:rFonts w:ascii="Times New Roman" w:eastAsia="宋体" w:hAnsi="Times New Roman" w:cs="Times New Roman"/>
                <w:sz w:val="20"/>
                <w:szCs w:val="20"/>
              </w:rPr>
            </w:pPr>
          </w:p>
        </w:tc>
        <w:tc>
          <w:tcPr>
            <w:tcW w:w="2618" w:type="dxa"/>
            <w:gridSpan w:val="2"/>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rPr>
              <w:t>软件功能要求</w:t>
            </w:r>
          </w:p>
        </w:tc>
        <w:tc>
          <w:tcPr>
            <w:tcW w:w="4206" w:type="dxa"/>
            <w:gridSpan w:val="2"/>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w:t>
            </w:r>
            <w:r>
              <w:rPr>
                <w:rFonts w:ascii="Times New Roman" w:eastAsia="宋体" w:hAnsi="Times New Roman" w:cs="Times New Roman" w:hint="eastAsia"/>
                <w:sz w:val="20"/>
                <w:szCs w:val="20"/>
              </w:rPr>
              <w:t>）产品显示：平面位置产品、距离高度产品、</w:t>
            </w:r>
            <w:r>
              <w:rPr>
                <w:rFonts w:ascii="Times New Roman" w:eastAsia="宋体" w:hAnsi="Times New Roman" w:cs="Times New Roman" w:hint="eastAsia"/>
                <w:sz w:val="20"/>
                <w:szCs w:val="20"/>
              </w:rPr>
              <w:t>等高</w:t>
            </w:r>
            <w:r>
              <w:rPr>
                <w:rFonts w:ascii="Times New Roman" w:eastAsia="宋体" w:hAnsi="Times New Roman" w:cs="Times New Roman" w:hint="eastAsia"/>
                <w:sz w:val="20"/>
                <w:szCs w:val="20"/>
              </w:rPr>
              <w:t>面位置</w:t>
            </w:r>
            <w:r>
              <w:rPr>
                <w:rFonts w:ascii="Times New Roman" w:eastAsia="宋体" w:hAnsi="Times New Roman" w:cs="Times New Roman" w:hint="eastAsia"/>
                <w:sz w:val="20"/>
                <w:szCs w:val="20"/>
              </w:rPr>
              <w:t>产品、二次产品等显示功能。</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2</w:t>
            </w:r>
            <w:r>
              <w:rPr>
                <w:rFonts w:ascii="Times New Roman" w:eastAsia="宋体" w:hAnsi="Times New Roman" w:cs="Times New Roman" w:hint="eastAsia"/>
                <w:sz w:val="20"/>
                <w:szCs w:val="20"/>
              </w:rPr>
              <w:t>）分屏显示：二分屏、四分屏等分屏显示功能、支持光标联动信息显示。</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3</w:t>
            </w:r>
            <w:r>
              <w:rPr>
                <w:rFonts w:ascii="Times New Roman" w:eastAsia="宋体" w:hAnsi="Times New Roman" w:cs="Times New Roman" w:hint="eastAsia"/>
                <w:sz w:val="20"/>
                <w:szCs w:val="20"/>
              </w:rPr>
              <w:t>）垂直剖面：基本产品任意垂直剖面显示功能，支持折线剖面，可同时显示多个产品，支持缩放、拖曳及保存图像。</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4</w:t>
            </w:r>
            <w:r>
              <w:rPr>
                <w:rFonts w:ascii="Times New Roman" w:eastAsia="宋体" w:hAnsi="Times New Roman" w:cs="Times New Roman" w:hint="eastAsia"/>
                <w:sz w:val="20"/>
                <w:szCs w:val="20"/>
              </w:rPr>
              <w:t>）图形缩放、拖曳：产品图像可放大缩小，拖曳移动。</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5</w:t>
            </w:r>
            <w:r>
              <w:rPr>
                <w:rFonts w:ascii="Times New Roman" w:eastAsia="宋体" w:hAnsi="Times New Roman" w:cs="Times New Roman" w:hint="eastAsia"/>
                <w:sz w:val="20"/>
                <w:szCs w:val="20"/>
              </w:rPr>
              <w:t>）图像保存：产品图像可保存为图片格式。</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6</w:t>
            </w:r>
            <w:r>
              <w:rPr>
                <w:rFonts w:ascii="Times New Roman" w:eastAsia="宋体" w:hAnsi="Times New Roman" w:cs="Times New Roman" w:hint="eastAsia"/>
                <w:sz w:val="20"/>
                <w:szCs w:val="20"/>
              </w:rPr>
              <w:t>）动态展示：支持产品时序播放、</w:t>
            </w:r>
            <w:r>
              <w:rPr>
                <w:rFonts w:ascii="Times New Roman" w:eastAsia="宋体" w:hAnsi="Times New Roman" w:cs="Times New Roman" w:hint="eastAsia"/>
                <w:sz w:val="20"/>
                <w:szCs w:val="20"/>
              </w:rPr>
              <w:t>动图制作</w:t>
            </w:r>
            <w:r>
              <w:rPr>
                <w:rFonts w:ascii="Times New Roman" w:eastAsia="宋体" w:hAnsi="Times New Roman" w:cs="Times New Roman" w:hint="eastAsia"/>
                <w:sz w:val="20"/>
                <w:szCs w:val="20"/>
              </w:rPr>
              <w:t>。</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7</w:t>
            </w:r>
            <w:r>
              <w:rPr>
                <w:rFonts w:ascii="Times New Roman" w:eastAsia="宋体" w:hAnsi="Times New Roman" w:cs="Times New Roman" w:hint="eastAsia"/>
                <w:sz w:val="20"/>
                <w:szCs w:val="20"/>
              </w:rPr>
              <w:t>）地图加载：产品显示可加载离线地图文件，同时应支持</w:t>
            </w:r>
            <w:r>
              <w:rPr>
                <w:rFonts w:ascii="Times New Roman" w:eastAsia="宋体" w:hAnsi="Times New Roman" w:cs="Times New Roman" w:hint="eastAsia"/>
                <w:sz w:val="20"/>
                <w:szCs w:val="20"/>
              </w:rPr>
              <w:t>API</w:t>
            </w:r>
            <w:r>
              <w:rPr>
                <w:rFonts w:ascii="Times New Roman" w:eastAsia="宋体" w:hAnsi="Times New Roman" w:cs="Times New Roman" w:hint="eastAsia"/>
                <w:sz w:val="20"/>
                <w:szCs w:val="20"/>
              </w:rPr>
              <w:t>接口获取在线瓦片地图。</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8</w:t>
            </w:r>
            <w:r>
              <w:rPr>
                <w:rFonts w:ascii="Times New Roman" w:eastAsia="宋体" w:hAnsi="Times New Roman" w:cs="Times New Roman" w:hint="eastAsia"/>
                <w:sz w:val="20"/>
                <w:szCs w:val="20"/>
              </w:rPr>
              <w:t>）测距功能：产品显示界面可测量两点间距离、折线距离。</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9</w:t>
            </w:r>
            <w:r>
              <w:rPr>
                <w:rFonts w:ascii="Times New Roman" w:eastAsia="宋体" w:hAnsi="Times New Roman" w:cs="Times New Roman" w:hint="eastAsia"/>
                <w:sz w:val="20"/>
                <w:szCs w:val="20"/>
              </w:rPr>
              <w:t>）游标引导：游标所在点的经纬度、方位、距离、高度、产品数值、</w:t>
            </w:r>
            <w:r>
              <w:rPr>
                <w:rFonts w:ascii="Times New Roman" w:eastAsia="宋体" w:hAnsi="Times New Roman" w:cs="Times New Roman" w:hint="eastAsia"/>
                <w:sz w:val="20"/>
                <w:szCs w:val="20"/>
              </w:rPr>
              <w:t>地理位置等信息显示。</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10</w:t>
            </w:r>
            <w:r>
              <w:rPr>
                <w:rFonts w:ascii="Times New Roman" w:eastAsia="宋体" w:hAnsi="Times New Roman" w:cs="Times New Roman" w:hint="eastAsia"/>
                <w:sz w:val="20"/>
                <w:szCs w:val="20"/>
              </w:rPr>
              <w:t>）阈值过滤：显示阈值范围内数据，过滤超限数据；可单一范围显隐；可调整产品透明度。</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11</w:t>
            </w:r>
            <w:r>
              <w:rPr>
                <w:rFonts w:ascii="Times New Roman" w:eastAsia="宋体" w:hAnsi="Times New Roman" w:cs="Times New Roman" w:hint="eastAsia"/>
                <w:sz w:val="20"/>
                <w:szCs w:val="20"/>
              </w:rPr>
              <w:t>）自动刷新：可启停的自动显示最新产品数据。</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12</w:t>
            </w:r>
            <w:r>
              <w:rPr>
                <w:rFonts w:ascii="Times New Roman" w:eastAsia="宋体" w:hAnsi="Times New Roman" w:cs="Times New Roman" w:hint="eastAsia"/>
                <w:sz w:val="20"/>
                <w:szCs w:val="20"/>
              </w:rPr>
              <w:t>）状态监控：包括数据接收、产品制作、产品传输状态监控。</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13</w:t>
            </w:r>
            <w:r>
              <w:rPr>
                <w:rFonts w:ascii="Times New Roman" w:eastAsia="宋体" w:hAnsi="Times New Roman" w:cs="Times New Roman" w:hint="eastAsia"/>
                <w:sz w:val="20"/>
                <w:szCs w:val="20"/>
              </w:rPr>
              <w:t>）数据归档：本地或异地产品数据归档，支持定时清理。</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14</w:t>
            </w:r>
            <w:r>
              <w:rPr>
                <w:rFonts w:ascii="Times New Roman" w:eastAsia="宋体" w:hAnsi="Times New Roman" w:cs="Times New Roman" w:hint="eastAsia"/>
                <w:sz w:val="20"/>
                <w:szCs w:val="20"/>
              </w:rPr>
              <w:t>）数据上传：产品数据多节点上传，支持恢复网络后自动补传、手动补传。</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15</w:t>
            </w:r>
            <w:r>
              <w:rPr>
                <w:rFonts w:ascii="Times New Roman" w:eastAsia="宋体" w:hAnsi="Times New Roman" w:cs="Times New Roman" w:hint="eastAsia"/>
                <w:sz w:val="20"/>
                <w:szCs w:val="20"/>
              </w:rPr>
              <w:t>）算法参数：算法参数可本地化调整。</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16</w:t>
            </w:r>
            <w:r>
              <w:rPr>
                <w:rFonts w:ascii="Times New Roman" w:eastAsia="宋体" w:hAnsi="Times New Roman" w:cs="Times New Roman" w:hint="eastAsia"/>
                <w:sz w:val="20"/>
                <w:szCs w:val="20"/>
              </w:rPr>
              <w:t>）算法接口：支持外部算法接入，使用统一数据接口调用。</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17</w:t>
            </w:r>
            <w:r>
              <w:rPr>
                <w:rFonts w:ascii="Times New Roman" w:eastAsia="宋体" w:hAnsi="Times New Roman" w:cs="Times New Roman" w:hint="eastAsia"/>
                <w:sz w:val="20"/>
                <w:szCs w:val="20"/>
              </w:rPr>
              <w:t>）系统日志：包括软件运行日志、数据接收日志、产品生成日志、数据上传日志等。</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18</w:t>
            </w:r>
            <w:r>
              <w:rPr>
                <w:rFonts w:ascii="Times New Roman" w:eastAsia="宋体" w:hAnsi="Times New Roman" w:cs="Times New Roman" w:hint="eastAsia"/>
                <w:sz w:val="20"/>
                <w:szCs w:val="20"/>
              </w:rPr>
              <w:t>）多用户并发：每个产品生成终端应至少能够满足</w:t>
            </w:r>
            <w:r>
              <w:rPr>
                <w:rFonts w:ascii="Times New Roman" w:eastAsia="宋体" w:hAnsi="Times New Roman" w:cs="Times New Roman" w:hint="eastAsia"/>
                <w:sz w:val="20"/>
                <w:szCs w:val="20"/>
              </w:rPr>
              <w:t>30</w:t>
            </w:r>
            <w:r>
              <w:rPr>
                <w:rFonts w:ascii="Times New Roman" w:eastAsia="宋体" w:hAnsi="Times New Roman" w:cs="Times New Roman" w:hint="eastAsia"/>
                <w:sz w:val="20"/>
                <w:szCs w:val="20"/>
              </w:rPr>
              <w:t>位用户同时访问。</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19</w:t>
            </w:r>
            <w:r>
              <w:rPr>
                <w:rFonts w:ascii="Times New Roman" w:eastAsia="宋体" w:hAnsi="Times New Roman" w:cs="Times New Roman" w:hint="eastAsia"/>
                <w:sz w:val="20"/>
                <w:szCs w:val="20"/>
              </w:rPr>
              <w:t>）数据库接口：可从外部接口获取雷达数据作为数据源。</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20</w:t>
            </w:r>
            <w:r>
              <w:rPr>
                <w:rFonts w:ascii="Times New Roman" w:eastAsia="宋体" w:hAnsi="Times New Roman" w:cs="Times New Roman" w:hint="eastAsia"/>
                <w:sz w:val="20"/>
                <w:szCs w:val="20"/>
              </w:rPr>
              <w:t>）快捷操作：可通过键盘进行时间切换、仰角层切换等快捷操作。</w:t>
            </w:r>
          </w:p>
          <w:p w:rsidR="00566B78">
            <w:r>
              <w:rPr>
                <w:rFonts w:ascii="Times New Roman" w:eastAsia="宋体" w:hAnsi="Times New Roman" w:cs="Times New Roman" w:hint="eastAsia"/>
                <w:sz w:val="20"/>
                <w:szCs w:val="20"/>
              </w:rPr>
              <w:t>21</w:t>
            </w:r>
            <w:r>
              <w:rPr>
                <w:rFonts w:ascii="Times New Roman" w:eastAsia="宋体" w:hAnsi="Times New Roman" w:cs="Times New Roman" w:hint="eastAsia"/>
                <w:sz w:val="20"/>
                <w:szCs w:val="20"/>
              </w:rPr>
              <w:t>）关注点标记：设定不同类型的关注点，可设置备注信息并保存；可单选、多选、分类选择叠加在产品上进行显示；可设定关注点预警范围。支持关注</w:t>
            </w:r>
            <w:r>
              <w:rPr>
                <w:rFonts w:ascii="Times New Roman" w:eastAsia="宋体" w:hAnsi="Times New Roman" w:cs="Times New Roman" w:hint="eastAsia"/>
                <w:sz w:val="20"/>
                <w:szCs w:val="20"/>
              </w:rPr>
              <w:t>点信息</w:t>
            </w:r>
            <w:r>
              <w:rPr>
                <w:rFonts w:ascii="Times New Roman" w:eastAsia="宋体" w:hAnsi="Times New Roman" w:cs="Times New Roman" w:hint="eastAsia"/>
                <w:sz w:val="20"/>
                <w:szCs w:val="20"/>
              </w:rPr>
              <w:t>导入导出。</w:t>
            </w:r>
          </w:p>
          <w:p w:rsidR="00566B78">
            <w:pPr>
              <w:widowControl/>
              <w:adjustRightInd w:val="0"/>
              <w:jc w:val="left"/>
              <w:textAlignment w:val="baseline"/>
              <w:rPr>
                <w:rFonts w:ascii="Times New Roman" w:eastAsia="宋体" w:hAnsi="Times New Roman" w:cs="Times New Roman"/>
                <w:sz w:val="20"/>
                <w:szCs w:val="20"/>
              </w:rPr>
            </w:pPr>
          </w:p>
        </w:tc>
      </w:tr>
      <w:tr w:rsidTr="00A26C04">
        <w:tblPrEx>
          <w:tblW w:w="5273" w:type="pct"/>
          <w:jc w:val="center"/>
          <w:tblLayout w:type="fixed"/>
          <w:tblLook w:val="04A0"/>
        </w:tblPrEx>
        <w:trPr>
          <w:trHeight w:val="2151"/>
          <w:jc w:val="center"/>
        </w:trPr>
        <w:tc>
          <w:tcPr>
            <w:tcW w:w="1946" w:type="dxa"/>
            <w:gridSpan w:val="2"/>
            <w:vMerge/>
          </w:tcPr>
          <w:p w:rsidR="00566B78">
            <w:pPr>
              <w:widowControl/>
              <w:adjustRightInd w:val="0"/>
              <w:jc w:val="left"/>
              <w:textAlignment w:val="baseline"/>
              <w:rPr>
                <w:rFonts w:ascii="Times New Roman" w:eastAsia="宋体" w:hAnsi="Times New Roman" w:cs="Times New Roman"/>
                <w:sz w:val="20"/>
                <w:szCs w:val="20"/>
              </w:rPr>
            </w:pPr>
          </w:p>
        </w:tc>
        <w:tc>
          <w:tcPr>
            <w:tcW w:w="2618" w:type="dxa"/>
            <w:gridSpan w:val="2"/>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rPr>
              <w:t>产品终端要求</w:t>
            </w:r>
          </w:p>
        </w:tc>
        <w:tc>
          <w:tcPr>
            <w:tcW w:w="4206" w:type="dxa"/>
            <w:gridSpan w:val="2"/>
            <w:vAlign w:val="center"/>
          </w:tcPr>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1</w:t>
            </w:r>
            <w:r>
              <w:rPr>
                <w:rFonts w:ascii="Times New Roman" w:eastAsia="宋体" w:hAnsi="Times New Roman" w:cs="Times New Roman" w:hint="eastAsia"/>
                <w:sz w:val="20"/>
                <w:szCs w:val="20"/>
              </w:rPr>
              <w:t>）用户</w:t>
            </w:r>
            <w:r>
              <w:rPr>
                <w:rFonts w:ascii="Times New Roman" w:eastAsia="宋体" w:hAnsi="Times New Roman" w:cs="Times New Roman" w:hint="eastAsia"/>
                <w:sz w:val="20"/>
                <w:szCs w:val="20"/>
              </w:rPr>
              <w:t>端至少</w:t>
            </w:r>
            <w:r>
              <w:rPr>
                <w:rFonts w:ascii="Times New Roman" w:eastAsia="宋体" w:hAnsi="Times New Roman" w:cs="Times New Roman" w:hint="eastAsia"/>
                <w:sz w:val="20"/>
                <w:szCs w:val="20"/>
              </w:rPr>
              <w:t>配置</w:t>
            </w:r>
            <w:r>
              <w:rPr>
                <w:rFonts w:ascii="Times New Roman" w:eastAsia="宋体" w:hAnsi="Times New Roman" w:cs="Times New Roman" w:hint="eastAsia"/>
                <w:sz w:val="20"/>
                <w:szCs w:val="20"/>
              </w:rPr>
              <w:t>2</w:t>
            </w:r>
            <w:r>
              <w:rPr>
                <w:rFonts w:ascii="Times New Roman" w:eastAsia="宋体" w:hAnsi="Times New Roman" w:cs="Times New Roman" w:hint="eastAsia"/>
                <w:sz w:val="20"/>
                <w:szCs w:val="20"/>
              </w:rPr>
              <w:t>台产品终端，负责产品制作及数据归档。</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2</w:t>
            </w:r>
            <w:r>
              <w:rPr>
                <w:rFonts w:ascii="Times New Roman" w:eastAsia="宋体" w:hAnsi="Times New Roman" w:cs="Times New Roman" w:hint="eastAsia"/>
                <w:sz w:val="20"/>
                <w:szCs w:val="20"/>
              </w:rPr>
              <w:t>）应支持</w:t>
            </w:r>
            <w:r>
              <w:rPr>
                <w:rFonts w:ascii="Times New Roman" w:eastAsia="宋体" w:hAnsi="Times New Roman" w:cs="Times New Roman" w:hint="eastAsia"/>
                <w:sz w:val="20"/>
                <w:szCs w:val="20"/>
              </w:rPr>
              <w:t>国产信创</w:t>
            </w:r>
            <w:r>
              <w:rPr>
                <w:rFonts w:ascii="Times New Roman" w:eastAsia="宋体" w:hAnsi="Times New Roman" w:cs="Times New Roman" w:hint="eastAsia"/>
                <w:sz w:val="20"/>
                <w:szCs w:val="20"/>
              </w:rPr>
              <w:t>系统。</w:t>
            </w:r>
          </w:p>
          <w:p w:rsidR="00566B78">
            <w:pPr>
              <w:widowControl/>
              <w:adjustRightInd w:val="0"/>
              <w:jc w:val="left"/>
              <w:textAlignment w:val="baseline"/>
              <w:rPr>
                <w:rFonts w:ascii="Times New Roman" w:eastAsia="宋体" w:hAnsi="Times New Roman" w:cs="Times New Roman"/>
                <w:sz w:val="20"/>
                <w:szCs w:val="20"/>
              </w:rPr>
            </w:pPr>
            <w:r>
              <w:rPr>
                <w:rFonts w:ascii="Times New Roman" w:eastAsia="宋体" w:hAnsi="Times New Roman" w:cs="Times New Roman" w:hint="eastAsia"/>
                <w:sz w:val="20"/>
                <w:szCs w:val="20"/>
              </w:rPr>
              <w:t>3</w:t>
            </w:r>
            <w:r>
              <w:rPr>
                <w:rFonts w:ascii="Times New Roman" w:eastAsia="宋体" w:hAnsi="Times New Roman" w:cs="Times New Roman" w:hint="eastAsia"/>
                <w:sz w:val="20"/>
                <w:szCs w:val="20"/>
              </w:rPr>
              <w:t>）产品终端数据处理能力应满足产品制作整体耗时小于雷达最短</w:t>
            </w:r>
            <w:r>
              <w:rPr>
                <w:rFonts w:ascii="Times New Roman" w:eastAsia="宋体" w:hAnsi="Times New Roman" w:cs="Times New Roman" w:hint="eastAsia"/>
                <w:sz w:val="20"/>
                <w:szCs w:val="20"/>
              </w:rPr>
              <w:t>体扫用</w:t>
            </w:r>
            <w:r>
              <w:rPr>
                <w:rFonts w:ascii="Times New Roman" w:eastAsia="宋体" w:hAnsi="Times New Roman" w:cs="Times New Roman" w:hint="eastAsia"/>
                <w:sz w:val="20"/>
                <w:szCs w:val="20"/>
              </w:rPr>
              <w:t>时，避免造成数据积压。</w:t>
            </w:r>
          </w:p>
          <w:p w:rsidR="00566B78">
            <w:r>
              <w:rPr>
                <w:rFonts w:ascii="Times New Roman" w:eastAsia="宋体" w:hAnsi="Times New Roman" w:cs="Times New Roman" w:hint="eastAsia"/>
                <w:sz w:val="20"/>
                <w:szCs w:val="20"/>
              </w:rPr>
              <w:t>4</w:t>
            </w:r>
            <w:r>
              <w:rPr>
                <w:rFonts w:ascii="Times New Roman" w:eastAsia="宋体" w:hAnsi="Times New Roman" w:cs="Times New Roman" w:hint="eastAsia"/>
                <w:sz w:val="20"/>
                <w:szCs w:val="20"/>
              </w:rPr>
              <w:t>）产品终端能存储不少于</w:t>
            </w:r>
            <w:r>
              <w:rPr>
                <w:rFonts w:ascii="Times New Roman" w:eastAsia="宋体" w:hAnsi="Times New Roman" w:cs="Times New Roman" w:hint="eastAsia"/>
                <w:sz w:val="20"/>
                <w:szCs w:val="20"/>
              </w:rPr>
              <w:t>1</w:t>
            </w:r>
            <w:r>
              <w:rPr>
                <w:rFonts w:ascii="Times New Roman" w:eastAsia="宋体" w:hAnsi="Times New Roman" w:cs="Times New Roman" w:hint="eastAsia"/>
                <w:sz w:val="20"/>
                <w:szCs w:val="20"/>
              </w:rPr>
              <w:t>年的</w:t>
            </w:r>
            <w:r>
              <w:rPr>
                <w:rFonts w:ascii="Times New Roman" w:eastAsia="宋体" w:hAnsi="Times New Roman" w:cs="Times New Roman" w:hint="eastAsia"/>
                <w:sz w:val="20"/>
                <w:szCs w:val="20"/>
              </w:rPr>
              <w:t>基数据及</w:t>
            </w:r>
            <w:r>
              <w:rPr>
                <w:rFonts w:ascii="Times New Roman" w:eastAsia="宋体" w:hAnsi="Times New Roman" w:cs="Times New Roman" w:hint="eastAsia"/>
                <w:sz w:val="20"/>
                <w:szCs w:val="20"/>
              </w:rPr>
              <w:t>3</w:t>
            </w:r>
            <w:r>
              <w:rPr>
                <w:rFonts w:ascii="Times New Roman" w:eastAsia="宋体" w:hAnsi="Times New Roman" w:cs="Times New Roman" w:hint="eastAsia"/>
                <w:sz w:val="20"/>
                <w:szCs w:val="20"/>
              </w:rPr>
              <w:t>个月</w:t>
            </w:r>
            <w:r>
              <w:rPr>
                <w:rFonts w:ascii="Times New Roman" w:eastAsia="宋体" w:hAnsi="Times New Roman" w:cs="Times New Roman" w:hint="eastAsia"/>
                <w:sz w:val="20"/>
                <w:szCs w:val="20"/>
              </w:rPr>
              <w:t>的雷达产品。</w:t>
            </w:r>
          </w:p>
          <w:p w:rsidR="00566B78">
            <w:pPr>
              <w:widowControl/>
              <w:adjustRightInd w:val="0"/>
              <w:jc w:val="left"/>
              <w:textAlignment w:val="baseline"/>
              <w:rPr>
                <w:rFonts w:ascii="Times New Roman" w:eastAsia="宋体" w:hAnsi="Times New Roman" w:cs="Times New Roman"/>
                <w:sz w:val="20"/>
                <w:szCs w:val="20"/>
              </w:rPr>
            </w:pPr>
          </w:p>
        </w:tc>
      </w:tr>
    </w:tbl>
    <w:p w:rsidR="00566B78" w:rsidP="00A26C04">
      <w:pPr>
        <w:spacing w:line="360" w:lineRule="auto"/>
        <w:ind w:left="420" w:leftChars="200"/>
        <w:rPr>
          <w:rFonts w:ascii="宋体" w:hAnsi="宋体"/>
          <w:szCs w:val="21"/>
        </w:rPr>
      </w:pPr>
    </w:p>
    <w:p w:rsidR="00566B78">
      <w:pPr>
        <w:spacing w:line="360" w:lineRule="auto"/>
        <w:ind w:firstLine="420" w:firstLineChars="200"/>
        <w:rPr>
          <w:rFonts w:ascii="宋体" w:hAnsi="宋体"/>
          <w:szCs w:val="21"/>
        </w:rPr>
      </w:pPr>
      <w:r>
        <w:rPr>
          <w:rFonts w:ascii="宋体" w:hAnsi="宋体" w:hint="eastAsia"/>
          <w:szCs w:val="21"/>
        </w:rPr>
        <w:t>四</w:t>
      </w:r>
      <w:r>
        <w:rPr>
          <w:rFonts w:ascii="宋体" w:hAnsi="宋体" w:hint="eastAsia"/>
          <w:szCs w:val="21"/>
        </w:rPr>
        <w:t>、检验考核要求</w:t>
      </w:r>
    </w:p>
    <w:p w:rsidR="00566B78">
      <w:pPr>
        <w:spacing w:line="360" w:lineRule="auto"/>
        <w:ind w:firstLine="420" w:firstLineChars="200"/>
        <w:rPr>
          <w:rFonts w:ascii="宋体" w:hAnsi="宋体"/>
          <w:szCs w:val="21"/>
        </w:rPr>
      </w:pPr>
      <w:r>
        <w:rPr>
          <w:rFonts w:ascii="宋体" w:hAnsi="宋体" w:hint="eastAsia"/>
          <w:szCs w:val="21"/>
        </w:rPr>
        <w:t>（一）质量标准</w:t>
      </w:r>
    </w:p>
    <w:p w:rsidR="00566B78">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rsidR="00566B78">
      <w:pPr>
        <w:spacing w:line="360" w:lineRule="auto"/>
        <w:ind w:firstLine="420" w:firstLineChars="200"/>
        <w:rPr>
          <w:rFonts w:ascii="宋体" w:hAnsi="宋体"/>
          <w:szCs w:val="21"/>
        </w:rPr>
      </w:pPr>
      <w:r>
        <w:rPr>
          <w:rFonts w:ascii="宋体" w:hAnsi="宋体" w:hint="eastAsia"/>
          <w:szCs w:val="21"/>
        </w:rPr>
        <w:t>（二）验收组织</w:t>
      </w:r>
    </w:p>
    <w:p w:rsidR="00566B78">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出厂验收</w:t>
      </w:r>
    </w:p>
    <w:p w:rsidR="00566B78">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中标人</w:t>
      </w:r>
      <w:r>
        <w:rPr>
          <w:rFonts w:ascii="宋体" w:eastAsia="宋体" w:hAnsi="宋体" w:cs="Times New Roman" w:hint="eastAsia"/>
          <w:szCs w:val="21"/>
          <w:lang w:bidi="ar"/>
        </w:rPr>
        <w:t>应在</w:t>
      </w:r>
      <w:r>
        <w:rPr>
          <w:rFonts w:ascii="宋体" w:eastAsia="宋体" w:hAnsi="宋体" w:cs="Times New Roman" w:hint="eastAsia"/>
          <w:szCs w:val="21"/>
          <w:lang w:bidi="ar"/>
        </w:rPr>
        <w:t>设备出厂前严格按照中国气象局业务规范、相关行业标准及招标文件技术要求组织</w:t>
      </w:r>
      <w:r>
        <w:rPr>
          <w:rFonts w:ascii="宋体" w:eastAsia="宋体" w:hAnsi="宋体" w:cs="Times New Roman" w:hint="eastAsia"/>
          <w:szCs w:val="21"/>
          <w:lang w:bidi="ar"/>
        </w:rPr>
        <w:t>出厂验收</w:t>
      </w:r>
      <w:r>
        <w:rPr>
          <w:rFonts w:ascii="宋体" w:eastAsia="宋体" w:hAnsi="宋体" w:cs="Times New Roman" w:hint="eastAsia"/>
          <w:szCs w:val="21"/>
          <w:lang w:bidi="ar"/>
        </w:rPr>
        <w:t>，完成整机性能、关键技术指标、系统功能及连续考机测试，提交全套资质文件、技术资料、校准及检测报告。采购人派员参与验收，验收合格并签署出厂验收报告后方可发货，未通过出厂验收严禁出厂。</w:t>
      </w:r>
    </w:p>
    <w:p w:rsidR="00566B78">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2 </w:t>
      </w:r>
      <w:r>
        <w:rPr>
          <w:rFonts w:ascii="宋体" w:eastAsia="宋体" w:hAnsi="宋体" w:cs="Times New Roman" w:hint="eastAsia"/>
          <w:szCs w:val="21"/>
        </w:rPr>
        <w:t>现场安装验收</w:t>
      </w:r>
    </w:p>
    <w:p w:rsidR="00566B78">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w:t>
      </w:r>
      <w:r>
        <w:rPr>
          <w:rFonts w:ascii="宋体" w:eastAsia="宋体" w:hAnsi="宋体" w:cs="Times New Roman" w:hint="eastAsia"/>
          <w:szCs w:val="21"/>
          <w:lang w:bidi="ar"/>
        </w:rPr>
        <w:t>由采购人</w:t>
      </w:r>
      <w:r>
        <w:rPr>
          <w:rFonts w:ascii="宋体" w:eastAsia="宋体" w:hAnsi="宋体" w:cs="Times New Roman" w:hint="eastAsia"/>
          <w:szCs w:val="21"/>
          <w:lang w:bidi="ar"/>
        </w:rPr>
        <w:t>组织</w:t>
      </w:r>
      <w:r>
        <w:rPr>
          <w:rFonts w:ascii="宋体" w:eastAsia="宋体" w:hAnsi="宋体" w:cs="Times New Roman" w:hint="eastAsia"/>
          <w:szCs w:val="21"/>
          <w:lang w:bidi="ar"/>
        </w:rPr>
        <w:t>现场安装验收</w:t>
      </w:r>
      <w:r>
        <w:rPr>
          <w:rFonts w:ascii="宋体" w:eastAsia="宋体" w:hAnsi="宋体" w:cs="Times New Roman" w:hint="eastAsia"/>
          <w:szCs w:val="21"/>
          <w:lang w:bidi="ar"/>
        </w:rPr>
        <w:t>，核查安装工艺、设备状态及系统联调功能，验收合格后方可进入试运行阶段。</w:t>
      </w:r>
    </w:p>
    <w:p w:rsidR="00566B78">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w:t>
      </w:r>
      <w:r>
        <w:rPr>
          <w:rFonts w:ascii="宋体" w:eastAsia="宋体" w:hAnsi="宋体" w:cs="Times New Roman" w:hint="eastAsia"/>
          <w:szCs w:val="21"/>
        </w:rPr>
        <w:t>试运行验收</w:t>
      </w:r>
    </w:p>
    <w:p w:rsidR="00566B78">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地面观测</w:t>
      </w:r>
      <w:r>
        <w:rPr>
          <w:rFonts w:ascii="宋体" w:eastAsia="宋体" w:hAnsi="宋体" w:cs="Times New Roman" w:hint="eastAsia"/>
          <w:szCs w:val="21"/>
          <w:lang w:bidi="ar"/>
        </w:rPr>
        <w:t>设备现场调试合格后进入</w:t>
      </w:r>
      <w:r>
        <w:rPr>
          <w:rFonts w:ascii="宋体" w:eastAsia="宋体" w:hAnsi="宋体" w:cs="Times New Roman" w:hint="eastAsia"/>
          <w:szCs w:val="21"/>
          <w:lang w:bidi="ar"/>
        </w:rPr>
        <w:t>试运行期</w:t>
      </w:r>
      <w:r>
        <w:rPr>
          <w:rFonts w:ascii="宋体" w:eastAsia="宋体" w:hAnsi="宋体" w:cs="Times New Roman" w:hint="eastAsia"/>
          <w:szCs w:val="21"/>
          <w:lang w:bidi="ar"/>
        </w:rPr>
        <w:t>，试运行周期不少于</w:t>
      </w:r>
      <w:r>
        <w:rPr>
          <w:rFonts w:ascii="宋体" w:eastAsia="宋体" w:hAnsi="宋体" w:cs="Times New Roman" w:hint="eastAsia"/>
          <w:szCs w:val="21"/>
          <w:lang w:bidi="ar"/>
        </w:rPr>
        <w:t xml:space="preserve"> 90 </w:t>
      </w:r>
      <w:r>
        <w:rPr>
          <w:rFonts w:ascii="宋体" w:eastAsia="宋体" w:hAnsi="宋体" w:cs="Times New Roman" w:hint="eastAsia"/>
          <w:szCs w:val="21"/>
          <w:lang w:bidi="ar"/>
        </w:rPr>
        <w:t>天。试运行期间设备应连续稳定运行，无重大故障停机，观测数据完整率、运行稳定性、产品精度均满足气象</w:t>
      </w:r>
      <w:r>
        <w:rPr>
          <w:rFonts w:ascii="宋体" w:eastAsia="宋体" w:hAnsi="宋体" w:cs="Times New Roman" w:hint="eastAsia"/>
          <w:szCs w:val="21"/>
          <w:lang w:bidi="ar"/>
        </w:rPr>
        <w:t>业务运行要求。中标人做好运行值守、故障处置、</w:t>
      </w:r>
      <w:r>
        <w:rPr>
          <w:rFonts w:ascii="宋体" w:eastAsia="宋体" w:hAnsi="宋体" w:cs="Times New Roman" w:hint="eastAsia"/>
          <w:szCs w:val="21"/>
          <w:lang w:bidi="ar"/>
        </w:rPr>
        <w:t>运行台</w:t>
      </w:r>
      <w:r>
        <w:rPr>
          <w:rFonts w:ascii="宋体" w:eastAsia="宋体" w:hAnsi="宋体" w:cs="Times New Roman" w:hint="eastAsia"/>
          <w:szCs w:val="21"/>
          <w:lang w:bidi="ar"/>
        </w:rPr>
        <w:t>账记录，并完成现场操作及维护培训。</w:t>
      </w:r>
    </w:p>
    <w:p w:rsidR="00566B78">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rsidR="00566B78">
      <w:pPr>
        <w:widowControl/>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w:t>
      </w:r>
      <w:r>
        <w:rPr>
          <w:rFonts w:ascii="宋体" w:eastAsia="宋体" w:hAnsi="宋体" w:cs="Times New Roman" w:hint="eastAsia"/>
          <w:szCs w:val="21"/>
        </w:rPr>
        <w:t>合同验收</w:t>
      </w:r>
    </w:p>
    <w:p w:rsidR="00566B78">
      <w:pPr>
        <w:widowControl/>
        <w:spacing w:line="360" w:lineRule="auto"/>
        <w:ind w:firstLine="420" w:firstLineChars="200"/>
        <w:jc w:val="left"/>
        <w:rPr>
          <w:rFonts w:ascii="宋体" w:eastAsia="宋体" w:hAnsi="宋体" w:cs="Times New Roman"/>
          <w:szCs w:val="21"/>
          <w:lang w:bidi="ar"/>
        </w:rPr>
      </w:pPr>
      <w:r>
        <w:rPr>
          <w:rFonts w:ascii="宋体" w:eastAsia="宋体" w:hAnsi="宋体" w:cs="Times New Roman" w:hint="eastAsia"/>
          <w:szCs w:val="21"/>
          <w:lang w:bidi="ar"/>
        </w:rPr>
        <w:t>在出厂、安装、试运行各阶段验收均合格的前提下，组织</w:t>
      </w:r>
      <w:r>
        <w:rPr>
          <w:rFonts w:ascii="宋体" w:eastAsia="宋体" w:hAnsi="宋体" w:cs="Times New Roman" w:hint="eastAsia"/>
          <w:szCs w:val="21"/>
          <w:lang w:bidi="ar"/>
        </w:rPr>
        <w:t>项目合同最终验收</w:t>
      </w:r>
      <w:r>
        <w:rPr>
          <w:rFonts w:ascii="宋体" w:eastAsia="宋体" w:hAnsi="宋体" w:cs="Times New Roman" w:hint="eastAsia"/>
          <w:szCs w:val="21"/>
          <w:lang w:bidi="ar"/>
        </w:rPr>
        <w:t>。全面核查设备配置、资料归档、备品备件、技术培训、履约服务及质</w:t>
      </w:r>
      <w:r>
        <w:rPr>
          <w:rFonts w:ascii="宋体" w:eastAsia="宋体" w:hAnsi="宋体" w:cs="Times New Roman" w:hint="eastAsia"/>
          <w:szCs w:val="21"/>
          <w:lang w:bidi="ar"/>
        </w:rPr>
        <w:t>保承诺</w:t>
      </w:r>
      <w:r>
        <w:rPr>
          <w:rFonts w:ascii="宋体" w:eastAsia="宋体" w:hAnsi="宋体" w:cs="Times New Roman" w:hint="eastAsia"/>
          <w:szCs w:val="21"/>
          <w:lang w:bidi="ar"/>
        </w:rPr>
        <w:t>等全部合同内容，对照技术参数、行业标准及业务应用要求综合评审，全部满足要求后签署最终验收证书，正式交付投入业务运行，进入质保期。</w:t>
      </w:r>
      <w:r>
        <w:rPr>
          <w:rFonts w:ascii="宋体" w:eastAsia="宋体" w:hAnsi="宋体" w:cs="Times New Roman" w:hint="eastAsia"/>
          <w:szCs w:val="21"/>
          <w:lang w:bidi="ar"/>
        </w:rPr>
        <w:t>若最终</w:t>
      </w:r>
      <w:r>
        <w:rPr>
          <w:rFonts w:ascii="宋体" w:eastAsia="宋体" w:hAnsi="宋体" w:cs="Times New Roman" w:hint="eastAsia"/>
          <w:szCs w:val="21"/>
          <w:lang w:bidi="ar"/>
        </w:rPr>
        <w:t>验收仍</w:t>
      </w:r>
      <w:r>
        <w:rPr>
          <w:rFonts w:ascii="宋体" w:eastAsia="宋体" w:hAnsi="宋体" w:cs="Times New Roman" w:hint="eastAsia"/>
          <w:szCs w:val="21"/>
          <w:lang w:bidi="ar"/>
        </w:rPr>
        <w:t>存在缺项、指标不达标、资料不全等问题，不予通过验收，中标人须限期完成补齐、整改、完善，直至终审合格，相关费用及责任由中标人自行承担。</w:t>
      </w:r>
    </w:p>
    <w:p w:rsidR="00566B78">
      <w:pPr>
        <w:spacing w:line="360" w:lineRule="auto"/>
        <w:ind w:firstLine="420" w:firstLineChars="200"/>
        <w:rPr>
          <w:rFonts w:ascii="宋体" w:hAnsi="宋体"/>
          <w:szCs w:val="21"/>
          <w:highlight w:val="yellow"/>
        </w:rPr>
      </w:pPr>
    </w:p>
    <w:p w:rsidR="00566B78">
      <w:pPr>
        <w:spacing w:line="360" w:lineRule="auto"/>
        <w:ind w:firstLine="420" w:firstLineChars="200"/>
        <w:rPr>
          <w:rFonts w:ascii="宋体" w:hAnsi="宋体"/>
          <w:szCs w:val="21"/>
        </w:rPr>
      </w:pPr>
      <w:r>
        <w:rPr>
          <w:rFonts w:ascii="宋体" w:hAnsi="宋体" w:hint="eastAsia"/>
          <w:szCs w:val="21"/>
        </w:rPr>
        <w:t>五</w:t>
      </w:r>
      <w:r>
        <w:rPr>
          <w:rFonts w:ascii="宋体" w:hAnsi="宋体" w:hint="eastAsia"/>
          <w:szCs w:val="21"/>
        </w:rPr>
        <w:t>、技术服务和</w:t>
      </w:r>
      <w:r>
        <w:rPr>
          <w:rFonts w:ascii="宋体" w:hAnsi="宋体" w:hint="eastAsia"/>
          <w:szCs w:val="21"/>
        </w:rPr>
        <w:t>质保期</w:t>
      </w:r>
      <w:r>
        <w:rPr>
          <w:rFonts w:ascii="宋体" w:hAnsi="宋体" w:hint="eastAsia"/>
          <w:szCs w:val="21"/>
        </w:rPr>
        <w:t>服务要求</w:t>
      </w:r>
    </w:p>
    <w:p w:rsidR="00566B78">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一</w:t>
      </w:r>
      <w:r>
        <w:rPr>
          <w:rFonts w:ascii="宋体" w:hAnsi="宋体" w:hint="eastAsia"/>
          <w:szCs w:val="21"/>
        </w:rPr>
        <w:t>）</w:t>
      </w:r>
      <w:r>
        <w:rPr>
          <w:rFonts w:ascii="宋体" w:hAnsi="宋体" w:hint="eastAsia"/>
          <w:szCs w:val="21"/>
        </w:rPr>
        <w:t>技术服务</w:t>
      </w:r>
    </w:p>
    <w:p w:rsidR="00566B78">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中标人需提供详细技术方案，包括但不限于</w:t>
      </w:r>
      <w:r>
        <w:rPr>
          <w:rFonts w:ascii="宋体" w:hAnsi="宋体" w:hint="eastAsia"/>
          <w:szCs w:val="21"/>
        </w:rPr>
        <w:t>:</w:t>
      </w:r>
      <w:r>
        <w:rPr>
          <w:rFonts w:ascii="宋体" w:hAnsi="宋体" w:hint="eastAsia"/>
          <w:szCs w:val="21"/>
        </w:rPr>
        <w:t>设备安装建设规范、设备工作原理、设备部件结构组成、设备操作手册、设备运行维护手</w:t>
      </w:r>
      <w:r>
        <w:rPr>
          <w:rFonts w:ascii="宋体" w:hAnsi="宋体" w:hint="eastAsia"/>
          <w:szCs w:val="21"/>
        </w:rPr>
        <w:t>册、设备软件使用手册、相关产品算法说明文档等。</w:t>
      </w:r>
    </w:p>
    <w:p w:rsidR="00566B78">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中标人需提供详细售后服务方案，包括设备售后服务组织机构、人员组成、技术支持文档等。其中，售后服务组织机构设置合理，人员技术能力强，技术文档内容全面。</w:t>
      </w:r>
    </w:p>
    <w:p w:rsidR="00566B78">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中标人协助采购人完成本项目设备安装站点的无线电电磁环境检测及电磁兼容性分析工作，确保站点选址符合《无线电管理条例》及相关技术标准要求。</w:t>
      </w:r>
    </w:p>
    <w:p w:rsidR="00566B78">
      <w:pPr>
        <w:widowControl/>
        <w:spacing w:line="360" w:lineRule="auto"/>
        <w:ind w:firstLine="420" w:firstLineChars="200"/>
        <w:jc w:val="left"/>
        <w:rPr>
          <w:rFonts w:ascii="宋体" w:hAnsi="宋体"/>
          <w:szCs w:val="21"/>
        </w:rPr>
      </w:pPr>
      <w:r>
        <w:rPr>
          <w:rFonts w:ascii="宋体" w:hAnsi="宋体" w:hint="eastAsia"/>
          <w:szCs w:val="21"/>
        </w:rPr>
        <w:t>4</w:t>
      </w:r>
      <w:r>
        <w:rPr>
          <w:rFonts w:ascii="宋体" w:hAnsi="宋体" w:hint="eastAsia"/>
          <w:szCs w:val="21"/>
        </w:rPr>
        <w:t>.</w:t>
      </w:r>
      <w:r>
        <w:rPr>
          <w:rFonts w:ascii="宋体" w:hAnsi="宋体" w:hint="eastAsia"/>
          <w:szCs w:val="21"/>
        </w:rPr>
        <w:t>中标人需提供详细培训方案，包括设备使用、日常维护、观测原理及产品应用等理论培训及现场培训，培训时间及地点双方协商确定</w:t>
      </w:r>
      <w:r>
        <w:rPr>
          <w:rFonts w:ascii="宋体" w:hAnsi="宋体" w:hint="eastAsia"/>
          <w:szCs w:val="21"/>
        </w:rPr>
        <w:t>，</w:t>
      </w:r>
      <w:r>
        <w:rPr>
          <w:rFonts w:ascii="宋体" w:hAnsi="宋体" w:hint="eastAsia"/>
          <w:szCs w:val="21"/>
        </w:rPr>
        <w:t>确保使用方参训人员熟练掌握设备操作、日常维护及业</w:t>
      </w:r>
      <w:r>
        <w:rPr>
          <w:rFonts w:ascii="宋体" w:hAnsi="宋体" w:hint="eastAsia"/>
          <w:szCs w:val="21"/>
        </w:rPr>
        <w:t>务应用技能。</w:t>
      </w:r>
    </w:p>
    <w:p w:rsidR="00566B78">
      <w:pPr>
        <w:spacing w:line="360" w:lineRule="auto"/>
        <w:ind w:firstLine="420" w:firstLineChars="200"/>
        <w:rPr>
          <w:rFonts w:ascii="宋体" w:hAnsi="宋体"/>
          <w:szCs w:val="21"/>
        </w:rPr>
      </w:pPr>
      <w:r>
        <w:rPr>
          <w:rFonts w:ascii="宋体" w:eastAsia="宋体" w:hAnsi="宋体" w:cs="Times New Roman" w:hint="eastAsia"/>
          <w:szCs w:val="21"/>
        </w:rPr>
        <w:t>5.</w:t>
      </w:r>
      <w:r>
        <w:rPr>
          <w:rFonts w:ascii="宋体" w:eastAsia="宋体" w:hAnsi="宋体" w:cs="Times New Roman" w:hint="eastAsia"/>
          <w:szCs w:val="21"/>
        </w:rPr>
        <w:t>采购人</w:t>
      </w:r>
      <w:r>
        <w:rPr>
          <w:rFonts w:ascii="宋体" w:eastAsia="宋体" w:hAnsi="宋体" w:cs="Times New Roman" w:hint="eastAsia"/>
          <w:szCs w:val="21"/>
        </w:rPr>
        <w:t>有重大活动或应急保障时，可要求中标人提供现场保障服务。</w:t>
      </w:r>
    </w:p>
    <w:p w:rsidR="00566B78">
      <w:pPr>
        <w:spacing w:line="360" w:lineRule="auto"/>
        <w:ind w:firstLine="420" w:firstLineChars="200"/>
        <w:rPr>
          <w:rFonts w:ascii="宋体" w:eastAsia="宋体" w:hAnsi="宋体"/>
          <w:szCs w:val="21"/>
        </w:rPr>
      </w:pPr>
      <w:r>
        <w:rPr>
          <w:rFonts w:ascii="宋体" w:hAnsi="宋体" w:hint="eastAsia"/>
          <w:szCs w:val="21"/>
        </w:rPr>
        <w:t>（</w:t>
      </w:r>
      <w:r>
        <w:rPr>
          <w:rFonts w:ascii="宋体" w:hAnsi="宋体" w:hint="eastAsia"/>
          <w:szCs w:val="21"/>
        </w:rPr>
        <w:t>二</w:t>
      </w:r>
      <w:r>
        <w:rPr>
          <w:rFonts w:ascii="宋体" w:hAnsi="宋体" w:hint="eastAsia"/>
          <w:szCs w:val="21"/>
        </w:rPr>
        <w:t>）</w:t>
      </w:r>
      <w:r>
        <w:rPr>
          <w:rFonts w:ascii="宋体" w:hAnsi="宋体" w:hint="eastAsia"/>
          <w:szCs w:val="21"/>
        </w:rPr>
        <w:t>质保期服务</w:t>
      </w:r>
    </w:p>
    <w:p w:rsidR="00566B78">
      <w:pPr>
        <w:spacing w:line="360" w:lineRule="auto"/>
        <w:ind w:firstLine="420" w:firstLineChars="200"/>
        <w:rPr>
          <w:rFonts w:cs="宋体"/>
          <w:szCs w:val="21"/>
        </w:rPr>
      </w:pPr>
      <w:r>
        <w:rPr>
          <w:rFonts w:ascii="宋体" w:hAnsi="宋体" w:cs="宋体" w:hint="eastAsia"/>
          <w:szCs w:val="21"/>
        </w:rPr>
        <w:t>1.</w:t>
      </w:r>
      <w:r w:rsidRPr="00A26C04">
        <w:rPr>
          <w:rFonts w:ascii="宋体" w:hAnsi="宋体" w:hint="eastAsia"/>
          <w:szCs w:val="21"/>
          <w:highlight w:val="yellow"/>
        </w:rPr>
        <w:t xml:space="preserve"> </w:t>
      </w:r>
      <w:r>
        <w:rPr>
          <w:rFonts w:ascii="宋体" w:hAnsi="宋体" w:hint="eastAsia"/>
          <w:szCs w:val="21"/>
          <w:highlight w:val="yellow"/>
        </w:rPr>
        <w:t>中标人提供自用户验收合格后8年的免费质保期服务（提供相关承诺函）*</w:t>
      </w:r>
      <w:r>
        <w:rPr>
          <w:rFonts w:cs="宋体" w:hint="eastAsia"/>
          <w:szCs w:val="21"/>
        </w:rPr>
        <w:t>,</w:t>
      </w:r>
      <w:r>
        <w:rPr>
          <w:rFonts w:ascii="宋体" w:hAnsi="宋体" w:cs="宋体" w:hint="eastAsia"/>
          <w:szCs w:val="21"/>
        </w:rPr>
        <w:t>质保期内因设备设计、质量出现问题，均由中标人即时无偿解决</w:t>
      </w:r>
      <w:r>
        <w:rPr>
          <w:rFonts w:ascii="宋体" w:hAnsi="宋体" w:cs="宋体" w:hint="eastAsia"/>
          <w:szCs w:val="21"/>
        </w:rPr>
        <w:t>(</w:t>
      </w:r>
      <w:r>
        <w:rPr>
          <w:rFonts w:ascii="宋体" w:hAnsi="宋体" w:cs="宋体" w:hint="eastAsia"/>
          <w:szCs w:val="21"/>
        </w:rPr>
        <w:t>包括更换器件</w:t>
      </w:r>
      <w:r>
        <w:rPr>
          <w:rFonts w:ascii="宋体" w:hAnsi="宋体" w:cs="宋体" w:hint="eastAsia"/>
          <w:szCs w:val="21"/>
        </w:rPr>
        <w:t>)</w:t>
      </w:r>
      <w:r>
        <w:rPr>
          <w:rFonts w:ascii="宋体" w:hAnsi="宋体" w:cs="宋体" w:hint="eastAsia"/>
          <w:szCs w:val="21"/>
        </w:rPr>
        <w:t>，如因自身故障致设备停用时间累计超过</w:t>
      </w:r>
      <w:r>
        <w:rPr>
          <w:rFonts w:ascii="宋体" w:hAnsi="宋体" w:cs="宋体" w:hint="eastAsia"/>
          <w:szCs w:val="21"/>
        </w:rPr>
        <w:t>20</w:t>
      </w:r>
      <w:r>
        <w:rPr>
          <w:rFonts w:ascii="宋体" w:hAnsi="宋体" w:cs="宋体" w:hint="eastAsia"/>
          <w:szCs w:val="21"/>
        </w:rPr>
        <w:t>天时，则质保期在状态恢复正常时重新计算。质保期内，经中标人累计</w:t>
      </w:r>
      <w:r>
        <w:rPr>
          <w:rFonts w:ascii="宋体" w:hAnsi="宋体" w:cs="宋体" w:hint="eastAsia"/>
          <w:szCs w:val="21"/>
        </w:rPr>
        <w:t>5</w:t>
      </w:r>
      <w:r>
        <w:rPr>
          <w:rFonts w:ascii="宋体" w:hAnsi="宋体" w:cs="宋体" w:hint="eastAsia"/>
          <w:szCs w:val="21"/>
        </w:rPr>
        <w:t>次维修仍无法正常使用或达不到相关质量标准的，视作设备存在严重质量问题，应支付赔偿金并退还已付全部款项。</w:t>
      </w:r>
    </w:p>
    <w:p w:rsidR="00566B78">
      <w:pPr>
        <w:spacing w:line="360" w:lineRule="auto"/>
        <w:ind w:firstLine="420" w:firstLineChars="200"/>
        <w:rPr>
          <w:rFonts w:ascii="宋体" w:hAnsi="宋体"/>
          <w:szCs w:val="21"/>
        </w:rPr>
      </w:pPr>
      <w:r>
        <w:rPr>
          <w:rFonts w:ascii="宋体" w:hAnsi="宋体" w:cs="宋体" w:hint="eastAsia"/>
          <w:szCs w:val="21"/>
        </w:rPr>
        <w:t>2.</w:t>
      </w:r>
      <w:r>
        <w:rPr>
          <w:rFonts w:ascii="宋体" w:hAnsi="宋体" w:cs="宋体" w:hint="eastAsia"/>
          <w:szCs w:val="21"/>
        </w:rPr>
        <w:t>中标人应对投标产品提供巡检和定标服务，主要包括日巡查、周维护、</w:t>
      </w:r>
      <w:r>
        <w:rPr>
          <w:rFonts w:ascii="宋体" w:hAnsi="宋体" w:cs="宋体" w:hint="eastAsia"/>
          <w:szCs w:val="21"/>
        </w:rPr>
        <w:t>月维护</w:t>
      </w:r>
      <w:r>
        <w:rPr>
          <w:rFonts w:ascii="宋体" w:hAnsi="宋体" w:cs="宋体" w:hint="eastAsia"/>
          <w:szCs w:val="21"/>
        </w:rPr>
        <w:t>及标校、汛前巡检及标校、</w:t>
      </w:r>
      <w:r>
        <w:rPr>
          <w:rFonts w:ascii="宋体" w:hAnsi="宋体" w:cs="宋体" w:hint="eastAsia"/>
          <w:szCs w:val="21"/>
        </w:rPr>
        <w:t>年维护</w:t>
      </w:r>
      <w:r>
        <w:rPr>
          <w:rFonts w:ascii="宋体" w:hAnsi="宋体" w:cs="宋体" w:hint="eastAsia"/>
          <w:szCs w:val="21"/>
        </w:rPr>
        <w:t>及标校（标定）、消防设备检测等现场巡检巡查工作。</w:t>
      </w:r>
      <w:r>
        <w:rPr>
          <w:rFonts w:ascii="宋体" w:hAnsi="宋体" w:hint="eastAsia"/>
          <w:szCs w:val="21"/>
        </w:rPr>
        <w:t>质保期内为免费用户提供</w:t>
      </w:r>
      <w:r>
        <w:rPr>
          <w:rFonts w:ascii="宋体" w:hAnsi="宋体" w:hint="eastAsia"/>
          <w:szCs w:val="21"/>
        </w:rPr>
        <w:t>1</w:t>
      </w:r>
      <w:r>
        <w:rPr>
          <w:rFonts w:ascii="Times New Roman" w:hAnsi="Times New Roman" w:cs="Times New Roman"/>
          <w:szCs w:val="21"/>
        </w:rPr>
        <w:t>~</w:t>
      </w:r>
      <w:r>
        <w:rPr>
          <w:rFonts w:ascii="宋体" w:hAnsi="宋体" w:hint="eastAsia"/>
          <w:szCs w:val="21"/>
        </w:rPr>
        <w:t>2</w:t>
      </w:r>
      <w:r>
        <w:rPr>
          <w:rFonts w:ascii="宋体" w:hAnsi="宋体" w:hint="eastAsia"/>
          <w:szCs w:val="21"/>
        </w:rPr>
        <w:t>次搬移服务。</w:t>
      </w:r>
    </w:p>
    <w:p w:rsidR="00566B78">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在质保期内，中标人服务时间应为</w:t>
      </w:r>
      <w:r>
        <w:rPr>
          <w:rFonts w:ascii="宋体" w:hAnsi="宋体" w:hint="eastAsia"/>
          <w:szCs w:val="21"/>
        </w:rPr>
        <w:t>7</w:t>
      </w:r>
      <w:r>
        <w:t>×</w:t>
      </w:r>
      <w:r>
        <w:rPr>
          <w:rFonts w:ascii="宋体" w:hAnsi="宋体" w:hint="eastAsia"/>
          <w:szCs w:val="21"/>
        </w:rPr>
        <w:t>24</w:t>
      </w:r>
      <w:r>
        <w:rPr>
          <w:rFonts w:ascii="宋体" w:hAnsi="宋体" w:hint="eastAsia"/>
          <w:szCs w:val="21"/>
        </w:rPr>
        <w:t>小时，在接报后</w:t>
      </w:r>
      <w:r>
        <w:rPr>
          <w:rFonts w:ascii="宋体" w:hAnsi="宋体" w:hint="eastAsia"/>
          <w:szCs w:val="21"/>
        </w:rPr>
        <w:t>1</w:t>
      </w:r>
      <w:r>
        <w:rPr>
          <w:rFonts w:ascii="宋体" w:hAnsi="宋体" w:hint="eastAsia"/>
          <w:szCs w:val="21"/>
        </w:rPr>
        <w:t>小时内响应，给予远程技术支持</w:t>
      </w:r>
      <w:r>
        <w:rPr>
          <w:rFonts w:ascii="宋体" w:hAnsi="宋体" w:hint="eastAsia"/>
          <w:szCs w:val="21"/>
        </w:rPr>
        <w:t>；</w:t>
      </w:r>
      <w:r>
        <w:rPr>
          <w:rFonts w:ascii="宋体" w:hAnsi="宋体" w:hint="eastAsia"/>
          <w:szCs w:val="21"/>
        </w:rPr>
        <w:t>需现场处理的，观测期</w:t>
      </w:r>
      <w:r>
        <w:rPr>
          <w:rFonts w:ascii="宋体" w:hAnsi="宋体" w:hint="eastAsia"/>
          <w:szCs w:val="21"/>
        </w:rPr>
        <w:t>12</w:t>
      </w:r>
      <w:r>
        <w:rPr>
          <w:rFonts w:ascii="宋体" w:hAnsi="宋体" w:hint="eastAsia"/>
          <w:szCs w:val="21"/>
        </w:rPr>
        <w:t>小时内到达现场，</w:t>
      </w:r>
      <w:r>
        <w:rPr>
          <w:rFonts w:ascii="宋体" w:hAnsi="宋体" w:hint="eastAsia"/>
          <w:szCs w:val="21"/>
        </w:rPr>
        <w:t>48</w:t>
      </w:r>
      <w:r>
        <w:rPr>
          <w:rFonts w:ascii="宋体" w:hAnsi="宋体" w:hint="eastAsia"/>
          <w:szCs w:val="21"/>
        </w:rPr>
        <w:t>小时完成故障修复</w:t>
      </w:r>
      <w:r>
        <w:rPr>
          <w:rFonts w:ascii="宋体" w:hAnsi="宋体" w:hint="eastAsia"/>
          <w:szCs w:val="21"/>
        </w:rPr>
        <w:t>；</w:t>
      </w:r>
      <w:r>
        <w:rPr>
          <w:rFonts w:ascii="宋体" w:hAnsi="宋体" w:hint="eastAsia"/>
          <w:szCs w:val="21"/>
        </w:rPr>
        <w:t>非观测期</w:t>
      </w:r>
      <w:r>
        <w:rPr>
          <w:rFonts w:ascii="宋体" w:hAnsi="宋体" w:hint="eastAsia"/>
          <w:szCs w:val="21"/>
        </w:rPr>
        <w:t>24</w:t>
      </w:r>
      <w:r>
        <w:rPr>
          <w:rFonts w:ascii="宋体" w:hAnsi="宋体" w:hint="eastAsia"/>
          <w:szCs w:val="21"/>
        </w:rPr>
        <w:t>小时内到达现场，</w:t>
      </w:r>
      <w:r>
        <w:rPr>
          <w:rFonts w:ascii="宋体" w:hAnsi="宋体" w:hint="eastAsia"/>
          <w:szCs w:val="21"/>
        </w:rPr>
        <w:t>72</w:t>
      </w:r>
      <w:r>
        <w:rPr>
          <w:rFonts w:ascii="宋体" w:hAnsi="宋体" w:hint="eastAsia"/>
          <w:szCs w:val="21"/>
        </w:rPr>
        <w:t>小时完成故障修复，确保设备正常投入业务运行。如在检修时间后仍无法排除故障，则</w:t>
      </w:r>
      <w:r>
        <w:rPr>
          <w:rFonts w:ascii="宋体" w:hAnsi="宋体" w:hint="eastAsia"/>
          <w:szCs w:val="21"/>
        </w:rPr>
        <w:t>中标方</w:t>
      </w:r>
      <w:r>
        <w:rPr>
          <w:rFonts w:ascii="宋体" w:hAnsi="宋体" w:hint="eastAsia"/>
          <w:szCs w:val="21"/>
        </w:rPr>
        <w:t>应在</w:t>
      </w:r>
      <w:r>
        <w:rPr>
          <w:rFonts w:ascii="宋体" w:hAnsi="宋体" w:hint="eastAsia"/>
          <w:szCs w:val="21"/>
        </w:rPr>
        <w:t>24</w:t>
      </w:r>
      <w:r>
        <w:rPr>
          <w:rFonts w:ascii="宋体" w:hAnsi="宋体" w:hint="eastAsia"/>
          <w:szCs w:val="21"/>
        </w:rPr>
        <w:t>小时内提供不低于故障设备规格、型号、性能的备用设备供甲方使用，直至故障设备修复或更换。由此产生的一切费用均由中标人承担。</w:t>
      </w:r>
    </w:p>
    <w:p w:rsidR="00566B78">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szCs w:val="21"/>
        </w:rPr>
        <w:t>中标方需配合采购方，完成</w:t>
      </w:r>
      <w:r>
        <w:rPr>
          <w:rFonts w:ascii="宋体" w:eastAsia="宋体" w:hAnsi="宋体" w:cs="Times New Roman"/>
          <w:szCs w:val="21"/>
        </w:rPr>
        <w:t>ROSE-X</w:t>
      </w:r>
      <w:r>
        <w:rPr>
          <w:rFonts w:ascii="宋体" w:eastAsia="宋体" w:hAnsi="宋体" w:cs="Times New Roman"/>
          <w:szCs w:val="21"/>
        </w:rPr>
        <w:t>等软件的安装调试，保证上站后能够安全稳定运行。投标方须提供承诺函。</w:t>
      </w:r>
    </w:p>
    <w:p w:rsidR="00566B78">
      <w:pPr>
        <w:spacing w:line="360" w:lineRule="auto"/>
        <w:ind w:firstLine="420" w:firstLineChars="200"/>
        <w:rPr>
          <w:rFonts w:ascii="宋体" w:hAnsi="宋体"/>
          <w:szCs w:val="21"/>
        </w:rPr>
      </w:pPr>
      <w:r>
        <w:rPr>
          <w:rFonts w:ascii="宋体" w:eastAsia="宋体" w:hAnsi="宋体" w:hint="eastAsia"/>
          <w:szCs w:val="21"/>
        </w:rPr>
        <w:t>5</w:t>
      </w:r>
      <w:r>
        <w:rPr>
          <w:rFonts w:ascii="宋体" w:eastAsia="宋体" w:hAnsi="宋体" w:cs="Times New Roman" w:hint="eastAsia"/>
          <w:szCs w:val="21"/>
        </w:rPr>
        <w:t>.</w:t>
      </w:r>
      <w:r>
        <w:rPr>
          <w:rFonts w:ascii="宋体" w:hAnsi="宋体" w:hint="eastAsia"/>
          <w:szCs w:val="21"/>
        </w:rPr>
        <w:t>质保期过后，中标人仍有义务提供技术服务</w:t>
      </w:r>
      <w:r>
        <w:rPr>
          <w:rFonts w:ascii="宋体" w:hAnsi="宋体" w:hint="eastAsia"/>
          <w:szCs w:val="21"/>
        </w:rPr>
        <w:t>(</w:t>
      </w:r>
      <w:r>
        <w:rPr>
          <w:rFonts w:ascii="宋体" w:hAnsi="宋体" w:hint="eastAsia"/>
          <w:szCs w:val="21"/>
        </w:rPr>
        <w:t>包括提供设备维护、备件等</w:t>
      </w:r>
      <w:r>
        <w:rPr>
          <w:rFonts w:ascii="宋体" w:hAnsi="宋体" w:hint="eastAsia"/>
          <w:szCs w:val="21"/>
        </w:rPr>
        <w:t>)</w:t>
      </w:r>
      <w:r>
        <w:rPr>
          <w:rFonts w:ascii="宋体" w:hAnsi="宋体" w:hint="eastAsia"/>
          <w:szCs w:val="21"/>
        </w:rPr>
        <w:t>。</w:t>
      </w:r>
    </w:p>
    <w:p w:rsidR="00566B78">
      <w:pPr>
        <w:spacing w:line="360" w:lineRule="auto"/>
        <w:ind w:firstLine="210" w:firstLineChars="100"/>
        <w:rPr>
          <w:rFonts w:ascii="宋体" w:hAnsi="宋体"/>
          <w:b/>
          <w:bCs/>
          <w:szCs w:val="21"/>
        </w:rPr>
      </w:pPr>
      <w:r>
        <w:rPr>
          <w:rFonts w:ascii="宋体" w:hAnsi="宋体" w:hint="eastAsia"/>
          <w:b/>
          <w:bCs/>
          <w:szCs w:val="21"/>
        </w:rPr>
        <w:t>六、培训要求</w:t>
      </w:r>
    </w:p>
    <w:p w:rsidR="00566B78">
      <w:pPr>
        <w:spacing w:line="360" w:lineRule="auto"/>
        <w:ind w:firstLine="420" w:firstLineChars="200"/>
        <w:rPr>
          <w:rFonts w:ascii="宋体" w:hAnsi="宋体" w:cs="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w:t>
      </w:r>
      <w:r>
        <w:rPr>
          <w:rFonts w:ascii="宋体" w:hAnsi="宋体" w:hint="eastAsia"/>
          <w:szCs w:val="21"/>
        </w:rPr>
        <w:t>2</w:t>
      </w:r>
      <w:r>
        <w:rPr>
          <w:rFonts w:ascii="宋体" w:hAnsi="宋体" w:hint="eastAsia"/>
          <w:szCs w:val="21"/>
        </w:rPr>
        <w:t>年；设备供应商对每套投标产品提供至少</w:t>
      </w:r>
      <w:r>
        <w:rPr>
          <w:rFonts w:ascii="宋体" w:hAnsi="宋体" w:hint="eastAsia"/>
          <w:szCs w:val="21"/>
        </w:rPr>
        <w:t>2</w:t>
      </w:r>
      <w:r>
        <w:rPr>
          <w:rFonts w:ascii="宋体" w:hAnsi="宋体" w:hint="eastAsia"/>
          <w:szCs w:val="21"/>
        </w:rPr>
        <w:t>次技术培训，培训内容包括设备安装、使用、日常维护、观测原理及产品应用，培训时间及地点双方协商确定。</w:t>
      </w:r>
    </w:p>
    <w:p w:rsidR="00566B78">
      <w:pPr>
        <w:spacing w:line="360" w:lineRule="auto"/>
        <w:rPr>
          <w:rFonts w:ascii="宋体" w:eastAsia="宋体" w:hAnsi="宋体" w:cs="Times New Roman"/>
          <w:szCs w:val="21"/>
        </w:rPr>
      </w:pPr>
    </w:p>
    <w:p w:rsidR="00566B78">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566B78">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2"/>
        <w:gridCol w:w="1420"/>
        <w:gridCol w:w="676"/>
        <w:gridCol w:w="939"/>
        <w:gridCol w:w="1071"/>
        <w:gridCol w:w="3643"/>
        <w:gridCol w:w="40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X波段双线偏振多普勒天气雷达（移动式）</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3,780,000.00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3,780,000.00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2"/>
        <w:gridCol w:w="2434"/>
        <w:gridCol w:w="1625"/>
        <w:gridCol w:w="472"/>
        <w:gridCol w:w="1075"/>
        <w:gridCol w:w="896"/>
        <w:gridCol w:w="1075"/>
        <w:gridCol w:w="47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业务与科技发展科(001034015002)</w:t>
            </w:r>
          </w:p>
        </w:tc>
        <w:tc>
          <w:tcPr/>
          <w:p>
            <w:r>
              <w:t>X波段双线偏振多普勒天气雷达（移动式）</w:t>
            </w:r>
          </w:p>
        </w:tc>
        <w:tc>
          <w:tcPr/>
          <w:p>
            <w:r>
              <w:t>1</w:t>
            </w:r>
          </w:p>
        </w:tc>
        <w:tc>
          <w:tcPr/>
          <w:p>
            <w:r>
              <w:t>3780000.00</w:t>
            </w:r>
          </w:p>
        </w:tc>
        <w:tc>
          <w:tcPr/>
          <w:p>
            <w:r>
              <w:t xml:space="preserve">3780000.00  </w:t>
            </w:r>
          </w:p>
        </w:tc>
        <w:tc>
          <w:tcPr/>
          <w:p>
            <w:r>
              <w:t>山西省大同市</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566B78">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lang w:val="en-US" w:eastAsia="zh-CN"/>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投标人应具有以下到投标截止日仍在有效期内的资质：X波段双线偏振多普勒天气雷达（全固态）气象专用技术装备许可证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五（二）</w:t>
            </w:r>
          </w:p>
        </w:tc>
        <w:tc>
          <w:tcPr>
            <w:tcW w:w="7347" w:type="dxa"/>
            <w:vAlign w:val="center"/>
          </w:tcPr>
          <w:p>
            <w:pPr>
              <w:tabs>
                <w:tab w:val="left" w:pos="709"/>
              </w:tabs>
              <w:spacing w:line="360" w:lineRule="auto"/>
              <w:jc w:val="left"/>
              <w:rPr>
                <w:rFonts w:ascii="宋体" w:hAnsi="宋体"/>
                <w:sz w:val="18"/>
                <w:szCs w:val="18"/>
              </w:rPr>
            </w:pPr>
            <w:r>
              <w:rPr>
                <w:rFonts w:ascii="宋体" w:hAnsi="宋体" w:hint="eastAsia"/>
                <w:szCs w:val="21"/>
                <w:highlight w:val="yellow"/>
              </w:rPr>
              <w:t>提供自用户验收合格后8年的免费质保期服务（提供相关承诺函）*</w:t>
            </w:r>
          </w:p>
        </w:tc>
      </w:tr>
    </w:tbl>
    <w:p>
      <w:pPr>
        <w:spacing w:before="156" w:beforeLines="50" w:line="360" w:lineRule="auto"/>
        <w:ind w:firstLine="420"/>
      </w:pPr>
      <w:r>
        <w:rPr>
          <w:rFonts w:ascii="宋体" w:hAnsi="宋体" w:hint="eastAsia"/>
          <w:szCs w:val="21"/>
        </w:rPr>
        <w:t>注：根据项目具体情况，对投标人有具体要</w:t>
      </w:r>
      <w:r>
        <w:rPr>
          <w:rFonts w:ascii="宋体" w:hAnsi="宋体" w:hint="eastAsia"/>
          <w:szCs w:val="21"/>
        </w:rPr>
        <w:t>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07F94" w:rsidP="00284C4F">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B07F94">
      <w:pPr>
        <w:spacing w:line="360" w:lineRule="auto"/>
        <w:ind w:left="1680" w:firstLine="420"/>
        <w:jc w:val="left"/>
        <w:rPr>
          <w:b/>
          <w:bCs/>
          <w:szCs w:val="21"/>
        </w:rPr>
      </w:pPr>
      <w:r>
        <w:rPr>
          <w:rFonts w:hint="eastAsia"/>
          <w:b/>
          <w:bCs/>
          <w:szCs w:val="21"/>
        </w:rPr>
        <w:t>必须明确合同金额支付条件及支付比例</w:t>
      </w:r>
    </w:p>
    <w:p w:rsidR="00B07F94">
      <w:pPr>
        <w:pStyle w:val="BodyText"/>
        <w:spacing w:after="0"/>
        <w:jc w:val="center"/>
        <w:rPr>
          <w:rFonts w:ascii="宋体" w:hAnsi="宋体" w:cs="宋体"/>
          <w:b/>
          <w:bCs/>
          <w:spacing w:val="-20"/>
          <w:kern w:val="44"/>
          <w:sz w:val="48"/>
          <w:szCs w:val="48"/>
        </w:rPr>
      </w:pPr>
      <w:r>
        <w:rPr>
          <w:b/>
          <w:bCs/>
          <w:szCs w:val="21"/>
        </w:rPr>
        <w:br w:type="page"/>
      </w:r>
      <w:bookmarkStart w:id="70" w:name="_Toc3995"/>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p>
    <w:p w:rsidR="00B07F9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07F9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07F94">
      <w:pPr>
        <w:rPr>
          <w:rFonts w:ascii="宋体" w:hAnsi="宋体" w:cs="宋体"/>
          <w:b/>
          <w:bCs/>
          <w:spacing w:val="-20"/>
          <w:kern w:val="44"/>
          <w:sz w:val="40"/>
          <w:szCs w:val="40"/>
        </w:rPr>
      </w:pPr>
    </w:p>
    <w:p w:rsidR="00B07F94">
      <w:pPr>
        <w:rPr>
          <w:rFonts w:ascii="宋体" w:hAnsi="宋体" w:cs="宋体"/>
          <w:b/>
          <w:bCs/>
          <w:spacing w:val="-20"/>
          <w:kern w:val="44"/>
          <w:sz w:val="40"/>
          <w:szCs w:val="40"/>
        </w:rPr>
      </w:pPr>
    </w:p>
    <w:p w:rsidR="00B07F94">
      <w:pPr>
        <w:rPr>
          <w:rFonts w:ascii="宋体" w:hAnsi="宋体" w:cs="宋体"/>
          <w:b/>
          <w:bCs/>
          <w:spacing w:val="-20"/>
          <w:kern w:val="44"/>
          <w:sz w:val="40"/>
          <w:szCs w:val="40"/>
        </w:rPr>
      </w:pPr>
    </w:p>
    <w:p w:rsidR="00B07F9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07F9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07F9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07F9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07F9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07F94"/>
    <w:p w:rsidR="00B07F94">
      <w:pPr>
        <w:rPr>
          <w:rFonts w:eastAsia="黑体"/>
          <w:sz w:val="44"/>
          <w:szCs w:val="44"/>
        </w:rPr>
      </w:pPr>
      <w:r>
        <w:rPr>
          <w:rFonts w:eastAsia="黑体"/>
          <w:sz w:val="44"/>
          <w:szCs w:val="44"/>
        </w:rPr>
        <w:br w:type="page"/>
      </w:r>
    </w:p>
    <w:p w:rsidR="00B07F94">
      <w:pPr>
        <w:rPr>
          <w:rFonts w:eastAsia="黑体"/>
          <w:sz w:val="44"/>
          <w:szCs w:val="44"/>
        </w:rPr>
      </w:pPr>
    </w:p>
    <w:p w:rsidR="00B07F94">
      <w:pPr>
        <w:rPr>
          <w:rFonts w:eastAsia="黑体"/>
          <w:sz w:val="44"/>
          <w:szCs w:val="44"/>
        </w:rPr>
      </w:pPr>
    </w:p>
    <w:p w:rsidR="00B07F9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07F94">
      <w:pPr>
        <w:ind w:firstLine="640" w:firstLineChars="200"/>
        <w:rPr>
          <w:rFonts w:ascii="仿宋_GB2312" w:eastAsia="仿宋_GB2312" w:hAnsi="仿宋_GB2312" w:cs="仿宋_GB2312"/>
          <w:sz w:val="32"/>
          <w:szCs w:val="32"/>
        </w:rPr>
      </w:pPr>
    </w:p>
    <w:p w:rsidR="00B07F9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B07F9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B07F9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B07F94">
      <w:pPr>
        <w:rPr>
          <w:rFonts w:eastAsia="黑体"/>
          <w:sz w:val="44"/>
          <w:szCs w:val="44"/>
        </w:rPr>
        <w:sectPr>
          <w:pgSz w:w="11906" w:h="16838"/>
          <w:pgMar w:top="1440" w:right="1800" w:bottom="1440" w:left="1800" w:header="851" w:footer="992" w:gutter="0"/>
          <w:cols w:space="425"/>
          <w:docGrid w:type="lines" w:linePitch="312"/>
        </w:sectPr>
      </w:pPr>
    </w:p>
    <w:p w:rsidR="00B07F94">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B07F9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 xml:space="preserve">                                  </w:t>
      </w:r>
      <w:r>
        <w:rPr>
          <w:rFonts w:ascii="宋体" w:hAnsi="宋体" w:hint="eastAsia"/>
          <w:szCs w:val="21"/>
        </w:rPr>
        <w:t>文件约定的合同甲方）</w:t>
      </w:r>
    </w:p>
    <w:p w:rsidR="00B07F9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B07F94">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07F9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07F94">
      <w:pPr>
        <w:spacing w:line="400" w:lineRule="exact"/>
      </w:pPr>
    </w:p>
    <w:p w:rsidR="00B07F9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谈判文件等采购文件、乙方的《投</w:t>
      </w:r>
      <w:r>
        <w:rPr>
          <w:rFonts w:ascii="宋体" w:hAnsi="宋体" w:hint="eastAsia"/>
          <w:szCs w:val="21"/>
        </w:rPr>
        <w:t>标（响应）文件》及《中标（成交）通知书》，甲乙双方同意签订本合同。具体情况及要求如下：</w:t>
      </w:r>
      <w:r>
        <w:rPr>
          <w:rFonts w:ascii="宋体" w:hAnsi="宋体" w:hint="eastAsia"/>
          <w:szCs w:val="21"/>
        </w:rPr>
        <w:t xml:space="preserve">     </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07F94">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07F9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B07F9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07F9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07F9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B07F9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07F9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B07F9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07F9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07F9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B07F9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B07F9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07F9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07F9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07F94">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rPr>
          <w:rFonts w:ascii="宋体" w:hAnsi="宋体"/>
          <w:iCs/>
          <w:szCs w:val="21"/>
        </w:rPr>
      </w:pPr>
      <w:r>
        <w:rPr>
          <w:rFonts w:hint="eastAsia"/>
        </w:rPr>
        <w:t xml:space="preserve">         </w:t>
      </w:r>
      <w:r>
        <w:rPr>
          <w:rFonts w:hint="eastAsia"/>
        </w:rPr>
        <w:t>若本项目不</w:t>
      </w:r>
      <w:r>
        <w:rPr>
          <w:rFonts w:hint="eastAsia"/>
        </w:rPr>
        <w:t>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B07F9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B07F9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B07F9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u w:val="single"/>
        </w:rPr>
        <w:t xml:space="preserve">                          </w:t>
      </w:r>
    </w:p>
    <w:p w:rsidR="00B07F9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B07F9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B07F9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B07F9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B07F9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07F9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B07F9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B07F9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07F9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B07F9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07F9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B07F9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07F9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07F9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B07F9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B07F9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B07F9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07F9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B07F9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B07F94">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B07F94">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B07F9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w:t>
      </w:r>
      <w:r>
        <w:rPr>
          <w:rFonts w:ascii="宋体" w:hAnsi="宋体" w:hint="eastAsia"/>
          <w:iCs/>
          <w:szCs w:val="21"/>
        </w:rPr>
        <w:t>他</w:t>
      </w:r>
      <w:r>
        <w:rPr>
          <w:rFonts w:ascii="宋体" w:hAnsi="宋体" w:hint="eastAsia"/>
          <w:szCs w:val="21"/>
          <w:u w:val="single"/>
        </w:rPr>
        <w:t xml:space="preserve">       </w:t>
      </w:r>
    </w:p>
    <w:p w:rsidR="00B07F94">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B07F9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304695" w:rsidP="00304695">
      <w:pPr>
        <w:snapToGrid w:val="0"/>
        <w:spacing w:line="400" w:lineRule="exact"/>
        <w:ind w:firstLine="630" w:firstLineChars="300"/>
        <w:rPr>
          <w:rFonts w:ascii="宋体" w:hAnsi="宋体"/>
          <w:szCs w:val="21"/>
        </w:rPr>
      </w:pPr>
      <w:r>
        <w:rPr>
          <w:rFonts w:ascii="Wingdings" w:hAnsi="Wingdings"/>
          <w:szCs w:val="21"/>
        </w:rPr>
        <w:sym w:font="Wingdings" w:char="F0FE"/>
      </w:r>
      <w:r>
        <w:rPr>
          <w:rFonts w:ascii="宋体" w:hAnsi="宋体" w:hint="eastAsia"/>
          <w:szCs w:val="21"/>
        </w:rPr>
        <w:t>分期付款：</w:t>
      </w:r>
    </w:p>
    <w:p w:rsidR="00304695" w:rsidP="00304695">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合同签订后，乙方向甲方提供合同总金额</w:t>
      </w:r>
      <w:r>
        <w:rPr>
          <w:rFonts w:ascii="宋体" w:hAnsi="宋体" w:hint="eastAsia"/>
          <w:szCs w:val="21"/>
        </w:rPr>
        <w:t xml:space="preserve"> 5 %</w:t>
      </w:r>
      <w:r>
        <w:rPr>
          <w:rFonts w:ascii="宋体" w:hAnsi="宋体" w:hint="eastAsia"/>
          <w:szCs w:val="21"/>
        </w:rPr>
        <w:t>的银行履约保函，</w:t>
      </w:r>
      <w:r w:rsidR="00284C4F">
        <w:rPr>
          <w:rFonts w:ascii="宋体" w:hAnsi="宋体" w:hint="eastAsia"/>
          <w:szCs w:val="21"/>
        </w:rPr>
        <w:t>合同</w:t>
      </w:r>
      <w:r>
        <w:rPr>
          <w:rFonts w:ascii="宋体" w:hAnsi="宋体" w:hint="eastAsia"/>
          <w:szCs w:val="21"/>
        </w:rPr>
        <w:t>验收合格后，甲方将银行履约保函退还乙方。</w:t>
      </w:r>
    </w:p>
    <w:p w:rsidR="00304695" w:rsidP="00304695">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合同签订后</w:t>
      </w:r>
      <w:r>
        <w:rPr>
          <w:rFonts w:ascii="宋体" w:hAnsi="宋体" w:hint="eastAsia"/>
          <w:szCs w:val="21"/>
        </w:rPr>
        <w:t>30</w:t>
      </w:r>
      <w:r>
        <w:rPr>
          <w:rFonts w:ascii="宋体" w:hAnsi="宋体" w:hint="eastAsia"/>
          <w:szCs w:val="21"/>
        </w:rPr>
        <w:t>日内甲方向乙方支付合同总金额的</w:t>
      </w:r>
      <w:r>
        <w:rPr>
          <w:rFonts w:ascii="宋体" w:hAnsi="宋体" w:hint="eastAsia"/>
          <w:szCs w:val="21"/>
        </w:rPr>
        <w:t>30%</w:t>
      </w:r>
      <w:r>
        <w:rPr>
          <w:rFonts w:ascii="宋体" w:hAnsi="宋体" w:hint="eastAsia"/>
          <w:szCs w:val="21"/>
        </w:rPr>
        <w:t>；设备出厂验收合格后</w:t>
      </w:r>
      <w:r>
        <w:rPr>
          <w:rFonts w:ascii="宋体" w:hAnsi="宋体" w:hint="eastAsia"/>
          <w:szCs w:val="21"/>
        </w:rPr>
        <w:t>30</w:t>
      </w:r>
      <w:r>
        <w:rPr>
          <w:rFonts w:ascii="宋体" w:hAnsi="宋体" w:hint="eastAsia"/>
          <w:szCs w:val="21"/>
        </w:rPr>
        <w:t>日内向乙方支付合同总金额的</w:t>
      </w:r>
      <w:r>
        <w:rPr>
          <w:rFonts w:ascii="宋体" w:hAnsi="宋体" w:hint="eastAsia"/>
          <w:szCs w:val="21"/>
        </w:rPr>
        <w:t>30%</w:t>
      </w:r>
      <w:r>
        <w:rPr>
          <w:rFonts w:ascii="宋体" w:hAnsi="宋体" w:hint="eastAsia"/>
          <w:szCs w:val="21"/>
        </w:rPr>
        <w:t>；设备安装调试完毕，现场验收合格</w:t>
      </w:r>
      <w:r>
        <w:rPr>
          <w:rFonts w:ascii="宋体" w:hAnsi="宋体" w:hint="eastAsia"/>
          <w:szCs w:val="21"/>
        </w:rPr>
        <w:t>30</w:t>
      </w:r>
      <w:r>
        <w:rPr>
          <w:rFonts w:ascii="宋体" w:hAnsi="宋体" w:hint="eastAsia"/>
          <w:szCs w:val="21"/>
        </w:rPr>
        <w:t>日内支付合同总金额的</w:t>
      </w:r>
      <w:r>
        <w:rPr>
          <w:rFonts w:ascii="宋体" w:hAnsi="宋体" w:hint="eastAsia"/>
          <w:szCs w:val="21"/>
        </w:rPr>
        <w:t>30%</w:t>
      </w:r>
      <w:r>
        <w:rPr>
          <w:rFonts w:ascii="宋体" w:hAnsi="宋体" w:hint="eastAsia"/>
          <w:szCs w:val="21"/>
        </w:rPr>
        <w:t>；</w:t>
      </w:r>
    </w:p>
    <w:p w:rsidR="00304695" w:rsidP="00304695">
      <w:pPr>
        <w:spacing w:line="360" w:lineRule="auto"/>
        <w:rPr>
          <w:rFonts w:ascii="宋体" w:hAnsi="宋体"/>
          <w:szCs w:val="21"/>
        </w:rPr>
      </w:pPr>
      <w:r>
        <w:rPr>
          <w:rFonts w:ascii="宋体" w:eastAsia="宋体" w:hAnsi="宋体" w:cs="Times New Roman" w:hint="eastAsia"/>
          <w:szCs w:val="21"/>
        </w:rPr>
        <w:t>合同验收通过后支付</w:t>
      </w:r>
      <w:r>
        <w:rPr>
          <w:rFonts w:ascii="宋体" w:hAnsi="宋体" w:hint="eastAsia"/>
          <w:szCs w:val="21"/>
        </w:rPr>
        <w:t>合同总金额的</w:t>
      </w:r>
      <w:r>
        <w:rPr>
          <w:rFonts w:ascii="宋体" w:eastAsia="宋体" w:hAnsi="宋体" w:cs="Times New Roman" w:hint="eastAsia"/>
          <w:szCs w:val="21"/>
        </w:rPr>
        <w:t>10%</w:t>
      </w:r>
      <w:r>
        <w:rPr>
          <w:rFonts w:ascii="宋体" w:eastAsia="宋体" w:hAnsi="宋体" w:cs="Times New Roman" w:hint="eastAsia"/>
          <w:szCs w:val="21"/>
        </w:rPr>
        <w:t>。</w:t>
      </w:r>
    </w:p>
    <w:p w:rsidR="00B07F9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B07F9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B07F94" w:rsidP="00284C4F">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B07F9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B07F9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B07F9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B07F9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B07F94">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B07F9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B07F9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07F94">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B07F9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B07F94">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07F9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07F9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B07F9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B07F9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B07F94">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B07F9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B07F94">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07F94" w:rsidP="00284C4F">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07F9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07F9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07F94">
      <w:r>
        <w:rPr>
          <w:rFonts w:hint="eastAsia"/>
        </w:rPr>
        <w:br w:type="page"/>
      </w:r>
    </w:p>
    <w:p w:rsidR="00B07F9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07F9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07F9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法定代表人</w:t>
            </w:r>
          </w:p>
          <w:p w:rsidR="00B07F9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法定代表人</w:t>
            </w:r>
          </w:p>
          <w:p w:rsidR="00B07F9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07F9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07F9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07F9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07F9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B07F9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07F9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07F9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B07F9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）“分包”系指中标（成交）供应商按采购文件、投标（响应）文件的规定，根据分包意向协议，将中标（成交）项目中的部分履约内容，分给具有相应资质条件的供应商履行合同的行为。</w:t>
      </w:r>
    </w:p>
    <w:p w:rsidR="00B07F9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07F9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07F9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07F9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r>
        <w:rPr>
          <w:rFonts w:ascii="宋体" w:hAnsi="宋体" w:hint="eastAsia"/>
          <w:color w:val="000000"/>
          <w:szCs w:val="21"/>
        </w:rPr>
        <w:t>。</w:t>
      </w:r>
    </w:p>
    <w:p w:rsidR="00B07F94">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07F9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07F94">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07F9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07F9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07F9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07F94">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07F94">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B07F94">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07F9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w:t>
      </w:r>
      <w:r>
        <w:rPr>
          <w:rFonts w:ascii="宋体" w:hAnsi="宋体" w:cs="宋体" w:hint="eastAsia"/>
          <w:color w:val="000000"/>
          <w:szCs w:val="21"/>
        </w:rPr>
        <w:t>做好货物的接收工作。</w:t>
      </w:r>
    </w:p>
    <w:p w:rsidR="00B07F94">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B07F9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07F94">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07F94">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07F94">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w:t>
      </w:r>
      <w:r>
        <w:rPr>
          <w:rFonts w:ascii="宋体" w:hAnsi="宋体" w:hint="eastAsia"/>
          <w:szCs w:val="21"/>
        </w:rPr>
        <w:t>将由乙方承担，甲方根据合同约定对乙方行使的其他权利不受影响。</w:t>
      </w:r>
    </w:p>
    <w:p w:rsidR="00B07F9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07F9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B07F9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B07F9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B07F94">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07F9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B07F9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w:t>
      </w:r>
      <w:r>
        <w:rPr>
          <w:rFonts w:ascii="宋体" w:hAnsi="宋体" w:hint="eastAsia"/>
          <w:szCs w:val="21"/>
        </w:rPr>
        <w:t>偿或赔偿，且不影响甲方要求乙方承担合同约定的超过履约保证金的违约责任的权利。</w:t>
      </w:r>
    </w:p>
    <w:p w:rsidR="00B07F94">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07F9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）货物的现场移动、安装、调试、启动监督及技术支持；</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B07F94">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B07F94">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B07F9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07F9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07F94">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07F94">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07F94">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w:t>
      </w:r>
      <w:r>
        <w:rPr>
          <w:rFonts w:ascii="宋体" w:hAnsi="宋体" w:hint="eastAsia"/>
          <w:szCs w:val="21"/>
        </w:rPr>
        <w:t>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w:t>
      </w:r>
      <w:r>
        <w:rPr>
          <w:rFonts w:ascii="宋体" w:hAnsi="宋体" w:hint="eastAsia"/>
          <w:szCs w:val="21"/>
        </w:rPr>
        <w:t>提供适当担保。乙方提供适当担保的，合同继续履行；乙方在合理期限内未恢复履约能力且未提供适当担保的，视为拒绝继续履约，甲方有权解除合同并要求乙方承担由此给甲方造成的损失。</w:t>
      </w:r>
    </w:p>
    <w:p w:rsidR="00B07F94">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B07F94">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B07F94">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07F9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07F9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不可抗力是指合同双方不能预见、不能避免且不能克服的客观情况。</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w:t>
      </w:r>
      <w:r>
        <w:rPr>
          <w:rFonts w:ascii="宋体" w:hAnsi="宋体" w:hint="eastAsia"/>
          <w:szCs w:val="21"/>
        </w:rPr>
        <w:t>其持续时间的证据。</w:t>
      </w:r>
    </w:p>
    <w:p w:rsidR="00B07F94">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w:t>
      </w:r>
      <w:r>
        <w:rPr>
          <w:rFonts w:ascii="宋体" w:eastAsia="宋体" w:hAnsi="宋体" w:cs="宋体" w:hint="eastAsia"/>
          <w:sz w:val="21"/>
        </w:rPr>
        <w:t>议解决期间，合同其他部分应当继续履行。</w:t>
      </w:r>
    </w:p>
    <w:p w:rsidR="00B07F94">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政府采购政策</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07F9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07F9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w:t>
      </w:r>
      <w:r>
        <w:rPr>
          <w:rFonts w:ascii="宋体" w:hAnsi="宋体" w:hint="eastAsia"/>
          <w:color w:val="auto"/>
          <w:szCs w:val="21"/>
        </w:rPr>
        <w:t>采购活动或者合同分包的，须将联合协议或者分包意向协议作为采购合同的组成部分。</w:t>
      </w:r>
    </w:p>
    <w:p w:rsidR="00B07F94">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B07F94">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B07F94">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B07F94">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B07F94">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B07F94">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B07F9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B07F9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B07F9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07F9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07F94"/>
        </w:tc>
      </w:tr>
      <w:tr>
        <w:tblPrEx>
          <w:tblW w:w="8519" w:type="dxa"/>
          <w:tblInd w:w="108" w:type="dxa"/>
          <w:tblLayout w:type="fixed"/>
          <w:tblLook w:val="04A0"/>
        </w:tblPrEx>
        <w:trPr>
          <w:trHeight w:val="667"/>
        </w:trPr>
        <w:tc>
          <w:tcPr>
            <w:tcW w:w="1607" w:type="dxa"/>
            <w:vMerge/>
            <w:vAlign w:val="center"/>
          </w:tcPr>
          <w:p w:rsidR="00B07F94">
            <w:pPr>
              <w:adjustRightInd w:val="0"/>
              <w:snapToGrid w:val="0"/>
              <w:jc w:val="center"/>
              <w:rPr>
                <w:rFonts w:ascii="宋体" w:hAnsi="宋体"/>
                <w:szCs w:val="21"/>
              </w:rPr>
            </w:pPr>
          </w:p>
        </w:tc>
        <w:tc>
          <w:tcPr>
            <w:tcW w:w="1742" w:type="dxa"/>
            <w:vAlign w:val="center"/>
          </w:tcPr>
          <w:p w:rsidR="00B07F9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07F94"/>
        </w:tc>
      </w:tr>
      <w:tr>
        <w:tblPrEx>
          <w:tblW w:w="8519" w:type="dxa"/>
          <w:tblInd w:w="108" w:type="dxa"/>
          <w:tblLayout w:type="fixed"/>
          <w:tblLook w:val="04A0"/>
        </w:tblPrEx>
        <w:trPr>
          <w:trHeight w:val="772"/>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07F94"/>
        </w:tc>
      </w:tr>
      <w:tr>
        <w:tblPrEx>
          <w:tblW w:w="8519" w:type="dxa"/>
          <w:tblInd w:w="108" w:type="dxa"/>
          <w:tblLayout w:type="fixed"/>
          <w:tblLook w:val="04A0"/>
        </w:tblPrEx>
        <w:trPr>
          <w:trHeight w:val="667"/>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07F94"/>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07F9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货物质量缺陷</w:t>
            </w:r>
          </w:p>
          <w:p w:rsidR="00B07F9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snapToGrid w:val="0"/>
              <w:jc w:val="center"/>
              <w:rPr>
                <w:rFonts w:ascii="宋体" w:hAnsi="宋体" w:cs="宋体"/>
                <w:szCs w:val="21"/>
              </w:rPr>
            </w:pPr>
            <w:r>
              <w:rPr>
                <w:rFonts w:ascii="宋体" w:hAnsi="宋体" w:cs="宋体" w:hint="eastAsia"/>
                <w:szCs w:val="21"/>
              </w:rPr>
              <w:t>第二节</w:t>
            </w:r>
          </w:p>
          <w:p w:rsidR="00B07F94">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B07F9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07F9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07F9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07F9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B07F9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07F9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B07F9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07F9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07F9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07F94">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07F94">
            <w:pPr>
              <w:adjustRightInd w:val="0"/>
              <w:snapToGrid w:val="0"/>
              <w:jc w:val="center"/>
              <w:rPr>
                <w:rFonts w:ascii="宋体" w:hAnsi="宋体"/>
                <w:szCs w:val="21"/>
              </w:rPr>
            </w:pPr>
            <w:r>
              <w:rPr>
                <w:rFonts w:ascii="宋体" w:hAnsi="宋体" w:hint="eastAsia"/>
                <w:szCs w:val="21"/>
              </w:rPr>
              <w:t>第二节</w:t>
            </w:r>
          </w:p>
          <w:p w:rsidR="00B07F94">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B07F9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07F94">
            <w:pPr>
              <w:adjustRightInd w:val="0"/>
              <w:snapToGrid w:val="0"/>
              <w:jc w:val="left"/>
              <w:rPr>
                <w:rFonts w:ascii="宋体" w:hAnsi="宋体"/>
                <w:szCs w:val="21"/>
              </w:rPr>
            </w:pPr>
          </w:p>
        </w:tc>
      </w:tr>
    </w:tbl>
    <w:p w:rsidR="00B07F94"/>
    <w:p w:rsidR="00B07F94">
      <w:pPr>
        <w:rPr>
          <w:b/>
          <w:bCs/>
          <w:sz w:val="44"/>
          <w:szCs w:val="44"/>
        </w:rPr>
      </w:pPr>
    </w:p>
    <w:p w:rsidR="00B07F94"/>
    <w:p w:rsidR="00A77B3E"/>
    <w:p w:rsidR="00232AF6" w:rsidP="00935F11">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0FDA683"/>
    <w:multiLevelType w:val="singleLevel"/>
    <w:tmpl w:val="60FDA683"/>
    <w:lvl w:ilvl="0">
      <w:start w:val="3"/>
      <w:numFmt w:val="chineseCounting"/>
      <w:suff w:val="nothing"/>
      <w:lvlText w:val="%1、"/>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2AF6"/>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4C4F"/>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695"/>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66B78"/>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37B01"/>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5F11"/>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6C0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07F94"/>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pPr>
      <w:jc w:val="center"/>
    </w:pPr>
    <w:rPr>
      <w:rFonts w:ascii="Arial" w:eastAsia="黑体" w:hAnsi="Arial" w:cs="Arial"/>
      <w:sz w:val="20"/>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