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4"/>
          <w:szCs w:val="44"/>
          <w:highlight w:val="none"/>
        </w:rPr>
      </w:pPr>
      <w:r>
        <w:rPr>
          <w:rFonts w:ascii="宋体" w:hAnsi="宋体" w:hint="eastAsia"/>
          <w:b/>
          <w:sz w:val="44"/>
          <w:szCs w:val="44"/>
          <w:highlight w:val="none"/>
        </w:rPr>
        <w:t>（范本，软件开发类适用）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智慧短临气象闪信预警信息发布平台建设项目-智慧短临预警气象服务大语言模型</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ZQCD-26008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2026年01月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中所述软件开发、相关服务及货物的招标投标。本项目属性确定为服务类（软件开发类）采购。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采购内容</w:t>
      </w:r>
      <w:r>
        <w:rPr>
          <w:rFonts w:hint="eastAsia"/>
          <w:bCs/>
        </w:rPr>
        <w:t>”</w:t>
      </w:r>
      <w:r>
        <w:rPr>
          <w:rFonts w:hint="eastAsia"/>
          <w:bCs/>
        </w:rPr>
        <w:t>指本招标文件中</w:t>
      </w:r>
      <w:r>
        <w:rPr>
          <w:rFonts w:hint="eastAsia"/>
          <w:b/>
          <w:bCs/>
        </w:rPr>
        <w:t>第七章采购需求</w:t>
      </w:r>
      <w:r>
        <w:rPr>
          <w:rFonts w:hint="eastAsia"/>
          <w:bCs/>
        </w:rPr>
        <w:t>所述软件开发及相关服务内容、货物</w:t>
      </w:r>
      <w:r>
        <w:rPr>
          <w:rStyle w:val="px10"/>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rStyle w:val="px10"/>
          <w:rFonts w:hint="eastAsia"/>
          <w:bCs/>
        </w:rPr>
      </w:pPr>
      <w:r>
        <w:rPr>
          <w:rStyle w:val="px10"/>
          <w:rFonts w:hint="eastAsia"/>
          <w:bCs/>
        </w:rPr>
        <w:t>1.2.3</w:t>
      </w:r>
      <w:r>
        <w:rPr>
          <w:rStyle w:val="px10"/>
          <w:rFonts w:hint="eastAsia"/>
          <w:bCs/>
        </w:rPr>
        <w:t>“</w:t>
      </w:r>
      <w:r>
        <w:rPr>
          <w:rStyle w:val="px10"/>
          <w:rFonts w:hint="eastAsia"/>
          <w:bCs/>
        </w:rPr>
        <w:t>软件开发</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所述投标人应该完成软件各功能模块、系统的开发、完善和应用部署等；</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r>
        <w:rPr>
          <w:rStyle w:val="px10"/>
          <w:rFonts w:hint="eastAsia"/>
          <w:bCs/>
        </w:rPr>
        <w:t>“</w:t>
      </w:r>
      <w:r>
        <w:rPr>
          <w:rStyle w:val="px10"/>
          <w:rFonts w:hint="eastAsia"/>
          <w:bCs/>
        </w:rPr>
        <w:t>货物</w:t>
      </w:r>
      <w:r>
        <w:rPr>
          <w:rStyle w:val="px10"/>
          <w:rFonts w:hint="eastAsia"/>
          <w:bCs/>
        </w:rPr>
        <w:t>”</w:t>
      </w:r>
      <w:r>
        <w:rPr>
          <w:rStyle w:val="px10"/>
          <w:rFonts w:hint="eastAsia"/>
          <w:bCs/>
        </w:rPr>
        <w:t>指本招标文件</w:t>
      </w:r>
      <w:r>
        <w:rPr>
          <w:rFonts w:hint="eastAsia"/>
          <w:b/>
          <w:bCs/>
        </w:rPr>
        <w:t>第七章采购需求</w:t>
      </w:r>
      <w:r>
        <w:rPr>
          <w:rStyle w:val="px10"/>
          <w:rFonts w:hint="eastAsia"/>
          <w:bCs/>
        </w:rPr>
        <w:t>所述所有货物（含不需要二次开发的软件），不包括投标人为提供相关服务而购置的所有权属于投标人的货物。</w:t>
      </w:r>
    </w:p>
    <w:p>
      <w:pPr>
        <w:tabs>
          <w:tab w:val="left" w:pos="1573"/>
        </w:tabs>
        <w:adjustRightInd w:val="0"/>
        <w:snapToGrid w:val="0"/>
        <w:spacing w:line="360" w:lineRule="auto"/>
        <w:ind w:firstLine="420" w:firstLineChars="200"/>
        <w:jc w:val="left"/>
        <w:rPr>
          <w:rFonts w:ascii="宋体" w:hAnsi="宋体" w:hint="eastAsia"/>
          <w:bCs/>
          <w:szCs w:val="21"/>
        </w:rPr>
      </w:pPr>
      <w:r>
        <w:rPr>
          <w:rFonts w:ascii="宋体" w:hAnsi="宋体" w:hint="eastAsia"/>
          <w:bCs/>
          <w:szCs w:val="21"/>
        </w:rPr>
        <w:t>1.2.4</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指采购人和投标人之外的其他机构或个人。</w:t>
      </w:r>
      <w:r>
        <w:rPr>
          <w:rFonts w:ascii="宋体" w:hAnsi="宋体" w:hint="eastAsia"/>
          <w:bCs/>
          <w:szCs w:val="21"/>
        </w:rPr>
        <w:t>“</w:t>
      </w:r>
      <w:r>
        <w:rPr>
          <w:rFonts w:ascii="宋体" w:hAnsi="宋体" w:hint="eastAsia"/>
          <w:bCs/>
          <w:szCs w:val="21"/>
        </w:rPr>
        <w:t>第三方软件</w:t>
      </w:r>
      <w:r>
        <w:rPr>
          <w:rFonts w:ascii="宋体" w:hAnsi="宋体" w:hint="eastAsia"/>
          <w:bCs/>
          <w:szCs w:val="21"/>
        </w:rPr>
        <w:t>”</w:t>
      </w:r>
      <w:r>
        <w:rPr>
          <w:rFonts w:ascii="宋体" w:hAnsi="宋体" w:hint="eastAsia"/>
          <w:bCs/>
          <w:szCs w:val="21"/>
        </w:rPr>
        <w:t>指计算机软件著作权（以下简称著作权）涉及</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的软件(不含源代码开放，使用、修改和分发不受许可限制的软件)，包括</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单独拥有或</w:t>
      </w:r>
      <w:r>
        <w:rPr>
          <w:rFonts w:ascii="宋体" w:hAnsi="宋体" w:hint="eastAsia"/>
          <w:bCs/>
          <w:szCs w:val="21"/>
        </w:rPr>
        <w:t>“</w:t>
      </w:r>
      <w:r>
        <w:rPr>
          <w:rFonts w:ascii="宋体" w:hAnsi="宋体" w:hint="eastAsia"/>
          <w:bCs/>
          <w:szCs w:val="21"/>
        </w:rPr>
        <w:t>第三方</w:t>
      </w:r>
      <w:r>
        <w:rPr>
          <w:rFonts w:ascii="宋体" w:hAnsi="宋体" w:hint="eastAsia"/>
          <w:bCs/>
          <w:szCs w:val="21"/>
        </w:rPr>
        <w:t>”</w:t>
      </w:r>
      <w:r>
        <w:rPr>
          <w:rFonts w:ascii="宋体" w:hAnsi="宋体" w:hint="eastAsia"/>
          <w:bCs/>
          <w:szCs w:val="21"/>
        </w:rPr>
        <w:t>与采购人、投标人共同拥有著作权的软件。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1.2.5</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1.2.6</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1.2.7本招标文件各部分规定的期间以时、日、月、年计算。期间开始的日，不计算在期间内，而从次日开始计算。期间届满的最后一天是节假日的，以节假日后的第一日为期间届满的日期。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1.2.9.2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adjustRightInd w:val="0"/>
        <w:snapToGrid w:val="0"/>
        <w:spacing w:line="360" w:lineRule="auto"/>
        <w:ind w:firstLine="420" w:firstLineChars="200"/>
        <w:rPr>
          <w:rFonts w:hint="eastAsia"/>
        </w:rPr>
      </w:pPr>
      <w:r>
        <w:rPr>
          <w:rFonts w:ascii="宋体" w:hAnsi="宋体" w:hint="eastAsia"/>
        </w:rPr>
        <w:t>1.3.4单位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1.3.5</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1.3.6以投标截止日为基准日，投标人之前三年存在不良信用记录的，其投标将被作为无效投标被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1.3.8投标人没有其他不符合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
        </w:rPr>
      </w:pPr>
      <w:r>
        <w:rPr>
          <w:rFonts w:hint="eastAsia"/>
          <w:kern w:val="0"/>
        </w:rPr>
        <w:t>1.3.9</w:t>
      </w:r>
      <w:r>
        <w:rPr>
          <w:rFonts w:hint="eastAsia"/>
        </w:rPr>
        <w:t>如投标人授权代表不是法定代表人，须在投标函中具有法定代表人的授权，否则投标将被拒绝。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1.3.10 关于知识产权</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szCs w:val="21"/>
        </w:rPr>
        <w:t>（1）</w:t>
      </w:r>
      <w:r>
        <w:rPr>
          <w:rFonts w:hint="eastAsia"/>
        </w:rPr>
        <w:t>在本项目软件开发中，所产生的源代码、执行文件和相关开发文档等知识产权为采购人所有，应按采购人要求及时交付采购人。投标人未经采购人授权不得留存或提供他用。如投标人不同意，则投标将被拒绝。</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（2）投标人在本项目软件开发中使用第三方软件进行移植、修改和再开发的，应获得第三方软件著作权所有人的授权；如未使用第三方软件进行移植、修改和再开发的，投标人应作出承诺，否则投标将被</w:t>
      </w:r>
      <w:r>
        <w:rPr>
          <w:rFonts w:ascii="宋体" w:eastAsia="拒绝" w:hAnsi="宋体" w:hint="eastAsia"/>
          <w:b/>
          <w:bCs/>
          <w:szCs w:val="21"/>
        </w:rPr>
        <w:t>拒绝</w:t>
      </w:r>
      <w:r>
        <w:rPr>
          <w:rFonts w:ascii="宋体" w:hAnsi="宋体" w:hint="eastAsia"/>
          <w:bCs/>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1.3.11 关于软件再开发的授权投标</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bCs/>
          <w:szCs w:val="21"/>
        </w:rPr>
        <w:t>（1）投标人开发本项目招标的软件时，若对其拥有全部著作权的软件进行移植、修改、再开发的，则不得再授权他人对该软件进行移植、修改、再开发并参加本项目的投标。否则</w:t>
      </w:r>
      <w:r>
        <w:rPr>
          <w:rFonts w:ascii="宋体" w:hAnsi="宋体"/>
          <w:szCs w:val="21"/>
        </w:rPr>
        <w:t>仅接受该</w:t>
      </w:r>
      <w:r>
        <w:rPr>
          <w:rFonts w:ascii="宋体" w:hAnsi="宋体" w:hint="eastAsia"/>
          <w:szCs w:val="21"/>
        </w:rPr>
        <w:t>投标人</w:t>
      </w:r>
      <w:r>
        <w:rPr>
          <w:rFonts w:ascii="宋体" w:hAnsi="宋体"/>
          <w:szCs w:val="21"/>
        </w:rPr>
        <w:t>的投标，</w:t>
      </w:r>
      <w:r>
        <w:rPr>
          <w:rFonts w:ascii="宋体" w:hAnsi="宋体" w:hint="eastAsia"/>
          <w:szCs w:val="21"/>
        </w:rPr>
        <w:t>被</w:t>
      </w:r>
      <w:r>
        <w:rPr>
          <w:rFonts w:ascii="宋体" w:hAnsi="宋体"/>
          <w:szCs w:val="21"/>
        </w:rPr>
        <w:t>授权</w:t>
      </w:r>
      <w:r>
        <w:rPr>
          <w:rFonts w:ascii="宋体" w:hAnsi="宋体" w:hint="eastAsia"/>
          <w:szCs w:val="21"/>
        </w:rPr>
        <w:t>人的</w:t>
      </w:r>
      <w:r>
        <w:rPr>
          <w:rFonts w:ascii="宋体" w:hAnsi="宋体"/>
          <w:szCs w:val="21"/>
        </w:rPr>
        <w:t>投标将被</w:t>
      </w:r>
      <w:r>
        <w:rPr>
          <w:rFonts w:ascii="宋体" w:eastAsia="拒绝" w:hAnsi="宋体"/>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（2）除</w:t>
      </w:r>
      <w:r>
        <w:rPr>
          <w:rFonts w:ascii="宋体" w:hAnsi="宋体" w:hint="eastAsia"/>
          <w:b/>
          <w:bCs/>
          <w:szCs w:val="21"/>
        </w:rPr>
        <w:t>第五章投标人须知专用部分</w:t>
      </w:r>
      <w:r>
        <w:rPr>
          <w:rFonts w:ascii="宋体" w:hAnsi="宋体" w:hint="eastAsia"/>
          <w:bCs/>
          <w:szCs w:val="21"/>
        </w:rPr>
        <w:t>另有约定外，拥有第三方软件著作权的所有</w:t>
      </w:r>
      <w:r>
        <w:rPr>
          <w:rFonts w:ascii="宋体" w:hAnsi="宋体" w:hint="eastAsia"/>
          <w:szCs w:val="21"/>
        </w:rPr>
        <w:t>第三方，只能授权同一个投标人在开发本项目招标的软件时，对该第三方软件进行移植、修改、再开发，否则被授权的所有投标人的投标将全部被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1.3.12 投标人应具备完成本项目软件开发的所必需的软件、硬件设施资源及场地，完善的备份恢复措施和应急管理体系，健全的内部控制、保密和管理制度。否则投标将被</w:t>
      </w:r>
      <w:r>
        <w:rPr>
          <w:rFonts w:ascii="宋体" w:hAnsi="宋体" w:hint="eastAsia"/>
          <w:b/>
          <w:szCs w:val="21"/>
        </w:rPr>
        <w:t>拒绝。</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1.3.13本项目如不需要驻场服务，则投标人应符合以下条件，否则投标将被</w:t>
      </w:r>
      <w:r>
        <w:rPr>
          <w:rFonts w:ascii="宋体" w:hAnsi="宋体" w:hint="eastAsia"/>
          <w:b/>
          <w:szCs w:val="21"/>
        </w:rPr>
        <w:t>拒绝</w:t>
      </w:r>
      <w:r>
        <w:rPr>
          <w:rFonts w:ascii="宋体" w:hAnsi="宋体" w:hint="eastAsia"/>
          <w:szCs w:val="21"/>
        </w:rPr>
        <w:t>：</w:t>
      </w:r>
      <w:r>
        <w:rPr>
          <w:rFonts w:ascii="宋体" w:hAnsi="宋体" w:hint="eastAsia"/>
          <w:szCs w:val="21"/>
        </w:rPr>
        <w:t>①</w:t>
      </w:r>
      <w:r>
        <w:rPr>
          <w:rFonts w:ascii="宋体" w:hAnsi="宋体" w:hint="eastAsia"/>
          <w:szCs w:val="21"/>
        </w:rPr>
        <w:t>用于本项目的设施、系统和数据与其他项目有明确、清晰的边界；</w:t>
      </w:r>
      <w:r>
        <w:rPr>
          <w:rFonts w:ascii="宋体" w:hAnsi="宋体" w:hint="eastAsia"/>
          <w:szCs w:val="21"/>
        </w:rPr>
        <w:t>②</w:t>
      </w:r>
      <w:r>
        <w:rPr>
          <w:rFonts w:ascii="宋体" w:hAnsi="宋体" w:hint="eastAsia"/>
          <w:szCs w:val="21"/>
        </w:rPr>
        <w:t>用于本项目的服务器</w:t>
      </w:r>
      <w:r>
        <w:rPr>
          <w:rFonts w:ascii="宋体" w:hAnsi="宋体" w:hint="eastAsia"/>
          <w:spacing w:val="-34"/>
          <w:szCs w:val="21"/>
        </w:rPr>
        <w:t>、</w:t>
      </w:r>
      <w:r>
        <w:rPr>
          <w:rFonts w:ascii="宋体" w:hAnsi="宋体" w:hint="eastAsia"/>
          <w:szCs w:val="21"/>
        </w:rPr>
        <w:t>存储</w:t>
      </w:r>
      <w:r>
        <w:rPr>
          <w:rFonts w:ascii="宋体" w:hAnsi="宋体" w:hint="eastAsia"/>
          <w:spacing w:val="-34"/>
          <w:szCs w:val="21"/>
        </w:rPr>
        <w:t>、</w:t>
      </w:r>
      <w:r>
        <w:rPr>
          <w:rFonts w:ascii="宋体" w:hAnsi="宋体" w:hint="eastAsia"/>
          <w:szCs w:val="21"/>
        </w:rPr>
        <w:t>网络设备、操作系统</w:t>
      </w:r>
      <w:r>
        <w:rPr>
          <w:rFonts w:ascii="宋体" w:hAnsi="宋体" w:hint="eastAsia"/>
          <w:spacing w:val="-20"/>
          <w:szCs w:val="21"/>
        </w:rPr>
        <w:t>、</w:t>
      </w:r>
      <w:r>
        <w:rPr>
          <w:rFonts w:ascii="宋体" w:hAnsi="宋体" w:hint="eastAsia"/>
          <w:szCs w:val="21"/>
        </w:rPr>
        <w:t>数据库</w:t>
      </w:r>
      <w:r>
        <w:rPr>
          <w:rFonts w:ascii="宋体" w:hAnsi="宋体" w:hint="eastAsia"/>
          <w:spacing w:val="-20"/>
          <w:szCs w:val="21"/>
        </w:rPr>
        <w:t>、</w:t>
      </w:r>
      <w:r>
        <w:rPr>
          <w:rFonts w:ascii="宋体" w:hAnsi="宋体" w:hint="eastAsia"/>
          <w:szCs w:val="21"/>
        </w:rPr>
        <w:t>中间件等软</w:t>
      </w:r>
      <w:r>
        <w:rPr>
          <w:rFonts w:ascii="宋体" w:hAnsi="宋体" w:hint="eastAsia"/>
          <w:spacing w:val="-20"/>
          <w:szCs w:val="21"/>
        </w:rPr>
        <w:t>、</w:t>
      </w:r>
      <w:r>
        <w:rPr>
          <w:rFonts w:ascii="宋体" w:hAnsi="宋体" w:hint="eastAsia"/>
          <w:szCs w:val="21"/>
        </w:rPr>
        <w:t>硬件设施具有最高管理权限；</w:t>
      </w:r>
      <w:r>
        <w:rPr>
          <w:rFonts w:ascii="宋体" w:hAnsi="宋体" w:hint="eastAsia"/>
          <w:szCs w:val="21"/>
        </w:rPr>
        <w:t>③</w:t>
      </w:r>
      <w:r>
        <w:rPr>
          <w:rFonts w:ascii="宋体" w:hAnsi="宋体" w:hint="eastAsia"/>
          <w:szCs w:val="21"/>
        </w:rPr>
        <w:t>具有防止数据泄露的管理和技术措施；</w:t>
      </w:r>
      <w:r>
        <w:rPr>
          <w:rFonts w:ascii="宋体" w:hAnsi="宋体" w:hint="eastAsia"/>
          <w:szCs w:val="21"/>
        </w:rPr>
        <w:t>④</w:t>
      </w:r>
      <w:r>
        <w:rPr>
          <w:rFonts w:ascii="宋体" w:hAnsi="宋体" w:hint="eastAsia"/>
          <w:szCs w:val="21"/>
        </w:rPr>
        <w:t>不存在规避监管的情形。</w:t>
      </w:r>
    </w:p>
    <w:p>
      <w:pPr>
        <w:tabs>
          <w:tab w:val="left" w:pos="1573"/>
        </w:tabs>
        <w:adjustRightInd w:val="0"/>
        <w:snapToGrid w:val="0"/>
        <w:spacing w:line="360" w:lineRule="auto"/>
        <w:ind w:firstLine="420" w:firstLineChars="200"/>
        <w:rPr>
          <w:rFonts w:ascii="宋体" w:hAnsi="宋体" w:hint="eastAsia"/>
          <w:b/>
          <w:szCs w:val="21"/>
        </w:rPr>
      </w:pPr>
      <w:r>
        <w:rPr>
          <w:rFonts w:ascii="宋体" w:hAnsi="宋体" w:hint="eastAsia"/>
          <w:b/>
          <w:szCs w:val="21"/>
        </w:rPr>
        <w:t>1.4服务团队及驻场规定</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1.4.1是否</w:t>
      </w:r>
      <w:r>
        <w:rPr>
          <w:rFonts w:ascii="宋体" w:hAnsi="宋体" w:hint="eastAsia"/>
          <w:bCs/>
          <w:szCs w:val="21"/>
        </w:rPr>
        <w:t>需要投标人组成专门的服务团队完成本项目所采购服务，见</w:t>
      </w:r>
      <w:r>
        <w:rPr>
          <w:rFonts w:ascii="宋体" w:hAnsi="宋体" w:hint="eastAsia"/>
          <w:b/>
          <w:bCs/>
          <w:szCs w:val="21"/>
        </w:rPr>
        <w:t>第五章投标人须知专用部分。</w:t>
      </w:r>
      <w:r>
        <w:rPr>
          <w:rFonts w:ascii="宋体" w:hAnsi="宋体" w:hint="eastAsia"/>
          <w:bCs/>
          <w:szCs w:val="21"/>
        </w:rPr>
        <w:t>如需要组成专门的服务团队，</w:t>
      </w:r>
      <w:r>
        <w:rPr>
          <w:rFonts w:ascii="宋体" w:hAnsi="宋体" w:hint="eastAsia"/>
          <w:szCs w:val="21"/>
        </w:rPr>
        <w:t>投标人应按采购人要求的人数、人员能力及资质等条件，委派若干名专职或兼职的项目管理及专业人员组成服务团队，并指定其中1-2名能力较强、对本次招标项目较熟悉的人员为团队的项目负责人（项目经理）。如投标人不能组成服务团队的，投标将被</w:t>
      </w:r>
      <w:r>
        <w:rPr>
          <w:rFonts w:ascii="宋体" w:hAnsi="宋体" w:hint="eastAsia"/>
          <w:b/>
          <w:szCs w:val="21"/>
        </w:rPr>
        <w:t>拒绝</w:t>
      </w:r>
      <w:r>
        <w:rPr>
          <w:rFonts w:ascii="宋体" w:hAnsi="宋体" w:hint="eastAsia"/>
          <w:szCs w:val="21"/>
        </w:rPr>
        <w:t>；如服务团队人数以及人员的能力、资质等不符合采购文件要求的，将可能导致评审时被扣除相关分数直至投标被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bCs/>
          <w:szCs w:val="21"/>
        </w:rPr>
        <w:t>1.4.2投标人获得本项目采购合同后，在本项目实施过程中应保持团队人员特别是</w:t>
      </w:r>
      <w:r>
        <w:rPr>
          <w:rFonts w:ascii="宋体" w:hAnsi="宋体" w:hint="eastAsia"/>
          <w:szCs w:val="21"/>
        </w:rPr>
        <w:t>项目负责人（项目经理）</w:t>
      </w:r>
      <w:r>
        <w:rPr>
          <w:rFonts w:ascii="宋体" w:hAnsi="宋体" w:hint="eastAsia"/>
          <w:bCs/>
          <w:szCs w:val="21"/>
        </w:rPr>
        <w:t>的稳定。</w:t>
      </w:r>
      <w:r>
        <w:rPr>
          <w:rFonts w:ascii="宋体" w:hAnsi="宋体" w:hint="eastAsia"/>
          <w:szCs w:val="21"/>
        </w:rPr>
        <w:t>在本项目实施过程中如需要对</w:t>
      </w:r>
      <w:r>
        <w:rPr>
          <w:rFonts w:ascii="宋体" w:hAnsi="宋体" w:hint="eastAsia"/>
          <w:bCs/>
          <w:szCs w:val="21"/>
        </w:rPr>
        <w:t>团队人员调整，按以下规则执行：</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（1）如采购人认为有必要调整团队有关人员，投标人应及时进行调整，并与采购人协商一致后，重新委派相关人员；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（2）投标人未经采购人同意，不得自行调整团队人员；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（3）如团队相关人员因离职、伤病等不能继续实施本项目时，投标人应及时通知采购人，并与采购人协商一致后，重新委派相关人员；</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（4）投标人重新委派的人员，其能力、资质、有关工作经历等应不低于原人员。</w:t>
      </w:r>
    </w:p>
    <w:p>
      <w:pPr>
        <w:tabs>
          <w:tab w:val="left" w:pos="1573"/>
        </w:tabs>
        <w:adjustRightInd w:val="0"/>
        <w:snapToGrid w:val="0"/>
        <w:spacing w:line="360" w:lineRule="auto"/>
        <w:ind w:firstLine="420" w:firstLineChars="200"/>
        <w:rPr>
          <w:rFonts w:ascii="宋体" w:hAnsi="宋体" w:hint="eastAsia"/>
          <w:bCs/>
          <w:szCs w:val="21"/>
        </w:rPr>
      </w:pPr>
      <w:r>
        <w:rPr>
          <w:rFonts w:ascii="宋体" w:hAnsi="宋体" w:hint="eastAsia"/>
          <w:szCs w:val="21"/>
        </w:rPr>
        <w:t>1.4.3服务团队是否需要驻场服务</w:t>
      </w:r>
      <w:r>
        <w:rPr>
          <w:rFonts w:ascii="宋体" w:hAnsi="宋体" w:hint="eastAsia"/>
          <w:bCs/>
          <w:szCs w:val="21"/>
        </w:rPr>
        <w:t>见</w:t>
      </w:r>
      <w:r>
        <w:rPr>
          <w:rFonts w:ascii="宋体" w:hAnsi="宋体" w:hint="eastAsia"/>
          <w:b/>
          <w:bCs/>
          <w:szCs w:val="21"/>
        </w:rPr>
        <w:t>第五章投标人须知专用部分。</w:t>
      </w:r>
      <w:r>
        <w:rPr>
          <w:rFonts w:ascii="宋体" w:hAnsi="宋体" w:hint="eastAsia"/>
          <w:szCs w:val="21"/>
        </w:rPr>
        <w:t>如需要驻场服务，但投标人不能提供驻场服务的，投标将被</w:t>
      </w:r>
      <w:r>
        <w:rPr>
          <w:rFonts w:ascii="宋体" w:hAnsi="宋体" w:hint="eastAsia"/>
          <w:b/>
          <w:szCs w:val="21"/>
        </w:rPr>
        <w:t>拒绝</w:t>
      </w:r>
      <w:r>
        <w:rPr>
          <w:rFonts w:ascii="宋体" w:hAnsi="宋体" w:hint="eastAsia"/>
          <w:szCs w:val="21"/>
        </w:rPr>
        <w:t>；如驻场服务人数、专业水平等不符合采购文件要求的，将可能导致评审时被扣除相关分数直至投标被</w:t>
      </w:r>
      <w:r>
        <w:rPr>
          <w:rFonts w:ascii="宋体" w:hAnsi="宋体" w:hint="eastAsia"/>
          <w:b/>
          <w:szCs w:val="21"/>
        </w:rPr>
        <w:t>拒绝</w:t>
      </w:r>
      <w:r>
        <w:rPr>
          <w:rFonts w:ascii="宋体" w:hAnsi="宋体" w:hint="eastAsia"/>
          <w:szCs w:val="21"/>
        </w:rPr>
        <w:t>（被拒绝投标的情形见</w:t>
      </w:r>
      <w:r>
        <w:rPr>
          <w:rFonts w:ascii="宋体" w:hAnsi="宋体" w:hint="eastAsia"/>
          <w:b/>
          <w:szCs w:val="21"/>
        </w:rPr>
        <w:t>第八章</w:t>
      </w:r>
      <w:r>
        <w:rPr>
          <w:rFonts w:hint="eastAsia"/>
          <w:b/>
          <w:szCs w:val="21"/>
        </w:rPr>
        <w:t>投标被拒绝条款专用部分</w:t>
      </w:r>
      <w:r>
        <w:rPr>
          <w:rFonts w:ascii="宋体" w:hAnsi="宋体" w:hint="eastAsia"/>
          <w:szCs w:val="21"/>
        </w:rPr>
        <w:t>）。</w:t>
      </w:r>
    </w:p>
    <w:p>
      <w:pPr>
        <w:tabs>
          <w:tab w:val="left" w:pos="8460"/>
        </w:tabs>
        <w:adjustRightInd w:val="0"/>
        <w:snapToGrid w:val="0"/>
        <w:spacing w:line="360" w:lineRule="auto"/>
        <w:ind w:firstLine="420" w:firstLineChars="200"/>
        <w:jc w:val="left"/>
        <w:rPr>
          <w:rFonts w:ascii="宋体" w:hAnsi="宋体" w:hint="eastAsia"/>
          <w:b/>
          <w:szCs w:val="21"/>
        </w:rPr>
      </w:pPr>
      <w:r>
        <w:rPr>
          <w:rFonts w:ascii="宋体" w:hAnsi="宋体" w:hint="eastAsia"/>
          <w:b/>
          <w:szCs w:val="21"/>
        </w:rPr>
        <w:t>1.5采购货物的规定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本次采购内容是否包括货物见</w:t>
      </w:r>
      <w:r>
        <w:rPr>
          <w:rFonts w:hint="eastAsia"/>
          <w:b/>
        </w:rPr>
        <w:t>第五章投标人须知专用部分。</w:t>
      </w:r>
      <w:r>
        <w:rPr>
          <w:rFonts w:ascii="宋体" w:hAnsi="宋体" w:hint="eastAsia"/>
          <w:szCs w:val="21"/>
        </w:rPr>
        <w:t>如本次采购内容包括货物，按以下规则执行：</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szCs w:val="21"/>
        </w:rPr>
        <w:t>1.5.1</w:t>
      </w:r>
      <w:r>
        <w:rPr>
          <w:rFonts w:ascii="宋体" w:hAnsi="宋体" w:hint="eastAsia"/>
          <w:kern w:val="0"/>
          <w:szCs w:val="21"/>
        </w:rPr>
        <w:t>投标人所投标的货物如是国家法律、法规、政策禁止采购人采购的货物，或者投标人所投标的货物使用了国家法律、法规、政策禁止采购人采购的货物作为零件，投标将被拒绝。</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rPr>
        <w:t>1.5.2如投</w:t>
      </w:r>
      <w:r>
        <w:rPr>
          <w:rFonts w:hint="eastAsia"/>
        </w:rPr>
        <w:t>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r>
        <w:rPr>
          <w:rFonts w:hint="eastAsia"/>
        </w:rPr>
        <w:t>投标的货物是否必须取得《气象专用技术装备使用许可证》，见</w:t>
      </w:r>
      <w:r>
        <w:rPr>
          <w:rFonts w:hint="eastAsia"/>
          <w:b/>
        </w:rPr>
        <w:t>第五章投标人须知专用部分。</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1.5.3如允许进口货物投标，应当遵守《财政部关于印发&lt;政府采购进口产品管理办法&gt;的通知》（财库〔2007〕119 号）、财政部办公厅《关于政府采购进口产品管理有关问题的通知》（财办库〔2008〕248 号）的相关规定。</w:t>
      </w:r>
      <w:r>
        <w:rPr>
          <w:rFonts w:ascii="宋体" w:hAnsi="宋体" w:hint="eastAsia"/>
          <w:szCs w:val="21"/>
        </w:rPr>
        <w:t>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5.7条有关进口产品投标要求的，投标将被拒绝。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1.5.4本次招标是否允许代理商（指投标人提供的货物不是自己制造的，下同）投标，以及进口产品代理商投标应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第五章投标人须知专用部分5.7条</w:t>
      </w:r>
      <w:r>
        <w:rPr>
          <w:rFonts w:hint="eastAsia"/>
        </w:rPr>
        <w:t>有关代理商投标要求，以及进口产品代理商未按</w:t>
      </w:r>
      <w:r>
        <w:rPr>
          <w:rFonts w:hint="eastAsia"/>
          <w:b/>
        </w:rPr>
        <w:t>第五章投标人须知专用部分5.8条</w:t>
      </w:r>
      <w:r>
        <w:rPr>
          <w:rFonts w:hint="eastAsia"/>
        </w:rPr>
        <w:t>提交有关资料的，投标将被拒绝。</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1.5.5节能及环保产品。根据《财政部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1.6中小企业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1.6.6享受中小企业扶持政策获得本项目政府采购合同的，小微企业不得将合同分包给大中型企业，中型企业不得将合同分包给大型企业。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outlineLvl w:val="3"/>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（5）投标人计算机软件著作权或使用权情况表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szCs w:val="21"/>
        </w:rPr>
        <w:t>*不使用第三方软件移植承诺书或</w:t>
      </w:r>
      <w:r>
        <w:rPr>
          <w:rFonts w:ascii="宋体" w:hAnsi="宋体" w:hint="eastAsia"/>
          <w:bCs/>
        </w:rPr>
        <w:t>*软件移植授权书（</w:t>
      </w:r>
      <w:r>
        <w:rPr>
          <w:rFonts w:hint="eastAsia"/>
          <w:bCs/>
        </w:rPr>
        <w:t>开发本项目招标的软件，如不</w:t>
      </w:r>
      <w:r>
        <w:rPr>
          <w:rFonts w:ascii="宋体" w:hAnsi="宋体" w:hint="eastAsia"/>
          <w:bCs/>
        </w:rPr>
        <w:t>使用第三方软件进行移植、修改和再开发的，应提供《</w:t>
      </w:r>
      <w:r>
        <w:rPr>
          <w:rFonts w:ascii="宋体" w:hAnsi="宋体" w:hint="eastAsia"/>
          <w:szCs w:val="21"/>
        </w:rPr>
        <w:t>不使用第三方软件移植承诺书》，</w:t>
      </w:r>
      <w:r>
        <w:rPr>
          <w:rFonts w:hint="eastAsia"/>
          <w:bCs/>
        </w:rPr>
        <w:t>如使用则</w:t>
      </w:r>
      <w:r>
        <w:rPr>
          <w:rFonts w:ascii="宋体" w:hAnsi="宋体" w:hint="eastAsia"/>
          <w:bCs/>
        </w:rPr>
        <w:t>应提供《软件移植授权书</w:t>
      </w:r>
      <w:r>
        <w:rPr>
          <w:rFonts w:ascii="宋体" w:hAnsi="宋体" w:hint="eastAsia"/>
          <w:szCs w:val="21"/>
        </w:rPr>
        <w:t>》</w:t>
      </w:r>
      <w:r>
        <w:rPr>
          <w:rFonts w:ascii="宋体" w:hAnsi="宋体" w:hint="eastAsia"/>
          <w:bCs/>
        </w:rPr>
        <w:t>）</w:t>
      </w:r>
    </w:p>
    <w:p>
      <w:pPr>
        <w:tabs>
          <w:tab w:val="left" w:pos="5580"/>
        </w:tabs>
        <w:adjustRightInd w:val="0"/>
        <w:snapToGrid w:val="0"/>
        <w:spacing w:line="360" w:lineRule="auto"/>
        <w:ind w:firstLine="840" w:firstLineChars="400"/>
        <w:jc w:val="left"/>
        <w:rPr>
          <w:rFonts w:hint="eastAsia"/>
        </w:rPr>
      </w:pPr>
      <w:r>
        <w:rPr>
          <w:rFonts w:ascii="宋体" w:hAnsi="宋体" w:hint="eastAsia"/>
          <w:bCs/>
        </w:rPr>
        <w:t>⑧</w:t>
      </w:r>
      <w:r>
        <w:rPr>
          <w:rFonts w:ascii="宋体" w:hAnsi="宋体" w:hint="eastAsia"/>
          <w:bCs/>
        </w:rPr>
        <w:t>*投标货物的《</w:t>
      </w:r>
      <w:r>
        <w:rPr>
          <w:rFonts w:hint="eastAsia"/>
        </w:rPr>
        <w:t>气象专用技术装备使用许可证》</w:t>
      </w:r>
      <w:r>
        <w:rPr>
          <w:rFonts w:ascii="宋体" w:hAnsi="宋体" w:hint="eastAsia"/>
          <w:szCs w:val="21"/>
        </w:rPr>
        <w:t>（如本次采购内容不包括货物，或者投标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⑨</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12</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szCs w:val="21"/>
        </w:rPr>
        <w:fldChar w:fldCharType="begin"/>
      </w:r>
      <w:r>
        <w:rPr>
          <w:rFonts w:ascii="宋体" w:hAnsi="宋体"/>
          <w:szCs w:val="21"/>
        </w:rPr>
        <w:instrText xml:space="preserve"> </w:instrText>
      </w:r>
      <w:r>
        <w:rPr>
          <w:rFonts w:ascii="宋体" w:hAnsi="宋体" w:hint="eastAsia"/>
          <w:szCs w:val="21"/>
        </w:rPr>
        <w:instrText>eq \o\ac(</w:instrText>
      </w:r>
      <w:r>
        <w:rPr>
          <w:rFonts w:ascii="宋体" w:hAnsi="宋体" w:hint="eastAsia"/>
          <w:szCs w:val="21"/>
        </w:rPr>
        <w:instrText>○</w:instrText>
      </w:r>
      <w:r>
        <w:rPr>
          <w:rFonts w:ascii="宋体" w:hAnsi="宋体" w:hint="eastAsia"/>
          <w:szCs w:val="21"/>
        </w:rPr>
        <w:instrText>,</w:instrText>
      </w:r>
      <w:r>
        <w:rPr>
          <w:rFonts w:ascii="宋体" w:hAnsi="宋体" w:hint="eastAsia"/>
          <w:position w:val="2"/>
          <w:sz w:val="14"/>
          <w:szCs w:val="21"/>
        </w:rPr>
        <w:instrText>13</w:instrText>
      </w:r>
      <w:r>
        <w:rPr>
          <w:rFonts w:ascii="宋体" w:hAnsi="宋体" w:hint="eastAsia"/>
          <w:szCs w:val="21"/>
        </w:rPr>
        <w:instrText>)</w:instrText>
      </w:r>
      <w:r>
        <w:rPr>
          <w:rFonts w:ascii="宋体" w:hAnsi="宋体"/>
          <w:szCs w:val="21"/>
        </w:rPr>
        <w:fldChar w:fldCharType="separate"/>
      </w:r>
      <w:r>
        <w:rPr>
          <w:rFonts w:ascii="宋体" w:hAnsi="宋体"/>
          <w:szCs w:val="21"/>
        </w:rPr>
        <w:fldChar w:fldCharType="end"/>
      </w:r>
      <w:r>
        <w:rPr>
          <w:rFonts w:ascii="宋体" w:hAnsi="宋体" w:hint="eastAsia"/>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（7）*银行保函或投标保证金说明函（本项目不要求提交投标保证金不提供）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（9）投标人自行编制的商务文件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（3）*服务团队人员基本情况表（如未要求组成专门的服务团队的，不提供）</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（5）主要标的信息表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（6）*</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（7）投标人项目实施和售后服务方案</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（8）投标人自行编写的技术文件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1.15.2投标文件的盖章、签字等签署要求见1.2.9条。其中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软件开发及服务总价、购买货物及其运送、安装、调试、验收费用和相关保险以及所有税、费。上述所有价格内容及其他应包括在总价中的价格内容应在分项报价表中分别逐项列出，由于分项报价填报不完整、不清楚或存在其它任何失误，所导致的任何不利后果均应当由投标人自行承担。</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1.17.2</w:t>
      </w:r>
      <w:r>
        <w:rPr>
          <w:rFonts w:hint="eastAsia"/>
        </w:rPr>
        <w:t>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1.17.3投标人要按分项报价表的内容填写单价（包括软件开发清单及费用，服务清单、方式及费用，货物报价</w:t>
      </w:r>
      <w:r>
        <w:rPr>
          <w:rFonts w:ascii="宋体" w:eastAsia="宋体" w:hAnsi="宋体" w:cs="Times New Roman" w:hint="eastAsia"/>
          <w:szCs w:val="21"/>
        </w:rPr>
        <w:t>及品牌、型号、产地、装</w:t>
      </w:r>
      <w:r>
        <w:rPr>
          <w:rFonts w:ascii="宋体" w:hAnsi="宋体" w:hint="eastAsia"/>
          <w:szCs w:val="21"/>
        </w:rPr>
        <w:t>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中国气象局政府采购中心电子采购系统（网址：http：//cmagp.cmaidp.cma.cn/portalweb），</w:t>
      </w:r>
      <w:r>
        <w:rPr>
          <w:rFonts w:ascii="宋体" w:cs="微软雅黑" w:hint="eastAsia"/>
          <w:szCs w:val="21"/>
        </w:rPr>
        <w:t>下载</w:t>
      </w:r>
      <w:r>
        <w:rPr>
          <w:rFonts w:ascii="宋体" w:cs="微软雅黑" w:hint="eastAsia"/>
          <w:color w:val="auto"/>
          <w:szCs w:val="21"/>
        </w:rPr>
        <w:t>电子采购系统</w:t>
      </w:r>
      <w:r>
        <w:rPr>
          <w:rFonts w:ascii="宋体" w:cs="微软雅黑" w:hint="eastAsia"/>
          <w:szCs w:val="21"/>
        </w:rPr>
        <w:t>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900"/>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w:t>
      </w:r>
      <w:r>
        <w:rPr>
          <w:rFonts w:ascii="宋体" w:hAnsi="宋体" w:hint="eastAsia"/>
          <w:szCs w:val="21"/>
        </w:rPr>
        <w:t>不使用第三方软件移植承诺书或</w:t>
      </w:r>
      <w:r>
        <w:rPr>
          <w:rFonts w:ascii="宋体" w:hAnsi="宋体" w:hint="eastAsia"/>
          <w:bCs/>
        </w:rPr>
        <w:t>软件移植授权书、</w:t>
      </w:r>
      <w:r>
        <w:rPr>
          <w:rFonts w:hint="eastAsia"/>
        </w:rPr>
        <w:t>进口产品制造商授权书（如有）、中小企业声明函或残疾人福利性单位声明函或监狱企业证明文件（如有）、联合体协议（如有）、分包意向协议（如有）、分项报价表、</w:t>
      </w:r>
      <w:r>
        <w:rPr>
          <w:rFonts w:ascii="宋体" w:hAnsi="宋体" w:hint="eastAsia"/>
          <w:szCs w:val="21"/>
        </w:rPr>
        <w:t>服务团队人员基本情况表（如有）、</w:t>
      </w:r>
      <w:r>
        <w:rPr>
          <w:rFonts w:hint="eastAsia"/>
        </w:rPr>
        <w:t>技术要求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tabs>
          <w:tab w:val="left" w:pos="1573"/>
        </w:tabs>
        <w:adjustRightInd w:val="0"/>
        <w:snapToGrid w:val="0"/>
        <w:spacing w:line="360" w:lineRule="auto"/>
        <w:ind w:firstLine="420" w:firstLineChars="200"/>
        <w:rPr>
          <w:rFonts w:hint="eastAsia"/>
        </w:rPr>
      </w:pPr>
      <w:r>
        <w:rPr>
          <w:rFonts w:hint="eastAsia"/>
          <w:bCs/>
        </w:rPr>
        <w:t>（1）代表投标人进行述标的述标人应是投标人的正式员工，如需要投标人组成专门服务团队的，则述标人应是服务团队的人员。如采取现场方式述标，述标人应持有委托其述标的委托书</w:t>
      </w:r>
      <w:r>
        <w:rPr>
          <w:rFonts w:ascii="宋体" w:hAnsi="宋体" w:hint="eastAsia"/>
          <w:bCs/>
          <w:szCs w:val="21"/>
        </w:rPr>
        <w:t>（见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软件开发及服务标准、质量，投标产品及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）软件开发及服务标准、质量，投标产品的技术性能及质量。包括对招标文件应答情况，软件开发及服务标准、质量，产品技术规格有无偏离，产品的性能、标准，产品的先进性、可靠性、稳定性及质量保证等；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不是专门或部分面向中小企业采购的项目，小微企业享受价格扣除优惠，用扣除后的价格参与评审。具体见1.6.4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软件开发内容和要求、服务标准和要求、产品规格型号、数量、单价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软件开发和服务以及产品的标准、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rFonts w:hint="eastAsia"/>
        </w:rPr>
      </w:pPr>
      <w:r>
        <w:rPr>
          <w:rFonts w:hint="eastAsia"/>
          <w:b/>
          <w:bCs/>
        </w:rPr>
        <w:t>1.40供应商诚信评价</w:t>
      </w:r>
    </w:p>
    <w:p>
      <w:pPr>
        <w:tabs>
          <w:tab w:val="left" w:pos="1573"/>
        </w:tabs>
        <w:adjustRightInd w:val="0"/>
        <w:snapToGrid w:val="0"/>
        <w:spacing w:line="360" w:lineRule="auto"/>
        <w:ind w:firstLine="254" w:firstLineChars="121"/>
        <w:jc w:val="left"/>
        <w:outlineLvl w:val="1"/>
        <w:rPr>
          <w:rFonts w:ascii="宋体" w:hAnsi="宋体" w:hint="eastAsia"/>
        </w:rPr>
      </w:pPr>
      <w:r>
        <w:rPr>
          <w:rFonts w:ascii="宋体" w:hAnsi="宋体" w:hint="eastAsia"/>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54" w:firstLineChars="121"/>
        <w:jc w:val="center"/>
        <w:outlineLvl w:val="1"/>
        <w:rPr>
          <w:bCs/>
          <w:szCs w:val="44"/>
        </w:rPr>
      </w:pPr>
      <w:r>
        <w:rPr>
          <w:rFonts w:ascii="宋体" w:hAnsi="宋体"/>
        </w:rP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pStyle w:val="10"/>
        <w:numPr>
          <w:ilvl w:val="0"/>
          <w:numId w:val="0"/>
        </w:numPr>
        <w:tabs>
          <w:tab w:val="left" w:pos="709"/>
          <w:tab w:val="left" w:pos="1573"/>
        </w:tabs>
        <w:adjustRightInd w:val="0"/>
        <w:snapToGrid w:val="0"/>
        <w:spacing w:line="360" w:lineRule="auto"/>
        <w:ind w:firstLine="420" w:firstLineChars="200"/>
        <w:rPr>
          <w:bCs/>
          <w:szCs w:val="44"/>
        </w:rPr>
      </w:pPr>
      <w:r>
        <w:rPr>
          <w:rFonts w:hint="eastAsia"/>
          <w:b/>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hAnsi="宋体"/>
          <w:b/>
          <w:highlight w:val="none"/>
        </w:rPr>
      </w:pPr>
      <w:bookmarkStart w:id="8" w:name="插入_投标文件商务部分"/>
      <w:r>
        <w:rPr>
          <w:rFonts w:ascii="宋体" w:hAnsi="宋体" w:hint="eastAsia"/>
          <w:b/>
          <w:highlight w:val="none"/>
        </w:rPr>
        <w:t>2.6法定代表人身份证明或授权委托书</w:t>
      </w:r>
    </w:p>
    <w:p>
      <w:pPr>
        <w:tabs>
          <w:tab w:val="left" w:pos="1573"/>
        </w:tabs>
        <w:adjustRightInd w:val="0"/>
        <w:snapToGrid w:val="0"/>
        <w:spacing w:line="360" w:lineRule="auto"/>
        <w:ind w:firstLine="420" w:firstLineChars="200"/>
        <w:rPr>
          <w:rFonts w:ascii="宋体" w:hAnsi="宋体" w:hint="eastAsia"/>
          <w:szCs w:val="21"/>
          <w:highlight w:val="none"/>
        </w:rPr>
      </w:pPr>
      <w:r>
        <w:rPr>
          <w:rFonts w:hint="eastAsia"/>
          <w:highlight w:val="none"/>
        </w:rPr>
        <w:t>在格式文本中，</w:t>
      </w:r>
      <w:r>
        <w:rPr>
          <w:rFonts w:ascii="宋体" w:hAnsi="宋体" w:hint="eastAsia"/>
          <w:szCs w:val="21"/>
          <w:highlight w:val="none"/>
        </w:rPr>
        <w:t>除可填报内容外，任何实质性修改将被视为非实质性响应投标，从而导致该投标被</w:t>
      </w:r>
      <w:r>
        <w:rPr>
          <w:rFonts w:ascii="宋体" w:eastAsia="拒绝" w:hAnsi="宋体" w:hint="eastAsia"/>
          <w:b/>
          <w:szCs w:val="21"/>
          <w:highlight w:val="none"/>
        </w:rPr>
        <w:t>拒绝</w:t>
      </w:r>
      <w:r>
        <w:rPr>
          <w:rFonts w:ascii="宋体" w:hAnsi="宋体"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hint="eastAsia"/>
          <w:szCs w:val="21"/>
          <w:highlight w:val="none"/>
        </w:rPr>
      </w:pPr>
      <w:r>
        <w:rPr>
          <w:rFonts w:ascii="宋体" w:hAnsi="宋体" w:hint="eastAsia"/>
          <w:b/>
          <w:szCs w:val="21"/>
          <w:highlight w:val="none"/>
        </w:rPr>
        <w:t>2.6.1</w:t>
      </w:r>
      <w:r>
        <w:rPr>
          <w:rFonts w:ascii="华文楷体" w:eastAsia="华文楷体" w:hAnsi="华文楷体"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hint="eastAsia"/>
          <w:b/>
          <w:szCs w:val="21"/>
          <w:highlight w:val="none"/>
        </w:rPr>
      </w:pPr>
    </w:p>
    <w:p>
      <w:pPr>
        <w:tabs>
          <w:tab w:val="left" w:pos="5580"/>
        </w:tabs>
        <w:adjustRightInd w:val="0"/>
        <w:snapToGrid w:val="0"/>
        <w:spacing w:line="360" w:lineRule="auto"/>
        <w:jc w:val="center"/>
        <w:rPr>
          <w:rFonts w:ascii="华文楷体" w:eastAsia="华文楷体" w:hAnsi="华文楷体"/>
          <w:b/>
          <w:szCs w:val="21"/>
          <w:highlight w:val="none"/>
        </w:rPr>
      </w:pPr>
      <w:r>
        <w:rPr>
          <w:rFonts w:ascii="华文楷体" w:eastAsia="华文楷体" w:hAnsi="华文楷体"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widowControl/>
        <w:adjustRightInd w:val="0"/>
        <w:snapToGrid w:val="0"/>
        <w:spacing w:line="360" w:lineRule="auto"/>
        <w:ind w:firstLine="420" w:firstLineChars="200"/>
        <w:jc w:val="left"/>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投标人名称：</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姓名：</w:t>
      </w:r>
      <w:r>
        <w:rPr>
          <w:rFonts w:ascii="华文楷体" w:eastAsia="华文楷体" w:hAnsi="华文楷体" w:hint="eastAsia"/>
          <w:bCs/>
          <w:szCs w:val="21"/>
          <w:highlight w:val="none"/>
          <w:u w:val="single"/>
        </w:rPr>
        <w:t xml:space="preserve">              </w:t>
      </w:r>
      <w:r>
        <w:rPr>
          <w:rFonts w:ascii="华文楷体" w:eastAsia="华文楷体" w:hAnsi="华文楷体" w:hint="eastAsia"/>
          <w:szCs w:val="21"/>
          <w:highlight w:val="none"/>
        </w:rPr>
        <w:t>性别：</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ab/>
      </w:r>
      <w:r>
        <w:rPr>
          <w:rFonts w:ascii="华文楷体" w:eastAsia="华文楷体" w:hAnsi="华文楷体" w:hint="eastAsia"/>
          <w:szCs w:val="21"/>
          <w:highlight w:val="none"/>
        </w:rPr>
        <w:t>职务：</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szCs w:val="21"/>
          <w:highlight w:val="none"/>
        </w:rPr>
        <w:tab/>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系</w:t>
      </w:r>
      <w:r>
        <w:rPr>
          <w:rFonts w:ascii="华文楷体" w:eastAsia="华文楷体" w:hAnsi="华文楷体" w:hint="eastAsia"/>
          <w:bCs/>
          <w:szCs w:val="21"/>
          <w:highlight w:val="none"/>
          <w:u w:val="single"/>
        </w:rPr>
        <w:t xml:space="preserve">              </w:t>
      </w:r>
      <w:r>
        <w:rPr>
          <w:rFonts w:ascii="华文楷体" w:eastAsia="华文楷体" w:hAnsi="华文楷体"/>
          <w:szCs w:val="21"/>
          <w:highlight w:val="none"/>
        </w:rPr>
        <w:t xml:space="preserve"> </w:t>
      </w:r>
      <w:r>
        <w:rPr>
          <w:rFonts w:ascii="华文楷体" w:eastAsia="华文楷体" w:hAnsi="华文楷体"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szCs w:val="21"/>
          <w:highlight w:val="none"/>
        </w:rPr>
      </w:pPr>
      <w:r>
        <w:rPr>
          <w:rFonts w:ascii="华文楷体" w:eastAsia="华文楷体" w:hAnsi="华文楷体"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投标人（电子签章）：</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szCs w:val="21"/>
          <w:highlight w:val="none"/>
        </w:rPr>
      </w:pPr>
      <w:r>
        <w:rPr>
          <w:rFonts w:ascii="华文楷体" w:eastAsia="华文楷体" w:hAnsi="华文楷体" w:hint="eastAsia"/>
          <w:szCs w:val="21"/>
          <w:highlight w:val="none"/>
        </w:rPr>
        <w:t>日期：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附：法定代表人（单位负责人）身份证复印件。</w:t>
      </w:r>
      <w:r>
        <w:rPr>
          <w:rFonts w:ascii="华文楷体" w:eastAsia="华文楷体" w:hAnsi="华文楷体"/>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hAnsi="宋体" w:hint="eastAsia"/>
          <w:szCs w:val="21"/>
          <w:highlight w:val="none"/>
        </w:rPr>
      </w:pPr>
    </w:p>
    <w:p>
      <w:pPr>
        <w:tabs>
          <w:tab w:val="left" w:pos="1573"/>
        </w:tabs>
        <w:adjustRightInd w:val="0"/>
        <w:snapToGrid w:val="0"/>
        <w:spacing w:line="360" w:lineRule="auto"/>
        <w:ind w:firstLine="420" w:firstLineChars="200"/>
        <w:outlineLvl w:val="4"/>
        <w:rPr>
          <w:rFonts w:ascii="宋体" w:hAnsi="宋体" w:hint="eastAsia"/>
          <w:bCs/>
          <w:highlight w:val="none"/>
        </w:rPr>
      </w:pPr>
      <w:r>
        <w:rPr>
          <w:rFonts w:ascii="宋体" w:hAnsi="宋体" w:hint="eastAsia"/>
          <w:b/>
          <w:bCs/>
          <w:highlight w:val="none"/>
        </w:rPr>
        <w:t>2.6.2</w:t>
      </w:r>
      <w:r>
        <w:rPr>
          <w:rFonts w:ascii="华文楷体" w:eastAsia="华文楷体" w:hAnsi="华文楷体"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hAnsi="宋体"/>
          <w:bCs/>
          <w:highlight w:val="none"/>
        </w:rPr>
      </w:pPr>
    </w:p>
    <w:p>
      <w:pPr>
        <w:tabs>
          <w:tab w:val="left" w:pos="5580"/>
        </w:tabs>
        <w:adjustRightInd w:val="0"/>
        <w:snapToGrid w:val="0"/>
        <w:spacing w:line="360" w:lineRule="auto"/>
        <w:jc w:val="center"/>
        <w:rPr>
          <w:rFonts w:ascii="华文楷体" w:eastAsia="华文楷体" w:hAnsi="华文楷体"/>
          <w:b/>
          <w:bCs/>
          <w:szCs w:val="21"/>
          <w:highlight w:val="none"/>
          <w:u w:val="single"/>
        </w:rPr>
      </w:pPr>
      <w:r>
        <w:rPr>
          <w:rFonts w:ascii="华文楷体" w:eastAsia="华文楷体" w:hAnsi="华文楷体" w:hint="eastAsia"/>
          <w:b/>
          <w:szCs w:val="21"/>
          <w:highlight w:val="none"/>
        </w:rPr>
        <w:t>法定代表人（单位负责人）</w:t>
      </w:r>
      <w:r>
        <w:rPr>
          <w:rFonts w:ascii="华文楷体" w:eastAsia="华文楷体" w:hAnsi="华文楷体"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u w:val="single"/>
        </w:rPr>
        <w:t>中国气象局政府采购中心</w:t>
      </w:r>
      <w:r>
        <w:rPr>
          <w:rFonts w:ascii="华文楷体" w:eastAsia="华文楷体" w:hAnsi="华文楷体"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szCs w:val="21"/>
          <w:highlight w:val="none"/>
        </w:rPr>
      </w:pPr>
      <w:r>
        <w:rPr>
          <w:rFonts w:ascii="华文楷体" w:eastAsia="华文楷体" w:hAnsi="华文楷体" w:hint="eastAsia"/>
          <w:szCs w:val="21"/>
          <w:highlight w:val="none"/>
        </w:rPr>
        <w:t>本授权书声明：</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(投标人全称)的</w:t>
      </w:r>
      <w:r>
        <w:rPr>
          <w:rFonts w:ascii="华文楷体" w:eastAsia="华文楷体" w:hAnsi="华文楷体" w:hint="eastAsia"/>
          <w:szCs w:val="21"/>
          <w:highlight w:val="none"/>
        </w:rPr>
        <w:t>法定代表人（单位负责人）</w:t>
      </w:r>
      <w:r>
        <w:rPr>
          <w:rFonts w:ascii="华文楷体" w:eastAsia="华文楷体" w:hAnsi="华文楷体" w:hint="eastAsia"/>
          <w:szCs w:val="21"/>
          <w:highlight w:val="none"/>
          <w:u w:val="single"/>
        </w:rPr>
        <w:t xml:space="preserve">        （</w:t>
      </w:r>
      <w:r>
        <w:rPr>
          <w:rFonts w:ascii="华文楷体" w:eastAsia="华文楷体" w:hAnsi="华文楷体" w:hint="eastAsia"/>
          <w:b/>
          <w:bCs/>
          <w:szCs w:val="21"/>
          <w:highlight w:val="none"/>
        </w:rPr>
        <w:t>法定代表人姓名、职务</w:t>
      </w:r>
      <w:r>
        <w:rPr>
          <w:rFonts w:ascii="华文楷体" w:eastAsia="华文楷体" w:hAnsi="华文楷体" w:hint="eastAsia"/>
          <w:szCs w:val="21"/>
          <w:highlight w:val="none"/>
        </w:rPr>
        <w:t>）授权</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(投标人授权代表姓名)</w:t>
      </w:r>
      <w:r>
        <w:rPr>
          <w:rFonts w:ascii="华文楷体" w:eastAsia="华文楷体" w:hAnsi="华文楷体" w:hint="eastAsia"/>
          <w:b/>
          <w:bCs/>
          <w:szCs w:val="21"/>
          <w:highlight w:val="none"/>
          <w:u w:val="single"/>
        </w:rPr>
        <w:t xml:space="preserve">        （</w:t>
      </w:r>
      <w:r>
        <w:rPr>
          <w:rFonts w:ascii="华文楷体" w:eastAsia="华文楷体" w:hAnsi="华文楷体" w:hint="eastAsia"/>
          <w:b/>
          <w:bCs/>
          <w:szCs w:val="21"/>
          <w:highlight w:val="none"/>
        </w:rPr>
        <w:t>职务、职称)</w:t>
      </w:r>
      <w:r>
        <w:rPr>
          <w:rFonts w:ascii="华文楷体" w:eastAsia="华文楷体" w:hAnsi="华文楷体" w:hint="eastAsia"/>
          <w:szCs w:val="21"/>
          <w:highlight w:val="none"/>
        </w:rPr>
        <w:t>为本公司合法代理人</w:t>
      </w:r>
      <w:r>
        <w:rPr>
          <w:rFonts w:ascii="华文楷体" w:eastAsia="华文楷体" w:hAnsi="华文楷体" w:hint="eastAsia"/>
          <w:b/>
          <w:bCs/>
          <w:szCs w:val="21"/>
          <w:highlight w:val="none"/>
        </w:rPr>
        <w:t>，</w:t>
      </w:r>
      <w:r>
        <w:rPr>
          <w:rFonts w:ascii="华文楷体" w:eastAsia="华文楷体" w:hAnsi="华文楷体" w:hint="eastAsia"/>
          <w:szCs w:val="21"/>
          <w:highlight w:val="none"/>
        </w:rPr>
        <w:t>就贵方组织的</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项目（项目编号：</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w:t>
      </w:r>
      <w:r>
        <w:rPr>
          <w:rFonts w:ascii="华文楷体" w:eastAsia="华文楷体" w:hAnsi="华文楷体" w:hint="eastAsia"/>
          <w:szCs w:val="21"/>
          <w:highlight w:val="none"/>
          <w:u w:val="single"/>
        </w:rPr>
        <w:t xml:space="preserve">         </w:t>
      </w:r>
      <w:r>
        <w:rPr>
          <w:rFonts w:ascii="华文楷体" w:eastAsia="华文楷体" w:hAnsi="华文楷体"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r>
        <w:rPr>
          <w:rFonts w:ascii="华文楷体" w:eastAsia="华文楷体" w:hAnsi="华文楷体"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bCs/>
          <w:highlight w:val="none"/>
        </w:rPr>
      </w:pPr>
      <w:r>
        <w:rPr>
          <w:rFonts w:ascii="华文楷体" w:eastAsia="华文楷体" w:hAnsi="华文楷体" w:hint="eastAsia"/>
          <w:bCs/>
          <w:highlight w:val="none"/>
        </w:rPr>
        <w:t>投标人(电子签章)：</w:t>
      </w:r>
      <w:r>
        <w:rPr>
          <w:rFonts w:ascii="华文楷体" w:eastAsia="华文楷体" w:hAnsi="华文楷体" w:hint="eastAsia"/>
          <w:bCs/>
          <w:szCs w:val="21"/>
          <w:highlight w:val="none"/>
        </w:rPr>
        <w:t xml:space="preserve"> </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bCs/>
          <w:szCs w:val="21"/>
          <w:highlight w:val="none"/>
          <w:u w:val="single"/>
        </w:rPr>
      </w:pPr>
      <w:r>
        <w:rPr>
          <w:rFonts w:ascii="华文楷体" w:eastAsia="华文楷体" w:hAnsi="华文楷体" w:hint="eastAsia"/>
          <w:szCs w:val="21"/>
          <w:highlight w:val="none"/>
        </w:rPr>
        <w:t>法定代表人（单位负责人）（签字或盖章）：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hint="eastAsia"/>
          <w:szCs w:val="21"/>
          <w:highlight w:val="none"/>
        </w:rPr>
      </w:pPr>
      <w:r>
        <w:rPr>
          <w:rFonts w:ascii="华文楷体" w:eastAsia="华文楷体" w:hAnsi="华文楷体" w:hint="eastAsia"/>
          <w:szCs w:val="21"/>
          <w:highlight w:val="none"/>
        </w:rPr>
        <w:t>投标人授权代表(签字或盖章)：</w:t>
      </w:r>
      <w:r>
        <w:rPr>
          <w:rFonts w:ascii="华文楷体" w:eastAsia="华文楷体" w:hAnsi="华文楷体"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szCs w:val="21"/>
          <w:highlight w:val="none"/>
        </w:rPr>
      </w:pPr>
      <w:r>
        <w:rPr>
          <w:rFonts w:ascii="华文楷体" w:eastAsia="华文楷体" w:hAnsi="华文楷体" w:hint="eastAsia"/>
          <w:szCs w:val="21"/>
          <w:highlight w:val="none"/>
        </w:rPr>
        <w:t>日　期：</w:t>
      </w:r>
      <w:r>
        <w:rPr>
          <w:rFonts w:ascii="华文楷体" w:eastAsia="华文楷体" w:hAnsi="华文楷体"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hint="eastAsia"/>
          <w:szCs w:val="21"/>
          <w:highlight w:val="none"/>
        </w:rPr>
      </w:pPr>
      <w:bookmarkStart w:id="9" w:name="_Toc495992626"/>
      <w:r>
        <w:rPr>
          <w:rFonts w:ascii="华文楷体" w:eastAsia="华文楷体" w:hAnsi="华文楷体" w:hint="eastAsia"/>
          <w:szCs w:val="21"/>
          <w:highlight w:val="none"/>
        </w:rPr>
        <w:t>附：授权代表身份证复印件</w:t>
      </w:r>
    </w:p>
    <w:p>
      <w:pPr>
        <w:tabs>
          <w:tab w:val="left" w:pos="5580"/>
        </w:tabs>
        <w:adjustRightInd w:val="0"/>
        <w:snapToGrid w:val="0"/>
        <w:spacing w:line="360" w:lineRule="auto"/>
        <w:ind w:firstLine="420" w:firstLineChars="200"/>
        <w:jc w:val="left"/>
        <w:rPr>
          <w:rFonts w:ascii="华文楷体" w:eastAsia="华文楷体" w:hAnsi="华文楷体" w:hint="eastAsia"/>
          <w:b/>
          <w:szCs w:val="21"/>
          <w:highlight w:val="none"/>
        </w:rPr>
      </w:pPr>
      <w:r>
        <w:rPr>
          <w:rFonts w:ascii="华文楷体" w:eastAsia="华文楷体" w:hAnsi="华文楷体" w:hint="eastAsia"/>
          <w:szCs w:val="21"/>
          <w:highlight w:val="none"/>
        </w:rPr>
        <w:t>注：本授权委托书需由</w:t>
      </w:r>
      <w:r>
        <w:rPr>
          <w:rFonts w:ascii="华文楷体" w:eastAsia="华文楷体" w:hAnsi="华文楷体" w:hint="eastAsia"/>
          <w:szCs w:val="21"/>
          <w:highlight w:val="none"/>
        </w:rPr>
        <w:t>投标人</w:t>
      </w:r>
      <w:r>
        <w:rPr>
          <w:rFonts w:ascii="华文楷体" w:eastAsia="华文楷体" w:hAnsi="华文楷体" w:hint="eastAsia"/>
          <w:szCs w:val="21"/>
          <w:highlight w:val="none"/>
        </w:rPr>
        <w:t>加盖单位公章并由其法定代表人（单位负责人）和授权代表签字或盖章。</w:t>
      </w:r>
      <w:r>
        <w:rPr>
          <w:rFonts w:ascii="华文楷体" w:eastAsia="华文楷体" w:hAnsi="华文楷体" w:hint="eastAsia"/>
          <w:highlight w:val="none"/>
        </w:rPr>
        <w:t>可由相关人员本人签字（或使用本人的名章或手签章）后，扫描并上传至电子投标文件及相关文件相应位置，投标人再进行电子签章。</w:t>
      </w:r>
    </w:p>
    <w:bookmarkEnd w:id="9"/>
    <w:p>
      <w:pPr>
        <w:rPr>
          <w:highlight w:val="none"/>
        </w:rPr>
      </w:pP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3.我方有健全的内部控制、保密和管理制度以及完善的备份恢复措施和应急管理体系，具备完成本项目所必需的软件、硬件设施资源及场地。</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4.如我方中标，在非驻场完成本项目时，我方将确保用于本项目的设施、系统和数据与其他项目有明确、清晰的边界，确保用于本项目的服务器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存储</w:t>
      </w:r>
      <w:r>
        <w:rPr>
          <w:rFonts w:ascii="华文楷体" w:eastAsia="华文楷体" w:hAnsi="华文楷体" w:cs="Times New Roman" w:hint="eastAsia"/>
          <w:spacing w:val="-34"/>
          <w:szCs w:val="21"/>
        </w:rPr>
        <w:t>、</w:t>
      </w:r>
      <w:r>
        <w:rPr>
          <w:rFonts w:ascii="华文楷体" w:eastAsia="华文楷体" w:hAnsi="华文楷体" w:cs="Times New Roman" w:hint="eastAsia"/>
          <w:szCs w:val="21"/>
        </w:rPr>
        <w:t>网络设备、操作系统</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数据库</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中间件等软</w:t>
      </w:r>
      <w:r>
        <w:rPr>
          <w:rFonts w:ascii="华文楷体" w:eastAsia="华文楷体" w:hAnsi="华文楷体" w:cs="Times New Roman" w:hint="eastAsia"/>
          <w:spacing w:val="-20"/>
          <w:szCs w:val="21"/>
        </w:rPr>
        <w:t>、</w:t>
      </w:r>
      <w:r>
        <w:rPr>
          <w:rFonts w:ascii="华文楷体" w:eastAsia="华文楷体" w:hAnsi="华文楷体" w:cs="Times New Roman" w:hint="eastAsia"/>
          <w:szCs w:val="21"/>
        </w:rPr>
        <w:t>硬件设施具有最高管理权限，确保具有防止数据泄露的管理和技术措施，确保不存在规避监管的情形。</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5.如我方中标，</w:t>
      </w:r>
      <w:r>
        <w:rPr>
          <w:rFonts w:ascii="华文楷体" w:eastAsia="华文楷体" w:hAnsi="华文楷体" w:cs="Times New Roman" w:hint="eastAsia"/>
          <w:szCs w:val="20"/>
        </w:rPr>
        <w:t>在本项目软件开发中所产生的源代码、执行文件和相关开发文档等的知识产权为采购人所有，未经采购人授权，我方不留存或提供他用。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7.按招标文件要求提供和交付的软件、服务和货物的投标报价详见开标一览表。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9.开标一览表或投标文件中未注明出处的优惠金额可由采购人按用户利益最大化原则分摊到软件开发费用中，折算后的价格作为运维和追加开发的计费依据。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11.完全理解招标文件中的各项商务和服务、技术要求，若有偏差，已在投标文件商务条款和技术要求偏离表中予以明确特别说明。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16.接受招标文件中合同条款的全部条款且无任何异议。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17.本次投标没有与其他投标人相互串通，没有组织或参与陪标、围标、串标等法律禁止行为。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18.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单位名称</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详细地址</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rPr>
              <w:t>主管部门</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rPr>
              <w:t>授权代表</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jc w:val="center"/>
              <w:rPr>
                <w:rFonts w:ascii="Arial" w:eastAsia="黑体" w:hAnsi="Arial" w:cs="Arial"/>
              </w:rPr>
            </w:pPr>
            <w:r>
              <w:rPr>
                <w:rFonts w:ascii="Arial" w:eastAsia="黑体" w:hAnsi="Arial" w:cs="Arial" w:hint="eastAsia"/>
              </w:rPr>
              <w:t>组织形式</w:t>
            </w:r>
          </w:p>
        </w:tc>
        <w:tc>
          <w:tcPr>
            <w:tcW w:w="795" w:type="pct"/>
            <w:gridSpan w:val="2"/>
            <w:noWrap w:val="0"/>
            <w:vAlign w:val="top"/>
          </w:tcPr>
          <w:p>
            <w:pPr>
              <w:ind w:right="-42" w:rightChars="-20"/>
              <w:rPr>
                <w:rFonts w:ascii="Arial" w:hAnsi="Arial" w:cs="Arial"/>
              </w:rPr>
            </w:pPr>
          </w:p>
        </w:tc>
        <w:tc>
          <w:tcPr>
            <w:tcW w:w="795" w:type="pct"/>
            <w:noWrap w:val="0"/>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noWrap w:val="0"/>
            <w:vAlign w:val="center"/>
          </w:tcPr>
          <w:p>
            <w:pPr>
              <w:ind w:right="-42" w:rightChars="-20"/>
              <w:jc w:val="center"/>
              <w:rPr>
                <w:rFonts w:ascii="Arial" w:eastAsia="黑体" w:hAnsi="Arial" w:cs="Arial"/>
              </w:rPr>
            </w:pPr>
          </w:p>
        </w:tc>
        <w:tc>
          <w:tcPr>
            <w:tcW w:w="796" w:type="pct"/>
            <w:gridSpan w:val="2"/>
            <w:noWrap w:val="0"/>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noWrap w:val="0"/>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noWrap w:val="0"/>
            <w:vAlign w:val="top"/>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noWrap w:val="0"/>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jc w:val="center"/>
              <w:rPr>
                <w:rFonts w:ascii="Arial" w:eastAsia="黑体" w:hAnsi="Arial" w:cs="Arial"/>
              </w:rPr>
            </w:pPr>
          </w:p>
        </w:tc>
        <w:tc>
          <w:tcPr>
            <w:tcW w:w="940" w:type="pct"/>
            <w:gridSpan w:val="3"/>
            <w:vMerge/>
            <w:noWrap w:val="0"/>
            <w:vAlign w:val="center"/>
          </w:tcPr>
          <w:p>
            <w:pPr>
              <w:snapToGrid w:val="0"/>
              <w:ind w:right="-42" w:rightChars="-20"/>
              <w:jc w:val="center"/>
              <w:rPr>
                <w:rFonts w:ascii="Arial" w:eastAsia="黑体" w:hAnsi="Arial" w:cs="Arial"/>
              </w:rPr>
            </w:pPr>
          </w:p>
        </w:tc>
        <w:tc>
          <w:tcPr>
            <w:tcW w:w="2586" w:type="pct"/>
            <w:gridSpan w:val="4"/>
            <w:noWrap w:val="0"/>
            <w:vAlign w:val="top"/>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中级职称</w:t>
            </w:r>
          </w:p>
        </w:tc>
        <w:tc>
          <w:tcPr>
            <w:tcW w:w="757" w:type="pct"/>
            <w:noWrap w:val="0"/>
            <w:vAlign w:val="center"/>
          </w:tcPr>
          <w:p>
            <w:pPr>
              <w:ind w:right="-42" w:rightChars="-20"/>
              <w:jc w:val="center"/>
              <w:rPr>
                <w:rFonts w:ascii="Arial" w:eastAsia="黑体" w:hAnsi="Arial" w:cs="Arial"/>
              </w:rPr>
            </w:pPr>
            <w:r>
              <w:rPr>
                <w:rFonts w:ascii="Arial" w:eastAsia="黑体" w:hAnsi="Arial" w:cs="Arial"/>
              </w:rPr>
              <w:t>初级职称</w:t>
            </w:r>
          </w:p>
        </w:tc>
        <w:tc>
          <w:tcPr>
            <w:tcW w:w="1023" w:type="pct"/>
            <w:noWrap w:val="0"/>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noWrap w:val="0"/>
            <w:vAlign w:val="top"/>
          </w:tcPr>
          <w:p>
            <w:pPr>
              <w:snapToGrid w:val="0"/>
              <w:ind w:right="-42" w:rightChars="-20"/>
              <w:rPr>
                <w:rFonts w:ascii="Arial" w:eastAsia="黑体" w:hAnsi="Arial" w:cs="Arial"/>
              </w:rPr>
            </w:pPr>
          </w:p>
        </w:tc>
        <w:tc>
          <w:tcPr>
            <w:tcW w:w="806" w:type="pct"/>
            <w:gridSpan w:val="2"/>
            <w:noWrap w:val="0"/>
            <w:vAlign w:val="top"/>
          </w:tcPr>
          <w:p>
            <w:pPr>
              <w:ind w:right="-42" w:rightChars="-20"/>
              <w:rPr>
                <w:rFonts w:ascii="Arial" w:eastAsia="黑体" w:hAnsi="Arial" w:cs="Arial"/>
              </w:rPr>
            </w:pPr>
          </w:p>
        </w:tc>
        <w:tc>
          <w:tcPr>
            <w:tcW w:w="757" w:type="pct"/>
            <w:noWrap w:val="0"/>
            <w:vAlign w:val="top"/>
          </w:tcPr>
          <w:p>
            <w:pPr>
              <w:ind w:right="-42" w:rightChars="-20"/>
              <w:rPr>
                <w:rFonts w:ascii="Arial" w:eastAsia="黑体" w:hAnsi="Arial" w:cs="Arial"/>
              </w:rPr>
            </w:pPr>
          </w:p>
        </w:tc>
        <w:tc>
          <w:tcPr>
            <w:tcW w:w="1023" w:type="pct"/>
            <w:noWrap w:val="0"/>
            <w:vAlign w:val="top"/>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val="restart"/>
            <w:noWrap w:val="0"/>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noWrap w:val="0"/>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noWrap w:val="0"/>
            <w:vAlign w:val="center"/>
          </w:tcPr>
          <w:p>
            <w:pPr>
              <w:ind w:right="-42" w:rightChars="-20"/>
              <w:jc w:val="center"/>
              <w:rPr>
                <w:rFonts w:ascii="Arial" w:eastAsia="黑体" w:hAnsi="Arial" w:cs="Arial"/>
              </w:rPr>
            </w:pPr>
            <w:r>
              <w:rPr>
                <w:rFonts w:ascii="Arial" w:eastAsia="黑体" w:hAnsi="Arial" w:cs="Arial"/>
              </w:rPr>
              <w:t>资金来源</w:t>
            </w:r>
          </w:p>
        </w:tc>
        <w:tc>
          <w:tcPr>
            <w:tcW w:w="757" w:type="pct"/>
            <w:noWrap w:val="0"/>
            <w:vAlign w:val="center"/>
          </w:tcPr>
          <w:p>
            <w:pPr>
              <w:ind w:right="-42" w:rightChars="-20"/>
              <w:jc w:val="center"/>
              <w:rPr>
                <w:rFonts w:ascii="Arial" w:eastAsia="黑体" w:hAnsi="Arial" w:cs="Arial"/>
              </w:rPr>
            </w:pPr>
            <w:r>
              <w:rPr>
                <w:rFonts w:ascii="Arial" w:eastAsia="黑体" w:hAnsi="Arial" w:cs="Arial"/>
              </w:rPr>
              <w:t>自有资金</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vMerge/>
            <w:noWrap w:val="0"/>
            <w:vAlign w:val="center"/>
          </w:tcPr>
          <w:p>
            <w:pPr>
              <w:snapToGrid w:val="0"/>
              <w:ind w:right="-42" w:rightChars="-20"/>
              <w:rPr>
                <w:rFonts w:ascii="Arial" w:eastAsia="黑体" w:hAnsi="Arial" w:cs="Arial"/>
              </w:rPr>
            </w:pPr>
          </w:p>
        </w:tc>
        <w:tc>
          <w:tcPr>
            <w:tcW w:w="940" w:type="pct"/>
            <w:gridSpan w:val="3"/>
            <w:vMerge/>
            <w:noWrap w:val="0"/>
            <w:vAlign w:val="center"/>
          </w:tcPr>
          <w:p>
            <w:pPr>
              <w:snapToGrid w:val="0"/>
              <w:ind w:right="-42" w:rightChars="-20"/>
              <w:rPr>
                <w:rFonts w:ascii="Arial" w:eastAsia="黑体" w:hAnsi="Arial" w:cs="Arial"/>
              </w:rPr>
            </w:pPr>
          </w:p>
        </w:tc>
        <w:tc>
          <w:tcPr>
            <w:tcW w:w="806" w:type="pct"/>
            <w:gridSpan w:val="2"/>
            <w:vMerge/>
            <w:noWrap w:val="0"/>
            <w:vAlign w:val="center"/>
          </w:tcPr>
          <w:p>
            <w:pPr>
              <w:ind w:right="-42" w:rightChars="-20"/>
              <w:jc w:val="center"/>
              <w:rPr>
                <w:rFonts w:ascii="Arial" w:eastAsia="黑体" w:hAnsi="Arial" w:cs="Arial"/>
              </w:rPr>
            </w:pPr>
          </w:p>
        </w:tc>
        <w:tc>
          <w:tcPr>
            <w:tcW w:w="757" w:type="pct"/>
            <w:noWrap w:val="0"/>
            <w:vAlign w:val="center"/>
          </w:tcPr>
          <w:p>
            <w:pPr>
              <w:ind w:right="-42" w:rightChars="-20"/>
              <w:jc w:val="center"/>
              <w:rPr>
                <w:rFonts w:ascii="Arial" w:eastAsia="黑体" w:hAnsi="Arial" w:cs="Arial"/>
              </w:rPr>
            </w:pPr>
            <w:r>
              <w:rPr>
                <w:rFonts w:ascii="Arial" w:eastAsia="黑体" w:hAnsi="Arial" w:cs="Arial"/>
              </w:rPr>
              <w:t>银行贷款</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noWrap w:val="0"/>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noWrap w:val="0"/>
            <w:vAlign w:val="center"/>
          </w:tcPr>
          <w:p>
            <w:pPr>
              <w:ind w:right="-42" w:rightChars="-20"/>
              <w:jc w:val="center"/>
              <w:rPr>
                <w:rFonts w:ascii="Arial" w:eastAsia="黑体" w:hAnsi="Arial" w:cs="Arial"/>
              </w:rPr>
            </w:pPr>
            <w:r>
              <w:rPr>
                <w:rFonts w:ascii="Arial" w:eastAsia="黑体" w:hAnsi="Arial" w:cs="Arial"/>
              </w:rPr>
              <w:t>净值</w:t>
            </w:r>
          </w:p>
        </w:tc>
        <w:tc>
          <w:tcPr>
            <w:tcW w:w="1023" w:type="pct"/>
            <w:noWrap w:val="0"/>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noWrap w:val="0"/>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noWrap w:val="0"/>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noWrap w:val="0"/>
            <w:vAlign w:val="center"/>
          </w:tcPr>
          <w:p>
            <w:pPr>
              <w:ind w:right="-42" w:rightChars="-20"/>
              <w:jc w:val="center"/>
              <w:rPr>
                <w:rFonts w:ascii="Arial" w:eastAsia="黑体" w:hAnsi="Arial" w:cs="Arial"/>
              </w:rPr>
            </w:pPr>
            <w:r>
              <w:rPr>
                <w:rFonts w:ascii="Arial" w:eastAsia="黑体" w:hAnsi="Arial" w:cs="Arial"/>
              </w:rPr>
              <w:t>利润总额</w:t>
            </w:r>
          </w:p>
        </w:tc>
        <w:tc>
          <w:tcPr>
            <w:tcW w:w="757" w:type="pct"/>
            <w:noWrap w:val="0"/>
            <w:vAlign w:val="center"/>
          </w:tcPr>
          <w:p>
            <w:pPr>
              <w:ind w:right="-42" w:rightChars="-20"/>
              <w:jc w:val="center"/>
              <w:rPr>
                <w:rFonts w:ascii="Arial" w:eastAsia="黑体" w:hAnsi="Arial" w:cs="Arial"/>
              </w:rPr>
            </w:pPr>
            <w:r>
              <w:rPr>
                <w:rFonts w:ascii="Arial" w:eastAsia="黑体" w:hAnsi="Arial" w:cs="Arial"/>
              </w:rPr>
              <w:t>税后利润</w:t>
            </w:r>
          </w:p>
        </w:tc>
        <w:tc>
          <w:tcPr>
            <w:tcW w:w="1023" w:type="pct"/>
            <w:noWrap w:val="0"/>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noWrap w:val="0"/>
            <w:vAlign w:val="center"/>
          </w:tcPr>
          <w:p>
            <w:pPr>
              <w:ind w:right="-42" w:rightChars="-20"/>
              <w:jc w:val="center"/>
              <w:rPr>
                <w:rFonts w:ascii="Arial" w:eastAsia="黑体" w:hAnsi="Arial" w:cs="Arial"/>
              </w:rPr>
            </w:pPr>
          </w:p>
        </w:tc>
        <w:tc>
          <w:tcPr>
            <w:tcW w:w="678" w:type="pct"/>
            <w:noWrap w:val="0"/>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noWrap w:val="0"/>
            <w:vAlign w:val="center"/>
          </w:tcPr>
          <w:p>
            <w:pPr>
              <w:snapToGrid w:val="0"/>
              <w:ind w:right="-42" w:rightChars="-20"/>
              <w:rPr>
                <w:rFonts w:ascii="Arial" w:eastAsia="黑体" w:hAnsi="Arial" w:cs="Arial"/>
              </w:rPr>
            </w:pPr>
          </w:p>
        </w:tc>
        <w:tc>
          <w:tcPr>
            <w:tcW w:w="806" w:type="pct"/>
            <w:gridSpan w:val="2"/>
            <w:noWrap w:val="0"/>
            <w:vAlign w:val="center"/>
          </w:tcPr>
          <w:p>
            <w:pPr>
              <w:ind w:right="-42" w:rightChars="-20"/>
              <w:rPr>
                <w:rFonts w:ascii="Arial" w:eastAsia="黑体" w:hAnsi="Arial" w:cs="Arial"/>
              </w:rPr>
            </w:pPr>
          </w:p>
        </w:tc>
        <w:tc>
          <w:tcPr>
            <w:tcW w:w="757" w:type="pct"/>
            <w:noWrap w:val="0"/>
            <w:vAlign w:val="center"/>
          </w:tcPr>
          <w:p>
            <w:pPr>
              <w:ind w:right="-42" w:rightChars="-20"/>
              <w:rPr>
                <w:rFonts w:ascii="Arial" w:eastAsia="黑体" w:hAnsi="Arial" w:cs="Arial"/>
              </w:rPr>
            </w:pPr>
          </w:p>
        </w:tc>
        <w:tc>
          <w:tcPr>
            <w:tcW w:w="1023" w:type="pct"/>
            <w:noWrap w:val="0"/>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10" w:name="OLE_LINK46"/>
      <w:r>
        <w:rPr>
          <w:rFonts w:hint="eastAsia"/>
        </w:rPr>
        <w:t>“微型企业”。</w:t>
      </w:r>
      <w:bookmarkEnd w:id="10"/>
      <w:r>
        <w:rPr>
          <w:rFonts w:hint="eastAsia"/>
        </w:rPr>
        <w:t>属于监狱企业的应填写为“监狱企业”，属于残疾人福利性单位的应填写为“残疾人福利性单位”。</w:t>
      </w:r>
    </w:p>
    <w:p>
      <w:pPr>
        <w:tabs>
          <w:tab w:val="left" w:pos="5580"/>
        </w:tabs>
        <w:adjustRightInd w:val="0"/>
        <w:snapToGrid w:val="0"/>
        <w:spacing w:line="360" w:lineRule="auto"/>
        <w:ind w:firstLine="420" w:firstLineChars="200"/>
        <w:jc w:val="left"/>
      </w:pPr>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2.9商务条款偏离表</w:t>
      </w:r>
    </w:p>
    <w:p>
      <w:pPr>
        <w:tabs>
          <w:tab w:val="left" w:pos="1573"/>
        </w:tabs>
        <w:adjustRightInd w:val="0"/>
        <w:snapToGrid w:val="0"/>
        <w:spacing w:line="360" w:lineRule="auto"/>
        <w:ind w:firstLine="412" w:firstLineChars="196"/>
      </w:pPr>
      <w:r>
        <w:rPr>
          <w:rFonts w:ascii="宋体" w:hAnsi="宋体" w:hint="eastAsia"/>
          <w:szCs w:val="21"/>
        </w:rPr>
        <w:t>如投标人提交的投标文件商务条款及合同条款与招标文件的要求存在偏离，需逐项填写；如投标人完全满足招标文件的要求，则需应答“完全满足招标文件的全部要求”；如</w:t>
      </w:r>
      <w:r>
        <w:rPr>
          <w:rFonts w:hint="eastAsia"/>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hAnsi="宋体"/>
          <w:szCs w:val="21"/>
        </w:rPr>
      </w:pPr>
    </w:p>
    <w:p>
      <w:pPr>
        <w:keepNext/>
        <w:tabs>
          <w:tab w:val="left" w:pos="5580"/>
        </w:tabs>
        <w:adjustRightInd w:val="0"/>
        <w:snapToGrid w:val="0"/>
        <w:spacing w:line="360" w:lineRule="auto"/>
        <w:ind w:left="1573" w:hanging="1573"/>
        <w:jc w:val="center"/>
        <w:rPr>
          <w:rFonts w:ascii="宋体" w:hAnsi="宋体"/>
          <w:szCs w:val="21"/>
        </w:rPr>
      </w:pPr>
      <w:r>
        <w:rPr>
          <w:rFonts w:ascii="宋体" w:hAnsi="宋体" w:hint="eastAsia"/>
          <w:szCs w:val="21"/>
        </w:rPr>
        <w:t>商务条款偏离表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107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招标文件条目号</w:t>
            </w:r>
          </w:p>
        </w:tc>
        <w:tc>
          <w:tcPr>
            <w:tcW w:w="1701"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招标文件商务文件要求</w:t>
            </w:r>
          </w:p>
        </w:tc>
        <w:tc>
          <w:tcPr>
            <w:tcW w:w="1843"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投标文件的应答</w:t>
            </w:r>
          </w:p>
        </w:tc>
        <w:tc>
          <w:tcPr>
            <w:tcW w:w="1276" w:type="dxa"/>
            <w:noWrap w:val="0"/>
            <w:vAlign w:val="center"/>
          </w:tcPr>
          <w:p>
            <w:pPr>
              <w:tabs>
                <w:tab w:val="left" w:pos="1573"/>
              </w:tabs>
              <w:adjustRightInd w:val="0"/>
              <w:snapToGrid w:val="0"/>
              <w:jc w:val="center"/>
              <w:rPr>
                <w:rFonts w:ascii="华文楷体" w:eastAsia="华文楷体" w:hAnsi="华文楷体"/>
                <w:szCs w:val="21"/>
              </w:rPr>
            </w:pPr>
            <w:r>
              <w:rPr>
                <w:rFonts w:ascii="华文楷体" w:eastAsia="华文楷体" w:hAnsi="华文楷体" w:hint="eastAsia"/>
                <w:szCs w:val="21"/>
              </w:rPr>
              <w:t>投标文件中的对应页码</w:t>
            </w:r>
          </w:p>
        </w:tc>
        <w:tc>
          <w:tcPr>
            <w:tcW w:w="1843" w:type="dxa"/>
            <w:noWrap w:val="0"/>
            <w:vAlign w:val="center"/>
          </w:tcPr>
          <w:p>
            <w:pPr>
              <w:tabs>
                <w:tab w:val="left" w:pos="1573"/>
              </w:tabs>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r>
              <w:rPr>
                <w:rFonts w:ascii="华文楷体" w:eastAsia="华文楷体" w:hAnsi="华文楷体" w:hint="eastAsia"/>
                <w:szCs w:val="21"/>
              </w:rPr>
              <w:t>偏离/无偏离</w:t>
            </w: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07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701"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276"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c>
          <w:tcPr>
            <w:tcW w:w="1843" w:type="dxa"/>
            <w:noWrap w:val="0"/>
            <w:vAlign w:val="center"/>
          </w:tcPr>
          <w:p>
            <w:pPr>
              <w:tabs>
                <w:tab w:val="left" w:pos="1573"/>
              </w:tabs>
              <w:adjustRightInd w:val="0"/>
              <w:snapToGrid w:val="0"/>
              <w:spacing w:line="360" w:lineRule="auto"/>
              <w:ind w:left="1573" w:hanging="1573" w:hangingChars="749"/>
              <w:jc w:val="center"/>
              <w:rPr>
                <w:rFonts w:ascii="华文楷体" w:eastAsia="华文楷体" w:hAnsi="华文楷体"/>
                <w:szCs w:val="21"/>
              </w:rPr>
            </w:pPr>
          </w:p>
        </w:tc>
      </w:tr>
    </w:tbl>
    <w:p>
      <w:pPr>
        <w:tabs>
          <w:tab w:val="left" w:pos="1573"/>
        </w:tabs>
        <w:adjustRightInd w:val="0"/>
        <w:snapToGrid w:val="0"/>
        <w:spacing w:line="360" w:lineRule="auto"/>
        <w:ind w:left="1573" w:hanging="1153" w:leftChars="200" w:hangingChars="549"/>
        <w:rPr>
          <w:rFonts w:ascii="宋体" w:hAnsi="宋体"/>
          <w:szCs w:val="21"/>
        </w:rPr>
      </w:pPr>
      <w:r>
        <w:rPr>
          <w:rFonts w:ascii="宋体" w:hAnsi="宋体"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hint="eastAsia"/>
          <w:szCs w:val="21"/>
        </w:rPr>
      </w:pPr>
      <w:r>
        <w:rPr>
          <w:rFonts w:ascii="华文楷体" w:eastAsia="华文楷体" w:hAnsi="华文楷体"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hint="eastAsia"/>
          <w:szCs w:val="21"/>
        </w:rPr>
      </w:pPr>
      <w:r>
        <w:rPr>
          <w:rFonts w:ascii="华文楷体" w:eastAsia="华文楷体" w:hAnsi="华文楷体"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rPr>
      </w:pPr>
      <w:r>
        <w:rPr>
          <w:rFonts w:ascii="宋体" w:eastAsia="宋体" w:hAnsi="宋体" w:cs="Times New Roman" w:hint="eastAsia"/>
          <w:b/>
          <w:szCs w:val="20"/>
        </w:rPr>
        <w:t>2.10 投标人计算机软件著作权或使用权情况表</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b/>
          <w:szCs w:val="20"/>
        </w:rPr>
      </w:pPr>
      <w:r>
        <w:rPr>
          <w:rFonts w:ascii="宋体" w:eastAsia="宋体" w:hAnsi="宋体" w:cs="Times New Roman" w:hint="eastAsia"/>
          <w:szCs w:val="21"/>
        </w:rPr>
        <w:t>投标人按其拥有的计算机软件著作权或使用权填列，并后附著作权证书、授权使用文件等证明材料（证明材料为有关证书、文件的复印件）。</w:t>
      </w:r>
    </w:p>
    <w:p>
      <w:pPr>
        <w:tabs>
          <w:tab w:val="left" w:pos="1573"/>
        </w:tabs>
        <w:adjustRightInd w:val="0"/>
        <w:snapToGrid w:val="0"/>
        <w:spacing w:line="360" w:lineRule="auto"/>
        <w:ind w:firstLine="422"/>
        <w:jc w:val="left"/>
        <w:rPr>
          <w:rFonts w:ascii="宋体" w:eastAsia="宋体" w:hAnsi="宋体" w:cs="Times New Roman" w:hint="eastAsia"/>
          <w:b/>
          <w:szCs w:val="21"/>
        </w:rPr>
      </w:pPr>
    </w:p>
    <w:p>
      <w:pPr>
        <w:keepNext/>
        <w:tabs>
          <w:tab w:val="left" w:pos="5580"/>
        </w:tabs>
        <w:adjustRightInd w:val="0"/>
        <w:snapToGrid w:val="0"/>
        <w:spacing w:line="360" w:lineRule="auto"/>
        <w:jc w:val="center"/>
        <w:rPr>
          <w:rFonts w:ascii="宋体" w:eastAsia="宋体" w:hAnsi="宋体" w:cs="Times New Roman" w:hint="eastAsia"/>
          <w:szCs w:val="21"/>
        </w:rPr>
      </w:pPr>
      <w:r>
        <w:rPr>
          <w:rFonts w:ascii="宋体" w:eastAsia="宋体" w:hAnsi="宋体" w:cs="Times New Roman" w:hint="eastAsia"/>
          <w:szCs w:val="21"/>
        </w:rPr>
        <w:t>投标人计算机软件著作权情况表</w:t>
      </w:r>
    </w:p>
    <w:p>
      <w:pPr>
        <w:adjustRightInd w:val="0"/>
        <w:snapToGrid w:val="0"/>
        <w:spacing w:line="360" w:lineRule="auto"/>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8804" w:type="dxa"/>
        <w:tblInd w:w="93" w:type="dxa"/>
        <w:tblCellMar>
          <w:top w:w="0" w:type="dxa"/>
          <w:left w:w="108" w:type="dxa"/>
          <w:bottom w:w="0" w:type="dxa"/>
          <w:right w:w="108" w:type="dxa"/>
        </w:tblCellMar>
      </w:tblPr>
      <w:tblGrid>
        <w:gridCol w:w="2850"/>
        <w:gridCol w:w="1134"/>
        <w:gridCol w:w="1418"/>
        <w:gridCol w:w="1276"/>
        <w:gridCol w:w="1134"/>
        <w:gridCol w:w="992"/>
      </w:tblGrid>
      <w:tr>
        <w:tblPrEx>
          <w:tblW w:w="8804" w:type="dxa"/>
          <w:tblInd w:w="93" w:type="dxa"/>
          <w:tblCellMar>
            <w:top w:w="0" w:type="dxa"/>
            <w:left w:w="108" w:type="dxa"/>
            <w:bottom w:w="0" w:type="dxa"/>
            <w:right w:w="108" w:type="dxa"/>
          </w:tblCellMar>
        </w:tblPrEx>
        <w:trPr>
          <w:trHeight w:val="480"/>
        </w:trPr>
        <w:tc>
          <w:tcPr>
            <w:tcW w:w="2850" w:type="dxa"/>
            <w:tcBorders>
              <w:top w:val="single" w:sz="4" w:space="0" w:color="auto"/>
              <w:left w:val="single" w:sz="4" w:space="0" w:color="auto"/>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软件版本号</w:t>
            </w:r>
          </w:p>
        </w:tc>
        <w:tc>
          <w:tcPr>
            <w:tcW w:w="1418"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计算机软件著作权证书编号</w:t>
            </w:r>
          </w:p>
        </w:tc>
        <w:tc>
          <w:tcPr>
            <w:tcW w:w="1276"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授权方名称</w:t>
            </w:r>
          </w:p>
        </w:tc>
        <w:tc>
          <w:tcPr>
            <w:tcW w:w="1134"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授权文件号</w:t>
            </w:r>
          </w:p>
        </w:tc>
        <w:tc>
          <w:tcPr>
            <w:tcW w:w="992" w:type="dxa"/>
            <w:tcBorders>
              <w:top w:val="single" w:sz="4" w:space="0" w:color="auto"/>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备注</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一、拥有计算机软件著作权情况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1、自主开发</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2、外购</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kern w:val="0"/>
                <w:sz w:val="18"/>
                <w:szCs w:val="18"/>
              </w:rPr>
            </w:pPr>
            <w:r>
              <w:rPr>
                <w:rFonts w:ascii="华文楷体" w:eastAsia="华文楷体" w:hAnsi="华文楷体" w:cs="宋体" w:hint="eastAsia"/>
                <w:b/>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二、计算机软件授权使用情况</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418"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X</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b/>
                <w:bCs/>
                <w:kern w:val="0"/>
                <w:sz w:val="18"/>
                <w:szCs w:val="18"/>
              </w:rPr>
            </w:pPr>
            <w:r>
              <w:rPr>
                <w:rFonts w:ascii="华文楷体" w:eastAsia="华文楷体" w:hAnsi="华文楷体" w:cs="宋体" w:hint="eastAsia"/>
                <w:b/>
                <w:bCs/>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（1）</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（2）</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r>
        <w:tblPrEx>
          <w:tblW w:w="8804" w:type="dxa"/>
          <w:tblInd w:w="93" w:type="dxa"/>
          <w:tblCellMar>
            <w:top w:w="0" w:type="dxa"/>
            <w:left w:w="108" w:type="dxa"/>
            <w:bottom w:w="0" w:type="dxa"/>
            <w:right w:w="108" w:type="dxa"/>
          </w:tblCellMar>
        </w:tblPrEx>
        <w:trPr>
          <w:trHeight w:val="270"/>
        </w:trPr>
        <w:tc>
          <w:tcPr>
            <w:tcW w:w="2850" w:type="dxa"/>
            <w:tcBorders>
              <w:top w:val="nil"/>
              <w:left w:val="single" w:sz="4" w:space="0" w:color="auto"/>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418"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276"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1134" w:type="dxa"/>
            <w:tcBorders>
              <w:top w:val="nil"/>
              <w:left w:val="nil"/>
              <w:bottom w:val="single" w:sz="4" w:space="0" w:color="auto"/>
              <w:right w:val="single" w:sz="4" w:space="0" w:color="auto"/>
            </w:tcBorders>
            <w:noWrap w:val="0"/>
            <w:vAlign w:val="center"/>
          </w:tcPr>
          <w:p>
            <w:pPr>
              <w:widowControl/>
              <w:jc w:val="center"/>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c>
          <w:tcPr>
            <w:tcW w:w="992" w:type="dxa"/>
            <w:tcBorders>
              <w:top w:val="nil"/>
              <w:left w:val="nil"/>
              <w:bottom w:val="single" w:sz="4" w:space="0" w:color="auto"/>
              <w:right w:val="single" w:sz="4" w:space="0" w:color="auto"/>
            </w:tcBorders>
            <w:noWrap w:val="0"/>
            <w:vAlign w:val="center"/>
          </w:tcPr>
          <w:p>
            <w:pPr>
              <w:widowControl/>
              <w:jc w:val="left"/>
              <w:rPr>
                <w:rFonts w:ascii="华文楷体" w:eastAsia="华文楷体" w:hAnsi="华文楷体" w:cs="宋体"/>
                <w:kern w:val="0"/>
                <w:sz w:val="18"/>
                <w:szCs w:val="18"/>
              </w:rPr>
            </w:pPr>
            <w:r>
              <w:rPr>
                <w:rFonts w:ascii="华文楷体" w:eastAsia="华文楷体" w:hAnsi="华文楷体" w:cs="宋体" w:hint="eastAsia"/>
                <w:kern w:val="0"/>
                <w:sz w:val="18"/>
                <w:szCs w:val="18"/>
              </w:rPr>
              <w:t>　</w:t>
            </w:r>
          </w:p>
        </w:tc>
      </w:tr>
    </w:tbl>
    <w:p>
      <w:pPr>
        <w:tabs>
          <w:tab w:val="left" w:pos="1573"/>
        </w:tabs>
        <w:adjustRightInd w:val="0"/>
        <w:snapToGrid w:val="0"/>
        <w:spacing w:line="360" w:lineRule="auto"/>
        <w:ind w:left="1573" w:hanging="1573" w:hangingChars="749"/>
        <w:rPr>
          <w:rFonts w:ascii="宋体" w:eastAsia="宋体" w:hAnsi="宋体" w:cs="Times New Roman" w:hint="eastAsia"/>
          <w:szCs w:val="21"/>
        </w:rPr>
      </w:pP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2.11.1投标人</w:t>
      </w:r>
      <w:r>
        <w:rPr>
          <w:rFonts w:ascii="宋体" w:eastAsia="宋体" w:hAnsi="宋体" w:cs="Times New Roman"/>
          <w:b/>
          <w:kern w:val="2"/>
          <w:sz w:val="21"/>
          <w:szCs w:val="21"/>
          <w:highlight w:val="none"/>
          <w:lang w:val="en-US" w:eastAsia="zh-CN" w:bidi="ar-SA"/>
        </w:rPr>
        <w:t>法人</w:t>
      </w:r>
      <w:r>
        <w:rPr>
          <w:rFonts w:ascii="宋体" w:eastAsia="宋体" w:hAnsi="宋体" w:cs="Times New Roman" w:hint="eastAsia"/>
          <w:b/>
          <w:kern w:val="2"/>
          <w:sz w:val="21"/>
          <w:szCs w:val="21"/>
          <w:highlight w:val="none"/>
          <w:lang w:val="en-US" w:eastAsia="zh-CN" w:bidi="ar-SA"/>
        </w:rPr>
        <w:t>资格</w:t>
      </w:r>
      <w:r>
        <w:rPr>
          <w:rFonts w:ascii="宋体" w:eastAsia="宋体" w:hAnsi="宋体" w:cs="Times New Roman"/>
          <w:b/>
          <w:kern w:val="2"/>
          <w:sz w:val="21"/>
          <w:szCs w:val="21"/>
          <w:highlight w:val="none"/>
          <w:lang w:val="en-US" w:eastAsia="zh-CN" w:bidi="ar-SA"/>
        </w:rPr>
        <w:t>证明文件</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截止至投标截止日仍有效的投标人法人资格的证明文件（法人营业执照、事业单位法人证书等）的复印件。</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2.11.5参加政府采购活动前三年内，在经营活动中没有重大违法记录的声明</w:t>
      </w:r>
    </w:p>
    <w:p>
      <w:pPr>
        <w:widowControl w:val="0"/>
        <w:numPr>
          <w:ilvl w:val="0"/>
          <w:numId w:val="0"/>
        </w:numPr>
        <w:tabs>
          <w:tab w:val="left" w:pos="1573"/>
        </w:tabs>
        <w:adjustRightInd w:val="0"/>
        <w:snapToGrid w:val="0"/>
        <w:spacing w:line="360" w:lineRule="auto"/>
        <w:ind w:firstLine="420" w:firstLineChars="200"/>
        <w:jc w:val="left"/>
        <w:rPr>
          <w:rFonts w:ascii="宋体" w:eastAsia="宋体" w:hAnsi="宋体" w:cs="Times New Roman"/>
          <w:b/>
          <w:szCs w:val="21"/>
          <w:highlight w:val="none"/>
        </w:rPr>
      </w:pPr>
      <w:r>
        <w:rPr>
          <w:rFonts w:ascii="宋体" w:eastAsia="宋体" w:hAnsi="宋体" w:cs="Times New Roman" w:hint="eastAsia"/>
          <w:kern w:val="2"/>
          <w:sz w:val="21"/>
          <w:szCs w:val="21"/>
          <w:highlight w:val="none"/>
          <w:lang w:val="en-US" w:eastAsia="zh-CN" w:bidi="ar-SA"/>
        </w:rPr>
        <w:t>在格式文本中，除可填报内容外，任何实质性修改将被视为非实质性响应投标，从而导致该投标被</w:t>
      </w:r>
      <w:r>
        <w:rPr>
          <w:rFonts w:ascii="宋体" w:eastAsia="拒绝" w:hAnsi="宋体" w:cs="Times New Roman" w:hint="eastAsia"/>
          <w:b/>
          <w:kern w:val="2"/>
          <w:sz w:val="21"/>
          <w:szCs w:val="21"/>
          <w:highlight w:val="none"/>
          <w:lang w:val="en-US" w:eastAsia="zh-CN" w:bidi="ar-SA"/>
        </w:rPr>
        <w:t>拒绝</w:t>
      </w:r>
      <w:r>
        <w:rPr>
          <w:rFonts w:ascii="宋体" w:eastAsia="宋体" w:hAnsi="宋体" w:cs="Times New Roman" w:hint="eastAsia"/>
          <w:kern w:val="2"/>
          <w:sz w:val="21"/>
          <w:szCs w:val="21"/>
          <w:highlight w:val="none"/>
          <w:lang w:val="en-US" w:eastAsia="zh-CN" w:bidi="ar-SA"/>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bookmarkStart w:id="11" w:name="_Hlt509739007"/>
      <w:bookmarkEnd w:id="11"/>
      <w:r>
        <w:rPr>
          <w:rFonts w:ascii="宋体" w:eastAsia="宋体" w:hAnsi="宋体" w:cs="Times New Roman" w:hint="eastAsia"/>
          <w:b/>
          <w:kern w:val="2"/>
          <w:sz w:val="21"/>
          <w:szCs w:val="21"/>
          <w:highlight w:val="none"/>
          <w:lang w:val="en-US" w:eastAsia="zh-CN" w:bidi="ar-SA"/>
        </w:rPr>
        <w:t>2.11.6投标人信用查询记录。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szCs w:val="21"/>
          <w:highlight w:val="none"/>
        </w:rPr>
      </w:pPr>
      <w:r>
        <w:rPr>
          <w:rFonts w:ascii="宋体" w:eastAsia="宋体" w:hAnsi="宋体" w:cs="Times New Roman" w:hint="eastAsia"/>
          <w:b/>
          <w:szCs w:val="21"/>
          <w:highlight w:val="none"/>
        </w:rPr>
        <w:t>2.11.7不使用第三方软件移植承诺书</w:t>
      </w:r>
    </w:p>
    <w:p>
      <w:pPr>
        <w:tabs>
          <w:tab w:val="left" w:pos="1573"/>
        </w:tabs>
        <w:adjustRightInd w:val="0"/>
        <w:snapToGrid w:val="0"/>
        <w:spacing w:line="360" w:lineRule="auto"/>
        <w:ind w:firstLine="420" w:firstLineChars="200"/>
        <w:jc w:val="left"/>
        <w:rPr>
          <w:rFonts w:ascii="宋体" w:eastAsia="宋体" w:hAnsi="宋体" w:cs="Times New Roman" w:hint="eastAsia"/>
          <w:szCs w:val="21"/>
          <w:highlight w:val="none"/>
        </w:rPr>
      </w:pPr>
      <w:r>
        <w:rPr>
          <w:rFonts w:ascii="宋体" w:eastAsia="宋体" w:hAnsi="宋体" w:cs="Times New Roman" w:hint="eastAsia"/>
          <w:szCs w:val="21"/>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1573"/>
        </w:tabs>
        <w:adjustRightInd w:val="0"/>
        <w:snapToGrid w:val="0"/>
        <w:spacing w:line="360" w:lineRule="auto"/>
        <w:ind w:left="422" w:firstLine="422"/>
        <w:jc w:val="left"/>
        <w:rPr>
          <w:rFonts w:ascii="宋体" w:eastAsia="宋体" w:hAnsi="宋体" w:cs="Times New Roman" w:hint="eastAsia"/>
          <w:b/>
          <w:szCs w:val="21"/>
          <w:highlight w:val="none"/>
        </w:rPr>
      </w:pPr>
    </w:p>
    <w:p>
      <w:pPr>
        <w:adjustRightInd w:val="0"/>
        <w:snapToGrid w:val="0"/>
        <w:spacing w:line="360" w:lineRule="auto"/>
        <w:ind w:firstLine="412" w:firstLineChars="196"/>
        <w:jc w:val="center"/>
        <w:rPr>
          <w:rFonts w:ascii="华文楷体" w:eastAsia="华文楷体" w:hAnsi="华文楷体" w:cs="Times New Roman" w:hint="eastAsia"/>
          <w:b/>
          <w:szCs w:val="20"/>
          <w:highlight w:val="none"/>
        </w:rPr>
      </w:pPr>
      <w:r>
        <w:rPr>
          <w:rFonts w:ascii="华文楷体" w:eastAsia="华文楷体" w:hAnsi="华文楷体" w:cs="Times New Roman" w:hint="eastAsia"/>
          <w:b/>
          <w:szCs w:val="20"/>
          <w:highlight w:val="none"/>
        </w:rPr>
        <w:t>不使用第三方软件移植承诺书</w:t>
      </w:r>
    </w:p>
    <w:p>
      <w:pPr>
        <w:widowControl/>
        <w:tabs>
          <w:tab w:val="left" w:pos="1060"/>
        </w:tabs>
        <w:adjustRightInd w:val="0"/>
        <w:snapToGrid w:val="0"/>
        <w:spacing w:line="360" w:lineRule="auto"/>
        <w:ind w:firstLine="42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中国气象局政府采购中心：</w:t>
      </w:r>
    </w:p>
    <w:p>
      <w:pPr>
        <w:widowControl/>
        <w:adjustRightInd w:val="0"/>
        <w:snapToGrid w:val="0"/>
        <w:spacing w:line="360" w:lineRule="auto"/>
        <w:jc w:val="left"/>
        <w:rPr>
          <w:rFonts w:ascii="华文楷体" w:eastAsia="华文楷体" w:hAnsi="华文楷体" w:cs="Times New Roman" w:hint="eastAsia"/>
          <w:b/>
          <w:bCs/>
          <w:szCs w:val="21"/>
          <w:highlight w:val="none"/>
        </w:rPr>
      </w:pPr>
      <w:r>
        <w:rPr>
          <w:rFonts w:ascii="华文楷体" w:eastAsia="华文楷体" w:hAnsi="华文楷体" w:cs="Times New Roman" w:hint="eastAsia"/>
          <w:b/>
          <w:bCs/>
          <w:szCs w:val="21"/>
          <w:highlight w:val="none"/>
        </w:rPr>
        <w:t xml:space="preserve">    </w:t>
      </w:r>
      <w:r>
        <w:rPr>
          <w:rFonts w:ascii="华文楷体" w:eastAsia="华文楷体" w:hAnsi="华文楷体" w:cs="Times New Roman" w:hint="eastAsia"/>
          <w:szCs w:val="21"/>
          <w:highlight w:val="none"/>
        </w:rPr>
        <w:t>注册于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b/>
          <w:bCs/>
          <w:szCs w:val="21"/>
          <w:highlight w:val="none"/>
        </w:rPr>
        <w:t>投标人住址</w:t>
      </w:r>
      <w:r>
        <w:rPr>
          <w:rFonts w:ascii="华文楷体" w:eastAsia="华文楷体" w:hAnsi="华文楷体" w:cs="Times New Roman" w:hint="eastAsia"/>
          <w:szCs w:val="21"/>
          <w:highlight w:val="none"/>
        </w:rPr>
        <w:t>）的</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（包号）进行投标。</w:t>
      </w:r>
      <w:r>
        <w:rPr>
          <w:rFonts w:ascii="华文楷体" w:eastAsia="华文楷体" w:hAnsi="华文楷体" w:cs="Times New Roman" w:hint="eastAsia"/>
          <w:bCs/>
          <w:szCs w:val="21"/>
          <w:highlight w:val="none"/>
        </w:rPr>
        <w:t>为此我方郑重承诺：</w:t>
      </w:r>
    </w:p>
    <w:p>
      <w:pPr>
        <w:adjustRightInd w:val="0"/>
        <w:snapToGrid w:val="0"/>
        <w:spacing w:line="360" w:lineRule="auto"/>
        <w:ind w:firstLine="412" w:firstLineChars="196"/>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如我方中标，则在该项目的软件开发中，不使用第三方软件进行移植、修改或再开发。如有违反，我方将承担由此导致的一切法律责任，并赔偿由此给采购人造成损失。</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4200" w:leftChars="448" w:firstLineChars="20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2"/>
        <w:jc w:val="left"/>
        <w:outlineLvl w:val="9"/>
        <w:rPr>
          <w:rFonts w:ascii="华文楷体" w:eastAsia="华文楷体" w:hAnsi="华文楷体" w:cs="Times New Roman" w:hint="eastAsia"/>
          <w:szCs w:val="21"/>
          <w:highlight w:val="none"/>
        </w:rPr>
      </w:pPr>
    </w:p>
    <w:p>
      <w:pPr>
        <w:tabs>
          <w:tab w:val="left" w:pos="1573"/>
        </w:tabs>
        <w:adjustRightInd w:val="0"/>
        <w:snapToGrid w:val="0"/>
        <w:spacing w:line="360" w:lineRule="auto"/>
        <w:ind w:firstLine="422"/>
        <w:jc w:val="left"/>
        <w:outlineLvl w:val="4"/>
        <w:rPr>
          <w:rFonts w:ascii="宋体" w:eastAsia="宋体" w:hAnsi="宋体" w:cs="Times New Roman" w:hint="eastAsia"/>
          <w:b/>
          <w:bCs/>
          <w:szCs w:val="21"/>
          <w:highlight w:val="none"/>
        </w:rPr>
      </w:pPr>
      <w:r>
        <w:rPr>
          <w:rFonts w:ascii="宋体" w:eastAsia="宋体" w:hAnsi="宋体" w:cs="Times New Roman" w:hint="eastAsia"/>
          <w:b/>
          <w:szCs w:val="21"/>
          <w:highlight w:val="none"/>
        </w:rPr>
        <w:t>2.11.8软件移植</w:t>
      </w:r>
      <w:r>
        <w:rPr>
          <w:rFonts w:ascii="宋体" w:eastAsia="宋体" w:hAnsi="宋体" w:cs="Times New Roman" w:hint="eastAsia"/>
          <w:b/>
          <w:bCs/>
          <w:szCs w:val="21"/>
          <w:highlight w:val="none"/>
        </w:rPr>
        <w:t>授权书</w:t>
      </w:r>
    </w:p>
    <w:p>
      <w:pPr>
        <w:adjustRightInd w:val="0"/>
        <w:snapToGrid w:val="0"/>
        <w:spacing w:line="360" w:lineRule="auto"/>
        <w:ind w:firstLine="412" w:firstLineChars="196"/>
        <w:rPr>
          <w:rFonts w:ascii="Times New Roman" w:eastAsia="宋体" w:hAnsi="Times New Roman" w:cs="Times New Roman" w:hint="eastAsia"/>
          <w:szCs w:val="20"/>
          <w:highlight w:val="none"/>
        </w:rPr>
      </w:pPr>
      <w:r>
        <w:rPr>
          <w:rFonts w:ascii="宋体" w:eastAsia="宋体" w:hAnsi="宋体" w:cs="Times New Roman" w:hint="eastAsia"/>
          <w:szCs w:val="20"/>
          <w:highlight w:val="none"/>
        </w:rPr>
        <w:t>在本项目的软件开发中，涉及使用第三方软件进行移植、修改、再开发的投标人提供。</w:t>
      </w:r>
      <w:r>
        <w:rPr>
          <w:rFonts w:ascii="Times New Roman" w:eastAsia="宋体" w:hAnsi="Times New Roman" w:cs="Times New Roman" w:hint="eastAsia"/>
          <w:szCs w:val="20"/>
          <w:highlight w:val="none"/>
        </w:rPr>
        <w:t>在格式文本中，除可填报内容外，对本投标函内容的任何实质性修改将被视为非实质性响应投标，从而导致该投标被</w:t>
      </w:r>
      <w:r>
        <w:rPr>
          <w:rFonts w:ascii="Times New Roman" w:eastAsia="拒绝" w:hAnsi="Times New Roman" w:cs="Times New Roman" w:hint="eastAsia"/>
          <w:b/>
          <w:szCs w:val="20"/>
          <w:highlight w:val="none"/>
        </w:rPr>
        <w:t>拒绝</w:t>
      </w:r>
      <w:r>
        <w:rPr>
          <w:rFonts w:ascii="Times New Roman" w:eastAsia="宋体" w:hAnsi="Times New Roman" w:cs="Times New Roman" w:hint="eastAsia"/>
          <w:szCs w:val="20"/>
          <w:highlight w:val="none"/>
        </w:rPr>
        <w:t>。</w:t>
      </w:r>
    </w:p>
    <w:p>
      <w:pPr>
        <w:adjustRightInd w:val="0"/>
        <w:snapToGrid w:val="0"/>
        <w:spacing w:line="360" w:lineRule="auto"/>
        <w:ind w:firstLine="412" w:firstLineChars="196"/>
        <w:rPr>
          <w:rFonts w:ascii="宋体" w:eastAsia="宋体" w:hAnsi="宋体" w:cs="Times New Roman" w:hint="eastAsia"/>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hint="eastAsia"/>
          <w:b/>
          <w:szCs w:val="21"/>
          <w:highlight w:val="none"/>
        </w:rPr>
      </w:pPr>
      <w:r>
        <w:rPr>
          <w:rFonts w:ascii="华文楷体" w:eastAsia="华文楷体" w:hAnsi="华文楷体" w:cs="Times New Roman" w:hint="eastAsia"/>
          <w:b/>
          <w:szCs w:val="20"/>
          <w:highlight w:val="none"/>
        </w:rPr>
        <w:t>软件移植授权书</w:t>
      </w:r>
    </w:p>
    <w:p>
      <w:pPr>
        <w:tabs>
          <w:tab w:val="left" w:pos="1573"/>
        </w:tabs>
        <w:adjustRightInd w:val="0"/>
        <w:snapToGrid w:val="0"/>
        <w:spacing w:line="360" w:lineRule="auto"/>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 xml:space="preserve">作为设在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（第三方软件商地址）的拥有的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（被移植、修改和再开发的软件名称）版权的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 xml:space="preserve">（第三方软件商名称），在此授权 </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（投标人名称和地址）在</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项目</w:t>
      </w:r>
      <w:r>
        <w:rPr>
          <w:rFonts w:ascii="华文楷体" w:eastAsia="华文楷体" w:hAnsi="华文楷体" w:cs="Times New Roman" w:hint="eastAsia"/>
          <w:szCs w:val="21"/>
          <w:highlight w:val="none"/>
        </w:rPr>
        <w:t>（</w:t>
      </w:r>
      <w:r>
        <w:rPr>
          <w:rFonts w:ascii="华文楷体" w:eastAsia="华文楷体" w:hAnsi="华文楷体" w:cs="Times New Roman" w:hint="eastAsia"/>
          <w:bCs/>
          <w:szCs w:val="21"/>
          <w:highlight w:val="none"/>
        </w:rPr>
        <w:t>项目编号：</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bCs/>
          <w:szCs w:val="21"/>
          <w:highlight w:val="none"/>
        </w:rPr>
        <w:t>（包号）中标后，在该项目软件开发中，可对我方拥有版权的上述软件</w:t>
      </w:r>
      <w:r>
        <w:rPr>
          <w:rFonts w:ascii="华文楷体" w:eastAsia="华文楷体" w:hAnsi="华文楷体" w:cs="Times New Roman" w:hint="eastAsia"/>
          <w:szCs w:val="21"/>
          <w:highlight w:val="none"/>
        </w:rPr>
        <w:t>进行移植、修改和再开发。</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第三方软件商名称：</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（公章）</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第三方软件商授权人签字（或盖章）：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hint="eastAsia"/>
          <w:b/>
          <w:bCs/>
          <w:szCs w:val="20"/>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b/>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2.11.9投标货物的《气象专用技术装备使用许可证》。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如本次采购内容包括货物，且</w:t>
      </w:r>
      <w:r>
        <w:rPr>
          <w:rFonts w:ascii="宋体" w:eastAsia="宋体" w:hAnsi="宋体" w:cs="Times New Roman" w:hint="eastAsia"/>
          <w:szCs w:val="20"/>
          <w:highlight w:val="none"/>
        </w:rPr>
        <w:t>投标货物必须取得《气象专用技术装备使用许可证》的，应提供气象行业主管部门颁发的</w:t>
      </w:r>
      <w:r>
        <w:rPr>
          <w:rFonts w:ascii="Times New Roman" w:eastAsia="宋体" w:hAnsi="Times New Roman" w:cs="Times New Roman" w:hint="eastAsia"/>
          <w:szCs w:val="20"/>
          <w:highlight w:val="none"/>
        </w:rPr>
        <w:t>且至投标截止日仍有效的</w:t>
      </w:r>
      <w:r>
        <w:rPr>
          <w:rFonts w:ascii="宋体" w:eastAsia="宋体" w:hAnsi="宋体" w:cs="Times New Roman" w:hint="eastAsia"/>
          <w:szCs w:val="20"/>
          <w:highlight w:val="none"/>
        </w:rPr>
        <w:t>《气象专用技术装备使用许可证》的复印件，</w:t>
      </w:r>
      <w:r>
        <w:rPr>
          <w:rFonts w:ascii="Times New Roman" w:eastAsia="宋体" w:hAnsi="Times New Roman" w:cs="Times New Roman" w:hint="eastAsia"/>
          <w:szCs w:val="20"/>
          <w:highlight w:val="none"/>
        </w:rPr>
        <w:t>且所载产品名称、规格型号应与投标货物的名称、规格型号一致。</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bCs/>
          <w:kern w:val="2"/>
          <w:sz w:val="21"/>
          <w:szCs w:val="21"/>
          <w:highlight w:val="none"/>
          <w:lang w:val="en-US" w:eastAsia="zh-CN" w:bidi="ar-SA"/>
        </w:rPr>
        <w:t>2.11.10</w:t>
      </w:r>
      <w:r>
        <w:rPr>
          <w:rFonts w:ascii="宋体" w:eastAsia="宋体" w:hAnsi="宋体" w:cs="Times New Roman" w:hint="eastAsia"/>
          <w:b/>
          <w:kern w:val="2"/>
          <w:sz w:val="21"/>
          <w:szCs w:val="21"/>
          <w:highlight w:val="none"/>
          <w:lang w:val="en-US" w:eastAsia="zh-CN" w:bidi="ar-SA"/>
        </w:rPr>
        <w:t>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bookmarkStart w:id="12" w:name="_Toc86202647"/>
      <w:r>
        <w:rPr>
          <w:rFonts w:ascii="宋体" w:eastAsia="宋体" w:hAnsi="宋体" w:cs="Times New Roman" w:hint="eastAsia"/>
          <w:b/>
          <w:kern w:val="2"/>
          <w:sz w:val="21"/>
          <w:szCs w:val="21"/>
          <w:highlight w:val="none"/>
          <w:lang w:val="en-US" w:eastAsia="zh-CN" w:bidi="ar-SA"/>
        </w:rPr>
        <w:t>2.11.11中</w:t>
      </w:r>
      <w:r>
        <w:rPr>
          <w:rFonts w:ascii="宋体" w:eastAsia="宋体" w:hAnsi="宋体" w:cs="Times New Roman"/>
          <w:b/>
          <w:kern w:val="2"/>
          <w:sz w:val="21"/>
          <w:szCs w:val="21"/>
          <w:highlight w:val="none"/>
          <w:lang w:val="en-US" w:eastAsia="zh-CN" w:bidi="ar-SA"/>
        </w:rPr>
        <w:t>小企业声明函</w:t>
      </w:r>
      <w:r>
        <w:rPr>
          <w:rFonts w:ascii="宋体" w:eastAsia="宋体" w:hAnsi="宋体" w:cs="Times New Roman" w:hint="eastAsia"/>
          <w:b/>
          <w:kern w:val="2"/>
          <w:sz w:val="21"/>
          <w:szCs w:val="21"/>
          <w:highlight w:val="none"/>
          <w:lang w:val="en-US" w:eastAsia="zh-CN" w:bidi="ar-SA"/>
        </w:rPr>
        <w:t>、</w:t>
      </w:r>
      <w:r>
        <w:rPr>
          <w:rFonts w:ascii="宋体" w:eastAsia="宋体" w:hAnsi="宋体" w:cs="Times New Roman" w:hint="eastAsia"/>
          <w:b/>
          <w:bCs/>
          <w:kern w:val="2"/>
          <w:sz w:val="21"/>
          <w:szCs w:val="21"/>
          <w:highlight w:val="none"/>
          <w:lang w:val="en-US" w:eastAsia="zh-CN" w:bidi="ar-SA"/>
        </w:rPr>
        <w:t>残疾人福利性单位声明函、监狱企业证明文件</w:t>
      </w:r>
    </w:p>
    <w:p>
      <w:pPr>
        <w:widowControl w:val="0"/>
        <w:numPr>
          <w:ilvl w:val="0"/>
          <w:numId w:val="0"/>
        </w:numPr>
        <w:tabs>
          <w:tab w:val="left" w:pos="1573"/>
        </w:tabs>
        <w:adjustRightInd w:val="0"/>
        <w:snapToGrid w:val="0"/>
        <w:spacing w:line="360" w:lineRule="auto"/>
        <w:ind w:firstLine="420" w:firstLineChars="200"/>
        <w:jc w:val="left"/>
        <w:outlineLvl w:val="9"/>
        <w:rPr>
          <w:rFonts w:ascii="宋体" w:eastAsia="宋体" w:hAnsi="宋体" w:cs="Times New Roman" w:hint="eastAsia"/>
          <w:szCs w:val="21"/>
          <w:highlight w:val="none"/>
        </w:rPr>
      </w:pPr>
      <w:r>
        <w:rPr>
          <w:rFonts w:ascii="宋体" w:eastAsia="宋体" w:hAnsi="宋体" w:cs="Times New Roman" w:hint="eastAsia"/>
          <w:bCs/>
          <w:kern w:val="2"/>
          <w:sz w:val="21"/>
          <w:szCs w:val="21"/>
          <w:highlight w:val="none"/>
          <w:lang w:val="en-US" w:eastAsia="zh-CN" w:bidi="ar-SA"/>
        </w:rPr>
        <w:t>属于预留采购份额面向中小企业采购的项目，必须提供；不属于预留采购份额面向中小企业采购的项目，可以不提供，但不能享受可能的价格扣除优惠。</w:t>
      </w:r>
      <w:r>
        <w:rPr>
          <w:rFonts w:ascii="宋体" w:eastAsia="宋体" w:hAnsi="宋体" w:cs="Times New Roman" w:hint="eastAsia"/>
          <w:kern w:val="2"/>
          <w:sz w:val="21"/>
          <w:szCs w:val="21"/>
          <w:highlight w:val="none"/>
          <w:lang w:val="en-US" w:eastAsia="zh-CN" w:bidi="ar-SA"/>
        </w:rPr>
        <w:t>在《中小企业声明函》、《</w:t>
      </w:r>
      <w:r>
        <w:rPr>
          <w:rFonts w:ascii="宋体" w:eastAsia="宋体" w:hAnsi="宋体" w:cs="Times New Roman" w:hint="eastAsia"/>
          <w:bCs/>
          <w:kern w:val="2"/>
          <w:sz w:val="21"/>
          <w:szCs w:val="21"/>
          <w:highlight w:val="none"/>
          <w:lang w:val="en-US" w:eastAsia="zh-CN" w:bidi="ar-SA"/>
        </w:rPr>
        <w:t>残疾人福利性单位声明函》</w:t>
      </w:r>
      <w:r>
        <w:rPr>
          <w:rFonts w:ascii="宋体" w:eastAsia="宋体" w:hAnsi="宋体" w:cs="Times New Roman" w:hint="eastAsia"/>
          <w:kern w:val="2"/>
          <w:sz w:val="21"/>
          <w:szCs w:val="21"/>
          <w:highlight w:val="none"/>
          <w:lang w:val="en-US" w:eastAsia="zh-CN" w:bidi="ar-SA"/>
        </w:rPr>
        <w:t>格式文本中，除可填报内容外，对内容的任何实质性修改将被视为相关要求未得到响应，从而导致该投标被拒绝或者</w:t>
      </w:r>
      <w:r>
        <w:rPr>
          <w:rFonts w:ascii="宋体" w:eastAsia="宋体" w:hAnsi="宋体" w:cs="Times New Roman" w:hint="eastAsia"/>
          <w:bCs/>
          <w:kern w:val="2"/>
          <w:sz w:val="21"/>
          <w:szCs w:val="21"/>
          <w:highlight w:val="none"/>
          <w:lang w:val="en-US" w:eastAsia="zh-CN" w:bidi="ar-SA"/>
        </w:rPr>
        <w:t>不能享受可能的价格扣除优惠</w:t>
      </w:r>
      <w:r>
        <w:rPr>
          <w:rFonts w:ascii="宋体" w:eastAsia="宋体" w:hAnsi="宋体" w:cs="Times New Roman" w:hint="eastAsia"/>
          <w:kern w:val="2"/>
          <w:sz w:val="21"/>
          <w:szCs w:val="21"/>
          <w:highlight w:val="none"/>
          <w:lang w:val="en-US" w:eastAsia="zh-CN" w:bidi="ar-SA"/>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tabs>
          <w:tab w:val="left" w:pos="709"/>
          <w:tab w:val="left" w:pos="1573"/>
        </w:tabs>
        <w:adjustRightInd w:val="0"/>
        <w:snapToGrid w:val="0"/>
        <w:spacing w:line="360" w:lineRule="auto"/>
        <w:ind w:left="105"/>
        <w:jc w:val="center"/>
        <w:rPr>
          <w:rFonts w:ascii="华文楷体" w:eastAsia="华文楷体" w:hAnsi="华文楷体" w:cs="Times New Roman"/>
          <w:b/>
          <w:bCs/>
          <w:szCs w:val="21"/>
          <w:highlight w:val="none"/>
        </w:rPr>
      </w:pPr>
      <w:r>
        <w:rPr>
          <w:rFonts w:ascii="华文楷体" w:eastAsia="华文楷体" w:hAnsi="华文楷体" w:cs="Times New Roman" w:hint="eastAsia"/>
          <w:b/>
          <w:bCs/>
          <w:szCs w:val="21"/>
          <w:highlight w:val="none"/>
        </w:rPr>
        <w:t>中小</w:t>
      </w:r>
      <w:r>
        <w:rPr>
          <w:rFonts w:ascii="华文楷体" w:eastAsia="华文楷体" w:hAnsi="华文楷体" w:cs="Times New Roman"/>
          <w:b/>
          <w:bCs/>
          <w:szCs w:val="21"/>
          <w:highlight w:val="none"/>
        </w:rPr>
        <w:t>企业声明函</w:t>
      </w:r>
      <w:r>
        <w:rPr>
          <w:rFonts w:ascii="华文楷体" w:eastAsia="华文楷体" w:hAnsi="华文楷体" w:cs="Times New Roman" w:hint="eastAsia"/>
          <w:b/>
          <w:bCs/>
          <w:szCs w:val="21"/>
          <w:highlight w:val="none"/>
        </w:rPr>
        <w:t>（服务）</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本公司（联合体）郑重声明，根据《政府采购促进中小企业发展管理办法》（财库﹝2020﹞46 号）的规定，本公司（联合体）参加</w:t>
      </w:r>
      <w:r>
        <w:rPr>
          <w:rFonts w:ascii="华文楷体" w:eastAsia="华文楷体" w:hAnsi="华文楷体" w:cs="仿宋" w:hint="eastAsia"/>
          <w:szCs w:val="21"/>
          <w:highlight w:val="none"/>
          <w:u w:val="single"/>
        </w:rPr>
        <w:t>（单位名称）</w:t>
      </w:r>
      <w:r>
        <w:rPr>
          <w:rFonts w:ascii="华文楷体" w:eastAsia="华文楷体" w:hAnsi="华文楷体" w:cs="仿宋" w:hint="eastAsia"/>
          <w:szCs w:val="21"/>
          <w:highlight w:val="none"/>
        </w:rPr>
        <w:t>的</w:t>
      </w:r>
      <w:r>
        <w:rPr>
          <w:rFonts w:ascii="华文楷体" w:eastAsia="华文楷体" w:hAnsi="华文楷体" w:cs="仿宋" w:hint="eastAsia"/>
          <w:szCs w:val="21"/>
          <w:highlight w:val="none"/>
          <w:u w:val="single"/>
        </w:rPr>
        <w:t>（项目名称）</w:t>
      </w:r>
      <w:r>
        <w:rPr>
          <w:rFonts w:ascii="华文楷体" w:eastAsia="华文楷体" w:hAnsi="华文楷体" w:cs="仿宋" w:hint="eastAsia"/>
          <w:szCs w:val="21"/>
          <w:highlight w:val="none"/>
        </w:rPr>
        <w:t>采购活动，服务全部由符合政策要求的中小企业承接；如有货物，所</w:t>
      </w:r>
      <w:r>
        <w:rPr>
          <w:rFonts w:ascii="华文楷体" w:eastAsia="华文楷体" w:hAnsi="华文楷体" w:cs="仿宋_GB2312" w:hint="eastAsia"/>
          <w:szCs w:val="21"/>
          <w:highlight w:val="none"/>
        </w:rPr>
        <w:t>提供的货物全部由符合政策要求的中小企业制造。</w:t>
      </w:r>
      <w:r>
        <w:rPr>
          <w:rFonts w:ascii="华文楷体" w:eastAsia="华文楷体" w:hAnsi="华文楷体" w:cs="仿宋" w:hint="eastAsia"/>
          <w:szCs w:val="21"/>
          <w:highlight w:val="none"/>
        </w:rPr>
        <w:t>相关企业（含联合体中的中小企业、签订分包意向协议的中小企业）的具体情况如下：</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1.（</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2.（</w:t>
      </w:r>
      <w:r>
        <w:rPr>
          <w:rFonts w:ascii="华文楷体" w:eastAsia="华文楷体" w:hAnsi="华文楷体" w:cs="仿宋" w:hint="eastAsia"/>
          <w:szCs w:val="21"/>
          <w:highlight w:val="none"/>
          <w:u w:val="single"/>
        </w:rPr>
        <w:t>标的名称）</w:t>
      </w:r>
      <w:r>
        <w:rPr>
          <w:rFonts w:ascii="华文楷体" w:eastAsia="华文楷体" w:hAnsi="华文楷体" w:cs="仿宋" w:hint="eastAsia"/>
          <w:szCs w:val="21"/>
          <w:highlight w:val="none"/>
        </w:rPr>
        <w:t>，属于</w:t>
      </w:r>
      <w:r>
        <w:rPr>
          <w:rFonts w:ascii="华文楷体" w:eastAsia="华文楷体" w:hAnsi="华文楷体" w:cs="仿宋" w:hint="eastAsia"/>
          <w:szCs w:val="21"/>
          <w:highlight w:val="none"/>
          <w:u w:val="single"/>
        </w:rPr>
        <w:t>（采购文件中明确的所属行业）行业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承建（承接）企业为</w:t>
      </w:r>
      <w:r>
        <w:rPr>
          <w:rFonts w:ascii="华文楷体" w:eastAsia="华文楷体" w:hAnsi="华文楷体" w:cs="仿宋" w:hint="eastAsia"/>
          <w:szCs w:val="21"/>
          <w:highlight w:val="none"/>
          <w:u w:val="single"/>
        </w:rPr>
        <w:t>（企业名称）</w:t>
      </w:r>
      <w:r>
        <w:rPr>
          <w:rFonts w:ascii="华文楷体" w:eastAsia="华文楷体" w:hAnsi="华文楷体" w:cs="仿宋" w:hint="eastAsia"/>
          <w:szCs w:val="21"/>
          <w:highlight w:val="none"/>
        </w:rPr>
        <w:t>，从业人员</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rPr>
        <w:t>人，营业收入为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万元，资产总额为</w:t>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u w:val="single"/>
        </w:rPr>
        <w:tab/>
      </w:r>
      <w:r>
        <w:rPr>
          <w:rFonts w:ascii="华文楷体" w:eastAsia="华文楷体" w:hAnsi="华文楷体" w:cs="仿宋" w:hint="eastAsia"/>
          <w:szCs w:val="21"/>
          <w:highlight w:val="none"/>
          <w:u w:val="single"/>
        </w:rPr>
        <w:t xml:space="preserve"> </w:t>
      </w:r>
      <w:r>
        <w:rPr>
          <w:rFonts w:ascii="华文楷体" w:eastAsia="华文楷体" w:hAnsi="华文楷体" w:cs="仿宋" w:hint="eastAsia"/>
          <w:szCs w:val="21"/>
          <w:highlight w:val="none"/>
        </w:rPr>
        <w:t>万元，属于</w:t>
      </w:r>
      <w:r>
        <w:rPr>
          <w:rFonts w:ascii="华文楷体" w:eastAsia="华文楷体" w:hAnsi="华文楷体" w:cs="仿宋" w:hint="eastAsia"/>
          <w:szCs w:val="21"/>
          <w:highlight w:val="none"/>
          <w:u w:val="single"/>
        </w:rPr>
        <w:t>（中型企业、小型企业、微型企业）</w:t>
      </w: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djustRightInd w:val="0"/>
        <w:snapToGrid w:val="0"/>
        <w:spacing w:line="360" w:lineRule="auto"/>
        <w:ind w:right="105" w:firstLine="420" w:rightChars="50" w:firstLineChars="200"/>
        <w:jc w:val="left"/>
        <w:rPr>
          <w:rFonts w:ascii="华文楷体" w:eastAsia="华文楷体" w:hAnsi="华文楷体" w:cs="仿宋_GB2312"/>
          <w:szCs w:val="21"/>
          <w:highlight w:val="none"/>
        </w:rPr>
      </w:pP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jc w:val="left"/>
        <w:rPr>
          <w:rFonts w:ascii="华文楷体" w:eastAsia="华文楷体" w:hAnsi="华文楷体" w:cs="仿宋_GB2312"/>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left"/>
        <w:rPr>
          <w:rFonts w:ascii="华文楷体" w:eastAsia="华文楷体" w:hAnsi="华文楷体" w:cs="Times New Roman"/>
          <w:bCs/>
          <w:szCs w:val="20"/>
          <w:highlight w:val="none"/>
        </w:rPr>
      </w:pPr>
    </w:p>
    <w:p>
      <w:pPr>
        <w:adjustRightInd w:val="0"/>
        <w:snapToGrid w:val="0"/>
        <w:spacing w:line="360" w:lineRule="auto"/>
        <w:ind w:right="105" w:firstLine="4200" w:rightChars="50" w:firstLineChars="200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p>
    <w:p>
      <w:pPr>
        <w:adjustRightInd w:val="0"/>
        <w:snapToGrid w:val="0"/>
        <w:spacing w:line="360" w:lineRule="auto"/>
        <w:ind w:right="105" w:firstLine="4200" w:rightChars="50" w:firstLineChars="2000"/>
        <w:rPr>
          <w:rFonts w:ascii="华文楷体" w:eastAsia="华文楷体" w:hAnsi="华文楷体" w:cs="仿宋_GB2312" w:hint="eastAsia"/>
          <w:szCs w:val="21"/>
          <w:highlight w:val="none"/>
          <w:u w:val="single"/>
        </w:rPr>
      </w:pPr>
      <w:r>
        <w:rPr>
          <w:rFonts w:ascii="华文楷体" w:eastAsia="华文楷体" w:hAnsi="华文楷体" w:cs="仿宋_GB2312"/>
          <w:szCs w:val="21"/>
          <w:highlight w:val="none"/>
        </w:rPr>
        <w:t>日期：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5580"/>
        </w:tabs>
        <w:adjustRightInd w:val="0"/>
        <w:snapToGrid w:val="0"/>
        <w:spacing w:line="360" w:lineRule="auto"/>
        <w:ind w:firstLine="420" w:firstLineChars="200"/>
        <w:jc w:val="left"/>
        <w:rPr>
          <w:rFonts w:ascii="华文楷体" w:eastAsia="华文楷体" w:hAnsi="华文楷体" w:cs="仿宋_GB2312"/>
          <w:szCs w:val="21"/>
          <w:highlight w:val="none"/>
          <w:u w:val="single"/>
        </w:rPr>
      </w:pPr>
    </w:p>
    <w:p>
      <w:pPr>
        <w:tabs>
          <w:tab w:val="left" w:pos="1573"/>
        </w:tabs>
        <w:autoSpaceDN w:val="0"/>
        <w:adjustRightInd w:val="0"/>
        <w:snapToGrid w:val="0"/>
        <w:spacing w:line="360" w:lineRule="auto"/>
        <w:ind w:left="105" w:leftChars="50"/>
        <w:jc w:val="left"/>
        <w:rPr>
          <w:rFonts w:ascii="宋体" w:eastAsia="宋体" w:hAnsi="宋体" w:cs="仿宋_GB2312" w:hint="eastAsia"/>
          <w:szCs w:val="21"/>
          <w:highlight w:val="none"/>
        </w:rPr>
      </w:pPr>
      <w:r>
        <w:rPr>
          <w:rFonts w:ascii="华文楷体" w:eastAsia="华文楷体" w:hAnsi="华文楷体" w:cs="Times New Roman" w:hint="eastAsia"/>
          <w:bCs/>
          <w:szCs w:val="20"/>
          <w:highlight w:val="none"/>
        </w:rPr>
        <w:t xml:space="preserve">    </w:t>
      </w: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2.11.12</w:t>
      </w:r>
      <w:r>
        <w:rPr>
          <w:rFonts w:ascii="宋体" w:eastAsia="宋体" w:hAnsi="宋体" w:cs="Times New Roman" w:hint="eastAsia"/>
          <w:b/>
          <w:kern w:val="2"/>
          <w:sz w:val="21"/>
          <w:szCs w:val="21"/>
          <w:highlight w:val="none"/>
          <w:lang w:val="en-US" w:eastAsia="zh-CN" w:bidi="ar-SA"/>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3" w:name="_Toc23749_WPSOffice_Level2"/>
      <w:bookmarkStart w:id="14" w:name="_Toc15561_WPSOffice_Level2"/>
      <w:r>
        <w:rPr>
          <w:rFonts w:ascii="华文楷体" w:eastAsia="华文楷体" w:hAnsi="华文楷体" w:cs="仿宋_GB2312" w:hint="eastAsia"/>
          <w:szCs w:val="21"/>
          <w:highlight w:val="none"/>
        </w:rPr>
        <w:t>1.</w:t>
      </w:r>
      <w:bookmarkEnd w:id="13"/>
      <w:bookmarkEnd w:id="14"/>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5" w:name="_Toc405_WPSOffice_Level2"/>
      <w:bookmarkStart w:id="16" w:name="_Toc22173_WPSOffice_Level2"/>
      <w:r>
        <w:rPr>
          <w:rFonts w:ascii="华文楷体" w:eastAsia="华文楷体" w:hAnsi="华文楷体" w:cs="仿宋_GB2312" w:hint="eastAsia"/>
          <w:szCs w:val="21"/>
          <w:highlight w:val="none"/>
        </w:rPr>
        <w:t>2.</w:t>
      </w:r>
      <w:bookmarkEnd w:id="15"/>
      <w:bookmarkEnd w:id="16"/>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7" w:name="_Toc7084_WPSOffice_Level2"/>
      <w:bookmarkStart w:id="18" w:name="_Toc23482_WPSOffice_Level2"/>
      <w:r>
        <w:rPr>
          <w:rFonts w:ascii="华文楷体" w:eastAsia="华文楷体" w:hAnsi="华文楷体" w:cs="仿宋_GB2312" w:hint="eastAsia"/>
          <w:szCs w:val="21"/>
          <w:highlight w:val="none"/>
        </w:rPr>
        <w:t>3.</w:t>
      </w:r>
      <w:bookmarkEnd w:id="17"/>
      <w:bookmarkEnd w:id="18"/>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成员名称(加盖单位公章)：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hint="eastAsia"/>
          <w:b/>
          <w:szCs w:val="21"/>
          <w:highlight w:val="none"/>
        </w:rPr>
      </w:pPr>
      <w:r>
        <w:rPr>
          <w:rFonts w:ascii="宋体" w:eastAsia="宋体" w:hAnsi="宋体" w:cs="Times New Roman" w:hint="eastAsia"/>
          <w:b/>
          <w:kern w:val="2"/>
          <w:sz w:val="21"/>
          <w:szCs w:val="21"/>
          <w:highlight w:val="none"/>
          <w:lang w:val="en-US" w:eastAsia="zh-CN" w:bidi="ar-SA"/>
        </w:rPr>
        <w:t>2.11.13分包意向协议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2"/>
    <w:p>
      <w:pPr>
        <w:widowControl w:val="0"/>
        <w:numPr>
          <w:ilvl w:val="0"/>
          <w:numId w:val="0"/>
        </w:numPr>
        <w:tabs>
          <w:tab w:val="left" w:pos="1573"/>
        </w:tabs>
        <w:adjustRightInd w:val="0"/>
        <w:snapToGrid w:val="0"/>
        <w:spacing w:line="360" w:lineRule="auto"/>
        <w:ind w:firstLine="420" w:firstLineChars="200"/>
        <w:jc w:val="left"/>
        <w:outlineLvl w:val="4"/>
        <w:rPr>
          <w:rFonts w:ascii="宋体" w:eastAsia="宋体" w:hAnsi="宋体" w:cs="Times New Roman"/>
          <w:b/>
          <w:szCs w:val="21"/>
          <w:highlight w:val="none"/>
        </w:rPr>
      </w:pPr>
      <w:r>
        <w:rPr>
          <w:rFonts w:ascii="宋体" w:eastAsia="宋体" w:hAnsi="宋体" w:cs="Times New Roman" w:hint="eastAsia"/>
          <w:b/>
          <w:kern w:val="2"/>
          <w:sz w:val="21"/>
          <w:szCs w:val="21"/>
          <w:highlight w:val="none"/>
          <w:lang w:val="en-US" w:eastAsia="zh-CN" w:bidi="ar-SA"/>
        </w:rPr>
        <w:t>2.11.14其他资格证明文件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2.12.1银行保函</w:t>
      </w:r>
    </w:p>
    <w:p>
      <w:pPr>
        <w:widowControl w:val="0"/>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kern w:val="2"/>
          <w:sz w:val="21"/>
          <w:szCs w:val="21"/>
          <w:highlight w:val="none"/>
          <w:lang w:val="en-US" w:eastAsia="zh-CN" w:bidi="ar-SA"/>
        </w:rPr>
        <w:t>需用带银行抬头的格式纸出具，使用银行保函提交投标保证金的投标人提供。本项目不要求提交投标保证金的，不提供。</w:t>
      </w:r>
    </w:p>
    <w:p>
      <w:pPr>
        <w:widowControl w:val="0"/>
        <w:jc w:val="both"/>
        <w:rPr>
          <w:rFonts w:ascii="宋体" w:eastAsia="宋体" w:hAnsi="Courier New" w:cs="Times New Roman"/>
          <w:szCs w:val="21"/>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本保函作为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（投标人全称）</w:t>
      </w:r>
      <w:r>
        <w:rPr>
          <w:rFonts w:ascii="华文楷体" w:eastAsia="华文楷体" w:hAnsi="华文楷体" w:cs="Times New Roman" w:hint="eastAsia"/>
          <w:kern w:val="2"/>
          <w:sz w:val="21"/>
          <w:szCs w:val="21"/>
          <w:highlight w:val="none"/>
          <w:lang w:val="en-US" w:eastAsia="zh-CN" w:bidi="ar-SA"/>
        </w:rPr>
        <w:t>（以下简称“投标人”）对中国气象局政府采购中心的投标邀请提供的银行保函。投标项目名称为：</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（项目编号：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分包号：</w:t>
      </w:r>
      <w:r>
        <w:rPr>
          <w:rFonts w:ascii="华文楷体" w:eastAsia="华文楷体" w:hAnsi="华文楷体" w:cs="Times New Roman" w:hint="eastAsia"/>
          <w:kern w:val="2"/>
          <w:sz w:val="21"/>
          <w:szCs w:val="21"/>
          <w:highlight w:val="none"/>
          <w:u w:val="single"/>
          <w:lang w:val="en-US" w:eastAsia="zh-CN" w:bidi="ar-SA"/>
        </w:rPr>
        <w:t xml:space="preserve">     </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（保函开具银行名称）</w:t>
      </w:r>
      <w:r>
        <w:rPr>
          <w:rFonts w:ascii="华文楷体" w:eastAsia="华文楷体" w:hAnsi="华文楷体" w:cs="Times New Roman" w:hint="eastAsia"/>
          <w:kern w:val="2"/>
          <w:sz w:val="21"/>
          <w:szCs w:val="21"/>
          <w:highlight w:val="none"/>
          <w:lang w:val="en-US" w:eastAsia="zh-CN" w:bidi="ar-SA"/>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元的保证金：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2、投标人不接受按照招标文件规定的方法对其投标价格算术错误更正的；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3、投标人有违法违规行为给招标人造成损失的；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4、在收到中标通知后30天内，投标人未能与买方签订合同；</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5、在收到中标通知后，投标人未能按规定的时间交纳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本保函自开标之日起</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 个日历日内有效，并在贵方和投标人同意延长的有效期内保持有效。延长的有效期只需通知本行即可。贵方有权提前终止或解除本保函。</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出具保函银行名称：_____________________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签字：_____________________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    （印刷字体姓名和职务）</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银行公章： _____________________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联系人姓名：</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银行地址：</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邮编：</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电话：</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传真：</w:t>
      </w:r>
      <w:r>
        <w:rPr>
          <w:rFonts w:ascii="华文楷体" w:eastAsia="华文楷体" w:hAnsi="华文楷体" w:cs="Times New Roman" w:hint="eastAsia"/>
          <w:bCs/>
          <w:kern w:val="2"/>
          <w:sz w:val="21"/>
          <w:szCs w:val="21"/>
          <w:highlight w:val="none"/>
          <w:lang w:val="en-US" w:eastAsia="zh-CN" w:bidi="ar-SA"/>
        </w:rPr>
        <w:t>____________</w:t>
      </w:r>
    </w:p>
    <w:p>
      <w:pPr>
        <w:widowControl w:val="0"/>
        <w:adjustRightInd w:val="0"/>
        <w:snapToGrid w:val="0"/>
        <w:spacing w:line="360" w:lineRule="auto"/>
        <w:ind w:firstLine="420" w:firstLineChars="200"/>
        <w:jc w:val="left"/>
        <w:rPr>
          <w:rFonts w:ascii="宋体" w:eastAsia="宋体" w:hAnsi="宋体" w:cs="Times New Roman" w:hint="eastAsia"/>
          <w:szCs w:val="21"/>
          <w:highlight w:val="none"/>
        </w:rPr>
      </w:pPr>
    </w:p>
    <w:p>
      <w:pPr>
        <w:tabs>
          <w:tab w:val="left" w:pos="1573"/>
        </w:tabs>
        <w:adjustRightInd w:val="0"/>
        <w:snapToGrid w:val="0"/>
        <w:spacing w:line="360" w:lineRule="auto"/>
        <w:ind w:firstLine="311" w:firstLineChars="148"/>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2.2投标保证金说明函</w:t>
      </w:r>
    </w:p>
    <w:p>
      <w:pPr>
        <w:tabs>
          <w:tab w:val="left" w:pos="1573"/>
        </w:tabs>
        <w:adjustRightInd w:val="0"/>
        <w:snapToGrid w:val="0"/>
        <w:spacing w:line="360" w:lineRule="auto"/>
        <w:ind w:firstLine="315" w:firstLineChars="150"/>
        <w:jc w:val="left"/>
        <w:outlineLvl w:val="9"/>
        <w:rPr>
          <w:rFonts w:ascii="Times New Roman" w:eastAsia="宋体" w:hAnsi="宋体" w:cs="Times New Roman"/>
          <w:szCs w:val="20"/>
          <w:highlight w:val="none"/>
        </w:rPr>
      </w:pPr>
      <w:r>
        <w:rPr>
          <w:rFonts w:ascii="Times New Roman" w:eastAsia="宋体" w:hAnsi="宋体" w:cs="Times New Roman" w:hint="eastAsia"/>
          <w:szCs w:val="20"/>
          <w:highlight w:val="none"/>
        </w:rPr>
        <w:t>使用银行信汇、电汇、银行汇票缴纳投标保证金的投标人提供。汇款凭证复印件应作为附件。本项目不要求提交投标保证金的，不提供。</w:t>
      </w:r>
    </w:p>
    <w:p>
      <w:pPr>
        <w:widowControl w:val="0"/>
        <w:adjustRightInd w:val="0"/>
        <w:snapToGrid w:val="0"/>
        <w:spacing w:line="360" w:lineRule="auto"/>
        <w:ind w:firstLine="420" w:firstLineChars="200"/>
        <w:jc w:val="left"/>
        <w:rPr>
          <w:rFonts w:ascii="宋体" w:eastAsia="宋体" w:hAnsi="宋体" w:cs="Times New Roman"/>
          <w:szCs w:val="21"/>
          <w:highlight w:val="none"/>
        </w:rPr>
      </w:pP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致：中国气象局政府采购中心</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项目名称：             项目编号：     分包号：（如无分包，请填写“无”）</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 xml:space="preserve">l、投标保证金金额人民币(大写)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kern w:val="2"/>
          <w:sz w:val="21"/>
          <w:szCs w:val="21"/>
          <w:highlight w:val="none"/>
          <w:lang w:val="en-US" w:eastAsia="zh-CN" w:bidi="ar-SA"/>
        </w:rPr>
        <w:t xml:space="preserve">元，以 </w:t>
      </w:r>
      <w:r>
        <w:rPr>
          <w:rFonts w:ascii="华文楷体" w:eastAsia="华文楷体" w:hAnsi="华文楷体" w:cs="Times New Roman" w:hint="eastAsia"/>
          <w:kern w:val="2"/>
          <w:sz w:val="21"/>
          <w:szCs w:val="21"/>
          <w:highlight w:val="none"/>
          <w:u w:val="single"/>
          <w:lang w:val="en-US" w:eastAsia="zh-CN" w:bidi="ar-SA"/>
        </w:rPr>
        <w:t xml:space="preserve">    </w:t>
      </w:r>
      <w:r>
        <w:rPr>
          <w:rFonts w:ascii="华文楷体" w:eastAsia="华文楷体" w:hAnsi="华文楷体" w:cs="Times New Roman" w:hint="eastAsia"/>
          <w:b/>
          <w:kern w:val="2"/>
          <w:sz w:val="21"/>
          <w:szCs w:val="21"/>
          <w:highlight w:val="none"/>
          <w:lang w:val="en-US" w:eastAsia="zh-CN" w:bidi="ar-SA"/>
        </w:rPr>
        <w:t>（填写：信汇或电汇）</w:t>
      </w:r>
      <w:r>
        <w:rPr>
          <w:rFonts w:ascii="华文楷体" w:eastAsia="华文楷体" w:hAnsi="华文楷体" w:cs="Times New Roman" w:hint="eastAsia"/>
          <w:kern w:val="2"/>
          <w:sz w:val="21"/>
          <w:szCs w:val="21"/>
          <w:highlight w:val="none"/>
          <w:lang w:val="en-US" w:eastAsia="zh-CN" w:bidi="ar-SA"/>
        </w:rPr>
        <w:t>方式支付。</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2、在担保期内，贵方根据下列事实中的任何一点，即可无条件地扣留保证金。</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(1)在开标之日后到投标有效期满前，投标人撤销投标的；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(2)投标人以他人名义投标、相互串通投标或者以其他方式弄虚作假的，投标人提交的投标文件中提交虚假资料或失实资料的；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(3)中标人不按本招标文件规定与采购人签订合同的；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(4)中标人不按本招标文件的规定提交履约保证金的；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(5)中标人不按本招标文件的规定缴纳</w:t>
      </w:r>
      <w:r>
        <w:rPr>
          <w:rFonts w:ascii="华文楷体" w:eastAsia="华文楷体" w:hAnsi="华文楷体" w:cs="Times New Roman" w:hint="eastAsia"/>
          <w:kern w:val="2"/>
          <w:sz w:val="21"/>
          <w:szCs w:val="21"/>
          <w:highlight w:val="none"/>
          <w:lang w:val="en-US" w:eastAsia="zh-CN" w:bidi="ar-SA"/>
        </w:rPr>
        <w:t>代理服务费</w:t>
      </w:r>
      <w:r>
        <w:rPr>
          <w:rFonts w:ascii="华文楷体" w:eastAsia="华文楷体" w:hAnsi="华文楷体" w:cs="Times New Roman" w:hint="eastAsia"/>
          <w:kern w:val="2"/>
          <w:sz w:val="21"/>
          <w:szCs w:val="21"/>
          <w:highlight w:val="none"/>
          <w:lang w:val="en-US" w:eastAsia="zh-CN" w:bidi="ar-SA"/>
        </w:rPr>
        <w:t>的。</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3、保证金自开标之日起生效，至少到投标有效期结束时有效。</w:t>
      </w:r>
    </w:p>
    <w:p>
      <w:pPr>
        <w:widowControl w:val="0"/>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投标人(电子签章)：</w:t>
      </w:r>
      <w:r>
        <w:rPr>
          <w:rFonts w:ascii="华文楷体" w:eastAsia="华文楷体" w:hAnsi="华文楷体" w:cs="Times New Roman" w:hint="eastAsia"/>
          <w:bCs/>
          <w:kern w:val="2"/>
          <w:sz w:val="21"/>
          <w:szCs w:val="21"/>
          <w:highlight w:val="none"/>
          <w:lang w:val="en-US" w:eastAsia="zh-CN" w:bidi="ar-SA"/>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hint="eastAsia"/>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widowControl w:val="0"/>
        <w:adjustRightInd w:val="0"/>
        <w:snapToGrid w:val="0"/>
        <w:spacing w:line="360" w:lineRule="auto"/>
        <w:jc w:val="both"/>
        <w:rPr>
          <w:rFonts w:ascii="华文楷体" w:eastAsia="华文楷体" w:hAnsi="华文楷体" w:cs="Times New Roman"/>
          <w:szCs w:val="21"/>
          <w:highlight w:val="none"/>
        </w:rPr>
      </w:pPr>
      <w:r>
        <w:rPr>
          <w:rFonts w:ascii="华文楷体" w:eastAsia="华文楷体" w:hAnsi="华文楷体" w:cs="Times New Roman" w:hint="eastAsia"/>
          <w:kern w:val="2"/>
          <w:sz w:val="21"/>
          <w:szCs w:val="21"/>
          <w:highlight w:val="none"/>
          <w:lang w:val="en-US" w:eastAsia="zh-CN" w:bidi="ar-SA"/>
        </w:rPr>
        <w:t>附件：银行汇款凭证</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rPr>
          <w:highlight w:val="none"/>
        </w:rPr>
      </w:pPr>
    </w:p>
    <w:p>
      <w:pPr>
        <w:widowControl w:val="0"/>
        <w:adjustRightInd w:val="0"/>
        <w:snapToGrid w:val="0"/>
        <w:spacing w:line="360" w:lineRule="auto"/>
        <w:ind w:firstLine="412" w:firstLineChars="196"/>
        <w:jc w:val="both"/>
        <w:outlineLvl w:val="3"/>
        <w:rPr>
          <w:rFonts w:ascii="宋体" w:eastAsia="宋体" w:hAnsi="Courier New" w:cs="Times New Roman" w:hint="eastAsia"/>
          <w:b/>
          <w:szCs w:val="21"/>
        </w:rPr>
      </w:pPr>
      <w:r>
        <w:rPr>
          <w:rFonts w:ascii="宋体" w:eastAsia="宋体" w:hAnsi="Courier New" w:cs="Times New Roman" w:hint="eastAsia"/>
          <w:b/>
          <w:kern w:val="2"/>
          <w:sz w:val="21"/>
          <w:szCs w:val="21"/>
          <w:lang w:val="en-US" w:eastAsia="zh-CN" w:bidi="ar-SA"/>
        </w:rPr>
        <w:t>2.13述标委托书</w:t>
      </w:r>
    </w:p>
    <w:p>
      <w:pPr>
        <w:widowControl w:val="0"/>
        <w:adjustRightInd w:val="0"/>
        <w:snapToGrid w:val="0"/>
        <w:spacing w:line="360" w:lineRule="auto"/>
        <w:jc w:val="both"/>
        <w:rPr>
          <w:rFonts w:ascii="宋体" w:eastAsia="宋体" w:hAnsi="Courier New" w:cs="Times New Roman" w:hint="eastAsia"/>
          <w:szCs w:val="21"/>
        </w:rPr>
      </w:pPr>
      <w:r>
        <w:rPr>
          <w:rFonts w:ascii="宋体" w:eastAsia="宋体" w:hAnsi="Courier New" w:cs="Times New Roman" w:hint="eastAsia"/>
          <w:kern w:val="2"/>
          <w:sz w:val="21"/>
          <w:szCs w:val="21"/>
          <w:lang w:val="en-US" w:eastAsia="zh-CN" w:bidi="ar-SA"/>
        </w:rPr>
        <w:t xml:space="preserve">    本项目需要现场述标时，由代表投标人进行述标的述标人提供。</w:t>
      </w:r>
    </w:p>
    <w:p>
      <w:pPr>
        <w:widowControl w:val="0"/>
        <w:adjustRightInd w:val="0"/>
        <w:snapToGrid w:val="0"/>
        <w:spacing w:line="360" w:lineRule="auto"/>
        <w:jc w:val="both"/>
        <w:rPr>
          <w:rFonts w:ascii="宋体" w:eastAsia="宋体" w:hAnsi="Courier New" w:cs="Times New Roman" w:hint="eastAsia"/>
          <w:szCs w:val="21"/>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w:t>
      </w:r>
      <w:r>
        <w:rPr>
          <w:rFonts w:ascii="宋体" w:hAnsi="宋体" w:hint="eastAsia"/>
          <w:b/>
          <w:szCs w:val="21"/>
        </w:rPr>
        <w:t>14</w:t>
      </w:r>
      <w:r>
        <w:rPr>
          <w:rFonts w:ascii="宋体" w:hAnsi="宋体" w:hint="eastAsia"/>
          <w:b/>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w:t>
      </w:r>
      <w:r>
        <w:rPr>
          <w:rFonts w:ascii="宋体" w:hAnsi="宋体" w:hint="eastAsia"/>
          <w:b/>
        </w:rPr>
        <w:t>15投标人自行编写的商务</w:t>
      </w:r>
      <w:r>
        <w:rPr>
          <w:rFonts w:ascii="宋体" w:eastAsia="宋体" w:hAnsi="宋体" w:cs="Times New Roman" w:hint="eastAsia"/>
          <w:b/>
          <w:szCs w:val="20"/>
        </w:rPr>
        <w:t>文件</w:t>
      </w:r>
    </w:p>
    <w:p>
      <w:pPr>
        <w:adjustRightInd w:val="0"/>
        <w:snapToGrid w:val="0"/>
        <w:spacing w:line="360" w:lineRule="auto"/>
        <w:ind w:firstLine="420"/>
        <w:outlineLvl w:val="9"/>
        <w:rPr>
          <w:rFonts w:ascii="宋体" w:hAnsi="宋体" w:hint="eastAsia"/>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9" w:name="插入_投标文件技术部分"/>
      <w:r>
        <w:rPr>
          <w:rFonts w:ascii="宋体" w:eastAsia="宋体" w:hAnsi="宋体" w:cs="Times New Roman" w:hint="eastAsia"/>
          <w:b/>
          <w:szCs w:val="21"/>
        </w:rPr>
        <w:t>2.16开标一览表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w:t>
            </w:r>
            <w:r>
              <w:rPr>
                <w:rFonts w:ascii="华文楷体" w:eastAsia="华文楷体" w:hAnsi="华文楷体" w:cs="Times New Roman"/>
                <w:szCs w:val="21"/>
              </w:rPr>
              <w:t>：</w:t>
            </w:r>
          </w:p>
        </w:tc>
        <w:tc>
          <w:tcPr>
            <w:tcW w:w="2551" w:type="dxa"/>
            <w:vMerge w:val="restart"/>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noWrap w:val="0"/>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w:t>
            </w:r>
            <w:r>
              <w:rPr>
                <w:rFonts w:ascii="华文楷体" w:eastAsia="华文楷体" w:hAnsi="华文楷体" w:cs="Times New Roman"/>
                <w:szCs w:val="21"/>
              </w:rPr>
              <w:t>：</w:t>
            </w:r>
          </w:p>
        </w:tc>
        <w:tc>
          <w:tcPr>
            <w:tcW w:w="2551" w:type="dxa"/>
            <w:vMerge/>
            <w:noWrap w:val="0"/>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2.17分项</w:t>
      </w:r>
      <w:r>
        <w:rPr>
          <w:rFonts w:ascii="宋体" w:hAnsi="宋体" w:hint="eastAsia"/>
          <w:b/>
          <w:szCs w:val="21"/>
        </w:rPr>
        <w:t>报价表</w:t>
      </w:r>
    </w:p>
    <w:p>
      <w:pPr>
        <w:adjustRightInd w:val="0"/>
        <w:snapToGrid w:val="0"/>
        <w:spacing w:line="360" w:lineRule="auto"/>
        <w:ind w:firstLine="420" w:firstLineChars="200"/>
        <w:jc w:val="left"/>
        <w:rPr>
          <w:rFonts w:ascii="华文楷体" w:eastAsia="华文楷体" w:hAnsi="华文楷体" w:hint="eastAsia"/>
          <w:szCs w:val="21"/>
        </w:rPr>
      </w:pPr>
      <w:r>
        <w:rPr>
          <w:rFonts w:ascii="华文楷体" w:eastAsia="华文楷体" w:hAnsi="华文楷体" w:hint="eastAsia"/>
          <w:szCs w:val="21"/>
        </w:rPr>
        <w:t>说明：1、采购内容不含服务的不提供表二，不含货物购置的不提供表三。表一、二、三总价之和应等于开标一览表投标总价。</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szCs w:val="21"/>
        </w:rPr>
        <w:t>2.</w:t>
      </w:r>
      <w:r>
        <w:rPr>
          <w:rFonts w:ascii="华文楷体" w:eastAsia="华文楷体" w:hAnsi="华文楷体" w:hint="eastAsia"/>
          <w:szCs w:val="21"/>
        </w:rPr>
        <w:t>投标人认为分项报价表格式不符合自身要求，格式可以自拟。</w:t>
      </w:r>
    </w:p>
    <w:p>
      <w:pPr>
        <w:adjustRightInd w:val="0"/>
        <w:snapToGrid w:val="0"/>
        <w:spacing w:line="360" w:lineRule="auto"/>
        <w:ind w:firstLine="420" w:firstLineChars="200"/>
        <w:jc w:val="left"/>
        <w:rPr>
          <w:rFonts w:ascii="华文楷体" w:eastAsia="华文楷体" w:hAnsi="华文楷体"/>
          <w:szCs w:val="21"/>
        </w:rPr>
      </w:pPr>
      <w:r>
        <w:rPr>
          <w:rFonts w:ascii="华文楷体" w:eastAsia="华文楷体" w:hAnsi="华文楷体" w:hint="eastAsia"/>
          <w:szCs w:val="21"/>
        </w:rPr>
        <w:t>3.投标人如认为还有需要提供的内容可另列表说明，格式自拟。</w:t>
      </w: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表一、分项报价表——软件开发</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973"/>
        <w:gridCol w:w="748"/>
        <w:gridCol w:w="1745"/>
        <w:gridCol w:w="1074"/>
        <w:gridCol w:w="1171"/>
        <w:gridCol w:w="1630"/>
        <w:gridCol w:w="1195"/>
      </w:tblGrid>
      <w:tr>
        <w:tblPrEx>
          <w:tblW w:w="5008"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center"/>
              <w:rPr>
                <w:rFonts w:ascii="华文楷体" w:eastAsia="华文楷体" w:hAnsi="华文楷体"/>
                <w:b/>
                <w:bCs/>
                <w:szCs w:val="21"/>
              </w:rPr>
            </w:pPr>
            <w:r>
              <w:rPr>
                <w:rFonts w:ascii="华文楷体" w:eastAsia="华文楷体" w:hAnsi="华文楷体"/>
                <w:b/>
                <w:bCs/>
                <w:szCs w:val="21"/>
              </w:rPr>
              <w:t>名称</w:t>
            </w:r>
          </w:p>
        </w:tc>
        <w:tc>
          <w:tcPr>
            <w:tcW w:w="629"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计量单位</w:t>
            </w:r>
          </w:p>
        </w:tc>
        <w:tc>
          <w:tcPr>
            <w:tcW w:w="686"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数量(人月)</w:t>
            </w:r>
          </w:p>
        </w:tc>
        <w:tc>
          <w:tcPr>
            <w:tcW w:w="955"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单价</w:t>
            </w:r>
            <w:r>
              <w:rPr>
                <w:rFonts w:ascii="华文楷体" w:eastAsia="华文楷体" w:hAnsi="华文楷体" w:hint="eastAsia"/>
                <w:b/>
                <w:bCs/>
                <w:szCs w:val="21"/>
              </w:rPr>
              <w:t>(</w:t>
            </w:r>
            <w:r>
              <w:rPr>
                <w:rFonts w:ascii="华文楷体" w:eastAsia="华文楷体" w:hAnsi="华文楷体"/>
                <w:b/>
                <w:bCs/>
                <w:szCs w:val="21"/>
              </w:rPr>
              <w:t>万元/人月</w:t>
            </w:r>
            <w:r>
              <w:rPr>
                <w:rFonts w:ascii="华文楷体" w:eastAsia="华文楷体" w:hAnsi="华文楷体" w:hint="eastAsia"/>
                <w:b/>
                <w:bCs/>
                <w:szCs w:val="21"/>
              </w:rPr>
              <w:t>)</w:t>
            </w:r>
          </w:p>
        </w:tc>
        <w:tc>
          <w:tcPr>
            <w:tcW w:w="700" w:type="pct"/>
            <w:noWrap w:val="0"/>
            <w:vAlign w:val="center"/>
          </w:tcPr>
          <w:p>
            <w:pPr>
              <w:adjustRightInd w:val="0"/>
              <w:snapToGrid w:val="0"/>
              <w:spacing w:line="360" w:lineRule="auto"/>
              <w:jc w:val="left"/>
              <w:rPr>
                <w:rFonts w:ascii="华文楷体" w:eastAsia="华文楷体" w:hAnsi="华文楷体"/>
                <w:b/>
                <w:bCs/>
                <w:szCs w:val="21"/>
              </w:rPr>
            </w:pPr>
            <w:r>
              <w:rPr>
                <w:rFonts w:ascii="华文楷体" w:eastAsia="华文楷体" w:hAnsi="华文楷体"/>
                <w:b/>
                <w:bCs/>
                <w:szCs w:val="21"/>
              </w:rPr>
              <w:t>合价</w:t>
            </w:r>
            <w:r>
              <w:rPr>
                <w:rFonts w:ascii="华文楷体" w:eastAsia="华文楷体" w:hAnsi="华文楷体" w:hint="eastAsia"/>
                <w:b/>
                <w:bCs/>
                <w:szCs w:val="21"/>
              </w:rPr>
              <w:t>(</w:t>
            </w:r>
            <w:r>
              <w:rPr>
                <w:rFonts w:ascii="华文楷体" w:eastAsia="华文楷体" w:hAnsi="华文楷体"/>
                <w:b/>
                <w:bCs/>
                <w:szCs w:val="21"/>
              </w:rPr>
              <w:t>万元</w:t>
            </w:r>
            <w:r>
              <w:rPr>
                <w:rFonts w:ascii="华文楷体" w:eastAsia="华文楷体" w:hAnsi="华文楷体" w:hint="eastAsia"/>
                <w:b/>
                <w:bCs/>
                <w:szCs w:val="21"/>
              </w:rPr>
              <w:t>)</w:t>
            </w:r>
          </w:p>
        </w:tc>
      </w:tr>
      <w:tr>
        <w:tblPrEx>
          <w:tblW w:w="5008" w:type="pct"/>
          <w:tblInd w:w="0" w:type="dxa"/>
          <w:tblCellMar>
            <w:top w:w="0" w:type="dxa"/>
            <w:left w:w="108" w:type="dxa"/>
            <w:bottom w:w="0" w:type="dxa"/>
            <w:right w:w="108" w:type="dxa"/>
          </w:tblCellMar>
        </w:tblPrEx>
        <w:trPr>
          <w:trHeight w:hRule="exact" w:val="397"/>
        </w:trPr>
        <w:tc>
          <w:tcPr>
            <w:tcW w:w="2029" w:type="pct"/>
            <w:gridSpan w:val="3"/>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系统总体设计和需求分析</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系统开发</w:t>
            </w:r>
          </w:p>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（详细到任务书中的功能项）</w:t>
            </w: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功能1</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功能2</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val="restar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w:t>
            </w: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概要设计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详细设计</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570" w:type="pct"/>
            <w:vMerge/>
            <w:noWrap w:val="0"/>
            <w:vAlign w:val="center"/>
          </w:tcPr>
          <w:p>
            <w:pPr>
              <w:adjustRightInd w:val="0"/>
              <w:snapToGrid w:val="0"/>
              <w:spacing w:line="360" w:lineRule="auto"/>
              <w:jc w:val="left"/>
              <w:rPr>
                <w:rFonts w:ascii="华文楷体" w:eastAsia="华文楷体" w:hAnsi="华文楷体"/>
                <w:szCs w:val="21"/>
              </w:rPr>
            </w:pPr>
          </w:p>
        </w:tc>
        <w:tc>
          <w:tcPr>
            <w:tcW w:w="437" w:type="pct"/>
            <w:vMerge/>
            <w:noWrap w:val="0"/>
            <w:vAlign w:val="center"/>
          </w:tcPr>
          <w:p>
            <w:pPr>
              <w:adjustRightInd w:val="0"/>
              <w:snapToGrid w:val="0"/>
              <w:spacing w:line="360" w:lineRule="auto"/>
              <w:jc w:val="left"/>
              <w:rPr>
                <w:rFonts w:ascii="华文楷体" w:eastAsia="华文楷体" w:hAnsi="华文楷体"/>
                <w:szCs w:val="21"/>
              </w:rPr>
            </w:pPr>
          </w:p>
        </w:tc>
        <w:tc>
          <w:tcPr>
            <w:tcW w:w="1022"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编码和单元测试</w:t>
            </w:r>
          </w:p>
        </w:tc>
        <w:tc>
          <w:tcPr>
            <w:tcW w:w="629" w:type="pct"/>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项</w:t>
            </w: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r>
        <w:tblPrEx>
          <w:tblW w:w="5008" w:type="pct"/>
          <w:tblInd w:w="0" w:type="dxa"/>
          <w:tblCellMar>
            <w:top w:w="0" w:type="dxa"/>
            <w:left w:w="108" w:type="dxa"/>
            <w:bottom w:w="0" w:type="dxa"/>
            <w:right w:w="108" w:type="dxa"/>
          </w:tblCellMar>
        </w:tblPrEx>
        <w:trPr>
          <w:trHeight w:hRule="exact" w:val="397"/>
        </w:trPr>
        <w:tc>
          <w:tcPr>
            <w:tcW w:w="1008" w:type="pct"/>
            <w:gridSpan w:val="2"/>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szCs w:val="21"/>
              </w:rPr>
              <w:t>合计（万元）</w:t>
            </w:r>
          </w:p>
        </w:tc>
        <w:tc>
          <w:tcPr>
            <w:tcW w:w="1022" w:type="pct"/>
            <w:noWrap w:val="0"/>
            <w:vAlign w:val="center"/>
          </w:tcPr>
          <w:p>
            <w:pPr>
              <w:adjustRightInd w:val="0"/>
              <w:snapToGrid w:val="0"/>
              <w:spacing w:line="360" w:lineRule="auto"/>
              <w:jc w:val="left"/>
              <w:rPr>
                <w:rFonts w:ascii="华文楷体" w:eastAsia="华文楷体" w:hAnsi="华文楷体"/>
                <w:szCs w:val="21"/>
              </w:rPr>
            </w:pPr>
          </w:p>
        </w:tc>
        <w:tc>
          <w:tcPr>
            <w:tcW w:w="629" w:type="pct"/>
            <w:noWrap w:val="0"/>
            <w:vAlign w:val="center"/>
          </w:tcPr>
          <w:p>
            <w:pPr>
              <w:adjustRightInd w:val="0"/>
              <w:snapToGrid w:val="0"/>
              <w:spacing w:line="360" w:lineRule="auto"/>
              <w:jc w:val="left"/>
              <w:rPr>
                <w:rFonts w:ascii="华文楷体" w:eastAsia="华文楷体" w:hAnsi="华文楷体"/>
                <w:szCs w:val="21"/>
              </w:rPr>
            </w:pPr>
          </w:p>
        </w:tc>
        <w:tc>
          <w:tcPr>
            <w:tcW w:w="686" w:type="pct"/>
            <w:noWrap w:val="0"/>
            <w:vAlign w:val="center"/>
          </w:tcPr>
          <w:p>
            <w:pPr>
              <w:adjustRightInd w:val="0"/>
              <w:snapToGrid w:val="0"/>
              <w:spacing w:line="360" w:lineRule="auto"/>
              <w:jc w:val="left"/>
              <w:rPr>
                <w:rFonts w:ascii="华文楷体" w:eastAsia="华文楷体" w:hAnsi="华文楷体"/>
                <w:szCs w:val="21"/>
              </w:rPr>
            </w:pPr>
          </w:p>
        </w:tc>
        <w:tc>
          <w:tcPr>
            <w:tcW w:w="955" w:type="pct"/>
            <w:noWrap w:val="0"/>
            <w:vAlign w:val="center"/>
          </w:tcPr>
          <w:p>
            <w:pPr>
              <w:adjustRightInd w:val="0"/>
              <w:snapToGrid w:val="0"/>
              <w:spacing w:line="360" w:lineRule="auto"/>
              <w:jc w:val="left"/>
              <w:rPr>
                <w:rFonts w:ascii="华文楷体" w:eastAsia="华文楷体" w:hAnsi="华文楷体"/>
                <w:szCs w:val="21"/>
              </w:rPr>
            </w:pPr>
          </w:p>
        </w:tc>
        <w:tc>
          <w:tcPr>
            <w:tcW w:w="700" w:type="pct"/>
            <w:noWrap w:val="0"/>
            <w:vAlign w:val="center"/>
          </w:tcPr>
          <w:p>
            <w:pPr>
              <w:adjustRightInd w:val="0"/>
              <w:snapToGrid w:val="0"/>
              <w:spacing w:line="360" w:lineRule="auto"/>
              <w:jc w:val="left"/>
              <w:rPr>
                <w:rFonts w:ascii="华文楷体" w:eastAsia="华文楷体" w:hAnsi="华文楷体"/>
                <w:szCs w:val="21"/>
              </w:rPr>
            </w:pPr>
          </w:p>
        </w:tc>
      </w:tr>
    </w:tbl>
    <w:p>
      <w:pPr>
        <w:adjustRightInd w:val="0"/>
        <w:snapToGrid w:val="0"/>
        <w:spacing w:line="360" w:lineRule="auto"/>
        <w:ind w:firstLine="420" w:firstLineChars="200"/>
        <w:rPr>
          <w:rFonts w:hint="eastAsia"/>
          <w:b/>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表二、分项报价表——服务内容</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pPr w:leftFromText="180" w:rightFromText="180" w:vertAnchor="text" w:horzAnchor="margin" w:tblpXSpec="center" w:tblpY="366"/>
        <w:tblW w:w="6913" w:type="dxa"/>
        <w:tblInd w:w="0" w:type="dxa"/>
        <w:tblLayout w:type="fixed"/>
        <w:tblCellMar>
          <w:top w:w="0" w:type="dxa"/>
          <w:left w:w="108" w:type="dxa"/>
          <w:bottom w:w="0" w:type="dxa"/>
          <w:right w:w="108" w:type="dxa"/>
        </w:tblCellMar>
      </w:tblPr>
      <w:tblGrid>
        <w:gridCol w:w="896"/>
        <w:gridCol w:w="1123"/>
        <w:gridCol w:w="1208"/>
        <w:gridCol w:w="1134"/>
        <w:gridCol w:w="1134"/>
        <w:gridCol w:w="1418"/>
      </w:tblGrid>
      <w:tr>
        <w:tblPrEx>
          <w:tblW w:w="6913" w:type="dxa"/>
          <w:tblInd w:w="0" w:type="dxa"/>
          <w:tblLayout w:type="fixed"/>
          <w:tblCellMar>
            <w:top w:w="0" w:type="dxa"/>
            <w:left w:w="108" w:type="dxa"/>
            <w:bottom w:w="0" w:type="dxa"/>
            <w:right w:w="108" w:type="dxa"/>
          </w:tblCellMar>
        </w:tblPrEx>
        <w:trPr>
          <w:cantSplit/>
        </w:trPr>
        <w:tc>
          <w:tcPr>
            <w:tcW w:w="896" w:type="dxa"/>
            <w:tcBorders>
              <w:top w:val="single" w:sz="12" w:space="0" w:color="000000"/>
              <w:left w:val="single" w:sz="12" w:space="0" w:color="000000"/>
              <w:bottom w:val="single" w:sz="2" w:space="0" w:color="000000"/>
              <w:right w:val="single" w:sz="2" w:space="0" w:color="000000"/>
            </w:tcBorders>
            <w:noWrap w:val="0"/>
            <w:vAlign w:val="center"/>
          </w:tcPr>
          <w:p>
            <w:pPr>
              <w:snapToGrid w:val="0"/>
              <w:spacing w:line="360" w:lineRule="auto"/>
              <w:ind w:left="-370" w:firstLine="370"/>
              <w:jc w:val="center"/>
              <w:rPr>
                <w:rFonts w:ascii="华文楷体" w:eastAsia="华文楷体" w:hAnsi="华文楷体"/>
                <w:szCs w:val="21"/>
              </w:rPr>
            </w:pPr>
            <w:r>
              <w:rPr>
                <w:rFonts w:ascii="华文楷体" w:eastAsia="华文楷体" w:hAnsi="华文楷体"/>
                <w:szCs w:val="21"/>
              </w:rPr>
              <w:t>序号</w:t>
            </w:r>
          </w:p>
        </w:tc>
        <w:tc>
          <w:tcPr>
            <w:tcW w:w="1123"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szCs w:val="21"/>
              </w:rPr>
              <w:t>服务项目</w:t>
            </w:r>
          </w:p>
        </w:tc>
        <w:tc>
          <w:tcPr>
            <w:tcW w:w="1208" w:type="dxa"/>
            <w:tcBorders>
              <w:top w:val="single" w:sz="12" w:space="0" w:color="000000"/>
              <w:left w:val="single" w:sz="2" w:space="0" w:color="000000"/>
              <w:bottom w:val="single" w:sz="2" w:space="0" w:color="000000"/>
              <w:right w:val="single" w:sz="2" w:space="0" w:color="000000"/>
            </w:tcBorders>
            <w:noWrap w:val="0"/>
            <w:vAlign w:val="center"/>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提供方式</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服务标准</w:t>
            </w:r>
          </w:p>
        </w:tc>
        <w:tc>
          <w:tcPr>
            <w:tcW w:w="1134" w:type="dxa"/>
            <w:tcBorders>
              <w:top w:val="single" w:sz="12" w:space="0" w:color="000000"/>
              <w:left w:val="single" w:sz="2" w:space="0" w:color="000000"/>
              <w:bottom w:val="single" w:sz="2" w:space="0" w:color="000000"/>
              <w:right w:val="single" w:sz="2" w:space="0" w:color="000000"/>
            </w:tcBorders>
            <w:noWrap w:val="0"/>
            <w:vAlign w:val="top"/>
          </w:tcPr>
          <w:p>
            <w:pPr>
              <w:snapToGrid w:val="0"/>
              <w:spacing w:line="360" w:lineRule="auto"/>
              <w:jc w:val="center"/>
              <w:rPr>
                <w:rFonts w:ascii="华文楷体" w:eastAsia="华文楷体" w:hAnsi="华文楷体" w:hint="eastAsia"/>
                <w:szCs w:val="21"/>
              </w:rPr>
            </w:pPr>
            <w:r>
              <w:rPr>
                <w:rFonts w:ascii="华文楷体" w:eastAsia="华文楷体" w:hAnsi="华文楷体"/>
                <w:szCs w:val="21"/>
              </w:rPr>
              <w:t>服务费用</w:t>
            </w:r>
          </w:p>
        </w:tc>
        <w:tc>
          <w:tcPr>
            <w:tcW w:w="1418" w:type="dxa"/>
            <w:tcBorders>
              <w:top w:val="single" w:sz="12" w:space="0" w:color="000000"/>
              <w:left w:val="single" w:sz="2" w:space="0" w:color="000000"/>
              <w:bottom w:val="single" w:sz="2" w:space="0" w:color="000000"/>
              <w:right w:val="single" w:sz="12" w:space="0" w:color="000000"/>
            </w:tcBorders>
            <w:noWrap w:val="0"/>
            <w:vAlign w:val="top"/>
          </w:tcPr>
          <w:p>
            <w:pPr>
              <w:snapToGrid w:val="0"/>
              <w:spacing w:line="360" w:lineRule="auto"/>
              <w:jc w:val="center"/>
              <w:rPr>
                <w:rFonts w:ascii="华文楷体" w:eastAsia="华文楷体" w:hAnsi="华文楷体"/>
                <w:szCs w:val="21"/>
              </w:rPr>
            </w:pPr>
            <w:r>
              <w:rPr>
                <w:rFonts w:ascii="华文楷体" w:eastAsia="华文楷体" w:hAnsi="华文楷体" w:hint="eastAsia"/>
                <w:szCs w:val="21"/>
              </w:rPr>
              <w:t>备注</w:t>
            </w: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1</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2</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3</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896" w:type="dxa"/>
            <w:tcBorders>
              <w:top w:val="single" w:sz="2" w:space="0" w:color="000000"/>
              <w:left w:val="single" w:sz="1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szCs w:val="21"/>
              </w:rPr>
              <w:t>…</w:t>
            </w:r>
          </w:p>
        </w:tc>
        <w:tc>
          <w:tcPr>
            <w:tcW w:w="1123"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208"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134" w:type="dxa"/>
            <w:tcBorders>
              <w:top w:val="single" w:sz="2" w:space="0" w:color="000000"/>
              <w:left w:val="single" w:sz="2" w:space="0" w:color="000000"/>
              <w:bottom w:val="single" w:sz="2" w:space="0" w:color="000000"/>
              <w:right w:val="single" w:sz="2" w:space="0" w:color="000000"/>
            </w:tcBorders>
            <w:noWrap w:val="0"/>
            <w:vAlign w:val="top"/>
          </w:tcPr>
          <w:p>
            <w:pPr>
              <w:snapToGrid w:val="0"/>
              <w:spacing w:line="360" w:lineRule="auto"/>
              <w:rPr>
                <w:rFonts w:ascii="华文楷体" w:eastAsia="华文楷体" w:hAnsi="华文楷体"/>
                <w:szCs w:val="21"/>
              </w:rPr>
            </w:pPr>
          </w:p>
        </w:tc>
        <w:tc>
          <w:tcPr>
            <w:tcW w:w="1418" w:type="dxa"/>
            <w:tcBorders>
              <w:top w:val="single" w:sz="2" w:space="0" w:color="000000"/>
              <w:left w:val="single" w:sz="2" w:space="0" w:color="000000"/>
              <w:bottom w:val="single" w:sz="2" w:space="0" w:color="000000"/>
              <w:right w:val="single" w:sz="12" w:space="0" w:color="000000"/>
            </w:tcBorders>
            <w:noWrap w:val="0"/>
            <w:vAlign w:val="top"/>
          </w:tcPr>
          <w:p>
            <w:pPr>
              <w:snapToGrid w:val="0"/>
              <w:spacing w:line="360" w:lineRule="auto"/>
              <w:rPr>
                <w:rFonts w:ascii="华文楷体" w:eastAsia="华文楷体" w:hAnsi="华文楷体"/>
                <w:szCs w:val="21"/>
              </w:rPr>
            </w:pPr>
          </w:p>
        </w:tc>
      </w:tr>
      <w:tr>
        <w:tblPrEx>
          <w:tblW w:w="6913" w:type="dxa"/>
          <w:tblInd w:w="0" w:type="dxa"/>
          <w:tblLayout w:type="fixed"/>
          <w:tblCellMar>
            <w:top w:w="0" w:type="dxa"/>
            <w:left w:w="108" w:type="dxa"/>
            <w:bottom w:w="0" w:type="dxa"/>
            <w:right w:w="108" w:type="dxa"/>
          </w:tblCellMar>
        </w:tblPrEx>
        <w:trPr>
          <w:cantSplit/>
        </w:trPr>
        <w:tc>
          <w:tcPr>
            <w:tcW w:w="4361" w:type="dxa"/>
            <w:gridSpan w:val="4"/>
            <w:tcBorders>
              <w:top w:val="single" w:sz="2" w:space="0" w:color="000000"/>
              <w:left w:val="single" w:sz="12" w:space="0" w:color="000000"/>
              <w:bottom w:val="single" w:sz="12" w:space="0" w:color="000000"/>
              <w:right w:val="single" w:sz="2" w:space="0" w:color="000000"/>
            </w:tcBorders>
            <w:noWrap w:val="0"/>
            <w:vAlign w:val="top"/>
          </w:tcPr>
          <w:p>
            <w:pPr>
              <w:snapToGrid w:val="0"/>
              <w:spacing w:line="360" w:lineRule="auto"/>
              <w:rPr>
                <w:rFonts w:ascii="华文楷体" w:eastAsia="华文楷体" w:hAnsi="华文楷体" w:hint="eastAsia"/>
                <w:szCs w:val="21"/>
              </w:rPr>
            </w:pPr>
            <w:r>
              <w:rPr>
                <w:rFonts w:ascii="华文楷体" w:eastAsia="华文楷体" w:hAnsi="华文楷体" w:hint="eastAsia"/>
                <w:szCs w:val="21"/>
              </w:rPr>
              <w:t>合计人民币大写</w:t>
            </w:r>
          </w:p>
        </w:tc>
        <w:tc>
          <w:tcPr>
            <w:tcW w:w="2552" w:type="dxa"/>
            <w:gridSpan w:val="2"/>
            <w:tcBorders>
              <w:top w:val="single" w:sz="2" w:space="0" w:color="000000"/>
              <w:left w:val="single" w:sz="2" w:space="0" w:color="000000"/>
              <w:bottom w:val="single" w:sz="12" w:space="0" w:color="000000"/>
              <w:right w:val="single" w:sz="12" w:space="0" w:color="000000"/>
            </w:tcBorders>
            <w:noWrap w:val="0"/>
            <w:vAlign w:val="top"/>
          </w:tcPr>
          <w:p>
            <w:pPr>
              <w:snapToGrid w:val="0"/>
              <w:spacing w:line="360" w:lineRule="auto"/>
              <w:rPr>
                <w:rFonts w:ascii="华文楷体" w:eastAsia="华文楷体" w:hAnsi="华文楷体"/>
                <w:szCs w:val="21"/>
              </w:rPr>
            </w:pPr>
            <w:r>
              <w:rPr>
                <w:rFonts w:ascii="华文楷体" w:eastAsia="华文楷体" w:hAnsi="华文楷体" w:hint="eastAsia"/>
                <w:szCs w:val="21"/>
              </w:rPr>
              <w:t>小写</w:t>
            </w:r>
          </w:p>
        </w:tc>
      </w:tr>
    </w:tbl>
    <w:p>
      <w:pPr>
        <w:adjustRightInd w:val="0"/>
        <w:snapToGrid w:val="0"/>
        <w:spacing w:line="360" w:lineRule="auto"/>
        <w:rPr>
          <w:rFonts w:ascii="华文楷体" w:eastAsia="华文楷体" w:hAnsi="华文楷体" w:hint="eastAsia"/>
          <w:b/>
          <w:szCs w:val="21"/>
        </w:rPr>
      </w:pPr>
    </w:p>
    <w:p>
      <w:pPr>
        <w:adjustRightInd w:val="0"/>
        <w:snapToGrid w:val="0"/>
        <w:spacing w:line="360" w:lineRule="auto"/>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p>
    <w:p>
      <w:pPr>
        <w:adjustRightInd w:val="0"/>
        <w:snapToGrid w:val="0"/>
        <w:spacing w:line="360" w:lineRule="auto"/>
        <w:jc w:val="center"/>
        <w:rPr>
          <w:rFonts w:ascii="华文楷体" w:eastAsia="华文楷体" w:hAnsi="华文楷体" w:hint="eastAsia"/>
          <w:b/>
          <w:szCs w:val="21"/>
        </w:rPr>
      </w:pPr>
      <w:r>
        <w:rPr>
          <w:rFonts w:ascii="华文楷体" w:eastAsia="华文楷体" w:hAnsi="华文楷体" w:hint="eastAsia"/>
          <w:b/>
          <w:szCs w:val="21"/>
        </w:rPr>
        <w:t>表三、分项报价表——货物购置</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93"/>
        <w:gridCol w:w="893"/>
        <w:gridCol w:w="1783"/>
        <w:gridCol w:w="535"/>
        <w:gridCol w:w="1606"/>
        <w:gridCol w:w="2142"/>
        <w:gridCol w:w="1070"/>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序号</w:t>
            </w: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名称</w:t>
            </w: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品牌、型号、规格或软件版本号</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数量</w:t>
            </w: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原产地和</w:t>
            </w:r>
          </w:p>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制造商名称</w:t>
            </w: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单</w:t>
            </w:r>
            <w:r>
              <w:rPr>
                <w:rFonts w:ascii="华文楷体" w:eastAsia="华文楷体" w:hAnsi="华文楷体"/>
                <w:szCs w:val="21"/>
              </w:rPr>
              <w:t xml:space="preserve">   </w:t>
            </w:r>
            <w:r>
              <w:rPr>
                <w:rFonts w:ascii="华文楷体" w:eastAsia="华文楷体" w:hAnsi="华文楷体" w:hint="eastAsia"/>
                <w:szCs w:val="21"/>
              </w:rPr>
              <w:t>价</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szCs w:val="21"/>
              </w:rPr>
            </w:pPr>
            <w:r>
              <w:rPr>
                <w:rFonts w:ascii="华文楷体" w:eastAsia="华文楷体" w:hAnsi="华文楷体" w:hint="eastAsia"/>
                <w:szCs w:val="21"/>
              </w:rPr>
              <w:t>小计</w:t>
            </w:r>
          </w:p>
        </w:tc>
      </w:tr>
      <w:tr>
        <w:tblPrEx>
          <w:tblW w:w="5000" w:type="pct"/>
          <w:tblInd w:w="0" w:type="dxa"/>
          <w:tblCellMar>
            <w:top w:w="0" w:type="dxa"/>
            <w:left w:w="108" w:type="dxa"/>
            <w:bottom w:w="0" w:type="dxa"/>
            <w:right w:w="108" w:type="dxa"/>
          </w:tblCellMar>
        </w:tblPrEx>
        <w:trPr>
          <w:trHeight w:val="584"/>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1"/>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rPr>
          <w:trHeight w:val="558"/>
        </w:trPr>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52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04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28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570"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至最终目的地的运费和保险费</w:t>
            </w:r>
          </w:p>
        </w:tc>
        <w:tc>
          <w:tcPr>
            <w:tcW w:w="314"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94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125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p>
        </w:tc>
      </w:tr>
      <w:tr>
        <w:tblPrEx>
          <w:tblW w:w="5000" w:type="pct"/>
          <w:tblInd w:w="0" w:type="dxa"/>
          <w:tblCellMar>
            <w:top w:w="0" w:type="dxa"/>
            <w:left w:w="108" w:type="dxa"/>
            <w:bottom w:w="0" w:type="dxa"/>
            <w:right w:w="108" w:type="dxa"/>
          </w:tblCellMar>
        </w:tblPrEx>
        <w:tc>
          <w:tcPr>
            <w:tcW w:w="4372" w:type="pct"/>
            <w:gridSpan w:val="6"/>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合计人民币大写</w:t>
            </w:r>
          </w:p>
        </w:tc>
        <w:tc>
          <w:tcPr>
            <w:tcW w:w="6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szCs w:val="21"/>
              </w:rPr>
            </w:pPr>
            <w:r>
              <w:rPr>
                <w:rFonts w:ascii="华文楷体" w:eastAsia="华文楷体" w:hAnsi="华文楷体" w:hint="eastAsia"/>
                <w:szCs w:val="21"/>
              </w:rPr>
              <w:t>小写</w:t>
            </w:r>
          </w:p>
        </w:tc>
      </w:tr>
    </w:tbl>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2.18服务团队人员基本情况表</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b/>
          <w:szCs w:val="21"/>
        </w:rPr>
      </w:pPr>
      <w:r>
        <w:rPr>
          <w:rFonts w:ascii="华文楷体" w:eastAsia="华文楷体" w:hAnsi="华文楷体" w:cs="Times New Roman" w:hint="eastAsia"/>
          <w:b/>
          <w:szCs w:val="21"/>
        </w:rPr>
        <w:t>表一、服务团队人员基本情况表（汇总）</w:t>
      </w:r>
    </w:p>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
      <w:tblGrid>
        <w:gridCol w:w="738"/>
        <w:gridCol w:w="930"/>
        <w:gridCol w:w="992"/>
        <w:gridCol w:w="1276"/>
        <w:gridCol w:w="1984"/>
        <w:gridCol w:w="2268"/>
        <w:gridCol w:w="851"/>
      </w:tblGrid>
      <w:tr>
        <w:tblPrEx>
          <w:tblW w:w="9039" w:type="dxa"/>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top w:w="0" w:type="dxa"/>
            <w:left w:w="108" w:type="dxa"/>
            <w:bottom w:w="0" w:type="dxa"/>
            <w:right w:w="108" w:type="dxa"/>
          </w:tblCellMar>
        </w:tblPrEx>
        <w:trPr>
          <w:trHeight w:val="355"/>
        </w:trPr>
        <w:tc>
          <w:tcPr>
            <w:tcW w:w="738" w:type="dxa"/>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0"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姓名</w:t>
            </w:r>
          </w:p>
        </w:tc>
        <w:tc>
          <w:tcPr>
            <w:tcW w:w="992"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性别</w:t>
            </w:r>
          </w:p>
        </w:tc>
        <w:tc>
          <w:tcPr>
            <w:tcW w:w="1276" w:type="dxa"/>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职称资质</w:t>
            </w:r>
          </w:p>
        </w:tc>
        <w:tc>
          <w:tcPr>
            <w:tcW w:w="1984"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hint="eastAsia"/>
                <w:szCs w:val="20"/>
              </w:rPr>
            </w:pPr>
            <w:r>
              <w:rPr>
                <w:rFonts w:ascii="华文楷体" w:eastAsia="华文楷体" w:hAnsi="华文楷体" w:cs="Times New Roman" w:hint="eastAsia"/>
                <w:szCs w:val="20"/>
              </w:rPr>
              <w:t>在本项目中的职务</w:t>
            </w:r>
          </w:p>
        </w:tc>
        <w:tc>
          <w:tcPr>
            <w:tcW w:w="2268" w:type="dxa"/>
            <w:tcBorders>
              <w:top w:val="single" w:sz="12" w:space="0" w:color="auto"/>
              <w:left w:val="single" w:sz="4" w:space="0" w:color="auto"/>
              <w:bottom w:val="single" w:sz="4" w:space="0" w:color="auto"/>
              <w:right w:val="single" w:sz="4" w:space="0" w:color="auto"/>
            </w:tcBorders>
            <w:noWrap w:val="0"/>
            <w:vAlign w:val="top"/>
          </w:tcPr>
          <w:p>
            <w:pPr>
              <w:rPr>
                <w:rFonts w:ascii="华文楷体" w:eastAsia="华文楷体" w:hAnsi="华文楷体" w:cs="Times New Roman"/>
                <w:szCs w:val="20"/>
              </w:rPr>
            </w:pPr>
            <w:r>
              <w:rPr>
                <w:rFonts w:ascii="华文楷体" w:eastAsia="华文楷体" w:hAnsi="华文楷体" w:cs="Times New Roman" w:hint="eastAsia"/>
                <w:szCs w:val="20"/>
              </w:rPr>
              <w:t>在本项目专职/兼职</w:t>
            </w:r>
          </w:p>
        </w:tc>
        <w:tc>
          <w:tcPr>
            <w:tcW w:w="851" w:type="dxa"/>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hint="eastAsia"/>
                <w:szCs w:val="21"/>
              </w:rPr>
            </w:pPr>
            <w:r>
              <w:rPr>
                <w:rFonts w:ascii="华文楷体" w:eastAsia="华文楷体" w:hAnsi="华文楷体" w:cs="Times New Roman" w:hint="eastAsia"/>
                <w:szCs w:val="21"/>
              </w:rPr>
              <w:t>备注</w:t>
            </w:r>
          </w:p>
        </w:tc>
      </w:tr>
      <w:tr>
        <w:tblPrEx>
          <w:tblW w:w="9039" w:type="dxa"/>
          <w:tblInd w:w="0" w:type="dxa"/>
          <w:tblLayout w:type="fixed"/>
          <w:tblCellMar>
            <w:top w:w="0" w:type="dxa"/>
            <w:left w:w="108" w:type="dxa"/>
            <w:bottom w:w="0" w:type="dxa"/>
            <w:right w:w="108" w:type="dxa"/>
          </w:tblCellMar>
        </w:tblPrEx>
        <w:trPr>
          <w:trHeight w:val="241"/>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263"/>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9039" w:type="dxa"/>
          <w:tblInd w:w="0" w:type="dxa"/>
          <w:tblLayout w:type="fixed"/>
          <w:tblCellMar>
            <w:top w:w="0" w:type="dxa"/>
            <w:left w:w="108" w:type="dxa"/>
            <w:bottom w:w="0" w:type="dxa"/>
            <w:right w:w="108" w:type="dxa"/>
          </w:tblCellMar>
        </w:tblPrEx>
        <w:trPr>
          <w:trHeight w:val="325"/>
        </w:trPr>
        <w:tc>
          <w:tcPr>
            <w:tcW w:w="738" w:type="dxa"/>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30"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992"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276"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984"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268" w:type="dxa"/>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51" w:type="dxa"/>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hint="eastAsia"/>
          <w:szCs w:val="21"/>
        </w:rPr>
        <w:t>注：如本项目要求驻场服务，请在备注中说明该人员是否驻场</w:t>
      </w:r>
    </w:p>
    <w:p>
      <w:pPr>
        <w:adjustRightInd w:val="0"/>
        <w:snapToGrid w:val="0"/>
        <w:spacing w:line="360" w:lineRule="auto"/>
        <w:jc w:val="left"/>
        <w:rPr>
          <w:rFonts w:ascii="宋体" w:eastAsia="宋体" w:hAnsi="宋体" w:cs="Times New Roman" w:hint="eastAsia"/>
          <w:b/>
          <w:szCs w:val="21"/>
        </w:rPr>
      </w:pPr>
    </w:p>
    <w:p>
      <w:pPr>
        <w:adjustRightInd w:val="0"/>
        <w:snapToGrid w:val="0"/>
        <w:spacing w:line="360" w:lineRule="auto"/>
        <w:jc w:val="center"/>
        <w:rPr>
          <w:rFonts w:ascii="华文楷体" w:eastAsia="华文楷体" w:hAnsi="华文楷体" w:cs="Times New Roman" w:hint="eastAsia"/>
          <w:b/>
          <w:szCs w:val="21"/>
        </w:rPr>
      </w:pPr>
      <w:r>
        <w:rPr>
          <w:rFonts w:ascii="华文楷体" w:eastAsia="华文楷体" w:hAnsi="华文楷体" w:cs="Times New Roman" w:hint="eastAsia"/>
          <w:b/>
          <w:szCs w:val="21"/>
        </w:rPr>
        <w:t>表二、服务团队人员基本情况表（个人）</w:t>
      </w:r>
    </w:p>
    <w:p>
      <w:pPr>
        <w:widowControl w:val="0"/>
        <w:spacing w:line="360" w:lineRule="auto"/>
        <w:jc w:val="both"/>
        <w:rPr>
          <w:rFonts w:ascii="华文楷体" w:eastAsia="华文楷体" w:hAnsi="华文楷体" w:cs="Times New Roman"/>
          <w:szCs w:val="21"/>
        </w:rPr>
      </w:pPr>
      <w:r>
        <w:rPr>
          <w:rFonts w:ascii="华文楷体" w:eastAsia="华文楷体" w:hAnsi="华文楷体" w:cs="Times New Roman" w:hint="eastAsia"/>
          <w:kern w:val="2"/>
          <w:sz w:val="21"/>
          <w:szCs w:val="21"/>
          <w:lang w:val="en-US" w:eastAsia="zh-CN" w:bidi="ar-SA"/>
        </w:rPr>
        <w:t>项目名称：</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项目编号：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 xml:space="preserve">   包号：</w:t>
      </w:r>
      <w:r>
        <w:rPr>
          <w:rFonts w:ascii="华文楷体" w:eastAsia="华文楷体" w:hAnsi="华文楷体" w:cs="Times New Roman" w:hint="eastAsia"/>
          <w:kern w:val="2"/>
          <w:sz w:val="21"/>
          <w:szCs w:val="21"/>
          <w:u w:val="single"/>
          <w:lang w:val="en-US" w:eastAsia="zh-CN" w:bidi="ar-SA"/>
        </w:rPr>
        <w:t xml:space="preserve">    </w:t>
      </w:r>
      <w:r>
        <w:rPr>
          <w:rFonts w:ascii="华文楷体" w:eastAsia="华文楷体" w:hAnsi="华文楷体" w:cs="Times New Roman" w:hint="eastAsia"/>
          <w:kern w:val="2"/>
          <w:sz w:val="21"/>
          <w:szCs w:val="21"/>
          <w:lang w:val="en-US" w:eastAsia="zh-CN" w:bidi="ar-SA"/>
        </w:rPr>
        <w:t>（如项目不分包，不填写包号）</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715"/>
        <w:gridCol w:w="1340"/>
        <w:gridCol w:w="1074"/>
        <w:gridCol w:w="673"/>
        <w:gridCol w:w="535"/>
        <w:gridCol w:w="1075"/>
        <w:gridCol w:w="804"/>
        <w:gridCol w:w="1306"/>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cantSplit/>
          <w:trHeight w:val="585"/>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姓  名</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0"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性 别</w:t>
            </w:r>
          </w:p>
        </w:tc>
        <w:tc>
          <w:tcPr>
            <w:tcW w:w="709"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出生日期</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cantSplit/>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毕业院校及专业</w:t>
            </w:r>
          </w:p>
        </w:tc>
        <w:tc>
          <w:tcPr>
            <w:tcW w:w="2125" w:type="pct"/>
            <w:gridSpan w:val="4"/>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631"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18"/>
              <w:jc w:val="center"/>
              <w:rPr>
                <w:rFonts w:ascii="华文楷体" w:eastAsia="华文楷体" w:hAnsi="华文楷体" w:cs="Times New Roman"/>
                <w:szCs w:val="21"/>
              </w:rPr>
            </w:pPr>
            <w:r>
              <w:rPr>
                <w:rFonts w:ascii="华文楷体" w:eastAsia="华文楷体" w:hAnsi="华文楷体" w:cs="Times New Roman"/>
                <w:szCs w:val="21"/>
              </w:rPr>
              <w:t>毕业时间</w:t>
            </w:r>
          </w:p>
        </w:tc>
        <w:tc>
          <w:tcPr>
            <w:tcW w:w="1238" w:type="pct"/>
            <w:gridSpan w:val="2"/>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left="45"/>
              <w:jc w:val="center"/>
              <w:rPr>
                <w:rFonts w:ascii="华文楷体" w:eastAsia="华文楷体" w:hAnsi="华文楷体" w:cs="Times New Roman"/>
                <w:szCs w:val="21"/>
              </w:rPr>
            </w:pPr>
            <w:r>
              <w:rPr>
                <w:rFonts w:ascii="华文楷体" w:eastAsia="华文楷体" w:hAnsi="华文楷体" w:cs="Times New Roman"/>
                <w:szCs w:val="21"/>
              </w:rPr>
              <w:t>年    月</w:t>
            </w:r>
          </w:p>
        </w:tc>
      </w:tr>
      <w:tr>
        <w:tblPrEx>
          <w:tblW w:w="5000" w:type="pct"/>
          <w:tblInd w:w="0" w:type="dxa"/>
          <w:tblCellMar>
            <w:top w:w="0" w:type="dxa"/>
            <w:left w:w="108" w:type="dxa"/>
            <w:bottom w:w="0" w:type="dxa"/>
            <w:right w:w="108" w:type="dxa"/>
          </w:tblCellMar>
        </w:tblPrEx>
        <w:trPr>
          <w:trHeight w:val="66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从事本专业时间</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为</w:t>
            </w:r>
            <w:r>
              <w:rPr>
                <w:rFonts w:ascii="华文楷体" w:eastAsia="华文楷体" w:hAnsi="华文楷体" w:cs="Times New Roman" w:hint="eastAsia"/>
                <w:szCs w:val="21"/>
              </w:rPr>
              <w:t>投标人</w:t>
            </w:r>
            <w:r>
              <w:rPr>
                <w:rFonts w:ascii="华文楷体" w:eastAsia="华文楷体" w:hAnsi="华文楷体" w:cs="Times New Roman"/>
                <w:szCs w:val="21"/>
              </w:rPr>
              <w:t>服务时间</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60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职称</w:t>
            </w:r>
            <w:r>
              <w:rPr>
                <w:rFonts w:ascii="华文楷体" w:eastAsia="华文楷体" w:hAnsi="华文楷体" w:cs="Times New Roman" w:hint="eastAsia"/>
                <w:szCs w:val="21"/>
              </w:rPr>
              <w:t>及执业资质</w:t>
            </w:r>
          </w:p>
        </w:tc>
        <w:tc>
          <w:tcPr>
            <w:tcW w:w="78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p>
        </w:tc>
        <w:tc>
          <w:tcPr>
            <w:tcW w:w="133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拟在本项目中担任职务</w:t>
            </w:r>
          </w:p>
        </w:tc>
        <w:tc>
          <w:tcPr>
            <w:tcW w:w="1869"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ind w:firstLine="90" w:firstLineChars="50"/>
              <w:rPr>
                <w:rFonts w:ascii="华文楷体" w:eastAsia="华文楷体" w:hAnsi="华文楷体" w:cs="Times New Roman"/>
                <w:sz w:val="18"/>
                <w:szCs w:val="18"/>
              </w:rPr>
            </w:pPr>
            <w:r>
              <w:rPr>
                <w:rFonts w:ascii="华文楷体" w:eastAsia="华文楷体" w:hAnsi="华文楷体" w:cs="Times New Roman" w:hint="eastAsia"/>
                <w:sz w:val="18"/>
                <w:szCs w:val="18"/>
              </w:rPr>
              <w:t>按项目管理和技术人员填写，注明在本项目专职还是兼职，以及在本项目工作专业</w:t>
            </w:r>
          </w:p>
        </w:tc>
      </w:tr>
      <w:tr>
        <w:tblPrEx>
          <w:tblW w:w="5000" w:type="pct"/>
          <w:tblInd w:w="0" w:type="dxa"/>
          <w:tblCellMar>
            <w:top w:w="0" w:type="dxa"/>
            <w:left w:w="108" w:type="dxa"/>
            <w:bottom w:w="0" w:type="dxa"/>
            <w:right w:w="108" w:type="dxa"/>
          </w:tblCellMar>
        </w:tblPrEx>
        <w:trPr>
          <w:cantSplit/>
          <w:trHeight w:val="600"/>
        </w:trPr>
        <w:tc>
          <w:tcPr>
            <w:tcW w:w="5000" w:type="pct"/>
            <w:gridSpan w:val="8"/>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类似项目</w:t>
            </w:r>
            <w:r>
              <w:rPr>
                <w:rFonts w:ascii="华文楷体" w:eastAsia="华文楷体" w:hAnsi="华文楷体" w:cs="Times New Roman"/>
                <w:szCs w:val="21"/>
              </w:rPr>
              <w:t>实施经验</w:t>
            </w:r>
          </w:p>
        </w:tc>
      </w:tr>
      <w:tr>
        <w:tblPrEx>
          <w:tblW w:w="5000" w:type="pct"/>
          <w:tblInd w:w="0" w:type="dxa"/>
          <w:tblCellMar>
            <w:top w:w="0" w:type="dxa"/>
            <w:left w:w="108" w:type="dxa"/>
            <w:bottom w:w="0" w:type="dxa"/>
            <w:right w:w="108" w:type="dxa"/>
          </w:tblCellMar>
        </w:tblPrEx>
        <w:trPr>
          <w:trHeight w:val="690"/>
        </w:trPr>
        <w:tc>
          <w:tcPr>
            <w:tcW w:w="10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时   间</w:t>
            </w:r>
          </w:p>
        </w:tc>
        <w:tc>
          <w:tcPr>
            <w:tcW w:w="181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参加过类似项目名称及规模</w:t>
            </w:r>
          </w:p>
        </w:tc>
        <w:tc>
          <w:tcPr>
            <w:tcW w:w="1417"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该项目中任职</w:t>
            </w:r>
          </w:p>
        </w:tc>
        <w:tc>
          <w:tcPr>
            <w:tcW w:w="767"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jc w:val="center"/>
              <w:rPr>
                <w:rFonts w:ascii="华文楷体" w:eastAsia="华文楷体" w:hAnsi="华文楷体" w:cs="Times New Roman"/>
                <w:szCs w:val="21"/>
              </w:rPr>
            </w:pPr>
            <w:r>
              <w:rPr>
                <w:rFonts w:ascii="华文楷体" w:eastAsia="华文楷体" w:hAnsi="华文楷体" w:cs="Times New Roman"/>
                <w:szCs w:val="21"/>
              </w:rPr>
              <w:t>联系电话</w:t>
            </w:r>
          </w:p>
        </w:tc>
      </w:tr>
      <w:tr>
        <w:tblPrEx>
          <w:tblW w:w="5000" w:type="pct"/>
          <w:tblInd w:w="0" w:type="dxa"/>
          <w:tblCellMar>
            <w:top w:w="0" w:type="dxa"/>
            <w:left w:w="108" w:type="dxa"/>
            <w:bottom w:w="0" w:type="dxa"/>
            <w:right w:w="108" w:type="dxa"/>
          </w:tblCellMar>
        </w:tblPrEx>
        <w:trPr>
          <w:trHeight w:val="892"/>
        </w:trPr>
        <w:tc>
          <w:tcPr>
            <w:tcW w:w="1006"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811"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1417" w:type="pct"/>
            <w:gridSpan w:val="3"/>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c>
          <w:tcPr>
            <w:tcW w:w="767" w:type="pct"/>
            <w:tcBorders>
              <w:top w:val="single" w:sz="4" w:space="0" w:color="auto"/>
              <w:left w:val="single" w:sz="4" w:space="0" w:color="auto"/>
              <w:bottom w:val="single" w:sz="4" w:space="0" w:color="auto"/>
              <w:right w:val="single" w:sz="4" w:space="0" w:color="auto"/>
            </w:tcBorders>
            <w:noWrap w:val="0"/>
            <w:vAlign w:val="top"/>
          </w:tcPr>
          <w:p>
            <w:pPr>
              <w:adjustRightInd w:val="0"/>
              <w:snapToGrid w:val="0"/>
              <w:jc w:val="center"/>
              <w:rPr>
                <w:rFonts w:ascii="华文楷体" w:eastAsia="华文楷体" w:hAnsi="华文楷体" w:cs="Times New Roman" w:hint="eastAsia"/>
                <w:szCs w:val="21"/>
              </w:rPr>
            </w:pPr>
          </w:p>
          <w:p>
            <w:pPr>
              <w:adjustRightInd w:val="0"/>
              <w:snapToGrid w:val="0"/>
              <w:jc w:val="center"/>
              <w:rPr>
                <w:rFonts w:ascii="华文楷体" w:eastAsia="华文楷体" w:hAnsi="华文楷体" w:cs="Times New Roman"/>
                <w:szCs w:val="21"/>
              </w:rPr>
            </w:pPr>
          </w:p>
        </w:tc>
      </w:tr>
    </w:tbl>
    <w:p>
      <w:pPr>
        <w:adjustRightInd w:val="0"/>
        <w:snapToGrid w:val="0"/>
        <w:spacing w:line="360" w:lineRule="auto"/>
        <w:jc w:val="left"/>
        <w:rPr>
          <w:rFonts w:ascii="华文楷体" w:eastAsia="华文楷体" w:hAnsi="华文楷体" w:cs="Times New Roman" w:hint="eastAsia"/>
          <w:szCs w:val="21"/>
        </w:rPr>
      </w:pPr>
      <w:r>
        <w:rPr>
          <w:rFonts w:ascii="华文楷体" w:eastAsia="华文楷体" w:hAnsi="华文楷体" w:cs="Times New Roman"/>
          <w:szCs w:val="20"/>
        </w:rPr>
        <w:t>注：</w:t>
      </w:r>
      <w:r>
        <w:rPr>
          <w:rFonts w:ascii="华文楷体" w:eastAsia="华文楷体" w:hAnsi="华文楷体" w:cs="Times New Roman" w:hint="eastAsia"/>
          <w:szCs w:val="21"/>
        </w:rPr>
        <w:t>1、按服务团队人员填列，每个人员填一张表。</w:t>
      </w:r>
    </w:p>
    <w:p>
      <w:pPr>
        <w:adjustRightInd w:val="0"/>
        <w:snapToGrid w:val="0"/>
        <w:spacing w:line="360" w:lineRule="auto"/>
        <w:ind w:firstLine="435"/>
        <w:jc w:val="left"/>
        <w:rPr>
          <w:rFonts w:ascii="宋体" w:eastAsia="宋体" w:hAnsi="宋体" w:cs="Times New Roman" w:hint="eastAsia"/>
          <w:sz w:val="18"/>
          <w:szCs w:val="18"/>
        </w:rPr>
      </w:pPr>
      <w:r>
        <w:rPr>
          <w:rFonts w:ascii="华文楷体" w:eastAsia="华文楷体" w:hAnsi="华文楷体" w:cs="Times New Roman" w:hint="eastAsia"/>
          <w:szCs w:val="20"/>
        </w:rPr>
        <w:t>2、须后附相关人员职称及资质证书，社保证明（如无社保证明，应提供截止开标之日仍有效的劳动合同），否则该人员不被认为是针对本项目的委派人员。</w:t>
      </w:r>
    </w:p>
    <w:p/>
    <w:p>
      <w:pPr>
        <w:adjustRightInd w:val="0"/>
        <w:snapToGrid w:val="0"/>
        <w:spacing w:line="360" w:lineRule="auto"/>
        <w:ind w:firstLine="420"/>
        <w:outlineLvl w:val="3"/>
        <w:rPr>
          <w:rFonts w:ascii="宋体" w:eastAsia="宋体" w:hAnsi="宋体" w:cs="Times New Roman" w:hint="eastAsia"/>
          <w:b/>
          <w:szCs w:val="21"/>
        </w:rPr>
      </w:pPr>
      <w:r>
        <w:rPr>
          <w:rFonts w:ascii="宋体" w:eastAsia="宋体" w:hAnsi="宋体" w:cs="Times New Roman" w:hint="eastAsia"/>
          <w:b/>
          <w:szCs w:val="21"/>
        </w:rPr>
        <w:t>2.19技术要求偏离表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招标文件软件开发和服务标准、时间、范围及货物的技术等要求</w:t>
            </w:r>
          </w:p>
        </w:tc>
        <w:tc>
          <w:tcPr>
            <w:tcW w:w="70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noWrap w:val="0"/>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1</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2</w:t>
            </w: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noWrap w:val="0"/>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noWrap w:val="0"/>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服务，应符合招标文件中采购需求提出的服务标准、服务范围、服务时间、服务质量、服务方式等要求，投标人所提供的货物，应符合招标文件中采购需求提出的质量、技术要求。如有合理建议或更改，应在本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hint="eastAsia"/>
          <w:b/>
          <w:szCs w:val="21"/>
        </w:rPr>
      </w:pPr>
      <w:bookmarkStart w:id="20" w:name="_Ref462505472"/>
      <w:r>
        <w:rPr>
          <w:rFonts w:ascii="宋体" w:eastAsia="宋体" w:hAnsi="宋体" w:cs="Times New Roman" w:hint="eastAsia"/>
          <w:b/>
          <w:szCs w:val="21"/>
        </w:rPr>
        <w:t>2.20主要标的信息表</w:t>
      </w:r>
      <w:bookmarkEnd w:id="20"/>
    </w:p>
    <w:p>
      <w:pPr>
        <w:adjustRightInd w:val="0"/>
        <w:snapToGrid w:val="0"/>
        <w:spacing w:line="360" w:lineRule="auto"/>
        <w:ind w:firstLine="420"/>
        <w:outlineLvl w:val="9"/>
        <w:rPr>
          <w:rFonts w:ascii="宋体" w:eastAsia="宋体" w:hAnsi="宋体" w:cs="Times New Roman" w:hint="eastAsia"/>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主要标的信息表（一）</w:t>
      </w:r>
    </w:p>
    <w:tbl>
      <w:tblPr>
        <w:tblStyle w:val="TableNormal"/>
        <w:tblW w:w="0" w:type="auto"/>
        <w:tblInd w:w="0" w:type="dxa"/>
        <w:tblCellMar>
          <w:top w:w="0" w:type="dxa"/>
          <w:left w:w="108" w:type="dxa"/>
          <w:bottom w:w="0" w:type="dxa"/>
          <w:right w:w="108" w:type="dxa"/>
        </w:tblCellMar>
      </w:tblPr>
      <w:tblGrid>
        <w:gridCol w:w="636"/>
        <w:gridCol w:w="1056"/>
        <w:gridCol w:w="1056"/>
        <w:gridCol w:w="1896"/>
        <w:gridCol w:w="1476"/>
        <w:gridCol w:w="1896"/>
      </w:tblGrid>
      <w:tr>
        <w:tblPrEx>
          <w:tblW w:w="0" w:type="auto"/>
          <w:tblInd w:w="0" w:type="dxa"/>
          <w:tblCellMar>
            <w:top w:w="0" w:type="dxa"/>
            <w:left w:w="108" w:type="dxa"/>
            <w:bottom w:w="0" w:type="dxa"/>
            <w:right w:w="108" w:type="dxa"/>
          </w:tblCellMar>
        </w:tblPrEx>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软件名称</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主要功能</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软件开发维护要求</w:t>
            </w:r>
          </w:p>
        </w:tc>
        <w:tc>
          <w:tcPr>
            <w:tcW w:w="0" w:type="auto"/>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项目完成时间</w:t>
            </w:r>
          </w:p>
        </w:tc>
        <w:tc>
          <w:tcPr>
            <w:tcW w:w="0" w:type="auto"/>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软件开发维护标准</w:t>
            </w:r>
          </w:p>
        </w:tc>
      </w:tr>
      <w:tr>
        <w:tblPrEx>
          <w:tblW w:w="0" w:type="auto"/>
          <w:tblInd w:w="0" w:type="dxa"/>
          <w:tblCellMar>
            <w:top w:w="0" w:type="dxa"/>
            <w:left w:w="108" w:type="dxa"/>
            <w:bottom w:w="0" w:type="dxa"/>
            <w:right w:w="108" w:type="dxa"/>
          </w:tblCellMar>
        </w:tblPrEx>
        <w:trPr>
          <w:trHeight w:val="350"/>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6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0" w:type="auto"/>
          <w:tblInd w:w="0" w:type="dxa"/>
          <w:tblCellMar>
            <w:top w:w="0" w:type="dxa"/>
            <w:left w:w="108" w:type="dxa"/>
            <w:bottom w:w="0" w:type="dxa"/>
            <w:right w:w="108" w:type="dxa"/>
          </w:tblCellMar>
        </w:tblPrEx>
        <w:trPr>
          <w:trHeight w:val="343"/>
        </w:trPr>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0" w:type="auto"/>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ind w:firstLine="420"/>
        <w:outlineLvl w:val="9"/>
        <w:rPr>
          <w:rFonts w:ascii="宋体" w:eastAsia="宋体" w:hAnsi="宋体" w:cs="Times New Roman" w:hint="eastAsia"/>
          <w:b/>
          <w:szCs w:val="21"/>
        </w:rPr>
      </w:pPr>
    </w:p>
    <w:p>
      <w:pPr>
        <w:adjustRightInd w:val="0"/>
        <w:snapToGrid w:val="0"/>
        <w:spacing w:line="360" w:lineRule="auto"/>
        <w:ind w:firstLine="420"/>
        <w:outlineLvl w:val="9"/>
        <w:rPr>
          <w:rFonts w:ascii="宋体" w:eastAsia="宋体" w:hAnsi="宋体" w:cs="Times New Roman"/>
          <w:b/>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主要标的信息表（二）</w:t>
      </w:r>
    </w:p>
    <w:tbl>
      <w:tblPr>
        <w:tblStyle w:val="TableNormal"/>
        <w:tblW w:w="5000" w:type="pct"/>
        <w:tblInd w:w="0" w:type="dxa"/>
        <w:tblCellMar>
          <w:top w:w="0" w:type="dxa"/>
          <w:left w:w="108" w:type="dxa"/>
          <w:bottom w:w="0" w:type="dxa"/>
          <w:right w:w="108" w:type="dxa"/>
        </w:tblCellMar>
      </w:tblPr>
      <w:tblGrid>
        <w:gridCol w:w="917"/>
        <w:gridCol w:w="1521"/>
        <w:gridCol w:w="1521"/>
        <w:gridCol w:w="1521"/>
        <w:gridCol w:w="1521"/>
        <w:gridCol w:w="1521"/>
      </w:tblGrid>
      <w:tr>
        <w:tblPrEx>
          <w:tblW w:w="5000" w:type="pct"/>
          <w:tblInd w:w="0" w:type="dxa"/>
          <w:tblCellMar>
            <w:top w:w="0" w:type="dxa"/>
            <w:left w:w="108" w:type="dxa"/>
            <w:bottom w:w="0" w:type="dxa"/>
            <w:right w:w="108" w:type="dxa"/>
          </w:tblCellMar>
        </w:tblPrEx>
        <w:tc>
          <w:tcPr>
            <w:tcW w:w="538"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服务名称</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服务范围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服务要求</w:t>
            </w:r>
          </w:p>
        </w:tc>
        <w:tc>
          <w:tcPr>
            <w:tcW w:w="892"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服务时间</w:t>
            </w:r>
          </w:p>
        </w:tc>
        <w:tc>
          <w:tcPr>
            <w:tcW w:w="892"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服务标准</w:t>
            </w:r>
          </w:p>
        </w:tc>
      </w:tr>
      <w:tr>
        <w:tblPrEx>
          <w:tblW w:w="5000" w:type="pct"/>
          <w:tblInd w:w="0" w:type="dxa"/>
          <w:tblCellMar>
            <w:top w:w="0" w:type="dxa"/>
            <w:left w:w="108" w:type="dxa"/>
            <w:bottom w:w="0" w:type="dxa"/>
            <w:right w:w="108" w:type="dxa"/>
          </w:tblCellMar>
        </w:tblPrEx>
        <w:trPr>
          <w:trHeight w:val="350"/>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38"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892"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keepNext/>
        <w:tabs>
          <w:tab w:val="left" w:pos="5580"/>
        </w:tabs>
        <w:adjustRightInd w:val="0"/>
        <w:snapToGrid w:val="0"/>
        <w:spacing w:line="360" w:lineRule="auto"/>
        <w:ind w:left="1525" w:hanging="1254"/>
        <w:jc w:val="center"/>
        <w:rPr>
          <w:rFonts w:ascii="宋体" w:eastAsia="宋体" w:hAnsi="宋体" w:cs="Times New Roman" w:hint="eastAsia"/>
          <w:szCs w:val="21"/>
        </w:rPr>
      </w:pPr>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主要标的信息表（三）</w:t>
      </w:r>
    </w:p>
    <w:tbl>
      <w:tblPr>
        <w:tblStyle w:val="TableNormal"/>
        <w:tblW w:w="5000" w:type="pct"/>
        <w:tblInd w:w="0" w:type="dxa"/>
        <w:tblCellMar>
          <w:top w:w="0" w:type="dxa"/>
          <w:left w:w="108" w:type="dxa"/>
          <w:bottom w:w="0" w:type="dxa"/>
          <w:right w:w="108" w:type="dxa"/>
        </w:tblCellMar>
      </w:tblPr>
      <w:tblGrid>
        <w:gridCol w:w="637"/>
        <w:gridCol w:w="1074"/>
        <w:gridCol w:w="1075"/>
        <w:gridCol w:w="1341"/>
        <w:gridCol w:w="2734"/>
        <w:gridCol w:w="1661"/>
      </w:tblGrid>
      <w:tr>
        <w:tblPrEx>
          <w:tblW w:w="5000" w:type="pct"/>
          <w:tblInd w:w="0" w:type="dxa"/>
          <w:tblCellMar>
            <w:top w:w="0" w:type="dxa"/>
            <w:left w:w="108" w:type="dxa"/>
            <w:bottom w:w="0" w:type="dxa"/>
            <w:right w:w="108" w:type="dxa"/>
          </w:tblCellMar>
        </w:tblPrEx>
        <w:tc>
          <w:tcPr>
            <w:tcW w:w="37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630"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631"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787"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1604" w:type="pct"/>
            <w:tcBorders>
              <w:top w:val="single" w:sz="4" w:space="0" w:color="000000"/>
              <w:left w:val="single" w:sz="4" w:space="0" w:color="000000"/>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4" w:type="pct"/>
            <w:tcBorders>
              <w:top w:val="single" w:sz="4" w:space="0" w:color="000000"/>
              <w:left w:val="nil"/>
              <w:bottom w:val="single" w:sz="4" w:space="0" w:color="000000"/>
              <w:right w:val="single" w:sz="4" w:space="0" w:color="000000"/>
            </w:tcBorders>
            <w:noWrap w:val="0"/>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37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630"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631"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787"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1604" w:type="pct"/>
            <w:tcBorders>
              <w:top w:val="single" w:sz="4" w:space="0" w:color="000000"/>
              <w:left w:val="single" w:sz="4" w:space="0" w:color="000000"/>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c>
          <w:tcPr>
            <w:tcW w:w="974" w:type="pct"/>
            <w:tcBorders>
              <w:top w:val="single" w:sz="4" w:space="0" w:color="000000"/>
              <w:left w:val="nil"/>
              <w:bottom w:val="single" w:sz="4" w:space="0" w:color="000000"/>
              <w:right w:val="single" w:sz="4" w:space="0" w:color="000000"/>
            </w:tcBorders>
            <w:noWrap w:val="0"/>
            <w:vAlign w:val="top"/>
          </w:tcPr>
          <w:p>
            <w:pPr>
              <w:adjustRightInd w:val="0"/>
              <w:snapToGrid w:val="0"/>
              <w:spacing w:line="360" w:lineRule="auto"/>
              <w:jc w:val="center"/>
              <w:rPr>
                <w:rFonts w:ascii="华文楷体" w:eastAsia="华文楷体" w:hAnsi="华文楷体" w:cs="Times New Roman"/>
                <w:szCs w:val="21"/>
              </w:rPr>
            </w:pPr>
          </w:p>
        </w:tc>
      </w:tr>
    </w:tbl>
    <w:p>
      <w:pPr>
        <w:tabs>
          <w:tab w:val="left" w:pos="943"/>
          <w:tab w:val="left" w:pos="1573"/>
        </w:tabs>
        <w:adjustRightInd w:val="0"/>
        <w:snapToGrid w:val="0"/>
        <w:spacing w:line="360" w:lineRule="auto"/>
        <w:ind w:firstLine="412" w:firstLineChars="196"/>
        <w:rPr>
          <w:rFonts w:ascii="宋体" w:eastAsia="宋体" w:hAnsi="宋体" w:cs="Times New Roman"/>
          <w:szCs w:val="21"/>
        </w:rPr>
      </w:pPr>
      <w:r>
        <w:rPr>
          <w:rFonts w:ascii="宋体" w:eastAsia="宋体" w:hAnsi="宋体" w:cs="Times New Roman" w:hint="eastAsia"/>
          <w:szCs w:val="21"/>
        </w:rPr>
        <w:t>注：1、必须按此格式填写，用途是用来发布中标公告时按照中国政府采购网格式公布供应商的主要标的信息。</w:t>
      </w:r>
    </w:p>
    <w:p>
      <w:pPr>
        <w:adjustRightInd w:val="0"/>
        <w:snapToGrid w:val="0"/>
        <w:spacing w:line="360" w:lineRule="auto"/>
        <w:ind w:firstLine="420" w:firstLineChars="200"/>
        <w:rPr>
          <w:rFonts w:ascii="宋体" w:eastAsia="宋体" w:hAnsi="宋体" w:cs="Times New Roman" w:hint="eastAsia"/>
          <w:b/>
          <w:szCs w:val="20"/>
        </w:rPr>
      </w:pPr>
      <w:r>
        <w:rPr>
          <w:rFonts w:ascii="宋体" w:eastAsia="宋体" w:hAnsi="宋体" w:cs="Times New Roman" w:hint="eastAsia"/>
          <w:b/>
          <w:szCs w:val="20"/>
        </w:rPr>
        <w:t xml:space="preserve">    2、</w:t>
      </w:r>
      <w:r>
        <w:rPr>
          <w:rFonts w:ascii="宋体" w:eastAsia="宋体" w:hAnsi="宋体" w:cs="Times New Roman" w:hint="eastAsia"/>
          <w:szCs w:val="21"/>
        </w:rPr>
        <w:t>采购内容不含服务的不提供表二，不含货物购置的不提供表三。</w:t>
      </w: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2.21投标人项目实施和售后服务方案</w:t>
      </w:r>
    </w:p>
    <w:p>
      <w:pPr>
        <w:adjustRightInd w:val="0"/>
        <w:snapToGrid w:val="0"/>
        <w:spacing w:line="360" w:lineRule="auto"/>
        <w:ind w:firstLine="420" w:firstLineChars="200"/>
        <w:rPr>
          <w:rFonts w:ascii="宋体" w:hAnsi="宋体" w:hint="eastAsia"/>
        </w:rPr>
      </w:pPr>
      <w:r>
        <w:rPr>
          <w:rFonts w:ascii="宋体" w:hAnsi="宋体" w:hint="eastAsia"/>
        </w:rPr>
        <w:t>服务方案包括但不限于可能涉及的运行维护、升级更新、备品备件、耗材等后续采购，以及其他相关情况。格式由投标人自拟。</w:t>
      </w:r>
    </w:p>
    <w:p>
      <w:pPr>
        <w:adjustRightInd w:val="0"/>
        <w:snapToGrid w:val="0"/>
        <w:spacing w:line="360" w:lineRule="auto"/>
        <w:ind w:firstLine="420" w:firstLineChars="200"/>
        <w:rPr>
          <w:rFonts w:ascii="宋体" w:eastAsia="宋体" w:hAnsi="宋体" w:cs="Times New Roman"/>
          <w:szCs w:val="20"/>
        </w:rPr>
      </w:pPr>
    </w:p>
    <w:p/>
    <w:p>
      <w:pPr>
        <w:adjustRightInd w:val="0"/>
        <w:snapToGrid w:val="0"/>
        <w:spacing w:line="360" w:lineRule="auto"/>
        <w:ind w:firstLine="420"/>
        <w:outlineLvl w:val="3"/>
        <w:rPr>
          <w:rFonts w:ascii="宋体" w:hAnsi="宋体" w:hint="eastAsia"/>
          <w:b/>
          <w:szCs w:val="21"/>
        </w:rPr>
      </w:pPr>
      <w:r>
        <w:rPr>
          <w:rFonts w:ascii="宋体" w:hAnsi="宋体" w:hint="eastAsia"/>
          <w:b/>
          <w:szCs w:val="21"/>
        </w:rPr>
        <w:t>2.22其他技术文件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hint="eastAsia"/>
          <w:szCs w:val="20"/>
        </w:rPr>
      </w:pPr>
      <w:r>
        <w:rPr>
          <w:rFonts w:ascii="宋体" w:eastAsia="宋体" w:hAnsi="宋体" w:cs="Times New Roman" w:hint="eastAsia"/>
          <w:szCs w:val="20"/>
        </w:rPr>
        <w:t>按照第五章投标人须知专用部分5.13条规定应提交的各种技术文件。如招标文件第七章采购需求等章节中有专门格式要求，按专门格式编写。如无专门格式要求，由投标人自拟格式编写。</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p>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w:t>
      </w:r>
      <w:r>
        <w:rPr>
          <w:rFonts w:ascii="宋体" w:hAnsi="宋体" w:hint="eastAsia"/>
          <w:b/>
          <w:szCs w:val="21"/>
        </w:rPr>
        <w:t>23投标人自行编写的技术文件。</w:t>
      </w:r>
    </w:p>
    <w:p>
      <w:pPr>
        <w:adjustRightInd w:val="0"/>
        <w:snapToGrid w:val="0"/>
        <w:spacing w:line="360" w:lineRule="auto"/>
        <w:ind w:firstLine="412" w:firstLineChars="196"/>
        <w:rPr>
          <w:rFonts w:ascii="宋体" w:eastAsia="宋体" w:hAnsi="宋体" w:cs="Times New Roman"/>
          <w:szCs w:val="20"/>
        </w:rPr>
      </w:pPr>
      <w:r>
        <w:rPr>
          <w:rFonts w:hint="eastAsia"/>
        </w:rPr>
        <w:t>投标</w:t>
      </w:r>
      <w:r>
        <w:rPr>
          <w:rFonts w:ascii="Times New Roman" w:eastAsia="宋体" w:hAnsi="Times New Roman" w:cs="Times New Roman" w:hint="eastAsia"/>
          <w:szCs w:val="20"/>
        </w:rPr>
        <w:t>人</w:t>
      </w:r>
      <w:r>
        <w:rPr>
          <w:rFonts w:ascii="宋体" w:eastAsia="宋体" w:hAnsi="宋体" w:cs="Times New Roman" w:hint="eastAsia"/>
          <w:szCs w:val="20"/>
        </w:rPr>
        <w:t>按</w:t>
      </w:r>
      <w:r>
        <w:rPr>
          <w:rFonts w:ascii="Times New Roman" w:eastAsia="宋体" w:hAnsi="Times New Roman" w:cs="Times New Roman" w:hint="eastAsia"/>
          <w:b/>
          <w:szCs w:val="20"/>
        </w:rPr>
        <w:t>第一章投标人须知通用部分</w:t>
      </w:r>
      <w:r>
        <w:rPr>
          <w:rFonts w:ascii="宋体" w:eastAsia="宋体" w:hAnsi="宋体" w:cs="Times New Roman" w:hint="eastAsia"/>
          <w:szCs w:val="20"/>
        </w:rPr>
        <w:t>以及</w:t>
      </w:r>
      <w:r>
        <w:rPr>
          <w:rFonts w:ascii="Times New Roman" w:eastAsia="宋体" w:hAnsi="Times New Roman" w:cs="Times New Roman" w:hint="eastAsia"/>
          <w:b/>
          <w:szCs w:val="20"/>
        </w:rPr>
        <w:t>第五章投标人须知专用部分</w:t>
      </w:r>
      <w:r>
        <w:rPr>
          <w:rFonts w:ascii="宋体" w:eastAsia="宋体" w:hAnsi="宋体" w:cs="Times New Roman" w:hint="eastAsia"/>
          <w:szCs w:val="20"/>
        </w:rPr>
        <w:t>的规定以及招标文件</w:t>
      </w:r>
      <w:r>
        <w:rPr>
          <w:rFonts w:ascii="Times New Roman" w:eastAsia="宋体" w:hAnsi="Times New Roman" w:cs="Times New Roman" w:hint="eastAsia"/>
          <w:b/>
          <w:bCs/>
          <w:szCs w:val="20"/>
        </w:rPr>
        <w:t>第七章采购需求</w:t>
      </w:r>
      <w:r>
        <w:rPr>
          <w:rFonts w:ascii="宋体" w:eastAsia="宋体" w:hAnsi="宋体" w:cs="Times New Roman" w:hint="eastAsia"/>
          <w:szCs w:val="20"/>
        </w:rPr>
        <w:t>中的要求自行编写，包括投标人认为需要提供的其它说明和资料。详尽、易于理解、评审和富于建设性的技术方案将在评审时具有优势。</w:t>
      </w:r>
    </w:p>
    <w:p>
      <w:pPr>
        <w:adjustRightInd w:val="0"/>
        <w:snapToGrid w:val="0"/>
        <w:spacing w:line="360" w:lineRule="auto"/>
        <w:ind w:firstLine="412" w:firstLineChars="196"/>
        <w:rPr>
          <w:rFonts w:ascii="宋体" w:eastAsia="宋体" w:hAnsi="宋体" w:cs="Times New Roman"/>
          <w:szCs w:val="20"/>
        </w:rPr>
      </w:pPr>
    </w:p>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9"/>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792"/>
        <w:gridCol w:w="58"/>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792"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81" w:type="dxa"/>
            <w:gridSpan w:val="2"/>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4"/>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为本项目提供整体设计、规范编制或者项目管理、监理、检测等服务的供应商，或者未在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rPr>
                <w:rFonts w:ascii="宋体" w:hAnsi="宋体" w:hint="eastAsia"/>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1.3.4</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hint="eastAsia"/>
                <w:sz w:val="18"/>
                <w:szCs w:val="18"/>
                <w:highlight w:val="none"/>
              </w:rPr>
              <w:t>如果不允许联合体投标，则联合体投标将被拒绝。如果允许联合体投标，其投标被拒绝的情形如下：（1）</w:t>
            </w:r>
            <w:r>
              <w:rPr>
                <w:rFonts w:ascii="宋体" w:hAnsi="宋体" w:hint="eastAsia"/>
                <w:sz w:val="18"/>
                <w:szCs w:val="18"/>
                <w:highlight w:val="none"/>
              </w:rPr>
              <w:t>联合体投标文件未附联合体协议的，其投标将被拒绝。</w:t>
            </w:r>
            <w:r>
              <w:rPr>
                <w:rFonts w:hint="eastAsia"/>
                <w:sz w:val="18"/>
                <w:szCs w:val="18"/>
                <w:highlight w:val="none"/>
              </w:rPr>
              <w:t>（2）以联合体形式参加投标的，联合体各方均应当符合《中华人民共和国政府采购法》第二十二条第一款规定的条件。否则，其提交的联合投标将被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w:t>
            </w:r>
            <w:r>
              <w:rPr>
                <w:rFonts w:ascii="宋体" w:hAnsi="宋体"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1.3.7</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bCs/>
                <w:sz w:val="18"/>
                <w:szCs w:val="18"/>
                <w:highlight w:val="none"/>
              </w:rPr>
            </w:pPr>
            <w:r>
              <w:rPr>
                <w:rFonts w:ascii="宋体" w:hAnsi="宋体" w:hint="eastAsia"/>
                <w:bCs/>
                <w:sz w:val="18"/>
                <w:szCs w:val="18"/>
                <w:highlight w:val="none"/>
              </w:rPr>
              <w:t>1.3.8</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1.3.10</w:t>
            </w:r>
          </w:p>
        </w:tc>
        <w:tc>
          <w:tcPr>
            <w:tcW w:w="7723" w:type="dxa"/>
            <w:vAlign w:val="center"/>
          </w:tcPr>
          <w:p>
            <w:pPr>
              <w:pStyle w:val="10"/>
              <w:numPr>
                <w:ilvl w:val="0"/>
                <w:numId w:val="0"/>
              </w:numPr>
              <w:tabs>
                <w:tab w:val="left" w:pos="34"/>
                <w:tab w:val="left" w:pos="709"/>
                <w:tab w:val="left" w:pos="1573"/>
              </w:tabs>
              <w:adjustRightInd w:val="0"/>
              <w:snapToGrid w:val="0"/>
              <w:spacing w:line="360" w:lineRule="auto"/>
              <w:ind w:left="34" w:leftChars="16"/>
              <w:rPr>
                <w:rFonts w:hint="eastAsia"/>
                <w:bCs/>
                <w:sz w:val="18"/>
                <w:szCs w:val="18"/>
                <w:highlight w:val="none"/>
              </w:rPr>
            </w:pPr>
            <w:r>
              <w:rPr>
                <w:rFonts w:hint="eastAsia"/>
                <w:sz w:val="18"/>
                <w:szCs w:val="18"/>
                <w:highlight w:val="none"/>
              </w:rPr>
              <w:t>关于知识产权：（1）在本项目软件开发中，所产生的源代码、执行文件和相关开发文档等知识产权为采购人所有，应按采购人要求及时交付采购人。投标人未经采购人授权不得留存或提供他用。如投标人不同意，则投标将被拒绝。</w:t>
            </w:r>
            <w:r>
              <w:rPr>
                <w:rFonts w:hint="eastAsia"/>
                <w:bCs/>
                <w:sz w:val="18"/>
                <w:szCs w:val="18"/>
                <w:highlight w:val="none"/>
              </w:rPr>
              <w:t>（2）投标人在本项目软件开发中使用第三方软件进行移植、修改和再开发的，应获得第三方软件著作权所有人的授权；如未使用第三方软件进行移植、修改和再开发的，投标人应作出承诺，否则投标将被</w:t>
            </w:r>
            <w:r>
              <w:rPr>
                <w:rFonts w:hint="eastAsia"/>
                <w:b/>
                <w:bCs/>
                <w:sz w:val="18"/>
                <w:szCs w:val="18"/>
                <w:highlight w:val="none"/>
              </w:rPr>
              <w:t>拒绝</w:t>
            </w:r>
            <w:r>
              <w:rPr>
                <w:rFonts w:hint="eastAsia"/>
                <w:bCs/>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关于软件再开发的授权投标：（1）投标人开发本项目招标的软件时，若对其拥有全部著作权的软件进行移植、修改、再开发的，则不得再授权他人对该软件进行移植、修改、再开发并参加本项目的投标。否则</w:t>
            </w:r>
            <w:r>
              <w:rPr>
                <w:rFonts w:ascii="宋体" w:hAnsi="宋体"/>
                <w:sz w:val="18"/>
                <w:szCs w:val="18"/>
                <w:highlight w:val="none"/>
              </w:rPr>
              <w:t>仅接受该</w:t>
            </w:r>
            <w:r>
              <w:rPr>
                <w:rFonts w:ascii="宋体" w:hAnsi="宋体" w:hint="eastAsia"/>
                <w:sz w:val="18"/>
                <w:szCs w:val="18"/>
                <w:highlight w:val="none"/>
              </w:rPr>
              <w:t>投标人</w:t>
            </w:r>
            <w:r>
              <w:rPr>
                <w:rFonts w:ascii="宋体" w:hAnsi="宋体"/>
                <w:sz w:val="18"/>
                <w:szCs w:val="18"/>
                <w:highlight w:val="none"/>
              </w:rPr>
              <w:t>的投标，</w:t>
            </w:r>
            <w:r>
              <w:rPr>
                <w:rFonts w:ascii="宋体" w:hAnsi="宋体" w:hint="eastAsia"/>
                <w:sz w:val="18"/>
                <w:szCs w:val="18"/>
                <w:highlight w:val="none"/>
              </w:rPr>
              <w:t>被</w:t>
            </w:r>
            <w:r>
              <w:rPr>
                <w:rFonts w:ascii="宋体" w:hAnsi="宋体"/>
                <w:sz w:val="18"/>
                <w:szCs w:val="18"/>
                <w:highlight w:val="none"/>
              </w:rPr>
              <w:t>授权</w:t>
            </w:r>
            <w:r>
              <w:rPr>
                <w:rFonts w:ascii="宋体" w:hAnsi="宋体" w:hint="eastAsia"/>
                <w:sz w:val="18"/>
                <w:szCs w:val="18"/>
                <w:highlight w:val="none"/>
              </w:rPr>
              <w:t>人的</w:t>
            </w:r>
            <w:r>
              <w:rPr>
                <w:rFonts w:ascii="宋体" w:hAnsi="宋体"/>
                <w:sz w:val="18"/>
                <w:szCs w:val="18"/>
                <w:highlight w:val="none"/>
              </w:rPr>
              <w:t>投标将被</w:t>
            </w:r>
            <w:r>
              <w:rPr>
                <w:rFonts w:ascii="宋体" w:hAnsi="宋体"/>
                <w:b/>
                <w:sz w:val="18"/>
                <w:szCs w:val="18"/>
                <w:highlight w:val="none"/>
              </w:rPr>
              <w:t>拒绝</w:t>
            </w:r>
            <w:r>
              <w:rPr>
                <w:rFonts w:ascii="宋体" w:hAnsi="宋体" w:hint="eastAsia"/>
                <w:sz w:val="18"/>
                <w:szCs w:val="18"/>
                <w:highlight w:val="none"/>
              </w:rPr>
              <w:t>。（2）除</w:t>
            </w:r>
            <w:r>
              <w:rPr>
                <w:rFonts w:ascii="宋体" w:hAnsi="宋体" w:hint="eastAsia"/>
                <w:b/>
                <w:bCs/>
                <w:sz w:val="18"/>
                <w:szCs w:val="18"/>
                <w:highlight w:val="none"/>
              </w:rPr>
              <w:t>第五章投标人须知专用部分</w:t>
            </w:r>
            <w:r>
              <w:rPr>
                <w:rFonts w:ascii="宋体" w:hAnsi="宋体" w:hint="eastAsia"/>
                <w:bCs/>
                <w:sz w:val="18"/>
                <w:szCs w:val="18"/>
                <w:highlight w:val="none"/>
              </w:rPr>
              <w:t>另有约定外，拥有第三方软件著作权的所有</w:t>
            </w:r>
            <w:r>
              <w:rPr>
                <w:rFonts w:ascii="宋体" w:hAnsi="宋体" w:hint="eastAsia"/>
                <w:sz w:val="18"/>
                <w:szCs w:val="18"/>
                <w:highlight w:val="none"/>
              </w:rPr>
              <w:t>第三方，只能授权同一个投标人在开发本项目招标的软件时，对该第三方软件进行移植、修改、再开发，否则被授权的所有投标人的投标将全部被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1.3.12</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投标人应具备完成本项目软件开发的所必需的软件、硬件设施资源及场地，完善的备份恢复措施和应急管理体系，健全的内部控制、保密和管理制度。否则投标将被</w:t>
            </w:r>
            <w:r>
              <w:rPr>
                <w:rFonts w:ascii="宋体" w:hAnsi="宋体"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1.3.13</w:t>
            </w:r>
          </w:p>
        </w:tc>
        <w:tc>
          <w:tcPr>
            <w:tcW w:w="7723" w:type="dxa"/>
            <w:vAlign w:val="center"/>
          </w:tcPr>
          <w:p>
            <w:pPr>
              <w:tabs>
                <w:tab w:val="left" w:pos="1573"/>
              </w:tabs>
              <w:adjustRightInd w:val="0"/>
              <w:snapToGrid w:val="0"/>
              <w:spacing w:line="360" w:lineRule="auto"/>
              <w:rPr>
                <w:rFonts w:ascii="宋体" w:hAnsi="宋体" w:hint="eastAsia"/>
                <w:bCs/>
                <w:sz w:val="18"/>
                <w:szCs w:val="18"/>
                <w:highlight w:val="none"/>
              </w:rPr>
            </w:pPr>
            <w:r>
              <w:rPr>
                <w:rFonts w:ascii="宋体" w:hAnsi="宋体" w:hint="eastAsia"/>
                <w:sz w:val="18"/>
                <w:szCs w:val="18"/>
                <w:highlight w:val="none"/>
              </w:rPr>
              <w:t>本项目如不需要驻场服务，则投标人应符合以下条件，否则投标将被</w:t>
            </w:r>
            <w:r>
              <w:rPr>
                <w:rFonts w:ascii="宋体" w:hAnsi="宋体" w:hint="eastAsia"/>
                <w:b/>
                <w:sz w:val="18"/>
                <w:szCs w:val="18"/>
                <w:highlight w:val="none"/>
              </w:rPr>
              <w:t>拒绝</w:t>
            </w:r>
            <w:r>
              <w:rPr>
                <w:rFonts w:ascii="宋体" w:hAnsi="宋体" w:hint="eastAsia"/>
                <w:sz w:val="18"/>
                <w:szCs w:val="18"/>
                <w:highlight w:val="none"/>
              </w:rPr>
              <w:t>：</w:t>
            </w:r>
            <w:r>
              <w:rPr>
                <w:rFonts w:ascii="宋体" w:hAnsi="宋体" w:hint="eastAsia"/>
                <w:sz w:val="18"/>
                <w:szCs w:val="18"/>
                <w:highlight w:val="none"/>
              </w:rPr>
              <w:t>①</w:t>
            </w:r>
            <w:r>
              <w:rPr>
                <w:rFonts w:ascii="宋体" w:hAnsi="宋体" w:hint="eastAsia"/>
                <w:sz w:val="18"/>
                <w:szCs w:val="18"/>
                <w:highlight w:val="none"/>
              </w:rPr>
              <w:t>用于本项目的设施、系统和数据与其他项目有明确、清晰的边界；</w:t>
            </w:r>
            <w:r>
              <w:rPr>
                <w:rFonts w:ascii="宋体" w:hAnsi="宋体" w:hint="eastAsia"/>
                <w:sz w:val="18"/>
                <w:szCs w:val="18"/>
                <w:highlight w:val="none"/>
              </w:rPr>
              <w:t>②</w:t>
            </w:r>
            <w:r>
              <w:rPr>
                <w:rFonts w:ascii="宋体" w:hAnsi="宋体" w:hint="eastAsia"/>
                <w:sz w:val="18"/>
                <w:szCs w:val="18"/>
                <w:highlight w:val="none"/>
              </w:rPr>
              <w:t>用于本项目的服务器</w:t>
            </w:r>
            <w:r>
              <w:rPr>
                <w:rFonts w:ascii="宋体" w:hAnsi="宋体" w:hint="eastAsia"/>
                <w:spacing w:val="-34"/>
                <w:sz w:val="18"/>
                <w:szCs w:val="18"/>
                <w:highlight w:val="none"/>
              </w:rPr>
              <w:t>、</w:t>
            </w:r>
            <w:r>
              <w:rPr>
                <w:rFonts w:ascii="宋体" w:hAnsi="宋体" w:hint="eastAsia"/>
                <w:sz w:val="18"/>
                <w:szCs w:val="18"/>
                <w:highlight w:val="none"/>
              </w:rPr>
              <w:t>存储</w:t>
            </w:r>
            <w:r>
              <w:rPr>
                <w:rFonts w:ascii="宋体" w:hAnsi="宋体" w:hint="eastAsia"/>
                <w:spacing w:val="-34"/>
                <w:sz w:val="18"/>
                <w:szCs w:val="18"/>
                <w:highlight w:val="none"/>
              </w:rPr>
              <w:t>、</w:t>
            </w:r>
            <w:r>
              <w:rPr>
                <w:rFonts w:ascii="宋体" w:hAnsi="宋体" w:hint="eastAsia"/>
                <w:sz w:val="18"/>
                <w:szCs w:val="18"/>
                <w:highlight w:val="none"/>
              </w:rPr>
              <w:t>网络设备、操作系统</w:t>
            </w:r>
            <w:r>
              <w:rPr>
                <w:rFonts w:ascii="宋体" w:hAnsi="宋体" w:hint="eastAsia"/>
                <w:spacing w:val="-20"/>
                <w:sz w:val="18"/>
                <w:szCs w:val="18"/>
                <w:highlight w:val="none"/>
              </w:rPr>
              <w:t>、</w:t>
            </w:r>
            <w:r>
              <w:rPr>
                <w:rFonts w:ascii="宋体" w:hAnsi="宋体" w:hint="eastAsia"/>
                <w:sz w:val="18"/>
                <w:szCs w:val="18"/>
                <w:highlight w:val="none"/>
              </w:rPr>
              <w:t>数据库</w:t>
            </w:r>
            <w:r>
              <w:rPr>
                <w:rFonts w:ascii="宋体" w:hAnsi="宋体" w:hint="eastAsia"/>
                <w:spacing w:val="-20"/>
                <w:sz w:val="18"/>
                <w:szCs w:val="18"/>
                <w:highlight w:val="none"/>
              </w:rPr>
              <w:t>、</w:t>
            </w:r>
            <w:r>
              <w:rPr>
                <w:rFonts w:ascii="宋体" w:hAnsi="宋体" w:hint="eastAsia"/>
                <w:sz w:val="18"/>
                <w:szCs w:val="18"/>
                <w:highlight w:val="none"/>
              </w:rPr>
              <w:t>中间件等软</w:t>
            </w:r>
            <w:r>
              <w:rPr>
                <w:rFonts w:ascii="宋体" w:hAnsi="宋体" w:hint="eastAsia"/>
                <w:spacing w:val="-20"/>
                <w:sz w:val="18"/>
                <w:szCs w:val="18"/>
                <w:highlight w:val="none"/>
              </w:rPr>
              <w:t>、</w:t>
            </w:r>
            <w:r>
              <w:rPr>
                <w:rFonts w:ascii="宋体" w:hAnsi="宋体" w:hint="eastAsia"/>
                <w:sz w:val="18"/>
                <w:szCs w:val="18"/>
                <w:highlight w:val="none"/>
              </w:rPr>
              <w:t>硬件设施具有最高管理权限；</w:t>
            </w:r>
            <w:r>
              <w:rPr>
                <w:rFonts w:ascii="宋体" w:hAnsi="宋体" w:hint="eastAsia"/>
                <w:sz w:val="18"/>
                <w:szCs w:val="18"/>
                <w:highlight w:val="none"/>
              </w:rPr>
              <w:t>③</w:t>
            </w:r>
            <w:r>
              <w:rPr>
                <w:rFonts w:ascii="宋体" w:hAnsi="宋体" w:hint="eastAsia"/>
                <w:sz w:val="18"/>
                <w:szCs w:val="18"/>
                <w:highlight w:val="none"/>
              </w:rPr>
              <w:t>具有防止数据泄露的管理和技术措施；</w:t>
            </w:r>
            <w:r>
              <w:rPr>
                <w:rFonts w:ascii="宋体" w:hAnsi="宋体" w:hint="eastAsia"/>
                <w:sz w:val="18"/>
                <w:szCs w:val="18"/>
                <w:highlight w:val="none"/>
              </w:rPr>
              <w:t>④</w:t>
            </w:r>
            <w:r>
              <w:rPr>
                <w:rFonts w:ascii="宋体" w:hAnsi="宋体" w:hint="eastAsia"/>
                <w:sz w:val="18"/>
                <w:szCs w:val="18"/>
                <w:highlight w:val="none"/>
              </w:rPr>
              <w:t>不存在规避监管的情形。</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1573"/>
              </w:tabs>
              <w:adjustRightInd w:val="0"/>
              <w:snapToGrid w:val="0"/>
              <w:spacing w:line="360" w:lineRule="auto"/>
              <w:rPr>
                <w:rFonts w:ascii="宋体" w:hAnsi="宋体" w:hint="eastAsia"/>
                <w:sz w:val="18"/>
                <w:szCs w:val="18"/>
                <w:highlight w:val="none"/>
              </w:rPr>
            </w:pPr>
            <w:r>
              <w:rPr>
                <w:rFonts w:ascii="宋体" w:hAnsi="宋体" w:hint="eastAsia"/>
                <w:bCs/>
                <w:sz w:val="18"/>
                <w:szCs w:val="18"/>
                <w:highlight w:val="none"/>
              </w:rPr>
              <w:t>如需要组成专门的服务团队，</w:t>
            </w:r>
            <w:r>
              <w:rPr>
                <w:rFonts w:ascii="宋体" w:hAnsi="宋体" w:hint="eastAsia"/>
                <w:sz w:val="18"/>
                <w:szCs w:val="18"/>
                <w:highlight w:val="none"/>
              </w:rPr>
              <w:t>投标人不能组成服务团队的，投标将被</w:t>
            </w:r>
            <w:r>
              <w:rPr>
                <w:rFonts w:ascii="宋体" w:hAnsi="宋体" w:hint="eastAsia"/>
                <w:b/>
                <w:sz w:val="18"/>
                <w:szCs w:val="18"/>
                <w:highlight w:val="none"/>
              </w:rPr>
              <w:t>拒绝</w:t>
            </w:r>
            <w:r>
              <w:rPr>
                <w:rFonts w:ascii="宋体" w:hAnsi="宋体" w:hint="eastAsia"/>
                <w:sz w:val="18"/>
                <w:szCs w:val="18"/>
                <w:highlight w:val="none"/>
              </w:rPr>
              <w:t>；如服务团队人数以及人员的能力、资质等不符合采购文件要求的，将可能导致评审时被扣除相关分数直至投标被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1.4.3</w:t>
            </w:r>
          </w:p>
        </w:tc>
        <w:tc>
          <w:tcPr>
            <w:tcW w:w="7723" w:type="dxa"/>
            <w:vAlign w:val="center"/>
          </w:tcPr>
          <w:p>
            <w:pPr>
              <w:tabs>
                <w:tab w:val="left" w:pos="1573"/>
              </w:tabs>
              <w:adjustRightInd w:val="0"/>
              <w:snapToGrid w:val="0"/>
              <w:spacing w:line="360" w:lineRule="auto"/>
              <w:rPr>
                <w:rFonts w:hint="eastAsia"/>
                <w:sz w:val="18"/>
                <w:szCs w:val="18"/>
                <w:highlight w:val="none"/>
              </w:rPr>
            </w:pPr>
            <w:r>
              <w:rPr>
                <w:rFonts w:ascii="宋体" w:hAnsi="宋体" w:hint="eastAsia"/>
                <w:sz w:val="18"/>
                <w:szCs w:val="18"/>
                <w:highlight w:val="none"/>
              </w:rPr>
              <w:t>如需要驻场服务，但投标人不能提供驻场服务的，投标将被</w:t>
            </w:r>
            <w:r>
              <w:rPr>
                <w:rFonts w:ascii="宋体" w:hAnsi="宋体" w:hint="eastAsia"/>
                <w:b/>
                <w:sz w:val="18"/>
                <w:szCs w:val="18"/>
                <w:highlight w:val="none"/>
              </w:rPr>
              <w:t>拒绝</w:t>
            </w:r>
            <w:r>
              <w:rPr>
                <w:rFonts w:ascii="宋体" w:hAnsi="宋体" w:hint="eastAsia"/>
                <w:sz w:val="18"/>
                <w:szCs w:val="18"/>
                <w:highlight w:val="none"/>
              </w:rPr>
              <w:t>；如驻场服务人数、专业水平等不符合采购文件要求的，将可能导致评审时被扣除相关分数直至投标被</w:t>
            </w:r>
            <w:r>
              <w:rPr>
                <w:rFonts w:ascii="宋体" w:hAnsi="宋体" w:hint="eastAsia"/>
                <w:b/>
                <w:sz w:val="18"/>
                <w:szCs w:val="18"/>
                <w:highlight w:val="none"/>
              </w:rPr>
              <w:t>拒绝</w:t>
            </w:r>
            <w:r>
              <w:rPr>
                <w:rFonts w:ascii="宋体" w:hAnsi="宋体" w:hint="eastAsia"/>
                <w:sz w:val="18"/>
                <w:szCs w:val="18"/>
                <w:highlight w:val="none"/>
              </w:rPr>
              <w:t>（被拒绝投标的情形见</w:t>
            </w:r>
            <w:r>
              <w:rPr>
                <w:rFonts w:ascii="宋体" w:hAnsi="宋体" w:hint="eastAsia"/>
                <w:b/>
                <w:sz w:val="18"/>
                <w:szCs w:val="18"/>
                <w:highlight w:val="none"/>
              </w:rPr>
              <w:t>第八章</w:t>
            </w:r>
            <w:r>
              <w:rPr>
                <w:rFonts w:hint="eastAsia"/>
                <w:b/>
                <w:sz w:val="18"/>
                <w:szCs w:val="18"/>
                <w:highlight w:val="none"/>
              </w:rPr>
              <w:t>投标被拒绝条款专用部分</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1.5.1</w:t>
            </w:r>
          </w:p>
        </w:tc>
        <w:tc>
          <w:tcPr>
            <w:tcW w:w="7723" w:type="dxa"/>
            <w:vAlign w:val="center"/>
          </w:tcPr>
          <w:p>
            <w:pPr>
              <w:tabs>
                <w:tab w:val="left" w:pos="8460"/>
              </w:tabs>
              <w:adjustRightInd w:val="0"/>
              <w:snapToGrid w:val="0"/>
              <w:spacing w:line="360" w:lineRule="auto"/>
              <w:jc w:val="left"/>
              <w:rPr>
                <w:rFonts w:ascii="宋体" w:hAnsi="宋体" w:hint="eastAsia"/>
                <w:kern w:val="0"/>
                <w:szCs w:val="21"/>
                <w:highlight w:val="none"/>
              </w:rPr>
            </w:pPr>
            <w:r>
              <w:rPr>
                <w:rFonts w:ascii="宋体" w:hAnsi="宋体" w:hint="eastAsia"/>
                <w:sz w:val="18"/>
                <w:szCs w:val="18"/>
                <w:highlight w:val="none"/>
              </w:rPr>
              <w:t>如本次采购内容包括货物，且</w:t>
            </w: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1.5.2</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如本次采购内容包括货物，且</w:t>
            </w:r>
            <w:r>
              <w:rPr>
                <w:rFonts w:hint="eastAsia"/>
                <w:sz w:val="18"/>
                <w:szCs w:val="18"/>
                <w:highlight w:val="none"/>
              </w:rPr>
              <w:t>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如本次采购内容包括货物，是否允许进口产品投标，见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5.7条有关进口产品投标要求的，投标将被拒绝。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sz w:val="18"/>
                <w:szCs w:val="18"/>
                <w:highlight w:val="none"/>
              </w:rPr>
              <w:t>如本次采购内容包括货物，</w:t>
            </w:r>
            <w:r>
              <w:rPr>
                <w:rFonts w:hint="eastAsia"/>
                <w:bCs/>
                <w:sz w:val="18"/>
                <w:szCs w:val="18"/>
                <w:highlight w:val="none"/>
              </w:rPr>
              <w:t>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第五章投标人须知专用部分5.7条</w:t>
            </w:r>
            <w:r>
              <w:rPr>
                <w:rFonts w:hint="eastAsia"/>
                <w:sz w:val="18"/>
                <w:szCs w:val="18"/>
                <w:highlight w:val="none"/>
              </w:rPr>
              <w:t>有关代理商投标要求，以及进口产品代理商未按</w:t>
            </w:r>
            <w:r>
              <w:rPr>
                <w:rFonts w:hint="eastAsia"/>
                <w:b/>
                <w:sz w:val="18"/>
                <w:szCs w:val="18"/>
                <w:highlight w:val="none"/>
              </w:rPr>
              <w:t>第五章投标人须知专用部分5.8条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1.5.5</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bCs/>
                <w:sz w:val="18"/>
                <w:szCs w:val="18"/>
                <w:highlight w:val="none"/>
              </w:rPr>
            </w:pPr>
            <w:r>
              <w:rPr>
                <w:rFonts w:ascii="宋体" w:hAnsi="宋体" w:hint="eastAsia"/>
                <w:bCs/>
                <w:sz w:val="18"/>
                <w:szCs w:val="18"/>
                <w:highlight w:val="none"/>
              </w:rPr>
              <w:t>1.6.3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gridSpan w:val="2"/>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ind w:firstLine="720" w:firstLineChars="400"/>
              <w:jc w:val="left"/>
              <w:rPr>
                <w:rFonts w:ascii="宋体" w:hAnsi="宋体"/>
                <w:bCs/>
                <w:highlight w:val="none"/>
              </w:rPr>
            </w:pPr>
            <w:r>
              <w:rPr>
                <w:rFonts w:ascii="宋体" w:hAnsi="宋体" w:hint="eastAsia"/>
                <w:sz w:val="18"/>
                <w:szCs w:val="18"/>
                <w:highlight w:val="none"/>
              </w:rPr>
              <w:t>投标人未提交全以下商务文件（特别说明除外）：（1）法定代表人身份证明或授权委托书；（2）投标函；（3）资格、资信证明文件：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ascii="宋体" w:hAnsi="宋体"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以投标截止日为基准日，近一年内任何完税凭证或税务部门出具的税收减免证明；</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ascii="宋体" w:hAnsi="宋体" w:hint="eastAsia"/>
                <w:sz w:val="18"/>
                <w:szCs w:val="18"/>
                <w:highlight w:val="none"/>
              </w:rPr>
              <w:t>④</w:t>
            </w:r>
            <w:r>
              <w:rPr>
                <w:rFonts w:ascii="宋体" w:hAnsi="宋体" w:hint="eastAsia"/>
                <w:sz w:val="18"/>
                <w:szCs w:val="18"/>
                <w:highlight w:val="none"/>
              </w:rPr>
              <w:t>财务状况证明；</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ascii="宋体" w:hAnsi="宋体" w:hint="eastAsia"/>
                <w:sz w:val="18"/>
                <w:szCs w:val="18"/>
                <w:highlight w:val="none"/>
              </w:rPr>
              <w:t>⑥</w:t>
            </w:r>
            <w:r>
              <w:rPr>
                <w:rFonts w:ascii="宋体" w:hAnsi="宋体" w:hint="eastAsia"/>
                <w:sz w:val="18"/>
                <w:szCs w:val="18"/>
                <w:highlight w:val="none"/>
              </w:rPr>
              <w:t>不使用第三方软件移植承诺书或</w:t>
            </w:r>
            <w:r>
              <w:rPr>
                <w:rFonts w:ascii="宋体" w:hAnsi="宋体" w:hint="eastAsia"/>
                <w:bCs/>
                <w:sz w:val="18"/>
                <w:szCs w:val="18"/>
                <w:highlight w:val="none"/>
              </w:rPr>
              <w:t>软件移植授权书（开发本项目招标的软件，如不使用第三方软件进行移植、修改和再开发的，应提供《</w:t>
            </w:r>
            <w:r>
              <w:rPr>
                <w:rFonts w:ascii="宋体" w:hAnsi="宋体" w:hint="eastAsia"/>
                <w:sz w:val="18"/>
                <w:szCs w:val="18"/>
                <w:highlight w:val="none"/>
              </w:rPr>
              <w:t>不使用第三方软件移植承诺书》，</w:t>
            </w:r>
            <w:r>
              <w:rPr>
                <w:rFonts w:ascii="宋体" w:hAnsi="宋体" w:hint="eastAsia"/>
                <w:bCs/>
                <w:sz w:val="18"/>
                <w:szCs w:val="18"/>
                <w:highlight w:val="none"/>
              </w:rPr>
              <w:t>如使用则应提供《软件移植授权书</w:t>
            </w:r>
            <w:r>
              <w:rPr>
                <w:rFonts w:ascii="宋体" w:hAnsi="宋体" w:hint="eastAsia"/>
                <w:sz w:val="18"/>
                <w:szCs w:val="18"/>
                <w:highlight w:val="none"/>
              </w:rPr>
              <w:t>》</w:t>
            </w:r>
            <w:r>
              <w:rPr>
                <w:rFonts w:ascii="宋体" w:hAnsi="宋体" w:hint="eastAsia"/>
                <w:bCs/>
                <w:sz w:val="18"/>
                <w:szCs w:val="18"/>
                <w:highlight w:val="none"/>
              </w:rPr>
              <w:t>）；</w:t>
            </w:r>
            <w:r>
              <w:rPr>
                <w:rFonts w:ascii="宋体" w:hAnsi="宋体" w:hint="eastAsia"/>
                <w:sz w:val="18"/>
                <w:szCs w:val="18"/>
                <w:highlight w:val="none"/>
              </w:rPr>
              <w:t>⑦</w:t>
            </w:r>
            <w:r>
              <w:rPr>
                <w:rFonts w:ascii="宋体" w:hAnsi="宋体" w:hint="eastAsia"/>
                <w:bCs/>
                <w:sz w:val="18"/>
                <w:szCs w:val="18"/>
                <w:highlight w:val="none"/>
              </w:rPr>
              <w:t>投标货物的《</w:t>
            </w:r>
            <w:r>
              <w:rPr>
                <w:rFonts w:ascii="宋体" w:hAnsi="宋体" w:hint="eastAsia"/>
                <w:sz w:val="18"/>
                <w:szCs w:val="18"/>
                <w:highlight w:val="none"/>
              </w:rPr>
              <w:t>气象专用技术装备使用许可证》（如本次采购内容不包括货物，或者投标货物不必须取得《气象专用技术装备使用许可证》的，可以不提供）；</w:t>
            </w:r>
            <w:r>
              <w:rPr>
                <w:rFonts w:ascii="宋体" w:hAnsi="宋体" w:hint="eastAsia"/>
                <w:bCs/>
                <w:sz w:val="18"/>
                <w:szCs w:val="18"/>
                <w:highlight w:val="none"/>
              </w:rPr>
              <w:t>⑧</w:t>
            </w:r>
            <w:r>
              <w:rPr>
                <w:rFonts w:ascii="宋体" w:hAnsi="宋体" w:hint="eastAsia"/>
                <w:bCs/>
                <w:sz w:val="18"/>
                <w:szCs w:val="18"/>
                <w:highlight w:val="none"/>
              </w:rPr>
              <w:t>进口产品制造商授权书（投标货物不是进口产品的，不提供）；</w:t>
            </w:r>
            <w:r>
              <w:rPr>
                <w:rFonts w:ascii="宋体" w:hAnsi="宋体" w:hint="eastAsia"/>
                <w:sz w:val="18"/>
                <w:szCs w:val="18"/>
                <w:highlight w:val="none"/>
              </w:rPr>
              <w:t>⑨</w:t>
            </w:r>
            <w:r>
              <w:rPr>
                <w:rFonts w:ascii="宋体" w:hAnsi="宋体" w:hint="eastAsia"/>
                <w:bCs/>
                <w:sz w:val="18"/>
                <w:szCs w:val="18"/>
                <w:highlight w:val="none"/>
              </w:rPr>
              <w:t>中小</w:t>
            </w:r>
            <w:r>
              <w:rPr>
                <w:rFonts w:ascii="宋体" w:hAnsi="宋体"/>
                <w:bCs/>
                <w:sz w:val="18"/>
                <w:szCs w:val="18"/>
                <w:highlight w:val="none"/>
              </w:rPr>
              <w:t>企业声明函</w:t>
            </w:r>
            <w:r>
              <w:rPr>
                <w:rFonts w:ascii="宋体" w:hAnsi="宋体" w:hint="eastAsia"/>
                <w:bCs/>
                <w:sz w:val="18"/>
                <w:szCs w:val="18"/>
                <w:highlight w:val="none"/>
              </w:rPr>
              <w:t>或残疾人福利性单位声明函或监狱企业证明文件（不是预留采购份额面向中小企业采购的项目，可以不提供，但不能享受可能的价格扣除优惠）；</w:t>
            </w:r>
            <w:r>
              <w:rPr>
                <w:rFonts w:ascii="宋体" w:hAnsi="宋体" w:hint="eastAsia"/>
                <w:sz w:val="18"/>
                <w:szCs w:val="18"/>
                <w:highlight w:val="none"/>
              </w:rPr>
              <w:t>⑩</w:t>
            </w:r>
            <w:r>
              <w:rPr>
                <w:rFonts w:ascii="宋体" w:hAnsi="宋体" w:hint="eastAsia"/>
                <w:sz w:val="18"/>
                <w:szCs w:val="18"/>
                <w:highlight w:val="none"/>
              </w:rPr>
              <w:t>联合体协议（如有）</w:t>
            </w:r>
            <w:r>
              <w:rPr>
                <w:rFonts w:ascii="宋体" w:hAnsi="宋体" w:hint="eastAsia"/>
                <w:bCs/>
                <w:sz w:val="18"/>
                <w:szCs w:val="18"/>
                <w:highlight w:val="none"/>
              </w:rPr>
              <w:t>；</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11</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分包意向协议（如有）；</w:t>
            </w:r>
            <w:r>
              <w:rPr>
                <w:rFonts w:ascii="宋体" w:hAnsi="宋体"/>
                <w:bCs/>
                <w:sz w:val="18"/>
                <w:szCs w:val="18"/>
                <w:highlight w:val="none"/>
              </w:rPr>
              <w:fldChar w:fldCharType="begin"/>
            </w:r>
            <w:r>
              <w:rPr>
                <w:rFonts w:ascii="宋体" w:hAnsi="宋体"/>
                <w:bCs/>
                <w:sz w:val="18"/>
                <w:szCs w:val="18"/>
                <w:highlight w:val="none"/>
              </w:rPr>
              <w:instrText xml:space="preserve"> </w:instrText>
            </w:r>
            <w:r>
              <w:rPr>
                <w:rFonts w:ascii="宋体" w:hAnsi="宋体" w:hint="eastAsia"/>
                <w:bCs/>
                <w:sz w:val="18"/>
                <w:szCs w:val="18"/>
                <w:highlight w:val="none"/>
              </w:rPr>
              <w:instrText>eq \o\ac(</w:instrText>
            </w:r>
            <w:r>
              <w:rPr>
                <w:rFonts w:ascii="宋体" w:hAnsi="宋体" w:hint="eastAsia"/>
                <w:bCs/>
                <w:sz w:val="18"/>
                <w:szCs w:val="18"/>
                <w:highlight w:val="none"/>
              </w:rPr>
              <w:instrText>○</w:instrText>
            </w:r>
            <w:r>
              <w:rPr>
                <w:rFonts w:ascii="宋体" w:hAnsi="宋体" w:hint="eastAsia"/>
                <w:bCs/>
                <w:sz w:val="18"/>
                <w:szCs w:val="18"/>
                <w:highlight w:val="none"/>
              </w:rPr>
              <w:instrText>,</w:instrText>
            </w:r>
            <w:r>
              <w:rPr>
                <w:rFonts w:ascii="宋体" w:hAnsi="宋体" w:hint="eastAsia"/>
                <w:bCs/>
                <w:position w:val="2"/>
                <w:sz w:val="12"/>
                <w:szCs w:val="18"/>
                <w:highlight w:val="none"/>
              </w:rPr>
              <w:instrText>12</w:instrText>
            </w:r>
            <w:r>
              <w:rPr>
                <w:rFonts w:ascii="宋体" w:hAnsi="宋体" w:hint="eastAsia"/>
                <w:bCs/>
                <w:sz w:val="18"/>
                <w:szCs w:val="18"/>
                <w:highlight w:val="none"/>
              </w:rPr>
              <w:instrText>)</w:instrText>
            </w:r>
            <w:r>
              <w:rPr>
                <w:rFonts w:ascii="宋体" w:hAnsi="宋体"/>
                <w:bCs/>
                <w:sz w:val="18"/>
                <w:szCs w:val="18"/>
                <w:highlight w:val="none"/>
              </w:rPr>
              <w:fldChar w:fldCharType="separate"/>
            </w:r>
            <w:r>
              <w:rPr>
                <w:rFonts w:ascii="宋体" w:hAnsi="宋体"/>
                <w:bCs/>
                <w:sz w:val="18"/>
                <w:szCs w:val="18"/>
                <w:highlight w:val="none"/>
              </w:rPr>
              <w:fldChar w:fldCharType="end"/>
            </w:r>
            <w:r>
              <w:rPr>
                <w:rFonts w:ascii="宋体" w:hAnsi="宋体" w:hint="eastAsia"/>
                <w:sz w:val="18"/>
                <w:szCs w:val="18"/>
                <w:highlight w:val="none"/>
              </w:rPr>
              <w:t>按照</w:t>
            </w:r>
            <w:r>
              <w:rPr>
                <w:rFonts w:ascii="宋体" w:hAnsi="宋体" w:hint="eastAsia"/>
                <w:b/>
                <w:sz w:val="18"/>
                <w:szCs w:val="18"/>
                <w:highlight w:val="none"/>
              </w:rPr>
              <w:t>第五章投标人须知专用部分5.2条</w:t>
            </w:r>
            <w:r>
              <w:rPr>
                <w:rFonts w:ascii="宋体" w:hAnsi="宋体" w:hint="eastAsia"/>
                <w:sz w:val="18"/>
                <w:szCs w:val="18"/>
                <w:highlight w:val="none"/>
              </w:rPr>
              <w:t>规定应提交的特殊资质条件证明文件。（4）银行保函或投标保证金说明函（本项目不要求提交投标保证金的不提供）。（5）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tabs>
                <w:tab w:val="left" w:pos="900"/>
                <w:tab w:val="left" w:pos="558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未提交全以下技术文件（特别说明除外）：1、开标一览表；2、分项报价表；3、服务团队人员基本情况表（如未要求组成专门的服务团队的，不提供）；4、技术要求偏离表；5、按照第五章投标人须知专用部分5.13条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投标文件的盖章、签字等签署要求见1.2.9条。其中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rPr>
                <w:rFonts w:ascii="宋体" w:hAnsi="宋体"/>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4"/>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sz w:val="18"/>
                <w:szCs w:val="18"/>
                <w:highlight w:val="none"/>
              </w:rPr>
            </w:pPr>
            <w:r>
              <w:rPr>
                <w:rFonts w:ascii="宋体" w:hAnsi="宋体" w:hint="eastAsia"/>
                <w:sz w:val="18"/>
                <w:szCs w:val="18"/>
                <w:highlight w:val="none"/>
              </w:rPr>
              <w:t>2.11.5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2.11.7</w:t>
            </w:r>
          </w:p>
        </w:tc>
        <w:tc>
          <w:tcPr>
            <w:tcW w:w="7723" w:type="dxa"/>
            <w:vAlign w:val="center"/>
          </w:tcPr>
          <w:p>
            <w:pPr>
              <w:tabs>
                <w:tab w:val="left" w:pos="1573"/>
              </w:tabs>
              <w:adjustRightInd w:val="0"/>
              <w:snapToGrid w:val="0"/>
              <w:spacing w:line="360" w:lineRule="auto"/>
              <w:outlineLvl w:val="4"/>
              <w:rPr>
                <w:rFonts w:ascii="宋体" w:hAnsi="宋体" w:hint="eastAsia"/>
                <w:b/>
                <w:sz w:val="18"/>
                <w:szCs w:val="18"/>
                <w:highlight w:val="none"/>
              </w:rPr>
            </w:pPr>
            <w:r>
              <w:rPr>
                <w:rFonts w:ascii="宋体" w:hAnsi="宋体" w:hint="eastAsia"/>
                <w:b/>
                <w:sz w:val="18"/>
                <w:szCs w:val="18"/>
                <w:highlight w:val="none"/>
              </w:rPr>
              <w:t>不使用第三方软件移植承诺书。</w:t>
            </w:r>
            <w:r>
              <w:rPr>
                <w:rFonts w:ascii="宋体" w:hAnsi="宋体" w:hint="eastAsia"/>
                <w:sz w:val="18"/>
                <w:szCs w:val="18"/>
                <w:highlight w:val="none"/>
              </w:rPr>
              <w:t>在本项目的软件开发中，不使用第三方软件进行移植、修改、再开发的投标人提供。在格式文本中，除可填报内容外，对本投标函内容的任何实质性修改将被视为非实质性响应投标，从而导致该投标被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2.11.8</w:t>
            </w:r>
          </w:p>
        </w:tc>
        <w:tc>
          <w:tcPr>
            <w:tcW w:w="7723" w:type="dxa"/>
            <w:vAlign w:val="center"/>
          </w:tcPr>
          <w:p>
            <w:pPr>
              <w:tabs>
                <w:tab w:val="left" w:pos="1573"/>
              </w:tabs>
              <w:adjustRightInd w:val="0"/>
              <w:snapToGrid w:val="0"/>
              <w:spacing w:line="360" w:lineRule="auto"/>
              <w:jc w:val="left"/>
              <w:outlineLvl w:val="4"/>
              <w:rPr>
                <w:rFonts w:ascii="宋体" w:hAnsi="宋体" w:hint="eastAsia"/>
                <w:b/>
                <w:sz w:val="18"/>
                <w:szCs w:val="18"/>
                <w:highlight w:val="none"/>
              </w:rPr>
            </w:pPr>
            <w:r>
              <w:rPr>
                <w:rFonts w:ascii="宋体" w:hAnsi="宋体" w:hint="eastAsia"/>
                <w:b/>
                <w:sz w:val="18"/>
                <w:szCs w:val="18"/>
                <w:highlight w:val="none"/>
              </w:rPr>
              <w:t>软件移植</w:t>
            </w:r>
            <w:r>
              <w:rPr>
                <w:rFonts w:ascii="宋体" w:hAnsi="宋体" w:hint="eastAsia"/>
                <w:b/>
                <w:bCs/>
                <w:sz w:val="18"/>
                <w:szCs w:val="18"/>
                <w:highlight w:val="none"/>
              </w:rPr>
              <w:t>授权书。</w:t>
            </w:r>
            <w:r>
              <w:rPr>
                <w:rFonts w:ascii="宋体" w:hAnsi="宋体" w:hint="eastAsia"/>
                <w:sz w:val="18"/>
                <w:szCs w:val="18"/>
                <w:highlight w:val="none"/>
              </w:rPr>
              <w:t>在本项目的软件开发中，涉及使用第三方软件进行移植、修改、再开发的投标人提供。在格式文本中，除可填报内容外，对本投标函内容的任何实质性修改将被视为非实质性响应投标，从而导致该投标被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gridSpan w:val="2"/>
            <w:vAlign w:val="center"/>
          </w:tcPr>
          <w:p>
            <w:pPr>
              <w:jc w:val="left"/>
              <w:rPr>
                <w:rFonts w:ascii="宋体" w:hAnsi="宋体" w:hint="eastAsia"/>
                <w:sz w:val="18"/>
                <w:szCs w:val="18"/>
                <w:highlight w:val="none"/>
              </w:rPr>
            </w:pPr>
            <w:r>
              <w:rPr>
                <w:rFonts w:ascii="宋体" w:hAnsi="宋体" w:hint="eastAsia"/>
                <w:sz w:val="18"/>
                <w:szCs w:val="18"/>
                <w:highlight w:val="none"/>
              </w:rPr>
              <w:t>2.11.11</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b/>
          <w:bCs/>
          <w:sz w:val="44"/>
          <w:szCs w:val="44"/>
          <w:highlight w:val="none"/>
        </w:rPr>
      </w:pPr>
      <w:r>
        <w:rPr>
          <w:b/>
          <w:bCs/>
          <w:sz w:val="44"/>
          <w:szCs w:val="44"/>
          <w:highlight w:val="none"/>
        </w:rPr>
        <w:br w:type="page"/>
      </w: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firstLine="2157" w:firstLineChars="1027"/>
        <w:jc w:val="left"/>
        <w:rPr>
          <w:b/>
          <w:bCs/>
          <w:szCs w:val="21"/>
          <w:highlight w:val="none"/>
        </w:rPr>
      </w:pPr>
      <w:r>
        <w:rPr>
          <w:rFonts w:hint="eastAsia"/>
          <w:b/>
          <w:bCs/>
          <w:szCs w:val="21"/>
          <w:highlight w:val="none"/>
        </w:rPr>
        <w:t>第四章  投标邀请书</w:t>
      </w:r>
    </w:p>
    <w:p>
      <w:pPr>
        <w:adjustRightInd w:val="0"/>
        <w:snapToGrid w:val="0"/>
        <w:spacing w:line="360" w:lineRule="auto"/>
        <w:ind w:firstLine="2157" w:firstLineChars="1027"/>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firstLine="2157" w:firstLineChars="1027"/>
        <w:jc w:val="left"/>
        <w:rPr>
          <w:b/>
          <w:bCs/>
          <w:szCs w:val="21"/>
          <w:highlight w:val="none"/>
        </w:rPr>
      </w:pPr>
      <w:r>
        <w:rPr>
          <w:rFonts w:hint="eastAsia"/>
          <w:b/>
          <w:szCs w:val="21"/>
          <w:highlight w:val="none"/>
        </w:rPr>
        <w:t>第七章  采购需求</w:t>
      </w:r>
    </w:p>
    <w:p>
      <w:pPr>
        <w:adjustRightInd w:val="0"/>
        <w:snapToGrid w:val="0"/>
        <w:spacing w:line="360" w:lineRule="auto"/>
        <w:ind w:firstLine="2157" w:firstLineChars="1027"/>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jc w:val="left"/>
        <w:rPr>
          <w:b/>
          <w:bCs/>
          <w:szCs w:val="21"/>
          <w:highlight w:val="none"/>
        </w:rPr>
      </w:pPr>
      <w:r>
        <w:rPr>
          <w:b/>
          <w:bCs/>
          <w:szCs w:val="21"/>
          <w:highlight w:val="none"/>
        </w:rPr>
        <w:br w:type="page"/>
      </w:r>
    </w:p>
    <w:p>
      <w:pPr>
        <w:adjustRightInd w:val="0"/>
        <w:snapToGrid w:val="0"/>
        <w:spacing w:line="360" w:lineRule="auto"/>
        <w:jc w:val="center"/>
        <w:outlineLvl w:val="1"/>
        <w:rPr>
          <w:b/>
          <w:bCs/>
          <w:sz w:val="30"/>
          <w:szCs w:val="30"/>
          <w:highlight w:val="none"/>
        </w:rPr>
      </w:pPr>
      <w:r>
        <w:rPr>
          <w:rFonts w:hint="eastAsia"/>
          <w:b/>
          <w:bCs/>
          <w:sz w:val="30"/>
          <w:szCs w:val="30"/>
          <w:highlight w:val="none"/>
        </w:rPr>
        <w:t>第四章  投标邀请书</w:t>
      </w:r>
    </w:p>
    <w:p>
      <w:pPr>
        <w:spacing w:line="360" w:lineRule="auto"/>
        <w:ind w:firstLine="420" w:firstLineChars="200"/>
        <w:rPr>
          <w:rFonts w:ascii="宋体" w:hAnsi="宋体"/>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1" w:name="采购人_recorderOrgName"/>
      <w:r>
        <w:rPr>
          <w:rFonts w:ascii="宋体" w:hAnsi="宋体" w:cs="微软雅黑"/>
          <w:b/>
          <w:color w:val="0000FF"/>
          <w:kern w:val="0"/>
          <w:szCs w:val="21"/>
          <w:highlight w:val="none"/>
        </w:rPr>
        <w:t>中国气象局公共气象服务中心</w:t>
      </w:r>
      <w:bookmarkEnd w:id="21"/>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2" w:name="项目名称_taskName"/>
      <w:r>
        <w:rPr>
          <w:rFonts w:ascii="宋体" w:hAnsi="宋体" w:cs="微软雅黑"/>
          <w:b/>
          <w:color w:val="0000FF"/>
          <w:kern w:val="0"/>
          <w:szCs w:val="21"/>
          <w:highlight w:val="none"/>
        </w:rPr>
        <w:t>智慧短临气象闪信预警信息发布平台建设项目-智慧短临预警气象服务大语言模型</w:t>
      </w:r>
      <w:bookmarkEnd w:id="22"/>
      <w:r>
        <w:rPr>
          <w:rFonts w:ascii="宋体" w:hAnsi="宋体" w:cs="宋体" w:hint="eastAsia"/>
          <w:b/>
          <w:bCs/>
          <w:szCs w:val="21"/>
          <w:highlight w:val="none"/>
        </w:rPr>
        <w:t>。</w:t>
      </w:r>
    </w:p>
    <w:p>
      <w:pPr>
        <w:spacing w:line="360" w:lineRule="auto"/>
        <w:ind w:firstLine="412" w:firstLineChars="196"/>
        <w:rPr>
          <w:rFonts w:ascii="宋体" w:hAnsi="宋体" w:cs="宋体"/>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3" w:name="封面_projectNo_2"/>
      <w:r>
        <w:rPr>
          <w:rFonts w:ascii="宋体" w:hAnsi="宋体" w:cs="微软雅黑" w:hint="eastAsia"/>
          <w:b/>
          <w:color w:val="0000FF"/>
          <w:kern w:val="0"/>
          <w:szCs w:val="21"/>
          <w:highlight w:val="none"/>
        </w:rPr>
        <w:t>ZQCD-26008</w:t>
      </w:r>
      <w:bookmarkEnd w:id="23"/>
      <w:r>
        <w:rPr>
          <w:rFonts w:ascii="宋体" w:hAnsi="宋体" w:cs="宋体" w:hint="eastAsia"/>
          <w:b/>
          <w:bCs/>
          <w:szCs w:val="21"/>
          <w:highlight w:val="none"/>
        </w:rPr>
        <w:t>。</w:t>
      </w:r>
    </w:p>
    <w:p>
      <w:pPr>
        <w:spacing w:line="360" w:lineRule="auto"/>
        <w:ind w:firstLine="412" w:firstLineChars="196"/>
        <w:rPr>
          <w:rFonts w:ascii="宋体" w:hAnsi="宋体"/>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4" w:name="包数量_packageCount"/>
      <w:r>
        <w:rPr>
          <w:rFonts w:ascii="宋体" w:hAnsi="宋体" w:cs="微软雅黑" w:hint="eastAsia"/>
          <w:color w:val="0000FF"/>
          <w:kern w:val="0"/>
          <w:szCs w:val="21"/>
          <w:highlight w:val="none"/>
        </w:rPr>
        <w:t>1</w:t>
      </w:r>
      <w:bookmarkEnd w:id="24"/>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上述服务产品及设备、系统软件的供应、运输、安装调试、培训及售后服务。</w:t>
      </w:r>
    </w:p>
    <w:p>
      <w:pPr>
        <w:adjustRightInd w:val="0"/>
        <w:snapToGrid w:val="0"/>
        <w:spacing w:line="360" w:lineRule="auto"/>
        <w:ind w:firstLine="315" w:firstLineChars="150"/>
        <w:rPr>
          <w:rFonts w:ascii="宋体" w:hAnsi="宋体"/>
          <w:bCs/>
          <w:szCs w:val="21"/>
          <w:highlight w:val="none"/>
        </w:rPr>
      </w:pPr>
      <w:r>
        <w:rPr>
          <w:rFonts w:ascii="宋体" w:hAnsi="宋体" w:hint="eastAsia"/>
          <w:bCs/>
          <w:szCs w:val="21"/>
          <w:highlight w:val="none"/>
        </w:rPr>
        <w:t>具体采购范围及所应达到的具体要求，以本采购文件中商务、技术和服务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hint="eastAsia"/>
          <w:b/>
          <w:szCs w:val="21"/>
          <w:highlight w:val="none"/>
          <w:u w:val="single"/>
        </w:rPr>
      </w:pPr>
      <w:r>
        <w:rPr>
          <w:rFonts w:ascii="宋体" w:hAnsi="宋体" w:hint="eastAsia"/>
          <w:bCs/>
          <w:szCs w:val="21"/>
          <w:highlight w:val="none"/>
        </w:rPr>
        <w:t>4、履约时间：</w:t>
      </w:r>
      <w:bookmarkStart w:id="25" w:name="合同履约期限_contractPerformancePeriod"/>
      <w:r>
        <w:rPr>
          <w:rFonts w:ascii="宋体" w:hAnsi="宋体" w:cs="微软雅黑" w:hint="eastAsia"/>
          <w:b/>
          <w:color w:val="0000FF"/>
          <w:kern w:val="0"/>
          <w:szCs w:val="21"/>
          <w:highlight w:val="none"/>
        </w:rPr>
        <w:t>详见采购需求</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6" w:name="合同履约期限_performanceAddress"/>
      <w:r>
        <w:rPr>
          <w:rFonts w:ascii="宋体" w:hAnsi="宋体" w:cs="微软雅黑" w:hint="eastAsia"/>
          <w:b/>
          <w:color w:val="0000FF"/>
          <w:kern w:val="0"/>
          <w:szCs w:val="21"/>
          <w:highlight w:val="none"/>
        </w:rPr>
        <w:t>北京市海淀区中关村南大街46号公共气象服务中心</w:t>
      </w:r>
      <w:bookmarkEnd w:id="26"/>
      <w:r>
        <w:rPr>
          <w:rFonts w:ascii="宋体" w:hAnsi="宋体" w:cs="微软雅黑" w:hint="eastAsia"/>
          <w:b/>
          <w:color w:val="0000FF"/>
          <w:kern w:val="0"/>
          <w:szCs w:val="21"/>
          <w:highlight w:val="none"/>
        </w:rPr>
        <w:t>。</w:t>
      </w:r>
    </w:p>
    <w:p>
      <w:pPr>
        <w:adjustRightInd w:val="0"/>
        <w:snapToGrid w:val="0"/>
        <w:spacing w:line="360" w:lineRule="auto"/>
        <w:ind w:firstLine="412" w:firstLineChars="196"/>
        <w:rPr>
          <w:rFonts w:ascii="宋体" w:hAnsi="宋体"/>
          <w:b/>
          <w:szCs w:val="24"/>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7" w:name="项目公告_signUpFirstTime"/>
      <w:r>
        <w:rPr>
          <w:rFonts w:ascii="宋体" w:hint="eastAsia"/>
          <w:szCs w:val="21"/>
          <w:highlight w:val="none"/>
        </w:rPr>
        <w:t>2026年01月20日 00:00:00</w:t>
      </w:r>
      <w:bookmarkEnd w:id="27"/>
      <w:r>
        <w:rPr>
          <w:rFonts w:ascii="宋体" w:hint="eastAsia"/>
          <w:szCs w:val="21"/>
          <w:highlight w:val="none"/>
        </w:rPr>
        <w:t>至</w:t>
      </w:r>
      <w:bookmarkStart w:id="28" w:name="项目公告_signUpLastTime"/>
      <w:r>
        <w:rPr>
          <w:rFonts w:ascii="宋体" w:hint="eastAsia"/>
          <w:szCs w:val="21"/>
          <w:highlight w:val="none"/>
        </w:rPr>
        <w:t>2026年01月27日 23:59:59</w:t>
      </w:r>
      <w:bookmarkEnd w:id="28"/>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12" w:firstLineChars="196"/>
        <w:rPr>
          <w:rFonts w:ascii="宋体"/>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szCs w:val="21"/>
          <w:highlight w:val="none"/>
        </w:rPr>
      </w:pPr>
      <w:r>
        <w:rPr>
          <w:rFonts w:ascii="宋体" w:hint="eastAsia"/>
          <w:szCs w:val="21"/>
          <w:highlight w:val="none"/>
        </w:rPr>
        <w:t>1、投标文件提交截止时间：</w:t>
      </w:r>
      <w:bookmarkStart w:id="29" w:name="项目公告_openBidTime"/>
      <w:r>
        <w:rPr>
          <w:rFonts w:ascii="宋体" w:hAnsi="宋体" w:hint="eastAsia"/>
          <w:bCs/>
          <w:szCs w:val="21"/>
          <w:highlight w:val="none"/>
        </w:rPr>
        <w:t>2026年02月10日 09:00:00</w:t>
      </w:r>
      <w:bookmarkEnd w:id="29"/>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szCs w:val="21"/>
        </w:rPr>
      </w:pPr>
      <w:r>
        <w:rPr>
          <w:rFonts w:ascii="宋体" w:hint="eastAsia"/>
          <w:szCs w:val="21"/>
        </w:rPr>
        <w:t>3、请符合投标条件的投标人安装投标（相应）工具，完成投标文件编制后于投标文件提交截止时间前上传加密的投标文件，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20" w:firstLineChars="200"/>
        <w:rPr>
          <w:rFonts w:ascii="宋体" w:hAnsi="宋体"/>
          <w:bCs/>
          <w:szCs w:val="21"/>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bCs/>
          <w:szCs w:val="21"/>
          <w:highlight w:val="none"/>
        </w:rPr>
      </w:pPr>
      <w:bookmarkStart w:id="30" w:name="开标地点_openArddress"/>
      <w:r>
        <w:rPr>
          <w:rFonts w:ascii="宋体" w:hAnsi="宋体" w:hint="eastAsia"/>
          <w:b/>
          <w:szCs w:val="21"/>
          <w:highlight w:val="none"/>
          <w:u w:val="single"/>
        </w:rPr>
        <w:t>北京市海淀区中关村南大街46号中国气象局北区7号楼2层小会议室（科技大楼前草坪西侧），届时投标人的法定代表人或其授权的投标人授权代表可到场参加。</w:t>
      </w:r>
      <w:bookmarkEnd w:id="30"/>
    </w:p>
    <w:p>
      <w:pPr>
        <w:tabs>
          <w:tab w:val="left" w:pos="1573"/>
        </w:tabs>
        <w:adjustRightInd w:val="0"/>
        <w:snapToGrid w:val="0"/>
        <w:spacing w:line="360" w:lineRule="auto"/>
        <w:ind w:firstLine="412" w:firstLineChars="196"/>
        <w:rPr>
          <w:rFonts w:ascii="宋体" w:hAnsi="宋体"/>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12" w:firstLineChars="196"/>
        <w:rPr>
          <w:rFonts w:ascii="宋体" w:hAnsi="宋体"/>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1" w:name="contactName"/>
      <w:r>
        <w:rPr>
          <w:rFonts w:ascii="宋体" w:hAnsi="宋体" w:cs="微软雅黑"/>
          <w:b/>
          <w:color w:val="0000FF"/>
          <w:kern w:val="0"/>
          <w:szCs w:val="21"/>
          <w:highlight w:val="none"/>
        </w:rPr>
        <w:t>陈龙光</w:t>
      </w:r>
      <w:bookmarkEnd w:id="31"/>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2" w:name="contactPhone"/>
      <w:r>
        <w:rPr>
          <w:rFonts w:ascii="宋体" w:hAnsi="宋体" w:cs="微软雅黑"/>
          <w:b/>
          <w:color w:val="0000FF"/>
          <w:kern w:val="0"/>
          <w:szCs w:val="21"/>
          <w:highlight w:val="none"/>
        </w:rPr>
        <w:t>010-58995155</w:t>
      </w:r>
      <w:bookmarkEnd w:id="32"/>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3" w:name="采购人1_recorderOrgName"/>
      <w:r>
        <w:rPr>
          <w:rFonts w:ascii="宋体" w:hAnsi="宋体" w:cs="微软雅黑"/>
          <w:b/>
          <w:color w:val="0000FF"/>
          <w:kern w:val="0"/>
          <w:szCs w:val="21"/>
          <w:highlight w:val="none"/>
        </w:rPr>
        <w:t>中国气象局公共气象服务中心</w:t>
      </w:r>
      <w:bookmarkEnd w:id="33"/>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4" w:name="采购项目负责人_contactsName"/>
      <w:r>
        <w:rPr>
          <w:rFonts w:ascii="宋体" w:hAnsi="宋体" w:cs="微软雅黑"/>
          <w:b/>
          <w:color w:val="0000FF"/>
          <w:kern w:val="0"/>
          <w:szCs w:val="21"/>
          <w:highlight w:val="none"/>
        </w:rPr>
        <w:t>薛冰</w:t>
      </w:r>
      <w:bookmarkEnd w:id="34"/>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5" w:name="采购项目负责人办公电话_contactsTel"/>
      <w:r>
        <w:rPr>
          <w:rFonts w:ascii="宋体" w:hAnsi="宋体" w:cs="微软雅黑"/>
          <w:b/>
          <w:color w:val="0000FF"/>
          <w:kern w:val="0"/>
          <w:szCs w:val="21"/>
          <w:highlight w:val="none"/>
        </w:rPr>
        <w:t>010-58995612</w:t>
      </w:r>
      <w:bookmarkEnd w:id="35"/>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6" w:name="采购单位所在地址_recorderOrgAddress"/>
      <w:r>
        <w:rPr>
          <w:rFonts w:ascii="宋体" w:hAnsi="宋体" w:cs="微软雅黑"/>
          <w:b/>
          <w:color w:val="0000FF"/>
          <w:kern w:val="0"/>
          <w:szCs w:val="21"/>
          <w:highlight w:val="none"/>
        </w:rPr>
        <w:t>北京市海淀区中关村南大街46号公共气象服务中心</w:t>
      </w:r>
      <w:bookmarkEnd w:id="36"/>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7" w:name="技术电话_technicalSupportPhoneNumber"/>
      <w:r>
        <w:rPr>
          <w:rFonts w:ascii="宋体" w:hAnsi="宋体" w:cs="宋体" w:hint="eastAsia"/>
          <w:szCs w:val="21"/>
          <w:highlight w:val="none"/>
        </w:rPr>
        <w:t>010-68406701</w:t>
      </w:r>
      <w:bookmarkEnd w:id="37"/>
    </w:p>
    <w:p>
      <w:pPr>
        <w:adjustRightInd w:val="0"/>
        <w:snapToGrid w:val="0"/>
        <w:spacing w:line="360" w:lineRule="auto"/>
        <w:jc w:val="center"/>
        <w:outlineLvl w:val="1"/>
        <w:rPr>
          <w:b/>
          <w:bCs/>
          <w:sz w:val="30"/>
          <w:szCs w:val="30"/>
          <w:highlight w:val="none"/>
        </w:rPr>
      </w:pPr>
      <w:r>
        <w:rPr>
          <w:b/>
          <w:bCs/>
          <w:szCs w:val="21"/>
          <w:highlight w:val="none"/>
        </w:rPr>
        <w:br w:type="page"/>
      </w:r>
      <w:bookmarkStart w:id="38" w:name="投标人须知专用部分_TBXZ"/>
      <w:r>
        <w:rPr>
          <w:rFonts w:ascii="Times New Roman" w:eastAsia="宋体" w:hAnsi="Times New Roman" w:cs="Times New Roman" w:hint="eastAsia"/>
          <w:b/>
          <w:bCs/>
          <w:sz w:val="30"/>
          <w:szCs w:val="30"/>
          <w:highlight w:val="none"/>
        </w:rPr>
        <w:t>第五章  投标人须知专用部分</w:t>
      </w:r>
    </w:p>
    <w:p>
      <w:pPr>
        <w:spacing w:line="360" w:lineRule="auto"/>
        <w:jc w:val="left"/>
        <w:rPr>
          <w:rFonts w:ascii="黑体" w:eastAsia="黑体" w:hAnsi="黑体" w:cs="Times New Roman"/>
          <w:kern w:val="44"/>
          <w:szCs w:val="28"/>
          <w:highlight w:val="none"/>
        </w:rPr>
      </w:pPr>
      <w:r>
        <w:rPr>
          <w:rFonts w:ascii="黑体" w:eastAsia="黑体" w:hAnsi="黑体" w:cs="Times New Roman" w:hint="eastAsia"/>
          <w:kern w:val="44"/>
          <w:szCs w:val="28"/>
          <w:highlight w:val="none"/>
        </w:rPr>
        <w:t xml:space="preserve">    </w:t>
      </w:r>
    </w:p>
    <w:p>
      <w:pPr>
        <w:adjustRightInd w:val="0"/>
        <w:snapToGrid w:val="0"/>
        <w:spacing w:line="360" w:lineRule="auto"/>
        <w:ind w:firstLine="420" w:firstLineChars="200"/>
        <w:rPr>
          <w:rFonts w:ascii="宋体" w:eastAsia="宋体" w:hAnsi="宋体" w:cs="Times New Roman"/>
          <w:szCs w:val="21"/>
          <w:highlight w:val="none"/>
        </w:rPr>
      </w:pPr>
      <w:r>
        <w:rPr>
          <w:rFonts w:ascii="Times New Roman" w:eastAsia="宋体" w:hAnsi="Times New Roman" w:cs="Times New Roman" w:hint="eastAsia"/>
          <w:bCs/>
          <w:kern w:val="44"/>
          <w:szCs w:val="28"/>
          <w:highlight w:val="none"/>
        </w:rPr>
        <w:t>投标人须知专用部分</w:t>
      </w:r>
      <w:r>
        <w:rPr>
          <w:rFonts w:ascii="Times New Roman" w:eastAsia="宋体" w:hAnsi="Times New Roman" w:cs="Times New Roman" w:hint="eastAsia"/>
          <w:szCs w:val="21"/>
          <w:highlight w:val="none"/>
        </w:rPr>
        <w:t>表格中要求事项且已列入第三章、第八章投标被拒绝条款的，若有缺失或无效，将导致投标被拒绝且不允许在开标后补正</w:t>
      </w:r>
      <w:r>
        <w:rPr>
          <w:rFonts w:ascii="宋体" w:eastAsia="宋体" w:hAnsi="宋体" w:cs="Times New Roman" w:hint="eastAsia"/>
          <w:szCs w:val="21"/>
          <w:highlight w:val="none"/>
        </w:rPr>
        <w:t>。投标人须知通用部分或招标文件其余部分与本表不一致的，以本表要求为准。</w:t>
      </w:r>
    </w:p>
    <w:p>
      <w:pPr>
        <w:adjustRightInd w:val="0"/>
        <w:snapToGrid w:val="0"/>
        <w:spacing w:line="360" w:lineRule="auto"/>
        <w:rPr>
          <w:rFonts w:ascii="Times New Roman" w:eastAsia="宋体" w:hAnsi="Times New Roman" w:cs="Times New Roman"/>
          <w:szCs w:val="21"/>
          <w:highlight w:val="none"/>
        </w:rPr>
      </w:pPr>
    </w:p>
    <w:tbl>
      <w:tblPr>
        <w:tblStyle w:val="TableNormal"/>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9003"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序号</w:t>
            </w:r>
          </w:p>
        </w:tc>
        <w:tc>
          <w:tcPr>
            <w:tcW w:w="1418"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对应投标人须知通用部分的条款</w:t>
            </w:r>
          </w:p>
        </w:tc>
        <w:tc>
          <w:tcPr>
            <w:tcW w:w="1701"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内容</w:t>
            </w:r>
          </w:p>
        </w:tc>
        <w:tc>
          <w:tcPr>
            <w:tcW w:w="5209" w:type="dxa"/>
            <w:noWrap w:val="0"/>
            <w:vAlign w:val="center"/>
          </w:tcPr>
          <w:p>
            <w:pPr>
              <w:jc w:val="center"/>
              <w:rPr>
                <w:rFonts w:ascii="Times New Roman" w:eastAsia="宋体" w:hAnsi="Times New Roman" w:cs="Times New Roman"/>
                <w:b/>
                <w:szCs w:val="21"/>
                <w:highlight w:val="none"/>
              </w:rPr>
            </w:pPr>
            <w:r>
              <w:rPr>
                <w:rFonts w:ascii="Times New Roman" w:eastAsia="宋体" w:hAnsi="Times New Roman" w:cs="Times New Roman" w:hint="eastAsia"/>
                <w:b/>
                <w:szCs w:val="21"/>
                <w:highlight w:val="none"/>
              </w:rPr>
              <w:t>说明与要求</w:t>
            </w:r>
          </w:p>
        </w:tc>
      </w:tr>
      <w:tr>
        <w:tblPrEx>
          <w:tblW w:w="9003" w:type="dxa"/>
          <w:tblInd w:w="0" w:type="dxa"/>
          <w:tblLayout w:type="fixed"/>
          <w:tblCellMar>
            <w:top w:w="0" w:type="dxa"/>
            <w:left w:w="108" w:type="dxa"/>
            <w:bottom w:w="0" w:type="dxa"/>
            <w:right w:w="108" w:type="dxa"/>
          </w:tblCellMar>
        </w:tblPrEx>
        <w:trPr>
          <w:trHeight w:val="302"/>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采购人名称</w:t>
            </w:r>
          </w:p>
        </w:tc>
        <w:tc>
          <w:tcPr>
            <w:tcW w:w="5209" w:type="dxa"/>
            <w:noWrap w:val="0"/>
            <w:vAlign w:val="center"/>
          </w:tcPr>
          <w:p>
            <w:pPr>
              <w:rPr>
                <w:rFonts w:ascii="宋体" w:eastAsia="宋体" w:hAnsi="宋体" w:cs="微软雅黑"/>
                <w:kern w:val="0"/>
                <w:szCs w:val="21"/>
                <w:highlight w:val="none"/>
              </w:rPr>
            </w:pPr>
            <w:bookmarkStart w:id="39" w:name="采购人2_recorderOrgName"/>
            <w:r>
              <w:rPr>
                <w:rFonts w:ascii="宋体" w:eastAsia="宋体" w:hAnsi="宋体" w:cs="微软雅黑" w:hint="eastAsia"/>
                <w:kern w:val="0"/>
                <w:szCs w:val="21"/>
                <w:highlight w:val="none"/>
              </w:rPr>
              <w:t>中国气象局公共气象服务中心</w:t>
            </w:r>
            <w:bookmarkEnd w:id="39"/>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1.3.3、1.14.2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投标人特殊资质条件</w:t>
            </w:r>
          </w:p>
        </w:tc>
        <w:tc>
          <w:tcPr>
            <w:tcW w:w="5209" w:type="dxa"/>
            <w:noWrap w:val="0"/>
            <w:vAlign w:val="center"/>
          </w:tcPr>
          <w:p>
            <w:pPr>
              <w:jc w:val="left"/>
              <w:rPr>
                <w:rFonts w:ascii="宋体" w:eastAsia="宋体" w:hAnsi="宋体" w:cs="微软雅黑"/>
                <w:kern w:val="0"/>
                <w:szCs w:val="21"/>
                <w:highlight w:val="none"/>
              </w:rPr>
            </w:pPr>
            <w:r>
              <w:rPr>
                <w:rFonts w:ascii="Calibri" w:eastAsia="宋体" w:hAnsi="Calibri" w:cs="微软雅黑" w:hint="eastAsia"/>
                <w:kern w:val="0"/>
                <w:szCs w:val="21"/>
                <w:highlight w:val="none"/>
              </w:rPr>
              <w:t>投标人应具有以下有效期超过投标截止日的资质：</w:t>
            </w:r>
            <w:bookmarkStart w:id="40" w:name="资_bidderQualificationValidBeyondDeadline"/>
            <w:r>
              <w:rPr>
                <w:rFonts w:ascii="宋体" w:hAnsi="宋体" w:cs="微软雅黑" w:hint="eastAsia"/>
                <w:kern w:val="0"/>
                <w:szCs w:val="21"/>
                <w:highlight w:val="none"/>
              </w:rPr>
              <w:t>无</w:t>
            </w:r>
            <w:bookmarkEnd w:id="40"/>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hint="eastAsia"/>
                <w:szCs w:val="20"/>
                <w:highlight w:val="none"/>
              </w:rPr>
              <w:t>5</w:t>
            </w:r>
            <w:r>
              <w:rPr>
                <w:rFonts w:ascii="Times New Roman" w:eastAsia="宋体" w:hAnsi="Times New Roman" w:cs="Times New Roman"/>
                <w:szCs w:val="20"/>
                <w:highlight w:val="none"/>
              </w:rPr>
              <w:t>.</w:t>
            </w:r>
            <w:r>
              <w:rPr>
                <w:rFonts w:ascii="Times New Roman" w:eastAsia="宋体" w:hAnsi="Times New Roman" w:cs="Times New Roman" w:hint="eastAsia"/>
                <w:szCs w:val="20"/>
                <w:highlight w:val="none"/>
              </w:rPr>
              <w:t>3</w:t>
            </w:r>
          </w:p>
        </w:tc>
        <w:tc>
          <w:tcPr>
            <w:tcW w:w="1418" w:type="dxa"/>
            <w:noWrap w:val="0"/>
            <w:vAlign w:val="top"/>
          </w:tcPr>
          <w:p>
            <w:pPr>
              <w:rPr>
                <w:rFonts w:ascii="Times New Roman" w:eastAsia="宋体" w:hAnsi="Times New Roman" w:cs="Times New Roman"/>
                <w:szCs w:val="21"/>
                <w:highlight w:val="none"/>
              </w:rPr>
            </w:pPr>
            <w:r>
              <w:rPr>
                <w:rFonts w:ascii="Times New Roman" w:eastAsia="宋体" w:hAnsi="Times New Roman" w:cs="Times New Roman"/>
                <w:szCs w:val="20"/>
                <w:highlight w:val="none"/>
              </w:rPr>
              <w:t>1.3.</w:t>
            </w:r>
            <w:r>
              <w:rPr>
                <w:rFonts w:ascii="Times New Roman" w:eastAsia="宋体" w:hAnsi="Times New Roman" w:cs="Times New Roman" w:hint="eastAsia"/>
                <w:szCs w:val="20"/>
                <w:highlight w:val="none"/>
              </w:rPr>
              <w:t>5</w:t>
            </w:r>
          </w:p>
        </w:tc>
        <w:tc>
          <w:tcPr>
            <w:tcW w:w="1701" w:type="dxa"/>
            <w:noWrap w:val="0"/>
            <w:vAlign w:val="top"/>
          </w:tcPr>
          <w:p>
            <w:pPr>
              <w:rPr>
                <w:rFonts w:ascii="Times New Roman" w:eastAsia="宋体" w:hAnsi="Times New Roman" w:cs="Times New Roman"/>
                <w:kern w:val="0"/>
                <w:szCs w:val="21"/>
                <w:highlight w:val="none"/>
              </w:rPr>
            </w:pPr>
            <w:r>
              <w:rPr>
                <w:rFonts w:ascii="Times New Roman" w:eastAsia="宋体" w:hAnsi="Times New Roman" w:cs="Times New Roman" w:hint="eastAsia"/>
                <w:szCs w:val="20"/>
                <w:highlight w:val="none"/>
              </w:rPr>
              <w:t>是否允许联合体投标</w:t>
            </w:r>
          </w:p>
        </w:tc>
        <w:tc>
          <w:tcPr>
            <w:tcW w:w="5209" w:type="dxa"/>
            <w:noWrap w:val="0"/>
            <w:vAlign w:val="top"/>
          </w:tcPr>
          <w:p>
            <w:pPr>
              <w:rPr>
                <w:rFonts w:ascii="宋体" w:eastAsia="宋体" w:hAnsi="宋体" w:cs="微软雅黑"/>
                <w:kern w:val="0"/>
                <w:szCs w:val="21"/>
                <w:highlight w:val="none"/>
              </w:rPr>
            </w:pPr>
            <w:bookmarkStart w:id="41" w:name="联合体投标_jointFlagText"/>
            <w:r>
              <w:rPr>
                <w:rFonts w:ascii="宋体" w:eastAsia="宋体" w:hAnsi="宋体" w:cs="微软雅黑" w:hint="eastAsia"/>
                <w:kern w:val="0"/>
                <w:szCs w:val="21"/>
                <w:highlight w:val="none"/>
              </w:rPr>
              <w:t>不允许</w:t>
            </w:r>
            <w:bookmarkEnd w:id="41"/>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1.3.11</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kern w:val="0"/>
                <w:szCs w:val="21"/>
                <w:highlight w:val="none"/>
              </w:rPr>
              <w:t>本次采购是否包含软件开发</w:t>
            </w:r>
            <w:r>
              <w:rPr>
                <w:rFonts w:ascii="Calibri" w:eastAsia="宋体" w:hAnsi="Calibri" w:cs="Times New Roman" w:hint="eastAsia"/>
                <w:szCs w:val="21"/>
                <w:highlight w:val="none"/>
              </w:rPr>
              <w:t>相关的授权要求</w:t>
            </w:r>
          </w:p>
        </w:tc>
        <w:tc>
          <w:tcPr>
            <w:tcW w:w="5209" w:type="dxa"/>
            <w:noWrap w:val="0"/>
            <w:vAlign w:val="center"/>
          </w:tcPr>
          <w:p>
            <w:pPr>
              <w:rPr>
                <w:rFonts w:ascii="宋体" w:eastAsia="宋体" w:hAnsi="宋体" w:cs="微软雅黑"/>
                <w:kern w:val="0"/>
                <w:szCs w:val="21"/>
                <w:highlight w:val="none"/>
              </w:rPr>
            </w:pPr>
            <w:r>
              <w:rPr>
                <w:rFonts w:ascii="Times New Roman" w:eastAsia="宋体" w:hAnsi="Times New Roman" w:cs="Times New Roman" w:hint="eastAsia"/>
                <w:kern w:val="0"/>
                <w:szCs w:val="21"/>
                <w:highlight w:val="none"/>
              </w:rPr>
              <w:t>本次采购是否包含软件开发授权：</w:t>
            </w:r>
            <w:bookmarkStart w:id="42" w:name="软_includesSoftwareDevelopmentLicenseText"/>
            <w:r>
              <w:rPr>
                <w:rFonts w:ascii="宋体" w:eastAsia="宋体" w:hAnsi="宋体" w:cs="微软雅黑" w:hint="eastAsia"/>
                <w:b/>
                <w:color w:val="0000FF"/>
                <w:kern w:val="0"/>
                <w:szCs w:val="21"/>
                <w:highlight w:val="none"/>
              </w:rPr>
              <w:t>否</w:t>
            </w:r>
            <w:bookmarkEnd w:id="42"/>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是否需要组成专门服务团队以及相关要求</w:t>
            </w:r>
          </w:p>
        </w:tc>
        <w:tc>
          <w:tcPr>
            <w:tcW w:w="5209" w:type="dxa"/>
            <w:noWrap w:val="0"/>
            <w:vAlign w:val="center"/>
          </w:tcPr>
          <w:p>
            <w:pPr>
              <w:rPr>
                <w:rFonts w:ascii="宋体" w:eastAsia="宋体" w:hAnsi="宋体" w:cs="微软雅黑"/>
                <w:kern w:val="0"/>
                <w:szCs w:val="21"/>
                <w:highlight w:val="none"/>
              </w:rPr>
            </w:pPr>
            <w:bookmarkStart w:id="43" w:name="服务团队_isMakeSpecializedServiceFlagText"/>
            <w:r>
              <w:rPr>
                <w:rFonts w:ascii="宋体" w:eastAsia="宋体" w:hAnsi="宋体" w:cs="微软雅黑" w:hint="eastAsia"/>
                <w:kern w:val="0"/>
                <w:szCs w:val="21"/>
                <w:highlight w:val="none"/>
              </w:rPr>
              <w:t>需要，组成不少于 15 人的服务团队，具体要求详见第七章采购需求。</w:t>
            </w:r>
            <w:bookmarkEnd w:id="43"/>
          </w:p>
        </w:tc>
      </w:tr>
      <w:tr>
        <w:tblPrEx>
          <w:tblW w:w="9003" w:type="dxa"/>
          <w:tblInd w:w="0" w:type="dxa"/>
          <w:tblLayout w:type="fixed"/>
          <w:tblCellMar>
            <w:top w:w="0" w:type="dxa"/>
            <w:left w:w="108" w:type="dxa"/>
            <w:bottom w:w="0" w:type="dxa"/>
            <w:right w:w="108" w:type="dxa"/>
          </w:tblCellMar>
        </w:tblPrEx>
        <w:trPr>
          <w:trHeight w:val="44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5.6</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1.4.3</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是否驻场服务</w:t>
            </w:r>
          </w:p>
        </w:tc>
        <w:tc>
          <w:tcPr>
            <w:tcW w:w="5209" w:type="dxa"/>
            <w:noWrap w:val="0"/>
            <w:vAlign w:val="center"/>
          </w:tcPr>
          <w:p>
            <w:pPr>
              <w:rPr>
                <w:rFonts w:ascii="宋体" w:eastAsia="宋体" w:hAnsi="宋体" w:cs="微软雅黑"/>
                <w:kern w:val="0"/>
                <w:szCs w:val="21"/>
                <w:highlight w:val="none"/>
              </w:rPr>
            </w:pPr>
            <w:bookmarkStart w:id="44" w:name="驻场服务_residentServiceFlagText"/>
            <w:r>
              <w:rPr>
                <w:rFonts w:ascii="宋体" w:eastAsia="宋体" w:hAnsi="宋体" w:cs="微软雅黑" w:hint="eastAsia"/>
                <w:kern w:val="0"/>
                <w:szCs w:val="21"/>
                <w:highlight w:val="none"/>
              </w:rPr>
              <w:t>是，驻场服务人员不少于 10 人，其相关要求详见第七章采购需求。</w:t>
            </w:r>
            <w:bookmarkEnd w:id="44"/>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5.7</w:t>
            </w:r>
          </w:p>
        </w:tc>
        <w:tc>
          <w:tcPr>
            <w:tcW w:w="1418" w:type="dxa"/>
            <w:noWrap w:val="0"/>
            <w:vAlign w:val="center"/>
          </w:tcPr>
          <w:p>
            <w:pPr>
              <w:jc w:val="left"/>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1.5、1.5.2、1.5.3、1.5.4</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本次采购是否包括货物</w:t>
            </w:r>
          </w:p>
        </w:tc>
        <w:tc>
          <w:tcPr>
            <w:tcW w:w="5209" w:type="dxa"/>
            <w:noWrap w:val="0"/>
            <w:vAlign w:val="center"/>
          </w:tcPr>
          <w:p>
            <w:pPr>
              <w:rPr>
                <w:rFonts w:ascii="宋体" w:eastAsia="宋体" w:hAnsi="宋体" w:cs="微软雅黑"/>
                <w:kern w:val="0"/>
                <w:szCs w:val="21"/>
                <w:highlight w:val="none"/>
              </w:rPr>
            </w:pPr>
            <w:bookmarkStart w:id="45" w:name="选择是否为货物_includingGoodsFlagText"/>
            <w:r>
              <w:rPr>
                <w:rFonts w:ascii="宋体" w:eastAsia="宋体" w:hAnsi="宋体" w:cs="微软雅黑" w:hint="eastAsia"/>
                <w:kern w:val="0"/>
                <w:szCs w:val="21"/>
                <w:highlight w:val="none"/>
              </w:rPr>
              <w:t>否</w:t>
            </w:r>
            <w:bookmarkEnd w:id="45"/>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5.8</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1.5.4</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进口产品代理商应提交资料</w:t>
            </w:r>
          </w:p>
        </w:tc>
        <w:tc>
          <w:tcPr>
            <w:tcW w:w="5209" w:type="dxa"/>
            <w:noWrap w:val="0"/>
            <w:vAlign w:val="center"/>
          </w:tcPr>
          <w:p>
            <w:pPr>
              <w:rPr>
                <w:rFonts w:ascii="宋体" w:eastAsia="宋体" w:hAnsi="宋体" w:cs="微软雅黑"/>
                <w:b/>
                <w:color w:val="0000FF"/>
                <w:kern w:val="0"/>
                <w:szCs w:val="21"/>
                <w:highlight w:val="none"/>
              </w:rPr>
            </w:pPr>
            <w:bookmarkStart w:id="46" w:name="进口产品_agentMaterials"/>
            <w:bookmarkEnd w:id="46"/>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5.9</w:t>
            </w:r>
          </w:p>
        </w:tc>
        <w:tc>
          <w:tcPr>
            <w:tcW w:w="1418"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1.6.1</w:t>
            </w:r>
          </w:p>
        </w:tc>
        <w:tc>
          <w:tcPr>
            <w:tcW w:w="1701"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采购标的对应的中小企业划分标准所属行业</w:t>
            </w:r>
          </w:p>
        </w:tc>
        <w:tc>
          <w:tcPr>
            <w:tcW w:w="5209" w:type="dxa"/>
            <w:noWrap w:val="0"/>
            <w:vAlign w:val="center"/>
          </w:tcPr>
          <w:p>
            <w:pPr>
              <w:rPr>
                <w:rFonts w:ascii="Calibri" w:eastAsia="宋体" w:hAnsi="Calibri" w:cs="Times New Roman"/>
                <w:highlight w:val="none"/>
              </w:rPr>
            </w:pPr>
            <w:r>
              <w:rPr>
                <w:rFonts w:ascii="Calibri" w:eastAsia="宋体" w:hAnsi="Calibri" w:cs="Times New Roman"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7" w:name="行业_smeIndustryClassification"/>
            <w:r>
              <w:rPr>
                <w:rFonts w:ascii="宋体" w:hAnsi="宋体" w:cs="微软雅黑" w:hint="eastAsia"/>
                <w:kern w:val="0"/>
                <w:szCs w:val="21"/>
                <w:highlight w:val="none"/>
              </w:rPr>
              <w:t>（1）标的：    ，属于  软件和信息技术服务业 行业；</w:t>
            </w:r>
            <w:bookmarkEnd w:id="47"/>
          </w:p>
        </w:tc>
      </w:tr>
      <w:tr>
        <w:tblPrEx>
          <w:tblW w:w="9003" w:type="dxa"/>
          <w:tblInd w:w="0" w:type="dxa"/>
          <w:tblLayout w:type="fixed"/>
          <w:tblCellMar>
            <w:top w:w="0" w:type="dxa"/>
            <w:left w:w="108" w:type="dxa"/>
            <w:bottom w:w="0" w:type="dxa"/>
            <w:right w:w="108" w:type="dxa"/>
          </w:tblCellMar>
        </w:tblPrEx>
        <w:trPr>
          <w:trHeight w:val="609"/>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5.10</w:t>
            </w:r>
          </w:p>
        </w:tc>
        <w:tc>
          <w:tcPr>
            <w:tcW w:w="1418"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1.6.3</w:t>
            </w:r>
          </w:p>
        </w:tc>
        <w:tc>
          <w:tcPr>
            <w:tcW w:w="1701" w:type="dxa"/>
            <w:noWrap w:val="0"/>
            <w:vAlign w:val="center"/>
          </w:tcPr>
          <w:p>
            <w:pPr>
              <w:rPr>
                <w:rFonts w:ascii="Times New Roman" w:eastAsia="宋体" w:hAnsi="Times New Roman" w:cs="Times New Roman"/>
                <w:szCs w:val="21"/>
                <w:highlight w:val="none"/>
              </w:rPr>
            </w:pPr>
            <w:r>
              <w:rPr>
                <w:rFonts w:ascii="Calibri" w:eastAsia="宋体" w:hAnsi="Calibri" w:cs="Times New Roman"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8" w:name="中小企业_minorEnterprisesFlagText"/>
            <w:r>
              <w:rPr>
                <w:rFonts w:ascii="Wingdings 2" w:hAnsi="Wingdings 2" w:cs="微软雅黑" w:hint="eastAsia"/>
                <w:kern w:val="0"/>
                <w:szCs w:val="21"/>
                <w:highlight w:val="none"/>
                <w:lang w:eastAsia="zh-CN"/>
              </w:rPr>
              <w:t>否</w:t>
            </w:r>
            <w:bookmarkEnd w:id="48"/>
          </w:p>
        </w:tc>
      </w:tr>
      <w:tr>
        <w:tblPrEx>
          <w:tblW w:w="9003" w:type="dxa"/>
          <w:tblInd w:w="0" w:type="dxa"/>
          <w:tblLayout w:type="fixed"/>
          <w:tblCellMar>
            <w:top w:w="0" w:type="dxa"/>
            <w:left w:w="108" w:type="dxa"/>
            <w:bottom w:w="0" w:type="dxa"/>
            <w:right w:w="108" w:type="dxa"/>
          </w:tblCellMar>
        </w:tblPrEx>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5.11</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1.9.2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中标人是否交纳代理服务费</w:t>
            </w:r>
          </w:p>
        </w:tc>
        <w:tc>
          <w:tcPr>
            <w:tcW w:w="5209" w:type="dxa"/>
            <w:noWrap w:val="0"/>
            <w:vAlign w:val="center"/>
          </w:tcPr>
          <w:p>
            <w:pPr>
              <w:rPr>
                <w:rFonts w:ascii="宋体" w:eastAsia="宋体" w:hAnsi="宋体" w:cs="微软雅黑"/>
                <w:kern w:val="0"/>
                <w:szCs w:val="21"/>
                <w:highlight w:val="none"/>
              </w:rPr>
            </w:pPr>
            <w:bookmarkStart w:id="49" w:name="代理服务费_agentAmountText"/>
            <w:r>
              <w:rPr>
                <w:rFonts w:ascii="宋体" w:eastAsia="宋体" w:hAnsi="宋体" w:cs="微软雅黑" w:hint="eastAsia"/>
                <w:kern w:val="0"/>
                <w:szCs w:val="21"/>
                <w:highlight w:val="none"/>
              </w:rPr>
              <w:t>是，代理服务费：7.2万元。</w:t>
            </w:r>
            <w:bookmarkEnd w:id="49"/>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12</w:t>
            </w:r>
          </w:p>
        </w:tc>
        <w:tc>
          <w:tcPr>
            <w:tcW w:w="1418" w:type="dxa"/>
            <w:noWrap w:val="0"/>
            <w:vAlign w:val="top"/>
          </w:tcPr>
          <w:p>
            <w:pPr>
              <w:rPr>
                <w:rFonts w:ascii="Calibri" w:eastAsia="宋体" w:hAnsi="Calibri" w:cs="Times New Roman"/>
                <w:highlight w:val="none"/>
              </w:rPr>
            </w:pPr>
            <w:r>
              <w:rPr>
                <w:rFonts w:ascii="Calibri" w:eastAsia="宋体" w:hAnsi="Calibri" w:cs="Times New Roman"/>
                <w:szCs w:val="22"/>
                <w:highlight w:val="none"/>
              </w:rPr>
              <w:t>1.1</w:t>
            </w:r>
            <w:r>
              <w:rPr>
                <w:rFonts w:ascii="Calibri" w:eastAsia="宋体" w:hAnsi="Calibri" w:cs="Times New Roman" w:hint="eastAsia"/>
                <w:szCs w:val="22"/>
                <w:highlight w:val="none"/>
              </w:rPr>
              <w:t>2</w:t>
            </w:r>
            <w:r>
              <w:rPr>
                <w:rFonts w:ascii="Calibri" w:eastAsia="宋体" w:hAnsi="Calibri" w:cs="Times New Roman"/>
                <w:szCs w:val="22"/>
                <w:highlight w:val="none"/>
              </w:rPr>
              <w:t>.7</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是否组织现场考察或开标前答疑会</w:t>
            </w:r>
          </w:p>
        </w:tc>
        <w:tc>
          <w:tcPr>
            <w:tcW w:w="5209" w:type="dxa"/>
            <w:noWrap w:val="0"/>
            <w:vAlign w:val="top"/>
          </w:tcPr>
          <w:p>
            <w:pPr>
              <w:rPr>
                <w:rFonts w:ascii="宋体" w:hAnsi="宋体" w:cs="微软雅黑" w:hint="eastAsia"/>
                <w:kern w:val="0"/>
                <w:szCs w:val="21"/>
                <w:highlight w:val="none"/>
              </w:rPr>
            </w:pPr>
            <w:bookmarkStart w:id="50" w:name="答疑会_answeringQuestionFlagText"/>
            <w:r>
              <w:rPr>
                <w:rFonts w:ascii="宋体" w:hAnsi="宋体" w:cs="微软雅黑" w:hint="eastAsia"/>
                <w:kern w:val="0"/>
                <w:szCs w:val="21"/>
                <w:highlight w:val="none"/>
              </w:rPr>
              <w:t>否</w:t>
            </w:r>
            <w:bookmarkEnd w:id="50"/>
          </w:p>
        </w:tc>
      </w:tr>
      <w:tr>
        <w:tblPrEx>
          <w:tblW w:w="9003" w:type="dxa"/>
          <w:tblInd w:w="0" w:type="dxa"/>
          <w:tblLayout w:type="fixed"/>
          <w:tblCellMar>
            <w:top w:w="0" w:type="dxa"/>
            <w:left w:w="108" w:type="dxa"/>
            <w:bottom w:w="0" w:type="dxa"/>
            <w:right w:w="108" w:type="dxa"/>
          </w:tblCellMar>
        </w:tblPrEx>
        <w:tc>
          <w:tcPr>
            <w:tcW w:w="675"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5</w:t>
            </w:r>
            <w:r>
              <w:rPr>
                <w:rFonts w:ascii="Calibri" w:eastAsia="宋体" w:hAnsi="Calibri" w:cs="Times New Roman"/>
                <w:szCs w:val="22"/>
                <w:highlight w:val="none"/>
              </w:rPr>
              <w:t>.</w:t>
            </w:r>
            <w:r>
              <w:rPr>
                <w:rFonts w:ascii="Calibri" w:eastAsia="宋体" w:hAnsi="Calibri" w:cs="Times New Roman" w:hint="eastAsia"/>
                <w:szCs w:val="22"/>
                <w:highlight w:val="none"/>
              </w:rPr>
              <w:t>13</w:t>
            </w:r>
          </w:p>
        </w:tc>
        <w:tc>
          <w:tcPr>
            <w:tcW w:w="1418" w:type="dxa"/>
            <w:noWrap w:val="0"/>
            <w:vAlign w:val="top"/>
          </w:tcPr>
          <w:p>
            <w:pPr>
              <w:rPr>
                <w:rFonts w:ascii="Calibri" w:eastAsia="宋体" w:hAnsi="Calibri" w:cs="Times New Roman"/>
                <w:highlight w:val="none"/>
              </w:rPr>
            </w:pPr>
            <w:r>
              <w:rPr>
                <w:rFonts w:ascii="Calibri" w:eastAsia="宋体" w:hAnsi="Calibri" w:cs="Times New Roman" w:hint="eastAsia"/>
                <w:szCs w:val="22"/>
                <w:highlight w:val="none"/>
              </w:rPr>
              <w:t>1.14.2、1.14.3</w:t>
            </w:r>
          </w:p>
        </w:tc>
        <w:tc>
          <w:tcPr>
            <w:tcW w:w="1701" w:type="dxa"/>
            <w:noWrap w:val="0"/>
            <w:vAlign w:val="top"/>
          </w:tcPr>
          <w:p>
            <w:pPr>
              <w:rPr>
                <w:rFonts w:ascii="Calibri" w:eastAsia="宋体" w:hAnsi="Calibri" w:cs="Times New Roman"/>
                <w:highlight w:val="none"/>
              </w:rPr>
            </w:pPr>
            <w:r>
              <w:rPr>
                <w:rFonts w:ascii="Calibri" w:eastAsia="宋体" w:hAnsi="Calibri" w:cs="Times New Roman" w:hint="eastAsia"/>
                <w:szCs w:val="21"/>
                <w:highlight w:val="none"/>
              </w:rPr>
              <w:t>投标人应提交其他商务文件和技术文件</w:t>
            </w:r>
          </w:p>
        </w:tc>
        <w:tc>
          <w:tcPr>
            <w:tcW w:w="5209" w:type="dxa"/>
            <w:noWrap w:val="0"/>
            <w:vAlign w:val="top"/>
          </w:tcPr>
          <w:p>
            <w:pPr>
              <w:rPr>
                <w:rFonts w:ascii="宋体" w:eastAsia="宋体" w:hAnsi="宋体" w:cs="微软雅黑"/>
                <w:kern w:val="0"/>
                <w:szCs w:val="21"/>
                <w:highlight w:val="none"/>
              </w:rPr>
            </w:pPr>
            <w:r>
              <w:rPr>
                <w:rFonts w:ascii="宋体" w:eastAsia="宋体" w:hAnsi="宋体" w:cs="微软雅黑" w:hint="eastAsia"/>
                <w:kern w:val="0"/>
                <w:szCs w:val="21"/>
                <w:highlight w:val="none"/>
              </w:rPr>
              <w:t>除通用册投标人须知要求提交的商务和技术文件外，投标人还应提交下列商务和技术文件：</w:t>
            </w:r>
          </w:p>
          <w:p>
            <w:pPr>
              <w:rPr>
                <w:rFonts w:ascii="Calibri" w:eastAsia="宋体" w:hAnsi="Calibri" w:cs="Times New Roman"/>
                <w:highlight w:val="none"/>
              </w:rPr>
            </w:pPr>
            <w:r>
              <w:rPr>
                <w:rFonts w:ascii="宋体" w:eastAsia="宋体" w:hAnsi="宋体" w:cs="微软雅黑" w:hint="eastAsia"/>
                <w:kern w:val="0"/>
                <w:szCs w:val="21"/>
                <w:highlight w:val="none"/>
              </w:rPr>
              <w:t>无</w:t>
            </w:r>
          </w:p>
        </w:tc>
      </w:tr>
      <w:tr>
        <w:tblPrEx>
          <w:tblW w:w="9003" w:type="dxa"/>
          <w:tblInd w:w="0" w:type="dxa"/>
          <w:tblLayout w:type="fixed"/>
          <w:tblCellMar>
            <w:top w:w="0" w:type="dxa"/>
            <w:left w:w="108" w:type="dxa"/>
            <w:bottom w:w="0" w:type="dxa"/>
            <w:right w:w="108" w:type="dxa"/>
          </w:tblCellMar>
        </w:tblPrEx>
        <w:trPr>
          <w:trHeight w:val="650"/>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5.14</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1.16.1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1" w:name="标保证金_bailFlagText"/>
            <w:r>
              <w:rPr>
                <w:rFonts w:asciiTheme="minorEastAsia" w:eastAsiaTheme="minorEastAsia" w:hAnsiTheme="minorEastAsia" w:cstheme="minorEastAsia" w:hint="eastAsia"/>
                <w:kern w:val="0"/>
                <w:szCs w:val="21"/>
                <w:highlight w:val="none"/>
              </w:rPr>
              <w:t>否</w:t>
            </w:r>
            <w:bookmarkEnd w:id="51"/>
          </w:p>
        </w:tc>
      </w:tr>
      <w:tr>
        <w:tblPrEx>
          <w:tblW w:w="9003" w:type="dxa"/>
          <w:tblInd w:w="0" w:type="dxa"/>
          <w:tblLayout w:type="fixed"/>
          <w:tblCellMar>
            <w:top w:w="0" w:type="dxa"/>
            <w:left w:w="108" w:type="dxa"/>
            <w:bottom w:w="0" w:type="dxa"/>
            <w:right w:w="108" w:type="dxa"/>
          </w:tblCellMar>
        </w:tblPrEx>
        <w:trPr>
          <w:trHeight w:val="12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5.15</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1.18.1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2" w:name="关键性工作_entrustingOthersFlagText"/>
            <w:r>
              <w:rPr>
                <w:rFonts w:ascii="Wingdings 2" w:hAnsi="Wingdings 2" w:cs="微软雅黑"/>
                <w:kern w:val="0"/>
                <w:szCs w:val="21"/>
                <w:highlight w:val="none"/>
              </w:rPr>
              <w:t>允许</w:t>
            </w:r>
            <w:bookmarkEnd w:id="52"/>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5.16</w:t>
            </w:r>
          </w:p>
        </w:tc>
        <w:tc>
          <w:tcPr>
            <w:tcW w:w="1418"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1.17.2</w:t>
            </w:r>
          </w:p>
        </w:tc>
        <w:tc>
          <w:tcPr>
            <w:tcW w:w="1701" w:type="dxa"/>
            <w:noWrap w:val="0"/>
            <w:vAlign w:val="center"/>
          </w:tcPr>
          <w:p>
            <w:pPr>
              <w:rPr>
                <w:rFonts w:ascii="Times New Roman" w:eastAsia="宋体" w:hAnsi="Times New Roman" w:cs="Times New Roman" w:hint="eastAsia"/>
                <w:szCs w:val="21"/>
                <w:highlight w:val="none"/>
              </w:rPr>
            </w:pPr>
            <w:r>
              <w:rPr>
                <w:rFonts w:ascii="Times New Roman" w:eastAsia="宋体" w:hAnsi="Times New Roman" w:cs="Times New Roman" w:hint="eastAsia"/>
                <w:szCs w:val="21"/>
                <w:highlight w:val="none"/>
              </w:rPr>
              <w:t>项目预算</w:t>
            </w:r>
          </w:p>
        </w:tc>
        <w:tc>
          <w:tcPr>
            <w:tcW w:w="5209" w:type="dxa"/>
            <w:noWrap w:val="0"/>
            <w:vAlign w:val="center"/>
          </w:tcPr>
          <w:p>
            <w:pPr>
              <w:rPr>
                <w:rFonts w:ascii="宋体" w:eastAsia="宋体" w:hAnsi="宋体" w:cs="微软雅黑" w:hint="eastAsia"/>
                <w:kern w:val="0"/>
                <w:szCs w:val="21"/>
                <w:highlight w:val="none"/>
              </w:rPr>
            </w:pPr>
            <w:r>
              <w:rPr>
                <w:rFonts w:ascii="Times New Roman" w:eastAsia="宋体" w:hAnsi="Times New Roman" w:cs="Times New Roman" w:hint="eastAsia"/>
                <w:szCs w:val="21"/>
                <w:highlight w:val="none"/>
              </w:rPr>
              <w:t>本项目采购预算（或最高限价）为人民币</w:t>
            </w:r>
            <w:r>
              <w:rPr>
                <w:rFonts w:ascii="宋体" w:eastAsia="宋体" w:hAnsi="宋体" w:cs="微软雅黑" w:hint="eastAsia"/>
                <w:kern w:val="0"/>
                <w:szCs w:val="21"/>
                <w:highlight w:val="none"/>
              </w:rPr>
              <w:t xml:space="preserve">  </w:t>
            </w:r>
            <w:bookmarkStart w:id="53" w:name="预算金额_budgetAmount"/>
            <w:r>
              <w:rPr>
                <w:rFonts w:ascii="宋体" w:hAnsi="宋体" w:cs="微软雅黑" w:hint="eastAsia"/>
                <w:kern w:val="0"/>
                <w:szCs w:val="21"/>
                <w:highlight w:val="none"/>
              </w:rPr>
              <w:t>1,095.000000</w:t>
            </w:r>
            <w:bookmarkEnd w:id="53"/>
            <w:r>
              <w:rPr>
                <w:rFonts w:ascii="宋体" w:eastAsia="宋体" w:hAnsi="宋体" w:cs="微软雅黑" w:hint="eastAsia"/>
                <w:kern w:val="0"/>
                <w:szCs w:val="21"/>
                <w:highlight w:val="none"/>
              </w:rPr>
              <w:t>万</w:t>
            </w:r>
            <w:r>
              <w:rPr>
                <w:rFonts w:ascii="宋体" w:hAnsi="宋体" w:cs="微软雅黑" w:hint="eastAsia"/>
                <w:kern w:val="0"/>
                <w:szCs w:val="21"/>
                <w:highlight w:val="none"/>
              </w:rPr>
              <w:t>元</w:t>
            </w:r>
            <w:bookmarkStart w:id="54" w:name="预算明细_packMoneyDetail"/>
            <w:r>
              <w:rPr>
                <w:rFonts w:hint="eastAsia"/>
                <w:szCs w:val="21"/>
                <w:highlight w:val="none"/>
              </w:rPr>
              <w:t>,包 1 采购预算(或最高限价)为人民币 1,095.000000 万元</w:t>
            </w:r>
            <w:bookmarkEnd w:id="54"/>
            <w:r>
              <w:rPr>
                <w:rFonts w:hint="eastAsia"/>
                <w:szCs w:val="21"/>
                <w:highlight w:val="none"/>
              </w:rPr>
              <w:t>。</w:t>
            </w:r>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5.17</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1.20.1</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投标有效期</w:t>
            </w:r>
          </w:p>
        </w:tc>
        <w:tc>
          <w:tcPr>
            <w:tcW w:w="5209" w:type="dxa"/>
            <w:noWrap w:val="0"/>
            <w:vAlign w:val="center"/>
          </w:tcPr>
          <w:p>
            <w:pPr>
              <w:rPr>
                <w:rFonts w:ascii="Times New Roman" w:eastAsia="宋体" w:hAnsi="Times New Roman" w:cs="Times New Roman"/>
                <w:szCs w:val="21"/>
                <w:highlight w:val="none"/>
              </w:rPr>
            </w:pPr>
            <w:bookmarkStart w:id="55" w:name="投标有效期_bidExpirationDate"/>
            <w:r>
              <w:rPr>
                <w:rFonts w:ascii="宋体" w:hAnsi="宋体" w:cs="微软雅黑" w:hint="eastAsia"/>
                <w:kern w:val="0"/>
                <w:szCs w:val="21"/>
                <w:highlight w:val="none"/>
              </w:rPr>
              <w:t>120日历天</w:t>
            </w:r>
            <w:bookmarkEnd w:id="55"/>
          </w:p>
        </w:tc>
      </w:tr>
      <w:tr>
        <w:tblPrEx>
          <w:tblW w:w="9003" w:type="dxa"/>
          <w:tblInd w:w="0" w:type="dxa"/>
          <w:tblLayout w:type="fixed"/>
          <w:tblCellMar>
            <w:top w:w="0" w:type="dxa"/>
            <w:left w:w="108" w:type="dxa"/>
            <w:bottom w:w="0" w:type="dxa"/>
            <w:right w:w="108" w:type="dxa"/>
          </w:tblCellMar>
        </w:tblPrEx>
        <w:trPr>
          <w:trHeight w:val="556"/>
        </w:trPr>
        <w:tc>
          <w:tcPr>
            <w:tcW w:w="675" w:type="dxa"/>
            <w:noWrap w:val="0"/>
            <w:vAlign w:val="center"/>
          </w:tcPr>
          <w:p>
            <w:pPr>
              <w:rPr>
                <w:rFonts w:ascii="Times New Roman" w:eastAsia="宋体" w:hAnsi="Times New Roman" w:cs="Times New Roman"/>
                <w:szCs w:val="21"/>
                <w:highlight w:val="none"/>
              </w:rPr>
            </w:pPr>
            <w:r>
              <w:rPr>
                <w:rFonts w:hint="eastAsia"/>
                <w:szCs w:val="21"/>
              </w:rPr>
              <w:t>5.18</w:t>
            </w:r>
          </w:p>
        </w:tc>
        <w:tc>
          <w:tcPr>
            <w:tcW w:w="1418" w:type="dxa"/>
            <w:noWrap w:val="0"/>
            <w:vAlign w:val="center"/>
          </w:tcPr>
          <w:p>
            <w:pPr>
              <w:rPr>
                <w:rFonts w:ascii="Times New Roman" w:eastAsia="宋体" w:hAnsi="Times New Roman" w:cs="Times New Roman"/>
                <w:szCs w:val="21"/>
                <w:highlight w:val="none"/>
              </w:rPr>
            </w:pPr>
            <w:r>
              <w:rPr>
                <w:rFonts w:hint="eastAsia"/>
                <w:szCs w:val="21"/>
              </w:rPr>
              <w:t>1.22</w:t>
            </w:r>
          </w:p>
        </w:tc>
        <w:tc>
          <w:tcPr>
            <w:tcW w:w="1701" w:type="dxa"/>
            <w:noWrap w:val="0"/>
            <w:vAlign w:val="center"/>
          </w:tcPr>
          <w:p>
            <w:pPr>
              <w:rPr>
                <w:rFonts w:ascii="Times New Roman" w:eastAsia="宋体" w:hAnsi="Times New Roman" w:cs="Times New Roman"/>
                <w:szCs w:val="21"/>
                <w:highlight w:val="none"/>
              </w:rPr>
            </w:pPr>
            <w:r>
              <w:rPr>
                <w:rFonts w:hint="eastAsia"/>
                <w:szCs w:val="21"/>
              </w:rPr>
              <w:t>投标文件递交</w:t>
            </w:r>
          </w:p>
        </w:tc>
        <w:tc>
          <w:tcPr>
            <w:tcW w:w="5209" w:type="dxa"/>
            <w:noWrap w:val="0"/>
            <w:vAlign w:val="center"/>
          </w:tcPr>
          <w:p>
            <w:pPr>
              <w:rPr>
                <w:rFonts w:ascii="Times New Roman" w:eastAsia="宋体" w:hAnsi="Times New Roman" w:cs="Times New Roman"/>
                <w:szCs w:val="21"/>
                <w:highlight w:val="none"/>
              </w:rPr>
            </w:pPr>
            <w:r>
              <w:rPr>
                <w:rFonts w:ascii="宋体" w:hAnsi="宋体" w:hint="eastAsia"/>
                <w:bCs/>
                <w:szCs w:val="21"/>
              </w:rPr>
              <w:t>通过系统</w:t>
            </w:r>
            <w:r>
              <w:rPr>
                <w:rFonts w:ascii="宋体" w:hAnsi="Calibri" w:cs="微软雅黑" w:hint="eastAsia"/>
                <w:szCs w:val="21"/>
              </w:rPr>
              <w:t>上传加密的电子投标文件</w:t>
            </w:r>
            <w:bookmarkStart w:id="56" w:name="_GoBack"/>
            <w:bookmarkEnd w:id="56"/>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5.19</w:t>
            </w:r>
          </w:p>
        </w:tc>
        <w:tc>
          <w:tcPr>
            <w:tcW w:w="1418"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1.26.2</w:t>
            </w: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是否进行述标</w:t>
            </w:r>
          </w:p>
        </w:tc>
        <w:tc>
          <w:tcPr>
            <w:tcW w:w="5209" w:type="dxa"/>
            <w:noWrap w:val="0"/>
            <w:vAlign w:val="center"/>
          </w:tcPr>
          <w:p>
            <w:pPr>
              <w:rPr>
                <w:rFonts w:ascii="宋体" w:eastAsia="宋体" w:hAnsi="宋体" w:cs="微软雅黑"/>
                <w:kern w:val="0"/>
                <w:szCs w:val="21"/>
                <w:highlight w:val="none"/>
              </w:rPr>
            </w:pPr>
            <w:bookmarkStart w:id="57" w:name="进行述标_describeStandardFlagText"/>
            <w:r>
              <w:rPr>
                <w:rFonts w:ascii="宋体" w:eastAsia="宋体" w:hAnsi="宋体" w:cs="微软雅黑" w:hint="eastAsia"/>
                <w:kern w:val="0"/>
                <w:szCs w:val="21"/>
                <w:highlight w:val="none"/>
              </w:rPr>
              <w:t>否</w:t>
            </w:r>
            <w:bookmarkEnd w:id="57"/>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5.20</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采购资金的支付方式、时间、条件</w:t>
            </w:r>
          </w:p>
        </w:tc>
        <w:tc>
          <w:tcPr>
            <w:tcW w:w="5209" w:type="dxa"/>
            <w:noWrap w:val="0"/>
            <w:vAlign w:val="center"/>
          </w:tcPr>
          <w:p>
            <w:pPr>
              <w:rPr>
                <w:rFonts w:ascii="宋体" w:eastAsia="宋体" w:hAnsi="宋体" w:cs="Times New Roman"/>
                <w:szCs w:val="21"/>
                <w:highlight w:val="none"/>
              </w:rPr>
            </w:pPr>
            <w:r>
              <w:rPr>
                <w:rFonts w:ascii="Times New Roman" w:eastAsia="宋体" w:hAnsi="Times New Roman" w:cs="Times New Roman" w:hint="eastAsia"/>
                <w:szCs w:val="21"/>
                <w:highlight w:val="none"/>
              </w:rPr>
              <w:t>详见第九章采购合同</w:t>
            </w:r>
          </w:p>
        </w:tc>
      </w:tr>
      <w:tr>
        <w:tblPrEx>
          <w:tblW w:w="9003" w:type="dxa"/>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5.21</w:t>
            </w:r>
          </w:p>
        </w:tc>
        <w:tc>
          <w:tcPr>
            <w:tcW w:w="1418" w:type="dxa"/>
            <w:noWrap w:val="0"/>
            <w:vAlign w:val="center"/>
          </w:tcPr>
          <w:p>
            <w:pPr>
              <w:rPr>
                <w:rFonts w:ascii="Times New Roman" w:eastAsia="宋体" w:hAnsi="Times New Roman" w:cs="Times New Roman"/>
                <w:szCs w:val="21"/>
                <w:highlight w:val="none"/>
              </w:rPr>
            </w:pPr>
          </w:p>
        </w:tc>
        <w:tc>
          <w:tcPr>
            <w:tcW w:w="1701" w:type="dxa"/>
            <w:noWrap w:val="0"/>
            <w:vAlign w:val="center"/>
          </w:tcPr>
          <w:p>
            <w:pPr>
              <w:rPr>
                <w:rFonts w:ascii="Times New Roman" w:eastAsia="宋体" w:hAnsi="Times New Roman" w:cs="Times New Roman"/>
                <w:szCs w:val="21"/>
                <w:highlight w:val="none"/>
              </w:rPr>
            </w:pPr>
            <w:r>
              <w:rPr>
                <w:rFonts w:ascii="Times New Roman" w:eastAsia="宋体" w:hAnsi="Times New Roman" w:cs="Times New Roman" w:hint="eastAsia"/>
                <w:szCs w:val="21"/>
                <w:highlight w:val="none"/>
              </w:rPr>
              <w:t>其他事项</w:t>
            </w:r>
          </w:p>
        </w:tc>
        <w:tc>
          <w:tcPr>
            <w:tcW w:w="5209" w:type="dxa"/>
            <w:noWrap w:val="0"/>
            <w:vAlign w:val="center"/>
          </w:tcPr>
          <w:p>
            <w:pPr>
              <w:rPr>
                <w:rFonts w:ascii="Times New Roman" w:eastAsia="宋体" w:hAnsi="Times New Roman" w:cs="Times New Roman"/>
                <w:szCs w:val="21"/>
                <w:highlight w:val="none"/>
              </w:rPr>
            </w:pPr>
            <w:bookmarkStart w:id="58" w:name="其他事项_ottherReemarks"/>
            <w:r>
              <w:rPr>
                <w:rFonts w:ascii="Times New Roman" w:eastAsia="宋体" w:hAnsi="Times New Roman" w:cs="Times New Roman"/>
                <w:szCs w:val="21"/>
                <w:highlight w:val="none"/>
              </w:rPr>
              <w:t>无</w:t>
            </w:r>
            <w:bookmarkEnd w:id="58"/>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8"/>
    </w:p>
    <w:p>
      <w:pPr>
        <w:spacing w:before="156" w:beforeLines="50" w:line="360" w:lineRule="auto"/>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jc w:val="left"/>
        <w:rPr>
          <w:rFonts w:ascii="宋体" w:hAnsi="宋体"/>
          <w:szCs w:val="21"/>
          <w:highlight w:val="none"/>
        </w:rPr>
      </w:pPr>
      <w:r>
        <w:rPr>
          <w:rFonts w:hint="eastAsia"/>
          <w:b/>
          <w:sz w:val="30"/>
          <w:szCs w:val="30"/>
          <w:highlight w:val="none"/>
        </w:rPr>
        <w:t xml:space="preserve">   </w:t>
      </w: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12" w:firstLineChars="196"/>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highlight w:val="none"/>
        </w:rPr>
      </w:pPr>
      <w:r>
        <w:rPr>
          <w:rFonts w:ascii="宋体" w:hAnsi="宋体" w:hint="eastAsia"/>
          <w:szCs w:val="21"/>
          <w:highlight w:val="none"/>
        </w:rPr>
        <w:t>评分标准见下表</w:t>
      </w:r>
      <w:r>
        <w:rPr>
          <w:rFonts w:hint="eastAsia"/>
          <w:highlight w:val="none"/>
        </w:rPr>
        <w:t>。</w:t>
      </w:r>
    </w:p>
    <w:p>
      <w:pPr>
        <w:spacing w:line="360" w:lineRule="auto"/>
        <w:jc w:val="left"/>
        <w:rPr>
          <w:highlight w:val="none"/>
        </w:rPr>
      </w:pPr>
    </w:p>
    <w:p w:rsidR="00A77B3E">
      <w:bookmarkStart w:id="59"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67"/>
        <w:gridCol w:w="274"/>
        <w:gridCol w:w="914"/>
        <w:gridCol w:w="274"/>
        <w:gridCol w:w="737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(10)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投标人非强制资质要求（客观分）</w:t>
            </w:r>
          </w:p>
        </w:tc>
        <w:tc>
          <w:tcPr/>
          <w:p>
            <w:r>
              <w:t>勾选打分</w:t>
            </w:r>
            <w:r>
              <w:t>(4)</w:t>
            </w:r>
          </w:p>
        </w:tc>
        <w:tc>
          <w:tcPr/>
          <w:p>
            <w:r>
              <w:t>评审标准：</w:t>
            </w:r>
          </w:p>
          <w:p>
            <w:r>
              <w:t xml:space="preserve">1、投标人具有 ISO9001或GB/T19001质量管理体系认证。  </w:t>
              <w:cr/>
              <w:t xml:space="preserve">2、投标人具有ISO/IEC 20000信息技术服务管理体系认证。  </w:t>
              <w:cr/>
              <w:t>3、投标人具有ISO27001信息安全管理体系认证或ISO/IEC 27701隐私信息管理体系认证。</w:t>
              <w:cr/>
              <w:t xml:space="preserve"> 4、投标人具有GB/T 29490知识产权管理体系认证或ISO/IEC 42001人工智能管理体系认证。 </w:t>
              <w:cr/>
              <w:t>以上每有一个证书得1分，满分4分。否则不得分。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(8)</w:t>
            </w:r>
          </w:p>
        </w:tc>
        <w:tc>
          <w:tcPr/>
          <w:p>
            <w:r>
              <w:t>评审标准：</w:t>
            </w:r>
          </w:p>
          <w:p>
            <w:r>
              <w:t>每提供1份合同得2分，最多得8分。否则不得分。</w:t>
            </w:r>
          </w:p>
          <w:p>
            <w:r>
              <w:t>评审标准说明：</w:t>
            </w:r>
          </w:p>
          <w:p>
            <w:r>
              <w:t>1、需提供投标人的软件开发合同（必须包括合同首页、金额页、标的页、签字盖章页）复印件并加盖投标人公章。</w:t>
              <w:cr/>
              <w:t>2、合同签署日期为投标截止日前三年内。如合同无签署日期无效。</w:t>
              <w:cr/>
              <w:t>3、合同标的必须包括与本项目类似的（大语言模型开发、大语言模型评估、智能体开发等）软件开发。</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tcPr>
          <w:p>
            <w:r>
              <w:t>商务部分</w:t>
            </w:r>
          </w:p>
        </w:tc>
        <w:tc>
          <w:tcPr/>
          <w:p>
            <w:r>
              <w:t>用户满意度证明（客观分）</w:t>
            </w:r>
          </w:p>
        </w:tc>
        <w:tc>
          <w:tcPr/>
          <w:p>
            <w:r>
              <w:t>勾选打分</w:t>
            </w:r>
            <w:r>
              <w:t>(6)</w:t>
            </w:r>
          </w:p>
        </w:tc>
        <w:tc>
          <w:tcPr/>
          <w:p>
            <w:r>
              <w:t>评审标准：</w:t>
            </w:r>
          </w:p>
          <w:p>
            <w:r>
              <w:t>每提供 1份用户满意度证明得2分，最多得6分。</w:t>
            </w:r>
          </w:p>
          <w:p>
            <w:r>
              <w:t>评审标准说明：</w:t>
            </w:r>
          </w:p>
          <w:p>
            <w:r>
              <w:t>投标人提供投标截止日前三年内用户出具的与本项目类似的（大语言模型开发、大语言模型评估、智能体开发等）软件开发项目评价良好的证明文件（包括用户单位联系人及联系方式），并加盖投标人公章。</w:t>
            </w:r>
          </w:p>
          <w:p/>
        </w:tc>
      </w:tr>
      <w:tr>
        <w:tblPrEx>
          <w:tblW w:w="5000" w:type="pct"/>
          <w:tblCellMar>
            <w:left w:w="108" w:type="dxa"/>
            <w:right w:w="108" w:type="dxa"/>
          </w:tblCellMar>
        </w:tblPrEx>
        <w:tc>
          <w:tcPr/>
          <w:p>
            <w:r>
              <w:t>5</w:t>
            </w:r>
          </w:p>
        </w:tc>
        <w:tc>
          <w:tcPr>
            <w:vMerge/>
          </w:tcPr>
          <w:p>
            <w:r>
              <w:t>商务部分</w:t>
            </w:r>
          </w:p>
        </w:tc>
        <w:tc>
          <w:tcPr/>
          <w:p>
            <w:r>
              <w:t>投标人实力（客观分）</w:t>
            </w:r>
          </w:p>
        </w:tc>
        <w:tc>
          <w:tcPr/>
          <w:p>
            <w:r>
              <w:t>勾选打分</w:t>
            </w:r>
            <w:r>
              <w:t>(8)</w:t>
            </w:r>
          </w:p>
        </w:tc>
        <w:tc>
          <w:tcPr/>
          <w:p>
            <w:r>
              <w:t>评审标准：</w:t>
            </w:r>
          </w:p>
          <w:p>
            <w:r>
              <w:t>1、投标人在大模型技术领域拥有自主知识产权，得1分。</w:t>
              <w:cr/>
              <w:t xml:space="preserve">2、投标人具有在国家互联网信息办公室备案的生成式人工智能服务，得1分。 </w:t>
              <w:cr/>
              <w:t>3、投标人具有在国家互联网信息办公室备案的大模型相关算法，每个算法得1分，最多得3分。</w:t>
              <w:cr/>
              <w:t>4、投标人具有相关大模型或智能体开发案例，每个案例得1分，最多得3分。</w:t>
            </w:r>
          </w:p>
          <w:p>
            <w:r>
              <w:t>评审标准说明：</w:t>
            </w:r>
          </w:p>
          <w:p>
            <w:r>
              <w:t>需提供相关证明材料（如专利证书、备案回执、网站截图、案例说明、项目验收证明，或者其他能证明上述事项的材料）。所有证明材料均需加盖投标人公章。</w:t>
            </w:r>
          </w:p>
          <w:p/>
        </w:tc>
      </w:tr>
      <w:tr>
        <w:tblPrEx>
          <w:tblW w:w="5000" w:type="pct"/>
          <w:tblCellMar>
            <w:left w:w="108" w:type="dxa"/>
            <w:right w:w="108" w:type="dxa"/>
          </w:tblCellMar>
        </w:tblPrEx>
        <w:tc>
          <w:tcPr/>
          <w:p>
            <w:r>
              <w:t>6</w:t>
            </w:r>
          </w:p>
        </w:tc>
        <w:tc>
          <w:tcPr>
            <w:vMerge w:val="restart"/>
          </w:tcPr>
          <w:p>
            <w:r>
              <w:t>服务部分</w:t>
            </w:r>
          </w:p>
        </w:tc>
        <w:tc>
          <w:tcPr/>
          <w:p>
            <w:r>
              <w:t>服务团队（客观分）</w:t>
            </w:r>
          </w:p>
        </w:tc>
        <w:tc>
          <w:tcPr/>
          <w:p>
            <w:r>
              <w:t>区间打分</w:t>
            </w:r>
            <w:r>
              <w:t>(13)</w:t>
            </w:r>
          </w:p>
        </w:tc>
        <w:tc>
          <w:tcPr/>
          <w:p>
            <w:r>
              <w:t>评审标准：</w:t>
            </w:r>
          </w:p>
          <w:p>
            <w:r>
              <w:t xml:space="preserve">投标人应组成本项目开发服务团队，团队组织结构清晰，人员专业背景齐全。具体如下：  </w:t>
              <w:cr/>
              <w:t xml:space="preserve">1、团队人数至少15人，其中驻场人员至少10人，应配备有服务团队负责人（项目经理）、首席技术专家承担本项目工作。完全满足得3分，否则不得分。 </w:t>
              <w:cr/>
              <w:t>2、团队负责人（项目经理）应具有计算机软件相关专业背景，获得PMP证书（项目管理专业人员资格认证）或信息系统项目管理师（高级）证书，有大模型相关项目工作经验3年以上。完全满足得2分，否则不得分。</w:t>
              <w:cr/>
              <w:t>3、首席技术专家应具有计算机科学或人工智能相关专业背景，3年以上人工智能相关领域项目经验。完全满足得2分，否则不得分。</w:t>
              <w:cr/>
              <w:t>4、除团队负责人（项目经理）和首席技术专家外，团队其他成员每有1人具有计算机软件相关的专业背景，且具有2年以上同类项目开发经历的，得1分，最高4分。</w:t>
              <w:cr/>
              <w:t>5、除团队负责人（项目经理）和首席技术专家外，团队其他成员每有1人具气象相关的专业背景，且具有2年以上同类项目开发经历的，得1分，最高2分。</w:t>
              <w:cr/>
              <w:t>以上4、5人员不重复计算。</w:t>
            </w:r>
          </w:p>
          <w:p>
            <w:r>
              <w:t>评审标准说明：</w:t>
            </w:r>
          </w:p>
          <w:p>
            <w:r>
              <w:t>须提供团队人员名单（包括身份证复印件）及背景材料（证书复印件、技术能力、从业及相关项目经验等），同时提供投标截止日前6个月内任意1个月团队人员在投标人所在公司的社保缴纳证明（投标人为新成立公司，或者有关人员为退休人员的，可提供聘用合同）。以上材料需加盖投标人公章。</w:t>
              <w:cr/>
            </w:r>
          </w:p>
          <w:p/>
        </w:tc>
      </w:tr>
      <w:tr>
        <w:tblPrEx>
          <w:tblW w:w="5000" w:type="pct"/>
          <w:tblCellMar>
            <w:left w:w="108" w:type="dxa"/>
            <w:right w:w="108" w:type="dxa"/>
          </w:tblCellMar>
        </w:tblPrEx>
        <w:tc>
          <w:tcPr/>
          <w:p>
            <w:r>
              <w:t>7</w:t>
            </w:r>
          </w:p>
        </w:tc>
        <w:tc>
          <w:tcPr>
            <w:vMerge/>
          </w:tcPr>
          <w:p>
            <w:r>
              <w:t>服务部分</w:t>
            </w:r>
          </w:p>
        </w:tc>
        <w:tc>
          <w:tcPr/>
          <w:p>
            <w:r>
              <w:t>质保期内需求变更（客观分）</w:t>
            </w:r>
          </w:p>
        </w:tc>
        <w:tc>
          <w:tcPr/>
          <w:p>
            <w:r>
              <w:t>勾选打分</w:t>
            </w:r>
            <w:r>
              <w:t>(6)</w:t>
            </w:r>
          </w:p>
        </w:tc>
        <w:tc>
          <w:tcPr/>
          <w:p>
            <w:r>
              <w:t>评审标准：</w:t>
            </w:r>
          </w:p>
          <w:p>
            <w:r>
              <w:t>提供书面承诺得6分。</w:t>
            </w:r>
          </w:p>
          <w:p>
            <w:r>
              <w:t>评审标准说明：</w:t>
            </w:r>
          </w:p>
          <w:p>
            <w:r>
              <w:t>书面承诺质量保证期内采购人免费拥有20%的软件需求变更权利。</w:t>
            </w:r>
          </w:p>
          <w:p/>
        </w:tc>
      </w:tr>
      <w:tr>
        <w:tblPrEx>
          <w:tblW w:w="5000" w:type="pct"/>
          <w:tblCellMar>
            <w:left w:w="108" w:type="dxa"/>
            <w:right w:w="108" w:type="dxa"/>
          </w:tblCellMar>
        </w:tblPrEx>
        <w:tc>
          <w:tcPr/>
          <w:p>
            <w:r>
              <w:t>8</w:t>
            </w:r>
          </w:p>
        </w:tc>
        <w:tc>
          <w:tcPr>
            <w:vMerge/>
          </w:tcPr>
          <w:p>
            <w:r>
              <w:t>服务部分</w:t>
            </w:r>
          </w:p>
        </w:tc>
        <w:tc>
          <w:tcPr/>
          <w:p>
            <w:r>
              <w:t>培训方案（主观分）</w:t>
            </w:r>
          </w:p>
        </w:tc>
        <w:tc>
          <w:tcPr/>
          <w:p>
            <w:r>
              <w:t>勾选打分</w:t>
            </w:r>
            <w:r>
              <w:t>(2)</w:t>
            </w:r>
          </w:p>
        </w:tc>
        <w:tc>
          <w:tcPr/>
          <w:p>
            <w:r>
              <w:t>评审标准：</w:t>
            </w:r>
          </w:p>
          <w:p>
            <w:r>
              <w:t>一档0分</w:t>
              <w:cr/>
              <w:t>二档0.5分</w:t>
              <w:cr/>
              <w:t>三档1分</w:t>
              <w:cr/>
              <w:t>四档2分</w:t>
            </w:r>
          </w:p>
          <w:p>
            <w:r>
              <w:t>评审标准说明：</w:t>
            </w:r>
          </w:p>
          <w:p>
            <w:r>
              <w:t xml:space="preserve">投标人应提供该项评审标准中要求的培训课时及培训人数的承诺，以及培训方案。承诺的培训课时及培训人数达不到要求，或者培训课时与培训方案中课表的课时不符，视同未承诺。具体标准评分如下： </w:t>
              <w:cr/>
              <w:t xml:space="preserve">一档：未同时提供承诺和培训方案； </w:t>
              <w:cr/>
              <w:t xml:space="preserve">二档：同时提供承诺和培训方案，但培训方案不完整（指缺失培训计划、培训材料（讲义）、培训课表、主要授课教师介绍任意一项）； </w:t>
              <w:cr/>
              <w:t xml:space="preserve">三档：同时提供承诺和培训方案，培训方案完整，但课程设计重点不突出或针对性不强，基本满足采购文件需求； </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9</w:t>
            </w:r>
          </w:p>
        </w:tc>
        <w:tc>
          <w:tcPr>
            <w:vMerge/>
          </w:tcPr>
          <w:p>
            <w:r>
              <w:t>服务部分</w:t>
            </w:r>
          </w:p>
        </w:tc>
        <w:tc>
          <w:tcPr/>
          <w:p>
            <w:r>
              <w:t>售后服务方案（主观分）</w:t>
            </w:r>
          </w:p>
        </w:tc>
        <w:tc>
          <w:tcPr/>
          <w:p>
            <w:r>
              <w:t>勾选打分</w:t>
            </w:r>
            <w:r>
              <w:t>(5)</w:t>
            </w:r>
          </w:p>
        </w:tc>
        <w:tc>
          <w:tcPr/>
          <w:p>
            <w:r>
              <w:t>评审标准：</w:t>
            </w:r>
          </w:p>
          <w:p>
            <w:r>
              <w:t>一档0分</w:t>
              <w:cr/>
              <w:t>二档1分</w:t>
              <w:cr/>
              <w:t>三档3分</w:t>
              <w:cr/>
              <w:t>四档5分</w:t>
            </w:r>
          </w:p>
          <w:p>
            <w:r>
              <w:t>评审标准说明：</w:t>
            </w:r>
          </w:p>
          <w:p>
            <w:r>
              <w:t xml:space="preserve">根据投标人提供售后服务方案进行评分。售后服务方案应包括售后服务响应速度、售后服务承诺、技术支持服务、售后人员配置等。具体评分标准如下： </w:t>
              <w:cr/>
              <w:t xml:space="preserve">一档：未提供售后服务方案； </w:t>
              <w:cr/>
              <w:t xml:space="preserve">二档：售后服务方案不完整（指缺失售后服务响应速度、售后服务承诺、技术支持服务、售后人员配置中任一项内容）； </w:t>
              <w:cr/>
              <w:t xml:space="preserve">三档：售后服务方案完整，但针对性一般，没有建立合理的技术支持机构或技术支持小组，技术支持内容不明确；或者未提供质保期内的7×24小时电话技术支持和保修的承诺。 </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10</w:t>
            </w:r>
          </w:p>
        </w:tc>
        <w:tc>
          <w:tcPr>
            <w:vMerge/>
          </w:tcPr>
          <w:p>
            <w:r>
              <w:t>服务部分</w:t>
            </w:r>
          </w:p>
        </w:tc>
        <w:tc>
          <w:tcPr/>
          <w:p>
            <w:r>
              <w:t>质量保障与实施方案（主观分）</w:t>
            </w:r>
          </w:p>
        </w:tc>
        <w:tc>
          <w:tcPr/>
          <w:p>
            <w:r>
              <w:t>勾选打分</w:t>
            </w:r>
            <w:r>
              <w:t>(2)</w:t>
            </w:r>
          </w:p>
        </w:tc>
        <w:tc>
          <w:tcPr/>
          <w:p>
            <w:r>
              <w:t>评审标准：</w:t>
            </w:r>
          </w:p>
          <w:p>
            <w:r>
              <w:t>一档0分</w:t>
              <w:cr/>
              <w:t>二档0.5分</w:t>
              <w:cr/>
              <w:t>三档1分</w:t>
              <w:cr/>
              <w:t>四档2分</w:t>
            </w:r>
          </w:p>
          <w:p>
            <w:r>
              <w:t>评审标准说明：</w:t>
            </w:r>
          </w:p>
          <w:p>
            <w:r>
              <w:t xml:space="preserve">提供质量保障与实施方案，提出合理的项目全过程质量保证措施，过程检查有明确依据，质量保证工作量化。 </w:t>
              <w:cr/>
              <w:t xml:space="preserve">一档：未提供质量保障与实施方案。 </w:t>
              <w:cr/>
              <w:t xml:space="preserve">二档：方案内容不完整，无进度控制保证具体措施或措施无可行性、针对性； </w:t>
              <w:cr/>
              <w:t xml:space="preserve">三档：方案内容较完整、详细，进度控制保证措施有一定的针对性、可行性。 </w:t>
              <w:cr/>
              <w:t>四档：方案内容完整、详细，项目组织机构清晰，进度控制保证措施有力，针对性强，切实可行。</w:t>
            </w:r>
          </w:p>
          <w:p/>
        </w:tc>
      </w:tr>
      <w:tr>
        <w:tblPrEx>
          <w:tblW w:w="5000" w:type="pct"/>
          <w:tblCellMar>
            <w:left w:w="108" w:type="dxa"/>
            <w:right w:w="108" w:type="dxa"/>
          </w:tblCellMar>
        </w:tblPrEx>
        <w:tc>
          <w:tcPr/>
          <w:p>
            <w:r>
              <w:t>11</w:t>
            </w:r>
          </w:p>
        </w:tc>
        <w:tc>
          <w:tcPr>
            <w:vMerge w:val="restart"/>
          </w:tcPr>
          <w:p>
            <w:r>
              <w:t>技术部分</w:t>
            </w:r>
          </w:p>
        </w:tc>
        <w:tc>
          <w:tcPr/>
          <w:p>
            <w:r>
              <w:t>软件开发计划（主观分）</w:t>
            </w:r>
          </w:p>
        </w:tc>
        <w:tc>
          <w:tcPr/>
          <w:p>
            <w:r>
              <w:t>勾选打分</w:t>
            </w:r>
            <w:r>
              <w:t>(2)</w:t>
            </w:r>
          </w:p>
        </w:tc>
        <w:tc>
          <w:tcPr/>
          <w:p>
            <w:r>
              <w:t>评审标准：</w:t>
            </w:r>
          </w:p>
          <w:p>
            <w:r>
              <w:t>一档0分</w:t>
              <w:cr/>
              <w:t>二档0.5分</w:t>
              <w:cr/>
              <w:t>三档1分</w:t>
              <w:cr/>
              <w:t>四档2分</w:t>
            </w:r>
          </w:p>
          <w:p>
            <w:r>
              <w:t>评审标准说明：</w:t>
            </w:r>
          </w:p>
          <w:p>
            <w:r>
              <w:t>提供软件开发计划。具体评分标准如下：</w:t>
              <w:cr/>
              <w:t>一档：未提供软件开发计划。</w:t>
              <w:cr/>
              <w:t>二档：软件开发计划不完整，无针对性，软件开发工作分解与人员安排合理性一般，里程碑设计不合理；</w:t>
              <w:cr/>
              <w:t>三档：软件开发计划较完整，有一定针对性，软件开发工作分解与人员安排合理，里程碑设计一般；</w:t>
              <w:cr/>
              <w:t>四档：软件开发计划完整可行，针对性强，软件开发工作分解与人员安排合理，里程碑设计合理。</w:t>
            </w:r>
          </w:p>
          <w:p/>
        </w:tc>
      </w:tr>
      <w:tr>
        <w:tblPrEx>
          <w:tblW w:w="5000" w:type="pct"/>
          <w:tblCellMar>
            <w:left w:w="108" w:type="dxa"/>
            <w:right w:w="108" w:type="dxa"/>
          </w:tblCellMar>
        </w:tblPrEx>
        <w:tc>
          <w:tcPr/>
          <w:p>
            <w:r>
              <w:t>12</w:t>
            </w:r>
          </w:p>
        </w:tc>
        <w:tc>
          <w:tcPr>
            <w:vMerge/>
          </w:tcPr>
          <w:p>
            <w:r>
              <w:t>技术部分</w:t>
            </w:r>
          </w:p>
        </w:tc>
        <w:tc>
          <w:tcPr/>
          <w:p>
            <w:r>
              <w:t>软件功能开发需求分析（主观分）</w:t>
            </w:r>
          </w:p>
        </w:tc>
        <w:tc>
          <w:tcPr/>
          <w:p>
            <w:r>
              <w:t>勾选打分</w:t>
            </w:r>
            <w:r>
              <w:t>(1)</w:t>
            </w:r>
          </w:p>
        </w:tc>
        <w:tc>
          <w:tcPr/>
          <w:p>
            <w:r>
              <w:t>评审标准：</w:t>
            </w:r>
          </w:p>
          <w:p>
            <w:r>
              <w:t>一档0分</w:t>
              <w:cr/>
              <w:t>二档0.25分</w:t>
              <w:cr/>
              <w:t>三档0.5分</w:t>
              <w:cr/>
              <w:t>四档1分</w:t>
            </w:r>
          </w:p>
          <w:p>
            <w:r>
              <w:t>评审标准说明：</w:t>
            </w:r>
          </w:p>
          <w:p>
            <w:r>
              <w:t>提供软件系统各模块功能需求分析。具体评分标准如下：</w:t>
              <w:cr/>
              <w:t>一档：无软件功能开发需求分析；</w:t>
              <w:cr/>
              <w:t>二档：软件功能开发需求分析不完整，未对软件系统各模块进行功能需求拆分，分析不具体、不充分、不详细；</w:t>
              <w:cr/>
              <w:t>三档：软件功能开发需求分析较完整，对软件系统各模块进行功能需求拆分，分析具体，但不充分、不详细；</w:t>
              <w:cr/>
              <w:t>四档：软件功能开发需求分析完整，对软件系统各模块进行功能需求拆分，并对各个功能点进行详细功能需求分析，完全覆盖招标文件功能要求，需求分析完整详细合理。</w:t>
            </w:r>
          </w:p>
          <w:p/>
        </w:tc>
      </w:tr>
      <w:tr>
        <w:tblPrEx>
          <w:tblW w:w="5000" w:type="pct"/>
          <w:tblCellMar>
            <w:left w:w="108" w:type="dxa"/>
            <w:right w:w="108" w:type="dxa"/>
          </w:tblCellMar>
        </w:tblPrEx>
        <w:tc>
          <w:tcPr/>
          <w:p>
            <w:r>
              <w:t>13</w:t>
            </w:r>
          </w:p>
        </w:tc>
        <w:tc>
          <w:tcPr>
            <w:vMerge/>
          </w:tcPr>
          <w:p>
            <w:r>
              <w:t>技术部分</w:t>
            </w:r>
          </w:p>
        </w:tc>
        <w:tc>
          <w:tcPr/>
          <w:p>
            <w:r>
              <w:t>软件非功能需求分析（主观分）</w:t>
            </w:r>
          </w:p>
        </w:tc>
        <w:tc>
          <w:tcPr/>
          <w:p>
            <w:r>
              <w:t>勾选打分</w:t>
            </w:r>
            <w:r>
              <w:t>(1)</w:t>
            </w:r>
          </w:p>
        </w:tc>
        <w:tc>
          <w:tcPr/>
          <w:p>
            <w:r>
              <w:t>评审标准：</w:t>
            </w:r>
          </w:p>
          <w:p>
            <w:r>
              <w:t>一档0分</w:t>
              <w:cr/>
              <w:t>二档0.25分</w:t>
              <w:cr/>
              <w:t>三档0.5分</w:t>
              <w:cr/>
              <w:t>四档1分</w:t>
            </w:r>
          </w:p>
          <w:p>
            <w:r>
              <w:t>评审标准说明：</w:t>
            </w:r>
          </w:p>
          <w:p>
            <w:r>
              <w:t>提供软件系统非功能及性能需求分析，具体评分标准如下：</w:t>
              <w:cr/>
              <w:t>一档：无软件非功能及性能开发需求分析；</w:t>
              <w:cr/>
              <w:t>二档：软件非功能及性能分析不完整、不具体，合理性一般；</w:t>
              <w:cr/>
              <w:t>三档：软件非功能及性能开发需求分析较完整、具体、合理，但分析简单不充分详细；</w:t>
              <w:cr/>
              <w:t>四档：软件非功能及性能开发需求分析完整、具体、合理，分析充分详细，完全覆盖招标文件要求。</w:t>
            </w:r>
          </w:p>
          <w:p/>
        </w:tc>
      </w:tr>
      <w:tr>
        <w:tblPrEx>
          <w:tblW w:w="5000" w:type="pct"/>
          <w:tblCellMar>
            <w:left w:w="108" w:type="dxa"/>
            <w:right w:w="108" w:type="dxa"/>
          </w:tblCellMar>
        </w:tblPrEx>
        <w:tc>
          <w:tcPr/>
          <w:p>
            <w:r>
              <w:t>14</w:t>
            </w:r>
          </w:p>
        </w:tc>
        <w:tc>
          <w:tcPr>
            <w:vMerge/>
          </w:tcPr>
          <w:p>
            <w:r>
              <w:t>技术部分</w:t>
            </w:r>
          </w:p>
        </w:tc>
        <w:tc>
          <w:tcPr/>
          <w:p>
            <w:r>
              <w:t>软件数据需求分析（主观分）</w:t>
            </w:r>
          </w:p>
        </w:tc>
        <w:tc>
          <w:tcPr/>
          <w:p>
            <w:r>
              <w:t>勾选打分</w:t>
            </w:r>
            <w:r>
              <w:t>(1)</w:t>
            </w:r>
          </w:p>
        </w:tc>
        <w:tc>
          <w:tcPr/>
          <w:p>
            <w:r>
              <w:t>评审标准：</w:t>
            </w:r>
          </w:p>
          <w:p>
            <w:r>
              <w:t>一档0分</w:t>
              <w:cr/>
              <w:t>二档0.25分</w:t>
              <w:cr/>
              <w:t>三档0.5分</w:t>
              <w:cr/>
              <w:t>四档1分</w:t>
            </w:r>
          </w:p>
          <w:p>
            <w:r>
              <w:t>评审标准说明：</w:t>
            </w:r>
          </w:p>
          <w:p>
            <w:r>
              <w:t>提供数据需求分析内容，具体评分标准如下：</w:t>
              <w:cr/>
              <w:t>一档：无数据需求分析。</w:t>
              <w:cr/>
              <w:t>二档：数据需求分析覆盖不全面或分析欠合理。</w:t>
              <w:cr/>
              <w:t>三档：数据需求分析覆盖较全面、合理，但分析简单、不充分。</w:t>
              <w:cr/>
              <w:t>四档：数据需求分析涵盖全面、合理、详细、充分，完全覆盖招标文件要求。</w:t>
            </w:r>
          </w:p>
          <w:p/>
        </w:tc>
      </w:tr>
      <w:tr>
        <w:tblPrEx>
          <w:tblW w:w="5000" w:type="pct"/>
          <w:tblCellMar>
            <w:left w:w="108" w:type="dxa"/>
            <w:right w:w="108" w:type="dxa"/>
          </w:tblCellMar>
        </w:tblPrEx>
        <w:tc>
          <w:tcPr/>
          <w:p>
            <w:r>
              <w:t>15</w:t>
            </w:r>
          </w:p>
        </w:tc>
        <w:tc>
          <w:tcPr>
            <w:vMerge/>
          </w:tcPr>
          <w:p>
            <w:r>
              <w:t>技术部分</w:t>
            </w:r>
          </w:p>
        </w:tc>
        <w:tc>
          <w:tcPr/>
          <w:p>
            <w:r>
              <w:t>软件接口需求分析（主观分）</w:t>
            </w:r>
          </w:p>
        </w:tc>
        <w:tc>
          <w:tcPr/>
          <w:p>
            <w:r>
              <w:t>勾选打分</w:t>
            </w:r>
            <w:r>
              <w:t>(1)</w:t>
            </w:r>
          </w:p>
        </w:tc>
        <w:tc>
          <w:tcPr/>
          <w:p>
            <w:r>
              <w:t>评审标准：</w:t>
            </w:r>
          </w:p>
          <w:p>
            <w:r>
              <w:t>一档0分</w:t>
              <w:cr/>
              <w:t>二档0.25分</w:t>
              <w:cr/>
              <w:t>三档0.5分</w:t>
              <w:cr/>
              <w:t>四档1分</w:t>
            </w:r>
          </w:p>
          <w:p>
            <w:r>
              <w:t>评审标准说明：</w:t>
            </w:r>
          </w:p>
          <w:p>
            <w:r>
              <w:t>提供软件系统接口需求分析。具体评分标准如下：</w:t>
              <w:cr/>
              <w:t>一档：无接口需求分析；</w:t>
              <w:cr/>
              <w:t>二档：接口需求分析不完整、简单；</w:t>
              <w:cr/>
              <w:t>三档：接口需求分析较完整、详细，但针对性、合理性一般；</w:t>
              <w:cr/>
              <w:t>四档：接口需求分析完整、详细，针对性、合理性强，完全覆盖招标文件要求。</w:t>
            </w:r>
          </w:p>
          <w:p/>
        </w:tc>
      </w:tr>
      <w:tr>
        <w:tblPrEx>
          <w:tblW w:w="5000" w:type="pct"/>
          <w:tblCellMar>
            <w:left w:w="108" w:type="dxa"/>
            <w:right w:w="108" w:type="dxa"/>
          </w:tblCellMar>
        </w:tblPrEx>
        <w:tc>
          <w:tcPr/>
          <w:p>
            <w:r>
              <w:t>16</w:t>
            </w:r>
          </w:p>
        </w:tc>
        <w:tc>
          <w:tcPr>
            <w:vMerge/>
          </w:tcPr>
          <w:p>
            <w:r>
              <w:t>技术部分</w:t>
            </w:r>
          </w:p>
        </w:tc>
        <w:tc>
          <w:tcPr/>
          <w:p>
            <w:r>
              <w:t>软件关键技术识别（主观分）</w:t>
            </w:r>
          </w:p>
        </w:tc>
        <w:tc>
          <w:tcPr/>
          <w:p>
            <w:r>
              <w:t>勾选打分</w:t>
            </w:r>
            <w:r>
              <w:t>(2)</w:t>
            </w:r>
          </w:p>
        </w:tc>
        <w:tc>
          <w:tcPr/>
          <w:p>
            <w:r>
              <w:t>评审标准：</w:t>
            </w:r>
          </w:p>
          <w:p>
            <w:r>
              <w:t>一档0分</w:t>
              <w:cr/>
              <w:t>二档0.5分</w:t>
              <w:cr/>
              <w:t>三档1分</w:t>
              <w:cr/>
              <w:t>四档2分</w:t>
            </w:r>
          </w:p>
          <w:p>
            <w:r>
              <w:t>评审标准说明：</w:t>
            </w:r>
          </w:p>
          <w:p>
            <w:r>
              <w:t>对项目的技术特点认识深入，准确识别软件系统关键技术问题，并提出详细合理的解决方案。具体评分标准如下：</w:t>
              <w:cr/>
              <w:t>一档：未进行软件关键技术识别分析；</w:t>
              <w:cr/>
              <w:t>二档：提供了软件关键技术识别分析，但不能准确识别软件系统关键技术问题；</w:t>
              <w:cr/>
              <w:t>三档：能准确识别软件系统关键技术问题，但未提供详细合理解决方案；</w:t>
              <w:cr/>
              <w:t>四档：对项目的技术特点认识深入，准确识别软件系统关键技术问题，并提出详细合理的解决方案。</w:t>
            </w:r>
          </w:p>
          <w:p/>
        </w:tc>
      </w:tr>
      <w:tr>
        <w:tblPrEx>
          <w:tblW w:w="5000" w:type="pct"/>
          <w:tblCellMar>
            <w:left w:w="108" w:type="dxa"/>
            <w:right w:w="108" w:type="dxa"/>
          </w:tblCellMar>
        </w:tblPrEx>
        <w:tc>
          <w:tcPr/>
          <w:p>
            <w:r>
              <w:t>17</w:t>
            </w:r>
          </w:p>
        </w:tc>
        <w:tc>
          <w:tcPr>
            <w:vMerge/>
          </w:tcPr>
          <w:p>
            <w:r>
              <w:t>技术部分</w:t>
            </w:r>
          </w:p>
        </w:tc>
        <w:tc>
          <w:tcPr/>
          <w:p>
            <w:r>
              <w:t>系统整体架构技术方案（主观分）</w:t>
            </w:r>
          </w:p>
        </w:tc>
        <w:tc>
          <w:tcPr/>
          <w:p>
            <w:r>
              <w:t>勾选打分</w:t>
            </w:r>
            <w:r>
              <w:t>(4)</w:t>
            </w:r>
          </w:p>
        </w:tc>
        <w:tc>
          <w:tcPr/>
          <w:p>
            <w:r>
              <w:t>评审标准：</w:t>
            </w:r>
          </w:p>
          <w:p>
            <w:r>
              <w:t>一档0分</w:t>
              <w:cr/>
              <w:t>二档1分</w:t>
              <w:cr/>
              <w:t>三档2分</w:t>
              <w:cr/>
              <w:t>四档4分</w:t>
            </w:r>
          </w:p>
          <w:p>
            <w:r>
              <w:t>评审标准说明：</w:t>
            </w:r>
          </w:p>
          <w:p>
            <w:r>
              <w:t>根据提交的系统整体架构设计技术方案评分：</w:t>
              <w:cr/>
              <w:t>一档：未提供；</w:t>
              <w:cr/>
              <w:t>二档：系统整体架构设计有一定合理性，但无针对性，功能不完整；</w:t>
              <w:cr/>
              <w:t>三档：系统整体架构设计基本合理可行，有一定针对性，功能完整；</w:t>
              <w:cr/>
              <w:t>四档：系统整体架构设计合理可行，技术先进，功能完整，针对性强。</w:t>
            </w:r>
          </w:p>
          <w:p/>
        </w:tc>
      </w:tr>
      <w:tr>
        <w:tblPrEx>
          <w:tblW w:w="5000" w:type="pct"/>
          <w:tblCellMar>
            <w:left w:w="108" w:type="dxa"/>
            <w:right w:w="108" w:type="dxa"/>
          </w:tblCellMar>
        </w:tblPrEx>
        <w:tc>
          <w:tcPr/>
          <w:p>
            <w:r>
              <w:t>18</w:t>
            </w:r>
          </w:p>
        </w:tc>
        <w:tc>
          <w:tcPr>
            <w:vMerge/>
          </w:tcPr>
          <w:p>
            <w:r>
              <w:t>技术部分</w:t>
            </w:r>
          </w:p>
        </w:tc>
        <w:tc>
          <w:tcPr/>
          <w:p>
            <w:r>
              <w:t>系统接口设计技术方案（主观分）</w:t>
            </w:r>
          </w:p>
        </w:tc>
        <w:tc>
          <w:tcPr/>
          <w:p>
            <w:r>
              <w:t>勾选打分</w:t>
            </w:r>
            <w:r>
              <w:t>(3)</w:t>
            </w:r>
          </w:p>
        </w:tc>
        <w:tc>
          <w:tcPr/>
          <w:p>
            <w:r>
              <w:t>评审标准：</w:t>
            </w:r>
          </w:p>
          <w:p>
            <w:r>
              <w:t>一档0分</w:t>
              <w:cr/>
              <w:t>二档0.5分</w:t>
              <w:cr/>
              <w:t>三档1.5分</w:t>
              <w:cr/>
              <w:t>四档3分</w:t>
            </w:r>
          </w:p>
          <w:p>
            <w:r>
              <w:t>评审标准说明：</w:t>
            </w:r>
          </w:p>
          <w:p>
            <w:r>
              <w:t>根据提交的系统接口设计技术方案评分：</w:t>
              <w:cr/>
              <w:t>一档：未提供。</w:t>
              <w:cr/>
              <w:t>二档：系统接口设计有一定合理性，但无针对性，功能不完整；</w:t>
              <w:cr/>
              <w:t>三档：系统接口设计基本合理可行，有一定针对性，功能完整；</w:t>
              <w:cr/>
              <w:t>四档：系统接口设计合理可行，技术先进，功能完整，针对性强。</w:t>
            </w:r>
          </w:p>
          <w:p/>
        </w:tc>
      </w:tr>
      <w:tr>
        <w:tblPrEx>
          <w:tblW w:w="5000" w:type="pct"/>
          <w:tblCellMar>
            <w:left w:w="108" w:type="dxa"/>
            <w:right w:w="108" w:type="dxa"/>
          </w:tblCellMar>
        </w:tblPrEx>
        <w:tc>
          <w:tcPr/>
          <w:p>
            <w:r>
              <w:t>19</w:t>
            </w:r>
          </w:p>
        </w:tc>
        <w:tc>
          <w:tcPr>
            <w:vMerge/>
          </w:tcPr>
          <w:p>
            <w:r>
              <w:t>技术部分</w:t>
            </w:r>
          </w:p>
        </w:tc>
        <w:tc>
          <w:tcPr/>
          <w:p>
            <w:r>
              <w:t>组件设计技术方案（主观分）</w:t>
            </w:r>
          </w:p>
        </w:tc>
        <w:tc>
          <w:tcPr/>
          <w:p>
            <w:r>
              <w:t>区间打分</w:t>
            </w:r>
            <w:r>
              <w:t>(18)</w:t>
            </w:r>
          </w:p>
        </w:tc>
        <w:tc>
          <w:tcPr/>
          <w:p>
            <w:r>
              <w:t>评审标准：</w:t>
            </w:r>
          </w:p>
          <w:p>
            <w:r>
              <w:t xml:space="preserve">提交如下组件技术方案：  </w:t>
              <w:cr/>
              <w:t>1、短临预警语料库建设组件</w:t>
              <w:cr/>
              <w:t>2、基座模型组件</w:t>
              <w:cr/>
              <w:t>3、智能体平台组件</w:t>
              <w:cr/>
              <w:t>4、短临预警模型基础支撑组件</w:t>
              <w:cr/>
              <w:t>5、短临预警模型服务集成与部署组件</w:t>
              <w:cr/>
              <w:t>6、短临预警模型评估组件</w:t>
              <w:cr/>
              <w:t>7、预警辅助决策智能体组件</w:t>
              <w:cr/>
              <w:t>8、短临天气农事生产服务智能体组件</w:t>
              <w:cr/>
              <w:t>9、短临天气旅游气象监控及辅助规划分析智能体组件</w:t>
              <w:cr/>
              <w:t>10、短临天气服务速报智能体组件</w:t>
              <w:cr/>
              <w:t>11、预警信息多语种智能体组件</w:t>
              <w:cr/>
              <w:t>12、突发事件全链条报告生成智能体组件</w:t>
              <w:cr/>
              <w:t xml:space="preserve">13、适配多场景气象服务的智能体协同组件 </w:t>
              <w:cr/>
              <w:t xml:space="preserve">以上1至5组件，每个组件 </w:t>
              <w:cr/>
              <w:t xml:space="preserve">一档0分 </w:t>
              <w:cr/>
              <w:t xml:space="preserve">二档0.5分 </w:t>
              <w:cr/>
              <w:t xml:space="preserve">三档1分  </w:t>
              <w:cr/>
              <w:t xml:space="preserve">四档2分 </w:t>
              <w:cr/>
              <w:cr/>
              <w:t>以上6至13组件，每个组件</w:t>
              <w:cr/>
              <w:t xml:space="preserve">一档0分 </w:t>
              <w:cr/>
              <w:t xml:space="preserve">二档0.25分 </w:t>
              <w:cr/>
              <w:t xml:space="preserve">三档0.5分  </w:t>
              <w:cr/>
              <w:t>四档1分</w:t>
              <w:cr/>
              <w:t>以上共计13个组件，满分18分。</w:t>
              <w:cr/>
            </w:r>
          </w:p>
          <w:p>
            <w:r>
              <w:t>评审标准说明：</w:t>
            </w:r>
          </w:p>
          <w:p>
            <w:r>
              <w:t xml:space="preserve">按组件提出技术方案，每个组件评分标准如下： </w:t>
              <w:cr/>
              <w:t xml:space="preserve">一档：未提供。 </w:t>
              <w:cr/>
              <w:t xml:space="preserve">二档：技术方案不完整，未覆盖项目的功能和非功能需求，描述不清楚、缺乏针对关建技术的分析，可行性针对性差。 </w:t>
              <w:cr/>
              <w:t xml:space="preserve">三档：技术方案内容较完整，基本覆盖项目的功能和非功能需求，描述基本清楚；技术思路较合理、关建技术的分析较清晰，解决措施有一定可行性针对性，基本满足采购需求。 </w:t>
              <w:cr/>
              <w:t>四档：技术方案内容完整、详实，覆盖项目的功能和非功能需求，描述清楚，逻辑性强，图文规范；技术先进，针对关建技术的分析详细，解决措施切实可行，针对性强，完全满足采购需求。</w:t>
            </w:r>
          </w:p>
          <w:p/>
        </w:tc>
      </w:tr>
      <w:tr>
        <w:tblPrEx>
          <w:tblW w:w="5000" w:type="pct"/>
          <w:tblCellMar>
            <w:left w:w="108" w:type="dxa"/>
            <w:right w:w="108" w:type="dxa"/>
          </w:tblCellMar>
        </w:tblPrEx>
        <w:tc>
          <w:tcPr/>
          <w:p>
            <w:r>
              <w:t>20</w:t>
            </w:r>
          </w:p>
        </w:tc>
        <w:tc>
          <w:tcPr>
            <w:vMerge/>
          </w:tcPr>
          <w:p>
            <w:r>
              <w:t>技术部分</w:t>
            </w:r>
          </w:p>
        </w:tc>
        <w:tc>
          <w:tcPr/>
          <w:p>
            <w:r>
              <w:t>项目需求理解（主观分）</w:t>
            </w:r>
          </w:p>
        </w:tc>
        <w:tc>
          <w:tcPr/>
          <w:p>
            <w:r>
              <w:t>勾选打分</w:t>
            </w:r>
            <w:r>
              <w:t>(1)</w:t>
            </w:r>
          </w:p>
        </w:tc>
        <w:tc>
          <w:tcPr/>
          <w:p>
            <w:r>
              <w:t>评审标准：</w:t>
            </w:r>
          </w:p>
          <w:p>
            <w:r>
              <w:t>一档0分</w:t>
              <w:cr/>
              <w:t>二档0.25分</w:t>
              <w:cr/>
              <w:t>三档0.5分</w:t>
              <w:cr/>
              <w:t>四档1分</w:t>
            </w:r>
          </w:p>
          <w:p>
            <w:r>
              <w:t>评审标准说明：</w:t>
            </w:r>
          </w:p>
          <w:p>
            <w:r>
              <w:t>结合项目需求、背景、现状情况等对项目进行需求分析理解。</w:t>
              <w:cr/>
              <w:t>一档：未提供。</w:t>
              <w:cr/>
              <w:t>二档：对项目范围和内容及用户总体需求分析有一定偏差，未抓住重点、难点。</w:t>
              <w:cr/>
              <w:t>三档：对项目范围和内容及用户总体需求分析无偏差，能抓住重点、难点不突出，但未提出合理的解决方案。</w:t>
              <w:cr/>
              <w:t>四档：对项目范围和内容理解清晰，对用户总体需求分析正确，重点、难点分析到位，问题描述清楚；能准确识别软件系统关键技术问题，并提出详细合理的解决方案。</w:t>
            </w:r>
          </w:p>
          <w:p/>
        </w:tc>
      </w:tr>
      <w:tr>
        <w:tblPrEx>
          <w:tblW w:w="5000" w:type="pct"/>
          <w:tblCellMar>
            <w:left w:w="108" w:type="dxa"/>
            <w:right w:w="108" w:type="dxa"/>
          </w:tblCellMar>
        </w:tblPrEx>
        <w:tc>
          <w:tcPr/>
          <w:p>
            <w:r>
              <w:t>21</w:t>
            </w:r>
          </w:p>
        </w:tc>
        <w:tc>
          <w:tcPr>
            <w:vMerge/>
          </w:tcPr>
          <w:p>
            <w:r>
              <w:t>技术部分</w:t>
            </w:r>
          </w:p>
        </w:tc>
        <w:tc>
          <w:tcPr/>
          <w:p>
            <w:r>
              <w:t>针对本项目的合理化建议（主观分）</w:t>
            </w:r>
          </w:p>
        </w:tc>
        <w:tc>
          <w:tcPr/>
          <w:p>
            <w:r>
              <w:t>勾选打分</w:t>
            </w:r>
            <w:r>
              <w:t>(1)</w:t>
            </w:r>
          </w:p>
        </w:tc>
        <w:tc>
          <w:tcPr/>
          <w:p>
            <w:r>
              <w:t>评审标准：</w:t>
            </w:r>
          </w:p>
          <w:p>
            <w:r>
              <w:t>每提供一条合理化建议得0.25分，满分1分。</w:t>
            </w:r>
          </w:p>
          <w:p>
            <w:r>
              <w:t>评审标准说明：</w:t>
            </w:r>
          </w:p>
          <w:p>
            <w:r>
              <w:t>对采购人的采购要求、服务要求、质量要求、管理要求有深刻认识，对项目特点的认识了解非常全面，深入理解项目的难点与关键点，并有针对性地为项目提出相关的建议，且建议合理、可行、完整。由评标委员会进行评判，符合项目实际需要可采纳于后续工作中的（不包含响应方案中已描述的建议和意见）。</w:t>
            </w:r>
          </w:p>
          <w:p/>
        </w:tc>
      </w:tr>
      <w:tr>
        <w:tblPrEx>
          <w:tblW w:w="5000" w:type="pct"/>
          <w:tblCellMar>
            <w:left w:w="108" w:type="dxa"/>
            <w:right w:w="108" w:type="dxa"/>
          </w:tblCellMar>
        </w:tblPrEx>
        <w:tc>
          <w:tcPr/>
          <w:p>
            <w:r>
              <w:t>22</w:t>
            </w:r>
          </w:p>
        </w:tc>
        <w:tc>
          <w:tcPr>
            <w:vMerge/>
          </w:tcPr>
          <w:p>
            <w:r>
              <w:t>技术部分</w:t>
            </w:r>
          </w:p>
        </w:tc>
        <w:tc>
          <w:tcPr/>
          <w:p>
            <w:r>
              <w:t>风险管理方案（主观分）</w:t>
            </w:r>
          </w:p>
        </w:tc>
        <w:tc>
          <w:tcPr/>
          <w:p>
            <w:r>
              <w:t>勾选打分</w:t>
            </w:r>
            <w:r>
              <w:t>(1)</w:t>
            </w:r>
          </w:p>
        </w:tc>
        <w:tc>
          <w:tcPr/>
          <w:p>
            <w:r>
              <w:t>评审标准：</w:t>
            </w:r>
          </w:p>
          <w:p>
            <w:r>
              <w:t>一档0分</w:t>
              <w:cr/>
              <w:t>二档0.25分</w:t>
              <w:cr/>
              <w:t>三档0.5分</w:t>
              <w:cr/>
              <w:t>四档1分</w:t>
            </w:r>
          </w:p>
          <w:p>
            <w:r>
              <w:t>评审标准说明：</w:t>
            </w:r>
          </w:p>
          <w:p>
            <w:r>
              <w:t>针对项目实施过程中，因国家政策、实施环境、重大技术等发生变化可能带来的项目实施风险，拟定风险管控方案。</w:t>
              <w:cr/>
              <w:t>一档：未提供方案。</w:t>
              <w:cr/>
              <w:t>二档：方案简单，无针对性。</w:t>
              <w:cr/>
              <w:t>三档：方案内容不全，详细程度一般，措施针对性可行性一般。</w:t>
              <w:cr/>
              <w:t>四档：方案内容全面、详细合理、措施针对性强，切实可行。</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9"/>
    </w:p>
    <w:p>
      <w:pPr>
        <w:spacing w:before="156" w:beforeLines="50" w:line="360" w:lineRule="auto"/>
        <w:jc w:val="center"/>
        <w:outlineLvl w:val="1"/>
        <w:rPr>
          <w:rFonts w:ascii="宋体" w:hAnsi="宋体"/>
          <w:b/>
          <w:sz w:val="30"/>
          <w:szCs w:val="30"/>
        </w:rPr>
      </w:pPr>
      <w:r>
        <w:rPr>
          <w:bCs/>
          <w:szCs w:val="21"/>
          <w:highlight w:val="none"/>
        </w:rPr>
        <w:br w:type="page"/>
      </w:r>
      <w:bookmarkStart w:id="60" w:name="插入_采购需求书"/>
      <w:r>
        <w:rPr>
          <w:rFonts w:ascii="宋体" w:hAnsi="宋体" w:hint="eastAsia"/>
          <w:b/>
          <w:sz w:val="30"/>
          <w:szCs w:val="30"/>
        </w:rPr>
        <w:t>第七章  采购需求</w:t>
      </w:r>
    </w:p>
    <w:p>
      <w:pPr>
        <w:spacing w:line="360" w:lineRule="auto"/>
        <w:ind w:firstLine="600" w:firstLineChars="200"/>
        <w:rPr>
          <w:rFonts w:ascii="宋体" w:hAnsi="宋体"/>
          <w:b/>
          <w:sz w:val="30"/>
          <w:szCs w:val="30"/>
        </w:rPr>
      </w:pP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一、项目简介</w:t>
      </w:r>
    </w:p>
    <w:p>
      <w:pPr>
        <w:keepNext/>
        <w:keepLines/>
        <w:numPr>
          <w:ilvl w:val="0"/>
          <w:numId w:val="4"/>
        </w:numPr>
        <w:spacing w:before="280" w:after="290" w:line="376" w:lineRule="atLeast"/>
        <w:outlineLvl w:val="3"/>
        <w:rPr>
          <w:rFonts w:ascii="宋体" w:hAnsi="宋体"/>
          <w:b/>
          <w:bCs/>
          <w:sz w:val="28"/>
          <w:szCs w:val="28"/>
        </w:rPr>
      </w:pPr>
      <w:r>
        <w:rPr>
          <w:rFonts w:ascii="宋体" w:hAnsi="宋体" w:hint="eastAsia"/>
          <w:b/>
          <w:bCs/>
          <w:sz w:val="28"/>
          <w:szCs w:val="28"/>
        </w:rPr>
        <w:t>项目背景</w:t>
      </w:r>
    </w:p>
    <w:p>
      <w:pPr>
        <w:spacing w:line="360" w:lineRule="auto"/>
        <w:ind w:firstLine="420" w:firstLineChars="200"/>
        <w:rPr>
          <w:rFonts w:ascii="宋体" w:hAnsi="宋体" w:hint="eastAsia"/>
          <w:szCs w:val="21"/>
        </w:rPr>
      </w:pPr>
      <w:r>
        <w:rPr>
          <w:rFonts w:ascii="宋体" w:hAnsi="宋体" w:hint="eastAsia"/>
          <w:szCs w:val="21"/>
        </w:rPr>
        <w:t>习近平总书记一直以来高度重视气象防灾减灾工作。在2019年新中国气象事业70周年之际，习近平总书记充分肯定了气象为促进国家发展进步、保障改善民生、防灾减灾救灾等方面做出的突出贡献，要求不断提高气象服务保障能力，努力发挥气象防灾减灾第一道防线作用。在去年8月17日中央政治局常委会会议上，习近平总书记指出要精准预警响应，进一步加强气象预警与灾害预报的联动，突出临灾预警，做好点对点精准预报和滚动更新，强化预警指向性，落实直达基层防汛责任人的临灾预警</w:t>
      </w:r>
      <w:r>
        <w:rPr>
          <w:rFonts w:ascii="宋体" w:hAnsi="宋体" w:hint="eastAsia"/>
          <w:szCs w:val="21"/>
        </w:rPr>
        <w:t>“</w:t>
      </w:r>
      <w:r>
        <w:rPr>
          <w:rFonts w:ascii="宋体" w:hAnsi="宋体" w:hint="eastAsia"/>
          <w:szCs w:val="21"/>
        </w:rPr>
        <w:t>叫应</w:t>
      </w:r>
      <w:r>
        <w:rPr>
          <w:rFonts w:ascii="宋体" w:hAnsi="宋体" w:hint="eastAsia"/>
          <w:szCs w:val="21"/>
        </w:rPr>
        <w:t>”</w:t>
      </w:r>
      <w:r>
        <w:rPr>
          <w:rFonts w:ascii="宋体" w:hAnsi="宋体" w:hint="eastAsia"/>
          <w:szCs w:val="21"/>
        </w:rPr>
        <w:t>机制，加强预警和应急响应联动。</w:t>
      </w:r>
    </w:p>
    <w:p>
      <w:pPr>
        <w:spacing w:line="360" w:lineRule="auto"/>
        <w:ind w:firstLine="420" w:firstLineChars="200"/>
        <w:rPr>
          <w:rFonts w:ascii="宋体" w:hAnsi="宋体" w:hint="eastAsia"/>
          <w:szCs w:val="21"/>
        </w:rPr>
      </w:pPr>
      <w:r>
        <w:rPr>
          <w:rFonts w:ascii="宋体" w:hAnsi="宋体" w:hint="eastAsia"/>
          <w:szCs w:val="21"/>
        </w:rPr>
        <w:t>二十大报告提出</w:t>
      </w:r>
      <w:r>
        <w:rPr>
          <w:rFonts w:ascii="宋体" w:hAnsi="宋体" w:hint="eastAsia"/>
          <w:szCs w:val="21"/>
        </w:rPr>
        <w:t>“</w:t>
      </w:r>
      <w:r>
        <w:rPr>
          <w:rFonts w:ascii="宋体" w:hAnsi="宋体" w:hint="eastAsia"/>
          <w:szCs w:val="21"/>
        </w:rPr>
        <w:t>提高防灾减灾救灾和急难险重突发公共事件处置保障能力</w:t>
      </w:r>
      <w:r>
        <w:rPr>
          <w:rFonts w:ascii="宋体" w:hAnsi="宋体" w:hint="eastAsia"/>
          <w:szCs w:val="21"/>
        </w:rPr>
        <w:t>”</w:t>
      </w:r>
      <w:r>
        <w:rPr>
          <w:rFonts w:ascii="宋体" w:hAnsi="宋体" w:hint="eastAsia"/>
          <w:szCs w:val="21"/>
        </w:rPr>
        <w:t>，是党中央针对我国灾害事故多发频发现状，着眼推进国家应急管理体系和能力现代化作出的重要战略部署。国家突发事件预警信息发布系统，是国家突发事件应急体系建设规划中统一的预警信息发布平台，是突发事件预警信息的权威出口。</w:t>
      </w:r>
    </w:p>
    <w:p>
      <w:pPr>
        <w:spacing w:line="360" w:lineRule="auto"/>
        <w:ind w:firstLine="420" w:firstLineChars="200"/>
        <w:rPr>
          <w:rFonts w:ascii="宋体" w:hAnsi="宋体" w:hint="eastAsia"/>
          <w:szCs w:val="21"/>
        </w:rPr>
      </w:pPr>
      <w:r>
        <w:rPr>
          <w:rFonts w:ascii="宋体" w:hAnsi="宋体" w:hint="eastAsia"/>
          <w:szCs w:val="21"/>
        </w:rPr>
        <w:t>目前，在当今信息化高速发展的时代，大模型的发展已成为推动科技进步、政策实施以及政务市场变革的重要力量。大模型以其强大的数据处理能力和深度学习能力，正逐渐渗透到社会的各个角落，成为驱动发展的重要引擎。</w:t>
      </w:r>
    </w:p>
    <w:p>
      <w:pPr>
        <w:spacing w:line="360" w:lineRule="auto"/>
        <w:ind w:firstLine="420" w:firstLineChars="200"/>
        <w:rPr>
          <w:rFonts w:ascii="宋体" w:hAnsi="宋体" w:hint="eastAsia"/>
          <w:szCs w:val="21"/>
        </w:rPr>
      </w:pPr>
      <w:r>
        <w:rPr>
          <w:rFonts w:ascii="宋体" w:hAnsi="宋体" w:hint="eastAsia"/>
          <w:szCs w:val="21"/>
        </w:rPr>
        <w:t>自从国家网信办在2023年7月份发布《生成式人工智能服务管理办法》。从政策层面为大模型的发展提供有力的支持后，各省份也纷纷出台相关政策响应，鼓励和支持大模型技术的研发与应用。这些政策不仅为大模型的研究提供了资金和资源保障，也为大模型的商业化应用指明了方向。</w:t>
      </w:r>
    </w:p>
    <w:p>
      <w:pPr>
        <w:spacing w:line="360" w:lineRule="auto"/>
        <w:ind w:firstLine="420" w:firstLineChars="200"/>
        <w:rPr>
          <w:rFonts w:ascii="宋体" w:hAnsi="宋体" w:hint="eastAsia"/>
          <w:szCs w:val="21"/>
        </w:rPr>
      </w:pPr>
      <w:r>
        <w:rPr>
          <w:rFonts w:ascii="宋体" w:hAnsi="宋体" w:hint="eastAsia"/>
          <w:szCs w:val="21"/>
        </w:rPr>
        <w:t>不仅如此，技术层面的进步是大模型发展的核心驱动力。随着深度学习、自然语言处理、大数据等技术的不断进步，大模型在训练效率、模型精度以及泛化能力等方面取得了显著的提升。这些技术的进步使得大模型能够更好地处理复杂的数据和任务，从而推动了其在各个领域的应用。</w:t>
      </w:r>
    </w:p>
    <w:p>
      <w:pPr>
        <w:spacing w:line="360" w:lineRule="auto"/>
        <w:ind w:firstLine="420" w:firstLineChars="200"/>
        <w:rPr>
          <w:rFonts w:ascii="宋体" w:hAnsi="宋体" w:hint="eastAsia"/>
          <w:szCs w:val="21"/>
        </w:rPr>
      </w:pPr>
      <w:r>
        <w:rPr>
          <w:rFonts w:ascii="宋体" w:hAnsi="宋体" w:hint="eastAsia"/>
          <w:szCs w:val="21"/>
        </w:rPr>
        <w:t>气象领域的需求也为大模型的市场应用和发展提供了广阔的空间。随着智慧气象建设的不断推进，气象领域对于大模型技术的需求日益增加。大模型在气象数据分析、智能决策支持、气象预警等方面展现出巨大的潜力，为提升气象数据分析能力、优化分析决策提供了有力支持。</w:t>
      </w:r>
    </w:p>
    <w:p>
      <w:pPr>
        <w:spacing w:line="360" w:lineRule="auto"/>
        <w:ind w:firstLine="420" w:firstLineChars="200"/>
        <w:rPr>
          <w:rFonts w:ascii="宋体" w:hAnsi="宋体" w:hint="eastAsia"/>
          <w:szCs w:val="21"/>
        </w:rPr>
      </w:pPr>
      <w:r>
        <w:rPr>
          <w:rFonts w:ascii="宋体" w:hAnsi="宋体" w:hint="eastAsia"/>
          <w:szCs w:val="21"/>
        </w:rPr>
        <w:t>在全球变暖日益加剧的背景下，极端天气及其次生衍生灾害愈加呈现出长期性、突发性、巨灾性和复杂性等特点，对经济发展社会稳定造成的叠加性和系统性风险不断加大。防范化解风险挑战，提高经济社会抵御气象灾害风险的能力和韧性，迫切需要筑牢气象防灾减灾第一道防线，在综合防灾减灾救灾</w:t>
      </w:r>
      <w:r>
        <w:rPr>
          <w:rFonts w:ascii="宋体" w:hAnsi="宋体" w:hint="eastAsia"/>
          <w:szCs w:val="21"/>
        </w:rPr>
        <w:t>“</w:t>
      </w:r>
      <w:r>
        <w:rPr>
          <w:rFonts w:ascii="宋体" w:hAnsi="宋体" w:hint="eastAsia"/>
          <w:szCs w:val="21"/>
        </w:rPr>
        <w:t>一盘棋</w:t>
      </w:r>
      <w:r>
        <w:rPr>
          <w:rFonts w:ascii="宋体" w:hAnsi="宋体" w:hint="eastAsia"/>
          <w:szCs w:val="21"/>
        </w:rPr>
        <w:t>”</w:t>
      </w:r>
      <w:r>
        <w:rPr>
          <w:rFonts w:ascii="宋体" w:hAnsi="宋体" w:hint="eastAsia"/>
          <w:szCs w:val="21"/>
        </w:rPr>
        <w:t>中下好气象</w:t>
      </w:r>
      <w:r>
        <w:rPr>
          <w:rFonts w:ascii="宋体" w:hAnsi="宋体" w:hint="eastAsia"/>
          <w:szCs w:val="21"/>
        </w:rPr>
        <w:t>“</w:t>
      </w:r>
      <w:r>
        <w:rPr>
          <w:rFonts w:ascii="宋体" w:hAnsi="宋体" w:hint="eastAsia"/>
          <w:szCs w:val="21"/>
        </w:rPr>
        <w:t>先手棋</w:t>
      </w:r>
      <w:r>
        <w:rPr>
          <w:rFonts w:ascii="宋体" w:hAnsi="宋体" w:hint="eastAsia"/>
          <w:szCs w:val="21"/>
        </w:rPr>
        <w:t>”</w:t>
      </w:r>
      <w:r>
        <w:rPr>
          <w:rFonts w:ascii="宋体" w:hAnsi="宋体" w:hint="eastAsia"/>
          <w:szCs w:val="21"/>
        </w:rPr>
        <w:t>，在统筹高质量发展和高水平安全大局中当好气象</w:t>
      </w:r>
      <w:r>
        <w:rPr>
          <w:rFonts w:ascii="宋体" w:hAnsi="宋体" w:hint="eastAsia"/>
          <w:szCs w:val="21"/>
        </w:rPr>
        <w:t>“</w:t>
      </w:r>
      <w:r>
        <w:rPr>
          <w:rFonts w:ascii="宋体" w:hAnsi="宋体" w:hint="eastAsia"/>
          <w:szCs w:val="21"/>
        </w:rPr>
        <w:t>稳定器</w:t>
      </w:r>
      <w:r>
        <w:rPr>
          <w:rFonts w:ascii="宋体" w:hAnsi="宋体" w:hint="eastAsia"/>
          <w:szCs w:val="21"/>
        </w:rPr>
        <w:t>”</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人工智能在全球范围内呈井喷式发展，正在推动新一轮科技革命和产业变革的加速演进，对经济发展、社会进步、国际政治经济格局等方面产生了重大而深远的影响。作为渗透面广、带动性强、影响深刻的技术体系，人工智能已成为新一轮国际竞争的焦点和科技发展的新引擎，是科技创新的重要支点。《气象高质量发展纲要（2022</w:t>
      </w:r>
      <w:r>
        <w:rPr>
          <w:rFonts w:ascii="宋体" w:hAnsi="宋体" w:hint="eastAsia"/>
          <w:szCs w:val="21"/>
        </w:rPr>
        <w:t>—</w:t>
      </w:r>
      <w:r>
        <w:rPr>
          <w:rFonts w:ascii="宋体" w:hAnsi="宋体" w:hint="eastAsia"/>
          <w:szCs w:val="21"/>
        </w:rPr>
        <w:t>2035年）》和《中国气象科技发展规划（2021</w:t>
      </w:r>
      <w:r>
        <w:rPr>
          <w:rFonts w:ascii="宋体" w:hAnsi="宋体" w:hint="eastAsia"/>
          <w:szCs w:val="21"/>
        </w:rPr>
        <w:t>—</w:t>
      </w:r>
      <w:r>
        <w:rPr>
          <w:rFonts w:ascii="宋体" w:hAnsi="宋体" w:hint="eastAsia"/>
          <w:szCs w:val="21"/>
        </w:rPr>
        <w:t>2035年）》都明确提出，要加强人工智能与气象的深度融合应用。要全面、准确、客观看待以人工智能为代表的新兴技术对气象行业带来的机遇与挑战，系统梳理人工智能气象应用的重点领域，积极适应和应对新一轮科技革命和产业变革对气象行业的影响。</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hint="eastAsia"/>
          <w:szCs w:val="21"/>
        </w:rPr>
        <w:t>精密监测、精准预报、精细服务</w:t>
      </w:r>
      <w:r>
        <w:rPr>
          <w:rFonts w:ascii="宋体" w:hAnsi="宋体" w:hint="eastAsia"/>
          <w:szCs w:val="21"/>
        </w:rPr>
        <w:t>”</w:t>
      </w:r>
      <w:r>
        <w:rPr>
          <w:rFonts w:ascii="宋体" w:hAnsi="宋体" w:hint="eastAsia"/>
          <w:szCs w:val="21"/>
        </w:rPr>
        <w:t>是习近平总书记对气象事业发展提出的总体要求，也是气象高质量发展的核心和关键所在，是衡量气象科技能力现代化和社会服务现代化水平的重要标志。人工智能作为科学技术的重大革新，通过与气象的深入融合，将产生较好的</w:t>
      </w:r>
      <w:r>
        <w:rPr>
          <w:rFonts w:ascii="宋体" w:hAnsi="宋体" w:hint="eastAsia"/>
          <w:szCs w:val="21"/>
        </w:rPr>
        <w:t>“</w:t>
      </w:r>
      <w:r>
        <w:rPr>
          <w:rFonts w:ascii="宋体" w:hAnsi="宋体" w:hint="eastAsia"/>
          <w:szCs w:val="21"/>
        </w:rPr>
        <w:t>引领</w:t>
      </w:r>
      <w:r>
        <w:rPr>
          <w:rFonts w:ascii="宋体" w:hAnsi="宋体" w:hint="eastAsia"/>
          <w:szCs w:val="21"/>
        </w:rPr>
        <w:t>”</w:t>
      </w:r>
      <w:r>
        <w:rPr>
          <w:rFonts w:ascii="宋体" w:hAnsi="宋体" w:hint="eastAsia"/>
          <w:szCs w:val="21"/>
        </w:rPr>
        <w:t>作用和</w:t>
      </w:r>
      <w:r>
        <w:rPr>
          <w:rFonts w:ascii="宋体" w:hAnsi="宋体" w:hint="eastAsia"/>
          <w:szCs w:val="21"/>
        </w:rPr>
        <w:t>“</w:t>
      </w:r>
      <w:r>
        <w:rPr>
          <w:rFonts w:ascii="宋体" w:hAnsi="宋体" w:hint="eastAsia"/>
          <w:szCs w:val="21"/>
        </w:rPr>
        <w:t>溢出</w:t>
      </w:r>
      <w:r>
        <w:rPr>
          <w:rFonts w:ascii="宋体" w:hAnsi="宋体" w:hint="eastAsia"/>
          <w:szCs w:val="21"/>
        </w:rPr>
        <w:t>”</w:t>
      </w:r>
      <w:r>
        <w:rPr>
          <w:rFonts w:ascii="宋体" w:hAnsi="宋体" w:hint="eastAsia"/>
          <w:szCs w:val="21"/>
        </w:rPr>
        <w:t>效应。能否做好这项工作，事关我们能否抓住新机遇，开辟新赛道，实现新突破。加强人工智能气象应用，将有利于我们进一步增强气象科技的</w:t>
      </w:r>
      <w:r>
        <w:rPr>
          <w:rFonts w:ascii="宋体" w:hAnsi="宋体" w:hint="eastAsia"/>
          <w:szCs w:val="21"/>
        </w:rPr>
        <w:t>“</w:t>
      </w:r>
      <w:r>
        <w:rPr>
          <w:rFonts w:ascii="宋体" w:hAnsi="宋体" w:hint="eastAsia"/>
          <w:szCs w:val="21"/>
        </w:rPr>
        <w:t>硬实力</w:t>
      </w:r>
      <w:r>
        <w:rPr>
          <w:rFonts w:ascii="宋体" w:hAnsi="宋体" w:hint="eastAsia"/>
          <w:szCs w:val="21"/>
        </w:rPr>
        <w:t>”</w:t>
      </w:r>
      <w:r>
        <w:rPr>
          <w:rFonts w:ascii="宋体" w:hAnsi="宋体" w:hint="eastAsia"/>
          <w:szCs w:val="21"/>
        </w:rPr>
        <w:t>，夯实发展基础，提升科技自立自强，增强人才队伍综合实力，加快推动气象监测、预报和服务领域的新变革，场景应用拓展要及早布局。我们要全力推进人工智能与气象业务深度融合工作，切实做好气象科技能力现代化和社会服务现代化的引领者、监管者和应用者。</w:t>
      </w:r>
    </w:p>
    <w:p>
      <w:pPr>
        <w:spacing w:line="360" w:lineRule="auto"/>
        <w:ind w:firstLine="420" w:firstLineChars="200"/>
        <w:rPr>
          <w:rFonts w:ascii="宋体" w:hAnsi="宋体" w:hint="eastAsia"/>
          <w:szCs w:val="21"/>
        </w:rPr>
      </w:pPr>
      <w:r>
        <w:rPr>
          <w:rFonts w:ascii="宋体" w:hAnsi="宋体" w:hint="eastAsia"/>
          <w:szCs w:val="21"/>
        </w:rPr>
        <w:t>短临预警作为应对突发灾害的</w:t>
      </w:r>
      <w:r>
        <w:rPr>
          <w:rFonts w:ascii="宋体" w:hAnsi="宋体" w:hint="eastAsia"/>
          <w:szCs w:val="21"/>
        </w:rPr>
        <w:t>“</w:t>
      </w:r>
      <w:r>
        <w:rPr>
          <w:rFonts w:ascii="宋体" w:hAnsi="宋体" w:hint="eastAsia"/>
          <w:szCs w:val="21"/>
        </w:rPr>
        <w:t>最后防线</w:t>
      </w:r>
      <w:r>
        <w:rPr>
          <w:rFonts w:ascii="宋体" w:hAnsi="宋体" w:hint="eastAsia"/>
          <w:szCs w:val="21"/>
        </w:rPr>
        <w:t>”</w:t>
      </w:r>
      <w:r>
        <w:rPr>
          <w:rFonts w:ascii="宋体" w:hAnsi="宋体" w:hint="eastAsia"/>
          <w:szCs w:val="21"/>
        </w:rPr>
        <w:t>，其时效性与精准度至关重要。构建</w:t>
      </w:r>
      <w:r>
        <w:rPr>
          <w:rFonts w:ascii="宋体" w:hAnsi="宋体" w:hint="eastAsia"/>
          <w:szCs w:val="21"/>
        </w:rPr>
        <w:t>“</w:t>
      </w:r>
      <w:r>
        <w:rPr>
          <w:rFonts w:ascii="宋体" w:hAnsi="宋体" w:hint="eastAsia"/>
          <w:szCs w:val="21"/>
        </w:rPr>
        <w:t>闪信</w:t>
      </w:r>
      <w:r>
        <w:rPr>
          <w:rFonts w:ascii="宋体" w:hAnsi="宋体" w:hint="eastAsia"/>
          <w:szCs w:val="21"/>
        </w:rPr>
        <w:t>”</w:t>
      </w:r>
      <w:r>
        <w:rPr>
          <w:rFonts w:ascii="宋体" w:hAnsi="宋体" w:hint="eastAsia"/>
          <w:szCs w:val="21"/>
        </w:rPr>
        <w:t>预警信息强制触达平台，通过霸屏弹窗、语音外呼等技术，实现快速直达基层责任人，破解传统短信漏看未看的难题。同时，基于智慧短临预警气象服务大语言模型可在气象服务领域开辟新赛道，自动生成针对性的防御建议，两者结合构建了</w:t>
      </w:r>
      <w:r>
        <w:rPr>
          <w:rFonts w:ascii="宋体" w:hAnsi="宋体" w:hint="eastAsia"/>
          <w:szCs w:val="21"/>
        </w:rPr>
        <w:t>“</w:t>
      </w:r>
      <w:r>
        <w:rPr>
          <w:rFonts w:ascii="宋体" w:hAnsi="宋体" w:hint="eastAsia"/>
          <w:szCs w:val="21"/>
        </w:rPr>
        <w:t>预警-响应-决策</w:t>
      </w:r>
      <w:r>
        <w:rPr>
          <w:rFonts w:ascii="宋体" w:hAnsi="宋体" w:hint="eastAsia"/>
          <w:szCs w:val="21"/>
        </w:rPr>
        <w:t>”</w:t>
      </w:r>
      <w:r>
        <w:rPr>
          <w:rFonts w:ascii="宋体" w:hAnsi="宋体" w:hint="eastAsia"/>
          <w:szCs w:val="21"/>
        </w:rPr>
        <w:t>的全链条智能化体系，为防灾减灾提供双重技术保障。</w:t>
      </w:r>
    </w:p>
    <w:p>
      <w:pPr>
        <w:keepNext/>
        <w:keepLines/>
        <w:numPr>
          <w:ilvl w:val="0"/>
          <w:numId w:val="4"/>
        </w:numPr>
        <w:spacing w:before="280" w:after="290" w:line="376" w:lineRule="atLeast"/>
        <w:outlineLvl w:val="3"/>
        <w:rPr>
          <w:rFonts w:ascii="宋体" w:hAnsi="宋体"/>
          <w:b/>
          <w:bCs/>
          <w:sz w:val="28"/>
          <w:szCs w:val="28"/>
        </w:rPr>
      </w:pPr>
      <w:r>
        <w:rPr>
          <w:rFonts w:ascii="宋体" w:hAnsi="宋体" w:hint="eastAsia"/>
          <w:b/>
          <w:bCs/>
          <w:sz w:val="28"/>
          <w:szCs w:val="28"/>
        </w:rPr>
        <w:t>建设目标</w:t>
      </w:r>
    </w:p>
    <w:p>
      <w:pPr>
        <w:spacing w:line="360" w:lineRule="auto"/>
        <w:ind w:firstLine="420" w:firstLineChars="200"/>
        <w:rPr>
          <w:rFonts w:ascii="宋体" w:hAnsi="宋体" w:hint="eastAsia"/>
          <w:szCs w:val="21"/>
        </w:rPr>
      </w:pPr>
      <w:r>
        <w:rPr>
          <w:rFonts w:ascii="宋体" w:hAnsi="宋体" w:hint="eastAsia"/>
          <w:szCs w:val="21"/>
        </w:rPr>
        <w:t>建设国家级智慧短临预警气象服务大语言模型和语音模型，构建跨场景高质量预警知识语料库，面向预警决策、服务场景，通过气象知识增量预训练、场景任务监督微调和业务应用强化学习三大范式，利用标注的短临预警气象服务思维链指令集，将气象专家的推理逻辑、决策偏好注入模型，在国家级业务单位形成智慧短临预警气象服务大语言模型基础支撑能力。实现</w:t>
      </w:r>
      <w:r>
        <w:rPr>
          <w:rFonts w:ascii="宋体" w:hAnsi="宋体"/>
          <w:szCs w:val="21"/>
        </w:rPr>
        <w:t>在互联网、气象业务内网部署</w:t>
      </w:r>
      <w:r>
        <w:rPr>
          <w:rFonts w:ascii="宋体" w:hAnsi="宋体" w:hint="eastAsia"/>
          <w:szCs w:val="21"/>
        </w:rPr>
        <w:t>，</w:t>
      </w:r>
      <w:r>
        <w:rPr>
          <w:rFonts w:ascii="宋体" w:hAnsi="宋体"/>
          <w:szCs w:val="21"/>
        </w:rPr>
        <w:t>并与</w:t>
      </w:r>
      <w:r>
        <w:rPr>
          <w:rFonts w:hint="eastAsia"/>
        </w:rPr>
        <w:t>国家突发事件预警信息发布系统和</w:t>
      </w:r>
      <w:r>
        <w:rPr>
          <w:rFonts w:ascii="仿宋_GB2312" w:hAnsi="仿宋_GB2312" w:cs="仿宋_GB2312" w:hint="eastAsia"/>
          <w:szCs w:val="40"/>
        </w:rPr>
        <w:t>气象服务综合分析应用平台对接</w:t>
      </w:r>
      <w:r>
        <w:rPr>
          <w:rFonts w:ascii="宋体" w:hAnsi="宋体"/>
          <w:szCs w:val="21"/>
        </w:rPr>
        <w:t>。</w:t>
      </w:r>
      <w:r>
        <w:rPr>
          <w:rFonts w:ascii="宋体" w:hAnsi="宋体" w:hint="eastAsia"/>
          <w:szCs w:val="21"/>
        </w:rPr>
        <w:t>面向极端灾害天气服务需求，结合大模型推理能力，建设短临气象服务需求精准感知和短临气象服务内容智能生成等智慧气象服务能力，并开展在不同层级气象服务部门试点应用。开发基于短临预警数据的分众式服务智能体，结合大模型推理能力，面向服务端细分场景的用户人群制定服务策略，开展基于预警分级、分类、分场景的气象服务。</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二、技术指标</w:t>
      </w:r>
    </w:p>
    <w:p>
      <w:pPr>
        <w:keepNext/>
        <w:keepLines/>
        <w:numPr>
          <w:ilvl w:val="0"/>
          <w:numId w:val="5"/>
        </w:numPr>
        <w:spacing w:before="280" w:after="290" w:line="376" w:lineRule="atLeast"/>
        <w:outlineLvl w:val="3"/>
        <w:rPr>
          <w:rFonts w:ascii="Arial" w:eastAsia="黑体" w:hAnsi="Arial" w:hint="eastAsia"/>
          <w:b/>
          <w:bCs/>
          <w:sz w:val="28"/>
          <w:szCs w:val="28"/>
        </w:rPr>
      </w:pPr>
      <w:r>
        <w:rPr>
          <w:rFonts w:ascii="Arial" w:eastAsia="黑体" w:hAnsi="Arial" w:hint="eastAsia"/>
          <w:b/>
          <w:bCs/>
          <w:sz w:val="28"/>
          <w:szCs w:val="28"/>
        </w:rPr>
        <w:t>总体功能要求</w:t>
      </w:r>
    </w:p>
    <w:p>
      <w:pPr>
        <w:spacing w:line="360" w:lineRule="auto"/>
        <w:ind w:firstLine="420" w:firstLineChars="200"/>
        <w:rPr>
          <w:rFonts w:ascii="宋体" w:hAnsi="宋体" w:hint="eastAsia"/>
          <w:szCs w:val="21"/>
        </w:rPr>
      </w:pPr>
      <w:r>
        <w:rPr>
          <w:rFonts w:ascii="宋体" w:hAnsi="宋体" w:hint="eastAsia"/>
          <w:szCs w:val="21"/>
        </w:rPr>
        <w:t>智慧短临预警气象服务大语言模型由13个功能组件组成，共包含1</w:t>
      </w:r>
      <w:r>
        <w:rPr>
          <w:rFonts w:ascii="宋体" w:hAnsi="宋体"/>
          <w:szCs w:val="21"/>
        </w:rPr>
        <w:t>51</w:t>
      </w:r>
      <w:r>
        <w:rPr>
          <w:rFonts w:ascii="宋体" w:hAnsi="宋体" w:hint="eastAsia"/>
          <w:szCs w:val="21"/>
        </w:rPr>
        <w:t>个功能模块。</w:t>
      </w:r>
    </w:p>
    <w:p>
      <w:pPr>
        <w:spacing w:line="360" w:lineRule="auto"/>
        <w:ind w:firstLine="420" w:firstLineChars="200"/>
        <w:rPr>
          <w:rFonts w:ascii="宋体" w:hAnsi="宋体" w:hint="eastAsia"/>
          <w:szCs w:val="21"/>
        </w:rPr>
      </w:pPr>
      <w:r>
        <w:rPr>
          <w:rFonts w:ascii="宋体" w:hAnsi="宋体" w:hint="eastAsia"/>
          <w:szCs w:val="21"/>
        </w:rPr>
        <w:t>短临预警语料库建设组件支撑分众式智能体生成差异化服务策略，全面提升灾害预警的精准映射与动态响应水平。</w:t>
      </w:r>
    </w:p>
    <w:p>
      <w:pPr>
        <w:spacing w:line="360" w:lineRule="auto"/>
        <w:ind w:firstLine="420" w:firstLineChars="200"/>
        <w:rPr>
          <w:rFonts w:ascii="宋体" w:hAnsi="宋体" w:hint="eastAsia"/>
          <w:szCs w:val="21"/>
        </w:rPr>
      </w:pPr>
      <w:r>
        <w:rPr>
          <w:rFonts w:ascii="宋体" w:hAnsi="宋体" w:hint="eastAsia"/>
          <w:szCs w:val="21"/>
        </w:rPr>
        <w:t>基座模型组件实现高性能模型训练与优化，并依托动态更新、多模型协同与安全防御机制，保障预警服务的精准、高效与稳定运行。</w:t>
      </w:r>
    </w:p>
    <w:p>
      <w:pPr>
        <w:spacing w:line="360" w:lineRule="auto"/>
        <w:ind w:firstLine="420" w:firstLineChars="200"/>
        <w:rPr>
          <w:rFonts w:ascii="宋体" w:hAnsi="宋体" w:hint="eastAsia"/>
          <w:szCs w:val="21"/>
        </w:rPr>
      </w:pPr>
      <w:r>
        <w:rPr>
          <w:rFonts w:ascii="宋体" w:hAnsi="宋体" w:hint="eastAsia"/>
          <w:szCs w:val="21"/>
        </w:rPr>
        <w:t>智能体平台组件实现多智能体协作与复杂预警任务的动态执行与优化。</w:t>
      </w:r>
    </w:p>
    <w:p>
      <w:pPr>
        <w:spacing w:line="360" w:lineRule="auto"/>
        <w:ind w:firstLine="420" w:firstLineChars="200"/>
        <w:rPr>
          <w:rFonts w:ascii="宋体" w:hAnsi="宋体" w:hint="eastAsia"/>
          <w:szCs w:val="21"/>
        </w:rPr>
      </w:pPr>
      <w:r>
        <w:rPr>
          <w:rFonts w:ascii="宋体" w:hAnsi="宋体" w:hint="eastAsia"/>
          <w:szCs w:val="21"/>
        </w:rPr>
        <w:t>短临预警模型基础支撑组件保障预警模型在复杂业务场景下高效、稳定运行，提升短临气象灾害预警的精准性与时效性。</w:t>
      </w:r>
    </w:p>
    <w:p>
      <w:pPr>
        <w:spacing w:line="360" w:lineRule="auto"/>
        <w:ind w:firstLine="420" w:firstLineChars="200"/>
        <w:rPr>
          <w:rFonts w:ascii="宋体" w:hAnsi="宋体" w:hint="eastAsia"/>
          <w:szCs w:val="21"/>
        </w:rPr>
      </w:pPr>
      <w:r>
        <w:rPr>
          <w:rFonts w:ascii="宋体" w:hAnsi="宋体" w:hint="eastAsia"/>
          <w:szCs w:val="21"/>
        </w:rPr>
        <w:t>短临预警模型服务集成与部署组件支撑模型高效运维与安全访问，实现从模型上线到智能服务交付的完整闭环，保障跨场景稳定可用。支持用户界面中英文展示。</w:t>
      </w:r>
    </w:p>
    <w:p>
      <w:pPr>
        <w:spacing w:line="360" w:lineRule="auto"/>
        <w:ind w:firstLine="420" w:firstLineChars="200"/>
        <w:rPr>
          <w:rFonts w:ascii="宋体" w:hAnsi="宋体" w:hint="eastAsia"/>
          <w:szCs w:val="21"/>
        </w:rPr>
      </w:pPr>
      <w:r>
        <w:rPr>
          <w:rFonts w:ascii="宋体" w:hAnsi="宋体" w:hint="eastAsia"/>
          <w:szCs w:val="21"/>
        </w:rPr>
        <w:t>短临预警模型评估组件实现在预警分级分类、场景适配、策略推理及多模态内容生成等方面的模型评估能力，并结合极端案例模拟与传播效果分析，优化模型对气象服务的动态支持效能。</w:t>
      </w:r>
    </w:p>
    <w:p>
      <w:pPr>
        <w:spacing w:line="360" w:lineRule="auto"/>
        <w:ind w:firstLine="420" w:firstLineChars="200"/>
        <w:rPr>
          <w:rFonts w:ascii="宋体" w:hAnsi="宋体" w:hint="eastAsia"/>
          <w:szCs w:val="21"/>
        </w:rPr>
      </w:pPr>
      <w:r>
        <w:rPr>
          <w:rFonts w:ascii="宋体" w:hAnsi="宋体" w:hint="eastAsia"/>
          <w:szCs w:val="21"/>
        </w:rPr>
        <w:t>预警辅助决策智能体组件支撑智能体构建与会话交互，并依托场景化决策模块与推荐服务，实现从数据处理到预警决策的全链路智能支持。</w:t>
      </w:r>
    </w:p>
    <w:p>
      <w:pPr>
        <w:spacing w:line="360" w:lineRule="auto"/>
        <w:ind w:firstLine="420" w:firstLineChars="200"/>
        <w:rPr>
          <w:rFonts w:ascii="宋体" w:hAnsi="宋体" w:hint="eastAsia"/>
          <w:szCs w:val="21"/>
        </w:rPr>
      </w:pPr>
      <w:r>
        <w:rPr>
          <w:rFonts w:ascii="宋体" w:hAnsi="宋体" w:hint="eastAsia"/>
          <w:szCs w:val="21"/>
        </w:rPr>
        <w:t>短临天气农事生产服务智能体组件，为农业活动提供问答、问数、建议、决策、预警服务能力，同时对农事活动、农机情况进行监测信息展示。</w:t>
      </w:r>
    </w:p>
    <w:p>
      <w:pPr>
        <w:spacing w:line="360" w:lineRule="auto"/>
        <w:ind w:firstLine="420" w:firstLineChars="200"/>
        <w:rPr>
          <w:rFonts w:ascii="宋体" w:hAnsi="宋体" w:hint="eastAsia"/>
          <w:szCs w:val="21"/>
        </w:rPr>
      </w:pPr>
      <w:r>
        <w:rPr>
          <w:rFonts w:ascii="宋体" w:hAnsi="宋体" w:hint="eastAsia"/>
          <w:szCs w:val="21"/>
        </w:rPr>
        <w:t>短临天气旅游气象监控及辅助规划分析智能体组件，支持智能体构建、交互会话及场景化推荐服务，实现基于短临天气的旅游监控与个性化行程辅助规划。</w:t>
      </w:r>
    </w:p>
    <w:p>
      <w:pPr>
        <w:spacing w:line="360" w:lineRule="auto"/>
        <w:ind w:firstLine="420" w:firstLineChars="200"/>
        <w:rPr>
          <w:rFonts w:ascii="宋体" w:hAnsi="宋体" w:hint="eastAsia"/>
          <w:szCs w:val="21"/>
        </w:rPr>
      </w:pPr>
      <w:r>
        <w:rPr>
          <w:rFonts w:ascii="宋体" w:hAnsi="宋体" w:hint="eastAsia"/>
          <w:szCs w:val="21"/>
        </w:rPr>
        <w:t>短临天气服务速报智能体组件，具备智能体生成与报告模板管理功能，实现从数据到短临天气预警报告的自动生成、快速调阅及场景化关联推荐。</w:t>
      </w:r>
    </w:p>
    <w:p>
      <w:pPr>
        <w:spacing w:line="360" w:lineRule="auto"/>
        <w:ind w:firstLine="420" w:firstLineChars="200"/>
        <w:rPr>
          <w:rFonts w:ascii="宋体" w:hAnsi="宋体" w:hint="eastAsia"/>
          <w:szCs w:val="21"/>
        </w:rPr>
      </w:pPr>
      <w:r>
        <w:rPr>
          <w:rFonts w:ascii="宋体" w:hAnsi="宋体" w:hint="eastAsia"/>
          <w:szCs w:val="21"/>
        </w:rPr>
        <w:t>预警信息多语种智能体组件，实现高效精准的多语种预警信息转化与共享能力，支撑实时全球中文灾害预警服务。</w:t>
      </w:r>
    </w:p>
    <w:p>
      <w:pPr>
        <w:spacing w:line="360" w:lineRule="auto"/>
        <w:ind w:firstLine="420" w:firstLineChars="200"/>
        <w:rPr>
          <w:rFonts w:ascii="宋体" w:hAnsi="宋体" w:hint="eastAsia"/>
          <w:szCs w:val="21"/>
        </w:rPr>
      </w:pPr>
      <w:r>
        <w:rPr>
          <w:rFonts w:ascii="宋体" w:hAnsi="宋体" w:hint="eastAsia"/>
          <w:szCs w:val="21"/>
        </w:rPr>
        <w:t>突发事件全链条报告生成智能体组件，通过整合网络信息采集、多源气象数据支撑、图形可视化生成、地理信息构建及智能报告生成等功能，实现突发事件地理位置分析、事件全链条展示、分析、预警发布情况、辅助决策分析及建议的全链路报告，为突发事件研判、指挥调度及复盘分析提供支撑,</w:t>
      </w:r>
      <w:r>
        <w:rPr>
          <w:rFonts w:hint="eastAsia"/>
        </w:rPr>
        <w:t xml:space="preserve"> 实现对辅助决策等场景的部署应用，发挥对省级智慧气象服务业务的指导支持</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适配多场景气象服务的智能体协同组件，根据对用户需求拆解，协同不同智能体实现气象数据融合、智能分析、风险评估与个性化服务输出于一体的统一，通过模块化架构和可配置阈值机制，支持面向不同行业需求的灵活适配，提供分级分类的闪信预警、可视化产品生成、行程或运维智能规划以及跨区域联防联动能力。</w:t>
      </w:r>
      <w:r>
        <w:rPr>
          <w:rFonts w:hint="eastAsia"/>
        </w:rPr>
        <w:t>实现对旅游、能源、交通和跨领域协同等</w:t>
      </w:r>
      <w:r>
        <w:t>4</w:t>
      </w:r>
      <w:r>
        <w:rPr>
          <w:rFonts w:hint="eastAsia"/>
        </w:rPr>
        <w:t>个场景的部署应用，发挥对省级智慧气象服务业务的指导支持。</w:t>
      </w:r>
    </w:p>
    <w:p>
      <w:pPr>
        <w:spacing w:line="360" w:lineRule="auto"/>
        <w:ind w:firstLine="420" w:firstLineChars="200"/>
        <w:rPr>
          <w:rFonts w:ascii="宋体" w:hAnsi="宋体"/>
          <w:szCs w:val="21"/>
        </w:rPr>
      </w:pPr>
      <w:r>
        <w:rPr>
          <w:rFonts w:ascii="宋体" w:hAnsi="宋体" w:hint="eastAsia"/>
          <w:szCs w:val="21"/>
        </w:rPr>
        <w:t>智慧短临预警气象服务大语言模型总体功能模块结构如下图所示：</w:t>
      </w:r>
    </w:p>
    <w:p>
      <w:pPr>
        <w:spacing w:line="360" w:lineRule="auto"/>
        <w:ind w:firstLine="420" w:firstLineChars="200"/>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5" o:spid="_x0000_i1026" type="#_x0000_t75" style="width:405.06pt;height:262.06pt;mso-position-horizontal-relative:page;mso-position-vertical-relative:page;mso-wrap-style:square" filled="f" stroked="f">
            <v:stroke linestyle="single"/>
            <v:imagedata r:id="rId6" o:title=""/>
            <v:path o:extrusionok="f"/>
            <o:lock v:ext="edit" aspectratio="t"/>
          </v:shape>
        </w:pict>
      </w:r>
    </w:p>
    <w:p>
      <w:pPr>
        <w:pStyle w:val="Caption"/>
        <w:rPr>
          <w:rFonts w:ascii="宋体" w:hAnsi="宋体" w:hint="eastAsia"/>
          <w:b/>
          <w:bCs/>
          <w:sz w:val="21"/>
          <w:szCs w:val="18"/>
        </w:rPr>
      </w:pPr>
      <w:r>
        <w:rPr>
          <w:rFonts w:hint="eastAsia"/>
          <w:b/>
          <w:bCs/>
          <w:sz w:val="21"/>
          <w:szCs w:val="21"/>
        </w:rPr>
        <w:t xml:space="preserve">图 </w:t>
      </w:r>
      <w:r>
        <w:rPr>
          <w:b/>
          <w:bCs/>
          <w:sz w:val="21"/>
          <w:szCs w:val="21"/>
        </w:rPr>
        <w:fldChar w:fldCharType="begin"/>
      </w:r>
      <w:r>
        <w:rPr>
          <w:b/>
          <w:bCs/>
          <w:sz w:val="21"/>
          <w:szCs w:val="21"/>
        </w:rPr>
        <w:instrText xml:space="preserve"> </w:instrText>
      </w:r>
      <w:r>
        <w:rPr>
          <w:rFonts w:hint="eastAsia"/>
          <w:b/>
          <w:bCs/>
          <w:sz w:val="21"/>
          <w:szCs w:val="21"/>
        </w:rPr>
        <w:instrText>SEQ 图 \* ARABIC</w:instrText>
      </w:r>
      <w:r>
        <w:rPr>
          <w:b/>
          <w:bCs/>
          <w:sz w:val="21"/>
          <w:szCs w:val="21"/>
        </w:rPr>
        <w:instrText xml:space="preserve"> </w:instrText>
      </w:r>
      <w:r>
        <w:rPr>
          <w:b/>
          <w:bCs/>
          <w:sz w:val="21"/>
          <w:szCs w:val="21"/>
        </w:rPr>
        <w:fldChar w:fldCharType="separate"/>
      </w:r>
      <w:r>
        <w:rPr>
          <w:b/>
          <w:bCs/>
          <w:sz w:val="21"/>
          <w:szCs w:val="21"/>
        </w:rPr>
        <w:t>1</w:t>
      </w:r>
      <w:r>
        <w:rPr>
          <w:b/>
          <w:bCs/>
          <w:sz w:val="21"/>
          <w:szCs w:val="21"/>
        </w:rPr>
        <w:fldChar w:fldCharType="end"/>
      </w:r>
      <w:r>
        <w:rPr>
          <w:rFonts w:hint="eastAsia"/>
          <w:b/>
          <w:bCs/>
          <w:sz w:val="21"/>
          <w:szCs w:val="21"/>
        </w:rPr>
        <w:t xml:space="preserve"> 智慧短临预警气象服务大语言模型总体功能模块结构图</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功能和性能指标</w:t>
      </w:r>
    </w:p>
    <w:p>
      <w:pPr>
        <w:spacing w:line="360" w:lineRule="auto"/>
        <w:rPr>
          <w:rFonts w:ascii="宋体" w:hAnsi="宋体" w:hint="eastAsia"/>
          <w:b/>
          <w:szCs w:val="21"/>
        </w:rPr>
      </w:pPr>
      <w:r>
        <w:rPr>
          <w:rFonts w:ascii="宋体" w:hAnsi="宋体" w:hint="eastAsia"/>
          <w:b/>
          <w:szCs w:val="21"/>
        </w:rPr>
        <w:t>（1）短临预警语料库建设组件</w:t>
      </w:r>
    </w:p>
    <w:p>
      <w:pPr>
        <w:spacing w:line="360" w:lineRule="auto"/>
        <w:ind w:firstLine="420" w:firstLineChars="200"/>
        <w:rPr>
          <w:rFonts w:ascii="Times New Roman" w:hAnsi="Times New Roman"/>
          <w:szCs w:val="20"/>
        </w:rPr>
      </w:pPr>
      <w:r>
        <w:rPr>
          <w:rFonts w:ascii="Times New Roman" w:hAnsi="Times New Roman" w:hint="eastAsia"/>
          <w:szCs w:val="20"/>
          <w:lang w:bidi="ar"/>
        </w:rPr>
        <w:t>构建</w:t>
      </w:r>
      <w:r>
        <w:rPr>
          <w:rFonts w:ascii="Times New Roman" w:hAnsi="Times New Roman" w:hint="eastAsia"/>
          <w:szCs w:val="20"/>
          <w:lang w:bidi="ar"/>
        </w:rPr>
        <w:t>短临预警服务语料库</w:t>
      </w:r>
      <w:r>
        <w:rPr>
          <w:rFonts w:ascii="Times New Roman" w:hAnsi="Times New Roman" w:hint="eastAsia"/>
          <w:szCs w:val="20"/>
          <w:lang w:bidi="ar"/>
        </w:rPr>
        <w:t>1套，</w:t>
      </w:r>
      <w:r>
        <w:rPr>
          <w:rFonts w:ascii="Times New Roman" w:hAnsi="Times New Roman" w:hint="eastAsia"/>
          <w:szCs w:val="20"/>
          <w:lang w:bidi="ar"/>
        </w:rPr>
        <w:t>短临预警服务语料涵盖过去</w:t>
      </w:r>
      <w:r>
        <w:rPr>
          <w:rFonts w:ascii="Times New Roman" w:hAnsi="Times New Roman"/>
          <w:szCs w:val="20"/>
          <w:lang w:bidi="ar"/>
        </w:rPr>
        <w:t>3</w:t>
      </w:r>
      <w:r>
        <w:rPr>
          <w:rFonts w:ascii="Times New Roman" w:hAnsi="Times New Roman" w:hint="eastAsia"/>
          <w:szCs w:val="20"/>
          <w:lang w:bidi="ar"/>
        </w:rPr>
        <w:t>年的历史预警数据</w:t>
      </w:r>
      <w:r>
        <w:rPr>
          <w:rFonts w:ascii="宋体" w:hAnsi="宋体" w:cs="宋体"/>
          <w:sz w:val="24"/>
          <w:szCs w:val="24"/>
        </w:rPr>
        <w:t xml:space="preserve"> </w:t>
      </w:r>
      <w:r>
        <w:rPr>
          <w:rFonts w:ascii="宋体" w:hAnsi="宋体" w:cs="宋体" w:hint="eastAsia"/>
          <w:sz w:val="24"/>
          <w:szCs w:val="24"/>
        </w:rPr>
        <w:t>，</w:t>
      </w:r>
      <w:r>
        <w:rPr>
          <w:rFonts w:hint="eastAsia"/>
        </w:rPr>
        <w:t>支撑分众式智能体生成差异化服务策略，全面提升灾害预警的精准映射与动态响应水平</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（2）基座模型组件</w:t>
      </w:r>
    </w:p>
    <w:p>
      <w:pPr>
        <w:spacing w:line="360" w:lineRule="auto"/>
        <w:ind w:firstLine="420" w:firstLineChars="200"/>
        <w:rPr>
          <w:rFonts w:ascii="Times New Roman" w:hAnsi="Times New Roman"/>
          <w:szCs w:val="20"/>
        </w:rPr>
      </w:pPr>
      <w:r>
        <w:rPr>
          <w:rFonts w:ascii="Times New Roman" w:hAnsi="Times New Roman" w:hint="eastAsia"/>
          <w:szCs w:val="20"/>
          <w:lang w:bidi="ar"/>
        </w:rPr>
        <w:t>构建</w:t>
      </w:r>
      <w:r>
        <w:rPr>
          <w:rFonts w:ascii="Times New Roman" w:hAnsi="Times New Roman" w:hint="eastAsia"/>
          <w:szCs w:val="20"/>
        </w:rPr>
        <w:t>大语言模型与语音模型</w:t>
      </w:r>
      <w:r>
        <w:rPr>
          <w:rFonts w:ascii="Times New Roman" w:hAnsi="Times New Roman" w:hint="eastAsia"/>
          <w:szCs w:val="20"/>
          <w:lang w:bidi="ar"/>
        </w:rPr>
        <w:t>，</w:t>
      </w:r>
      <w:r>
        <w:rPr>
          <w:rFonts w:ascii="Times New Roman" w:hAnsi="Times New Roman" w:hint="eastAsia"/>
          <w:szCs w:val="20"/>
        </w:rPr>
        <w:t>构建具备端到端文本与语音双模态感知及推理能力的核心智能中枢。</w:t>
      </w:r>
      <w:r>
        <w:rPr>
          <w:rFonts w:ascii="Times New Roman" w:hAnsi="Times New Roman" w:hint="eastAsia"/>
          <w:szCs w:val="20"/>
          <w:lang w:bidi="ar"/>
        </w:rPr>
        <w:t>参数规模达到千亿参数规模，模型上下文窗口支持1万tokens。</w:t>
      </w:r>
      <w:r>
        <w:rPr>
          <w:rFonts w:ascii="Times New Roman" w:hAnsi="Times New Roman" w:hint="eastAsia"/>
          <w:szCs w:val="20"/>
        </w:rPr>
        <w:t>通过集成数据集增强、模型选型与微调、轻量化压缩及推理加速等模块，实现高性能模型训练与优化，并依托动态更新、多模型协同与安全防御机制，保障预警服务的精准、高效与稳定运行。</w:t>
      </w:r>
    </w:p>
    <w:p>
      <w:pPr>
        <w:spacing w:line="360" w:lineRule="auto"/>
      </w:pPr>
      <w:r>
        <w:rPr>
          <w:rFonts w:ascii="宋体" w:hAnsi="宋体" w:hint="eastAsia"/>
          <w:b/>
          <w:szCs w:val="21"/>
        </w:rPr>
        <w:t>（3）智能体平台组件</w:t>
      </w:r>
    </w:p>
    <w:p>
      <w:pPr>
        <w:spacing w:line="360" w:lineRule="auto"/>
        <w:ind w:firstLine="420" w:firstLineChars="200"/>
        <w:rPr>
          <w:rFonts w:ascii="Times New Roman" w:hAnsi="Times New Roman"/>
          <w:szCs w:val="20"/>
        </w:rPr>
      </w:pPr>
      <w:r>
        <w:rPr>
          <w:rFonts w:ascii="Times New Roman" w:hAnsi="Times New Roman" w:hint="eastAsia"/>
          <w:szCs w:val="20"/>
          <w:lang w:bidi="ar"/>
        </w:rPr>
        <w:t>构建</w:t>
      </w:r>
      <w:r>
        <w:rPr>
          <w:rFonts w:ascii="Times New Roman" w:hAnsi="Times New Roman" w:hint="eastAsia"/>
          <w:szCs w:val="20"/>
          <w:lang w:bidi="ar"/>
        </w:rPr>
        <w:t>一套严格遵循</w:t>
      </w:r>
      <w:r>
        <w:rPr>
          <w:rFonts w:ascii="Times New Roman" w:hAnsi="Times New Roman"/>
          <w:szCs w:val="20"/>
          <w:lang w:bidi="ar"/>
        </w:rPr>
        <w:t>MCP</w:t>
      </w:r>
      <w:r>
        <w:rPr>
          <w:rFonts w:ascii="Times New Roman" w:hAnsi="Times New Roman" w:hint="eastAsia"/>
          <w:szCs w:val="20"/>
          <w:lang w:bidi="ar"/>
        </w:rPr>
        <w:t>（模型上下文协议）、精准适配</w:t>
      </w:r>
      <w:r>
        <w:rPr>
          <w:rFonts w:ascii="Times New Roman" w:hAnsi="Times New Roman" w:hint="eastAsia"/>
          <w:szCs w:val="20"/>
          <w:lang w:bidi="ar"/>
        </w:rPr>
        <w:t>“</w:t>
      </w:r>
      <w:r>
        <w:rPr>
          <w:rFonts w:ascii="Times New Roman" w:hAnsi="Times New Roman" w:hint="eastAsia"/>
          <w:szCs w:val="20"/>
          <w:lang w:bidi="ar"/>
        </w:rPr>
        <w:t>风和</w:t>
      </w:r>
      <w:r>
        <w:rPr>
          <w:rFonts w:ascii="Times New Roman" w:hAnsi="Times New Roman" w:hint="eastAsia"/>
          <w:szCs w:val="20"/>
          <w:lang w:bidi="ar"/>
        </w:rPr>
        <w:t>”</w:t>
      </w:r>
      <w:r>
        <w:rPr>
          <w:rFonts w:ascii="Times New Roman" w:hAnsi="Times New Roman" w:hint="eastAsia"/>
          <w:szCs w:val="20"/>
          <w:lang w:bidi="ar"/>
        </w:rPr>
        <w:t>模型的短临预警气象服务工具集，覆盖短临预警数据、实况监测数据、气候极值数据等核心气象数据查询工具集，种类不少于</w:t>
      </w:r>
      <w:r>
        <w:rPr>
          <w:rFonts w:ascii="Times New Roman" w:hAnsi="Times New Roman"/>
          <w:szCs w:val="20"/>
          <w:lang w:bidi="ar"/>
        </w:rPr>
        <w:t>10</w:t>
      </w:r>
      <w:r>
        <w:rPr>
          <w:rFonts w:ascii="Times New Roman" w:hAnsi="Times New Roman" w:hint="eastAsia"/>
          <w:szCs w:val="20"/>
          <w:lang w:bidi="ar"/>
        </w:rPr>
        <w:t>个，</w:t>
      </w:r>
      <w:r>
        <w:rPr>
          <w:rFonts w:ascii="宋体" w:hAnsi="宋体" w:cs="宋体"/>
          <w:sz w:val="24"/>
          <w:szCs w:val="24"/>
        </w:rPr>
        <w:t xml:space="preserve"> </w:t>
      </w:r>
      <w:r>
        <w:rPr>
          <w:rFonts w:hint="eastAsia"/>
        </w:rPr>
        <w:t>实现多智能体协作与复杂预警任务的动态执行与优化</w:t>
      </w:r>
      <w:r>
        <w:rPr>
          <w:rFonts w:ascii="Times New Roman" w:hAnsi="Times New Roman" w:hint="eastAsia"/>
          <w:szCs w:val="20"/>
        </w:rPr>
        <w:t>。</w:t>
      </w:r>
    </w:p>
    <w:p>
      <w:pPr>
        <w:spacing w:line="360" w:lineRule="auto"/>
        <w:rPr>
          <w:rFonts w:ascii="Times New Roman" w:hAnsi="Times New Roman"/>
          <w:szCs w:val="20"/>
        </w:rPr>
      </w:pPr>
      <w:r>
        <w:rPr>
          <w:rFonts w:ascii="宋体" w:hAnsi="宋体" w:hint="eastAsia"/>
          <w:b/>
          <w:szCs w:val="21"/>
        </w:rPr>
        <w:t>（4）短临预警模型基础支撑组件</w:t>
      </w:r>
    </w:p>
    <w:p>
      <w:pPr>
        <w:spacing w:line="360" w:lineRule="auto"/>
        <w:ind w:firstLine="420" w:firstLineChars="200"/>
        <w:rPr>
          <w:rFonts w:ascii="Times New Roman" w:hAnsi="Times New Roman"/>
          <w:szCs w:val="20"/>
        </w:rPr>
      </w:pPr>
      <w:r>
        <w:rPr>
          <w:rFonts w:hint="eastAsia"/>
        </w:rPr>
        <w:t>依托PyTorch、TensorFlow 等深度学习框架，兼容Qwen、ChatGLM等主流预训练模型；保障预警模型在复杂业务场景下高效、稳定运行，提升短临气象灾害预警的精准性与时效性</w:t>
      </w:r>
      <w:r>
        <w:rPr>
          <w:rFonts w:ascii="Times New Roman" w:hAnsi="Times New Roman" w:hint="eastAsia"/>
          <w:szCs w:val="20"/>
        </w:rPr>
        <w:t>。</w:t>
      </w:r>
    </w:p>
    <w:p>
      <w:pPr>
        <w:spacing w:line="360" w:lineRule="auto"/>
        <w:rPr>
          <w:rFonts w:ascii="Times New Roman" w:hAnsi="Times New Roman"/>
          <w:szCs w:val="20"/>
        </w:rPr>
      </w:pPr>
      <w:r>
        <w:rPr>
          <w:rFonts w:ascii="宋体" w:hAnsi="宋体" w:hint="eastAsia"/>
          <w:b/>
          <w:szCs w:val="21"/>
        </w:rPr>
        <w:t>（5）短临预警模型服务集成与部署组件</w:t>
      </w:r>
    </w:p>
    <w:p>
      <w:pPr>
        <w:spacing w:line="360" w:lineRule="auto"/>
        <w:ind w:firstLine="420" w:firstLineChars="200"/>
        <w:rPr>
          <w:rFonts w:ascii="Times New Roman" w:hAnsi="Times New Roman"/>
          <w:szCs w:val="20"/>
        </w:rPr>
      </w:pPr>
      <w:r>
        <w:rPr>
          <w:rFonts w:hint="eastAsia"/>
        </w:rPr>
        <w:t>支撑模型高效运维与安全访问，实现从模型上线到智能服务交付的完整闭环，保障跨场景稳定可用</w:t>
      </w:r>
      <w:r>
        <w:rPr>
          <w:rFonts w:ascii="Times New Roman" w:hAnsi="Times New Roman" w:hint="eastAsia"/>
          <w:szCs w:val="20"/>
        </w:rPr>
        <w:t>。</w:t>
      </w:r>
    </w:p>
    <w:p>
      <w:pPr>
        <w:spacing w:line="360" w:lineRule="auto"/>
        <w:rPr>
          <w:rFonts w:ascii="Times New Roman" w:hAnsi="Times New Roman"/>
          <w:szCs w:val="20"/>
        </w:rPr>
      </w:pPr>
      <w:r>
        <w:rPr>
          <w:rFonts w:ascii="宋体" w:hAnsi="宋体" w:hint="eastAsia"/>
          <w:b/>
          <w:szCs w:val="21"/>
        </w:rPr>
        <w:t>（6）短临预警模型评估组件</w:t>
      </w:r>
    </w:p>
    <w:p>
      <w:pPr>
        <w:spacing w:line="360" w:lineRule="auto"/>
        <w:ind w:firstLine="420" w:firstLineChars="200"/>
        <w:rPr>
          <w:rFonts w:ascii="Times New Roman" w:hAnsi="Times New Roman"/>
          <w:szCs w:val="20"/>
        </w:rPr>
      </w:pPr>
      <w:r>
        <w:rPr>
          <w:rFonts w:hint="eastAsia"/>
        </w:rPr>
        <w:t>实现对3种以上模型评估，实现在</w:t>
      </w:r>
      <w:r>
        <w:rPr>
          <w:rFonts w:hint="eastAsia"/>
        </w:rPr>
        <w:t>预警分级分类、场景适配、策略推理及多模态内容生成等</w:t>
      </w:r>
      <w:r>
        <w:rPr>
          <w:rFonts w:hint="eastAsia"/>
        </w:rPr>
        <w:t>4个</w:t>
      </w:r>
      <w:r>
        <w:rPr>
          <w:rFonts w:hint="eastAsia"/>
        </w:rPr>
        <w:t>方面的</w:t>
      </w:r>
      <w:r>
        <w:rPr>
          <w:rFonts w:hint="eastAsia"/>
        </w:rPr>
        <w:t>模型评估</w:t>
      </w:r>
      <w:r>
        <w:rPr>
          <w:rFonts w:hint="eastAsia"/>
        </w:rPr>
        <w:t>能力，并结合极端案例模拟与传播效果分析，优化模型对气象服务的动态支持效能</w:t>
      </w:r>
      <w:r>
        <w:rPr>
          <w:rFonts w:ascii="Times New Roman" w:hAnsi="Times New Roman" w:hint="eastAsia"/>
          <w:szCs w:val="20"/>
        </w:rPr>
        <w:t>。</w:t>
      </w:r>
    </w:p>
    <w:p>
      <w:pPr>
        <w:spacing w:line="360" w:lineRule="auto"/>
        <w:rPr>
          <w:rFonts w:ascii="Times New Roman" w:hAnsi="Times New Roman"/>
          <w:szCs w:val="20"/>
        </w:rPr>
      </w:pPr>
      <w:r>
        <w:rPr>
          <w:rFonts w:ascii="宋体" w:hAnsi="宋体" w:hint="eastAsia"/>
          <w:b/>
          <w:szCs w:val="21"/>
        </w:rPr>
        <w:t>（7）预警辅助决策智能体组件</w:t>
      </w:r>
    </w:p>
    <w:p>
      <w:pPr>
        <w:spacing w:line="360" w:lineRule="auto"/>
        <w:ind w:firstLine="420" w:firstLineChars="200"/>
        <w:rPr>
          <w:rFonts w:ascii="Times New Roman" w:hAnsi="Times New Roman"/>
          <w:szCs w:val="20"/>
        </w:rPr>
      </w:pPr>
      <w:r>
        <w:rPr>
          <w:rFonts w:hint="eastAsia"/>
        </w:rPr>
        <w:t>支撑智能体构建与会话交互，并依托场景化决策模块与推荐服务，实现从数据处理到预警决策的全链路智能支持。智能体响应时间</w:t>
      </w:r>
      <w:r>
        <w:rPr>
          <w:rFonts w:hint="eastAsia"/>
        </w:rPr>
        <w:t>≤</w:t>
      </w:r>
      <w:r>
        <w:rPr>
          <w:rFonts w:hint="eastAsia"/>
        </w:rPr>
        <w:t>3秒（首token响应时间）</w:t>
      </w:r>
      <w:r>
        <w:rPr>
          <w:rFonts w:hint="eastAsia"/>
        </w:rPr>
        <w:t>，</w:t>
      </w:r>
      <w:r>
        <w:rPr>
          <w:rFonts w:hint="eastAsia"/>
        </w:rPr>
        <w:t>智能体生成内容准确率</w:t>
      </w:r>
      <w:r>
        <w:rPr>
          <w:rFonts w:hint="eastAsia"/>
        </w:rPr>
        <w:t>≥</w:t>
      </w:r>
      <w:r>
        <w:rPr>
          <w:rFonts w:hint="eastAsia"/>
        </w:rPr>
        <w:t>90%</w:t>
      </w:r>
      <w:r>
        <w:rPr>
          <w:rFonts w:hint="eastAsia"/>
        </w:rPr>
        <w:t>，</w:t>
      </w:r>
      <w:r>
        <w:rPr>
          <w:rFonts w:hint="eastAsia"/>
        </w:rPr>
        <w:t>模型响应最大时长</w:t>
      </w:r>
      <w:r>
        <w:rPr>
          <w:rFonts w:hint="eastAsia"/>
        </w:rPr>
        <w:t>≤</w:t>
      </w:r>
      <w:r>
        <w:rPr>
          <w:rFonts w:hint="eastAsia"/>
        </w:rPr>
        <w:t>6秒</w:t>
      </w:r>
      <w:r>
        <w:rPr>
          <w:rFonts w:hint="eastAsia"/>
        </w:rPr>
        <w:t>。</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w:t>
      </w:r>
      <w:r>
        <w:rPr>
          <w:rFonts w:ascii="宋体" w:hAnsi="宋体"/>
          <w:b/>
          <w:szCs w:val="21"/>
        </w:rPr>
        <w:t>8</w:t>
      </w:r>
      <w:r>
        <w:rPr>
          <w:rFonts w:ascii="宋体" w:hAnsi="宋体" w:hint="eastAsia"/>
          <w:b/>
          <w:szCs w:val="21"/>
        </w:rPr>
        <w:t>）短临天气农事生产服务智能体组件</w:t>
      </w:r>
    </w:p>
    <w:p>
      <w:pPr>
        <w:spacing w:line="360" w:lineRule="auto"/>
        <w:ind w:firstLine="420" w:firstLineChars="200"/>
        <w:rPr>
          <w:rFonts w:ascii="Times New Roman" w:hAnsi="Times New Roman"/>
          <w:szCs w:val="20"/>
        </w:rPr>
      </w:pPr>
      <w:r>
        <w:rPr>
          <w:rFonts w:hint="eastAsia"/>
        </w:rPr>
        <w:t>为农业活动提供问答、问数、建议、决策、预警</w:t>
      </w:r>
      <w:r>
        <w:rPr>
          <w:rFonts w:hint="eastAsia"/>
        </w:rPr>
        <w:t>服务能力</w:t>
      </w:r>
      <w:r>
        <w:rPr>
          <w:rFonts w:hint="eastAsia"/>
        </w:rPr>
        <w:t>，同时对农事活动、农机情况进行监测</w:t>
      </w:r>
      <w:r>
        <w:rPr>
          <w:rFonts w:hint="eastAsia"/>
        </w:rPr>
        <w:t>信息展示</w:t>
      </w:r>
      <w:r>
        <w:rPr>
          <w:rFonts w:hint="eastAsia"/>
        </w:rPr>
        <w:t>。智能体响应时间</w:t>
      </w:r>
      <w:r>
        <w:rPr>
          <w:rFonts w:hint="eastAsia"/>
        </w:rPr>
        <w:t>≤</w:t>
      </w:r>
      <w:r>
        <w:rPr>
          <w:rFonts w:hint="eastAsia"/>
        </w:rPr>
        <w:t>3秒（首token响应时间）</w:t>
      </w:r>
      <w:r>
        <w:rPr>
          <w:rFonts w:hint="eastAsia"/>
        </w:rPr>
        <w:t>，</w:t>
      </w:r>
      <w:r>
        <w:rPr>
          <w:rFonts w:hint="eastAsia"/>
        </w:rPr>
        <w:t>智能体生成内容准确率</w:t>
      </w:r>
      <w:r>
        <w:rPr>
          <w:rFonts w:hint="eastAsia"/>
        </w:rPr>
        <w:t>≥</w:t>
      </w:r>
      <w:r>
        <w:rPr>
          <w:rFonts w:hint="eastAsia"/>
        </w:rPr>
        <w:t>90%</w:t>
      </w:r>
      <w:r>
        <w:rPr>
          <w:rFonts w:hint="eastAsia"/>
        </w:rPr>
        <w:t>，</w:t>
      </w:r>
      <w:r>
        <w:rPr>
          <w:rFonts w:hint="eastAsia"/>
        </w:rPr>
        <w:t>模型响应最大时长</w:t>
      </w:r>
      <w:r>
        <w:rPr>
          <w:rFonts w:hint="eastAsia"/>
        </w:rPr>
        <w:t>≤</w:t>
      </w:r>
      <w:r>
        <w:rPr>
          <w:rFonts w:hint="eastAsia"/>
        </w:rPr>
        <w:t>6秒</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（9）短临天气旅游气象监控及辅助规划分析智能体组件</w:t>
      </w:r>
    </w:p>
    <w:p>
      <w:pPr>
        <w:spacing w:line="360" w:lineRule="auto"/>
        <w:ind w:firstLine="420" w:firstLineChars="200"/>
        <w:rPr>
          <w:rFonts w:ascii="Times New Roman" w:hAnsi="Times New Roman"/>
          <w:szCs w:val="20"/>
        </w:rPr>
      </w:pPr>
      <w:r>
        <w:rPr>
          <w:rFonts w:hint="eastAsia"/>
        </w:rPr>
        <w:t>支持智能体构建、交互会话及场景化推荐服务，实现基于短临天气的旅游监控与个性化行程辅助规划。智能体响应时间</w:t>
      </w:r>
      <w:r>
        <w:rPr>
          <w:rFonts w:hint="eastAsia"/>
        </w:rPr>
        <w:t>≤</w:t>
      </w:r>
      <w:r>
        <w:rPr>
          <w:rFonts w:hint="eastAsia"/>
        </w:rPr>
        <w:t>3秒（首token响应时间）</w:t>
      </w:r>
      <w:r>
        <w:rPr>
          <w:rFonts w:hint="eastAsia"/>
        </w:rPr>
        <w:t>，</w:t>
      </w:r>
      <w:r>
        <w:rPr>
          <w:rFonts w:hint="eastAsia"/>
        </w:rPr>
        <w:t>智能体生成内容准确率</w:t>
      </w:r>
      <w:r>
        <w:rPr>
          <w:rFonts w:hint="eastAsia"/>
        </w:rPr>
        <w:t>≥</w:t>
      </w:r>
      <w:r>
        <w:rPr>
          <w:rFonts w:hint="eastAsia"/>
        </w:rPr>
        <w:t>90%</w:t>
      </w:r>
      <w:r>
        <w:rPr>
          <w:rFonts w:hint="eastAsia"/>
        </w:rPr>
        <w:t>，</w:t>
      </w:r>
      <w:r>
        <w:rPr>
          <w:rFonts w:hint="eastAsia"/>
        </w:rPr>
        <w:t>模型响应最大时长</w:t>
      </w:r>
      <w:r>
        <w:rPr>
          <w:rFonts w:hint="eastAsia"/>
        </w:rPr>
        <w:t>≤</w:t>
      </w:r>
      <w:r>
        <w:rPr>
          <w:rFonts w:hint="eastAsia"/>
        </w:rPr>
        <w:t>6秒</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（10）短临天气服务速报智能体组件</w:t>
      </w:r>
    </w:p>
    <w:p>
      <w:pPr>
        <w:spacing w:line="360" w:lineRule="auto"/>
        <w:ind w:firstLine="420" w:firstLineChars="200"/>
        <w:rPr>
          <w:rFonts w:ascii="Times New Roman" w:hAnsi="Times New Roman"/>
          <w:szCs w:val="20"/>
        </w:rPr>
      </w:pPr>
      <w:r>
        <w:rPr>
          <w:rFonts w:hint="eastAsia"/>
        </w:rPr>
        <w:t>具备</w:t>
      </w:r>
      <w:r>
        <w:rPr>
          <w:rFonts w:hint="eastAsia"/>
        </w:rPr>
        <w:t>智能体生成与报告模板管理</w:t>
      </w:r>
      <w:r>
        <w:rPr>
          <w:rFonts w:hint="eastAsia"/>
        </w:rPr>
        <w:t>功能</w:t>
      </w:r>
      <w:r>
        <w:rPr>
          <w:rFonts w:hint="eastAsia"/>
        </w:rPr>
        <w:t>，实现从数据到短临天气预警报告的自动生成、快速调阅及场景化关联推荐。智能体响应时间</w:t>
      </w:r>
      <w:r>
        <w:rPr>
          <w:rFonts w:hint="eastAsia"/>
        </w:rPr>
        <w:t>≤</w:t>
      </w:r>
      <w:r>
        <w:rPr>
          <w:rFonts w:hint="eastAsia"/>
        </w:rPr>
        <w:t>3秒（首token响应时间）</w:t>
      </w:r>
      <w:r>
        <w:rPr>
          <w:rFonts w:hint="eastAsia"/>
        </w:rPr>
        <w:t>，</w:t>
      </w:r>
      <w:r>
        <w:rPr>
          <w:rFonts w:hint="eastAsia"/>
        </w:rPr>
        <w:t>智能体生成内容准确率</w:t>
      </w:r>
      <w:r>
        <w:rPr>
          <w:rFonts w:hint="eastAsia"/>
        </w:rPr>
        <w:t>≥</w:t>
      </w:r>
      <w:r>
        <w:rPr>
          <w:rFonts w:hint="eastAsia"/>
        </w:rPr>
        <w:t>90%</w:t>
      </w:r>
      <w:r>
        <w:rPr>
          <w:rFonts w:hint="eastAsia"/>
        </w:rPr>
        <w:t>，</w:t>
      </w:r>
      <w:r>
        <w:rPr>
          <w:rFonts w:hint="eastAsia"/>
        </w:rPr>
        <w:t>模型响应最大时长</w:t>
      </w:r>
      <w:r>
        <w:rPr>
          <w:rFonts w:hint="eastAsia"/>
        </w:rPr>
        <w:t>≤</w:t>
      </w:r>
      <w:r>
        <w:rPr>
          <w:rFonts w:hint="eastAsia"/>
        </w:rPr>
        <w:t>6秒</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（11）预警信息多语种智能体组件</w:t>
      </w:r>
    </w:p>
    <w:p>
      <w:pPr>
        <w:spacing w:line="360" w:lineRule="auto"/>
        <w:ind w:firstLine="420" w:firstLineChars="200"/>
        <w:rPr>
          <w:rFonts w:ascii="Times New Roman" w:hAnsi="Times New Roman"/>
          <w:szCs w:val="20"/>
        </w:rPr>
      </w:pPr>
      <w:r>
        <w:rPr>
          <w:rFonts w:hint="eastAsia"/>
        </w:rPr>
        <w:t>实现高效精准的多语种预警信息转化与共享</w:t>
      </w:r>
      <w:r>
        <w:rPr>
          <w:rFonts w:hint="eastAsia"/>
        </w:rPr>
        <w:t>能力</w:t>
      </w:r>
      <w:r>
        <w:rPr>
          <w:rFonts w:hint="eastAsia"/>
        </w:rPr>
        <w:t>，支撑实时全球中文灾害预警服务。翻译准确率&gt;90%，灾害分类准确率&gt;90%</w:t>
      </w:r>
      <w:r>
        <w:rPr>
          <w:rFonts w:hint="eastAsia"/>
        </w:rPr>
        <w:t>；</w:t>
      </w:r>
      <w:r>
        <w:rPr>
          <w:rFonts w:hint="eastAsia"/>
        </w:rPr>
        <w:t>吞吐量支持每秒处理100条预警信息</w:t>
      </w:r>
      <w:r>
        <w:rPr>
          <w:rFonts w:hint="eastAsia"/>
        </w:rPr>
        <w:t>；</w:t>
      </w:r>
      <w:r>
        <w:rPr>
          <w:rFonts w:hint="eastAsia"/>
        </w:rPr>
        <w:t>用户查询响应时间&lt;500ms（95th percentile）</w:t>
      </w:r>
      <w:r>
        <w:rPr>
          <w:rFonts w:hint="eastAsia"/>
        </w:rPr>
        <w:t>；</w:t>
      </w:r>
      <w:r>
        <w:rPr>
          <w:rFonts w:hint="eastAsia"/>
        </w:rPr>
        <w:t>支持多语种扩展</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（12）突发事件全链条报告生成智能体组件</w:t>
      </w:r>
    </w:p>
    <w:p>
      <w:pPr>
        <w:spacing w:line="360" w:lineRule="auto"/>
        <w:ind w:firstLine="420" w:firstLineChars="200"/>
        <w:rPr>
          <w:rFonts w:ascii="Times New Roman" w:hAnsi="Times New Roman"/>
          <w:szCs w:val="20"/>
        </w:rPr>
      </w:pPr>
      <w:r>
        <w:rPr>
          <w:rFonts w:hint="eastAsia"/>
        </w:rPr>
        <w:t>实现突发事件地理位置分析、事件全链条展示、分析、预警发布情况、辅助决策分析及建议的全链路报告，为突发事件研判、指挥调度及复盘分析提供支撑。实现对辅助</w:t>
      </w:r>
      <w:r>
        <w:t>决策等场景的部署应用，发挥对省级</w:t>
      </w:r>
      <w:r>
        <w:rPr>
          <w:rFonts w:hint="eastAsia"/>
        </w:rPr>
        <w:t>智慧</w:t>
      </w:r>
      <w:r>
        <w:t>气象</w:t>
      </w:r>
      <w:r>
        <w:rPr>
          <w:rFonts w:hint="eastAsia"/>
        </w:rPr>
        <w:t>服务</w:t>
      </w:r>
      <w:r>
        <w:t>业务的</w:t>
      </w:r>
      <w:r>
        <w:rPr>
          <w:rFonts w:hint="eastAsia"/>
        </w:rPr>
        <w:t>指导</w:t>
      </w:r>
      <w:r>
        <w:t>支持</w:t>
      </w:r>
      <w:r>
        <w:rPr>
          <w:rFonts w:ascii="Times New Roman" w:hAnsi="Times New Roman" w:hint="eastAsia"/>
          <w:szCs w:val="20"/>
        </w:rPr>
        <w:t>。</w:t>
      </w:r>
    </w:p>
    <w:p>
      <w:pPr>
        <w:spacing w:line="360" w:lineRule="auto"/>
        <w:rPr>
          <w:rFonts w:ascii="宋体" w:hAnsi="宋体"/>
          <w:b/>
          <w:szCs w:val="21"/>
        </w:rPr>
      </w:pPr>
      <w:r>
        <w:rPr>
          <w:rFonts w:ascii="宋体" w:hAnsi="宋体" w:hint="eastAsia"/>
          <w:b/>
          <w:szCs w:val="21"/>
        </w:rPr>
        <w:t>（13）适配多场景气象服务的智能体协同组件</w:t>
      </w:r>
    </w:p>
    <w:p>
      <w:pPr>
        <w:spacing w:line="360" w:lineRule="auto"/>
        <w:ind w:firstLine="420" w:firstLineChars="200"/>
        <w:rPr>
          <w:rFonts w:ascii="Times New Roman" w:hAnsi="Times New Roman" w:hint="eastAsia"/>
          <w:szCs w:val="20"/>
        </w:rPr>
      </w:pPr>
      <w:r>
        <w:rPr>
          <w:rFonts w:hint="eastAsia"/>
        </w:rPr>
        <w:t>通过配置阈值，支持面向不同行业需求的灵活适配，提供分级分类的闪信预警、可视化产品生成、行程或运维智能规划以及跨区域联防联动能力。实现对</w:t>
      </w:r>
      <w:r>
        <w:t>旅游、能源、交通和</w:t>
      </w:r>
      <w:r>
        <w:rPr>
          <w:rFonts w:hint="eastAsia"/>
        </w:rPr>
        <w:t>跨领域</w:t>
      </w:r>
      <w:r>
        <w:t>协同等4</w:t>
      </w:r>
      <w:r>
        <w:rPr>
          <w:rFonts w:hint="eastAsia"/>
        </w:rPr>
        <w:t>个</w:t>
      </w:r>
      <w:r>
        <w:t>场景的部署应用，发挥对省级</w:t>
      </w:r>
      <w:r>
        <w:rPr>
          <w:rFonts w:hint="eastAsia"/>
        </w:rPr>
        <w:t>智慧</w:t>
      </w:r>
      <w:r>
        <w:t>气象</w:t>
      </w:r>
      <w:r>
        <w:rPr>
          <w:rFonts w:hint="eastAsia"/>
        </w:rPr>
        <w:t>服务</w:t>
      </w:r>
      <w:r>
        <w:t>业务的</w:t>
      </w:r>
      <w:r>
        <w:rPr>
          <w:rFonts w:hint="eastAsia"/>
        </w:rPr>
        <w:t>指导</w:t>
      </w:r>
      <w:r>
        <w:t>支持</w:t>
      </w:r>
      <w:r>
        <w:rPr>
          <w:rFonts w:ascii="Times New Roman" w:hAnsi="Times New Roman" w:hint="eastAsia"/>
          <w:szCs w:val="20"/>
        </w:rPr>
        <w:t>。</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集约化要求</w:t>
      </w:r>
    </w:p>
    <w:p>
      <w:pPr>
        <w:spacing w:line="360" w:lineRule="auto"/>
        <w:ind w:firstLine="420" w:firstLineChars="200"/>
        <w:rPr>
          <w:rFonts w:ascii="宋体" w:hAnsi="宋体" w:hint="eastAsia"/>
          <w:szCs w:val="21"/>
        </w:rPr>
      </w:pPr>
      <w:r>
        <w:rPr>
          <w:rFonts w:ascii="宋体" w:hAnsi="宋体" w:hint="eastAsia"/>
          <w:szCs w:val="21"/>
        </w:rPr>
        <w:t>本项目建设中的组件设计、开发、应用与管理，应遵循《气象业务软件组件化开发指南（2025版）》的相关技术要求和规范。</w:t>
      </w:r>
    </w:p>
    <w:p>
      <w:pPr>
        <w:spacing w:line="360" w:lineRule="auto"/>
        <w:ind w:firstLine="420" w:firstLineChars="200"/>
        <w:rPr>
          <w:rFonts w:ascii="宋体" w:hAnsi="宋体" w:hint="eastAsia"/>
          <w:szCs w:val="21"/>
        </w:rPr>
      </w:pPr>
      <w:r>
        <w:rPr>
          <w:rFonts w:ascii="宋体" w:hAnsi="宋体" w:hint="eastAsia"/>
          <w:szCs w:val="21"/>
        </w:rPr>
        <w:t>（1）网络安全需求</w:t>
      </w:r>
    </w:p>
    <w:p>
      <w:pPr>
        <w:spacing w:line="360" w:lineRule="auto"/>
        <w:ind w:firstLine="420" w:firstLineChars="200"/>
        <w:rPr>
          <w:rFonts w:ascii="宋体" w:hAnsi="宋体" w:hint="eastAsia"/>
          <w:szCs w:val="21"/>
        </w:rPr>
      </w:pPr>
      <w:r>
        <w:rPr>
          <w:rFonts w:hint="eastAsia"/>
        </w:rPr>
        <w:t>项目建设</w:t>
      </w:r>
      <w:r>
        <w:rPr>
          <w:rFonts w:hint="eastAsia"/>
        </w:rPr>
        <w:t>的</w:t>
      </w:r>
      <w:r>
        <w:rPr>
          <w:rFonts w:hint="eastAsia"/>
        </w:rPr>
        <w:t>智慧短临预警气象服务大语言模型</w:t>
      </w:r>
      <w:r>
        <w:rPr>
          <w:rFonts w:hint="eastAsia"/>
        </w:rPr>
        <w:t>、智能体平台、语料库等运行在</w:t>
      </w:r>
      <w:r>
        <w:rPr>
          <w:rFonts w:hint="eastAsia"/>
        </w:rPr>
        <w:t>国家级</w:t>
      </w:r>
      <w:r>
        <w:rPr>
          <w:rFonts w:hint="eastAsia"/>
        </w:rPr>
        <w:t>“</w:t>
      </w:r>
      <w:r>
        <w:rPr>
          <w:rFonts w:hint="eastAsia"/>
        </w:rPr>
        <w:t>天擎</w:t>
      </w:r>
      <w:r>
        <w:rPr>
          <w:rFonts w:hint="eastAsia"/>
        </w:rPr>
        <w:t>”</w:t>
      </w:r>
      <w:r>
        <w:rPr>
          <w:rFonts w:hint="eastAsia"/>
        </w:rPr>
        <w:t>平台，通过内网代理访问内部接口，通过天镜7</w:t>
      </w:r>
      <w:r>
        <w:rPr>
          <w:rFonts w:hint="eastAsia"/>
        </w:rPr>
        <w:t>×</w:t>
      </w:r>
      <w:r>
        <w:rPr>
          <w:rFonts w:hint="eastAsia"/>
        </w:rPr>
        <w:t>24小时实时监控</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2</w:t>
      </w:r>
      <w:r>
        <w:rPr>
          <w:rFonts w:ascii="宋体" w:hAnsi="宋体" w:hint="eastAsia"/>
          <w:szCs w:val="21"/>
        </w:rPr>
        <w:t>）硬件集约化</w:t>
      </w:r>
    </w:p>
    <w:p>
      <w:pPr>
        <w:spacing w:line="360" w:lineRule="auto"/>
        <w:ind w:firstLine="420" w:firstLineChars="200"/>
      </w:pPr>
      <w:r>
        <w:rPr>
          <w:rFonts w:hint="eastAsia"/>
        </w:rPr>
        <w:t>本项目主要基于国家级信息基础设施云平台（以下简称基础设施云平台）支撑应用。</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3</w:t>
      </w:r>
      <w:r>
        <w:rPr>
          <w:rFonts w:ascii="宋体" w:hAnsi="宋体" w:hint="eastAsia"/>
          <w:szCs w:val="21"/>
        </w:rPr>
        <w:t>）数据集约化</w:t>
      </w:r>
    </w:p>
    <w:p>
      <w:pPr>
        <w:spacing w:line="560" w:lineRule="exact"/>
        <w:ind w:firstLine="640"/>
      </w:pPr>
      <w:r>
        <w:rPr>
          <w:rFonts w:ascii="Times New Roman" w:hAnsi="Times New Roman" w:cs="仿宋_GB2312" w:hint="eastAsia"/>
          <w:szCs w:val="20"/>
          <w:lang w:bidi="ar"/>
        </w:rPr>
        <w:t>智慧短临预警气象服务大语言模型的输入数据的读取和输出产品的存储依托于气象大数据云平台</w:t>
      </w:r>
      <w:r>
        <w:rPr>
          <w:rFonts w:ascii="Times New Roman" w:hAnsi="Times New Roman" w:cs="仿宋_GB2312" w:hint="eastAsia"/>
          <w:szCs w:val="20"/>
          <w:lang w:bidi="ar"/>
        </w:rPr>
        <w:t>“</w:t>
      </w:r>
      <w:r>
        <w:rPr>
          <w:rFonts w:ascii="Times New Roman" w:hAnsi="Times New Roman" w:cs="仿宋_GB2312" w:hint="eastAsia"/>
          <w:szCs w:val="20"/>
          <w:lang w:bidi="ar"/>
        </w:rPr>
        <w:t>天擎</w:t>
      </w:r>
      <w:r>
        <w:rPr>
          <w:rFonts w:ascii="Times New Roman" w:hAnsi="Times New Roman" w:cs="仿宋_GB2312" w:hint="eastAsia"/>
          <w:szCs w:val="20"/>
          <w:lang w:bidi="ar"/>
        </w:rPr>
        <w:t>”</w:t>
      </w:r>
      <w:r>
        <w:rPr>
          <w:rFonts w:ascii="Times New Roman" w:hAnsi="Times New Roman" w:cs="仿宋_GB2312" w:hint="eastAsia"/>
          <w:szCs w:val="20"/>
          <w:lang w:bidi="ar"/>
        </w:rPr>
        <w:t>，通过接口调用、存储开放等方式访问各类数据</w:t>
      </w:r>
      <w:r>
        <w:rPr>
          <w:rFonts w:hint="eastAsia"/>
        </w:rPr>
        <w:t>。</w:t>
      </w:r>
    </w:p>
    <w:p>
      <w:pPr>
        <w:spacing w:line="560" w:lineRule="exact"/>
        <w:ind w:firstLine="640"/>
        <w:rPr>
          <w:rFonts w:ascii="宋体" w:hAnsi="宋体"/>
          <w:szCs w:val="21"/>
        </w:rPr>
      </w:pPr>
      <w:r>
        <w:rPr>
          <w:rFonts w:ascii="宋体" w:hAnsi="宋体" w:hint="eastAsia"/>
          <w:szCs w:val="21"/>
        </w:rPr>
        <w:t>（</w:t>
      </w:r>
      <w:r>
        <w:rPr>
          <w:rFonts w:ascii="宋体" w:hAnsi="宋体"/>
          <w:szCs w:val="21"/>
        </w:rPr>
        <w:t>4</w:t>
      </w:r>
      <w:r>
        <w:rPr>
          <w:rFonts w:ascii="宋体" w:hAnsi="宋体" w:hint="eastAsia"/>
          <w:szCs w:val="21"/>
        </w:rPr>
        <w:t>）流程集约化</w:t>
      </w:r>
    </w:p>
    <w:p>
      <w:pPr>
        <w:spacing w:line="360" w:lineRule="auto"/>
        <w:ind w:firstLine="420" w:firstLineChars="200"/>
        <w:rPr>
          <w:rFonts w:ascii="宋体" w:hAnsi="宋体"/>
          <w:szCs w:val="21"/>
        </w:rPr>
      </w:pPr>
      <w:r>
        <w:rPr>
          <w:rFonts w:ascii="宋体" w:hAnsi="宋体" w:hint="eastAsia"/>
          <w:szCs w:val="21"/>
        </w:rPr>
        <w:t>智慧短临预警气象服务大语言模型算法将注册到</w:t>
      </w:r>
      <w:r>
        <w:rPr>
          <w:rFonts w:ascii="宋体" w:hAnsi="宋体" w:hint="eastAsia"/>
          <w:szCs w:val="21"/>
        </w:rPr>
        <w:t>“</w:t>
      </w:r>
      <w:r>
        <w:rPr>
          <w:rFonts w:ascii="宋体" w:hAnsi="宋体" w:hint="eastAsia"/>
          <w:szCs w:val="21"/>
        </w:rPr>
        <w:t>天擎</w:t>
      </w:r>
      <w:r>
        <w:rPr>
          <w:rFonts w:ascii="宋体" w:hAnsi="宋体" w:hint="eastAsia"/>
          <w:szCs w:val="21"/>
        </w:rPr>
        <w:t>”</w:t>
      </w:r>
      <w:r>
        <w:rPr>
          <w:rFonts w:ascii="宋体" w:hAnsi="宋体" w:hint="eastAsia"/>
          <w:szCs w:val="21"/>
        </w:rPr>
        <w:t>、智算支撑平台算法库，由加工流水线统一调度，纳入众创接口统一管理。</w:t>
      </w:r>
    </w:p>
    <w:p>
      <w:pPr>
        <w:spacing w:line="360" w:lineRule="auto"/>
        <w:ind w:firstLine="420" w:firstLineChars="200"/>
        <w:rPr>
          <w:rFonts w:ascii="宋体" w:hAnsi="宋体" w:hint="eastAsia"/>
          <w:szCs w:val="21"/>
        </w:rPr>
      </w:pPr>
      <w:r>
        <w:rPr>
          <w:rFonts w:ascii="宋体" w:hAnsi="宋体" w:hint="eastAsia"/>
          <w:szCs w:val="21"/>
        </w:rPr>
        <w:t>（</w:t>
      </w:r>
      <w:r>
        <w:rPr>
          <w:rFonts w:ascii="宋体" w:hAnsi="宋体"/>
          <w:szCs w:val="21"/>
        </w:rPr>
        <w:t>5</w:t>
      </w:r>
      <w:r>
        <w:rPr>
          <w:rFonts w:ascii="宋体" w:hAnsi="宋体" w:hint="eastAsia"/>
          <w:szCs w:val="21"/>
        </w:rPr>
        <w:t>）监控集约化</w:t>
      </w:r>
    </w:p>
    <w:p>
      <w:pPr>
        <w:spacing w:line="360" w:lineRule="auto"/>
        <w:ind w:firstLine="420" w:firstLineChars="200"/>
        <w:rPr>
          <w:rFonts w:ascii="宋体" w:hAnsi="宋体"/>
          <w:szCs w:val="21"/>
        </w:rPr>
      </w:pPr>
      <w:r>
        <w:rPr>
          <w:rFonts w:hint="eastAsia"/>
        </w:rPr>
        <w:t>智慧短临预警气象服务大语言模型的运行监控按照气象综合业务实时监控系统</w:t>
      </w:r>
      <w:r>
        <w:rPr>
          <w:rFonts w:hint="eastAsia"/>
        </w:rPr>
        <w:t>“</w:t>
      </w:r>
      <w:r>
        <w:rPr>
          <w:rFonts w:hint="eastAsia"/>
        </w:rPr>
        <w:t>天镜</w:t>
      </w:r>
      <w:r>
        <w:rPr>
          <w:rFonts w:hint="eastAsia"/>
        </w:rPr>
        <w:t>”</w:t>
      </w:r>
      <w:r>
        <w:rPr>
          <w:rFonts w:hint="eastAsia"/>
        </w:rPr>
        <w:t>（以下简称</w:t>
      </w:r>
      <w:r>
        <w:rPr>
          <w:rFonts w:hint="eastAsia"/>
        </w:rPr>
        <w:t>“</w:t>
      </w:r>
      <w:r>
        <w:rPr>
          <w:rFonts w:hint="eastAsia"/>
        </w:rPr>
        <w:t>天镜</w:t>
      </w:r>
      <w:r>
        <w:rPr>
          <w:rFonts w:hint="eastAsia"/>
        </w:rPr>
        <w:t>”</w:t>
      </w:r>
      <w:r>
        <w:rPr>
          <w:rFonts w:hint="eastAsia"/>
        </w:rPr>
        <w:t>）、智算支撑平台相关技术规范要求进行建设，纳入统一监控管理。通过</w:t>
      </w:r>
      <w:r>
        <w:rPr>
          <w:rFonts w:hint="eastAsia"/>
        </w:rPr>
        <w:t>“</w:t>
      </w:r>
      <w:r>
        <w:rPr>
          <w:rFonts w:hint="eastAsia"/>
        </w:rPr>
        <w:t>天镜</w:t>
      </w:r>
      <w:r>
        <w:rPr>
          <w:rFonts w:hint="eastAsia"/>
        </w:rPr>
        <w:t>”</w:t>
      </w:r>
      <w:r>
        <w:rPr>
          <w:rFonts w:hint="eastAsia"/>
        </w:rPr>
        <w:t>提供的API标准和形式，以DI格式发送系统信息日志，如业务运行监控状态和必要的资源监控状态，包括数据源到达、模型运行、产品生成等。以EI格式向天镜系统发送必要的资源、数据、服务等告警信息，实现设备资源、系统运行、数据传输、产品存储等实时监视</w:t>
      </w:r>
      <w:r>
        <w:rPr>
          <w:rFonts w:ascii="宋体" w:hAnsi="宋体" w:hint="eastAsia"/>
          <w:szCs w:val="21"/>
        </w:rPr>
        <w:t>。</w:t>
      </w:r>
    </w:p>
    <w:p>
      <w:pPr>
        <w:keepNext/>
        <w:keepLines/>
        <w:numPr>
          <w:ilvl w:val="0"/>
          <w:numId w:val="4"/>
        </w:numPr>
        <w:spacing w:before="280" w:after="290" w:line="376" w:lineRule="atLeast"/>
        <w:outlineLvl w:val="3"/>
        <w:rPr>
          <w:rFonts w:ascii="Arial" w:eastAsia="黑体" w:hAnsi="Arial"/>
          <w:b/>
          <w:bCs/>
          <w:sz w:val="28"/>
          <w:szCs w:val="28"/>
        </w:rPr>
      </w:pPr>
      <w:bookmarkStart w:id="61" w:name="_Toc181629932"/>
      <w:r>
        <w:rPr>
          <w:rFonts w:ascii="Arial" w:eastAsia="黑体" w:hAnsi="Arial" w:hint="eastAsia"/>
          <w:b/>
          <w:bCs/>
          <w:sz w:val="28"/>
          <w:szCs w:val="28"/>
        </w:rPr>
        <w:t>组件化要求</w:t>
      </w:r>
      <w:bookmarkEnd w:id="61"/>
    </w:p>
    <w:p>
      <w:pPr>
        <w:spacing w:line="560" w:lineRule="exact"/>
        <w:ind w:firstLine="420" w:firstLineChars="200"/>
        <w:rPr>
          <w:rFonts w:ascii="宋体" w:hAnsi="宋体"/>
          <w:bCs/>
          <w:szCs w:val="28"/>
        </w:rPr>
      </w:pPr>
      <w:r>
        <w:rPr>
          <w:rFonts w:ascii="宋体" w:hAnsi="宋体" w:hint="eastAsia"/>
          <w:bCs/>
          <w:szCs w:val="28"/>
        </w:rPr>
        <w:t>按照《气象业务软件组件化开发指南（2023版）》，本系统应根据业务场景需要采用相应的标准化业务开发框架，并集成满足业务要求的组件组合实现各项业务功能、业务流程，充分满足业务发展的可拓展性需求。</w:t>
      </w:r>
    </w:p>
    <w:p>
      <w:pPr>
        <w:spacing w:line="560" w:lineRule="exact"/>
        <w:ind w:firstLine="420" w:firstLineChars="200"/>
        <w:rPr>
          <w:rFonts w:ascii="宋体" w:hAnsi="宋体"/>
          <w:bCs/>
          <w:szCs w:val="28"/>
        </w:rPr>
      </w:pPr>
      <w:r>
        <w:rPr>
          <w:rFonts w:ascii="宋体" w:hAnsi="宋体" w:hint="eastAsia"/>
          <w:bCs/>
          <w:szCs w:val="28"/>
        </w:rPr>
        <w:t>（1）模块化设计</w:t>
      </w:r>
    </w:p>
    <w:p>
      <w:pPr>
        <w:spacing w:line="560" w:lineRule="exact"/>
        <w:ind w:firstLine="420" w:firstLineChars="200"/>
        <w:rPr>
          <w:rFonts w:ascii="宋体" w:hAnsi="宋体"/>
          <w:bCs/>
          <w:szCs w:val="28"/>
        </w:rPr>
      </w:pPr>
      <w:r>
        <w:rPr>
          <w:rFonts w:ascii="宋体" w:hAnsi="宋体" w:hint="eastAsia"/>
          <w:bCs/>
          <w:szCs w:val="28"/>
        </w:rPr>
        <w:t>系统应采用模块化设计，将核心功能分解为独立的组件。各组件需具备独立的开发、部署、测试和维护能力，以实现高内聚、低耦合的设计要求，便于后续功能的增加和升级。</w:t>
      </w:r>
    </w:p>
    <w:p>
      <w:pPr>
        <w:spacing w:line="560" w:lineRule="exact"/>
        <w:ind w:firstLine="420" w:firstLineChars="200"/>
        <w:rPr>
          <w:rFonts w:ascii="宋体" w:hAnsi="宋体"/>
          <w:bCs/>
          <w:szCs w:val="28"/>
        </w:rPr>
      </w:pPr>
      <w:r>
        <w:rPr>
          <w:rFonts w:ascii="宋体" w:hAnsi="宋体" w:hint="eastAsia"/>
          <w:bCs/>
          <w:szCs w:val="28"/>
        </w:rPr>
        <w:t>（2）组件接口标准化</w:t>
      </w:r>
    </w:p>
    <w:p>
      <w:pPr>
        <w:spacing w:line="560" w:lineRule="exact"/>
        <w:ind w:firstLine="420" w:firstLineChars="200"/>
        <w:rPr>
          <w:rFonts w:ascii="宋体" w:hAnsi="宋体"/>
          <w:bCs/>
          <w:szCs w:val="28"/>
        </w:rPr>
      </w:pPr>
      <w:r>
        <w:rPr>
          <w:rFonts w:ascii="宋体" w:hAnsi="宋体" w:hint="eastAsia"/>
          <w:bCs/>
          <w:szCs w:val="28"/>
        </w:rPr>
        <w:t>各模块组件之间的接口应遵循统一的标准，实现数据和信息的无缝对接。接口标准化不仅便于不同组件的互操作，还能提高系统的兼容性和可扩展性，使系统在不影响其他组件的情况下快速适应新功能和新数据源的接入。</w:t>
      </w:r>
    </w:p>
    <w:p>
      <w:pPr>
        <w:spacing w:line="560" w:lineRule="exact"/>
        <w:ind w:firstLine="420" w:firstLineChars="200"/>
        <w:rPr>
          <w:rFonts w:ascii="宋体" w:hAnsi="宋体"/>
          <w:bCs/>
          <w:szCs w:val="28"/>
        </w:rPr>
      </w:pPr>
      <w:r>
        <w:rPr>
          <w:rFonts w:ascii="宋体" w:hAnsi="宋体" w:hint="eastAsia"/>
          <w:bCs/>
          <w:szCs w:val="28"/>
        </w:rPr>
        <w:t>（3）组件的独立部署与扩展</w:t>
      </w:r>
    </w:p>
    <w:p>
      <w:pPr>
        <w:spacing w:line="560" w:lineRule="exact"/>
        <w:ind w:firstLine="420" w:firstLineChars="200"/>
        <w:rPr>
          <w:rFonts w:ascii="宋体" w:hAnsi="宋体"/>
          <w:bCs/>
          <w:szCs w:val="28"/>
        </w:rPr>
      </w:pPr>
      <w:r>
        <w:rPr>
          <w:rFonts w:ascii="宋体" w:hAnsi="宋体" w:hint="eastAsia"/>
          <w:bCs/>
          <w:szCs w:val="28"/>
        </w:rPr>
        <w:t>各组件应支持独立部署，以适应不同硬件环境和资源需求，支持按需扩展。系统应具备灵活的部署方案，能够根据实际业务量实现动态扩展或缩减，提升资源利用效率，确保系统在高负荷情况下的稳定性。</w:t>
      </w:r>
    </w:p>
    <w:p>
      <w:pPr>
        <w:spacing w:line="560" w:lineRule="exact"/>
        <w:ind w:firstLine="420" w:firstLineChars="200"/>
        <w:rPr>
          <w:rFonts w:ascii="宋体" w:hAnsi="宋体"/>
          <w:bCs/>
          <w:szCs w:val="28"/>
        </w:rPr>
      </w:pPr>
      <w:r>
        <w:rPr>
          <w:rFonts w:ascii="宋体" w:hAnsi="宋体" w:hint="eastAsia"/>
          <w:bCs/>
          <w:szCs w:val="28"/>
        </w:rPr>
        <w:t>（4）容错性与可维护性</w:t>
      </w:r>
    </w:p>
    <w:p>
      <w:pPr>
        <w:spacing w:line="560" w:lineRule="exact"/>
        <w:ind w:firstLine="420" w:firstLineChars="200"/>
        <w:rPr>
          <w:rFonts w:ascii="宋体" w:hAnsi="宋体"/>
          <w:bCs/>
          <w:szCs w:val="28"/>
        </w:rPr>
      </w:pPr>
      <w:r>
        <w:rPr>
          <w:rFonts w:ascii="宋体" w:hAnsi="宋体" w:hint="eastAsia"/>
          <w:bCs/>
          <w:szCs w:val="28"/>
        </w:rPr>
        <w:t>组件化的设计具备高容错性，确保单一组件出现故障时，不影响整个系统的运行。各组件应支持远程监控，便于快速定位和解决问题，保证系统的连续性和高可用性。</w:t>
      </w:r>
    </w:p>
    <w:p>
      <w:pPr>
        <w:keepNext/>
        <w:keepLines/>
        <w:numPr>
          <w:ilvl w:val="0"/>
          <w:numId w:val="4"/>
        </w:numPr>
        <w:spacing w:before="280" w:after="290" w:line="376" w:lineRule="atLeast"/>
        <w:outlineLvl w:val="3"/>
        <w:rPr>
          <w:rFonts w:ascii="Arial" w:eastAsia="黑体" w:hAnsi="Arial"/>
          <w:b/>
          <w:bCs/>
          <w:sz w:val="28"/>
          <w:szCs w:val="28"/>
        </w:rPr>
      </w:pPr>
      <w:bookmarkStart w:id="62" w:name="_Toc181629933"/>
      <w:r>
        <w:rPr>
          <w:rFonts w:ascii="Arial" w:eastAsia="黑体" w:hAnsi="Arial" w:hint="eastAsia"/>
          <w:b/>
          <w:bCs/>
          <w:sz w:val="28"/>
          <w:szCs w:val="28"/>
        </w:rPr>
        <w:t>可扩展性</w:t>
      </w:r>
      <w:bookmarkEnd w:id="62"/>
    </w:p>
    <w:p>
      <w:pPr>
        <w:spacing w:line="560" w:lineRule="exact"/>
        <w:ind w:firstLine="420" w:firstLineChars="200"/>
        <w:rPr>
          <w:rFonts w:ascii="宋体" w:hAnsi="宋体"/>
          <w:bCs/>
          <w:szCs w:val="28"/>
        </w:rPr>
      </w:pPr>
      <w:r>
        <w:rPr>
          <w:rFonts w:cs="仿宋_GB2312" w:hint="eastAsia"/>
          <w:lang w:bidi="ar"/>
        </w:rPr>
        <w:t>系统应具备良好的可扩展能力，支持新增智能体组件（如区域、行业场景智能体）的快速接入，提供标准化接口、模块化架构及完善的开发文档与示例</w:t>
      </w:r>
      <w:r>
        <w:rPr>
          <w:rFonts w:ascii="宋体" w:hAnsi="宋体" w:hint="eastAsia"/>
          <w:bCs/>
          <w:szCs w:val="28"/>
        </w:rPr>
        <w:t>。</w:t>
      </w:r>
    </w:p>
    <w:p>
      <w:pPr>
        <w:keepNext/>
        <w:keepLines/>
        <w:numPr>
          <w:ilvl w:val="0"/>
          <w:numId w:val="4"/>
        </w:numPr>
        <w:spacing w:before="280" w:after="290" w:line="376" w:lineRule="atLeast"/>
        <w:outlineLvl w:val="3"/>
        <w:rPr>
          <w:rFonts w:ascii="Arial" w:eastAsia="黑体" w:hAnsi="Arial"/>
          <w:b/>
          <w:bCs/>
          <w:sz w:val="28"/>
          <w:szCs w:val="28"/>
        </w:rPr>
      </w:pPr>
      <w:bookmarkStart w:id="63" w:name="_Toc181629934"/>
      <w:r>
        <w:rPr>
          <w:rFonts w:ascii="Arial" w:eastAsia="黑体" w:hAnsi="Arial" w:hint="eastAsia"/>
          <w:b/>
          <w:bCs/>
          <w:sz w:val="28"/>
          <w:szCs w:val="28"/>
        </w:rPr>
        <w:t>时效性</w:t>
      </w:r>
      <w:bookmarkEnd w:id="63"/>
    </w:p>
    <w:p>
      <w:pPr>
        <w:spacing w:line="560" w:lineRule="exact"/>
        <w:ind w:firstLine="420" w:firstLineChars="200"/>
        <w:rPr>
          <w:rFonts w:ascii="宋体" w:hAnsi="宋体"/>
          <w:bCs/>
          <w:szCs w:val="28"/>
        </w:rPr>
      </w:pPr>
      <w:r>
        <w:rPr>
          <w:rFonts w:hint="eastAsia"/>
          <w:lang w:bidi="ar"/>
        </w:rPr>
        <w:t>短临预警服务需满足分钟级响应，系统应优化模型推理、数据融合与智能体决策流程，确保从输入到预警输出的全链路低延迟，支撑强对流等突发天气的实时服务</w:t>
      </w:r>
      <w:r>
        <w:rPr>
          <w:rFonts w:ascii="宋体" w:hAnsi="宋体" w:hint="eastAsia"/>
          <w:bCs/>
          <w:szCs w:val="28"/>
        </w:rPr>
        <w:t>。</w:t>
      </w:r>
    </w:p>
    <w:p>
      <w:pPr>
        <w:keepNext/>
        <w:keepLines/>
        <w:numPr>
          <w:ilvl w:val="0"/>
          <w:numId w:val="4"/>
        </w:numPr>
        <w:spacing w:before="280" w:after="290" w:line="376" w:lineRule="atLeast"/>
        <w:outlineLvl w:val="3"/>
        <w:rPr>
          <w:rFonts w:ascii="Arial" w:eastAsia="黑体" w:hAnsi="Arial" w:hint="eastAsia"/>
          <w:b/>
          <w:bCs/>
          <w:sz w:val="28"/>
          <w:szCs w:val="28"/>
        </w:rPr>
      </w:pPr>
      <w:r>
        <w:rPr>
          <w:rFonts w:ascii="Arial" w:eastAsia="黑体" w:hAnsi="Arial" w:hint="eastAsia"/>
          <w:b/>
          <w:bCs/>
          <w:sz w:val="28"/>
          <w:szCs w:val="28"/>
        </w:rPr>
        <w:t>可维护性</w:t>
      </w:r>
    </w:p>
    <w:p>
      <w:pPr>
        <w:spacing w:line="560" w:lineRule="exact"/>
        <w:ind w:firstLine="420" w:firstLineChars="200"/>
        <w:rPr>
          <w:rFonts w:ascii="宋体" w:hAnsi="宋体"/>
          <w:bCs/>
          <w:szCs w:val="28"/>
        </w:rPr>
      </w:pPr>
      <w:r>
        <w:rPr>
          <w:rFonts w:ascii="宋体" w:hAnsi="宋体" w:hint="eastAsia"/>
          <w:bCs/>
          <w:szCs w:val="28"/>
        </w:rPr>
        <w:t>项目具有良好的易维护性，保修期满后确保第三方进行全面、无障碍维护。各种技术和维护文档详实齐备，软件设计充分考虑易分析性和易测试性。日常的业务运行中，本项目每天 24 小时不间断的自动运行，除每日少量的配置参数需要修改之外，所有功能软件无需人工干预。运行操作人员仅在系统报警提示的情况下，进行必要的人工干预和故障维修。所有的故障状态和信息都自动记录和存储，便于事后的故障对策分析。为便于操作人员的人工干预，应提供直观、方便的操作界面。</w:t>
      </w:r>
    </w:p>
    <w:p>
      <w:pPr>
        <w:keepNext/>
        <w:keepLines/>
        <w:numPr>
          <w:ilvl w:val="0"/>
          <w:numId w:val="4"/>
        </w:numPr>
        <w:spacing w:before="280" w:after="290" w:line="376" w:lineRule="atLeast"/>
        <w:outlineLvl w:val="3"/>
        <w:rPr>
          <w:rFonts w:ascii="Arial" w:eastAsia="黑体" w:hAnsi="Arial"/>
          <w:b/>
          <w:bCs/>
          <w:sz w:val="28"/>
          <w:szCs w:val="28"/>
        </w:rPr>
      </w:pPr>
      <w:bookmarkStart w:id="64" w:name="_Toc181629935"/>
      <w:r>
        <w:rPr>
          <w:rFonts w:ascii="Arial" w:eastAsia="黑体" w:hAnsi="Arial" w:hint="eastAsia"/>
          <w:b/>
          <w:bCs/>
          <w:sz w:val="28"/>
          <w:szCs w:val="28"/>
        </w:rPr>
        <w:t>安全性</w:t>
      </w:r>
      <w:bookmarkEnd w:id="64"/>
    </w:p>
    <w:p>
      <w:pPr>
        <w:spacing w:line="560" w:lineRule="exact"/>
        <w:ind w:firstLine="420" w:firstLineChars="200"/>
        <w:rPr>
          <w:rFonts w:ascii="宋体" w:hAnsi="宋体" w:hint="eastAsia"/>
          <w:bCs/>
          <w:szCs w:val="28"/>
        </w:rPr>
      </w:pPr>
      <w:r>
        <w:rPr>
          <w:rFonts w:ascii="宋体" w:hAnsi="宋体" w:hint="eastAsia"/>
          <w:bCs/>
          <w:szCs w:val="28"/>
        </w:rPr>
        <w:t>（1）部署环境须具备网络安全防护措施；</w:t>
      </w:r>
    </w:p>
    <w:p>
      <w:pPr>
        <w:spacing w:line="560" w:lineRule="exact"/>
        <w:ind w:firstLine="420" w:firstLineChars="200"/>
        <w:rPr>
          <w:rFonts w:ascii="宋体" w:hAnsi="宋体" w:hint="eastAsia"/>
          <w:bCs/>
          <w:szCs w:val="28"/>
        </w:rPr>
      </w:pPr>
      <w:r>
        <w:rPr>
          <w:rFonts w:ascii="宋体" w:hAnsi="宋体" w:hint="eastAsia"/>
          <w:bCs/>
          <w:szCs w:val="28"/>
        </w:rPr>
        <w:t>（2）气象数据应加密存储与传输，支持冗余备份与灾备恢复；</w:t>
      </w:r>
    </w:p>
    <w:p>
      <w:pPr>
        <w:spacing w:line="560" w:lineRule="exact"/>
        <w:ind w:firstLine="420" w:firstLineChars="200"/>
        <w:rPr>
          <w:rFonts w:ascii="宋体" w:hAnsi="宋体" w:hint="eastAsia"/>
          <w:bCs/>
          <w:szCs w:val="28"/>
        </w:rPr>
      </w:pPr>
      <w:r>
        <w:rPr>
          <w:rFonts w:ascii="宋体" w:hAnsi="宋体" w:hint="eastAsia"/>
          <w:bCs/>
          <w:szCs w:val="28"/>
        </w:rPr>
        <w:t>（3）实现基于角色的访问控制，确保数据按权限受控访问。</w:t>
      </w:r>
    </w:p>
    <w:p>
      <w:pPr>
        <w:keepNext/>
        <w:keepLines/>
        <w:numPr>
          <w:ilvl w:val="0"/>
          <w:numId w:val="4"/>
        </w:numPr>
        <w:spacing w:before="280" w:after="290" w:line="376" w:lineRule="atLeast"/>
        <w:outlineLvl w:val="3"/>
        <w:rPr>
          <w:rFonts w:ascii="Arial" w:eastAsia="黑体" w:hAnsi="Arial"/>
          <w:b/>
          <w:bCs/>
          <w:sz w:val="28"/>
          <w:szCs w:val="28"/>
        </w:rPr>
      </w:pPr>
      <w:bookmarkStart w:id="65" w:name="_Toc181629936"/>
      <w:r>
        <w:rPr>
          <w:rFonts w:ascii="Arial" w:eastAsia="黑体" w:hAnsi="Arial" w:hint="eastAsia"/>
          <w:b/>
          <w:bCs/>
          <w:sz w:val="28"/>
          <w:szCs w:val="28"/>
        </w:rPr>
        <w:t>系统稳定性</w:t>
      </w:r>
      <w:bookmarkEnd w:id="65"/>
    </w:p>
    <w:p>
      <w:pPr>
        <w:spacing w:line="560" w:lineRule="exact"/>
        <w:ind w:firstLine="420" w:firstLineChars="200"/>
        <w:rPr>
          <w:rFonts w:ascii="宋体" w:hAnsi="宋体" w:hint="eastAsia"/>
          <w:szCs w:val="21"/>
        </w:rPr>
      </w:pPr>
      <w:r>
        <w:rPr>
          <w:rFonts w:hint="eastAsia"/>
        </w:rPr>
        <w:t>系统须在高并发、多源异构环境下稳定运行，各组件应具备容错机制，有效应对数据缺失、异常或网络波动，并提供健康监测与服务降级能力，保障核心业务连续性</w:t>
      </w:r>
      <w:r>
        <w:rPr>
          <w:rFonts w:ascii="宋体" w:hAnsi="宋体" w:hint="eastAsia"/>
          <w:bCs/>
          <w:szCs w:val="28"/>
        </w:rPr>
        <w:t>。</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三、服务清单</w:t>
      </w:r>
    </w:p>
    <w:p>
      <w:pPr>
        <w:keepNext/>
        <w:keepLines/>
        <w:numPr>
          <w:ilvl w:val="0"/>
          <w:numId w:val="6"/>
        </w:numPr>
        <w:spacing w:before="280" w:after="290" w:line="376" w:lineRule="atLeast"/>
        <w:outlineLvl w:val="3"/>
        <w:rPr>
          <w:rFonts w:ascii="宋体" w:eastAsia="黑体" w:hAnsi="宋体" w:hint="eastAsia"/>
          <w:b/>
          <w:bCs/>
          <w:sz w:val="28"/>
          <w:szCs w:val="21"/>
        </w:rPr>
      </w:pPr>
      <w:bookmarkStart w:id="66" w:name="_Toc181629887"/>
      <w:r>
        <w:rPr>
          <w:rFonts w:ascii="宋体" w:eastAsia="黑体" w:hAnsi="宋体" w:hint="eastAsia"/>
          <w:b/>
          <w:bCs/>
          <w:sz w:val="28"/>
          <w:szCs w:val="21"/>
        </w:rPr>
        <w:t>短临预警语料库建设组件</w:t>
      </w:r>
    </w:p>
    <w:p>
      <w:pPr>
        <w:spacing w:line="360" w:lineRule="auto"/>
        <w:ind w:firstLine="420" w:firstLineChars="200"/>
        <w:rPr>
          <w:rFonts w:ascii="宋体" w:hAnsi="宋体"/>
          <w:szCs w:val="21"/>
        </w:rPr>
      </w:pPr>
      <w:r>
        <w:rPr>
          <w:rFonts w:ascii="宋体" w:hAnsi="宋体" w:hint="eastAsia"/>
          <w:szCs w:val="21"/>
        </w:rPr>
        <w:t>短临预警语料库建设组件负责构建高质量、结构化文本语料库，为大语言模型训练提供数据基础。组件整合气象部门历史预警报告、实时预警文本及专家注释等非二进制数据源，覆盖雷暴、强降水等短临事件类型。通过数据清洗、标注和语义增强，确保语料具备多维度元数据，提升模型在预警生成、解释和用户交互任务中的泛化能力。输出标准化语料数据集，严格遵循数据安全规范，支持增量更新以保持时效性。</w:t>
      </w:r>
    </w:p>
    <w:p>
      <w:pPr>
        <w:numPr>
          <w:ilvl w:val="0"/>
          <w:numId w:val="7"/>
        </w:numPr>
        <w:spacing w:line="360" w:lineRule="auto"/>
        <w:rPr>
          <w:rFonts w:ascii="宋体" w:hAnsi="宋体" w:hint="eastAsia"/>
          <w:szCs w:val="21"/>
        </w:rPr>
      </w:pPr>
      <w:r>
        <w:rPr>
          <w:rFonts w:ascii="宋体" w:hAnsi="宋体" w:hint="eastAsia"/>
          <w:szCs w:val="21"/>
        </w:rPr>
        <w:t>原始文本语料采集模块</w:t>
      </w:r>
    </w:p>
    <w:p>
      <w:pPr>
        <w:spacing w:line="360" w:lineRule="auto"/>
        <w:ind w:firstLine="420" w:firstLineChars="200"/>
        <w:rPr>
          <w:rFonts w:ascii="宋体" w:hAnsi="宋体" w:hint="eastAsia"/>
          <w:szCs w:val="21"/>
        </w:rPr>
      </w:pPr>
      <w:r>
        <w:rPr>
          <w:rFonts w:ascii="宋体" w:hAnsi="宋体" w:hint="eastAsia"/>
          <w:szCs w:val="21"/>
        </w:rPr>
        <w:t>该模块通过爬虫技术、API接口及人工录入等方式，从历史预警报告、气象公报、灾害记录等权威渠道，以及社交媒体、新闻网站等公开平台，自动化采集多源异构的原始文本数据。支持定时增量采集与实时抓取，覆盖多语言、多格式（如PDF、HTML、TXT）的文本，同时记录数据来源、采集时间等元信息，确保语料来源可追溯。通过去重、格式标准化等预处理，初步过滤低质量数据，为后续模块提供干净、丰富的原始语料库。</w:t>
      </w:r>
    </w:p>
    <w:p>
      <w:pPr>
        <w:numPr>
          <w:ilvl w:val="0"/>
          <w:numId w:val="7"/>
        </w:numPr>
        <w:spacing w:line="360" w:lineRule="auto"/>
        <w:rPr>
          <w:rFonts w:ascii="宋体" w:hAnsi="宋体" w:hint="eastAsia"/>
          <w:szCs w:val="21"/>
        </w:rPr>
      </w:pPr>
      <w:r>
        <w:rPr>
          <w:rFonts w:ascii="宋体" w:hAnsi="宋体" w:hint="eastAsia"/>
          <w:szCs w:val="21"/>
        </w:rPr>
        <w:t>文本化处理模块</w:t>
      </w:r>
    </w:p>
    <w:p>
      <w:pPr>
        <w:spacing w:line="360" w:lineRule="auto"/>
        <w:ind w:firstLine="420" w:firstLineChars="200"/>
        <w:rPr>
          <w:rFonts w:ascii="宋体" w:hAnsi="宋体" w:hint="eastAsia"/>
          <w:szCs w:val="21"/>
        </w:rPr>
      </w:pPr>
      <w:r>
        <w:rPr>
          <w:rFonts w:ascii="宋体" w:hAnsi="宋体" w:hint="eastAsia"/>
          <w:szCs w:val="21"/>
        </w:rPr>
        <w:t>针对结构化数据（如数据库表格、JSON格式日志），模块通过规则引擎或模板匹配将其转换为自然语言描述（如将</w:t>
      </w:r>
      <w:r>
        <w:rPr>
          <w:rFonts w:ascii="宋体" w:hAnsi="宋体" w:hint="eastAsia"/>
          <w:szCs w:val="21"/>
        </w:rPr>
        <w:t>“</w:t>
      </w:r>
      <w:r>
        <w:rPr>
          <w:rFonts w:ascii="宋体" w:hAnsi="宋体" w:hint="eastAsia"/>
          <w:szCs w:val="21"/>
        </w:rPr>
        <w:t>风速:25m/s</w:t>
      </w:r>
      <w:r>
        <w:rPr>
          <w:rFonts w:ascii="宋体" w:hAnsi="宋体" w:hint="eastAsia"/>
          <w:szCs w:val="21"/>
        </w:rPr>
        <w:t>”</w:t>
      </w:r>
      <w:r>
        <w:rPr>
          <w:rFonts w:ascii="宋体" w:hAnsi="宋体" w:hint="eastAsia"/>
          <w:szCs w:val="21"/>
        </w:rPr>
        <w:t>转为</w:t>
      </w:r>
      <w:r>
        <w:rPr>
          <w:rFonts w:ascii="宋体" w:hAnsi="宋体" w:hint="eastAsia"/>
          <w:szCs w:val="21"/>
        </w:rPr>
        <w:t>“</w:t>
      </w:r>
      <w:r>
        <w:rPr>
          <w:rFonts w:ascii="宋体" w:hAnsi="宋体" w:hint="eastAsia"/>
          <w:szCs w:val="21"/>
        </w:rPr>
        <w:t>风速达到每秒25米</w:t>
      </w:r>
      <w:r>
        <w:rPr>
          <w:rFonts w:ascii="宋体" w:hAnsi="宋体" w:hint="eastAsia"/>
          <w:szCs w:val="21"/>
        </w:rPr>
        <w:t>”</w:t>
      </w:r>
      <w:r>
        <w:rPr>
          <w:rFonts w:ascii="宋体" w:hAnsi="宋体" w:hint="eastAsia"/>
          <w:szCs w:val="21"/>
        </w:rPr>
        <w:t>）；对非结构化数据（如图像中的文字、音频转写文本），利用OCR、ASR技术提取文本后，进行语义润色与逻辑连贯性优化。支持多模态数据融合处理，确保输出文本符合自然语言习惯，为后续分类与标注提供标准化输入。</w:t>
      </w:r>
    </w:p>
    <w:p>
      <w:pPr>
        <w:numPr>
          <w:ilvl w:val="0"/>
          <w:numId w:val="7"/>
        </w:numPr>
        <w:spacing w:line="360" w:lineRule="auto"/>
        <w:rPr>
          <w:rFonts w:ascii="宋体" w:hAnsi="宋体" w:hint="eastAsia"/>
          <w:szCs w:val="21"/>
        </w:rPr>
      </w:pPr>
      <w:r>
        <w:rPr>
          <w:rFonts w:ascii="宋体" w:hAnsi="宋体" w:hint="eastAsia"/>
          <w:szCs w:val="21"/>
        </w:rPr>
        <w:t>语料分类与分级模块</w:t>
      </w:r>
    </w:p>
    <w:p>
      <w:pPr>
        <w:spacing w:line="360" w:lineRule="auto"/>
        <w:ind w:firstLine="420" w:firstLineChars="200"/>
        <w:rPr>
          <w:rFonts w:ascii="宋体" w:hAnsi="宋体" w:hint="eastAsia"/>
          <w:szCs w:val="21"/>
        </w:rPr>
      </w:pPr>
      <w:r>
        <w:rPr>
          <w:rFonts w:ascii="宋体" w:hAnsi="宋体" w:hint="eastAsia"/>
          <w:szCs w:val="21"/>
        </w:rPr>
        <w:t>基于预警类型（如台风、暴雨、地震）和强度等级，模块采用多级分类体系对语料进行标签化存储。通过关键词匹配、正则表达式及机器学习模型实现自动分类，同时支持人工复核与标签修正。分类结果按层级结构存储于数据库，便于快速检索特定类型或等级的语料。</w:t>
      </w:r>
    </w:p>
    <w:p>
      <w:pPr>
        <w:numPr>
          <w:ilvl w:val="0"/>
          <w:numId w:val="7"/>
        </w:numPr>
        <w:spacing w:line="360" w:lineRule="auto"/>
        <w:rPr>
          <w:rFonts w:ascii="宋体" w:hAnsi="宋体" w:hint="eastAsia"/>
          <w:szCs w:val="21"/>
        </w:rPr>
      </w:pPr>
      <w:r>
        <w:rPr>
          <w:rFonts w:ascii="宋体" w:hAnsi="宋体" w:hint="eastAsia"/>
          <w:szCs w:val="21"/>
        </w:rPr>
        <w:t>语料清洗与标准化模块</w:t>
      </w:r>
    </w:p>
    <w:p>
      <w:pPr>
        <w:spacing w:line="360" w:lineRule="auto"/>
        <w:ind w:firstLine="420" w:firstLineChars="200"/>
        <w:rPr>
          <w:rFonts w:ascii="宋体" w:hAnsi="宋体" w:hint="eastAsia"/>
          <w:szCs w:val="21"/>
        </w:rPr>
      </w:pPr>
      <w:r>
        <w:rPr>
          <w:rFonts w:ascii="宋体" w:hAnsi="宋体" w:hint="eastAsia"/>
          <w:szCs w:val="21"/>
        </w:rPr>
        <w:t>模块首先通过规则过滤和统计方法去除冗余信息；其次统一术语表达，建立术语词典并应用正则替换；最后通过语法分析工具纠正拼写错误、主谓不一致等语法问题。清洗后的语料需通过质量检查，确保符合标准化要求。</w:t>
      </w:r>
    </w:p>
    <w:p>
      <w:pPr>
        <w:numPr>
          <w:ilvl w:val="0"/>
          <w:numId w:val="7"/>
        </w:numPr>
        <w:spacing w:line="360" w:lineRule="auto"/>
        <w:rPr>
          <w:rFonts w:ascii="宋体" w:hAnsi="宋体" w:hint="eastAsia"/>
          <w:szCs w:val="21"/>
        </w:rPr>
      </w:pPr>
      <w:r>
        <w:rPr>
          <w:rFonts w:ascii="宋体" w:hAnsi="宋体" w:hint="eastAsia"/>
          <w:szCs w:val="21"/>
        </w:rPr>
        <w:t>语料向量化模块</w:t>
      </w:r>
    </w:p>
    <w:p>
      <w:pPr>
        <w:spacing w:line="360" w:lineRule="auto"/>
        <w:ind w:firstLine="420" w:firstLineChars="200"/>
        <w:rPr>
          <w:rFonts w:ascii="宋体" w:hAnsi="宋体" w:hint="eastAsia"/>
          <w:szCs w:val="21"/>
        </w:rPr>
      </w:pPr>
      <w:r>
        <w:rPr>
          <w:rFonts w:ascii="宋体" w:hAnsi="宋体" w:hint="eastAsia"/>
          <w:szCs w:val="21"/>
        </w:rPr>
        <w:t>该模块将清洗后的文本语料转换为数值向量，以供机器学习模型使用。支持多种向量化方法：基于词袋模型（BoW）或TF-IDF的稀疏向量，适用于传统机器学习；基于预训练语言模型（如BERT、Word2Vec）的密集向量，捕捉深层语义特征；针对特定任务（如情感分析）的微调向量。输出向量需统一维度并归一化处理，确保与下游模型输入格式兼容，同时存储向量与原始文本的映射关系。</w:t>
      </w:r>
    </w:p>
    <w:p>
      <w:pPr>
        <w:numPr>
          <w:ilvl w:val="0"/>
          <w:numId w:val="7"/>
        </w:numPr>
        <w:spacing w:line="360" w:lineRule="auto"/>
        <w:rPr>
          <w:rFonts w:ascii="宋体" w:hAnsi="宋体" w:hint="eastAsia"/>
          <w:szCs w:val="21"/>
        </w:rPr>
      </w:pPr>
      <w:r>
        <w:rPr>
          <w:rFonts w:ascii="宋体" w:hAnsi="宋体" w:hint="eastAsia"/>
          <w:szCs w:val="21"/>
        </w:rPr>
        <w:t>语料版本控制模块</w:t>
      </w:r>
    </w:p>
    <w:p>
      <w:pPr>
        <w:spacing w:line="360" w:lineRule="auto"/>
        <w:ind w:firstLine="420" w:firstLineChars="200"/>
        <w:rPr>
          <w:rFonts w:ascii="宋体" w:hAnsi="宋体" w:hint="eastAsia"/>
          <w:szCs w:val="21"/>
        </w:rPr>
      </w:pPr>
      <w:r>
        <w:rPr>
          <w:rFonts w:ascii="宋体" w:hAnsi="宋体" w:hint="eastAsia"/>
          <w:szCs w:val="21"/>
        </w:rPr>
        <w:t>模块采用Git-like版本管理系统，记录语料库的每次修改（如新增台风命名规则、政策术语更新），包括修改时间、操作人、变更内容摘要。支持版本回滚与差异对比（高亮显示两次版本间的文本差异），便于追踪语料演化过程。通过分支管理功能，可创建测试分支验证新语料对模型的影响，确认无误后合并至主分支，确保生产环境语料稳定性。</w:t>
      </w:r>
    </w:p>
    <w:p>
      <w:pPr>
        <w:numPr>
          <w:ilvl w:val="0"/>
          <w:numId w:val="7"/>
        </w:numPr>
        <w:spacing w:line="360" w:lineRule="auto"/>
        <w:rPr>
          <w:rFonts w:ascii="宋体" w:hAnsi="宋体" w:hint="eastAsia"/>
          <w:szCs w:val="21"/>
        </w:rPr>
      </w:pPr>
      <w:r>
        <w:rPr>
          <w:rFonts w:ascii="宋体" w:hAnsi="宋体" w:hint="eastAsia"/>
          <w:szCs w:val="21"/>
        </w:rPr>
        <w:t>语料质量评估模块</w:t>
      </w:r>
    </w:p>
    <w:p>
      <w:pPr>
        <w:spacing w:line="360" w:lineRule="auto"/>
        <w:ind w:firstLine="420" w:firstLineChars="200"/>
        <w:rPr>
          <w:rFonts w:ascii="宋体" w:hAnsi="宋体" w:hint="eastAsia"/>
          <w:szCs w:val="21"/>
        </w:rPr>
      </w:pPr>
      <w:r>
        <w:rPr>
          <w:rFonts w:ascii="宋体" w:hAnsi="宋体" w:hint="eastAsia"/>
          <w:szCs w:val="21"/>
        </w:rPr>
        <w:t>从准确性、完整性、可读性三维度评估语料质量：准确性通过与权威数据源（如中央气象台官网）对比验证；完整性检查关键字段（如预警时间、影响范围）是否缺失；可读性采用Flesch阅读易读性公式评分，并统计长句、复杂词汇比例。评估结果以可视化报告呈现，标注低质量语料位置及问题类型（如</w:t>
      </w:r>
      <w:r>
        <w:rPr>
          <w:rFonts w:ascii="宋体" w:hAnsi="宋体" w:hint="eastAsia"/>
          <w:szCs w:val="21"/>
        </w:rPr>
        <w:t>“</w:t>
      </w:r>
      <w:r>
        <w:rPr>
          <w:rFonts w:ascii="宋体" w:hAnsi="宋体" w:hint="eastAsia"/>
          <w:szCs w:val="21"/>
        </w:rPr>
        <w:t>术语不统一</w:t>
      </w:r>
      <w:r>
        <w:rPr>
          <w:rFonts w:ascii="宋体" w:hAnsi="宋体" w:hint="eastAsia"/>
          <w:szCs w:val="21"/>
        </w:rPr>
        <w:t>”“</w:t>
      </w:r>
      <w:r>
        <w:rPr>
          <w:rFonts w:ascii="宋体" w:hAnsi="宋体" w:hint="eastAsia"/>
          <w:szCs w:val="21"/>
        </w:rPr>
        <w:t>语法错误</w:t>
      </w:r>
      <w:r>
        <w:rPr>
          <w:rFonts w:ascii="宋体" w:hAnsi="宋体" w:hint="eastAsia"/>
          <w:szCs w:val="21"/>
        </w:rPr>
        <w:t>”</w:t>
      </w:r>
      <w:r>
        <w:rPr>
          <w:rFonts w:ascii="宋体" w:hAnsi="宋体" w:hint="eastAsia"/>
          <w:szCs w:val="21"/>
        </w:rPr>
        <w:t>），为清洗模块提供优化方向，确保语料库整体质量达标。</w:t>
      </w:r>
    </w:p>
    <w:p>
      <w:pPr>
        <w:numPr>
          <w:ilvl w:val="0"/>
          <w:numId w:val="7"/>
        </w:numPr>
        <w:spacing w:line="360" w:lineRule="auto"/>
        <w:rPr>
          <w:rFonts w:ascii="宋体" w:hAnsi="宋体" w:hint="eastAsia"/>
          <w:szCs w:val="21"/>
        </w:rPr>
      </w:pPr>
      <w:r>
        <w:rPr>
          <w:rFonts w:ascii="宋体" w:hAnsi="宋体" w:hint="eastAsia"/>
          <w:szCs w:val="21"/>
        </w:rPr>
        <w:t>语料动态更新模块</w:t>
      </w:r>
    </w:p>
    <w:p>
      <w:pPr>
        <w:spacing w:line="360" w:lineRule="auto"/>
        <w:ind w:firstLine="420" w:firstLineChars="200"/>
        <w:rPr>
          <w:rFonts w:ascii="宋体" w:hAnsi="宋体" w:hint="eastAsia"/>
          <w:szCs w:val="21"/>
        </w:rPr>
      </w:pPr>
      <w:r>
        <w:rPr>
          <w:rFonts w:ascii="宋体" w:hAnsi="宋体" w:hint="eastAsia"/>
          <w:szCs w:val="21"/>
        </w:rPr>
        <w:t>模块支持定时（如每日凌晨）与事件驱动（如突发灾害发生时）两种更新模式。定时更新通过爬虫自动抓取最新预警报告，比对语料库后新增未收录内容；事件驱动更新则由人工触发，快速录入紧急语料。同时支持语料下架功能，标记过期或失效语料（如已解除的预警），确保语料库时效性。更新日志详细记录操作类型、影响范围，便于审计与回溯。</w:t>
      </w:r>
    </w:p>
    <w:p>
      <w:pPr>
        <w:numPr>
          <w:ilvl w:val="0"/>
          <w:numId w:val="7"/>
        </w:numPr>
        <w:spacing w:line="360" w:lineRule="auto"/>
        <w:rPr>
          <w:rFonts w:ascii="宋体" w:hAnsi="宋体" w:hint="eastAsia"/>
          <w:szCs w:val="21"/>
        </w:rPr>
      </w:pPr>
      <w:r>
        <w:rPr>
          <w:rFonts w:ascii="宋体" w:hAnsi="宋体" w:hint="eastAsia"/>
          <w:szCs w:val="21"/>
        </w:rPr>
        <w:t>语料标注模块</w:t>
      </w:r>
    </w:p>
    <w:p>
      <w:pPr>
        <w:spacing w:line="360" w:lineRule="auto"/>
        <w:ind w:firstLine="420" w:firstLineChars="200"/>
        <w:rPr>
          <w:rFonts w:ascii="宋体" w:hAnsi="宋体" w:hint="eastAsia"/>
          <w:szCs w:val="21"/>
        </w:rPr>
      </w:pPr>
      <w:r>
        <w:rPr>
          <w:rFonts w:ascii="宋体" w:hAnsi="宋体" w:hint="eastAsia"/>
          <w:szCs w:val="21"/>
        </w:rPr>
        <w:t>根据任务需求（如训练灾害实体识别模型），模块提供标注工具支持人工或半自动标注。标注类型包括实体标注（如标注</w:t>
      </w:r>
      <w:r>
        <w:rPr>
          <w:rFonts w:ascii="宋体" w:hAnsi="宋体" w:hint="eastAsia"/>
          <w:szCs w:val="21"/>
        </w:rPr>
        <w:t>“</w:t>
      </w:r>
      <w:r>
        <w:rPr>
          <w:rFonts w:ascii="宋体" w:hAnsi="宋体" w:hint="eastAsia"/>
          <w:szCs w:val="21"/>
        </w:rPr>
        <w:t>台风</w:t>
      </w:r>
      <w:r>
        <w:rPr>
          <w:rFonts w:ascii="宋体" w:hAnsi="宋体" w:hint="eastAsia"/>
          <w:szCs w:val="21"/>
        </w:rPr>
        <w:t>‘</w:t>
      </w:r>
      <w:r>
        <w:rPr>
          <w:rFonts w:ascii="宋体" w:hAnsi="宋体" w:hint="eastAsia"/>
          <w:szCs w:val="21"/>
        </w:rPr>
        <w:t>杜苏芮</w:t>
      </w:r>
      <w:r>
        <w:rPr>
          <w:rFonts w:ascii="宋体" w:hAnsi="宋体" w:hint="eastAsia"/>
          <w:szCs w:val="21"/>
        </w:rPr>
        <w:t>’”</w:t>
      </w:r>
      <w:r>
        <w:rPr>
          <w:rFonts w:ascii="宋体" w:hAnsi="宋体" w:hint="eastAsia"/>
          <w:szCs w:val="21"/>
        </w:rPr>
        <w:t>为灾害实体）、关系标注（如标注</w:t>
      </w:r>
      <w:r>
        <w:rPr>
          <w:rFonts w:ascii="宋体" w:hAnsi="宋体" w:hint="eastAsia"/>
          <w:szCs w:val="21"/>
        </w:rPr>
        <w:t>“</w:t>
      </w:r>
      <w:r>
        <w:rPr>
          <w:rFonts w:ascii="宋体" w:hAnsi="宋体" w:hint="eastAsia"/>
          <w:szCs w:val="21"/>
        </w:rPr>
        <w:t>暴雨-导致-洪水</w:t>
      </w:r>
      <w:r>
        <w:rPr>
          <w:rFonts w:ascii="宋体" w:hAnsi="宋体" w:hint="eastAsia"/>
          <w:szCs w:val="21"/>
        </w:rPr>
        <w:t>”</w:t>
      </w:r>
      <w:r>
        <w:rPr>
          <w:rFonts w:ascii="宋体" w:hAnsi="宋体" w:hint="eastAsia"/>
          <w:szCs w:val="21"/>
        </w:rPr>
        <w:t>）、情感标注（如标注社交媒体文本的情感倾向）。支持多人协作标注与冲突解决，标注结果通过一致性检验（如Cohen's Kappa系数）确保质量。标注语料可导出为COCO、JSON等标准格式，供模型训练使用。</w:t>
      </w:r>
    </w:p>
    <w:p>
      <w:pPr>
        <w:numPr>
          <w:ilvl w:val="0"/>
          <w:numId w:val="7"/>
        </w:numPr>
        <w:spacing w:line="360" w:lineRule="auto"/>
        <w:rPr>
          <w:rFonts w:ascii="宋体" w:hAnsi="宋体" w:hint="eastAsia"/>
          <w:szCs w:val="21"/>
        </w:rPr>
      </w:pPr>
      <w:r>
        <w:rPr>
          <w:rFonts w:ascii="宋体" w:hAnsi="宋体" w:hint="eastAsia"/>
          <w:szCs w:val="21"/>
        </w:rPr>
        <w:t>语料存储与高效检索模块</w:t>
      </w:r>
    </w:p>
    <w:p>
      <w:pPr>
        <w:spacing w:line="360" w:lineRule="auto"/>
        <w:ind w:firstLine="420" w:firstLineChars="200"/>
        <w:rPr>
          <w:rFonts w:ascii="宋体" w:hAnsi="宋体"/>
          <w:szCs w:val="21"/>
        </w:rPr>
      </w:pPr>
      <w:r>
        <w:rPr>
          <w:rFonts w:ascii="宋体" w:hAnsi="宋体" w:hint="eastAsia"/>
          <w:szCs w:val="21"/>
        </w:rPr>
        <w:t>采用Elasticsearch全文搜索引擎构建分布式存储系统，支持按关键词（如</w:t>
      </w:r>
      <w:r>
        <w:rPr>
          <w:rFonts w:ascii="宋体" w:hAnsi="宋体" w:hint="eastAsia"/>
          <w:szCs w:val="21"/>
        </w:rPr>
        <w:t>“</w:t>
      </w:r>
      <w:r>
        <w:rPr>
          <w:rFonts w:ascii="宋体" w:hAnsi="宋体" w:hint="eastAsia"/>
          <w:szCs w:val="21"/>
        </w:rPr>
        <w:t>台风+2023</w:t>
      </w:r>
      <w:r>
        <w:rPr>
          <w:rFonts w:ascii="宋体" w:hAnsi="宋体" w:hint="eastAsia"/>
          <w:szCs w:val="21"/>
        </w:rPr>
        <w:t>”</w:t>
      </w:r>
      <w:r>
        <w:rPr>
          <w:rFonts w:ascii="宋体" w:hAnsi="宋体" w:hint="eastAsia"/>
          <w:szCs w:val="21"/>
        </w:rPr>
        <w:t>）、时间范围（如</w:t>
      </w:r>
      <w:r>
        <w:rPr>
          <w:rFonts w:ascii="宋体" w:hAnsi="宋体" w:hint="eastAsia"/>
          <w:szCs w:val="21"/>
        </w:rPr>
        <w:t>“</w:t>
      </w:r>
      <w:r>
        <w:rPr>
          <w:rFonts w:ascii="宋体" w:hAnsi="宋体" w:hint="eastAsia"/>
          <w:szCs w:val="21"/>
        </w:rPr>
        <w:t>2023-01-01至2023-12-31</w:t>
      </w:r>
      <w:r>
        <w:rPr>
          <w:rFonts w:ascii="宋体" w:hAnsi="宋体" w:hint="eastAsia"/>
          <w:szCs w:val="21"/>
        </w:rPr>
        <w:t>”</w:t>
      </w:r>
      <w:r>
        <w:rPr>
          <w:rFonts w:ascii="宋体" w:hAnsi="宋体" w:hint="eastAsia"/>
          <w:szCs w:val="21"/>
        </w:rPr>
        <w:t>）、地理区域（如</w:t>
      </w:r>
      <w:r>
        <w:rPr>
          <w:rFonts w:ascii="宋体" w:hAnsi="宋体" w:hint="eastAsia"/>
          <w:szCs w:val="21"/>
        </w:rPr>
        <w:t>“</w:t>
      </w:r>
      <w:r>
        <w:rPr>
          <w:rFonts w:ascii="宋体" w:hAnsi="宋体" w:hint="eastAsia"/>
          <w:szCs w:val="21"/>
        </w:rPr>
        <w:t>广东省</w:t>
      </w:r>
      <w:r>
        <w:rPr>
          <w:rFonts w:ascii="宋体" w:hAnsi="宋体" w:hint="eastAsia"/>
          <w:szCs w:val="21"/>
        </w:rPr>
        <w:t>”</w:t>
      </w:r>
      <w:r>
        <w:rPr>
          <w:rFonts w:ascii="宋体" w:hAnsi="宋体" w:hint="eastAsia"/>
          <w:szCs w:val="21"/>
        </w:rPr>
        <w:t>）等多条件组合检索。通过倒排索引技术实现毫秒级响应，同时支持模糊查询（如</w:t>
      </w:r>
      <w:r>
        <w:rPr>
          <w:rFonts w:ascii="宋体" w:hAnsi="宋体" w:hint="eastAsia"/>
          <w:szCs w:val="21"/>
        </w:rPr>
        <w:t>“</w:t>
      </w:r>
      <w:r>
        <w:rPr>
          <w:rFonts w:ascii="宋体" w:hAnsi="宋体" w:hint="eastAsia"/>
          <w:szCs w:val="21"/>
        </w:rPr>
        <w:t>台风?苏芮</w:t>
      </w:r>
      <w:r>
        <w:rPr>
          <w:rFonts w:ascii="宋体" w:hAnsi="宋体" w:hint="eastAsia"/>
          <w:szCs w:val="21"/>
        </w:rPr>
        <w:t>”</w:t>
      </w:r>
      <w:r>
        <w:rPr>
          <w:rFonts w:ascii="宋体" w:hAnsi="宋体" w:hint="eastAsia"/>
          <w:szCs w:val="21"/>
        </w:rPr>
        <w:t>）与语义搜索（如</w:t>
      </w:r>
      <w:r>
        <w:rPr>
          <w:rFonts w:ascii="宋体" w:hAnsi="宋体" w:hint="eastAsia"/>
          <w:szCs w:val="21"/>
        </w:rPr>
        <w:t>“</w:t>
      </w:r>
      <w:r>
        <w:rPr>
          <w:rFonts w:ascii="宋体" w:hAnsi="宋体" w:hint="eastAsia"/>
          <w:szCs w:val="21"/>
        </w:rPr>
        <w:t>查找所有涉及强降雨的预警</w:t>
      </w:r>
      <w:r>
        <w:rPr>
          <w:rFonts w:ascii="宋体" w:hAnsi="宋体" w:hint="eastAsia"/>
          <w:szCs w:val="21"/>
        </w:rPr>
        <w:t>”</w:t>
      </w:r>
      <w:r>
        <w:rPr>
          <w:rFonts w:ascii="宋体" w:hAnsi="宋体" w:hint="eastAsia"/>
          <w:szCs w:val="21"/>
        </w:rPr>
        <w:t>）。存储结构按分类分级体系设计，结合压缩算法降低存储成本，确保大规模语料库的高效管理与快速访问。</w:t>
      </w:r>
    </w:p>
    <w:p>
      <w:pPr>
        <w:spacing w:line="360" w:lineRule="auto"/>
        <w:ind w:firstLine="420" w:firstLineChars="200"/>
        <w:rPr>
          <w:rFonts w:ascii="宋体" w:hAnsi="宋体"/>
          <w:szCs w:val="21"/>
        </w:rPr>
      </w:pP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基座模型组件</w:t>
      </w:r>
    </w:p>
    <w:p>
      <w:pPr>
        <w:spacing w:line="360" w:lineRule="auto"/>
        <w:ind w:firstLine="420" w:firstLineChars="200"/>
      </w:pPr>
      <w:r>
        <w:rPr>
          <w:rFonts w:hint="eastAsia"/>
        </w:rPr>
        <w:t>基座模型组件负责大语言模型的选择、领域适应与性能优化，为短临预警服务提供核心推理能力。组件基于气象语料库，评估候选预训练模型，执行领域微调以增强气象术语理解，并应用轻量化技术提升推理效率。输出优化后的基座模型包，包含权重、配置及性能报告。确保模型在预警生成、多轮对话等任务中保持高准确率与低延迟，为上层应用组件提供稳定基础，严格遵循计算资源约束</w:t>
      </w:r>
      <w:r>
        <w:rPr>
          <w:rFonts w:ascii="宋体" w:hAnsi="宋体" w:hint="eastAsia"/>
          <w:szCs w:val="21"/>
        </w:rPr>
        <w:t>。</w:t>
      </w:r>
      <w:r>
        <w:rPr>
          <w:rFonts w:hint="eastAsia"/>
        </w:rPr>
        <w:t>依托大模型技术架构，构建从多模态数据感知到动态推理决策的端到端预警支撑体系，通过轻量化适配、语义级任务调度与专家协同机制，实现气象预警场景的高效闭环。</w:t>
      </w:r>
    </w:p>
    <w:p>
      <w:pPr>
        <w:numPr>
          <w:ilvl w:val="0"/>
          <w:numId w:val="8"/>
        </w:numPr>
        <w:spacing w:line="360" w:lineRule="auto"/>
        <w:rPr>
          <w:rFonts w:ascii="宋体" w:hAnsi="宋体" w:hint="eastAsia"/>
          <w:szCs w:val="21"/>
        </w:rPr>
      </w:pPr>
      <w:r>
        <w:rPr>
          <w:rFonts w:ascii="宋体" w:hAnsi="宋体" w:hint="eastAsia"/>
          <w:szCs w:val="21"/>
        </w:rPr>
        <w:t>数据集管理与增强模块</w:t>
      </w:r>
    </w:p>
    <w:p>
      <w:pPr>
        <w:spacing w:line="360" w:lineRule="auto"/>
        <w:ind w:firstLine="420" w:firstLineChars="200"/>
        <w:rPr>
          <w:rFonts w:ascii="宋体" w:hAnsi="宋体" w:hint="eastAsia"/>
          <w:szCs w:val="21"/>
        </w:rPr>
      </w:pPr>
      <w:r>
        <w:rPr>
          <w:rFonts w:ascii="宋体" w:hAnsi="宋体" w:hint="eastAsia"/>
          <w:szCs w:val="21"/>
        </w:rPr>
        <w:t>该模块统一管理气象领域语料数据，包括历史气象预警文本、气象服务问答对、气象科普知识库等结构化与非结构化数据。支持智能数据清洗，自动过滤低质量气象文本；提供气象术语增强功能，通过同义词替换、气象事件描述变换等方式扩充训练样本；实现动态数据采样策略，针对极端天气事件等关键场景进行数据过采样，确保模型对重要气象事件的理解能力。模块内置数据版本控制，保障气象语料的可追溯性与合规性，为后续微调提供高质量数据基础。</w:t>
      </w:r>
    </w:p>
    <w:p>
      <w:pPr>
        <w:numPr>
          <w:ilvl w:val="0"/>
          <w:numId w:val="8"/>
        </w:numPr>
        <w:spacing w:line="360" w:lineRule="auto"/>
        <w:rPr>
          <w:rFonts w:ascii="宋体" w:hAnsi="宋体" w:hint="eastAsia"/>
          <w:szCs w:val="21"/>
        </w:rPr>
      </w:pPr>
      <w:r>
        <w:rPr>
          <w:rFonts w:ascii="宋体" w:hAnsi="宋体" w:hint="eastAsia"/>
          <w:szCs w:val="21"/>
        </w:rPr>
        <w:t>预训练模型选型与加载模块</w:t>
      </w:r>
    </w:p>
    <w:p>
      <w:pPr>
        <w:spacing w:line="360" w:lineRule="auto"/>
        <w:ind w:firstLine="420" w:firstLineChars="200"/>
        <w:rPr>
          <w:rFonts w:ascii="宋体" w:hAnsi="宋体" w:hint="eastAsia"/>
          <w:szCs w:val="21"/>
        </w:rPr>
      </w:pPr>
      <w:r>
        <w:rPr>
          <w:rFonts w:ascii="宋体" w:hAnsi="宋体" w:hint="eastAsia"/>
          <w:szCs w:val="21"/>
        </w:rPr>
        <w:t>本模块负责气象服务场景下的基础模型选型与初始化加载。综合考虑气象文本的专业性、中文表达特点及部署环境约束，评估LLaMA、Qwen、ChatGLM等主流架构在气象术语理解、长文本处理及推理效率方面的表现。支持多模型并行加载机制，针对短临预警、气候咨询等不同任务类型，自动匹配最优基础模型。模块提供模型权重校验与安全验证功能，确保加载过程的完整性与可靠性，同时优化显存分配策略，为气象服务的高并发场景预留充足资源。</w:t>
      </w:r>
    </w:p>
    <w:p>
      <w:pPr>
        <w:numPr>
          <w:ilvl w:val="0"/>
          <w:numId w:val="8"/>
        </w:numPr>
        <w:spacing w:line="360" w:lineRule="auto"/>
        <w:rPr>
          <w:rFonts w:ascii="宋体" w:hAnsi="宋体" w:hint="eastAsia"/>
          <w:szCs w:val="21"/>
        </w:rPr>
      </w:pPr>
      <w:r>
        <w:rPr>
          <w:rFonts w:ascii="宋体" w:hAnsi="宋体" w:hint="eastAsia"/>
          <w:szCs w:val="21"/>
        </w:rPr>
        <w:t>微调策略配置模块</w:t>
      </w:r>
    </w:p>
    <w:p>
      <w:pPr>
        <w:spacing w:line="360" w:lineRule="auto"/>
        <w:ind w:firstLine="420" w:firstLineChars="200"/>
        <w:rPr>
          <w:rFonts w:ascii="宋体" w:hAnsi="宋体" w:hint="eastAsia"/>
          <w:szCs w:val="21"/>
        </w:rPr>
      </w:pPr>
      <w:r>
        <w:rPr>
          <w:rFonts w:ascii="宋体" w:hAnsi="宋体" w:hint="eastAsia"/>
          <w:szCs w:val="21"/>
        </w:rPr>
        <w:t>该模块专为气象问答任务设计参数高效微调方案。采用LoRA技术，在预训练模型关键层插入低秩适配器，仅训练少量参数即可掌握气象专业术语与逻辑推理能力；支持Adapter模块插入，在不修改原始架构前提下增强气象知识融合。配置动态学习率策略，针对气象预警等高敏感任务设置更高权重；实现多任务联合微调框架，同步优化短临预警解读、气候趋势分析等子任务性能。模块提供可视化配置界面，支持气象专家直观调整微调超参数，平衡模型通用性与领域专业性。</w:t>
      </w:r>
    </w:p>
    <w:p>
      <w:pPr>
        <w:numPr>
          <w:ilvl w:val="0"/>
          <w:numId w:val="8"/>
        </w:numPr>
        <w:spacing w:line="360" w:lineRule="auto"/>
        <w:rPr>
          <w:rFonts w:ascii="宋体" w:hAnsi="宋体" w:hint="eastAsia"/>
          <w:szCs w:val="21"/>
        </w:rPr>
      </w:pPr>
      <w:r>
        <w:rPr>
          <w:rFonts w:ascii="宋体" w:hAnsi="宋体" w:hint="eastAsia"/>
          <w:szCs w:val="21"/>
        </w:rPr>
        <w:t>模型压缩与轻量化模块</w:t>
      </w:r>
    </w:p>
    <w:p>
      <w:pPr>
        <w:spacing w:line="360" w:lineRule="auto"/>
        <w:ind w:firstLine="420" w:firstLineChars="200"/>
        <w:rPr>
          <w:rFonts w:ascii="宋体" w:hAnsi="宋体" w:hint="eastAsia"/>
          <w:szCs w:val="21"/>
        </w:rPr>
      </w:pPr>
      <w:r>
        <w:rPr>
          <w:rFonts w:ascii="宋体" w:hAnsi="宋体" w:hint="eastAsia"/>
          <w:szCs w:val="21"/>
        </w:rPr>
        <w:t>本模块通过多种技术手段优化气象模型部署效率。应用知识蒸馏技术，将大参数气象专家模型知识迁移至轻量级学生模型；实施结构化剪枝，移除对气象问答贡献度低的神经元连接；采用INT8/INT4量化策略，显著降低模型存储与计算需求。针对气象服务边缘部署场景，特别优化移动端推理性能，在保持气象问答准确率前提下，尽可能压缩模型资源消耗。</w:t>
      </w:r>
    </w:p>
    <w:p>
      <w:pPr>
        <w:numPr>
          <w:ilvl w:val="0"/>
          <w:numId w:val="8"/>
        </w:numPr>
        <w:spacing w:line="360" w:lineRule="auto"/>
        <w:rPr>
          <w:rFonts w:ascii="宋体" w:hAnsi="宋体" w:hint="eastAsia"/>
          <w:szCs w:val="21"/>
        </w:rPr>
      </w:pPr>
      <w:r>
        <w:rPr>
          <w:rFonts w:ascii="宋体" w:hAnsi="宋体" w:hint="eastAsia"/>
          <w:szCs w:val="21"/>
        </w:rPr>
        <w:t>推理加速与缓存模块</w:t>
      </w:r>
    </w:p>
    <w:p>
      <w:pPr>
        <w:spacing w:line="360" w:lineRule="auto"/>
        <w:ind w:firstLine="420" w:firstLineChars="200"/>
        <w:rPr>
          <w:rFonts w:ascii="宋体" w:hAnsi="宋体" w:hint="eastAsia"/>
          <w:szCs w:val="21"/>
        </w:rPr>
      </w:pPr>
      <w:r>
        <w:rPr>
          <w:rFonts w:ascii="宋体" w:hAnsi="宋体" w:hint="eastAsia"/>
          <w:szCs w:val="21"/>
        </w:rPr>
        <w:t>该模块全面提升气象问答服务响应速度。实现动态批处理机制，智能合并相似气象查询请求；支持异步推理流水线，将气象数据解析、语义理解、答案生成等阶段并行化；针对实时更新的短临预警，设计时效性缓存策略，确保信息新鲜度。模块自适应调整批处理大小，平衡响应延迟与吞吐量，保障极端天气期间高并发访问的稳定性。</w:t>
      </w:r>
    </w:p>
    <w:p>
      <w:pPr>
        <w:numPr>
          <w:ilvl w:val="0"/>
          <w:numId w:val="8"/>
        </w:numPr>
        <w:spacing w:line="360" w:lineRule="auto"/>
        <w:rPr>
          <w:rFonts w:ascii="宋体" w:hAnsi="宋体" w:hint="eastAsia"/>
          <w:szCs w:val="21"/>
        </w:rPr>
      </w:pPr>
      <w:r>
        <w:rPr>
          <w:rFonts w:ascii="宋体" w:hAnsi="宋体" w:hint="eastAsia"/>
          <w:szCs w:val="21"/>
        </w:rPr>
        <w:t>模型性能评估与监控模块</w:t>
      </w:r>
    </w:p>
    <w:p>
      <w:pPr>
        <w:spacing w:line="360" w:lineRule="auto"/>
        <w:ind w:firstLine="420" w:firstLineChars="200"/>
        <w:rPr>
          <w:rFonts w:ascii="宋体" w:hAnsi="宋体" w:hint="eastAsia"/>
          <w:szCs w:val="21"/>
        </w:rPr>
      </w:pPr>
      <w:r>
        <w:rPr>
          <w:rFonts w:ascii="宋体" w:hAnsi="宋体" w:hint="eastAsia"/>
          <w:szCs w:val="21"/>
        </w:rPr>
        <w:t>本模块构建全方位气象服务评估体系。设计气象专业指标，包括预警信息准确率、气象术语一致性、风险等级判断正确率等；监控实时服务指标如QPS、响应延迟、显存占用等资源消耗。设置异常检测机制，自动识别气象数值矛盾、风险等级错误等关键问题。</w:t>
      </w:r>
    </w:p>
    <w:p>
      <w:pPr>
        <w:numPr>
          <w:ilvl w:val="0"/>
          <w:numId w:val="8"/>
        </w:numPr>
        <w:spacing w:line="360" w:lineRule="auto"/>
        <w:rPr>
          <w:rFonts w:ascii="宋体" w:hAnsi="宋体" w:hint="eastAsia"/>
          <w:szCs w:val="21"/>
        </w:rPr>
      </w:pPr>
      <w:r>
        <w:rPr>
          <w:rFonts w:ascii="宋体" w:hAnsi="宋体" w:hint="eastAsia"/>
          <w:szCs w:val="21"/>
        </w:rPr>
        <w:t>模型动态知识更新模块</w:t>
      </w:r>
    </w:p>
    <w:p>
      <w:pPr>
        <w:spacing w:line="360" w:lineRule="auto"/>
        <w:ind w:firstLine="420" w:firstLineChars="200"/>
        <w:rPr>
          <w:rFonts w:ascii="宋体" w:hAnsi="宋体" w:hint="eastAsia"/>
          <w:szCs w:val="21"/>
        </w:rPr>
      </w:pPr>
      <w:r>
        <w:rPr>
          <w:rFonts w:ascii="宋体" w:hAnsi="宋体" w:hint="eastAsia"/>
          <w:szCs w:val="21"/>
        </w:rPr>
        <w:t>该模块保障气象知识的时效性与准确性。建立气象知识增量学习管道，支持小样本在线学习，在不遗忘历史知识前提下快速吸收新气象概念。实现渐进式更新策略，对短临预警规则等关键知识优先更新。模块与气象业务系统深度集成，可在重大天气过程后自动收集服务反馈，针对性强化模型在特定气象场景下的表现，确保气象智能服务始终与业务发展同步。</w:t>
      </w:r>
    </w:p>
    <w:p>
      <w:pPr>
        <w:numPr>
          <w:ilvl w:val="0"/>
          <w:numId w:val="8"/>
        </w:numPr>
        <w:spacing w:line="360" w:lineRule="auto"/>
        <w:rPr>
          <w:rFonts w:ascii="宋体" w:hAnsi="宋体" w:hint="eastAsia"/>
          <w:szCs w:val="21"/>
        </w:rPr>
      </w:pPr>
      <w:r>
        <w:rPr>
          <w:rFonts w:ascii="宋体" w:hAnsi="宋体" w:hint="eastAsia"/>
          <w:szCs w:val="21"/>
        </w:rPr>
        <w:t>多模型协同推理模块</w:t>
      </w:r>
    </w:p>
    <w:p>
      <w:pPr>
        <w:spacing w:line="360" w:lineRule="auto"/>
        <w:ind w:firstLine="420" w:firstLineChars="200"/>
        <w:rPr>
          <w:rFonts w:ascii="宋体" w:hAnsi="宋体" w:hint="eastAsia"/>
          <w:szCs w:val="21"/>
        </w:rPr>
      </w:pPr>
      <w:r>
        <w:rPr>
          <w:rFonts w:ascii="宋体" w:hAnsi="宋体" w:hint="eastAsia"/>
          <w:szCs w:val="21"/>
        </w:rPr>
        <w:t>本模块构建气象任务专用模型池，实现智能任务路由。针对短临预警、气候咨询、防灾指导等不同气象服务类型，部署专业化子模型；设计协同推理引擎，根据用户查询语义自动拆分复合任务，如将"台风影响分析"分解为路径预测解读、风雨强度评估、防御措施建议等子任务。建立模型置信度评估机制，当主模型对气象专业问题置信度不足时，自动调用气象专家模型进行补充。</w:t>
      </w:r>
    </w:p>
    <w:p>
      <w:pPr>
        <w:numPr>
          <w:ilvl w:val="0"/>
          <w:numId w:val="8"/>
        </w:numPr>
        <w:spacing w:line="360" w:lineRule="auto"/>
        <w:rPr>
          <w:rFonts w:ascii="宋体" w:hAnsi="宋体" w:hint="eastAsia"/>
          <w:szCs w:val="21"/>
        </w:rPr>
      </w:pPr>
      <w:r>
        <w:rPr>
          <w:rFonts w:ascii="宋体" w:hAnsi="宋体" w:hint="eastAsia"/>
          <w:szCs w:val="21"/>
        </w:rPr>
        <w:t>模型安全与对抗防御模块</w:t>
      </w:r>
    </w:p>
    <w:p>
      <w:pPr>
        <w:spacing w:line="360" w:lineRule="auto"/>
        <w:ind w:firstLine="420" w:firstLineChars="200"/>
        <w:rPr>
          <w:rFonts w:ascii="宋体" w:hAnsi="宋体" w:hint="eastAsia"/>
          <w:szCs w:val="21"/>
        </w:rPr>
      </w:pPr>
      <w:r>
        <w:rPr>
          <w:rFonts w:ascii="宋体" w:hAnsi="宋体" w:hint="eastAsia"/>
          <w:szCs w:val="21"/>
        </w:rPr>
        <w:t>本模块筑牢气象服务安全防线。部署输入过滤层，检测并阻断恶意构造的气象查询，如诱导生成虚假预警、混淆风险等级等对抗样本；实施输出安全校验，确保生成的气象建议符合国家规范，避免过度恐慌或风险低估。建立气象常识验证机制，自动识别违反气象学基本原理的异常输出；集成敏感词过滤系统，防止不当言论传播。所有安全策略可配置，满足不同级别气象服务机构的合规要求。</w:t>
      </w:r>
    </w:p>
    <w:p>
      <w:pPr>
        <w:numPr>
          <w:ilvl w:val="0"/>
          <w:numId w:val="8"/>
        </w:numPr>
        <w:spacing w:line="360" w:lineRule="auto"/>
        <w:rPr>
          <w:rFonts w:ascii="宋体" w:hAnsi="宋体" w:hint="eastAsia"/>
          <w:szCs w:val="21"/>
        </w:rPr>
      </w:pPr>
      <w:r>
        <w:rPr>
          <w:rFonts w:ascii="宋体" w:hAnsi="宋体" w:hint="eastAsia"/>
          <w:szCs w:val="21"/>
        </w:rPr>
        <w:t>模型版本管理与回滚模块</w:t>
      </w:r>
    </w:p>
    <w:p>
      <w:pPr>
        <w:spacing w:line="360" w:lineRule="auto"/>
        <w:ind w:firstLine="420" w:firstLineChars="200"/>
        <w:rPr>
          <w:rFonts w:ascii="宋体" w:hAnsi="宋体" w:hint="eastAsia"/>
          <w:szCs w:val="21"/>
        </w:rPr>
      </w:pPr>
      <w:r>
        <w:rPr>
          <w:rFonts w:ascii="宋体" w:hAnsi="宋体" w:hint="eastAsia"/>
          <w:szCs w:val="21"/>
        </w:rPr>
        <w:t>该模块保障气象服务的连续性与稳定性。实现完整的模型版本控制体系，记录每次迭代的训练数据、超参数、评估指标等关键信息；支持A/B测试部署，新版本模型在灰度环境验证通过后方可全量上线。建立自动化回滚机制，当监控系统检测到气象问答质量下降、响应延迟异常等指标恶化时，可在1小时内回退至上一稳定版本。</w:t>
      </w:r>
    </w:p>
    <w:p>
      <w:pPr>
        <w:numPr>
          <w:ilvl w:val="0"/>
          <w:numId w:val="8"/>
        </w:numPr>
        <w:spacing w:line="360" w:lineRule="auto"/>
        <w:rPr>
          <w:rFonts w:ascii="宋体" w:hAnsi="宋体" w:hint="eastAsia"/>
          <w:szCs w:val="21"/>
        </w:rPr>
      </w:pPr>
      <w:r>
        <w:rPr>
          <w:rFonts w:ascii="宋体" w:hAnsi="宋体" w:hint="eastAsia"/>
          <w:szCs w:val="21"/>
        </w:rPr>
        <w:t>自适应推理优化模块</w:t>
      </w:r>
    </w:p>
    <w:p>
      <w:pPr>
        <w:spacing w:line="360" w:lineRule="auto"/>
        <w:ind w:firstLine="420" w:firstLineChars="200"/>
        <w:rPr>
          <w:rFonts w:ascii="宋体" w:hAnsi="宋体"/>
          <w:szCs w:val="21"/>
        </w:rPr>
      </w:pPr>
      <w:r>
        <w:rPr>
          <w:rFonts w:ascii="宋体" w:hAnsi="宋体" w:hint="eastAsia"/>
          <w:szCs w:val="21"/>
        </w:rPr>
        <w:t>本模块实现气象服务资源的智能调度。动态分析查询复杂度，对简单气象术语解释分配轻量计算资源，对复合型气象分析任务（如多灾种叠加影响评估）自动提升GPU算力配额；感知系统负载状态，在暴雨、台风等高并发预警期间优先保障关键任务资源。支持弹性扩缩容，根据历史访问模式预测资源需求，提前准备计算实例。</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智能体平台组件</w:t>
      </w:r>
    </w:p>
    <w:p>
      <w:pPr>
        <w:spacing w:line="360" w:lineRule="auto"/>
        <w:ind w:firstLine="420" w:firstLineChars="200"/>
        <w:rPr>
          <w:rFonts w:ascii="宋体" w:hAnsi="宋体"/>
          <w:szCs w:val="21"/>
        </w:rPr>
      </w:pPr>
      <w:r>
        <w:rPr>
          <w:rFonts w:hint="eastAsia"/>
        </w:rPr>
        <w:t>智能体平台组件包括工具集开发功能、定制化预警智能体搭建功能、知识库功能、工作流编排功能。工具集开发功能提供低代码/无代码开发工具、标准化API及模块化插件生态，支持快速构建智能体，通过拖拽式界面与预置短临预警场景化模板降低开发门槛。 定制化预警智能体搭建功能覆盖智能体全生命周期管理，创建、训练、部署、监控，实现复杂场景下的自主感知、动态适应与任务执行。知识库功能集成多源数据解析、RAG增强生成及智能更新能力，结合向量数据库与知识图谱，为智能体提供精准的知识检索与动态知识驱动，减少生成幻觉并提升专业性。工作流编排功能内置可视化流程引擎，支持条件分支、多智能体协作及任务链优化，适配复杂预警业务逻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（1）智能体角色定义模块</w:t>
      </w:r>
    </w:p>
    <w:p>
      <w:pPr>
        <w:spacing w:line="360" w:lineRule="auto"/>
        <w:ind w:firstLine="420" w:firstLineChars="200"/>
        <w:rPr>
          <w:rFonts w:ascii="宋体" w:hAnsi="宋体"/>
          <w:szCs w:val="21"/>
        </w:rPr>
      </w:pPr>
      <w:r>
        <w:rPr>
          <w:rFonts w:ascii="仿宋_GB2312" w:cs="仿宋_GB2312"/>
          <w:color w:val="000000"/>
          <w:szCs w:val="32"/>
          <w:lang w:bidi="ar"/>
        </w:rPr>
        <w:t>智能体角色定义</w:t>
      </w:r>
      <w:r>
        <w:rPr>
          <w:rFonts w:ascii="仿宋_GB2312" w:cs="仿宋_GB2312" w:hint="eastAsia"/>
          <w:color w:val="000000"/>
          <w:szCs w:val="32"/>
          <w:lang w:bidi="ar"/>
        </w:rPr>
        <w:t>对于智能体能够处理用户意图，完成预定任务起着关键作用，能够</w:t>
      </w:r>
      <w:r>
        <w:rPr>
          <w:rFonts w:ascii="仿宋_GB2312" w:cs="仿宋_GB2312"/>
          <w:color w:val="000000"/>
          <w:szCs w:val="32"/>
          <w:lang w:bidi="ar"/>
        </w:rPr>
        <w:t>为每个智能体量身定制的身份蓝图与人格剧本。</w:t>
      </w:r>
      <w:r>
        <w:rPr>
          <w:rFonts w:ascii="仿宋_GB2312" w:cs="仿宋_GB2312" w:hint="eastAsia"/>
          <w:color w:val="000000"/>
          <w:szCs w:val="32"/>
          <w:lang w:bidi="ar"/>
        </w:rPr>
        <w:t>用户角色定义模块能够为用户提供富文本编辑器，协助用户完成智能体的角色设定；支持角色模板的自定义导入，同时为用户提供大量角色模板，用于快速帮助用户定义智能体角色，提供适配模型的经过验证的优质提示词</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）知识库搭建模块</w:t>
      </w:r>
    </w:p>
    <w:p>
      <w:pPr>
        <w:spacing w:line="360" w:lineRule="auto"/>
        <w:ind w:firstLine="420" w:firstLineChars="200"/>
        <w:rPr>
          <w:rFonts w:ascii="宋体" w:hAnsi="宋体"/>
          <w:szCs w:val="21"/>
        </w:rPr>
      </w:pPr>
      <w:r>
        <w:rPr>
          <w:rFonts w:ascii="仿宋_GB2312" w:cs="仿宋_GB2312" w:hint="eastAsia"/>
          <w:color w:val="000000"/>
          <w:szCs w:val="32"/>
          <w:lang w:bidi="ar"/>
        </w:rPr>
        <w:t>知识库搭建模块是智能体平台的知识引擎，承担着将碎片化信息转化为结构化、可高效检索的智能资产的核心使命。该模块首先打破数据孤岛，构建全域知识接入能力，支持从多元场景捕获信息，内置智能化预处理流水线，检索环节突破传统关键词匹配局限，提供</w:t>
      </w:r>
      <w:r>
        <w:rPr>
          <w:rFonts w:ascii="仿宋_GB2312" w:cs="仿宋_GB2312" w:hint="eastAsia"/>
          <w:color w:val="000000"/>
          <w:szCs w:val="32"/>
          <w:lang w:bidi="ar"/>
        </w:rPr>
        <w:t>“</w:t>
      </w:r>
      <w:r>
        <w:rPr>
          <w:rFonts w:ascii="仿宋_GB2312" w:cs="仿宋_GB2312" w:hint="eastAsia"/>
          <w:color w:val="000000"/>
          <w:szCs w:val="32"/>
          <w:lang w:bidi="ar"/>
        </w:rPr>
        <w:t>语义检索+关键词检索+混合检索</w:t>
      </w:r>
      <w:r>
        <w:rPr>
          <w:rFonts w:ascii="仿宋_GB2312" w:cs="仿宋_GB2312" w:hint="eastAsia"/>
          <w:color w:val="000000"/>
          <w:szCs w:val="32"/>
          <w:lang w:bidi="ar"/>
        </w:rPr>
        <w:t>”</w:t>
      </w:r>
      <w:r>
        <w:rPr>
          <w:rFonts w:ascii="仿宋_GB2312" w:cs="仿宋_GB2312" w:hint="eastAsia"/>
          <w:color w:val="000000"/>
          <w:szCs w:val="32"/>
          <w:lang w:bidi="ar"/>
        </w:rPr>
        <w:t>多模式检索方式，并引入相关性重排算法对召回结果二次筛选，再将关键知识与用户问题融合为增强上下文，确保智能体能基于精准信息作答，支持增量同步与版本追溯，同时通过细粒度权限控制保障数据安全</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（3）工作流搭建模块</w:t>
      </w:r>
    </w:p>
    <w:p>
      <w:pPr>
        <w:spacing w:line="360" w:lineRule="auto"/>
        <w:ind w:firstLine="420" w:firstLineChars="200"/>
        <w:rPr>
          <w:rFonts w:ascii="宋体" w:hAnsi="宋体"/>
          <w:szCs w:val="21"/>
        </w:rPr>
      </w:pPr>
      <w:r>
        <w:rPr>
          <w:rFonts w:ascii="仿宋_GB2312" w:cs="仿宋_GB2312"/>
          <w:color w:val="000000"/>
          <w:szCs w:val="32"/>
          <w:lang w:bidi="ar"/>
        </w:rPr>
        <w:t>工作流搭建模块构建一套可视化的自动化任务流水线，将分散的智能体能力（如知识检索、模型调用、API执行）串联为可落地的业务流程。该模块以“低门槛编排、高灵活扩展、强可靠执行”为目标，首先提供类流程图的可视化拖拽画布，用户无需编写代码即可通过节点连线设计任务逻辑</w:t>
      </w:r>
      <w:r>
        <w:rPr>
          <w:rFonts w:ascii="仿宋_GB2312" w:cs="仿宋_GB2312" w:hint="eastAsia"/>
          <w:color w:val="000000"/>
          <w:szCs w:val="32"/>
          <w:lang w:bidi="ar"/>
        </w:rPr>
        <w:t>，</w:t>
      </w:r>
      <w:r>
        <w:rPr>
          <w:rFonts w:ascii="仿宋_GB2312" w:cs="仿宋_GB2312"/>
          <w:color w:val="000000"/>
          <w:szCs w:val="32"/>
          <w:lang w:bidi="ar"/>
        </w:rPr>
        <w:t>节点库覆盖全场景需求</w:t>
      </w:r>
      <w:r>
        <w:rPr>
          <w:rFonts w:ascii="仿宋_GB2312" w:cs="仿宋_GB2312" w:hint="eastAsia"/>
          <w:color w:val="000000"/>
          <w:szCs w:val="32"/>
          <w:lang w:bidi="ar"/>
        </w:rPr>
        <w:t>，</w:t>
      </w:r>
      <w:r>
        <w:rPr>
          <w:rFonts w:ascii="仿宋_GB2312" w:cs="仿宋_GB2312"/>
          <w:color w:val="000000"/>
          <w:szCs w:val="32"/>
          <w:lang w:bidi="ar"/>
        </w:rPr>
        <w:t>逻辑节点提供</w:t>
      </w:r>
      <w:r>
        <w:rPr>
          <w:rFonts w:ascii="仿宋_GB2312" w:cs="仿宋_GB2312" w:hint="eastAsia"/>
          <w:color w:val="000000"/>
          <w:szCs w:val="32"/>
          <w:lang w:bidi="ar"/>
        </w:rPr>
        <w:t>多种类型</w:t>
      </w:r>
      <w:r>
        <w:rPr>
          <w:rFonts w:ascii="仿宋_GB2312" w:cs="仿宋_GB2312"/>
          <w:color w:val="000000"/>
          <w:szCs w:val="32"/>
          <w:lang w:bidi="ar"/>
        </w:rPr>
        <w:t>，应对复杂业务判断</w:t>
      </w:r>
      <w:r>
        <w:rPr>
          <w:rFonts w:ascii="仿宋_GB2312" w:cs="仿宋_GB2312" w:hint="eastAsia"/>
          <w:color w:val="000000"/>
          <w:szCs w:val="32"/>
          <w:lang w:bidi="ar"/>
        </w:rPr>
        <w:t>，</w:t>
      </w:r>
      <w:r>
        <w:rPr>
          <w:rFonts w:ascii="仿宋_GB2312" w:cs="仿宋_GB2312"/>
          <w:color w:val="000000"/>
          <w:szCs w:val="32"/>
          <w:lang w:bidi="ar"/>
        </w:rPr>
        <w:t>执行节点打通内外部系统</w:t>
      </w:r>
      <w:r>
        <w:rPr>
          <w:rFonts w:ascii="仿宋_GB2312" w:cs="仿宋_GB2312" w:hint="eastAsia"/>
          <w:color w:val="000000"/>
          <w:szCs w:val="32"/>
          <w:lang w:bidi="ar"/>
        </w:rPr>
        <w:t>，</w:t>
      </w:r>
      <w:r>
        <w:rPr>
          <w:rFonts w:ascii="仿宋_GB2312" w:cs="仿宋_GB2312"/>
          <w:color w:val="000000"/>
          <w:szCs w:val="32"/>
          <w:lang w:bidi="ar"/>
        </w:rPr>
        <w:t>交互节点，允许流程在关键节点暂停并向用户提问，实现“人机协作”的半自动化</w:t>
      </w:r>
      <w:r>
        <w:rPr>
          <w:rFonts w:ascii="仿宋_GB2312" w:cs="仿宋_GB2312" w:hint="eastAsia"/>
          <w:color w:val="000000"/>
          <w:szCs w:val="32"/>
          <w:lang w:bidi="ar"/>
        </w:rPr>
        <w:t>。</w:t>
      </w:r>
      <w:r>
        <w:rPr>
          <w:rFonts w:ascii="仿宋_GB2312" w:cs="仿宋_GB2312"/>
          <w:color w:val="000000"/>
          <w:szCs w:val="32"/>
          <w:lang w:bidi="ar"/>
        </w:rPr>
        <w:t>模块内置全流程调试与治理能力</w:t>
      </w:r>
      <w:r>
        <w:rPr>
          <w:rFonts w:ascii="仿宋_GB2312" w:cs="仿宋_GB2312" w:hint="eastAsia"/>
          <w:color w:val="000000"/>
          <w:szCs w:val="32"/>
          <w:lang w:bidi="ar"/>
        </w:rPr>
        <w:t>，</w:t>
      </w:r>
      <w:r>
        <w:rPr>
          <w:rFonts w:ascii="仿宋_GB2312" w:cs="仿宋_GB2312"/>
          <w:color w:val="000000"/>
          <w:szCs w:val="32"/>
          <w:lang w:bidi="ar"/>
        </w:rPr>
        <w:t>提供版本管理功能，保障迭代安全；同时通过监控仪表盘实时展示流程实例状态、平均耗时与成功率，帮助运维人员快速定位瓶颈。整体设计兼顾业务人员的易用性与开发者的扩展性，既可通过预设模板快速复用，也允许自定义节点开发，让复杂业务逻辑以搭积木的方式落地，真正成为智能体规模化赋能业务的自动化骨架</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（4）提示词工程模块</w:t>
      </w:r>
    </w:p>
    <w:p>
      <w:pPr>
        <w:spacing w:line="360" w:lineRule="auto"/>
        <w:ind w:firstLine="420" w:firstLineChars="200"/>
        <w:rPr>
          <w:rFonts w:ascii="宋体" w:hAnsi="宋体"/>
          <w:szCs w:val="21"/>
        </w:rPr>
      </w:pPr>
      <w:r>
        <w:rPr>
          <w:rFonts w:ascii="仿宋_GB2312" w:cs="仿宋_GB2312" w:hint="eastAsia"/>
          <w:color w:val="000000"/>
          <w:szCs w:val="32"/>
          <w:lang w:bidi="ar"/>
        </w:rPr>
        <w:t>提示词工程模块确保模型输出稳定可控的指令，将提示词纳入工程化管理。该模块以可视化编排、结构化输出、可验证迭代为原则，首先提供类IDE的高级编辑器，支持Jinja2风格模板语法，可灵活插入变量、条件判断与循环逻辑，还能嵌入Few-shot示例引导模型学习任务范式，让提示词从静态文本变为动态可复用的</w:t>
      </w:r>
      <w:r>
        <w:rPr>
          <w:rFonts w:ascii="仿宋_GB2312" w:cs="仿宋_GB2312" w:hint="eastAsia"/>
          <w:color w:val="000000"/>
          <w:szCs w:val="32"/>
          <w:lang w:bidi="ar"/>
        </w:rPr>
        <w:t>“</w:t>
      </w:r>
      <w:r>
        <w:rPr>
          <w:rFonts w:ascii="仿宋_GB2312" w:cs="仿宋_GB2312" w:hint="eastAsia"/>
          <w:color w:val="000000"/>
          <w:szCs w:val="32"/>
          <w:lang w:bidi="ar"/>
        </w:rPr>
        <w:t>指令程序</w:t>
      </w:r>
      <w:r>
        <w:rPr>
          <w:rFonts w:ascii="仿宋_GB2312" w:cs="仿宋_GB2312" w:hint="eastAsia"/>
          <w:color w:val="000000"/>
          <w:szCs w:val="32"/>
          <w:lang w:bidi="ar"/>
        </w:rPr>
        <w:t>”</w:t>
      </w:r>
      <w:r>
        <w:rPr>
          <w:rFonts w:ascii="仿宋_GB2312" w:cs="仿宋_GB2312" w:hint="eastAsia"/>
          <w:color w:val="000000"/>
          <w:szCs w:val="32"/>
          <w:lang w:bidi="ar"/>
        </w:rPr>
        <w:t>。针对模型输出的不确定性，模块引入结构化输出定义能力，支持通过JSON Schema等模型预设返回格式，强制模型生成可被程序直接解析的标准化数据，彻底告别</w:t>
      </w:r>
      <w:r>
        <w:rPr>
          <w:rFonts w:ascii="仿宋_GB2312" w:cs="仿宋_GB2312" w:hint="eastAsia"/>
          <w:color w:val="000000"/>
          <w:szCs w:val="32"/>
          <w:lang w:bidi="ar"/>
        </w:rPr>
        <w:t>“</w:t>
      </w:r>
      <w:r>
        <w:rPr>
          <w:rFonts w:ascii="仿宋_GB2312" w:cs="仿宋_GB2312" w:hint="eastAsia"/>
          <w:color w:val="000000"/>
          <w:szCs w:val="32"/>
          <w:lang w:bidi="ar"/>
        </w:rPr>
        <w:t>文本解析靠正则</w:t>
      </w:r>
      <w:r>
        <w:rPr>
          <w:rFonts w:ascii="仿宋_GB2312" w:cs="仿宋_GB2312" w:hint="eastAsia"/>
          <w:color w:val="000000"/>
          <w:szCs w:val="32"/>
          <w:lang w:bidi="ar"/>
        </w:rPr>
        <w:t>”</w:t>
      </w:r>
      <w:r>
        <w:rPr>
          <w:rFonts w:ascii="仿宋_GB2312" w:cs="仿宋_GB2312" w:hint="eastAsia"/>
          <w:color w:val="000000"/>
          <w:szCs w:val="32"/>
          <w:lang w:bidi="ar"/>
        </w:rPr>
        <w:t>的低效模式。为验证提示词效果，模块内置实时测试沙盒：用户可输入不同变量值，一键调用模型并对比多个版本的输入输出，直观评估指令有效性；同时提供A/B测试框架与流量灰度发布功能，可将不同提示词版本按比例分配给用户，基于响应质量、任务完成率等指标科学选型。考虑到提示词需持续迭代，模块配备完整的版本控制系统，记录每次修改的上下文与效果数据，支持回滚与分支管理，让提示词优化像软件研发一样可追溯、可协作。此外，模块还内置常用模式库（如思维链、ReAct、角色扮演），为非专家用户提供最佳实践起点。整体设计将提示词从</w:t>
      </w:r>
      <w:r>
        <w:rPr>
          <w:rFonts w:ascii="仿宋_GB2312" w:cs="仿宋_GB2312" w:hint="eastAsia"/>
          <w:color w:val="000000"/>
          <w:szCs w:val="32"/>
          <w:lang w:bidi="ar"/>
        </w:rPr>
        <w:t>“</w:t>
      </w:r>
      <w:r>
        <w:rPr>
          <w:rFonts w:ascii="仿宋_GB2312" w:cs="仿宋_GB2312" w:hint="eastAsia"/>
          <w:color w:val="000000"/>
          <w:szCs w:val="32"/>
          <w:lang w:bidi="ar"/>
        </w:rPr>
        <w:t>黑盒技巧</w:t>
      </w:r>
      <w:r>
        <w:rPr>
          <w:rFonts w:ascii="仿宋_GB2312" w:cs="仿宋_GB2312" w:hint="eastAsia"/>
          <w:color w:val="000000"/>
          <w:szCs w:val="32"/>
          <w:lang w:bidi="ar"/>
        </w:rPr>
        <w:t>”</w:t>
      </w:r>
      <w:r>
        <w:rPr>
          <w:rFonts w:ascii="仿宋_GB2312" w:cs="仿宋_GB2312" w:hint="eastAsia"/>
          <w:color w:val="000000"/>
          <w:szCs w:val="32"/>
          <w:lang w:bidi="ar"/>
        </w:rPr>
        <w:t>转化为</w:t>
      </w:r>
      <w:r>
        <w:rPr>
          <w:rFonts w:ascii="仿宋_GB2312" w:cs="仿宋_GB2312" w:hint="eastAsia"/>
          <w:color w:val="000000"/>
          <w:szCs w:val="32"/>
          <w:lang w:bidi="ar"/>
        </w:rPr>
        <w:t>“</w:t>
      </w:r>
      <w:r>
        <w:rPr>
          <w:rFonts w:ascii="仿宋_GB2312" w:cs="仿宋_GB2312" w:hint="eastAsia"/>
          <w:color w:val="000000"/>
          <w:szCs w:val="32"/>
          <w:lang w:bidi="ar"/>
        </w:rPr>
        <w:t>白盒资产</w:t>
      </w:r>
      <w:r>
        <w:rPr>
          <w:rFonts w:ascii="仿宋_GB2312" w:cs="仿宋_GB2312" w:hint="eastAsia"/>
          <w:color w:val="000000"/>
          <w:szCs w:val="32"/>
          <w:lang w:bidi="ar"/>
        </w:rPr>
        <w:t>”</w:t>
      </w:r>
      <w:r>
        <w:rPr>
          <w:rFonts w:ascii="仿宋_GB2312" w:cs="仿宋_GB2312" w:hint="eastAsia"/>
          <w:color w:val="000000"/>
          <w:szCs w:val="32"/>
          <w:lang w:bidi="ar"/>
        </w:rPr>
        <w:t>，通过工程化手段大幅提升智能体行为的可靠性与可控性，成为连接人类意图与模型能力的关键桥梁</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）意图识别与对话理解模块</w:t>
      </w:r>
    </w:p>
    <w:p>
      <w:pPr>
        <w:spacing w:line="360" w:lineRule="auto"/>
        <w:ind w:firstLine="420" w:firstLineChars="200"/>
        <w:rPr>
          <w:rFonts w:ascii="宋体" w:hAnsi="宋体"/>
          <w:szCs w:val="21"/>
        </w:rPr>
      </w:pPr>
      <w:r>
        <w:rPr>
          <w:rFonts w:ascii="仿宋_GB2312" w:cs="仿宋_GB2312" w:hint="eastAsia"/>
          <w:color w:val="000000"/>
          <w:szCs w:val="32"/>
          <w:lang w:bidi="ar"/>
        </w:rPr>
        <w:t>意图识别与对话理解模块负责将用户的自然语言转化为机器可执行的明确指令，并维持对话的连贯与深度。该模块以</w:t>
      </w:r>
      <w:r>
        <w:rPr>
          <w:rFonts w:ascii="仿宋_GB2312" w:cs="仿宋_GB2312" w:hint="eastAsia"/>
          <w:color w:val="000000"/>
          <w:szCs w:val="32"/>
          <w:lang w:bidi="ar"/>
        </w:rPr>
        <w:t>“</w:t>
      </w:r>
      <w:r>
        <w:rPr>
          <w:rFonts w:ascii="仿宋_GB2312" w:cs="仿宋_GB2312" w:hint="eastAsia"/>
          <w:color w:val="000000"/>
          <w:szCs w:val="32"/>
          <w:lang w:bidi="ar"/>
        </w:rPr>
        <w:t>精准识意、深度解构、连贯记忆</w:t>
      </w:r>
      <w:r>
        <w:rPr>
          <w:rFonts w:ascii="仿宋_GB2312" w:cs="仿宋_GB2312" w:hint="eastAsia"/>
          <w:color w:val="000000"/>
          <w:szCs w:val="32"/>
          <w:lang w:bidi="ar"/>
        </w:rPr>
        <w:t>”</w:t>
      </w:r>
      <w:r>
        <w:rPr>
          <w:rFonts w:ascii="仿宋_GB2312" w:cs="仿宋_GB2312" w:hint="eastAsia"/>
          <w:color w:val="000000"/>
          <w:szCs w:val="32"/>
          <w:lang w:bidi="ar"/>
        </w:rPr>
        <w:t>为核心，构建多层解析能力。为破解多轮对话的</w:t>
      </w:r>
      <w:r>
        <w:rPr>
          <w:rFonts w:ascii="仿宋_GB2312" w:cs="仿宋_GB2312" w:hint="eastAsia"/>
          <w:color w:val="000000"/>
          <w:szCs w:val="32"/>
          <w:lang w:bidi="ar"/>
        </w:rPr>
        <w:t>“</w:t>
      </w:r>
      <w:r>
        <w:rPr>
          <w:rFonts w:ascii="仿宋_GB2312" w:cs="仿宋_GB2312" w:hint="eastAsia"/>
          <w:color w:val="000000"/>
          <w:szCs w:val="32"/>
          <w:lang w:bidi="ar"/>
        </w:rPr>
        <w:t>断片</w:t>
      </w:r>
      <w:r>
        <w:rPr>
          <w:rFonts w:ascii="仿宋_GB2312" w:cs="仿宋_GB2312" w:hint="eastAsia"/>
          <w:color w:val="000000"/>
          <w:szCs w:val="32"/>
          <w:lang w:bidi="ar"/>
        </w:rPr>
        <w:t>”</w:t>
      </w:r>
      <w:r>
        <w:rPr>
          <w:rFonts w:ascii="仿宋_GB2312" w:cs="仿宋_GB2312" w:hint="eastAsia"/>
          <w:color w:val="000000"/>
          <w:szCs w:val="32"/>
          <w:lang w:bidi="ar"/>
        </w:rPr>
        <w:t>难题，模块内置动态上下文管理机制，通过对话状态对象实时记录当前话题、已填充槽位与历史意图，结合指代消解与省略补全技术，理解</w:t>
      </w:r>
      <w:r>
        <w:rPr>
          <w:rFonts w:ascii="仿宋_GB2312" w:cs="仿宋_GB2312" w:hint="eastAsia"/>
          <w:color w:val="000000"/>
          <w:szCs w:val="32"/>
          <w:lang w:bidi="ar"/>
        </w:rPr>
        <w:t>“</w:t>
      </w:r>
      <w:r>
        <w:rPr>
          <w:rFonts w:ascii="仿宋_GB2312" w:cs="仿宋_GB2312" w:hint="eastAsia"/>
          <w:color w:val="000000"/>
          <w:szCs w:val="32"/>
          <w:lang w:bidi="ar"/>
        </w:rPr>
        <w:t>它</w:t>
      </w:r>
      <w:r>
        <w:rPr>
          <w:rFonts w:ascii="仿宋_GB2312" w:cs="仿宋_GB2312" w:hint="eastAsia"/>
          <w:color w:val="000000"/>
          <w:szCs w:val="32"/>
          <w:lang w:bidi="ar"/>
        </w:rPr>
        <w:t>”“</w:t>
      </w:r>
      <w:r>
        <w:rPr>
          <w:rFonts w:ascii="仿宋_GB2312" w:cs="仿宋_GB2312" w:hint="eastAsia"/>
          <w:color w:val="000000"/>
          <w:szCs w:val="32"/>
          <w:lang w:bidi="ar"/>
        </w:rPr>
        <w:t>这个</w:t>
      </w:r>
      <w:r>
        <w:rPr>
          <w:rFonts w:ascii="仿宋_GB2312" w:cs="仿宋_GB2312" w:hint="eastAsia"/>
          <w:color w:val="000000"/>
          <w:szCs w:val="32"/>
          <w:lang w:bidi="ar"/>
        </w:rPr>
        <w:t>”</w:t>
      </w:r>
      <w:r>
        <w:rPr>
          <w:rFonts w:ascii="仿宋_GB2312" w:cs="仿宋_GB2312" w:hint="eastAsia"/>
          <w:color w:val="000000"/>
          <w:szCs w:val="32"/>
          <w:lang w:bidi="ar"/>
        </w:rPr>
        <w:t>等代词的具体指向，确保对话如人际交流般自然流畅。考虑到业务场景的多样性，模块支持可视化意图配置。同时，模块提供置信度阈值调节与低置信度 fallback 策略，平衡识别准确率与交互流畅性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6</w:t>
      </w:r>
      <w:r>
        <w:rPr>
          <w:rFonts w:ascii="宋体" w:hAnsi="宋体" w:hint="eastAsia"/>
          <w:b/>
          <w:szCs w:val="21"/>
        </w:rPr>
        <w:t>）决策推理与建议生成模块</w:t>
      </w:r>
    </w:p>
    <w:p>
      <w:pPr>
        <w:spacing w:line="360" w:lineRule="auto"/>
        <w:ind w:firstLine="420" w:firstLineChars="200"/>
        <w:rPr>
          <w:rFonts w:ascii="宋体" w:hAnsi="宋体"/>
          <w:szCs w:val="21"/>
        </w:rPr>
      </w:pPr>
      <w:r>
        <w:rPr>
          <w:rFonts w:ascii="仿宋_GB2312" w:cs="仿宋_GB2312" w:hint="eastAsia"/>
          <w:color w:val="000000"/>
          <w:szCs w:val="32"/>
          <w:lang w:bidi="ar"/>
        </w:rPr>
        <w:t>决策推理与建议生成模块模拟人类专家的思考路径，将分散的信息与规则转化为可行动的策略与方案。该模块构建了启动规则推理引擎、激活案例推理、引入常识推理三层认知架构。在生成环节调用提示词工程模块的精调模板，驱动大语言模型产出兼具逻辑性与可读性的建议、报告或解释，支持Markdown、HTML等结构化输出，满足不同场景的信息呈现需求。面对多解问题，模块内置方案评估器，依据成本、效率、风险及用户偏好收集模块提供的个性化权重，对候选方案进行量化打分与智能排序。为保障可信赖，每一步推理均可追溯至所依据的知识条目或规则编号，形成可解释的决策路径</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7</w:t>
      </w:r>
      <w:r>
        <w:rPr>
          <w:rFonts w:ascii="宋体" w:hAnsi="宋体" w:hint="eastAsia"/>
          <w:b/>
          <w:szCs w:val="21"/>
        </w:rPr>
        <w:t>）风险评估与预警生成模块</w:t>
      </w:r>
    </w:p>
    <w:p>
      <w:pPr>
        <w:spacing w:line="360" w:lineRule="auto"/>
        <w:ind w:firstLine="420" w:firstLineChars="200"/>
        <w:rPr>
          <w:rFonts w:ascii="宋体" w:hAnsi="宋体"/>
          <w:szCs w:val="21"/>
        </w:rPr>
      </w:pPr>
      <w:r>
        <w:rPr>
          <w:rFonts w:ascii="仿宋_GB2312" w:cs="仿宋_GB2312" w:hint="eastAsia"/>
          <w:color w:val="000000"/>
          <w:szCs w:val="32"/>
          <w:lang w:bidi="ar"/>
        </w:rPr>
        <w:t>气象风险评估与预警生成模块是面向气象领域智能体平台的专项安全与决策支持模块，聚焦极端天气、灾害性气候对业务与公共安全的影响预判，构建</w:t>
      </w:r>
      <w:r>
        <w:rPr>
          <w:rFonts w:ascii="仿宋_GB2312" w:cs="仿宋_GB2312" w:hint="eastAsia"/>
          <w:color w:val="000000"/>
          <w:szCs w:val="32"/>
          <w:lang w:bidi="ar"/>
        </w:rPr>
        <w:t>“</w:t>
      </w:r>
      <w:r>
        <w:rPr>
          <w:rFonts w:ascii="仿宋_GB2312" w:cs="仿宋_GB2312" w:hint="eastAsia"/>
          <w:color w:val="000000"/>
          <w:szCs w:val="32"/>
          <w:lang w:bidi="ar"/>
        </w:rPr>
        <w:t>监测-评估-预警-处置</w:t>
      </w:r>
      <w:r>
        <w:rPr>
          <w:rFonts w:ascii="仿宋_GB2312" w:cs="仿宋_GB2312" w:hint="eastAsia"/>
          <w:color w:val="000000"/>
          <w:szCs w:val="32"/>
          <w:lang w:bidi="ar"/>
        </w:rPr>
        <w:t>”</w:t>
      </w:r>
      <w:r>
        <w:rPr>
          <w:rFonts w:ascii="仿宋_GB2312" w:cs="仿宋_GB2312" w:hint="eastAsia"/>
          <w:color w:val="000000"/>
          <w:szCs w:val="32"/>
          <w:lang w:bidi="ar"/>
        </w:rPr>
        <w:t>闭环。该模块以多源气象数据为输入，通过可配置的风险指标体系，量化不同气象要素对特定场景的威胁程度结合承灾体脆弱性，运用空间分析与机器学习模型，计算风险值，评估完成后，生成依据风险等级的差异化预警</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8</w:t>
      </w:r>
      <w:r>
        <w:rPr>
          <w:rFonts w:ascii="宋体" w:hAnsi="宋体" w:hint="eastAsia"/>
          <w:b/>
          <w:szCs w:val="21"/>
        </w:rPr>
        <w:t>）用户偏好收集模块</w:t>
      </w:r>
    </w:p>
    <w:p>
      <w:pPr>
        <w:spacing w:line="360" w:lineRule="auto"/>
        <w:ind w:firstLine="420" w:firstLineChars="200"/>
        <w:rPr>
          <w:rFonts w:ascii="宋体" w:hAnsi="宋体"/>
          <w:szCs w:val="21"/>
        </w:rPr>
      </w:pPr>
      <w:r>
        <w:rPr>
          <w:rFonts w:ascii="仿宋_GB2312" w:cs="仿宋_GB2312" w:hint="eastAsia"/>
          <w:color w:val="000000"/>
          <w:szCs w:val="32"/>
          <w:lang w:bidi="ar"/>
        </w:rPr>
        <w:t>用户偏好收集模块是智能体实现千人千面服务的关键模块，致力于将零散的交互痕迹沉淀为动态、可进化的用户画像。该模块融合显性与隐性双通道采集用户偏好数据，采集所得经脱敏处理后，被整合为结构化的动态用户画像，并通过标准化API供决策推理、建议生成等模块实时调用，使智能体能依据个体口味定制回复内容与交互节奏。模块严格遵循GDPR、CCPA等隐私法规，支持用户随时查看、修改、导出或彻底删除个人数据。同时，它能记录智能体依偏好服务后的用户满意度，形成闭环反馈，持续优化画像精度</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9</w:t>
      </w:r>
      <w:r>
        <w:rPr>
          <w:rFonts w:ascii="宋体" w:hAnsi="宋体" w:hint="eastAsia"/>
          <w:b/>
          <w:szCs w:val="21"/>
        </w:rPr>
        <w:t>）多智能体协同模块</w:t>
      </w:r>
    </w:p>
    <w:p>
      <w:pPr>
        <w:spacing w:line="360" w:lineRule="auto"/>
        <w:ind w:firstLine="420" w:firstLineChars="200"/>
        <w:rPr>
          <w:rFonts w:ascii="宋体" w:hAnsi="宋体"/>
          <w:szCs w:val="21"/>
        </w:rPr>
      </w:pPr>
      <w:r>
        <w:rPr>
          <w:rFonts w:ascii="仿宋_GB2312" w:cs="仿宋_GB2312" w:hint="eastAsia"/>
          <w:color w:val="000000"/>
          <w:szCs w:val="32"/>
          <w:lang w:bidi="ar"/>
        </w:rPr>
        <w:t>多智能体协同模块是智能体平台突破单体能力天花板实现群里智能体的关键模块，其设计灵感源于人类组织的分工与协作机制。该模块首先构建智能体注册与发现中心，每个智能体在此发布自身的能力描述与API端点，让具备不同专长的智能体能被快速定位。在此基础上，模块定义标准化的通信协议与基于消息总线的异步通信框架，确保异构智能体间能以统一语言高效交互，并支持共享工作空间暂存中间结果，打破信息孤岛。为满足复杂任务的多样化协作需求，模块提供多种预设协作模式：主从模式下，一个</w:t>
      </w:r>
      <w:r>
        <w:rPr>
          <w:rFonts w:ascii="仿宋_GB2312" w:cs="仿宋_GB2312" w:hint="eastAsia"/>
          <w:color w:val="000000"/>
          <w:szCs w:val="32"/>
          <w:lang w:bidi="ar"/>
        </w:rPr>
        <w:t>“</w:t>
      </w:r>
      <w:r>
        <w:rPr>
          <w:rFonts w:ascii="仿宋_GB2312" w:cs="仿宋_GB2312" w:hint="eastAsia"/>
          <w:color w:val="000000"/>
          <w:szCs w:val="32"/>
          <w:lang w:bidi="ar"/>
        </w:rPr>
        <w:t>项目经理</w:t>
      </w:r>
      <w:r>
        <w:rPr>
          <w:rFonts w:ascii="仿宋_GB2312" w:cs="仿宋_GB2312" w:hint="eastAsia"/>
          <w:color w:val="000000"/>
          <w:szCs w:val="32"/>
          <w:lang w:bidi="ar"/>
        </w:rPr>
        <w:t>”</w:t>
      </w:r>
      <w:r>
        <w:rPr>
          <w:rFonts w:ascii="仿宋_GB2312" w:cs="仿宋_GB2312" w:hint="eastAsia"/>
          <w:color w:val="000000"/>
          <w:szCs w:val="32"/>
          <w:lang w:bidi="ar"/>
        </w:rPr>
        <w:t>智能体负责任务分解、子任务分派与结果汇总；协商模式中，多个</w:t>
      </w:r>
      <w:r>
        <w:rPr>
          <w:rFonts w:ascii="仿宋_GB2312" w:cs="仿宋_GB2312" w:hint="eastAsia"/>
          <w:color w:val="000000"/>
          <w:szCs w:val="32"/>
          <w:lang w:bidi="ar"/>
        </w:rPr>
        <w:t>“</w:t>
      </w:r>
      <w:r>
        <w:rPr>
          <w:rFonts w:ascii="仿宋_GB2312" w:cs="仿宋_GB2312" w:hint="eastAsia"/>
          <w:color w:val="000000"/>
          <w:szCs w:val="32"/>
          <w:lang w:bidi="ar"/>
        </w:rPr>
        <w:t>专家</w:t>
      </w:r>
      <w:r>
        <w:rPr>
          <w:rFonts w:ascii="仿宋_GB2312" w:cs="仿宋_GB2312" w:hint="eastAsia"/>
          <w:color w:val="000000"/>
          <w:szCs w:val="32"/>
          <w:lang w:bidi="ar"/>
        </w:rPr>
        <w:t>”</w:t>
      </w:r>
      <w:r>
        <w:rPr>
          <w:rFonts w:ascii="仿宋_GB2312" w:cs="仿宋_GB2312" w:hint="eastAsia"/>
          <w:color w:val="000000"/>
          <w:szCs w:val="32"/>
          <w:lang w:bidi="ar"/>
        </w:rPr>
        <w:t>智能体就议题展开多轮辩论，由</w:t>
      </w:r>
      <w:r>
        <w:rPr>
          <w:rFonts w:ascii="仿宋_GB2312" w:cs="仿宋_GB2312" w:hint="eastAsia"/>
          <w:color w:val="000000"/>
          <w:szCs w:val="32"/>
          <w:lang w:bidi="ar"/>
        </w:rPr>
        <w:t>“</w:t>
      </w:r>
      <w:r>
        <w:rPr>
          <w:rFonts w:ascii="仿宋_GB2312" w:cs="仿宋_GB2312" w:hint="eastAsia"/>
          <w:color w:val="000000"/>
          <w:szCs w:val="32"/>
          <w:lang w:bidi="ar"/>
        </w:rPr>
        <w:t>仲裁者</w:t>
      </w:r>
      <w:r>
        <w:rPr>
          <w:rFonts w:ascii="仿宋_GB2312" w:cs="仿宋_GB2312" w:hint="eastAsia"/>
          <w:color w:val="000000"/>
          <w:szCs w:val="32"/>
          <w:lang w:bidi="ar"/>
        </w:rPr>
        <w:t>”</w:t>
      </w:r>
      <w:r>
        <w:rPr>
          <w:rFonts w:ascii="仿宋_GB2312" w:cs="仿宋_GB2312" w:hint="eastAsia"/>
          <w:color w:val="000000"/>
          <w:szCs w:val="32"/>
          <w:lang w:bidi="ar"/>
        </w:rPr>
        <w:t>达成共识；去中心化模式则支持智能体自组织完成目标。同时，模块内置容错与弹性机制，当某协作节点失效时能自动重试或转移任务，并记录完整的协作轨迹，便于审计与调试</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w:t>
      </w:r>
      <w:r>
        <w:rPr>
          <w:rFonts w:ascii="宋体" w:hAnsi="宋体"/>
          <w:b/>
          <w:szCs w:val="21"/>
        </w:rPr>
        <w:t>0</w:t>
      </w:r>
      <w:r>
        <w:rPr>
          <w:rFonts w:ascii="宋体" w:hAnsi="宋体" w:hint="eastAsia"/>
          <w:b/>
          <w:szCs w:val="21"/>
        </w:rPr>
        <w:t>）多任务调度与协同模块</w:t>
      </w:r>
    </w:p>
    <w:p>
      <w:pPr>
        <w:spacing w:line="360" w:lineRule="auto"/>
        <w:ind w:firstLine="420" w:firstLineChars="200"/>
        <w:rPr>
          <w:rFonts w:ascii="宋体" w:hAnsi="宋体" w:hint="eastAsia"/>
          <w:szCs w:val="21"/>
        </w:rPr>
      </w:pPr>
      <w:r>
        <w:rPr>
          <w:rFonts w:ascii="仿宋_GB2312" w:cs="仿宋_GB2312" w:hint="eastAsia"/>
          <w:color w:val="000000"/>
          <w:szCs w:val="32"/>
          <w:lang w:bidi="ar"/>
        </w:rPr>
        <w:t>多任务调度与协同模块承担着对所有计算任务进行高效、可靠、公平管理的重任，是确保整个系统稳定运行的关键模块。该模块以分布式任务队列为基石，支持高可用、可持久化的任务存储，能够处理来自API请求、工作流触发、定时任务等多渠道的任务洪流，并天然支持优先级排序、延迟执行与周期调度。其核心在于智能调度策略引擎，它依据各执行节点的实时负载动态地将任务路由至最优资源，实现负载均衡；同时通过资源配额与限流机制，为不同租户或用户设定使用上限，有效防止资源滥用与系统过载。该模块不仅能处理独立任务，更能解析复杂的任务依赖关系，以DAG（有向无环图）方式管理工作流的执行顺序。为应对执行失败等异常情况，它内置了健壮的容错机制，包括自动重试、死信队列隔离以及与监控系统联动的告警。执行器池负责运行具体任务，其规模可随负载弹性伸缩。通过全面的监控仪表盘，运维人员可实时洞察队列长度、任务成功率、平均耗时等关键指标。总之，多任务调度与协同模块通过其强大的编排、调度与治理能力，为平台上所有的智能体活动与业务流程提供了一个坚实、有序且高效的执行底座</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短临预警模型基础支撑组件</w:t>
      </w:r>
    </w:p>
    <w:p>
      <w:pPr>
        <w:spacing w:line="360" w:lineRule="auto"/>
        <w:ind w:firstLine="420" w:firstLineChars="200"/>
        <w:rPr>
          <w:rFonts w:ascii="宋体" w:hAnsi="宋体"/>
          <w:szCs w:val="21"/>
        </w:rPr>
      </w:pPr>
      <w:r>
        <w:rPr>
          <w:rFonts w:ascii="宋体" w:hAnsi="宋体" w:hint="eastAsia"/>
          <w:szCs w:val="21"/>
        </w:rPr>
        <w:t>短临预警模型基础支撑组件旨在为短临气象预警模型提供全生命周期、全方位的技术支撑，覆盖从多源数据接入、模型训练优化到服务部署、监控运维的完整链路。通过构建高性能、高可用、可扩展的基础平台，保障预警模型在复杂业务场景下高效、稳定运行，提升短临气象灾害预警的精准性与时效性。</w:t>
      </w:r>
    </w:p>
    <w:p>
      <w:pPr>
        <w:spacing w:line="360" w:lineRule="auto"/>
        <w:rPr>
          <w:rFonts w:ascii="宋体" w:hAnsi="宋体" w:hint="eastAsia"/>
          <w:b/>
          <w:szCs w:val="21"/>
        </w:rPr>
      </w:pPr>
      <w:r>
        <w:rPr>
          <w:rFonts w:ascii="宋体" w:hAnsi="宋体" w:hint="eastAsia"/>
          <w:b/>
          <w:szCs w:val="21"/>
        </w:rPr>
        <w:t>（1）多源异构气象数据接入模块</w:t>
      </w:r>
    </w:p>
    <w:p>
      <w:pPr>
        <w:spacing w:line="360" w:lineRule="auto"/>
        <w:ind w:firstLine="420" w:firstLineChars="200"/>
        <w:rPr>
          <w:rFonts w:ascii="宋体" w:hAnsi="宋体" w:hint="eastAsia"/>
          <w:szCs w:val="21"/>
        </w:rPr>
      </w:pPr>
      <w:r>
        <w:rPr>
          <w:rFonts w:ascii="仿宋_GB2312" w:hAnsi="Times New Roman" w:cs="仿宋_GB2312" w:hint="eastAsia"/>
          <w:color w:val="000000"/>
          <w:szCs w:val="32"/>
          <w:lang w:bidi="ar"/>
        </w:rPr>
        <w:t>支持气象卫星、雷达、地面监测站等多源异构数据的实时接入与格式转换</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）数据清洗与质量监控模块</w:t>
      </w:r>
    </w:p>
    <w:p>
      <w:pPr>
        <w:spacing w:line="360" w:lineRule="auto"/>
        <w:ind w:firstLine="420" w:firstLineChars="200"/>
        <w:rPr>
          <w:rFonts w:ascii="宋体" w:hAnsi="宋体" w:hint="eastAsia"/>
          <w:szCs w:val="21"/>
        </w:rPr>
      </w:pPr>
      <w:r>
        <w:rPr>
          <w:rFonts w:ascii="仿宋_GB2312" w:hAnsi="Times New Roman" w:cs="仿宋_GB2312" w:hint="eastAsia"/>
          <w:color w:val="000000"/>
          <w:szCs w:val="32"/>
          <w:lang w:bidi="ar"/>
        </w:rPr>
        <w:t>自动检测数据中的异常值、缺失值，通过插值、补全等算法进行数据修复；实时监控数据质量，对异常数据进行告警与记录</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）数据存储与检索模块</w:t>
      </w:r>
    </w:p>
    <w:p>
      <w:pPr>
        <w:spacing w:line="360" w:lineRule="auto"/>
        <w:ind w:firstLine="420" w:firstLineChars="200"/>
        <w:rPr>
          <w:rFonts w:ascii="宋体" w:hAnsi="宋体" w:hint="eastAsia"/>
          <w:szCs w:val="21"/>
        </w:rPr>
      </w:pPr>
      <w:r>
        <w:rPr>
          <w:rFonts w:ascii="仿宋_GB2312" w:hAnsi="Times New Roman" w:cs="仿宋_GB2312" w:hint="eastAsia"/>
          <w:color w:val="000000"/>
          <w:szCs w:val="32"/>
          <w:lang w:bidi="ar"/>
        </w:rPr>
        <w:t>构建分布式存储系统，实现海量气象数据的高效存储；支持基于时间、空间、气象要素等多维度的快速检索，满足不同业务场景的数据需求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）历史数据归档与检索模块</w:t>
      </w:r>
    </w:p>
    <w:p>
      <w:pPr>
        <w:spacing w:line="360" w:lineRule="auto"/>
        <w:ind w:firstLine="420" w:firstLineChars="200"/>
        <w:rPr>
          <w:rFonts w:ascii="宋体" w:hAnsi="宋体" w:hint="eastAsia"/>
          <w:szCs w:val="21"/>
        </w:rPr>
      </w:pPr>
      <w:r>
        <w:rPr>
          <w:rFonts w:ascii="仿宋_GB2312" w:hAnsi="Times New Roman" w:cs="仿宋_GB2312" w:hint="eastAsia"/>
          <w:color w:val="000000"/>
          <w:szCs w:val="32"/>
          <w:lang w:bidi="ar"/>
        </w:rPr>
        <w:t>实现海量气象数据的长期存储与基于时间、空间、气象要素等多维度的快速检索</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）数据安全与权限管理模块</w:t>
      </w:r>
    </w:p>
    <w:p>
      <w:pPr>
        <w:spacing w:line="360" w:lineRule="auto"/>
        <w:ind w:firstLine="420" w:firstLineChars="200"/>
        <w:rPr>
          <w:rFonts w:ascii="宋体" w:hAnsi="宋体"/>
          <w:szCs w:val="21"/>
        </w:rPr>
      </w:pPr>
      <w:r>
        <w:rPr>
          <w:rFonts w:ascii="仿宋_GB2312" w:hAnsi="Times New Roman" w:cs="仿宋_GB2312" w:hint="eastAsia"/>
          <w:color w:val="000000"/>
          <w:szCs w:val="32"/>
          <w:lang w:bidi="ar"/>
        </w:rPr>
        <w:t>提供数据访问控制、用户权限分配及操作审计功能</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（6）数据目录与标准规范模块</w:t>
      </w:r>
    </w:p>
    <w:p>
      <w:pPr>
        <w:spacing w:line="360" w:lineRule="auto"/>
        <w:ind w:firstLine="420" w:firstLineChars="200"/>
        <w:rPr>
          <w:rFonts w:ascii="宋体" w:hAnsi="宋体"/>
          <w:szCs w:val="21"/>
        </w:rPr>
      </w:pPr>
      <w:r>
        <w:rPr>
          <w:rFonts w:ascii="仿宋_GB2312" w:hAnsi="Times New Roman" w:cs="仿宋_GB2312" w:hint="eastAsia"/>
          <w:color w:val="000000"/>
          <w:szCs w:val="32"/>
          <w:lang w:bidi="ar"/>
        </w:rPr>
        <w:t>建立统一的数据资源目录与元数据管理体系，推动数据标准化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（7）数据API服务模块</w:t>
      </w:r>
    </w:p>
    <w:p>
      <w:pPr>
        <w:spacing w:line="360" w:lineRule="auto"/>
        <w:ind w:firstLine="420" w:firstLineChars="200"/>
        <w:rPr>
          <w:rFonts w:ascii="宋体" w:hAnsi="宋体"/>
          <w:szCs w:val="21"/>
        </w:rPr>
      </w:pPr>
      <w:r>
        <w:rPr>
          <w:rFonts w:ascii="仿宋_GB2312" w:hAnsi="Times New Roman" w:cs="仿宋_GB2312" w:hint="eastAsia"/>
          <w:color w:val="000000"/>
          <w:szCs w:val="32"/>
          <w:lang w:bidi="ar"/>
        </w:rPr>
        <w:t>对外提供标准化数据接口，支持RESTful、gRPC等多种协议</w:t>
      </w:r>
      <w:r>
        <w:rPr>
          <w:rFonts w:ascii="宋体" w:hAnsi="宋体" w:hint="eastAsia"/>
          <w:szCs w:val="21"/>
        </w:rPr>
        <w:t>。</w:t>
      </w:r>
    </w:p>
    <w:p>
      <w:pPr>
        <w:spacing w:line="360" w:lineRule="auto"/>
        <w:rPr>
          <w:rFonts w:ascii="宋体" w:hAnsi="宋体" w:hint="eastAsia"/>
          <w:szCs w:val="21"/>
        </w:rPr>
      </w:pPr>
      <w:r>
        <w:rPr>
          <w:rFonts w:ascii="宋体" w:hAnsi="宋体" w:hint="eastAsia"/>
          <w:b/>
          <w:szCs w:val="21"/>
        </w:rPr>
        <w:t>（8）数据分类与标签管理模块</w:t>
      </w:r>
    </w:p>
    <w:p>
      <w:pPr>
        <w:spacing w:line="360" w:lineRule="auto"/>
        <w:ind w:firstLine="420" w:firstLineChars="200"/>
        <w:rPr>
          <w:rFonts w:ascii="宋体" w:hAnsi="宋体" w:hint="eastAsia"/>
          <w:szCs w:val="21"/>
        </w:rPr>
      </w:pPr>
      <w:bookmarkStart w:id="67" w:name="_Hlk217464372"/>
      <w:r>
        <w:rPr>
          <w:rFonts w:ascii="仿宋_GB2312" w:hAnsi="Times New Roman" w:cs="仿宋_GB2312" w:hint="eastAsia"/>
          <w:color w:val="000000"/>
          <w:szCs w:val="32"/>
          <w:lang w:bidi="ar"/>
        </w:rPr>
        <w:t>对气象数据进行结构化分类与语义标签标注，提升数据可用性</w:t>
      </w:r>
      <w:bookmarkEnd w:id="67"/>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（9）数据增量更新模块</w:t>
      </w:r>
    </w:p>
    <w:p>
      <w:pPr>
        <w:spacing w:line="360" w:lineRule="auto"/>
        <w:ind w:firstLine="420" w:firstLineChars="200"/>
        <w:rPr>
          <w:rFonts w:ascii="宋体" w:hAnsi="宋体"/>
          <w:szCs w:val="21"/>
        </w:rPr>
      </w:pPr>
      <w:bookmarkStart w:id="68" w:name="_Hlk217464435"/>
      <w:r>
        <w:rPr>
          <w:rFonts w:ascii="仿宋_GB2312" w:hAnsi="Times New Roman" w:cs="仿宋_GB2312" w:hint="eastAsia"/>
          <w:color w:val="000000"/>
          <w:szCs w:val="32"/>
          <w:lang w:bidi="ar"/>
        </w:rPr>
        <w:t>支持高频次、小批量的数据增量写入与同步机制</w:t>
      </w:r>
      <w:bookmarkEnd w:id="68"/>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（10）数据质量监控模块</w:t>
      </w:r>
    </w:p>
    <w:p>
      <w:pPr>
        <w:spacing w:line="360" w:lineRule="auto"/>
        <w:ind w:firstLine="420" w:firstLineChars="200"/>
        <w:rPr>
          <w:rFonts w:ascii="宋体" w:hAnsi="宋体"/>
          <w:szCs w:val="21"/>
        </w:rPr>
      </w:pPr>
      <w:r>
        <w:rPr>
          <w:rFonts w:ascii="仿宋_GB2312" w:hAnsi="Times New Roman" w:cs="仿宋_GB2312" w:hint="eastAsia"/>
          <w:color w:val="000000"/>
          <w:szCs w:val="32"/>
          <w:lang w:bidi="ar"/>
        </w:rPr>
        <w:t>自动检测异常值、缺失值，实施插值补全，并对数据质量异常进行告警与记录</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（11）模型优化与训练模块</w:t>
      </w:r>
    </w:p>
    <w:p>
      <w:pPr>
        <w:spacing w:line="560" w:lineRule="exact"/>
        <w:ind w:firstLine="640"/>
      </w:pPr>
      <w:r>
        <w:rPr>
          <w:rFonts w:ascii="Times New Roman" w:hAnsi="Times New Roman" w:cs="仿宋_GB2312" w:hint="eastAsia"/>
          <w:szCs w:val="20"/>
          <w:lang w:bidi="ar"/>
        </w:rPr>
        <w:t>预训练模型适配：兼容</w:t>
      </w:r>
      <w:r>
        <w:rPr>
          <w:rFonts w:ascii="Times New Roman" w:hAnsi="Times New Roman"/>
          <w:szCs w:val="20"/>
          <w:lang w:bidi="ar"/>
        </w:rPr>
        <w:t>LLaMA</w:t>
      </w:r>
      <w:r>
        <w:rPr>
          <w:rFonts w:ascii="Times New Roman" w:hAnsi="Times New Roman" w:cs="仿宋_GB2312" w:hint="eastAsia"/>
          <w:szCs w:val="20"/>
          <w:lang w:bidi="ar"/>
        </w:rPr>
        <w:t>、</w:t>
      </w:r>
      <w:r>
        <w:rPr>
          <w:rFonts w:ascii="Times New Roman" w:hAnsi="Times New Roman"/>
          <w:szCs w:val="20"/>
          <w:lang w:bidi="ar"/>
        </w:rPr>
        <w:t>Qwen</w:t>
      </w:r>
      <w:r>
        <w:rPr>
          <w:rFonts w:ascii="Times New Roman" w:hAnsi="Times New Roman" w:cs="仿宋_GB2312" w:hint="eastAsia"/>
          <w:szCs w:val="20"/>
          <w:lang w:bidi="ar"/>
        </w:rPr>
        <w:t>、</w:t>
      </w:r>
      <w:r>
        <w:rPr>
          <w:rFonts w:ascii="Times New Roman" w:hAnsi="Times New Roman"/>
          <w:szCs w:val="20"/>
          <w:lang w:bidi="ar"/>
        </w:rPr>
        <w:t>ChatGLM</w:t>
      </w:r>
      <w:r>
        <w:rPr>
          <w:rFonts w:ascii="Times New Roman" w:hAnsi="Times New Roman" w:cs="仿宋_GB2312" w:hint="eastAsia"/>
          <w:szCs w:val="20"/>
          <w:lang w:bidi="ar"/>
        </w:rPr>
        <w:t>等多种预训练模型架构，提供统一的接口与工具，方便模型的快速选型与加载。</w:t>
      </w:r>
    </w:p>
    <w:p>
      <w:pPr>
        <w:spacing w:line="560" w:lineRule="exact"/>
        <w:ind w:firstLine="640"/>
      </w:pPr>
      <w:r>
        <w:rPr>
          <w:rFonts w:ascii="Times New Roman" w:hAnsi="Times New Roman" w:cs="仿宋_GB2312" w:hint="eastAsia"/>
          <w:szCs w:val="20"/>
          <w:lang w:bidi="ar"/>
        </w:rPr>
        <w:t>参数高效微调：集成</w:t>
      </w:r>
      <w:r>
        <w:rPr>
          <w:rFonts w:ascii="Times New Roman" w:hAnsi="Times New Roman"/>
          <w:szCs w:val="20"/>
          <w:lang w:bidi="ar"/>
        </w:rPr>
        <w:t>LoRA</w:t>
      </w:r>
      <w:r>
        <w:rPr>
          <w:rFonts w:ascii="Times New Roman" w:hAnsi="Times New Roman" w:cs="仿宋_GB2312" w:hint="eastAsia"/>
          <w:szCs w:val="20"/>
          <w:lang w:bidi="ar"/>
        </w:rPr>
        <w:t>、</w:t>
      </w:r>
      <w:r>
        <w:rPr>
          <w:rFonts w:ascii="Times New Roman" w:hAnsi="Times New Roman"/>
          <w:szCs w:val="20"/>
          <w:lang w:bidi="ar"/>
        </w:rPr>
        <w:t>Adapter</w:t>
      </w:r>
      <w:r>
        <w:rPr>
          <w:rFonts w:ascii="Times New Roman" w:hAnsi="Times New Roman" w:cs="仿宋_GB2312" w:hint="eastAsia"/>
          <w:szCs w:val="20"/>
          <w:lang w:bidi="ar"/>
        </w:rPr>
        <w:t>等微调技术，在减少计算资源消耗的同时，提升模型对特定预警任务的适应性。</w:t>
      </w:r>
    </w:p>
    <w:p>
      <w:pPr>
        <w:spacing w:line="360" w:lineRule="auto"/>
        <w:ind w:firstLine="420" w:firstLineChars="200"/>
        <w:rPr>
          <w:rFonts w:ascii="宋体" w:hAnsi="宋体"/>
          <w:szCs w:val="21"/>
        </w:rPr>
      </w:pPr>
      <w:r>
        <w:rPr>
          <w:rFonts w:ascii="Times New Roman" w:hAnsi="Times New Roman" w:cs="仿宋_GB2312" w:hint="eastAsia"/>
          <w:szCs w:val="20"/>
          <w:lang w:bidi="ar"/>
        </w:rPr>
        <w:t>模型压缩与加速：运用模型蒸馏、剪枝、量化等技术，降低模型体积与推理延迟；结合批处理、</w:t>
      </w:r>
      <w:r>
        <w:rPr>
          <w:rFonts w:ascii="Times New Roman" w:hAnsi="Times New Roman"/>
          <w:szCs w:val="20"/>
          <w:lang w:bidi="ar"/>
        </w:rPr>
        <w:t>KV</w:t>
      </w:r>
      <w:r>
        <w:rPr>
          <w:rFonts w:ascii="Times New Roman" w:hAnsi="Times New Roman" w:cs="仿宋_GB2312" w:hint="eastAsia"/>
          <w:szCs w:val="20"/>
          <w:lang w:bidi="ar"/>
        </w:rPr>
        <w:t>缓存等优化策略，提升模型推理效率</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（12）服务集成与部署模块</w:t>
      </w:r>
    </w:p>
    <w:p>
      <w:pPr>
        <w:spacing w:line="560" w:lineRule="exact"/>
        <w:ind w:firstLine="640"/>
      </w:pPr>
      <w:r>
        <w:rPr>
          <w:rFonts w:ascii="Times New Roman" w:hAnsi="Times New Roman" w:cs="仿宋_GB2312" w:hint="eastAsia"/>
          <w:szCs w:val="20"/>
          <w:lang w:bidi="ar"/>
        </w:rPr>
        <w:t>容器化部署与编排：基于</w:t>
      </w:r>
      <w:r>
        <w:rPr>
          <w:rFonts w:ascii="Times New Roman" w:hAnsi="Times New Roman"/>
          <w:szCs w:val="20"/>
          <w:lang w:bidi="ar"/>
        </w:rPr>
        <w:t>Docker/Kubernetes</w:t>
      </w:r>
      <w:r>
        <w:rPr>
          <w:rFonts w:ascii="Times New Roman" w:hAnsi="Times New Roman" w:cs="仿宋_GB2312" w:hint="eastAsia"/>
          <w:szCs w:val="20"/>
          <w:lang w:bidi="ar"/>
        </w:rPr>
        <w:t>实现模型与服务的容器化打包与集群化部署，支持弹性伸缩与故障自愈，提升系统的可扩展性与稳定性。</w:t>
      </w:r>
    </w:p>
    <w:p>
      <w:pPr>
        <w:spacing w:line="560" w:lineRule="exact"/>
        <w:ind w:firstLine="640"/>
      </w:pPr>
      <w:r>
        <w:rPr>
          <w:rFonts w:ascii="Times New Roman" w:hAnsi="Times New Roman" w:cs="仿宋_GB2312" w:hint="eastAsia"/>
          <w:szCs w:val="20"/>
          <w:lang w:bidi="ar"/>
        </w:rPr>
        <w:t>多环境管理：提供开发、测试、生产等多环境的统一配置与管理，确保不同环境下的服务一致性与版本隔离。</w:t>
      </w:r>
    </w:p>
    <w:p>
      <w:pPr>
        <w:spacing w:line="360" w:lineRule="auto"/>
        <w:ind w:firstLine="420" w:firstLineChars="200"/>
        <w:rPr>
          <w:rFonts w:ascii="宋体" w:hAnsi="宋体"/>
          <w:szCs w:val="21"/>
        </w:rPr>
      </w:pPr>
      <w:r>
        <w:rPr>
          <w:rFonts w:ascii="Times New Roman" w:hAnsi="Times New Roman"/>
          <w:szCs w:val="20"/>
          <w:lang w:bidi="ar"/>
        </w:rPr>
        <w:t>API</w:t>
      </w:r>
      <w:r>
        <w:rPr>
          <w:rFonts w:ascii="Times New Roman" w:hAnsi="Times New Roman" w:cs="仿宋_GB2312" w:hint="eastAsia"/>
          <w:szCs w:val="20"/>
          <w:lang w:bidi="ar"/>
        </w:rPr>
        <w:t>开放与服务调用：构建标准化</w:t>
      </w:r>
      <w:r>
        <w:rPr>
          <w:rFonts w:ascii="Times New Roman" w:hAnsi="Times New Roman"/>
          <w:szCs w:val="20"/>
          <w:lang w:bidi="ar"/>
        </w:rPr>
        <w:t>API</w:t>
      </w:r>
      <w:r>
        <w:rPr>
          <w:rFonts w:ascii="Times New Roman" w:hAnsi="Times New Roman" w:cs="仿宋_GB2312" w:hint="eastAsia"/>
          <w:szCs w:val="20"/>
          <w:lang w:bidi="ar"/>
        </w:rPr>
        <w:t>接口，支持</w:t>
      </w:r>
      <w:r>
        <w:rPr>
          <w:rFonts w:ascii="Times New Roman" w:hAnsi="Times New Roman"/>
          <w:szCs w:val="20"/>
          <w:lang w:bidi="ar"/>
        </w:rPr>
        <w:t xml:space="preserve"> RESTful</w:t>
      </w:r>
      <w:r>
        <w:rPr>
          <w:rFonts w:ascii="Times New Roman" w:hAnsi="Times New Roman" w:cs="仿宋_GB2312" w:hint="eastAsia"/>
          <w:szCs w:val="20"/>
          <w:lang w:bidi="ar"/>
        </w:rPr>
        <w:t>、</w:t>
      </w:r>
      <w:r>
        <w:rPr>
          <w:rFonts w:ascii="Times New Roman" w:hAnsi="Times New Roman" w:cs="仿宋_GB2312" w:hint="eastAsia"/>
          <w:szCs w:val="20"/>
          <w:lang w:bidi="ar"/>
        </w:rPr>
        <w:t>MCP</w:t>
      </w:r>
      <w:r>
        <w:rPr>
          <w:rFonts w:ascii="Times New Roman" w:hAnsi="Times New Roman" w:cs="仿宋_GB2312" w:hint="eastAsia"/>
          <w:szCs w:val="20"/>
          <w:lang w:bidi="ar"/>
        </w:rPr>
        <w:t>等多种协议，方便第三方系统接入与服务调用；提供</w:t>
      </w:r>
      <w:r>
        <w:rPr>
          <w:rFonts w:ascii="Times New Roman" w:hAnsi="Times New Roman"/>
          <w:szCs w:val="20"/>
          <w:lang w:bidi="ar"/>
        </w:rPr>
        <w:t>API</w:t>
      </w:r>
      <w:r>
        <w:rPr>
          <w:rFonts w:ascii="Times New Roman" w:hAnsi="Times New Roman" w:cs="仿宋_GB2312" w:hint="eastAsia"/>
          <w:szCs w:val="20"/>
          <w:lang w:bidi="ar"/>
        </w:rPr>
        <w:t>密钥管理、权限控制等安全机制，保障服务访问的安全性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（13）监控与运维模块</w:t>
      </w:r>
    </w:p>
    <w:p>
      <w:pPr>
        <w:spacing w:line="560" w:lineRule="exact"/>
        <w:ind w:firstLine="640"/>
      </w:pPr>
      <w:r>
        <w:rPr>
          <w:rFonts w:ascii="Times New Roman" w:hAnsi="Times New Roman" w:cs="仿宋_GB2312" w:hint="eastAsia"/>
          <w:szCs w:val="20"/>
          <w:lang w:bidi="ar"/>
        </w:rPr>
        <w:t>实时监控与告警：采集模型运行状态、资源使用情况、服务响应时间等指标，通过</w:t>
      </w:r>
      <w:r>
        <w:rPr>
          <w:rFonts w:ascii="Times New Roman" w:hAnsi="Times New Roman"/>
          <w:szCs w:val="20"/>
          <w:lang w:bidi="ar"/>
        </w:rPr>
        <w:t>Prometheus</w:t>
      </w:r>
      <w:r>
        <w:rPr>
          <w:rFonts w:ascii="Times New Roman" w:hAnsi="Times New Roman" w:cs="仿宋_GB2312" w:hint="eastAsia"/>
          <w:szCs w:val="20"/>
          <w:lang w:bidi="ar"/>
        </w:rPr>
        <w:t>、</w:t>
      </w:r>
      <w:r>
        <w:rPr>
          <w:rFonts w:ascii="Times New Roman" w:hAnsi="Times New Roman"/>
          <w:szCs w:val="20"/>
          <w:lang w:bidi="ar"/>
        </w:rPr>
        <w:t>Grafana</w:t>
      </w:r>
      <w:r>
        <w:rPr>
          <w:rFonts w:ascii="Times New Roman" w:hAnsi="Times New Roman" w:cs="仿宋_GB2312" w:hint="eastAsia"/>
          <w:szCs w:val="20"/>
          <w:lang w:bidi="ar"/>
        </w:rPr>
        <w:t>等工具实现可视化监控；设置告警规则，对异常情况及时通知运维人员。</w:t>
      </w:r>
    </w:p>
    <w:p>
      <w:pPr>
        <w:spacing w:line="560" w:lineRule="exact"/>
        <w:ind w:firstLine="640"/>
      </w:pPr>
      <w:r>
        <w:rPr>
          <w:rFonts w:ascii="Times New Roman" w:hAnsi="Times New Roman" w:cs="仿宋_GB2312" w:hint="eastAsia"/>
          <w:szCs w:val="20"/>
          <w:lang w:bidi="ar"/>
        </w:rPr>
        <w:t>日志管理与分析：集中管理系统日志，支持日志的存储、查询与分析；通过</w:t>
      </w:r>
      <w:r>
        <w:rPr>
          <w:rFonts w:ascii="Times New Roman" w:hAnsi="Times New Roman"/>
          <w:szCs w:val="20"/>
          <w:lang w:bidi="ar"/>
        </w:rPr>
        <w:t>ELK</w:t>
      </w:r>
      <w:r>
        <w:rPr>
          <w:rFonts w:ascii="Times New Roman" w:hAnsi="Times New Roman" w:cs="仿宋_GB2312" w:hint="eastAsia"/>
          <w:szCs w:val="20"/>
          <w:lang w:bidi="ar"/>
        </w:rPr>
        <w:t>技术栈实现日志的实时处理与可视化展示，辅助故障排查与问题定位。</w:t>
      </w:r>
    </w:p>
    <w:p>
      <w:pPr>
        <w:spacing w:line="360" w:lineRule="auto"/>
        <w:ind w:firstLine="420" w:firstLineChars="200"/>
        <w:rPr>
          <w:rFonts w:ascii="宋体" w:hAnsi="宋体" w:hint="eastAsia"/>
          <w:szCs w:val="21"/>
        </w:rPr>
      </w:pPr>
      <w:r>
        <w:rPr>
          <w:rFonts w:ascii="Times New Roman" w:hAnsi="Times New Roman" w:cs="仿宋_GB2312" w:hint="eastAsia"/>
          <w:szCs w:val="20"/>
          <w:lang w:bidi="ar"/>
        </w:rPr>
        <w:t>故障恢复与灾备：制定主备容灾方案，定期进行故障演练；在系统故障时，快速切换至备用系统，保障业务的连续性</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短临预警模型服务集成与部署组件</w:t>
      </w:r>
    </w:p>
    <w:p>
      <w:pPr>
        <w:spacing w:line="360" w:lineRule="auto"/>
        <w:ind w:firstLine="420" w:firstLineChars="200"/>
        <w:rPr>
          <w:rFonts w:ascii="宋体" w:hAnsi="宋体"/>
          <w:szCs w:val="21"/>
        </w:rPr>
      </w:pPr>
      <w:r>
        <w:rPr>
          <w:rFonts w:hint="eastAsia"/>
        </w:rPr>
        <w:t>短临预警模型服务集成与部署组件旨在为预警模型的部署、管理与服务提供一体化支撑，提升模型在多场景、多终端下的可用性与稳定性。该组件集成了模型容器化打包、运行时环境配置、多终端接入支撑、权限管理、系统监控、故障恢复、开放接口及用户交互等核心功能，构建了从模型上线到智能服务交付的完整闭环。具体而言，容器化打包模块借助Docker/Kubernetes技术实现模型的镜像构建与集群化部署，提升系统扩展性与运维效率；多环境配置管理模块支持开发、测试与生产环境的灵活切换，保障模型迭代过程中的版本隔离与配置一致性；权限认证与访问控制模块以角色为中心进行用户鉴权和接口访问控制，确保系统数据与服务的安全性；网页端与移动端支撑模块提供统一的跨平台访问接口，实现预警信息的可视化展示与移动推送，增强用户交互体验；灾备恢复模块则通过故障演练与主备容灾方案提升系统的业务连续性与稳定性。API开放平台模块与语音助手模块的接入进一步扩展了模型服务的边界，使模型具备面向第三方系统、终端用户和自然语言交互的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（1）容器化打包模块</w:t>
      </w:r>
    </w:p>
    <w:p>
      <w:pPr>
        <w:spacing w:line="360" w:lineRule="auto"/>
        <w:ind w:firstLine="420" w:firstLineChars="200"/>
        <w:rPr>
          <w:rFonts w:ascii="宋体" w:hAnsi="宋体" w:hint="eastAsia"/>
          <w:szCs w:val="21"/>
        </w:rPr>
      </w:pPr>
      <w:r>
        <w:rPr>
          <w:rFonts w:ascii="仿宋_GB2312" w:cs="仿宋_GB2312"/>
          <w:color w:val="000000"/>
          <w:szCs w:val="32"/>
          <w:lang w:bidi="ar"/>
        </w:rPr>
        <w:t>容器化打包模块作为模型服务部署的基础载体，聚焦于将短临预警核心模型及其依赖环境封装为标准化的Docker容器镜像，依托Kubernetes实现容器的弹性部署、集群资源编排与全生命周期管理——从镜像构建时的环境一致性保障，到部署阶段的节点调度、副本扩缩容，再到运行中的状态监控与异常重启，均通过该模块实现自动化管控，确保模型服务可在不同算力环境下快速落地并保持运行稳定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）多环境配置管理模块</w:t>
      </w:r>
    </w:p>
    <w:p>
      <w:pPr>
        <w:spacing w:line="360" w:lineRule="auto"/>
        <w:ind w:firstLine="420" w:firstLineChars="200"/>
        <w:rPr>
          <w:rFonts w:ascii="宋体" w:hAnsi="宋体" w:hint="eastAsia"/>
          <w:szCs w:val="21"/>
        </w:rPr>
      </w:pPr>
      <w:r>
        <w:rPr>
          <w:rFonts w:ascii="仿宋_GB2312" w:cs="仿宋_GB2312"/>
          <w:color w:val="000000"/>
          <w:szCs w:val="32"/>
          <w:lang w:bidi="ar"/>
        </w:rPr>
        <w:t>多环境配置管理模块致力于解决模型服务在多阶段迭代中的环境适配问题，通过抽象开发、测试、生产环境的差异化配置（如数据库连接、API地址、模型参数阈值等），构建统一的配置管理中心，支持环境标识的动态切换与配置的版本化管理。开发团队可在本地开发环境调试参数，测试团队在隔离环境中验证功能，生产环境则加载经过校验的稳定配置，避免因环境差异导致的服务异常，提升跨团队协作效率</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）权限认证与访问控制模块</w:t>
      </w:r>
    </w:p>
    <w:p>
      <w:pPr>
        <w:spacing w:line="360" w:lineRule="auto"/>
        <w:ind w:firstLine="420" w:firstLineChars="200"/>
        <w:rPr>
          <w:rFonts w:ascii="宋体" w:hAnsi="宋体" w:hint="eastAsia"/>
          <w:szCs w:val="21"/>
        </w:rPr>
      </w:pPr>
      <w:r>
        <w:rPr>
          <w:rFonts w:ascii="仿宋_GB2312" w:cs="仿宋_GB2312"/>
          <w:color w:val="000000"/>
          <w:szCs w:val="32"/>
          <w:lang w:bidi="ar"/>
        </w:rPr>
        <w:t>权限认证与访问控制模块是模型服务的安全屏障，负责全链路的用户身份鉴权与操作权限管控：通过集成OAuth2、JWT等主流认证协议，对用户（包括内部运维人员、第三方调用方、前端用户）的身份进行核验；基于RBAC（角色-based访问控制）模型划分管理员、开发者、普通用户等角色，精细化定义各角色对模型调用、配置修改、日志查看等操作的权限边界，防止未授权访问与越权操作，保障模型数据与服务的隐私性与安全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）日志与监控模块</w:t>
      </w:r>
    </w:p>
    <w:p>
      <w:pPr>
        <w:spacing w:line="360" w:lineRule="auto"/>
        <w:ind w:firstLine="420" w:firstLineChars="200"/>
        <w:rPr>
          <w:rFonts w:ascii="宋体" w:hAnsi="宋体" w:hint="eastAsia"/>
          <w:szCs w:val="21"/>
        </w:rPr>
      </w:pPr>
      <w:r>
        <w:rPr>
          <w:rFonts w:ascii="仿宋_GB2312" w:cs="仿宋_GB2312"/>
          <w:color w:val="000000"/>
          <w:szCs w:val="32"/>
          <w:lang w:bidi="ar"/>
        </w:rPr>
        <w:t>日志与监控模块承担着模型服务运行状态的可观测性职责，通过部署轻量化日志采集代理（如Filebeat）实时收集模型容器日志、API调用日志、资源使用日志等多源数据，统一汇聚至ELK（Elasticsearch、Logstash、Kibana）或类似日志平台，支持按时间、模块、错误类型等维度检索与分析；同时结合Prometheus采集CPU/GPU利用率、推理延迟、请求成功率等性能指标，通过Grafana构建可视化监控看板，当指标超出阈值（如推理延迟突增、容器崩溃）时触发邮件、短信或企业微信报警，助力运维人员快速定位异常根因，缩短故障恢复时长</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）资源调度与性能优化模块</w:t>
      </w:r>
    </w:p>
    <w:p>
      <w:pPr>
        <w:spacing w:line="360" w:lineRule="auto"/>
        <w:ind w:firstLine="420" w:firstLineChars="200"/>
        <w:rPr>
          <w:rFonts w:ascii="宋体" w:hAnsi="宋体"/>
          <w:szCs w:val="21"/>
        </w:rPr>
      </w:pPr>
      <w:r>
        <w:rPr>
          <w:rFonts w:ascii="仿宋_GB2312" w:cs="仿宋_GB2312"/>
          <w:color w:val="000000"/>
          <w:szCs w:val="32"/>
          <w:lang w:bidi="ar"/>
        </w:rPr>
        <w:t>资源调度与性能优化模块聚焦模型推理过程中的算力高效利用，通过实时监测模型服务的资源需求（如批量推理任务的计算量、实时请求的并发度）与集群闲置资源（CPU核数、GPU显存），动态调整算力分配策略：对于高并发实时预警请求，优先分配GPU资源以保障低延迟推理；对于离线批量计算任务，则调度空闲CPU资源避免算力浪费；同时引入模型量化、推理框架优化（如TensorRT加速）等技术，进一步提升单节点推理效率，确保高峰期模型服务仍能维持稳定的响应速度</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6</w:t>
      </w:r>
      <w:r>
        <w:rPr>
          <w:rFonts w:ascii="宋体" w:hAnsi="宋体" w:hint="eastAsia"/>
          <w:b/>
          <w:szCs w:val="21"/>
        </w:rPr>
        <w:t>）API开放平台模块</w:t>
      </w:r>
    </w:p>
    <w:p>
      <w:pPr>
        <w:spacing w:line="360" w:lineRule="auto"/>
        <w:ind w:firstLine="420" w:firstLineChars="200"/>
        <w:rPr>
          <w:rFonts w:ascii="宋体" w:hAnsi="宋体"/>
          <w:szCs w:val="21"/>
        </w:rPr>
      </w:pPr>
      <w:r>
        <w:rPr>
          <w:rFonts w:ascii="仿宋_GB2312" w:cs="仿宋_GB2312"/>
          <w:color w:val="000000"/>
          <w:szCs w:val="32"/>
          <w:lang w:bidi="ar"/>
        </w:rPr>
        <w:t>API开放平台模块是模型服务对外赋能的核心枢纽，提供标准化的RESTful API接口（涵盖模型调用、状态查询、结果订阅等功能），支持第三方业务系统（如气象监测系统、应急指挥平台）通过API密钥或IP白名单进行授权调用；配套接口文档中心详细说明请求参数格式、返回数据结构、错误码含义及调用示例，并提供沙箱环境供调用方测试联调，降低外部系统集成门槛，实现短临预警能力向多场景业务的快速输出</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7</w:t>
      </w:r>
      <w:r>
        <w:rPr>
          <w:rFonts w:ascii="宋体" w:hAnsi="宋体" w:hint="eastAsia"/>
          <w:b/>
          <w:szCs w:val="21"/>
        </w:rPr>
        <w:t>）语音助手模块</w:t>
      </w:r>
    </w:p>
    <w:p>
      <w:pPr>
        <w:spacing w:line="360" w:lineRule="auto"/>
        <w:ind w:firstLine="420" w:firstLineChars="200"/>
        <w:rPr>
          <w:rFonts w:ascii="宋体" w:hAnsi="宋体"/>
          <w:szCs w:val="21"/>
        </w:rPr>
      </w:pPr>
      <w:r>
        <w:rPr>
          <w:rFonts w:ascii="仿宋_GB2312" w:cs="仿宋_GB2312"/>
          <w:color w:val="000000"/>
          <w:szCs w:val="32"/>
          <w:lang w:bidi="ar"/>
        </w:rPr>
        <w:t>语音助手模块旨在拓展模型服务的交互维度，集成语音识别（ASR）与自然语言处理（NLP）能力，支持用户通过语音指令（如“查询北京未来1小时暴雨预警”）发起模型调用请求，模块将语音转换为文本后解析意图并触发对应服务；同时集成语音合成（TTS）技术，将模型输出的预警结果（如“预计未来30分钟朝阳区有雷暴大风，阵风8级”）转换为自然语音播报，满足用户在驾驶、户外作业等不便操作终端场景下的预警获取需求，提升服务可达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8</w:t>
      </w:r>
      <w:r>
        <w:rPr>
          <w:rFonts w:ascii="宋体" w:hAnsi="宋体" w:hint="eastAsia"/>
          <w:b/>
          <w:szCs w:val="21"/>
        </w:rPr>
        <w:t>）网页端支撑模块</w:t>
      </w:r>
    </w:p>
    <w:p>
      <w:pPr>
        <w:spacing w:line="360" w:lineRule="auto"/>
        <w:ind w:firstLine="420" w:firstLineChars="200"/>
        <w:rPr>
          <w:rFonts w:ascii="宋体" w:hAnsi="宋体"/>
          <w:szCs w:val="21"/>
        </w:rPr>
      </w:pPr>
      <w:r>
        <w:rPr>
          <w:rFonts w:ascii="仿宋_GB2312" w:cs="仿宋_GB2312"/>
          <w:color w:val="000000"/>
          <w:szCs w:val="32"/>
          <w:lang w:bidi="ar"/>
        </w:rPr>
        <w:t>网页端支撑模块面向PC端用户提供可视化的预警交互界面，核心功能包括：预警信息列表展示（按时间、区域、预警级别筛选）、地理信息可视化（基于GIS地图标注预警影响范围、等级热力图）、历史预警记录查询（支持导出Excel报表）、模型参数手动调整（仅限授权用户）等；界面采用响应式设计适配不同分辨率屏幕，结合WebSocket实现预警信息的实时推送，确保用户第一时间获取最新预警动态</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9</w:t>
      </w:r>
      <w:r>
        <w:rPr>
          <w:rFonts w:ascii="宋体" w:hAnsi="宋体" w:hint="eastAsia"/>
          <w:b/>
          <w:szCs w:val="21"/>
        </w:rPr>
        <w:t>）移动端支撑模块</w:t>
      </w:r>
    </w:p>
    <w:p>
      <w:pPr>
        <w:spacing w:line="360" w:lineRule="auto"/>
        <w:ind w:firstLine="420" w:firstLineChars="200"/>
        <w:rPr>
          <w:rFonts w:ascii="宋体" w:hAnsi="宋体"/>
          <w:szCs w:val="21"/>
        </w:rPr>
      </w:pPr>
      <w:r>
        <w:rPr>
          <w:rFonts w:ascii="仿宋_GB2312" w:cs="仿宋_GB2312"/>
          <w:color w:val="000000"/>
          <w:szCs w:val="32"/>
          <w:lang w:bidi="ar"/>
        </w:rPr>
        <w:t>移动端支撑模块覆盖iOS/Android原生App及微信小程序双渠道，针对移动场景优化交互体验：App端提供预警推送（支持按区域、级别设置提醒）、一键分享预警信息、离线地图缓存（无网络时仍可查看历史预警分布）等功能；微信小程序则主打轻量化访问，用户无需下载安装即可快速查询当前位置周边预警、接收服务号推送的紧急预警通知，满足用户碎片化场景下的便捷使用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10</w:t>
      </w:r>
      <w:r>
        <w:rPr>
          <w:rFonts w:ascii="宋体" w:hAnsi="宋体" w:hint="eastAsia"/>
          <w:b/>
          <w:szCs w:val="21"/>
        </w:rPr>
        <w:t>）灾备恢复与故障演练模块</w:t>
      </w:r>
    </w:p>
    <w:p>
      <w:pPr>
        <w:spacing w:line="360" w:lineRule="auto"/>
        <w:ind w:firstLine="420" w:firstLineChars="200"/>
        <w:rPr>
          <w:rFonts w:ascii="宋体" w:hAnsi="宋体"/>
          <w:szCs w:val="21"/>
        </w:rPr>
      </w:pPr>
      <w:r>
        <w:rPr>
          <w:rFonts w:ascii="仿宋_GB2312" w:cs="仿宋_GB2312"/>
          <w:color w:val="000000"/>
          <w:szCs w:val="32"/>
          <w:lang w:bidi="ar"/>
        </w:rPr>
        <w:t>灾备恢复与故障演练模块是保障服务高可用的关键防线，通过制定多层级灾备方案（如跨可用区容器副本部署、模型镜像异地备份、数据库主从同步），定期开展灾难场景模拟演练（如单节点故障、集群断网、数据中心断电），验证灾备方案的自动切换能力与数据完整性；演练过程记录故障响应时间、数据丢失量等关键指标，持续优化应急预案，确保在真实灾难发生时，模型服务可在分钟级内恢复运行，最大限度降低预警中断风险</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11</w:t>
      </w:r>
      <w:r>
        <w:rPr>
          <w:rFonts w:ascii="宋体" w:hAnsi="宋体" w:hint="eastAsia"/>
          <w:b/>
          <w:szCs w:val="21"/>
        </w:rPr>
        <w:t>）部署文档与知识库模块</w:t>
      </w:r>
    </w:p>
    <w:p>
      <w:pPr>
        <w:spacing w:line="360" w:lineRule="auto"/>
        <w:ind w:firstLine="420" w:firstLineChars="200"/>
        <w:rPr>
          <w:rFonts w:ascii="宋体" w:hAnsi="宋体" w:hint="eastAsia"/>
          <w:szCs w:val="21"/>
        </w:rPr>
      </w:pPr>
      <w:r>
        <w:rPr>
          <w:rFonts w:ascii="仿宋_GB2312" w:cs="仿宋_GB2312"/>
          <w:color w:val="000000"/>
          <w:szCs w:val="32"/>
          <w:lang w:bidi="ar"/>
        </w:rPr>
        <w:t>部署文档与知识库模块聚焦降低部署与运维门槛，提供标准化部署手册（含Docker/Kubernetes集群搭建步骤、模型镜像推送流程、环境变量配置说明）、常见问题文档（如容器启动失败、API调用超时等高频问题的排查步骤）、故障排查指南（结合日志与监控数据的分析流程图）；知识库支持关键词检索与案例沉淀（如某次大流量峰值下的资源调度优化经验），并定期更新版本适配新特性，帮助新团队成员快速掌握部署运维技能，减少重复踩坑成本</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短临预警模型评估组件</w:t>
      </w:r>
    </w:p>
    <w:p>
      <w:pPr>
        <w:spacing w:line="360" w:lineRule="auto"/>
        <w:ind w:firstLine="420" w:firstLineChars="200"/>
        <w:rPr>
          <w:rFonts w:ascii="宋体" w:hAnsi="宋体"/>
          <w:szCs w:val="21"/>
        </w:rPr>
      </w:pPr>
      <w:r>
        <w:rPr>
          <w:rFonts w:hint="eastAsia"/>
        </w:rPr>
        <w:t>建立面向行业气象灾害风险预警的气象服务多智能体，以行业气象灾害风险预警等场景为重点，开展智能服务能力建设，建立融合多源数据的风险预警技术、行业及服务产品智能生成技术并应用，建立多灾种行业风险提醒文本库，建设适应多行业多部门应用的气象风险预警服务产品智能生产及发布系统。融合社会化观测和行业场景数据，通过预训练、指令微调和有监督微调技术，研制人工智能行业影响分析智能研判模型，提高气象对经济社会影响的智能感知和预估能力</w:t>
      </w:r>
      <w:r>
        <w:rPr>
          <w:rFonts w:ascii="宋体" w:hAnsi="宋体" w:hint="eastAsia"/>
          <w:szCs w:val="21"/>
        </w:rPr>
        <w:t>。</w:t>
      </w:r>
    </w:p>
    <w:p>
      <w:pPr>
        <w:numPr>
          <w:ilvl w:val="0"/>
          <w:numId w:val="9"/>
        </w:numPr>
        <w:spacing w:line="360" w:lineRule="auto"/>
        <w:rPr>
          <w:rFonts w:ascii="宋体" w:hAnsi="宋体" w:hint="eastAsia"/>
          <w:b/>
          <w:szCs w:val="21"/>
        </w:rPr>
      </w:pPr>
      <w:r>
        <w:rPr>
          <w:rFonts w:ascii="宋体" w:hAnsi="宋体" w:hint="eastAsia"/>
          <w:b/>
          <w:szCs w:val="21"/>
        </w:rPr>
        <w:t>数据预处理与标准化模块</w:t>
      </w:r>
    </w:p>
    <w:p>
      <w:pPr>
        <w:spacing w:line="360" w:lineRule="auto"/>
        <w:ind w:firstLine="420" w:firstLineChars="200"/>
        <w:rPr>
          <w:rFonts w:ascii="宋体" w:hAnsi="宋体" w:hint="eastAsia"/>
          <w:szCs w:val="21"/>
        </w:rPr>
      </w:pPr>
      <w:r>
        <w:rPr>
          <w:rFonts w:ascii="宋体" w:hAnsi="宋体" w:hint="eastAsia"/>
          <w:szCs w:val="21"/>
        </w:rPr>
        <w:t>负责接入多模态预警数据，包括气象结构化数据、天气灾害阈值数据、预警相关非结构化数据，以及地理信息数据、社会经济数据、交通路况等跨领域场景数据。包括数据异常值、缺失值处理，格式统一，基于场景的数据切片等功能。</w:t>
      </w:r>
    </w:p>
    <w:p>
      <w:pPr>
        <w:numPr>
          <w:ilvl w:val="0"/>
          <w:numId w:val="9"/>
        </w:numPr>
        <w:spacing w:line="360" w:lineRule="auto"/>
        <w:rPr>
          <w:rFonts w:ascii="宋体" w:hAnsi="宋体" w:hint="eastAsia"/>
          <w:b/>
          <w:szCs w:val="21"/>
        </w:rPr>
      </w:pPr>
      <w:r>
        <w:rPr>
          <w:rFonts w:ascii="宋体" w:hAnsi="宋体" w:hint="eastAsia"/>
          <w:b/>
          <w:szCs w:val="21"/>
        </w:rPr>
        <w:t>服务策略生成模块</w:t>
      </w:r>
    </w:p>
    <w:p>
      <w:pPr>
        <w:spacing w:line="360" w:lineRule="auto"/>
        <w:ind w:firstLine="420" w:firstLineChars="200"/>
        <w:rPr>
          <w:rFonts w:ascii="宋体" w:hAnsi="宋体" w:hint="eastAsia"/>
          <w:szCs w:val="21"/>
        </w:rPr>
      </w:pPr>
      <w:r>
        <w:rPr>
          <w:rFonts w:ascii="宋体" w:hAnsi="宋体" w:hint="eastAsia"/>
          <w:szCs w:val="21"/>
        </w:rPr>
        <w:t>为量化模型在预警分级、场景适配、分众策略推理上的精准度，形成多层级验证策略。包括多层级验证策略，基于多维度约束的适配性评估，基于群体特征异质性分众评估等功能。</w:t>
      </w:r>
    </w:p>
    <w:p>
      <w:pPr>
        <w:numPr>
          <w:ilvl w:val="0"/>
          <w:numId w:val="9"/>
        </w:numPr>
        <w:spacing w:line="360" w:lineRule="auto"/>
        <w:rPr>
          <w:rFonts w:ascii="宋体" w:hAnsi="宋体" w:hint="eastAsia"/>
          <w:b/>
          <w:szCs w:val="21"/>
        </w:rPr>
      </w:pPr>
      <w:r>
        <w:rPr>
          <w:rFonts w:ascii="宋体" w:hAnsi="宋体" w:hint="eastAsia"/>
          <w:b/>
          <w:szCs w:val="21"/>
        </w:rPr>
        <w:t>多模态服务内容评估模块</w:t>
      </w:r>
    </w:p>
    <w:p>
      <w:pPr>
        <w:spacing w:line="360" w:lineRule="auto"/>
        <w:ind w:firstLine="420" w:firstLineChars="200"/>
        <w:rPr>
          <w:rFonts w:ascii="宋体" w:hAnsi="宋体" w:hint="eastAsia"/>
          <w:szCs w:val="21"/>
        </w:rPr>
      </w:pPr>
      <w:r>
        <w:rPr>
          <w:rFonts w:ascii="宋体" w:hAnsi="宋体" w:hint="eastAsia"/>
          <w:szCs w:val="21"/>
        </w:rPr>
        <w:t>建立基于因果推理的动态关联评估体系，评估模型在异构知识合中的鲁棒性与逻辑自洽性。包括基于因果推理的动态关联评估，模型鲁棒性与逻辑自洽性评估，模态独立性与协同性的量化评估等功能。</w:t>
      </w:r>
    </w:p>
    <w:p>
      <w:pPr>
        <w:numPr>
          <w:ilvl w:val="0"/>
          <w:numId w:val="9"/>
        </w:numPr>
        <w:spacing w:line="360" w:lineRule="auto"/>
        <w:rPr>
          <w:rFonts w:ascii="宋体" w:hAnsi="宋体" w:hint="eastAsia"/>
          <w:b/>
          <w:szCs w:val="21"/>
        </w:rPr>
      </w:pPr>
      <w:r>
        <w:rPr>
          <w:rFonts w:ascii="宋体" w:hAnsi="宋体" w:hint="eastAsia"/>
          <w:b/>
          <w:szCs w:val="21"/>
        </w:rPr>
        <w:t>传播效能分析与优化模块</w:t>
      </w:r>
    </w:p>
    <w:p>
      <w:pPr>
        <w:spacing w:line="360" w:lineRule="auto"/>
        <w:ind w:firstLine="420" w:firstLineChars="200"/>
        <w:rPr>
          <w:rFonts w:ascii="宋体" w:hAnsi="宋体" w:hint="eastAsia"/>
          <w:szCs w:val="21"/>
        </w:rPr>
      </w:pPr>
      <w:r>
        <w:rPr>
          <w:rFonts w:ascii="宋体" w:hAnsi="宋体" w:hint="eastAsia"/>
          <w:szCs w:val="21"/>
        </w:rPr>
        <w:t>基于用户反馈与传播数据持续优化模型服务能力，建立因果推断框架，通过分离模型生成内容对用户避险行为的净效应。包括量化策略建议转化率评估，基于群体智能的验证，构建反事实样本库，驱动模型微调等功能。</w:t>
      </w:r>
    </w:p>
    <w:p>
      <w:pPr>
        <w:numPr>
          <w:ilvl w:val="0"/>
          <w:numId w:val="9"/>
        </w:numPr>
        <w:spacing w:line="360" w:lineRule="auto"/>
        <w:rPr>
          <w:rFonts w:ascii="宋体" w:hAnsi="宋体" w:hint="eastAsia"/>
          <w:b/>
          <w:szCs w:val="21"/>
        </w:rPr>
      </w:pPr>
      <w:r>
        <w:rPr>
          <w:rFonts w:ascii="宋体" w:hAnsi="宋体" w:hint="eastAsia"/>
          <w:b/>
          <w:szCs w:val="21"/>
        </w:rPr>
        <w:t>基准测评集构建模块</w:t>
      </w:r>
    </w:p>
    <w:p>
      <w:pPr>
        <w:spacing w:line="360" w:lineRule="auto"/>
        <w:ind w:firstLine="420" w:firstLineChars="200"/>
        <w:rPr>
          <w:rFonts w:ascii="宋体" w:hAnsi="宋体" w:hint="eastAsia"/>
          <w:szCs w:val="21"/>
        </w:rPr>
      </w:pPr>
      <w:r>
        <w:rPr>
          <w:rFonts w:ascii="宋体" w:hAnsi="宋体" w:hint="eastAsia"/>
          <w:szCs w:val="21"/>
        </w:rPr>
        <w:t>基于历史极端天气案例生成模拟数据，覆盖灾害链动态关联场景，生成测试用例。包括模拟案例生成，灾害链动态关联，多模态内容标注，内容等级分类等功能。</w:t>
      </w:r>
    </w:p>
    <w:p>
      <w:pPr>
        <w:numPr>
          <w:ilvl w:val="0"/>
          <w:numId w:val="9"/>
        </w:numPr>
        <w:spacing w:line="360" w:lineRule="auto"/>
        <w:rPr>
          <w:rFonts w:ascii="宋体" w:hAnsi="宋体" w:hint="eastAsia"/>
          <w:b/>
          <w:szCs w:val="21"/>
        </w:rPr>
      </w:pPr>
      <w:r>
        <w:rPr>
          <w:rFonts w:ascii="宋体" w:hAnsi="宋体" w:hint="eastAsia"/>
          <w:b/>
          <w:szCs w:val="21"/>
        </w:rPr>
        <w:t>精确性评估模块</w:t>
      </w:r>
    </w:p>
    <w:p>
      <w:pPr>
        <w:spacing w:line="360" w:lineRule="auto"/>
        <w:ind w:firstLine="420" w:firstLineChars="200"/>
        <w:rPr>
          <w:rFonts w:ascii="宋体" w:hAnsi="宋体" w:hint="eastAsia"/>
          <w:szCs w:val="21"/>
        </w:rPr>
      </w:pPr>
      <w:r>
        <w:rPr>
          <w:rFonts w:ascii="宋体" w:hAnsi="宋体" w:hint="eastAsia"/>
          <w:szCs w:val="21"/>
        </w:rPr>
        <w:t>基于多源预警信息与跨领域场景需求，评估模型对预警分级分类、服务场景适配性及分众服务策略推理的精准度。包括多源预警信息融合，预警信息智能分级，跨领域服务场景识别，分众化服务策略生成，及服务适配性动态评估功能。</w:t>
      </w:r>
    </w:p>
    <w:p>
      <w:pPr>
        <w:numPr>
          <w:ilvl w:val="0"/>
          <w:numId w:val="9"/>
        </w:numPr>
        <w:spacing w:line="360" w:lineRule="auto"/>
        <w:rPr>
          <w:rFonts w:ascii="宋体" w:hAnsi="宋体" w:hint="eastAsia"/>
          <w:b/>
          <w:szCs w:val="21"/>
        </w:rPr>
      </w:pPr>
      <w:r>
        <w:rPr>
          <w:rFonts w:ascii="宋体" w:hAnsi="宋体" w:hint="eastAsia"/>
          <w:b/>
          <w:szCs w:val="21"/>
        </w:rPr>
        <w:t>有效性评估模块</w:t>
      </w:r>
    </w:p>
    <w:p>
      <w:pPr>
        <w:spacing w:line="360" w:lineRule="auto"/>
        <w:ind w:firstLine="420" w:firstLineChars="200"/>
        <w:rPr>
          <w:rFonts w:ascii="宋体" w:hAnsi="宋体" w:hint="eastAsia"/>
          <w:szCs w:val="21"/>
        </w:rPr>
      </w:pPr>
      <w:r>
        <w:rPr>
          <w:rFonts w:ascii="宋体" w:hAnsi="宋体" w:hint="eastAsia"/>
          <w:szCs w:val="21"/>
        </w:rPr>
        <w:t>通过极端天气案例模拟与历史数据回溯，量化模型在动态关联灾害影响链、生成多模态服务内容的时效性与实用性。包括极端天气案例智能模拟，历史灾害事件影响链分析，动态灾害影响链推理，服务内容时效性评估等功能。</w:t>
      </w:r>
    </w:p>
    <w:p>
      <w:pPr>
        <w:numPr>
          <w:ilvl w:val="0"/>
          <w:numId w:val="9"/>
        </w:numPr>
        <w:spacing w:line="360" w:lineRule="auto"/>
        <w:rPr>
          <w:rFonts w:ascii="宋体" w:hAnsi="宋体" w:hint="eastAsia"/>
          <w:b/>
          <w:szCs w:val="21"/>
        </w:rPr>
      </w:pPr>
      <w:r>
        <w:rPr>
          <w:rFonts w:ascii="宋体" w:hAnsi="宋体" w:hint="eastAsia"/>
          <w:b/>
          <w:szCs w:val="21"/>
        </w:rPr>
        <w:t>泛化性评估模块</w:t>
      </w:r>
    </w:p>
    <w:p>
      <w:pPr>
        <w:spacing w:line="360" w:lineRule="auto"/>
        <w:ind w:firstLine="420" w:firstLineChars="200"/>
        <w:rPr>
          <w:rFonts w:ascii="宋体" w:hAnsi="宋体"/>
          <w:szCs w:val="21"/>
        </w:rPr>
      </w:pPr>
      <w:r>
        <w:rPr>
          <w:rFonts w:ascii="宋体" w:hAnsi="宋体" w:hint="eastAsia"/>
          <w:szCs w:val="21"/>
        </w:rPr>
        <w:t>结合服务端用户反馈与传播效果数据，分析模型在预警信息智能解读，服务资源精准匹配及跨领域协同响应中的效能。包括基于用户反馈的预警信息智能解读，服务资源匹配精准度动态监测，服务需求识别，传播效果驱动的服务策略迭代等功能。</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预警辅助决策智能体组件</w:t>
      </w:r>
    </w:p>
    <w:p>
      <w:pPr>
        <w:spacing w:line="360" w:lineRule="auto"/>
        <w:ind w:firstLine="420" w:firstLineChars="200"/>
        <w:rPr>
          <w:rFonts w:ascii="宋体" w:hAnsi="宋体"/>
          <w:szCs w:val="21"/>
        </w:rPr>
      </w:pPr>
      <w:r>
        <w:rPr>
          <w:rFonts w:hint="eastAsia"/>
          <w:color w:val="000000"/>
        </w:rPr>
        <w:t>基于人工智能大模型技术，构建基于面向应急责任人预警服务的预警辅助决策智能体组件，主要协助进行各种气象问答、气象及预警问数，生成式预警服务场景，包括气象实况、天气预报、预警信息、决策专报、灾情信息、天气资讯、会商测试、天气会商、农业气象、AI问答功能</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（1）预警数据接入及管理模块</w:t>
      </w:r>
    </w:p>
    <w:p>
      <w:pPr>
        <w:spacing w:line="360" w:lineRule="auto"/>
        <w:ind w:firstLine="420" w:firstLineChars="200"/>
        <w:rPr>
          <w:rFonts w:ascii="宋体" w:hAnsi="宋体" w:hint="eastAsia"/>
          <w:szCs w:val="21"/>
        </w:rPr>
      </w:pPr>
      <w:r>
        <w:rPr>
          <w:rFonts w:hint="eastAsia"/>
          <w:color w:val="000000"/>
        </w:rPr>
        <w:t>构建完善的预警数据采集接口及数据管理体系，通过接入气象、地理信息、行业等相关数据，结合数据分析能力，为预警辅助决策的结合应用构建基础</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）数据预处理模块</w:t>
      </w:r>
    </w:p>
    <w:p>
      <w:pPr>
        <w:spacing w:line="360" w:lineRule="auto"/>
        <w:ind w:firstLine="420" w:firstLineChars="200"/>
        <w:rPr>
          <w:rFonts w:ascii="宋体" w:hAnsi="宋体" w:hint="eastAsia"/>
          <w:szCs w:val="21"/>
        </w:rPr>
      </w:pPr>
      <w:r>
        <w:rPr>
          <w:rFonts w:hint="eastAsia"/>
          <w:color w:val="000000"/>
        </w:rPr>
        <w:t>制定严格的数据清洗规则，去除重复数据、处理缺失值和异常值。针对数据中的监测异常值，结合业务逻辑和统计方法进行合理修正或剔除</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）数据分析引擎模块</w:t>
      </w:r>
    </w:p>
    <w:p>
      <w:pPr>
        <w:spacing w:line="360" w:lineRule="auto"/>
        <w:ind w:firstLine="420" w:firstLineChars="200"/>
        <w:rPr>
          <w:rFonts w:ascii="宋体" w:hAnsi="宋体" w:hint="eastAsia"/>
          <w:szCs w:val="21"/>
        </w:rPr>
      </w:pPr>
      <w:r>
        <w:rPr>
          <w:rFonts w:hint="eastAsia"/>
          <w:color w:val="000000"/>
        </w:rPr>
        <w:t>支持从多个数据源抽取数据，通过智能关联算法，实现跨数据源的整合，为复杂报表制作提供有力支持</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）数据可视化模块</w:t>
      </w:r>
    </w:p>
    <w:p>
      <w:pPr>
        <w:spacing w:line="360" w:lineRule="auto"/>
        <w:ind w:firstLine="420" w:firstLineChars="200"/>
        <w:rPr>
          <w:rFonts w:ascii="宋体" w:hAnsi="宋体" w:hint="eastAsia"/>
          <w:szCs w:val="21"/>
        </w:rPr>
      </w:pPr>
      <w:r>
        <w:rPr>
          <w:rFonts w:hint="eastAsia"/>
          <w:color w:val="000000"/>
        </w:rPr>
        <w:t>提供多套页面模板，和丰富的图表组件，可通过拖拽组件进行制作可视化页面，增强数据的可读性</w:t>
      </w:r>
      <w:r>
        <w:rPr>
          <w:rFonts w:hint="eastAsia"/>
        </w:rPr>
        <w:t>。</w:t>
      </w:r>
      <w:r>
        <w:rPr>
          <w:rFonts w:hint="eastAsia"/>
          <w:color w:val="000000"/>
        </w:rPr>
        <w:t>自定义报表是主要是将数据通过报表的形式进行统计分析，并呈现最终的统计分析结果。其中报表又分为汇总表和数据表两种类型</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）知识库管理模块</w:t>
      </w:r>
    </w:p>
    <w:p>
      <w:pPr>
        <w:spacing w:line="360" w:lineRule="auto"/>
        <w:ind w:firstLine="420" w:firstLineChars="200"/>
        <w:rPr>
          <w:rFonts w:ascii="宋体" w:hAnsi="宋体"/>
          <w:szCs w:val="21"/>
        </w:rPr>
      </w:pPr>
      <w:r>
        <w:rPr>
          <w:rFonts w:hint="eastAsia"/>
          <w:color w:val="000000"/>
        </w:rPr>
        <w:t>构建气象、各行业专项知识库，基于大模型能力赋能智能体的构建与运行</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（6）知识图谱模块</w:t>
      </w:r>
    </w:p>
    <w:p>
      <w:pPr>
        <w:spacing w:line="360" w:lineRule="auto"/>
        <w:ind w:firstLine="420" w:firstLineChars="200"/>
        <w:rPr>
          <w:rFonts w:ascii="宋体" w:hAnsi="宋体"/>
          <w:szCs w:val="21"/>
        </w:rPr>
      </w:pPr>
      <w:r>
        <w:rPr>
          <w:rFonts w:hint="eastAsia"/>
          <w:color w:val="000000"/>
        </w:rPr>
        <w:t>知识图谱集知识抽取、建模、融合、存储、计算、推理、应用为一体，旨在实现灵活智能地从数据中提炼知识，构建、分析、应用图谱。能服务各级业务部门，帮助用户快速发现潜在问题并实现智能决策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（7）模型专项训练模块</w:t>
      </w:r>
    </w:p>
    <w:p>
      <w:pPr>
        <w:spacing w:line="360" w:lineRule="auto"/>
        <w:ind w:firstLine="420" w:firstLineChars="200"/>
        <w:rPr>
          <w:rFonts w:ascii="宋体" w:hAnsi="宋体"/>
          <w:szCs w:val="21"/>
        </w:rPr>
      </w:pPr>
      <w:r>
        <w:rPr>
          <w:rFonts w:hint="eastAsia"/>
          <w:color w:val="000000"/>
        </w:rPr>
        <w:t>基于基础大模型能力进行不同领域方向的训练任务，包括微调、人类反馈强化学习等，不断优化大模型在气象服务领域的表现能力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（8）模型体验管理模块</w:t>
      </w:r>
    </w:p>
    <w:p>
      <w:pPr>
        <w:spacing w:line="360" w:lineRule="auto"/>
        <w:ind w:firstLine="420" w:firstLineChars="200"/>
        <w:rPr>
          <w:rFonts w:ascii="宋体" w:hAnsi="宋体"/>
          <w:szCs w:val="21"/>
        </w:rPr>
      </w:pPr>
      <w:r>
        <w:rPr>
          <w:rFonts w:hint="eastAsia"/>
          <w:color w:val="000000"/>
        </w:rPr>
        <w:t>对于当前训练完成的模型进行试用，包括选择模型、配置模型参数的控制（多样性参数、温度参数、重复奖惩参数、最大长度参数等）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（9）AI原子能力中心模块</w:t>
      </w:r>
    </w:p>
    <w:p>
      <w:pPr>
        <w:spacing w:line="360" w:lineRule="auto"/>
        <w:ind w:firstLine="420" w:firstLineChars="200"/>
        <w:rPr>
          <w:rFonts w:ascii="宋体" w:hAnsi="宋体"/>
          <w:szCs w:val="21"/>
        </w:rPr>
      </w:pPr>
      <w:r>
        <w:rPr>
          <w:rFonts w:hint="eastAsia"/>
          <w:color w:val="000000"/>
        </w:rPr>
        <w:t>提供搭建智能体的原子能力，包括总结、判别、生成、提取、处理等组件，支持灵活开发新智能体</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（10）智能体构建管理模块</w:t>
      </w:r>
    </w:p>
    <w:p>
      <w:pPr>
        <w:spacing w:line="360" w:lineRule="auto"/>
        <w:ind w:firstLine="420" w:firstLineChars="200"/>
        <w:rPr>
          <w:rFonts w:ascii="宋体" w:hAnsi="宋体"/>
          <w:szCs w:val="21"/>
        </w:rPr>
      </w:pPr>
      <w:r>
        <w:rPr>
          <w:rFonts w:hint="eastAsia"/>
          <w:color w:val="000000"/>
        </w:rPr>
        <w:t>基于各类能力及模型训练后的数据作为支撑，构建气象监控及辅助规划分析智能体。实现智能体的搭建及管理运维能力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（11）智能会话模块</w:t>
      </w:r>
    </w:p>
    <w:p>
      <w:pPr>
        <w:spacing w:line="360" w:lineRule="auto"/>
        <w:ind w:firstLine="420" w:firstLineChars="200"/>
        <w:rPr>
          <w:rFonts w:ascii="宋体" w:hAnsi="宋体"/>
          <w:szCs w:val="21"/>
        </w:rPr>
      </w:pPr>
      <w:r>
        <w:rPr>
          <w:rFonts w:hint="eastAsia"/>
          <w:color w:val="000000"/>
        </w:rPr>
        <w:t>通过自然语言理解准确捕捉用户意图，结合向量索引与知识图谱技术快速定位信息，提供多层次、精准的问答和问数服务。提供多模态的交互反馈形式，包括文字、语音、图片、视频、图表等，提升交互的多样性与便捷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（12）定位服务模块</w:t>
      </w:r>
    </w:p>
    <w:p>
      <w:pPr>
        <w:spacing w:line="360" w:lineRule="auto"/>
        <w:ind w:firstLine="420" w:firstLineChars="200"/>
        <w:rPr>
          <w:rFonts w:ascii="宋体" w:hAnsi="宋体"/>
          <w:szCs w:val="21"/>
        </w:rPr>
      </w:pPr>
      <w:r>
        <w:rPr>
          <w:rFonts w:hint="eastAsia"/>
          <w:color w:val="000000"/>
        </w:rPr>
        <w:t>根据用户实时地理位置（GPS/IP定位/北斗）或手动输入位置（如行政区划名、城市），自动关联当地气象数据。支持用户手动修改定位，实时刷新气象信息与预警推送。支持省、市、区县、乡镇四级行政粒度，适配城乡差异化气象服务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（13）气象应用场景分类呈现模块</w:t>
      </w:r>
    </w:p>
    <w:p>
      <w:pPr>
        <w:spacing w:line="360" w:lineRule="auto"/>
        <w:ind w:firstLine="420" w:firstLineChars="200"/>
        <w:rPr>
          <w:rFonts w:ascii="宋体" w:hAnsi="宋体"/>
          <w:szCs w:val="21"/>
        </w:rPr>
      </w:pPr>
      <w:r>
        <w:rPr>
          <w:rFonts w:hint="eastAsia"/>
          <w:color w:val="000000"/>
        </w:rPr>
        <w:t>基于数据与模版自动化生成结构化预警报告，包括图片、图表、文字等多模态的输出内容</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（14）智能体服务推荐模块</w:t>
      </w:r>
    </w:p>
    <w:p>
      <w:pPr>
        <w:spacing w:line="360" w:lineRule="auto"/>
        <w:ind w:firstLine="420" w:firstLineChars="200"/>
        <w:rPr>
          <w:rFonts w:ascii="宋体" w:hAnsi="宋体"/>
          <w:szCs w:val="21"/>
        </w:rPr>
      </w:pPr>
      <w:r>
        <w:rPr>
          <w:rFonts w:hint="eastAsia"/>
          <w:color w:val="000000"/>
        </w:rPr>
        <w:t>建立全面的标签库，对所有业务数据进行分类标记，涵盖业务领域、服务类型、适用人群等维度。在用户使用智能体过程中，基于用户意图识别结果，利用协同过滤、内容基推荐等算法，从标签库中匹配最相关的数据，实现个性化推荐</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w:t>
      </w:r>
      <w:r>
        <w:rPr>
          <w:rFonts w:ascii="宋体" w:hAnsi="宋体"/>
          <w:b/>
          <w:szCs w:val="21"/>
        </w:rPr>
        <w:t>5</w:t>
      </w:r>
      <w:r>
        <w:rPr>
          <w:rFonts w:ascii="宋体" w:hAnsi="宋体" w:hint="eastAsia"/>
          <w:b/>
          <w:szCs w:val="21"/>
        </w:rPr>
        <w:t>）智能体应用使用数据分析模块</w:t>
      </w:r>
    </w:p>
    <w:p>
      <w:pPr>
        <w:spacing w:line="360" w:lineRule="auto"/>
        <w:ind w:firstLine="420" w:firstLineChars="200"/>
        <w:rPr>
          <w:rFonts w:ascii="宋体" w:hAnsi="宋体" w:hint="eastAsia"/>
          <w:szCs w:val="21"/>
        </w:rPr>
      </w:pPr>
      <w:r>
        <w:rPr>
          <w:rFonts w:hint="eastAsia"/>
          <w:color w:val="000000"/>
        </w:rPr>
        <w:t>通过用户使用数据分析，揭示用户需求、行为模式和潜在问题，从而驱动业务优化、提升用户体验，包括统计用户活跃度、对话频次分布、单用户平均对话次数，评估智能体应用效果</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短临天气农事生产服务智能体组件</w:t>
      </w:r>
    </w:p>
    <w:p>
      <w:pPr>
        <w:spacing w:line="360" w:lineRule="auto"/>
        <w:ind w:firstLine="420" w:firstLineChars="200"/>
        <w:rPr>
          <w:rFonts w:ascii="宋体" w:hAnsi="宋体"/>
          <w:szCs w:val="21"/>
        </w:rPr>
      </w:pPr>
      <w:r>
        <w:rPr>
          <w:rFonts w:hint="eastAsia"/>
          <w:color w:val="000000"/>
        </w:rPr>
        <w:t>基于人工智能大模型，GIS，卫星遥感等技术，汇聚温度、降水、风力、洪涝、干旱等可能影响农作物生长的气象数据，结合历史气象数据，构建面向农机手作业预警服务应用场景的农业气象服务智能体组件，为农业活动提供问答、问数、建议、决策、预警，同时对农事活动、农机情况进行汇聚</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（1）农事数据对接模块</w:t>
      </w:r>
    </w:p>
    <w:p>
      <w:pPr>
        <w:spacing w:line="360" w:lineRule="auto"/>
        <w:ind w:firstLine="420" w:firstLineChars="200"/>
        <w:rPr>
          <w:rFonts w:ascii="宋体" w:hAnsi="宋体" w:hint="eastAsia"/>
          <w:szCs w:val="21"/>
        </w:rPr>
      </w:pPr>
      <w:r>
        <w:rPr>
          <w:rFonts w:hint="eastAsia"/>
          <w:color w:val="000000"/>
        </w:rPr>
        <w:t>整合卫星遥感数据、地面气象站观测数据、GIS地理信息数据及历史气象数据库，构建农业气象数据资源池，为数据分析决策提供数据支撑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）数据预处理模块</w:t>
      </w:r>
    </w:p>
    <w:p>
      <w:pPr>
        <w:spacing w:line="360" w:lineRule="auto"/>
        <w:ind w:firstLine="420" w:firstLineChars="200"/>
        <w:rPr>
          <w:rFonts w:ascii="宋体" w:hAnsi="宋体" w:hint="eastAsia"/>
          <w:szCs w:val="21"/>
        </w:rPr>
      </w:pPr>
      <w:r>
        <w:rPr>
          <w:rFonts w:hint="eastAsia"/>
        </w:rPr>
        <w:t>数据预清洗环节含规则制定、标准化处理与实操功能：制定规则去重、处理缺失值及异常值（结合业务与统计修正或剔除），统一数据格式，支持新增清洗任务、去除敏感信息，可查看清洗前后对比，提升数据质量</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）数据分析引擎模块</w:t>
      </w:r>
    </w:p>
    <w:p>
      <w:pPr>
        <w:spacing w:line="360" w:lineRule="auto"/>
        <w:ind w:firstLine="420" w:firstLineChars="200"/>
        <w:rPr>
          <w:rFonts w:ascii="宋体" w:hAnsi="宋体" w:hint="eastAsia"/>
          <w:szCs w:val="21"/>
        </w:rPr>
      </w:pPr>
      <w:r>
        <w:rPr>
          <w:rFonts w:ascii="仿宋_GB2312" w:hAnsi="仿宋_GB2312" w:cs="仿宋_GB2312" w:hint="eastAsia"/>
          <w:szCs w:val="32"/>
        </w:rPr>
        <w:t>含报表处理、图表功能、表单功能及交互分析模块，可实现多源数据整合、多样图表展示、灵活表单设计与多维数据联动分析，支持即时处理与深度洞察，助力高效决策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）数据可视化模块</w:t>
      </w:r>
    </w:p>
    <w:p>
      <w:pPr>
        <w:spacing w:line="360" w:lineRule="auto"/>
        <w:ind w:firstLine="420" w:firstLineChars="200"/>
        <w:rPr>
          <w:rFonts w:ascii="宋体" w:hAnsi="宋体" w:hint="eastAsia"/>
          <w:szCs w:val="21"/>
        </w:rPr>
      </w:pPr>
      <w:r>
        <w:rPr>
          <w:rFonts w:hint="eastAsia"/>
        </w:rPr>
        <w:t>该模块含可视化界面与自定义报表功能，支持拖拽编辑、多模板多载体呈现，数据秒级实时更新；自定义报表分汇总表与数据表，可个性化筛选数据、实时更新并导出，助力数据直观呈现与决策支撑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）知识库管理模块</w:t>
      </w:r>
    </w:p>
    <w:p>
      <w:pPr>
        <w:spacing w:line="360" w:lineRule="auto"/>
        <w:ind w:firstLine="420" w:firstLineChars="200"/>
        <w:rPr>
          <w:rFonts w:ascii="宋体" w:hAnsi="宋体"/>
          <w:szCs w:val="21"/>
        </w:rPr>
      </w:pPr>
      <w:r>
        <w:rPr>
          <w:rFonts w:hint="eastAsia"/>
          <w:color w:val="000000"/>
        </w:rPr>
        <w:t>构建气象、农业专项知识库，基于大模型能力赋能智能体的构建与运行</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（6）知识图谱模块</w:t>
      </w:r>
    </w:p>
    <w:p>
      <w:pPr>
        <w:spacing w:line="360" w:lineRule="auto"/>
        <w:ind w:firstLine="420" w:firstLineChars="200"/>
        <w:rPr>
          <w:rFonts w:ascii="宋体" w:hAnsi="宋体"/>
          <w:szCs w:val="21"/>
        </w:rPr>
      </w:pPr>
      <w:r>
        <w:rPr>
          <w:rFonts w:hint="eastAsia"/>
          <w:color w:val="000000"/>
        </w:rPr>
        <w:t>知识图谱集知识抽取、建模、融合、存储、计算、推理、应用为一体，旨在实现灵活智能地从数据中提炼知识，构建、分析、应用图谱。 能服务各级业务部门，帮助用户快速发现潜在问题并实现智能决策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（7）模型专项训练模块</w:t>
      </w:r>
    </w:p>
    <w:p>
      <w:pPr>
        <w:spacing w:line="360" w:lineRule="auto"/>
        <w:ind w:firstLine="420" w:firstLineChars="200"/>
        <w:rPr>
          <w:rFonts w:ascii="宋体" w:hAnsi="宋体"/>
          <w:szCs w:val="21"/>
        </w:rPr>
      </w:pPr>
      <w:r>
        <w:rPr>
          <w:rFonts w:hint="eastAsia"/>
          <w:color w:val="000000"/>
        </w:rPr>
        <w:t>基于基础大模型能力进行不同领域方向的训练任务，包括微调、人类反馈强化学习等，不断优化大模型在气象服务领域的表现能力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（8）模型体验管理模块</w:t>
      </w:r>
    </w:p>
    <w:p>
      <w:pPr>
        <w:spacing w:line="360" w:lineRule="auto"/>
        <w:ind w:firstLine="420" w:firstLineChars="200"/>
        <w:rPr>
          <w:rFonts w:ascii="宋体" w:hAnsi="宋体"/>
          <w:szCs w:val="21"/>
        </w:rPr>
      </w:pPr>
      <w:r>
        <w:rPr>
          <w:rFonts w:hint="eastAsia"/>
          <w:color w:val="000000"/>
        </w:rPr>
        <w:t>对于当前训练完成的模型进行试用，包括选择模型、配置模型参数的控制（多样性参数、温度参数、重复奖惩参数、最大长度参数等）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（9）AI原子能力中心模块</w:t>
      </w:r>
    </w:p>
    <w:p>
      <w:pPr>
        <w:spacing w:line="360" w:lineRule="auto"/>
        <w:ind w:firstLine="420" w:firstLineChars="200"/>
        <w:rPr>
          <w:rFonts w:ascii="宋体" w:hAnsi="宋体"/>
          <w:szCs w:val="21"/>
        </w:rPr>
      </w:pPr>
      <w:r>
        <w:rPr>
          <w:rFonts w:hint="eastAsia"/>
          <w:color w:val="000000"/>
        </w:rPr>
        <w:t>提供搭建智能体的原子能力，包括总结、判别、生成、提取、处理等组件，支持灵活开发新智能体</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（10）智能体构建管理模块</w:t>
      </w:r>
    </w:p>
    <w:p>
      <w:pPr>
        <w:spacing w:line="360" w:lineRule="auto"/>
        <w:ind w:firstLine="420" w:firstLineChars="200"/>
        <w:rPr>
          <w:rFonts w:ascii="宋体" w:hAnsi="宋体"/>
          <w:szCs w:val="21"/>
        </w:rPr>
      </w:pPr>
      <w:r>
        <w:rPr>
          <w:rFonts w:hint="eastAsia"/>
          <w:color w:val="000000"/>
        </w:rPr>
        <w:t>基于各类能力及模型训练后的数据作为支撑，构建</w:t>
      </w:r>
      <w:r>
        <w:rPr>
          <w:rFonts w:hint="eastAsia"/>
          <w:color w:val="000000"/>
          <w:szCs w:val="24"/>
        </w:rPr>
        <w:t>短临天气农事生产服务智能体</w:t>
      </w:r>
      <w:r>
        <w:rPr>
          <w:rFonts w:hint="eastAsia"/>
          <w:color w:val="000000"/>
        </w:rPr>
        <w:t>。实现智能体的搭建及管理运维能力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（11）智能会话模块</w:t>
      </w:r>
    </w:p>
    <w:p>
      <w:pPr>
        <w:spacing w:line="360" w:lineRule="auto"/>
        <w:ind w:firstLine="420" w:firstLineChars="200"/>
        <w:rPr>
          <w:rFonts w:ascii="宋体" w:hAnsi="宋体"/>
          <w:szCs w:val="21"/>
        </w:rPr>
      </w:pPr>
      <w:r>
        <w:rPr>
          <w:rFonts w:hint="eastAsia"/>
          <w:color w:val="000000"/>
        </w:rPr>
        <w:t>通过自然语言理解准确捕捉用户意图，结合向量索引与知识图谱技术快速定位信息，提供多层次、精准的问答和问数服务。提供多模态的交互反馈形式，包括文字、语音、图片、视频、图表等，提升交互的多样性与便捷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（12）定位服务模块</w:t>
      </w:r>
    </w:p>
    <w:p>
      <w:pPr>
        <w:spacing w:line="360" w:lineRule="auto"/>
        <w:ind w:firstLine="420" w:firstLineChars="200"/>
        <w:rPr>
          <w:rFonts w:ascii="宋体" w:hAnsi="宋体"/>
          <w:szCs w:val="21"/>
        </w:rPr>
      </w:pPr>
      <w:r>
        <w:rPr>
          <w:rFonts w:hint="eastAsia"/>
          <w:color w:val="000000"/>
        </w:rPr>
        <w:t>根据用户实时地理位置（GPS/IP定位/北斗）或手动输入位置（如行政区划名、城市），自动关联当地气象数据。支持用户手动修改定位，实时刷新气象信息与预警推送。支持省、市、区县、乡镇四级行政粒度，适配城乡差异化气象服务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（13）农业气象监测场景模块</w:t>
      </w:r>
    </w:p>
    <w:p>
      <w:pPr>
        <w:spacing w:line="360" w:lineRule="auto"/>
        <w:ind w:firstLine="420" w:firstLineChars="200"/>
        <w:rPr>
          <w:rFonts w:ascii="宋体" w:hAnsi="宋体"/>
          <w:szCs w:val="21"/>
        </w:rPr>
      </w:pPr>
      <w:r>
        <w:rPr>
          <w:rFonts w:hint="eastAsia"/>
          <w:color w:val="000000"/>
        </w:rPr>
        <w:t>提供多元气象服务功能，接入多源异构数据，实现气象实况监测、天气预报、预警信息发布等核心能力，融合大模型与知识图谱，生成可视化报告、场景化提示、会商及灾情报告，支持定制化与阈值设置，为指挥决策、农业生产等提供智能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（14）智能体服务推荐模块</w:t>
      </w:r>
    </w:p>
    <w:p>
      <w:pPr>
        <w:spacing w:line="360" w:lineRule="auto"/>
        <w:ind w:firstLine="420" w:firstLineChars="200"/>
        <w:rPr>
          <w:rFonts w:ascii="宋体" w:hAnsi="宋体" w:hint="eastAsia"/>
          <w:szCs w:val="21"/>
        </w:rPr>
      </w:pPr>
      <w:r>
        <w:rPr>
          <w:rFonts w:hint="eastAsia"/>
          <w:color w:val="000000"/>
        </w:rPr>
        <w:t>建立全面的标签库，对所有业务数据进行分类标记，涵盖业务领域、服务类型、适用人群等维度。在用户使用智能体过程中，基于用户意图识别结果，利用协同过滤、内容基推荐等算法，从标签库中匹配最相关的数据，实现个性化推荐</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（15）智能体应用使用数据分析模块</w:t>
      </w:r>
    </w:p>
    <w:p>
      <w:pPr>
        <w:spacing w:line="360" w:lineRule="auto"/>
        <w:ind w:firstLine="420" w:firstLineChars="200"/>
        <w:rPr>
          <w:rFonts w:ascii="宋体" w:hAnsi="宋体"/>
          <w:szCs w:val="21"/>
        </w:rPr>
      </w:pPr>
      <w:r>
        <w:rPr>
          <w:rFonts w:hint="eastAsia"/>
          <w:color w:val="000000"/>
        </w:rPr>
        <w:t>通过用户使用数据分析，揭示用户需求、行为模式和潜在问题，从而驱动业务优化、提升用户体验，包括统计用户活跃度、对话频次分布、单用户平均对话次数，评估智能体应用效果</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b/>
          <w:bCs/>
          <w:sz w:val="28"/>
          <w:szCs w:val="21"/>
        </w:rPr>
      </w:pPr>
      <w:r>
        <w:rPr>
          <w:rFonts w:ascii="宋体" w:eastAsia="黑体" w:hAnsi="宋体" w:hint="eastAsia"/>
          <w:b/>
          <w:bCs/>
          <w:sz w:val="28"/>
          <w:szCs w:val="21"/>
        </w:rPr>
        <w:t>短临天气旅游气象监控及辅助规划分析智能体组件</w:t>
      </w:r>
    </w:p>
    <w:p>
      <w:pPr>
        <w:spacing w:line="360" w:lineRule="auto"/>
        <w:rPr>
          <w:rFonts w:ascii="宋体" w:hAnsi="宋体" w:hint="eastAsia"/>
          <w:b/>
          <w:szCs w:val="21"/>
        </w:rPr>
      </w:pPr>
      <w:r>
        <w:rPr>
          <w:rFonts w:ascii="宋体" w:hAnsi="宋体" w:hint="eastAsia"/>
          <w:b/>
          <w:szCs w:val="21"/>
        </w:rPr>
        <w:t>（1）旅游数据接入及管理模块</w:t>
      </w:r>
    </w:p>
    <w:p>
      <w:pPr>
        <w:spacing w:line="360" w:lineRule="auto"/>
        <w:ind w:firstLine="420" w:firstLineChars="200"/>
        <w:rPr>
          <w:rFonts w:ascii="宋体" w:hAnsi="宋体"/>
          <w:szCs w:val="21"/>
        </w:rPr>
      </w:pPr>
      <w:r>
        <w:rPr>
          <w:rFonts w:hint="eastAsia"/>
          <w:color w:val="000000"/>
        </w:rPr>
        <w:t>构建完善的预警数据采集接口及数据管理体系，通过接入气象、地理信息、行业等相关数据，结合数据分析能力，为预警辅助决策的结合应用构建基础</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）数据预处理模块</w:t>
      </w:r>
    </w:p>
    <w:p>
      <w:pPr>
        <w:spacing w:line="360" w:lineRule="auto"/>
        <w:ind w:firstLine="420" w:firstLineChars="200"/>
        <w:rPr>
          <w:rFonts w:ascii="宋体" w:hAnsi="宋体" w:hint="eastAsia"/>
          <w:szCs w:val="21"/>
        </w:rPr>
      </w:pPr>
      <w:r>
        <w:rPr>
          <w:rFonts w:hint="eastAsia"/>
          <w:color w:val="000000"/>
        </w:rPr>
        <w:t>制定严格的数据清洗规则，去除重复数据、处理缺失值和异常值。针对数据中的监测异常值，结合业务逻辑和统计方法进行合理修正或剔除</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）数据分析引擎模块</w:t>
      </w:r>
    </w:p>
    <w:p>
      <w:pPr>
        <w:spacing w:line="360" w:lineRule="auto"/>
        <w:ind w:firstLine="420" w:firstLineChars="200"/>
        <w:rPr>
          <w:rFonts w:ascii="宋体" w:hAnsi="宋体" w:hint="eastAsia"/>
          <w:szCs w:val="21"/>
        </w:rPr>
      </w:pPr>
      <w:r>
        <w:rPr>
          <w:rFonts w:hint="eastAsia"/>
          <w:color w:val="000000"/>
        </w:rPr>
        <w:t>支持从多个数据源抽取数据，通过智能关联算法，实现跨数据源的整合，为复杂报表制作提供有力支持</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）数据可视化模块</w:t>
      </w:r>
    </w:p>
    <w:p>
      <w:pPr>
        <w:spacing w:line="360" w:lineRule="auto"/>
        <w:ind w:firstLine="420" w:firstLineChars="200"/>
        <w:rPr>
          <w:rFonts w:ascii="宋体" w:hAnsi="宋体" w:hint="eastAsia"/>
          <w:szCs w:val="21"/>
        </w:rPr>
      </w:pPr>
      <w:r>
        <w:rPr>
          <w:rFonts w:hint="eastAsia"/>
          <w:color w:val="000000"/>
        </w:rPr>
        <w:t>提供多套页面模板，和丰富的图表组件，可通过拖拽组件进行制作可视化页面，增强数据的可读性</w:t>
      </w:r>
      <w:r>
        <w:rPr>
          <w:rFonts w:hint="eastAsia"/>
        </w:rPr>
        <w:t>。</w:t>
      </w:r>
      <w:r>
        <w:rPr>
          <w:rFonts w:hint="eastAsia"/>
          <w:color w:val="000000"/>
        </w:rPr>
        <w:t>自定义报表是主要是将数据通过报表的形式进行统计分析，并呈现最终的统计分析结果。其中报表又分为汇总表和数据表两种类型</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）知识库管理模块</w:t>
      </w:r>
    </w:p>
    <w:p>
      <w:pPr>
        <w:spacing w:line="360" w:lineRule="auto"/>
        <w:ind w:firstLine="420" w:firstLineChars="200"/>
        <w:rPr>
          <w:rFonts w:ascii="宋体" w:hAnsi="宋体"/>
          <w:szCs w:val="21"/>
        </w:rPr>
      </w:pPr>
      <w:r>
        <w:rPr>
          <w:rFonts w:hint="eastAsia"/>
          <w:color w:val="000000"/>
        </w:rPr>
        <w:t>构建气象、各行业专项知识库，基于大模型能力赋能智能体的构建与运行</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（6）知识图谱模块</w:t>
      </w:r>
    </w:p>
    <w:p>
      <w:pPr>
        <w:spacing w:line="360" w:lineRule="auto"/>
        <w:ind w:firstLine="420" w:firstLineChars="200"/>
        <w:rPr>
          <w:rFonts w:ascii="宋体" w:hAnsi="宋体"/>
          <w:szCs w:val="21"/>
        </w:rPr>
      </w:pPr>
      <w:r>
        <w:rPr>
          <w:rFonts w:hint="eastAsia"/>
          <w:color w:val="000000"/>
        </w:rPr>
        <w:t>知识图谱集知识抽取、建模、融合、存储、计算、推理、应用为一体，旨在实现灵活智能地从数据中提炼知识，构建、分析、应用图谱。能服务各级业务部门，帮助用户快速发现潜在问题并实现智能决策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（7）模型专项训练模块</w:t>
      </w:r>
    </w:p>
    <w:p>
      <w:pPr>
        <w:spacing w:line="360" w:lineRule="auto"/>
        <w:ind w:firstLine="420" w:firstLineChars="200"/>
        <w:rPr>
          <w:rFonts w:ascii="宋体" w:hAnsi="宋体"/>
          <w:szCs w:val="21"/>
        </w:rPr>
      </w:pPr>
      <w:r>
        <w:rPr>
          <w:rFonts w:hint="eastAsia"/>
          <w:color w:val="000000"/>
        </w:rPr>
        <w:t>基于基础大模型能力进行不同领域方向的训练任务，包括微调、人类反馈强化学习等，不断优化大模型在气象服务领域的表现能力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（8）模型体验管理模块</w:t>
      </w:r>
    </w:p>
    <w:p>
      <w:pPr>
        <w:spacing w:line="360" w:lineRule="auto"/>
        <w:ind w:firstLine="420" w:firstLineChars="200"/>
        <w:rPr>
          <w:rFonts w:ascii="宋体" w:hAnsi="宋体"/>
          <w:szCs w:val="21"/>
        </w:rPr>
      </w:pPr>
      <w:r>
        <w:rPr>
          <w:rFonts w:hint="eastAsia"/>
          <w:color w:val="000000"/>
        </w:rPr>
        <w:t>对于当前训练完成的模型进行试用，包括选择模型、配置模型参数的控制（多样性参数、温度参数、重复奖惩参数、最大长度参数等）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（9）AI原子能力中心模块</w:t>
      </w:r>
    </w:p>
    <w:p>
      <w:pPr>
        <w:spacing w:line="360" w:lineRule="auto"/>
        <w:ind w:firstLine="420" w:firstLineChars="200"/>
        <w:rPr>
          <w:rFonts w:ascii="宋体" w:hAnsi="宋体"/>
          <w:szCs w:val="21"/>
        </w:rPr>
      </w:pPr>
      <w:r>
        <w:rPr>
          <w:rFonts w:hint="eastAsia"/>
          <w:color w:val="000000"/>
        </w:rPr>
        <w:t>提供搭建智能体的原子能力，包括总结、判别、生成、提取、处理等组件，支持灵活开发新智能体</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（10）智能体构建管理模块</w:t>
      </w:r>
    </w:p>
    <w:p>
      <w:pPr>
        <w:spacing w:line="360" w:lineRule="auto"/>
        <w:ind w:firstLine="420" w:firstLineChars="200"/>
        <w:rPr>
          <w:rFonts w:ascii="宋体" w:hAnsi="宋体"/>
          <w:szCs w:val="21"/>
        </w:rPr>
      </w:pPr>
      <w:r>
        <w:rPr>
          <w:rFonts w:hint="eastAsia"/>
          <w:color w:val="000000"/>
        </w:rPr>
        <w:t>基于各类能力及模型训练后的数据作为支撑，构建</w:t>
      </w:r>
      <w:r>
        <w:rPr>
          <w:rFonts w:hint="eastAsia"/>
          <w:color w:val="000000"/>
          <w:szCs w:val="24"/>
        </w:rPr>
        <w:t>短临天气农事生产服务智能体</w:t>
      </w:r>
      <w:r>
        <w:rPr>
          <w:rFonts w:hint="eastAsia"/>
          <w:color w:val="000000"/>
        </w:rPr>
        <w:t>。实现智能体的搭建及管理运维能力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（11）智能会话模块</w:t>
      </w:r>
    </w:p>
    <w:p>
      <w:pPr>
        <w:spacing w:line="360" w:lineRule="auto"/>
        <w:ind w:firstLine="420" w:firstLineChars="200"/>
        <w:rPr>
          <w:rFonts w:ascii="宋体" w:hAnsi="宋体"/>
          <w:szCs w:val="21"/>
        </w:rPr>
      </w:pPr>
      <w:r>
        <w:rPr>
          <w:rFonts w:hint="eastAsia"/>
          <w:color w:val="000000"/>
        </w:rPr>
        <w:t>通过自然语言理解准确捕捉用户意图，结合向量索引与知识图谱技术快速定位信息，提供多层次、精准的问答和问数服务。提供多模态的交互反馈形式，包括文字、语音、图片、视频、图表等，提升交互的多样性与便捷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（12）定位服务模块</w:t>
      </w:r>
    </w:p>
    <w:p>
      <w:pPr>
        <w:spacing w:line="360" w:lineRule="auto"/>
        <w:ind w:firstLine="420" w:firstLineChars="200"/>
        <w:rPr>
          <w:rFonts w:ascii="宋体" w:hAnsi="宋体"/>
          <w:szCs w:val="21"/>
        </w:rPr>
      </w:pPr>
      <w:r>
        <w:rPr>
          <w:rFonts w:hint="eastAsia"/>
          <w:color w:val="000000"/>
        </w:rPr>
        <w:t>根据用户实时地理位置（GPS/IP定位/北斗）或手动输入位置（如行政区划名、城市），自动关联当地气象数据。支持用户手动修改定位，实时刷新气象信息与预警推送。支持省、市、区县、乡镇四级行政粒度，适配城乡差异化气象服务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（13）气象应用场景分类呈现模块</w:t>
      </w:r>
    </w:p>
    <w:p>
      <w:pPr>
        <w:spacing w:line="360" w:lineRule="auto"/>
        <w:ind w:firstLine="420" w:firstLineChars="200"/>
        <w:rPr>
          <w:rFonts w:ascii="宋体" w:hAnsi="宋体"/>
          <w:szCs w:val="21"/>
        </w:rPr>
      </w:pPr>
      <w:r>
        <w:rPr>
          <w:rFonts w:hint="eastAsia"/>
          <w:color w:val="000000"/>
        </w:rPr>
        <w:t>围绕文旅气象应用场景，提供全国文旅天气总览、热门地区推送、区域查询、线路分析、历史天气分析及短临预警提示等功能，支持时空选择、多模态呈现与旅游建议输出，满足决策人员、导游及游客需求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（14）智能体服务推荐模块</w:t>
      </w:r>
    </w:p>
    <w:p>
      <w:pPr>
        <w:spacing w:line="360" w:lineRule="auto"/>
        <w:ind w:firstLine="420" w:firstLineChars="200"/>
        <w:rPr>
          <w:rFonts w:ascii="宋体" w:hAnsi="宋体"/>
          <w:szCs w:val="21"/>
        </w:rPr>
      </w:pPr>
      <w:r>
        <w:rPr>
          <w:rFonts w:hint="eastAsia"/>
          <w:color w:val="000000"/>
        </w:rPr>
        <w:t>建立全面的标签库，对所有业务数据进行分类标记，涵盖业务领域、服务类型、适用人群等维度。在用户使用智能体过程中，基于用户意图识别结果，利用协同过滤、内容基推荐等算法，从标签库中匹配最相关的数据，实现个性化推荐</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w:t>
      </w:r>
      <w:r>
        <w:rPr>
          <w:rFonts w:ascii="宋体" w:hAnsi="宋体"/>
          <w:b/>
          <w:szCs w:val="21"/>
        </w:rPr>
        <w:t>5</w:t>
      </w:r>
      <w:r>
        <w:rPr>
          <w:rFonts w:ascii="宋体" w:hAnsi="宋体" w:hint="eastAsia"/>
          <w:b/>
          <w:szCs w:val="21"/>
        </w:rPr>
        <w:t>）智能体应用使用数据分析模块</w:t>
      </w:r>
    </w:p>
    <w:p>
      <w:pPr>
        <w:spacing w:line="360" w:lineRule="auto"/>
        <w:ind w:firstLine="420" w:firstLineChars="200"/>
        <w:rPr>
          <w:rFonts w:ascii="宋体" w:hAnsi="宋体"/>
          <w:szCs w:val="21"/>
        </w:rPr>
      </w:pPr>
      <w:r>
        <w:rPr>
          <w:rFonts w:hint="eastAsia"/>
          <w:color w:val="000000"/>
        </w:rPr>
        <w:t>通过用户使用数据分析，揭示用户需求、行为模式和潜在问题，从而驱动业务优化、提升用户体验，包括统计用户活跃度、对话频次分布、单用户平均对话次数，评估智能体应用效果</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短临天气服务速报智能体组件</w:t>
      </w:r>
    </w:p>
    <w:p>
      <w:pPr>
        <w:spacing w:line="360" w:lineRule="auto"/>
        <w:ind w:firstLine="420" w:firstLineChars="200"/>
        <w:rPr>
          <w:rFonts w:ascii="宋体" w:hAnsi="宋体"/>
          <w:szCs w:val="21"/>
        </w:rPr>
      </w:pPr>
      <w:r>
        <w:rPr>
          <w:rFonts w:hint="eastAsia"/>
          <w:color w:val="000000"/>
        </w:rPr>
        <w:t>基于对各类气象事件、预警报告等信息的收集、分析，通过模型训练管理及AI能力的应用，实现基于预警叫应服务的速报快速服务智能体构建。赋能预警报告运维智能体组件支持预警报告的辅助生成、管理、快速查询及气象事件响应追溯等场景，提升报告制作及应用实效</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（1）旅游数据接入及管理模块</w:t>
      </w:r>
    </w:p>
    <w:p>
      <w:pPr>
        <w:spacing w:line="360" w:lineRule="auto"/>
        <w:ind w:firstLine="420" w:firstLineChars="200"/>
        <w:rPr>
          <w:rFonts w:ascii="宋体" w:hAnsi="宋体"/>
          <w:szCs w:val="21"/>
        </w:rPr>
      </w:pPr>
      <w:r>
        <w:rPr>
          <w:rFonts w:hint="eastAsia"/>
          <w:color w:val="000000"/>
        </w:rPr>
        <w:t>构建完善的预警数据采集接口及数据管理体系，通过接入气象、地理信息、行业等相关数据，结合数据分析能力，为预警辅助决策的结合应用构建基础</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2</w:t>
      </w:r>
      <w:r>
        <w:rPr>
          <w:rFonts w:ascii="宋体" w:hAnsi="宋体" w:hint="eastAsia"/>
          <w:b/>
          <w:szCs w:val="21"/>
        </w:rPr>
        <w:t>）数据预处理模块</w:t>
      </w:r>
    </w:p>
    <w:p>
      <w:pPr>
        <w:spacing w:line="360" w:lineRule="auto"/>
        <w:ind w:firstLine="420" w:firstLineChars="200"/>
        <w:rPr>
          <w:rFonts w:ascii="宋体" w:hAnsi="宋体" w:hint="eastAsia"/>
          <w:szCs w:val="21"/>
        </w:rPr>
      </w:pPr>
      <w:r>
        <w:rPr>
          <w:rFonts w:hint="eastAsia"/>
          <w:color w:val="000000"/>
        </w:rPr>
        <w:t>制定严格的数据清洗规则，去除重复数据、处理缺失值和异常值。针对数据中的监测异常值，结合业务逻辑和统计方法进行合理修正或剔除</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）数据分析引擎模块</w:t>
      </w:r>
    </w:p>
    <w:p>
      <w:pPr>
        <w:spacing w:line="360" w:lineRule="auto"/>
        <w:ind w:firstLine="420" w:firstLineChars="200"/>
        <w:rPr>
          <w:rFonts w:ascii="宋体" w:hAnsi="宋体" w:hint="eastAsia"/>
          <w:szCs w:val="21"/>
        </w:rPr>
      </w:pPr>
      <w:r>
        <w:rPr>
          <w:rFonts w:hint="eastAsia"/>
          <w:color w:val="000000"/>
        </w:rPr>
        <w:t>支持从多个数据源抽取数据，通过智能关联算法，实现跨数据源的整合，为复杂报表制作提供有力支持</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）数据可视化模块</w:t>
      </w:r>
    </w:p>
    <w:p>
      <w:pPr>
        <w:spacing w:line="360" w:lineRule="auto"/>
        <w:ind w:firstLine="420" w:firstLineChars="200"/>
        <w:rPr>
          <w:rFonts w:ascii="宋体" w:hAnsi="宋体" w:hint="eastAsia"/>
          <w:szCs w:val="21"/>
        </w:rPr>
      </w:pPr>
      <w:r>
        <w:rPr>
          <w:rFonts w:hint="eastAsia"/>
          <w:color w:val="000000"/>
        </w:rPr>
        <w:t>提供多套页面模板，和丰富的图表组件，可通过拖拽组件进行制作可视化页面，增强数据的可读性</w:t>
      </w:r>
      <w:r>
        <w:rPr>
          <w:rFonts w:hint="eastAsia"/>
        </w:rPr>
        <w:t>。</w:t>
      </w:r>
      <w:r>
        <w:rPr>
          <w:rFonts w:hint="eastAsia"/>
          <w:color w:val="000000"/>
        </w:rPr>
        <w:t>自定义报表是主要是将数据通过报表的形式进行统计分析，并呈现最终的统计分析结果。其中报表又分为汇总表和数据表两种类型</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）知识库管理模块</w:t>
      </w:r>
    </w:p>
    <w:p>
      <w:pPr>
        <w:spacing w:line="360" w:lineRule="auto"/>
        <w:ind w:firstLine="420" w:firstLineChars="200"/>
        <w:rPr>
          <w:rFonts w:ascii="宋体" w:hAnsi="宋体"/>
          <w:szCs w:val="21"/>
        </w:rPr>
      </w:pPr>
      <w:r>
        <w:rPr>
          <w:rFonts w:hint="eastAsia"/>
          <w:color w:val="000000"/>
        </w:rPr>
        <w:t>构建气象、各行业专项知识库，基于大模型能力赋能智能体的构建与运行</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（6）知识图谱模块</w:t>
      </w:r>
    </w:p>
    <w:p>
      <w:pPr>
        <w:spacing w:line="360" w:lineRule="auto"/>
        <w:ind w:firstLine="420" w:firstLineChars="200"/>
        <w:rPr>
          <w:rFonts w:ascii="宋体" w:hAnsi="宋体"/>
          <w:szCs w:val="21"/>
        </w:rPr>
      </w:pPr>
      <w:r>
        <w:rPr>
          <w:rFonts w:hint="eastAsia"/>
          <w:color w:val="000000"/>
        </w:rPr>
        <w:t>知识图谱集知识抽取、建模、融合、存储、计算、推理、应用为一体，旨在实现灵活智能地从数据中提炼知识，构建、分析、应用图谱。能服务各级业务部门，帮助用户快速发现潜在问题并实现智能决策</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（7）模型专项训练模块</w:t>
      </w:r>
    </w:p>
    <w:p>
      <w:pPr>
        <w:spacing w:line="360" w:lineRule="auto"/>
        <w:ind w:firstLine="420" w:firstLineChars="200"/>
        <w:rPr>
          <w:rFonts w:ascii="宋体" w:hAnsi="宋体"/>
          <w:szCs w:val="21"/>
        </w:rPr>
      </w:pPr>
      <w:r>
        <w:rPr>
          <w:rFonts w:hint="eastAsia"/>
          <w:color w:val="000000"/>
        </w:rPr>
        <w:t>基于基础大模型能力进行不同领域方向的训练任务，包括微调、人类反馈强化学习等，不断优化大模型在气象服务领域的表现能力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（8）模型体验管理模块</w:t>
      </w:r>
    </w:p>
    <w:p>
      <w:pPr>
        <w:spacing w:line="360" w:lineRule="auto"/>
        <w:ind w:firstLine="420" w:firstLineChars="200"/>
        <w:rPr>
          <w:rFonts w:ascii="宋体" w:hAnsi="宋体"/>
          <w:szCs w:val="21"/>
        </w:rPr>
      </w:pPr>
      <w:r>
        <w:rPr>
          <w:rFonts w:hint="eastAsia"/>
          <w:color w:val="000000"/>
        </w:rPr>
        <w:t>对于当前训练完成的模型进行试用，包括选择模型、配置模型参数的控制（多样性参数、温度参数、重复奖惩参数、最大长度参数等）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（9）AI原子能力中心模块</w:t>
      </w:r>
    </w:p>
    <w:p>
      <w:pPr>
        <w:spacing w:line="360" w:lineRule="auto"/>
        <w:ind w:firstLine="420" w:firstLineChars="200"/>
        <w:rPr>
          <w:rFonts w:ascii="宋体" w:hAnsi="宋体"/>
          <w:szCs w:val="21"/>
        </w:rPr>
      </w:pPr>
      <w:r>
        <w:rPr>
          <w:rFonts w:hint="eastAsia"/>
          <w:color w:val="000000"/>
        </w:rPr>
        <w:t>提供搭建智能体的原子能力，包括总结、判别、生成、提取、处理等组件，支持灵活开发新智能体</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（10）智能体构建管理模块</w:t>
      </w:r>
    </w:p>
    <w:p>
      <w:pPr>
        <w:spacing w:line="360" w:lineRule="auto"/>
        <w:ind w:firstLine="420" w:firstLineChars="200"/>
        <w:rPr>
          <w:rFonts w:ascii="宋体" w:hAnsi="宋体"/>
          <w:szCs w:val="21"/>
        </w:rPr>
      </w:pPr>
      <w:r>
        <w:rPr>
          <w:rFonts w:hint="eastAsia"/>
          <w:color w:val="000000"/>
        </w:rPr>
        <w:t>基于各类能力及模型训练后的数据作为支撑，构建</w:t>
      </w:r>
      <w:r>
        <w:rPr>
          <w:rFonts w:hint="eastAsia"/>
          <w:color w:val="000000"/>
          <w:szCs w:val="24"/>
        </w:rPr>
        <w:t>短临天气农事生产服务智能体</w:t>
      </w:r>
      <w:r>
        <w:rPr>
          <w:rFonts w:hint="eastAsia"/>
          <w:color w:val="000000"/>
        </w:rPr>
        <w:t>。实现智能体的搭建及管理运维能力</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（11）报告模版管理模块</w:t>
      </w:r>
    </w:p>
    <w:p>
      <w:pPr>
        <w:spacing w:line="360" w:lineRule="auto"/>
        <w:ind w:firstLine="420" w:firstLineChars="200"/>
        <w:rPr>
          <w:rFonts w:ascii="宋体" w:hAnsi="宋体"/>
          <w:szCs w:val="21"/>
        </w:rPr>
      </w:pPr>
      <w:r>
        <w:rPr>
          <w:rFonts w:hint="eastAsia"/>
          <w:color w:val="000000"/>
        </w:rPr>
        <w:t>支持对报告模版的管理，通过后台报告模版的配置支持预警报告在模版框架下快速生成</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（12）预警报告生成模块</w:t>
      </w:r>
    </w:p>
    <w:p>
      <w:pPr>
        <w:spacing w:line="360" w:lineRule="auto"/>
        <w:ind w:firstLine="420" w:firstLineChars="200"/>
        <w:rPr>
          <w:rFonts w:ascii="宋体" w:hAnsi="宋体"/>
          <w:szCs w:val="21"/>
        </w:rPr>
      </w:pPr>
      <w:r>
        <w:rPr>
          <w:rFonts w:hint="eastAsia"/>
          <w:color w:val="000000"/>
        </w:rPr>
        <w:t>根据用户实时地理位置（GPS/IP定位/北斗）或手动输入位置（如行政区划名、城市），自动关联当地气象数据。支持用户手动修改定位，实时刷新气象信息与预警推送。支持省、市、区县、乡镇四级行政粒度，适配城乡差异化气象服务需求</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（13）预警报告管理模块</w:t>
      </w:r>
    </w:p>
    <w:p>
      <w:pPr>
        <w:spacing w:line="360" w:lineRule="auto"/>
        <w:ind w:firstLine="420" w:firstLineChars="200"/>
        <w:rPr>
          <w:rFonts w:ascii="宋体" w:hAnsi="宋体"/>
          <w:szCs w:val="21"/>
        </w:rPr>
      </w:pPr>
      <w:r>
        <w:rPr>
          <w:rFonts w:hint="eastAsia"/>
          <w:color w:val="000000"/>
        </w:rPr>
        <w:t>实现对预警报告的全生命周期管理，包括报告的分类归档、权限控制等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（14）预警报告快速调阅模块</w:t>
      </w:r>
    </w:p>
    <w:p>
      <w:pPr>
        <w:spacing w:line="360" w:lineRule="auto"/>
        <w:ind w:firstLine="420" w:firstLineChars="200"/>
        <w:rPr>
          <w:rFonts w:ascii="宋体" w:hAnsi="宋体"/>
          <w:szCs w:val="21"/>
        </w:rPr>
      </w:pPr>
      <w:r>
        <w:rPr>
          <w:rFonts w:hint="eastAsia"/>
          <w:color w:val="000000"/>
        </w:rPr>
        <w:t>在智能体中通过问答形式查找预警报告及相关信息，根据提问摘取报告内容及关联推荐信息</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（15）气象事件报告关联模块</w:t>
      </w:r>
    </w:p>
    <w:p>
      <w:pPr>
        <w:spacing w:line="360" w:lineRule="auto"/>
        <w:ind w:firstLine="420" w:firstLineChars="200"/>
        <w:rPr>
          <w:rFonts w:ascii="宋体" w:hAnsi="宋体"/>
          <w:szCs w:val="21"/>
        </w:rPr>
      </w:pPr>
      <w:r>
        <w:rPr>
          <w:rFonts w:hint="eastAsia"/>
          <w:color w:val="000000"/>
        </w:rPr>
        <w:t>预警报告可关联气象事件，在查询气象事件信息时可查看各项关联信息，包括时间概况、预警情况、相关部门叫应情况等</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w:t>
      </w:r>
      <w:r>
        <w:rPr>
          <w:rFonts w:ascii="宋体" w:hAnsi="宋体"/>
          <w:b/>
          <w:szCs w:val="21"/>
        </w:rPr>
        <w:t>6</w:t>
      </w:r>
      <w:r>
        <w:rPr>
          <w:rFonts w:ascii="宋体" w:hAnsi="宋体" w:hint="eastAsia"/>
          <w:b/>
          <w:szCs w:val="21"/>
        </w:rPr>
        <w:t>）智能体服务推荐模块</w:t>
      </w:r>
    </w:p>
    <w:p>
      <w:pPr>
        <w:spacing w:line="360" w:lineRule="auto"/>
        <w:ind w:firstLine="420" w:firstLineChars="200"/>
        <w:rPr>
          <w:rFonts w:ascii="宋体" w:hAnsi="宋体"/>
          <w:szCs w:val="21"/>
        </w:rPr>
      </w:pPr>
      <w:r>
        <w:rPr>
          <w:rFonts w:ascii="宋体" w:hAnsi="宋体" w:hint="eastAsia"/>
          <w:szCs w:val="21"/>
        </w:rPr>
        <w:t>建立全面的标签库，对所有业务数据进行分类标记，涵盖业务领域、服务类型、适用人群等维度。在用户使用智能体过程中，基于用户意图识别结果，利用协同过滤、内容基推荐等算法，从标签库中匹配最相关的数据，实现个性化推荐。</w:t>
      </w:r>
    </w:p>
    <w:p>
      <w:pPr>
        <w:spacing w:line="360" w:lineRule="auto"/>
        <w:rPr>
          <w:rFonts w:ascii="宋体" w:hAnsi="宋体" w:hint="eastAsia"/>
          <w:b/>
          <w:szCs w:val="21"/>
        </w:rPr>
      </w:pPr>
      <w:r>
        <w:rPr>
          <w:rFonts w:ascii="宋体" w:hAnsi="宋体" w:hint="eastAsia"/>
          <w:b/>
          <w:szCs w:val="21"/>
        </w:rPr>
        <w:t>（1</w:t>
      </w:r>
      <w:r>
        <w:rPr>
          <w:rFonts w:ascii="宋体" w:hAnsi="宋体"/>
          <w:b/>
          <w:szCs w:val="21"/>
        </w:rPr>
        <w:t>7</w:t>
      </w:r>
      <w:r>
        <w:rPr>
          <w:rFonts w:ascii="宋体" w:hAnsi="宋体" w:hint="eastAsia"/>
          <w:b/>
          <w:szCs w:val="21"/>
        </w:rPr>
        <w:t>）</w:t>
      </w:r>
      <w:r>
        <w:rPr>
          <w:rFonts w:hint="eastAsia"/>
          <w:b/>
          <w:bCs/>
          <w:color w:val="000000"/>
        </w:rPr>
        <w:t>智能体应用使用</w:t>
      </w:r>
      <w:r>
        <w:rPr>
          <w:rFonts w:hint="eastAsia"/>
          <w:b/>
          <w:bCs/>
        </w:rPr>
        <w:t>数据分析</w:t>
      </w:r>
      <w:r>
        <w:rPr>
          <w:rFonts w:ascii="宋体" w:hAnsi="宋体" w:hint="eastAsia"/>
          <w:b/>
          <w:szCs w:val="21"/>
        </w:rPr>
        <w:t>模块</w:t>
      </w:r>
    </w:p>
    <w:p>
      <w:pPr>
        <w:spacing w:line="360" w:lineRule="auto"/>
        <w:ind w:firstLine="420" w:firstLineChars="200"/>
        <w:rPr>
          <w:rFonts w:ascii="宋体" w:hAnsi="宋体"/>
          <w:szCs w:val="21"/>
        </w:rPr>
      </w:pPr>
      <w:r>
        <w:rPr>
          <w:rFonts w:hint="eastAsia"/>
          <w:color w:val="000000"/>
        </w:rPr>
        <w:t>通过用户使用数据分析，揭示用户需求、行为模式和潜在问题，从而驱动业务优化、提升用户体验，包括统计用户活跃度、对话频次分布、单用户平均对话次数，评估智能体应用效果</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预警信息多语种智能体组件</w:t>
      </w:r>
    </w:p>
    <w:p>
      <w:pPr>
        <w:spacing w:line="360" w:lineRule="auto"/>
        <w:ind w:firstLine="420" w:firstLineChars="200"/>
        <w:rPr>
          <w:rFonts w:ascii="宋体" w:hAnsi="宋体" w:hint="eastAsia"/>
          <w:szCs w:val="21"/>
        </w:rPr>
      </w:pPr>
      <w:r>
        <w:rPr>
          <w:rFonts w:ascii="宋体" w:hAnsi="宋体" w:hint="eastAsia"/>
          <w:szCs w:val="21"/>
        </w:rPr>
        <w:t>实现基于实时公开预警信息平台的英语、西班牙语灾害预警信息共享，利用多智能体协作语种转换，通过术语管理者、翻译者、校对者和优化者的协同工作，结合反思工作流和强化学习，实现高效、精准和自适应的实时海外中文气象灾害预警服务能力。</w:t>
      </w:r>
    </w:p>
    <w:p>
      <w:pPr>
        <w:spacing w:line="360" w:lineRule="auto"/>
        <w:rPr>
          <w:rFonts w:ascii="宋体" w:hAnsi="宋体" w:hint="eastAsia"/>
          <w:b/>
          <w:szCs w:val="21"/>
        </w:rPr>
      </w:pPr>
      <w:r>
        <w:rPr>
          <w:rFonts w:ascii="宋体" w:hAnsi="宋体" w:hint="eastAsia"/>
          <w:b/>
          <w:szCs w:val="21"/>
        </w:rPr>
        <w:t>（1）输入处理模块</w:t>
      </w:r>
    </w:p>
    <w:p>
      <w:pPr>
        <w:spacing w:line="360" w:lineRule="auto"/>
        <w:ind w:firstLine="420" w:firstLineChars="200"/>
        <w:rPr>
          <w:rFonts w:ascii="宋体" w:hAnsi="宋体"/>
          <w:szCs w:val="21"/>
        </w:rPr>
      </w:pPr>
      <w:r>
        <w:t>系统接收源语言文本，预处理模块对其进行分词、句法分析和语义提取，生成结构化输入</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（2）预警术语库管理模块</w:t>
      </w:r>
    </w:p>
    <w:p>
      <w:pPr>
        <w:spacing w:line="360" w:lineRule="auto"/>
        <w:ind w:firstLine="420" w:firstLineChars="200"/>
        <w:rPr>
          <w:rFonts w:ascii="宋体" w:hAnsi="宋体" w:hint="eastAsia"/>
          <w:szCs w:val="21"/>
        </w:rPr>
      </w:pPr>
      <w:r>
        <w:rPr>
          <w:rFonts w:hint="eastAsia"/>
          <w:color w:val="000000"/>
        </w:rPr>
        <w:t>基于领域语料</w:t>
      </w:r>
      <w:r>
        <w:rPr>
          <w:color w:val="000000"/>
        </w:rPr>
        <w:t>构建多语言术语库，存储术语的定义、翻译和上下文示例。使用向量数据库实现术语的快速检索，通过语义相似度匹配（Semantic Similarity Matching）推荐最合适的翻译。通过术语图（Terminology Graph）跟踪术语在文档中的使用，确保同一术语在整个文档中保持一致。支持用户上传术语表（如公司内部术语），通过在线学习动态更新术语库。</w:t>
      </w:r>
      <w:r>
        <w:rPr>
          <w:rFonts w:hint="eastAsia"/>
        </w:rPr>
        <w:t>混合检索（</w:t>
      </w:r>
      <w:r>
        <w:t>Hybrid Retrieval），兼顾关键词匹配和语义相似度。</w:t>
      </w:r>
      <w:r>
        <w:rPr>
          <w:rFonts w:hint="eastAsia"/>
        </w:rPr>
        <w:t>支持用户自定义术语</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（3）自动翻译者模块</w:t>
      </w:r>
    </w:p>
    <w:p>
      <w:pPr>
        <w:spacing w:line="360" w:lineRule="auto"/>
        <w:ind w:firstLine="420" w:firstLineChars="200"/>
        <w:rPr>
          <w:rFonts w:ascii="宋体" w:hAnsi="宋体"/>
          <w:szCs w:val="21"/>
        </w:rPr>
      </w:pPr>
      <w:r>
        <w:t>翻译者生成多个候选翻译，输出到共享工作区（Shared Workspace）。</w:t>
      </w:r>
      <w:r>
        <w:rPr>
          <w:rFonts w:hint="eastAsia"/>
        </w:rPr>
        <w:t>基于预训练的LLM模型，结合上下文嵌入（Contextual Embeddings）捕获源文本的语义和句法结构。使用Beam Search或Top-k采样生成候选翻译，保留多个候选输出以供后续智能体处理。</w:t>
      </w:r>
      <w:r>
        <w:t>翻译者生成多个候选翻译，输出到共享工作区（Shared Workspace）</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（4）自动校对者模块</w:t>
      </w:r>
    </w:p>
    <w:p>
      <w:pPr>
        <w:spacing w:line="360" w:lineRule="auto"/>
        <w:ind w:firstLine="420" w:firstLineChars="200"/>
        <w:rPr>
          <w:rFonts w:ascii="宋体" w:hAnsi="宋体"/>
          <w:szCs w:val="21"/>
        </w:rPr>
      </w:pPr>
      <w:r>
        <w:t>校对者分析候选翻译，生成校对报告（包括错误类型、建议修改等），并将报告反馈至共享工作区。</w:t>
      </w:r>
      <w:r>
        <w:rPr>
          <w:rFonts w:hint="eastAsia"/>
        </w:rPr>
        <w:t>利用基于规则的语法检查器结合神经网络模型（如BERT-based error detection）进行错误检测。引入文化知识库（Cultural Knowledge Base），通过向量检索（Vector Search）比对翻译输出与目标语言文化规范的匹配度。输出校对报告，标记问题并提供修改建议</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（5）优化者模块</w:t>
      </w:r>
    </w:p>
    <w:p>
      <w:pPr>
        <w:spacing w:line="360" w:lineRule="auto"/>
        <w:ind w:firstLine="420" w:firstLineChars="200"/>
        <w:rPr>
          <w:rFonts w:ascii="宋体" w:hAnsi="宋体"/>
          <w:szCs w:val="21"/>
        </w:rPr>
      </w:pPr>
      <w:r>
        <w:rPr>
          <w:rFonts w:ascii="宋体" w:hAnsi="宋体" w:hint="eastAsia"/>
          <w:szCs w:val="21"/>
        </w:rPr>
        <w:t>优化者根据校对报告和用户指定的风格偏好，调整翻译输出，生成最终翻译。采用风格迁移技术（Style Transfer），通过条件生成模型调整翻译风格（如正式、口语化）。使用句级奖励模型（Reward Model）评估翻译质量，优化目标包括BLEU分数、语义相似度和用户偏好。通过生成对抗网络（GAN）或扩散模型（Diffusion Model）生成更自然的翻译表达。</w:t>
      </w:r>
    </w:p>
    <w:p>
      <w:pPr>
        <w:spacing w:line="360" w:lineRule="auto"/>
        <w:rPr>
          <w:rFonts w:ascii="宋体" w:hAnsi="宋体" w:hint="eastAsia"/>
          <w:b/>
          <w:szCs w:val="21"/>
        </w:rPr>
      </w:pPr>
      <w:r>
        <w:rPr>
          <w:rFonts w:ascii="宋体" w:hAnsi="宋体" w:hint="eastAsia"/>
          <w:b/>
          <w:szCs w:val="21"/>
        </w:rPr>
        <w:t>（6）反思与反馈模块</w:t>
      </w:r>
    </w:p>
    <w:p>
      <w:pPr>
        <w:spacing w:line="360" w:lineRule="auto"/>
        <w:ind w:firstLine="420" w:firstLineChars="200"/>
        <w:rPr>
          <w:rFonts w:ascii="宋体" w:hAnsi="宋体"/>
          <w:szCs w:val="21"/>
        </w:rPr>
      </w:pPr>
      <w:r>
        <w:t>系统记录每次翻译的输入、输出和校对报告，存储到经验库（Experience Buffer）。反思模块（Reflection Module）定期分析经验库，识别翻译中的常见错误模式，调整智能体的策略</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突发事件全链条报告生成智能体组件</w:t>
      </w:r>
    </w:p>
    <w:p>
      <w:pPr>
        <w:spacing w:line="360" w:lineRule="auto"/>
        <w:ind w:firstLine="420" w:firstLineChars="200"/>
        <w:rPr>
          <w:rFonts w:ascii="宋体" w:hAnsi="宋体"/>
          <w:szCs w:val="21"/>
        </w:rPr>
      </w:pPr>
      <w:r>
        <w:rPr>
          <w:rFonts w:hint="eastAsia"/>
        </w:rPr>
        <w:t>突发事件全链条报告生成组件实现突发事件全过程的展示，通过整合网络信息采集、多源气象数据支撑、图形可视化生成、地理信息构建及智能报告生成等功能，实现突发事件地理位置分析、事件全链条展示、气象实况预报分析、预警发布情况、气象部分及政府部门行动、辅助决策分析及建议的全链路报告，为突发事件研判、指挥调度及复盘分析提供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（1）突发事件网络搜索模块</w:t>
      </w:r>
    </w:p>
    <w:p>
      <w:pPr>
        <w:spacing w:line="360" w:lineRule="auto"/>
        <w:ind w:firstLine="420" w:firstLineChars="200"/>
        <w:rPr>
          <w:rFonts w:ascii="宋体" w:hAnsi="宋体"/>
          <w:szCs w:val="21"/>
        </w:rPr>
      </w:pPr>
      <w:r>
        <w:rPr>
          <w:rFonts w:hint="eastAsia"/>
        </w:rPr>
        <w:t>本模块是突发事件信息来源的主要入口，围绕搜索、处理、存储、更新闭环设计，实现突发事件网络信息的全流程管理。核心功能涵盖四部分：一是网络搜索配置，支持自定义时间范围、信源类型（新闻/社交/政务等）、搜索引擎组合及关键词策略，灵活适配不同事件场景的采集需求；二是信息处理，通过智能筛选（剔除无关/低质内容）、清洗（修正格式错误）、去重（识别重复信息）与替换（统一术语表述），输出结构化可用情报；三是信息存储与检索，采用分类索引机制存储处理后数据，支持多维度（时间、事件类型、信源）快速检索定位；四是信息动态更新，基于定时轮询与事件触发机制，实时追踪事态进展，增量补充新信息并同步刷新存量数据，确保信息鲜活性与完整性，为后续研判提供可靠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（2）突发事件多源气象数据获取模块</w:t>
      </w:r>
    </w:p>
    <w:p>
      <w:pPr>
        <w:spacing w:line="360" w:lineRule="auto"/>
        <w:ind w:firstLine="420" w:firstLineChars="200"/>
        <w:rPr>
          <w:rFonts w:ascii="宋体" w:hAnsi="宋体"/>
          <w:szCs w:val="21"/>
        </w:rPr>
      </w:pPr>
      <w:r>
        <w:rPr>
          <w:rFonts w:hint="eastAsia"/>
        </w:rPr>
        <w:t>该模块汇聚突发事件中的气象相关数据，聚焦相关多源异构气象数据的集中接入与标准化提取，为突发事件发生前、发生中，发生后提供气象数据支撑，并为正在发生的突发事件提供气象预报支撑，以辅助决策。模块集成五大核心功能：一是气象站点实况信息获取，事件发生地区临近监测站点的气温、气压、降水、能见度、体感温度、风等观测数据；二是气象预报信息获取，获取事件发生地区气象预报信息，包括气温、气压、降水、能见度、风等要素信息；三是预警数据获取，根据突发事件发生的时间范围、地点获取该地区及该地区上级行政区发布的预警信息包括预警等级、类型、影响范围及防御指引等；四是应急响应获取，网络爬取政府、气象部分启动的应急响应和预警叫应情况以及采取的措施部署及资源调度信息。通过多源气象数据融合，该模块可以获取突发事件发生前，发生全过程，发生后的完备气象数据及气象部门及政府的应急响应情况，为突发事件全链条报告提供数据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（3）突发事件图形可视化模块</w:t>
      </w:r>
    </w:p>
    <w:p>
      <w:pPr>
        <w:spacing w:line="360" w:lineRule="auto"/>
        <w:ind w:firstLine="420" w:firstLineChars="200"/>
        <w:rPr>
          <w:rFonts w:ascii="宋体" w:hAnsi="宋体"/>
          <w:szCs w:val="21"/>
        </w:rPr>
      </w:pPr>
      <w:r>
        <w:rPr>
          <w:rFonts w:hint="eastAsia"/>
        </w:rPr>
        <w:t>该模块用于报告中数据的直观呈现，致力于将多源突发事件数据转化为可感知的图形化表达，提升信息传递效率与决策辅助能力。模块围绕数据获取、图形生成、对象服务链路，构建四大核心功能：一是可视化数据获取，对接上游数据模块，按需抽取结构化气温、降水、能见度等多维数据；二是可视化图形生成接口，提供折线、热力图、饼状图等多种图形模板及自定义接口，支持根据事件类型与展示场景灵活生成直观图形；三是可视化图形存储服务，通过MinIO对象存储实现图形分类管理与快速服务；四是MCP服务功能，通过构建MCP服务，支持各类主流智能体构建平台快速接入可视化图形生产模块API，提高模型对于API的应用准确率。该模块通过图形化赋能，直观展示数据分析能力，增强全链条报告的可读性</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（4）突发事件地图生成模块</w:t>
      </w:r>
    </w:p>
    <w:p>
      <w:pPr>
        <w:spacing w:line="360" w:lineRule="auto"/>
        <w:ind w:firstLine="420" w:firstLineChars="200"/>
        <w:rPr>
          <w:rFonts w:ascii="宋体" w:hAnsi="宋体"/>
          <w:szCs w:val="21"/>
        </w:rPr>
      </w:pPr>
      <w:r>
        <w:rPr>
          <w:rFonts w:hint="eastAsia"/>
        </w:rPr>
        <w:t>该模块是用于突发事件报告空间信息可视化以及地理关联分析，通过地图载体将突发事件及其相关要素进行精准定位、叠加展示。模块集成了五大核心功能：一是突发事件地点查询，通过地点名称利用高德、百度等</w:t>
      </w:r>
      <w:r>
        <w:t>API</w:t>
      </w:r>
      <w:r>
        <w:rPr>
          <w:rFonts w:hint="eastAsia"/>
        </w:rPr>
        <w:t>快速定位事发位置，获取事件发生的行政区划及经纬度；二是气象站点查询，通过POSTGIS空间拓扑分析获取距离突发事件位置最近的数个气象站点，并获取站点相关的信息及经纬度位置信息；三是气象数据查询，根据站点信息获取通过天擎接口获取相应的站点实况信息，并通过时间及区域信息获取该区域的气象预报数据；四是地图可视化，结合事件位置、站点位置、站点实况、地区预报信息，结合地图服务，提供多尺度底图切换、专题图层叠加、态势热力图渲染等能力，生成地图可视化服务。该模块通过数据空间化整合与可视化呈现，直观展示突发事件发生区域的地理分布、周边环境状况、气象条件为报告提供空间可视化支撑</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（5）突发事件智能体构建模块</w:t>
      </w:r>
    </w:p>
    <w:p>
      <w:pPr>
        <w:spacing w:line="360" w:lineRule="auto"/>
        <w:ind w:firstLine="420" w:firstLineChars="200"/>
        <w:rPr>
          <w:rFonts w:ascii="宋体" w:hAnsi="宋体"/>
          <w:szCs w:val="21"/>
        </w:rPr>
      </w:pPr>
      <w:r>
        <w:rPr>
          <w:rFonts w:hint="eastAsia"/>
        </w:rPr>
        <w:t>突发事件全链条报告生成组件实现突发事件全过程的展示，通过整合网络信息采集、多源气象数据支撑、图形可视化生成、地理信息构建及智能报告生成等功能，实现突发事件地理位置分析、事件全链条展示、气象实况预报分析、预警发布情况、气象部分及政府部门行动、辅助决策分析及建议的全链路报告，为突发事件研判、指挥调度及复盘分析提供支撑。主要包括以下功能：一是提示词构建模块，通过结构化设计与优化，形成面向不同突发事件场景的指令模板，引导大模型精准理解任务目标与输出要求；二是MCP服务接入模块，实现智能体快速接入API服务，同时提高模型对于API选择，参数构建的准确率；三是接口工具接入模块，对于没有集成于MCP的API服务，智能体通过自身能力或利用React等构建模式，实现API的准确调用；四是报告展示模块，实现多模态数据的可视化展示，提高报告渲染能力，支持文字、表格、图形、地图等元素混排与预览；五是智能体发布模块，完成智能体的版本管理、权限配置与安全上线，使其可面向指挥调度、研判分析、公众服务等场景稳定交付使用。该模块通过模块化组装与能力融合，显著提升突发事件全链条报告的自动化、专业化与智能化水平</w:t>
      </w:r>
      <w:r>
        <w:rPr>
          <w:rFonts w:ascii="宋体" w:hAnsi="宋体" w:hint="eastAsia"/>
          <w:szCs w:val="21"/>
        </w:rPr>
        <w:t>。</w:t>
      </w:r>
    </w:p>
    <w:p>
      <w:pPr>
        <w:keepNext/>
        <w:keepLines/>
        <w:numPr>
          <w:ilvl w:val="0"/>
          <w:numId w:val="6"/>
        </w:numPr>
        <w:spacing w:before="280" w:after="290" w:line="376" w:lineRule="atLeast"/>
        <w:outlineLvl w:val="3"/>
        <w:rPr>
          <w:rFonts w:ascii="宋体" w:eastAsia="黑体" w:hAnsi="宋体" w:hint="eastAsia"/>
          <w:b/>
          <w:bCs/>
          <w:sz w:val="28"/>
          <w:szCs w:val="21"/>
        </w:rPr>
      </w:pPr>
      <w:r>
        <w:rPr>
          <w:rFonts w:ascii="宋体" w:eastAsia="黑体" w:hAnsi="宋体" w:hint="eastAsia"/>
          <w:b/>
          <w:bCs/>
          <w:sz w:val="28"/>
          <w:szCs w:val="21"/>
        </w:rPr>
        <w:t>适配多场景气象服务的智能体协同组件</w:t>
      </w:r>
    </w:p>
    <w:p>
      <w:pPr>
        <w:spacing w:line="360" w:lineRule="auto"/>
        <w:ind w:firstLine="420" w:firstLineChars="200"/>
        <w:rPr>
          <w:rFonts w:ascii="宋体" w:hAnsi="宋体"/>
          <w:szCs w:val="21"/>
        </w:rPr>
      </w:pPr>
      <w:r>
        <w:rPr>
          <w:rFonts w:hint="eastAsia"/>
        </w:rPr>
        <w:t>面向复杂应用场景服务需求，</w:t>
      </w:r>
      <w:r>
        <w:rPr>
          <w:rFonts w:hint="eastAsia"/>
        </w:rPr>
        <w:t>适配多场景气象服务的智能体协同组件是一个集多源气象数据融合、智能分析、风险评估与个性化服务输出于一体的统一平台，基于大模型的推理、意图识别与工具调用能力，整合能源、旅游、强对流、交通及区域协同等五大典型场景的核心功能，实现从实时监测、短临预报、灾害预警到决策支持的全流程智能化服务；通过模块化架构和可配置阈值机制，支持面向不同行业需求的灵活适配，提供分级分类的闪信预警、可视化产品生成、行程或运维智能规划以及跨区域联防联动能力，全面提升气象服务的精准性、主动性和泛化应用水平</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（1）多源数据融合模块</w:t>
      </w:r>
    </w:p>
    <w:p>
      <w:pPr>
        <w:spacing w:line="360" w:lineRule="auto"/>
        <w:ind w:firstLine="420" w:firstLineChars="200"/>
        <w:rPr>
          <w:rFonts w:ascii="宋体" w:hAnsi="宋体"/>
          <w:szCs w:val="21"/>
        </w:rPr>
      </w:pPr>
      <w:r>
        <w:rPr>
          <w:rFonts w:hint="eastAsia"/>
        </w:rPr>
        <w:t>负责接入并统一处理来自气象观测、卫星雷达、数值预报、行业设施及地理信息等多源异构数据，实现对数据标准化处理</w:t>
      </w:r>
      <w:r>
        <w:rPr>
          <w:rFonts w:ascii="宋体" w:hAnsi="宋体" w:hint="eastAsia"/>
          <w:szCs w:val="21"/>
        </w:rPr>
        <w:t>。</w:t>
      </w:r>
    </w:p>
    <w:p>
      <w:pPr>
        <w:spacing w:line="360" w:lineRule="auto"/>
        <w:rPr>
          <w:rFonts w:ascii="宋体" w:hAnsi="宋体" w:hint="eastAsia"/>
          <w:b/>
          <w:szCs w:val="21"/>
        </w:rPr>
      </w:pPr>
      <w:r>
        <w:rPr>
          <w:rFonts w:ascii="宋体" w:hAnsi="宋体" w:hint="eastAsia"/>
          <w:b/>
          <w:szCs w:val="21"/>
        </w:rPr>
        <w:t>（2）数据信息感知模块</w:t>
      </w:r>
    </w:p>
    <w:p>
      <w:pPr>
        <w:spacing w:line="360" w:lineRule="auto"/>
        <w:ind w:firstLine="420" w:firstLineChars="200"/>
        <w:rPr>
          <w:rFonts w:ascii="宋体" w:hAnsi="宋体" w:hint="eastAsia"/>
          <w:szCs w:val="21"/>
        </w:rPr>
      </w:pPr>
      <w:r>
        <w:rPr>
          <w:rFonts w:ascii="宋体" w:hAnsi="宋体" w:hint="eastAsia"/>
          <w:szCs w:val="21"/>
        </w:rPr>
        <w:t>基于标准化气象数据和行业信息，实现高时空分辨率的实时气象要素、行业信息的感知与关键指标提取。实现高时空分辨率（分钟级、公里级）的实况与短临气象要素动态感知；支持通过智能体交互进行图片、定位地点的恶劣天气上报，智能体自动进行图片的恶劣天气智能识别、定位反演至高速路段桩号。</w:t>
      </w:r>
    </w:p>
    <w:p>
      <w:pPr>
        <w:spacing w:line="360" w:lineRule="auto"/>
        <w:rPr>
          <w:rFonts w:ascii="宋体" w:hAnsi="宋体" w:hint="eastAsia"/>
          <w:b/>
          <w:szCs w:val="21"/>
        </w:rPr>
      </w:pPr>
      <w:r>
        <w:rPr>
          <w:rFonts w:ascii="宋体" w:hAnsi="宋体" w:hint="eastAsia"/>
          <w:b/>
          <w:szCs w:val="21"/>
        </w:rPr>
        <w:t>（</w:t>
      </w:r>
      <w:r>
        <w:rPr>
          <w:rFonts w:ascii="宋体" w:hAnsi="宋体"/>
          <w:b/>
          <w:szCs w:val="21"/>
        </w:rPr>
        <w:t>3</w:t>
      </w:r>
      <w:r>
        <w:rPr>
          <w:rFonts w:ascii="宋体" w:hAnsi="宋体" w:hint="eastAsia"/>
          <w:b/>
          <w:szCs w:val="21"/>
        </w:rPr>
        <w:t>）适配多场景气象服务的智能分析与风险评估模块</w:t>
      </w:r>
    </w:p>
    <w:p>
      <w:pPr>
        <w:spacing w:line="360" w:lineRule="auto"/>
        <w:ind w:firstLine="420" w:firstLineChars="200"/>
        <w:rPr>
          <w:rFonts w:ascii="宋体" w:hAnsi="宋体"/>
          <w:szCs w:val="21"/>
        </w:rPr>
      </w:pPr>
      <w:r>
        <w:rPr>
          <w:rFonts w:hint="eastAsia"/>
        </w:rPr>
        <w:t>基于大模型和行业知识，分析气象条件与能源、交通、旅游等场景的关联关系，构建场景化风险评估模型，动态评估灾害天气对具体对象的潜在风险等级和影响范围</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天气影响分析功能，针对旅游景点等山地景区地质灾害高发特性，提供气象风险预警模型分析，支持雷电、大风、强降水等灾害性天气对不同类型景区的影响评估。动态计算灾害性天气对特定对象的潜在影响等级，输出结构化风险评分与影响范围图。</w:t>
      </w:r>
    </w:p>
    <w:p>
      <w:pPr>
        <w:spacing w:line="360" w:lineRule="auto"/>
        <w:rPr>
          <w:rFonts w:ascii="宋体" w:hAnsi="宋体" w:hint="eastAsia"/>
          <w:b/>
          <w:szCs w:val="21"/>
        </w:rPr>
      </w:pPr>
      <w:r>
        <w:rPr>
          <w:rFonts w:ascii="宋体" w:hAnsi="宋体" w:hint="eastAsia"/>
          <w:b/>
          <w:szCs w:val="21"/>
        </w:rPr>
        <w:t>（</w:t>
      </w:r>
      <w:r>
        <w:rPr>
          <w:rFonts w:ascii="宋体" w:hAnsi="宋体"/>
          <w:b/>
          <w:szCs w:val="21"/>
        </w:rPr>
        <w:t>4</w:t>
      </w:r>
      <w:r>
        <w:rPr>
          <w:rFonts w:ascii="宋体" w:hAnsi="宋体" w:hint="eastAsia"/>
          <w:b/>
          <w:szCs w:val="21"/>
        </w:rPr>
        <w:t>）适配多场景气象服务短临预警信息生成模块</w:t>
      </w:r>
    </w:p>
    <w:p>
      <w:pPr>
        <w:spacing w:line="360" w:lineRule="auto"/>
        <w:ind w:firstLine="420" w:firstLineChars="200"/>
        <w:rPr>
          <w:rFonts w:ascii="宋体" w:hAnsi="宋体"/>
          <w:szCs w:val="21"/>
        </w:rPr>
      </w:pPr>
      <w:r>
        <w:rPr>
          <w:rFonts w:ascii="Helvetica" w:hAnsi="Helvetica"/>
          <w:color w:val="111133"/>
          <w:spacing w:val="1"/>
          <w:shd w:val="clear" w:color="auto" w:fill="FFFFFF"/>
        </w:rPr>
        <w:t>集成分钟级临近预报算法，依据预设阈值自动触发分级预警，并利用大语言模型生成面向不同用户群体的精准、可读性强的预警信息</w:t>
      </w:r>
      <w:r>
        <w:rPr>
          <w:rFonts w:ascii="宋体" w:hAnsi="宋体" w:hint="eastAsia"/>
          <w:szCs w:val="21"/>
        </w:rPr>
        <w:t>。集成强对流、暴雨、大风、雷电等灾害性天气的分钟级临近预报算法；根据统一或行业定制的预警阈值体系，自动触发多级风险预警判定；利用大语言模型自动生成语义清晰、受众适配的风险预警文本，支持分级分类推送。</w:t>
      </w:r>
    </w:p>
    <w:p>
      <w:pPr>
        <w:spacing w:line="360" w:lineRule="auto"/>
        <w:rPr>
          <w:rFonts w:ascii="宋体" w:hAnsi="宋体" w:hint="eastAsia"/>
          <w:b/>
          <w:szCs w:val="21"/>
        </w:rPr>
      </w:pPr>
      <w:r>
        <w:rPr>
          <w:rFonts w:ascii="宋体" w:hAnsi="宋体" w:hint="eastAsia"/>
          <w:b/>
          <w:szCs w:val="21"/>
        </w:rPr>
        <w:t>（</w:t>
      </w:r>
      <w:r>
        <w:rPr>
          <w:rFonts w:ascii="宋体" w:hAnsi="宋体"/>
          <w:b/>
          <w:szCs w:val="21"/>
        </w:rPr>
        <w:t>5</w:t>
      </w:r>
      <w:r>
        <w:rPr>
          <w:rFonts w:ascii="宋体" w:hAnsi="宋体" w:hint="eastAsia"/>
          <w:b/>
          <w:szCs w:val="21"/>
        </w:rPr>
        <w:t>）适配多场景气象服务服务产品智能生成模块</w:t>
      </w:r>
    </w:p>
    <w:p>
      <w:pPr>
        <w:spacing w:line="360" w:lineRule="auto"/>
        <w:ind w:firstLine="420" w:firstLineChars="200"/>
        <w:rPr>
          <w:rFonts w:ascii="宋体" w:hAnsi="宋体"/>
          <w:szCs w:val="21"/>
        </w:rPr>
      </w:pPr>
      <w:r>
        <w:rPr>
          <w:rFonts w:hint="eastAsia"/>
        </w:rPr>
        <w:t>自动生成可视化图表、专题报告、气候指数等多样化气象服务产品，支持按用户角色和场景需求定制内容形式与展示维度</w:t>
      </w:r>
      <w:r>
        <w:rPr>
          <w:rFonts w:ascii="宋体" w:hAnsi="宋体" w:hint="eastAsia"/>
          <w:szCs w:val="21"/>
        </w:rPr>
        <w:t>。自动生成多样化气象服务产品，包括可视化图表、专题报告、气象风险等级、运维建议等；支持多景点/多路段/多电站对比分析；可按用户角色定制内容形式与信息粒度。</w:t>
      </w:r>
    </w:p>
    <w:p>
      <w:pPr>
        <w:spacing w:line="360" w:lineRule="auto"/>
        <w:rPr>
          <w:rFonts w:ascii="宋体" w:hAnsi="宋体" w:hint="eastAsia"/>
          <w:b/>
          <w:szCs w:val="21"/>
        </w:rPr>
      </w:pPr>
      <w:r>
        <w:rPr>
          <w:rFonts w:ascii="宋体" w:hAnsi="宋体" w:hint="eastAsia"/>
          <w:b/>
          <w:szCs w:val="21"/>
        </w:rPr>
        <w:t>（</w:t>
      </w:r>
      <w:r>
        <w:rPr>
          <w:rFonts w:ascii="宋体" w:hAnsi="宋体"/>
          <w:b/>
          <w:szCs w:val="21"/>
        </w:rPr>
        <w:t>6</w:t>
      </w:r>
      <w:r>
        <w:rPr>
          <w:rFonts w:ascii="宋体" w:hAnsi="宋体" w:hint="eastAsia"/>
          <w:b/>
          <w:szCs w:val="21"/>
        </w:rPr>
        <w:t>）适配多场景气象服务的智能决策与规划支持模块</w:t>
      </w:r>
    </w:p>
    <w:p>
      <w:pPr>
        <w:spacing w:line="360" w:lineRule="auto"/>
        <w:ind w:firstLine="420" w:firstLineChars="200"/>
        <w:rPr>
          <w:rFonts w:ascii="宋体" w:hAnsi="宋体"/>
          <w:szCs w:val="21"/>
        </w:rPr>
      </w:pPr>
      <w:r>
        <w:rPr>
          <w:rFonts w:hint="eastAsia"/>
        </w:rPr>
        <w:t>结合气象预测与用户偏好或业务规则，提供个性化行程规划、运维调度或应急避险建议，实现从</w:t>
      </w:r>
      <w:r>
        <w:rPr>
          <w:rFonts w:hint="eastAsia"/>
        </w:rPr>
        <w:t>“</w:t>
      </w:r>
      <w:r>
        <w:rPr>
          <w:rFonts w:hint="eastAsia"/>
        </w:rPr>
        <w:t>预警</w:t>
      </w:r>
      <w:r>
        <w:rPr>
          <w:rFonts w:hint="eastAsia"/>
        </w:rPr>
        <w:t>”</w:t>
      </w:r>
      <w:r>
        <w:rPr>
          <w:rFonts w:hint="eastAsia"/>
        </w:rPr>
        <w:t>到</w:t>
      </w:r>
      <w:r>
        <w:rPr>
          <w:rFonts w:hint="eastAsia"/>
        </w:rPr>
        <w:t>“</w:t>
      </w:r>
      <w:r>
        <w:rPr>
          <w:rFonts w:hint="eastAsia"/>
        </w:rPr>
        <w:t>行动</w:t>
      </w:r>
      <w:r>
        <w:rPr>
          <w:rFonts w:hint="eastAsia"/>
        </w:rPr>
        <w:t>”</w:t>
      </w:r>
      <w:r>
        <w:rPr>
          <w:rFonts w:hint="eastAsia"/>
        </w:rPr>
        <w:t>的智能衔接</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气象预警发布与联动功能，提供站点告警、预警信号、预警服务产品的订阅式发布，支持与交通管理平台深度对接，实现跨部门数据互通与协同处置。</w:t>
      </w:r>
    </w:p>
    <w:p>
      <w:pPr>
        <w:spacing w:line="360" w:lineRule="auto"/>
        <w:ind w:firstLine="420" w:firstLineChars="200"/>
        <w:rPr>
          <w:rFonts w:ascii="宋体" w:hAnsi="宋体" w:hint="eastAsia"/>
          <w:szCs w:val="21"/>
        </w:rPr>
      </w:pPr>
      <w:r>
        <w:rPr>
          <w:rFonts w:ascii="宋体" w:hAnsi="宋体" w:hint="eastAsia"/>
          <w:szCs w:val="21"/>
        </w:rPr>
        <w:t>交通出行路线规划功能，结合高精度天气预报，评估不同路段的天气影响（如能见度、路面结冰），融合北斗高精度定位数据，提供最优路线推荐及行车诱导决策支持。</w:t>
      </w:r>
    </w:p>
    <w:p>
      <w:pPr>
        <w:spacing w:line="360" w:lineRule="auto"/>
        <w:rPr>
          <w:rFonts w:ascii="宋体" w:hAnsi="宋体" w:hint="eastAsia"/>
          <w:b/>
          <w:szCs w:val="21"/>
        </w:rPr>
      </w:pPr>
      <w:r>
        <w:rPr>
          <w:rFonts w:ascii="宋体" w:hAnsi="宋体" w:hint="eastAsia"/>
          <w:b/>
          <w:szCs w:val="21"/>
        </w:rPr>
        <w:t>（</w:t>
      </w:r>
      <w:r>
        <w:rPr>
          <w:rFonts w:ascii="宋体" w:hAnsi="宋体"/>
          <w:b/>
          <w:szCs w:val="21"/>
        </w:rPr>
        <w:t>7</w:t>
      </w:r>
      <w:r>
        <w:rPr>
          <w:rFonts w:ascii="宋体" w:hAnsi="宋体" w:hint="eastAsia"/>
          <w:b/>
          <w:szCs w:val="21"/>
        </w:rPr>
        <w:t>）适配多场景气象服务的协同联动模块</w:t>
      </w:r>
    </w:p>
    <w:p>
      <w:pPr>
        <w:spacing w:line="360" w:lineRule="auto"/>
        <w:ind w:firstLine="420" w:firstLineChars="200"/>
        <w:rPr>
          <w:rFonts w:ascii="宋体" w:hAnsi="宋体"/>
          <w:szCs w:val="21"/>
        </w:rPr>
      </w:pPr>
      <w:r>
        <w:rPr>
          <w:rFonts w:hint="eastAsia"/>
        </w:rPr>
        <w:t>支持跨区域、跨部门的预警协同与联合会商，自动识别下游影响区，并通过收集实际响应与灾情反馈持续优化模型与服务策略</w:t>
      </w:r>
      <w:r>
        <w:rPr>
          <w:rFonts w:ascii="宋体" w:hAnsi="宋体" w:hint="eastAsia"/>
          <w:szCs w:val="21"/>
        </w:rPr>
        <w:t>。</w:t>
      </w:r>
    </w:p>
    <w:p>
      <w:pPr>
        <w:spacing w:line="360" w:lineRule="auto"/>
        <w:ind w:firstLine="420" w:firstLineChars="200"/>
        <w:rPr>
          <w:rFonts w:ascii="宋体" w:hAnsi="宋体" w:hint="eastAsia"/>
          <w:szCs w:val="21"/>
        </w:rPr>
      </w:pPr>
      <w:r>
        <w:rPr>
          <w:rFonts w:ascii="宋体" w:hAnsi="宋体" w:hint="eastAsia"/>
          <w:szCs w:val="21"/>
        </w:rPr>
        <w:t>实现多渠道服务对接发布，以及智能体与小程序（微信端、支付宝端）的接口对接，支持将生成的预警信息及服务产品自动推送至小程序端，实现主动触达；同时支持短信、景区广播等传统渠道对接。</w:t>
      </w:r>
    </w:p>
    <w:p>
      <w:pPr>
        <w:spacing w:line="360" w:lineRule="auto"/>
        <w:ind w:firstLine="420" w:firstLineChars="200"/>
        <w:rPr>
          <w:rFonts w:ascii="宋体" w:hAnsi="宋体"/>
          <w:szCs w:val="21"/>
        </w:rPr>
      </w:pPr>
      <w:r>
        <w:rPr>
          <w:rFonts w:ascii="宋体" w:hAnsi="宋体" w:hint="eastAsia"/>
          <w:szCs w:val="21"/>
        </w:rPr>
        <w:t>递进式强制提醒服务功能，基于智能体能力，形成递进式叫应提醒服务能力。自动识别下游受影响区域，触发联防联动机制；收集用户反馈、预警响应效果及实际灾情数据，用于模型迭代与阈值优化，形成持续学习闭环。</w:t>
      </w:r>
    </w:p>
    <w:p>
      <w:pPr>
        <w:keepNext/>
        <w:keepLines/>
        <w:numPr>
          <w:ilvl w:val="0"/>
          <w:numId w:val="6"/>
        </w:numPr>
        <w:spacing w:before="280" w:after="290" w:line="376" w:lineRule="atLeast"/>
        <w:outlineLvl w:val="3"/>
        <w:rPr>
          <w:rFonts w:ascii="宋体" w:eastAsia="黑体" w:hAnsi="宋体"/>
          <w:b/>
          <w:bCs/>
          <w:sz w:val="28"/>
          <w:szCs w:val="21"/>
        </w:rPr>
      </w:pPr>
      <w:r>
        <w:rPr>
          <w:rFonts w:ascii="宋体" w:eastAsia="黑体" w:hAnsi="宋体" w:hint="eastAsia"/>
          <w:b/>
          <w:bCs/>
          <w:sz w:val="28"/>
          <w:szCs w:val="21"/>
        </w:rPr>
        <w:t>网络安全等级保护测评要求</w:t>
      </w:r>
    </w:p>
    <w:p>
      <w:pPr>
        <w:spacing w:line="360" w:lineRule="auto"/>
        <w:ind w:firstLine="420" w:firstLineChars="200"/>
        <w:rPr>
          <w:rFonts w:ascii="宋体" w:hAnsi="宋体" w:hint="eastAsia"/>
          <w:szCs w:val="21"/>
        </w:rPr>
      </w:pPr>
      <w:r>
        <w:rPr>
          <w:rFonts w:ascii="宋体" w:hAnsi="宋体" w:hint="eastAsia"/>
          <w:szCs w:val="21"/>
        </w:rPr>
        <w:t>按照《信息安全技术</w:t>
      </w:r>
      <w:r>
        <w:rPr>
          <w:rFonts w:ascii="宋体" w:hAnsi="宋体" w:hint="eastAsia"/>
          <w:szCs w:val="21"/>
        </w:rPr>
        <w:t>—</w:t>
      </w:r>
      <w:r>
        <w:rPr>
          <w:rFonts w:ascii="宋体" w:hAnsi="宋体" w:hint="eastAsia"/>
          <w:szCs w:val="21"/>
        </w:rPr>
        <w:t>网络安全等级保护基本要求》（</w:t>
      </w:r>
      <w:r>
        <w:rPr>
          <w:rFonts w:ascii="宋体" w:hAnsi="宋体"/>
          <w:szCs w:val="21"/>
        </w:rPr>
        <w:t>GB/T 22239-2019</w:t>
      </w:r>
      <w:r>
        <w:rPr>
          <w:rFonts w:ascii="宋体" w:hAnsi="宋体" w:hint="eastAsia"/>
          <w:szCs w:val="21"/>
        </w:rPr>
        <w:t>）中网络安全等级保护二级要求，对智慧短临气象闪信预警信息发布平台建设项目开展信息系统网络安全等级保护测评工作，并出具测评报告。</w:t>
      </w:r>
    </w:p>
    <w:p>
      <w:pPr>
        <w:keepNext/>
        <w:keepLines/>
        <w:spacing w:before="260" w:after="260" w:line="416" w:lineRule="atLeast"/>
        <w:ind w:left="420" w:hanging="420"/>
        <w:outlineLvl w:val="2"/>
        <w:rPr>
          <w:rFonts w:ascii="Times New Roman" w:hAnsi="Times New Roman"/>
          <w:b/>
          <w:bCs/>
          <w:sz w:val="32"/>
          <w:szCs w:val="32"/>
        </w:rPr>
      </w:pPr>
      <w:bookmarkEnd w:id="66"/>
      <w:r>
        <w:rPr>
          <w:rFonts w:ascii="Times New Roman" w:hAnsi="Times New Roman" w:hint="eastAsia"/>
          <w:b/>
          <w:bCs/>
          <w:sz w:val="32"/>
          <w:szCs w:val="32"/>
        </w:rPr>
        <w:t>四、服务质量</w:t>
      </w:r>
    </w:p>
    <w:p>
      <w:pPr>
        <w:spacing w:line="360" w:lineRule="auto"/>
        <w:ind w:firstLine="420"/>
        <w:rPr>
          <w:rFonts w:ascii="宋体" w:hAnsi="宋体"/>
          <w:szCs w:val="21"/>
        </w:rPr>
      </w:pPr>
      <w:r>
        <w:rPr>
          <w:rFonts w:ascii="宋体" w:hAnsi="宋体" w:hint="eastAsia"/>
          <w:szCs w:val="21"/>
        </w:rPr>
        <w:t>本项目的建设实施要求采用国际通用的规范化的软件开发、软件工程实施和项目管理方法，对项目实施的全过程进行监控和管理，对项目进度进行控制；对系统软件必须进行充分的测试，确认其正确性和可靠性；同时必须有详细易懂的系统的安装、运行、验收测试的技术文件，内容包括：安装进度表、安装说明书、操作手册、维护手册等；所有的技术文件必须是中文，并且本项目所有文档应该按照所使用的质量管理体系要求编写。</w:t>
      </w:r>
    </w:p>
    <w:p>
      <w:pPr>
        <w:spacing w:line="360" w:lineRule="auto"/>
        <w:ind w:firstLine="412" w:firstLineChars="196"/>
        <w:jc w:val="left"/>
        <w:rPr>
          <w:rFonts w:ascii="宋体" w:hAnsi="宋体"/>
          <w:szCs w:val="21"/>
        </w:rPr>
      </w:pPr>
      <w:r>
        <w:rPr>
          <w:rFonts w:ascii="宋体" w:hAnsi="宋体" w:hint="eastAsia"/>
          <w:szCs w:val="21"/>
        </w:rPr>
        <w:t>可供参考采用的标准有：</w:t>
      </w:r>
    </w:p>
    <w:p>
      <w:pPr>
        <w:numPr>
          <w:ilvl w:val="0"/>
          <w:numId w:val="10"/>
        </w:numPr>
        <w:spacing w:line="360" w:lineRule="auto"/>
        <w:ind w:left="840"/>
        <w:jc w:val="left"/>
        <w:rPr>
          <w:rFonts w:ascii="宋体" w:hAnsi="宋体"/>
          <w:szCs w:val="21"/>
        </w:rPr>
      </w:pPr>
      <w:r>
        <w:rPr>
          <w:rFonts w:ascii="宋体" w:hAnsi="宋体" w:hint="eastAsia"/>
          <w:szCs w:val="21"/>
        </w:rPr>
        <w:t>CMM软件成熟度管理模型；</w:t>
      </w:r>
    </w:p>
    <w:p>
      <w:pPr>
        <w:numPr>
          <w:ilvl w:val="0"/>
          <w:numId w:val="10"/>
        </w:numPr>
        <w:spacing w:line="360" w:lineRule="auto"/>
        <w:ind w:left="840"/>
        <w:jc w:val="left"/>
        <w:rPr>
          <w:rFonts w:ascii="宋体" w:hAnsi="宋体"/>
          <w:szCs w:val="21"/>
        </w:rPr>
      </w:pPr>
      <w:r>
        <w:rPr>
          <w:rFonts w:ascii="宋体" w:hAnsi="宋体" w:hint="eastAsia"/>
          <w:szCs w:val="21"/>
        </w:rPr>
        <w:t>ISO9000质量体系认证；</w:t>
      </w:r>
    </w:p>
    <w:p>
      <w:pPr>
        <w:numPr>
          <w:ilvl w:val="0"/>
          <w:numId w:val="10"/>
        </w:numPr>
        <w:spacing w:line="360" w:lineRule="auto"/>
        <w:ind w:left="840"/>
        <w:jc w:val="left"/>
        <w:rPr>
          <w:rFonts w:ascii="宋体" w:hAnsi="宋体" w:hint="eastAsia"/>
          <w:szCs w:val="21"/>
        </w:rPr>
      </w:pPr>
      <w:r>
        <w:rPr>
          <w:rFonts w:ascii="宋体" w:hAnsi="宋体" w:hint="eastAsia"/>
          <w:szCs w:val="21"/>
        </w:rPr>
        <w:t>PMI项目管理方法。</w:t>
      </w:r>
    </w:p>
    <w:p>
      <w:pPr>
        <w:keepNext/>
        <w:keepLines/>
        <w:numPr>
          <w:ilvl w:val="0"/>
          <w:numId w:val="11"/>
        </w:numPr>
        <w:spacing w:before="280" w:after="290" w:line="376" w:lineRule="atLeast"/>
        <w:outlineLvl w:val="3"/>
        <w:rPr>
          <w:rFonts w:ascii="Arial" w:eastAsia="黑体" w:hAnsi="Arial" w:hint="eastAsia"/>
          <w:b/>
          <w:bCs/>
          <w:sz w:val="28"/>
          <w:szCs w:val="28"/>
        </w:rPr>
      </w:pPr>
      <w:r>
        <w:rPr>
          <w:rFonts w:ascii="Arial" w:eastAsia="黑体" w:hAnsi="Arial" w:hint="eastAsia"/>
          <w:b/>
          <w:bCs/>
          <w:sz w:val="28"/>
          <w:szCs w:val="28"/>
        </w:rPr>
        <w:t>质量管理与控制</w:t>
      </w:r>
    </w:p>
    <w:p>
      <w:pPr>
        <w:spacing w:line="360" w:lineRule="auto"/>
        <w:ind w:firstLine="420"/>
        <w:rPr>
          <w:rFonts w:ascii="宋体" w:hAnsi="宋体"/>
          <w:szCs w:val="21"/>
        </w:rPr>
      </w:pPr>
      <w:r>
        <w:rPr>
          <w:rFonts w:ascii="宋体" w:hAnsi="宋体" w:hint="eastAsia"/>
          <w:szCs w:val="21"/>
        </w:rPr>
        <w:t>需要中标人从以下方面（包含但不仅限于）：建立严格的质量保证体系；制定项目开发建设质量控制方案和实施措施；督促落实各环节质量控制内容和目标；保证总体规划设计、开发与实施、测试与上线、系统运行与验收要求、里程碑工作成果等方面，进行详细阐述说明。</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进度管理与控制</w:t>
      </w:r>
    </w:p>
    <w:p>
      <w:pPr>
        <w:spacing w:line="360" w:lineRule="auto"/>
        <w:ind w:firstLine="420"/>
        <w:rPr>
          <w:rFonts w:ascii="宋体" w:hAnsi="宋体"/>
          <w:szCs w:val="21"/>
        </w:rPr>
      </w:pPr>
      <w:r>
        <w:rPr>
          <w:rFonts w:ascii="宋体" w:hAnsi="宋体" w:hint="eastAsia"/>
          <w:szCs w:val="21"/>
        </w:rPr>
        <w:t>需要中标人从以下方面（包含但不仅限于）： 制定总体实施计划表和各阶段的详细实施计划表及人员分配等方面，进行详细阐述说明。</w:t>
      </w:r>
    </w:p>
    <w:p>
      <w:pPr>
        <w:numPr>
          <w:ilvl w:val="0"/>
          <w:numId w:val="12"/>
        </w:numPr>
        <w:spacing w:line="360" w:lineRule="auto"/>
        <w:rPr>
          <w:rFonts w:ascii="宋体" w:hAnsi="宋体"/>
          <w:szCs w:val="21"/>
        </w:rPr>
      </w:pPr>
      <w:r>
        <w:rPr>
          <w:rFonts w:ascii="宋体" w:hAnsi="宋体" w:hint="eastAsia"/>
          <w:szCs w:val="21"/>
        </w:rPr>
        <w:t>中标人须严格按照项目进度要求开展项目工作；</w:t>
      </w:r>
    </w:p>
    <w:p>
      <w:pPr>
        <w:numPr>
          <w:ilvl w:val="0"/>
          <w:numId w:val="12"/>
        </w:numPr>
        <w:spacing w:line="360" w:lineRule="auto"/>
        <w:rPr>
          <w:rFonts w:ascii="宋体" w:hAnsi="宋体"/>
          <w:szCs w:val="21"/>
        </w:rPr>
      </w:pPr>
      <w:r>
        <w:rPr>
          <w:rFonts w:ascii="宋体" w:hAnsi="宋体" w:hint="eastAsia"/>
          <w:szCs w:val="21"/>
        </w:rPr>
        <w:t>中标人须严格按照项目阶段设计项目里程碑和里程碑产出物；</w:t>
      </w:r>
    </w:p>
    <w:p>
      <w:pPr>
        <w:numPr>
          <w:ilvl w:val="0"/>
          <w:numId w:val="12"/>
        </w:numPr>
        <w:spacing w:line="360" w:lineRule="auto"/>
        <w:rPr>
          <w:rFonts w:ascii="宋体" w:hAnsi="宋体"/>
          <w:szCs w:val="21"/>
        </w:rPr>
      </w:pPr>
      <w:r>
        <w:rPr>
          <w:rFonts w:ascii="宋体" w:hAnsi="宋体" w:hint="eastAsia"/>
          <w:szCs w:val="21"/>
        </w:rPr>
        <w:t>中标人须严格按照项目里程碑开展工作，采购人将根据项目进度要求和里程碑产出物审核中标人工作。</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风险管理与控制</w:t>
      </w:r>
    </w:p>
    <w:p>
      <w:pPr>
        <w:spacing w:line="360" w:lineRule="auto"/>
        <w:ind w:firstLine="420"/>
        <w:rPr>
          <w:rFonts w:ascii="Times New Roman" w:hAnsi="Times New Roman"/>
          <w:szCs w:val="20"/>
        </w:rPr>
      </w:pPr>
      <w:r>
        <w:rPr>
          <w:rFonts w:ascii="宋体" w:hAnsi="宋体" w:hint="eastAsia"/>
          <w:szCs w:val="21"/>
        </w:rPr>
        <w:t>需要中标人从建立完善的风险识别管理机制、风险分析、风险预防与控制方法、风险应对及确保项目成功等方面，进行详细阐述说明。</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文档管理与控制</w:t>
      </w:r>
    </w:p>
    <w:p>
      <w:pPr>
        <w:spacing w:line="360" w:lineRule="auto"/>
        <w:ind w:firstLine="420"/>
        <w:rPr>
          <w:rFonts w:ascii="宋体" w:hAnsi="宋体"/>
          <w:szCs w:val="21"/>
        </w:rPr>
      </w:pPr>
      <w:r>
        <w:rPr>
          <w:rFonts w:ascii="宋体" w:hAnsi="宋体" w:hint="eastAsia"/>
          <w:szCs w:val="21"/>
        </w:rPr>
        <w:t>需要中标人从以下方面（包含但不仅限于）：建立完善的文档管理体系（包括文档管理服务器的类型、文件命名规范、目录规范、文件传递规则等），在规定时间内向招标人提交项目建设需求调研、设计、开发、测试、各个阶段的计划、方案、报告、质量标准、项目进展状态文档等方面，进行详细阐述说明。</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变更管理与控制</w:t>
      </w:r>
    </w:p>
    <w:p>
      <w:pPr>
        <w:spacing w:line="360" w:lineRule="auto"/>
        <w:ind w:firstLine="420"/>
        <w:rPr>
          <w:rFonts w:ascii="宋体" w:hAnsi="宋体" w:hint="eastAsia"/>
          <w:szCs w:val="21"/>
        </w:rPr>
      </w:pPr>
      <w:r>
        <w:rPr>
          <w:rFonts w:ascii="宋体" w:hAnsi="宋体" w:hint="eastAsia"/>
          <w:szCs w:val="21"/>
        </w:rPr>
        <w:t>需要中标人详细阐述变更的管理与控制方案。</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五、实施及售后服务</w:t>
      </w:r>
    </w:p>
    <w:p>
      <w:pPr>
        <w:spacing w:line="360" w:lineRule="auto"/>
        <w:ind w:firstLine="420"/>
        <w:rPr>
          <w:rFonts w:ascii="宋体" w:hAnsi="宋体" w:hint="eastAsia"/>
          <w:szCs w:val="21"/>
        </w:rPr>
      </w:pPr>
      <w:r>
        <w:rPr>
          <w:rFonts w:ascii="宋体" w:hAnsi="宋体" w:hint="eastAsia"/>
          <w:szCs w:val="21"/>
        </w:rPr>
        <w:t>对软件系统提供售后保障服务，系统发生异常情况，在接到招标人的通知后，中标人技术人员应提供7*24小时的服务响应，随时进行电话应答；30分钟内完成远程登录诊断。需要现场解决的问题，中标人技术人员须在2</w:t>
      </w:r>
      <w:r>
        <w:rPr>
          <w:rFonts w:ascii="宋体" w:hAnsi="宋体"/>
          <w:szCs w:val="21"/>
        </w:rPr>
        <w:t>4</w:t>
      </w:r>
      <w:r>
        <w:rPr>
          <w:rFonts w:ascii="宋体" w:hAnsi="宋体" w:hint="eastAsia"/>
          <w:szCs w:val="21"/>
        </w:rPr>
        <w:t>小时内到达中国气象局现场。</w:t>
      </w:r>
    </w:p>
    <w:p>
      <w:pPr>
        <w:spacing w:line="360" w:lineRule="auto"/>
        <w:ind w:firstLine="420"/>
        <w:rPr>
          <w:rFonts w:ascii="宋体" w:hAnsi="宋体"/>
          <w:szCs w:val="21"/>
        </w:rPr>
      </w:pPr>
      <w:r>
        <w:rPr>
          <w:rFonts w:ascii="宋体" w:hAnsi="宋体" w:hint="eastAsia"/>
          <w:szCs w:val="21"/>
        </w:rPr>
        <w:t>质量保证期后，中标人仍应根据合同要求向招标人提供技术服务，以合理价格提供软件功能改进技术服务。</w:t>
      </w:r>
    </w:p>
    <w:p>
      <w:pPr>
        <w:spacing w:line="360" w:lineRule="auto"/>
        <w:ind w:firstLine="420"/>
        <w:rPr>
          <w:rFonts w:ascii="宋体" w:hAnsi="宋体"/>
          <w:szCs w:val="21"/>
        </w:rPr>
      </w:pPr>
      <w:r>
        <w:rPr>
          <w:rFonts w:ascii="宋体" w:hAnsi="宋体" w:hint="eastAsia"/>
          <w:szCs w:val="21"/>
        </w:rPr>
        <w:t>质量保证期间的维护服务不收取任何额外费用，质量保证期后按合同约定进行维护。</w:t>
      </w:r>
    </w:p>
    <w:p>
      <w:pPr>
        <w:spacing w:line="360" w:lineRule="auto"/>
        <w:ind w:firstLine="420"/>
        <w:rPr>
          <w:rFonts w:ascii="宋体" w:hAnsi="宋体" w:hint="eastAsia"/>
          <w:szCs w:val="21"/>
        </w:rPr>
      </w:pPr>
      <w:r>
        <w:rPr>
          <w:rFonts w:hint="eastAsia"/>
        </w:rPr>
        <w:t>中标人在</w:t>
      </w:r>
      <w:r>
        <w:t>8</w:t>
      </w:r>
      <w:r>
        <w:rPr>
          <w:rFonts w:hint="eastAsia"/>
        </w:rPr>
        <w:t>个月的开发建设期间提供免费算力支撑保障。</w:t>
      </w:r>
    </w:p>
    <w:p>
      <w:pPr>
        <w:keepNext/>
        <w:keepLines/>
        <w:numPr>
          <w:ilvl w:val="0"/>
          <w:numId w:val="13"/>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项目实施周期要求</w:t>
      </w:r>
    </w:p>
    <w:p>
      <w:pPr>
        <w:spacing w:line="360" w:lineRule="auto"/>
        <w:ind w:firstLine="420"/>
        <w:rPr>
          <w:rFonts w:ascii="宋体" w:hAnsi="宋体"/>
          <w:szCs w:val="21"/>
        </w:rPr>
      </w:pPr>
      <w:r>
        <w:rPr>
          <w:rFonts w:ascii="宋体" w:hAnsi="宋体" w:hint="eastAsia"/>
          <w:szCs w:val="21"/>
        </w:rPr>
        <w:t>项目的开发要求按软件工程的方法和过程实施，其开发过程主要包括需求分析、系统设计、编码开发、系统测试、试运行、项目验收六个阶段，开发周期为</w:t>
      </w:r>
      <w:r>
        <w:rPr>
          <w:rFonts w:ascii="宋体" w:hAnsi="宋体"/>
          <w:szCs w:val="21"/>
        </w:rPr>
        <w:t>8</w:t>
      </w:r>
      <w:r>
        <w:rPr>
          <w:rFonts w:ascii="宋体" w:hAnsi="宋体" w:hint="eastAsia"/>
          <w:szCs w:val="21"/>
        </w:rPr>
        <w:t>个月，下表给出了任务各阶段的进度要求：</w:t>
      </w:r>
    </w:p>
    <w:tbl>
      <w:tblPr>
        <w:tblStyle w:val="TableNormal"/>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2146"/>
        <w:gridCol w:w="1276"/>
        <w:gridCol w:w="5103"/>
      </w:tblGrid>
      <w:tr>
        <w:tblPrEx>
          <w:tblW w:w="85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jc w:val="center"/>
        </w:trPr>
        <w:tc>
          <w:tcPr>
            <w:tcW w:w="2146" w:type="dxa"/>
            <w:vAlign w:val="center"/>
          </w:tcPr>
          <w:p>
            <w:pPr>
              <w:snapToGrid w:val="0"/>
              <w:jc w:val="center"/>
              <w:rPr>
                <w:rFonts w:ascii="黑体" w:eastAsia="黑体" w:hAnsi="黑体"/>
                <w:szCs w:val="21"/>
              </w:rPr>
            </w:pPr>
            <w:r>
              <w:rPr>
                <w:rFonts w:ascii="黑体" w:eastAsia="黑体" w:hAnsi="黑体"/>
                <w:szCs w:val="21"/>
              </w:rPr>
              <w:t>软件研发过程</w:t>
            </w:r>
          </w:p>
        </w:tc>
        <w:tc>
          <w:tcPr>
            <w:tcW w:w="1276" w:type="dxa"/>
            <w:vAlign w:val="center"/>
          </w:tcPr>
          <w:p>
            <w:pPr>
              <w:snapToGrid w:val="0"/>
              <w:jc w:val="center"/>
              <w:rPr>
                <w:rFonts w:ascii="黑体" w:eastAsia="黑体" w:hAnsi="黑体"/>
                <w:szCs w:val="21"/>
              </w:rPr>
            </w:pPr>
            <w:r>
              <w:rPr>
                <w:rFonts w:ascii="黑体" w:eastAsia="黑体" w:hAnsi="黑体"/>
                <w:szCs w:val="21"/>
              </w:rPr>
              <w:t>进度要求</w:t>
            </w:r>
          </w:p>
          <w:p>
            <w:pPr>
              <w:snapToGrid w:val="0"/>
              <w:jc w:val="center"/>
              <w:rPr>
                <w:rFonts w:ascii="黑体" w:eastAsia="黑体" w:hAnsi="黑体"/>
                <w:szCs w:val="21"/>
              </w:rPr>
            </w:pPr>
            <w:r>
              <w:rPr>
                <w:rFonts w:ascii="黑体" w:eastAsia="黑体" w:hAnsi="黑体" w:hint="eastAsia"/>
                <w:szCs w:val="21"/>
              </w:rPr>
              <w:t>（月数）</w:t>
            </w:r>
          </w:p>
        </w:tc>
        <w:tc>
          <w:tcPr>
            <w:tcW w:w="5103" w:type="dxa"/>
            <w:vAlign w:val="center"/>
          </w:tcPr>
          <w:p>
            <w:pPr>
              <w:snapToGrid w:val="0"/>
              <w:jc w:val="center"/>
              <w:rPr>
                <w:rFonts w:ascii="黑体" w:eastAsia="黑体" w:hAnsi="黑体"/>
                <w:szCs w:val="21"/>
              </w:rPr>
            </w:pPr>
            <w:r>
              <w:rPr>
                <w:rFonts w:ascii="黑体" w:eastAsia="黑体" w:hAnsi="黑体"/>
                <w:szCs w:val="21"/>
              </w:rPr>
              <w:t>基本要求</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szCs w:val="21"/>
              </w:rPr>
              <w:t>需求分析</w:t>
            </w:r>
          </w:p>
        </w:tc>
        <w:tc>
          <w:tcPr>
            <w:tcW w:w="1276" w:type="dxa"/>
            <w:vAlign w:val="center"/>
          </w:tcPr>
          <w:p>
            <w:pPr>
              <w:snapToGrid w:val="0"/>
              <w:spacing w:before="156" w:beforeLines="50"/>
              <w:jc w:val="center"/>
              <w:rPr>
                <w:rFonts w:ascii="宋体" w:hAnsi="宋体"/>
                <w:szCs w:val="21"/>
              </w:rPr>
            </w:pPr>
            <w:r>
              <w:rPr>
                <w:rFonts w:ascii="宋体" w:hAnsi="宋体"/>
                <w:szCs w:val="21"/>
              </w:rPr>
              <w:t>1</w:t>
            </w:r>
          </w:p>
        </w:tc>
        <w:tc>
          <w:tcPr>
            <w:tcW w:w="5103" w:type="dxa"/>
            <w:vAlign w:val="center"/>
          </w:tcPr>
          <w:p>
            <w:pPr>
              <w:snapToGrid w:val="0"/>
              <w:spacing w:before="156" w:beforeLines="50"/>
              <w:rPr>
                <w:szCs w:val="21"/>
              </w:rPr>
            </w:pPr>
            <w:r>
              <w:rPr>
                <w:rFonts w:hint="eastAsia"/>
                <w:szCs w:val="21"/>
              </w:rPr>
              <w:t>完成任务书中</w:t>
            </w:r>
            <w:r>
              <w:rPr>
                <w:szCs w:val="21"/>
              </w:rPr>
              <w:t>所有软件功能的分析</w:t>
            </w:r>
            <w:r>
              <w:rPr>
                <w:rFonts w:hint="eastAsia"/>
                <w:szCs w:val="21"/>
              </w:rPr>
              <w:t>，</w:t>
            </w:r>
            <w:r>
              <w:rPr>
                <w:szCs w:val="21"/>
              </w:rPr>
              <w:t>提交软件需求阶段应提交的各类文档</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rFonts w:hint="eastAsia"/>
                <w:szCs w:val="21"/>
              </w:rPr>
              <w:t>系统</w:t>
            </w:r>
            <w:r>
              <w:rPr>
                <w:szCs w:val="21"/>
              </w:rPr>
              <w:t>设计</w:t>
            </w:r>
          </w:p>
        </w:tc>
        <w:tc>
          <w:tcPr>
            <w:tcW w:w="1276" w:type="dxa"/>
            <w:vAlign w:val="center"/>
          </w:tcPr>
          <w:p>
            <w:pPr>
              <w:snapToGrid w:val="0"/>
              <w:spacing w:before="156" w:beforeLines="50"/>
              <w:jc w:val="center"/>
              <w:rPr>
                <w:rFonts w:ascii="宋体" w:hAnsi="宋体"/>
                <w:szCs w:val="21"/>
              </w:rPr>
            </w:pPr>
            <w:r>
              <w:rPr>
                <w:rFonts w:ascii="宋体" w:hAnsi="宋体"/>
                <w:szCs w:val="21"/>
              </w:rPr>
              <w:t>1</w:t>
            </w:r>
          </w:p>
        </w:tc>
        <w:tc>
          <w:tcPr>
            <w:tcW w:w="5103" w:type="dxa"/>
            <w:vAlign w:val="center"/>
          </w:tcPr>
          <w:p>
            <w:pPr>
              <w:snapToGrid w:val="0"/>
              <w:spacing w:before="156" w:beforeLines="50"/>
              <w:rPr>
                <w:szCs w:val="21"/>
              </w:rPr>
            </w:pPr>
            <w:r>
              <w:rPr>
                <w:rFonts w:hint="eastAsia"/>
                <w:szCs w:val="21"/>
              </w:rPr>
              <w:t>完成任务书中</w:t>
            </w:r>
            <w:r>
              <w:rPr>
                <w:szCs w:val="21"/>
              </w:rPr>
              <w:t>所有软件功能的</w:t>
            </w:r>
            <w:r>
              <w:rPr>
                <w:rFonts w:hint="eastAsia"/>
                <w:szCs w:val="21"/>
              </w:rPr>
              <w:t>设计，</w:t>
            </w:r>
            <w:r>
              <w:rPr>
                <w:szCs w:val="21"/>
              </w:rPr>
              <w:t>提交概要设计阶段应提交的各类文档，提供客户端原型设计</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rFonts w:hint="eastAsia"/>
                <w:szCs w:val="21"/>
              </w:rPr>
              <w:t>编码开发</w:t>
            </w:r>
          </w:p>
        </w:tc>
        <w:tc>
          <w:tcPr>
            <w:tcW w:w="1276" w:type="dxa"/>
            <w:vAlign w:val="center"/>
          </w:tcPr>
          <w:p>
            <w:pPr>
              <w:snapToGrid w:val="0"/>
              <w:spacing w:before="156" w:beforeLines="50"/>
              <w:jc w:val="center"/>
              <w:rPr>
                <w:rFonts w:ascii="宋体" w:hAnsi="宋体"/>
                <w:szCs w:val="21"/>
              </w:rPr>
            </w:pPr>
            <w:r>
              <w:rPr>
                <w:rFonts w:ascii="宋体" w:hAnsi="宋体"/>
                <w:szCs w:val="21"/>
              </w:rPr>
              <w:t>4</w:t>
            </w:r>
          </w:p>
        </w:tc>
        <w:tc>
          <w:tcPr>
            <w:tcW w:w="5103" w:type="dxa"/>
            <w:vAlign w:val="center"/>
          </w:tcPr>
          <w:p>
            <w:pPr>
              <w:snapToGrid w:val="0"/>
              <w:spacing w:before="156" w:beforeLines="50"/>
              <w:rPr>
                <w:szCs w:val="21"/>
              </w:rPr>
            </w:pPr>
            <w:r>
              <w:rPr>
                <w:szCs w:val="21"/>
              </w:rPr>
              <w:t>完成程序编码、调试和单元测试</w:t>
            </w:r>
            <w:r>
              <w:rPr>
                <w:rFonts w:hint="eastAsia"/>
                <w:szCs w:val="21"/>
              </w:rPr>
              <w:t>、集成测试</w:t>
            </w:r>
            <w:r>
              <w:rPr>
                <w:szCs w:val="21"/>
              </w:rPr>
              <w:t xml:space="preserve"> </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rFonts w:hint="eastAsia"/>
                <w:szCs w:val="21"/>
              </w:rPr>
              <w:t>系统测试</w:t>
            </w:r>
          </w:p>
        </w:tc>
        <w:tc>
          <w:tcPr>
            <w:tcW w:w="1276" w:type="dxa"/>
            <w:vAlign w:val="center"/>
          </w:tcPr>
          <w:p>
            <w:pPr>
              <w:snapToGrid w:val="0"/>
              <w:spacing w:before="156" w:beforeLines="50"/>
              <w:jc w:val="center"/>
              <w:rPr>
                <w:rFonts w:ascii="宋体" w:hAnsi="宋体"/>
                <w:szCs w:val="21"/>
              </w:rPr>
            </w:pPr>
            <w:r>
              <w:rPr>
                <w:rFonts w:ascii="宋体" w:hAnsi="宋体"/>
                <w:szCs w:val="21"/>
              </w:rPr>
              <w:t>1</w:t>
            </w:r>
          </w:p>
        </w:tc>
        <w:tc>
          <w:tcPr>
            <w:tcW w:w="5103" w:type="dxa"/>
            <w:vAlign w:val="center"/>
          </w:tcPr>
          <w:p>
            <w:pPr>
              <w:snapToGrid w:val="0"/>
              <w:spacing w:before="156" w:beforeLines="50"/>
              <w:rPr>
                <w:szCs w:val="21"/>
              </w:rPr>
            </w:pPr>
            <w:r>
              <w:rPr>
                <w:rFonts w:hint="eastAsia"/>
                <w:szCs w:val="21"/>
              </w:rPr>
              <w:t>完成测试方案编制，并通过专家测试评审</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rFonts w:hint="eastAsia"/>
                <w:szCs w:val="21"/>
              </w:rPr>
              <w:t>试运行</w:t>
            </w:r>
          </w:p>
        </w:tc>
        <w:tc>
          <w:tcPr>
            <w:tcW w:w="1276" w:type="dxa"/>
            <w:vAlign w:val="center"/>
          </w:tcPr>
          <w:p>
            <w:pPr>
              <w:snapToGrid w:val="0"/>
              <w:spacing w:before="156" w:beforeLines="50"/>
              <w:jc w:val="center"/>
              <w:rPr>
                <w:rFonts w:ascii="宋体" w:hAnsi="宋体"/>
                <w:szCs w:val="21"/>
              </w:rPr>
            </w:pPr>
            <w:r>
              <w:rPr>
                <w:rFonts w:ascii="宋体" w:hAnsi="宋体"/>
                <w:szCs w:val="21"/>
              </w:rPr>
              <w:t>1</w:t>
            </w:r>
          </w:p>
        </w:tc>
        <w:tc>
          <w:tcPr>
            <w:tcW w:w="5103" w:type="dxa"/>
            <w:vAlign w:val="center"/>
          </w:tcPr>
          <w:p>
            <w:pPr>
              <w:snapToGrid w:val="0"/>
              <w:spacing w:before="156" w:beforeLines="50"/>
              <w:rPr>
                <w:szCs w:val="21"/>
              </w:rPr>
            </w:pPr>
            <w:r>
              <w:rPr>
                <w:rFonts w:ascii="宋体" w:cs="宋体" w:hint="eastAsia"/>
                <w:kern w:val="0"/>
                <w:szCs w:val="21"/>
              </w:rPr>
              <w:t>完成不少于</w:t>
            </w:r>
            <w:r>
              <w:rPr>
                <w:rFonts w:ascii="宋体" w:cs="宋体"/>
                <w:kern w:val="0"/>
                <w:szCs w:val="21"/>
              </w:rPr>
              <w:t>1</w:t>
            </w:r>
            <w:r>
              <w:rPr>
                <w:rFonts w:ascii="宋体" w:cs="宋体" w:hint="eastAsia"/>
                <w:kern w:val="0"/>
                <w:szCs w:val="21"/>
              </w:rPr>
              <w:t>个月的连续无重大故障试运行，并组织用户培训。</w:t>
            </w:r>
          </w:p>
        </w:tc>
      </w:tr>
      <w:tr>
        <w:tblPrEx>
          <w:tblW w:w="8525" w:type="dxa"/>
          <w:jc w:val="center"/>
          <w:tblLayout w:type="fixed"/>
          <w:tblCellMar>
            <w:top w:w="0" w:type="dxa"/>
            <w:left w:w="108" w:type="dxa"/>
            <w:bottom w:w="0" w:type="dxa"/>
            <w:right w:w="108" w:type="dxa"/>
          </w:tblCellMar>
          <w:tblLook w:val="0000"/>
        </w:tblPrEx>
        <w:trPr>
          <w:jc w:val="center"/>
        </w:trPr>
        <w:tc>
          <w:tcPr>
            <w:tcW w:w="2146" w:type="dxa"/>
            <w:vAlign w:val="center"/>
          </w:tcPr>
          <w:p>
            <w:pPr>
              <w:snapToGrid w:val="0"/>
              <w:spacing w:before="156" w:beforeLines="50"/>
              <w:jc w:val="center"/>
              <w:rPr>
                <w:szCs w:val="21"/>
              </w:rPr>
            </w:pPr>
            <w:r>
              <w:rPr>
                <w:rFonts w:hint="eastAsia"/>
                <w:szCs w:val="21"/>
              </w:rPr>
              <w:t>项目验收</w:t>
            </w:r>
          </w:p>
        </w:tc>
        <w:tc>
          <w:tcPr>
            <w:tcW w:w="1276" w:type="dxa"/>
            <w:vAlign w:val="center"/>
          </w:tcPr>
          <w:p>
            <w:pPr>
              <w:snapToGrid w:val="0"/>
              <w:spacing w:before="156" w:beforeLines="50"/>
              <w:jc w:val="center"/>
              <w:rPr>
                <w:szCs w:val="21"/>
              </w:rPr>
            </w:pPr>
          </w:p>
        </w:tc>
        <w:tc>
          <w:tcPr>
            <w:tcW w:w="5103" w:type="dxa"/>
            <w:vAlign w:val="center"/>
          </w:tcPr>
          <w:p>
            <w:pPr>
              <w:snapToGrid w:val="0"/>
              <w:spacing w:before="156" w:beforeLines="50"/>
              <w:rPr>
                <w:szCs w:val="21"/>
              </w:rPr>
            </w:pPr>
            <w:r>
              <w:rPr>
                <w:rFonts w:ascii="宋体" w:hAnsi="宋体"/>
                <w:szCs w:val="21"/>
              </w:rPr>
              <w:t>完成</w:t>
            </w:r>
            <w:r>
              <w:rPr>
                <w:rFonts w:ascii="宋体" w:hAnsi="宋体" w:hint="eastAsia"/>
                <w:szCs w:val="21"/>
              </w:rPr>
              <w:t>系统验收、成果移交。</w:t>
            </w:r>
          </w:p>
        </w:tc>
      </w:tr>
    </w:tbl>
    <w:p>
      <w:pPr>
        <w:spacing w:line="360" w:lineRule="auto"/>
        <w:ind w:left="420" w:hanging="420" w:hangingChars="200"/>
        <w:rPr>
          <w:rFonts w:ascii="宋体" w:hAnsi="宋体" w:hint="eastAsia"/>
          <w:szCs w:val="21"/>
        </w:rPr>
      </w:pP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项目运维周期要求</w:t>
      </w:r>
    </w:p>
    <w:p>
      <w:pPr>
        <w:tabs>
          <w:tab w:val="left" w:pos="1140"/>
        </w:tabs>
        <w:spacing w:line="360" w:lineRule="auto"/>
        <w:ind w:firstLine="420" w:firstLineChars="200"/>
        <w:rPr>
          <w:rFonts w:ascii="宋体" w:hAnsi="宋体" w:cs="黑体"/>
          <w:szCs w:val="21"/>
        </w:rPr>
      </w:pPr>
      <w:r>
        <w:rPr>
          <w:rFonts w:ascii="宋体" w:hAnsi="宋体" w:hint="eastAsia"/>
          <w:szCs w:val="21"/>
        </w:rPr>
        <w:t>应用系统软件通过全部测试并终验后，中标人提供运行维护方案，提供三年的免费运行维护服务，并负责免费修正软件本身的缺陷。</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六、服务</w:t>
      </w:r>
      <w:r>
        <w:rPr>
          <w:rFonts w:ascii="Times New Roman" w:hAnsi="Times New Roman"/>
          <w:b/>
          <w:bCs/>
          <w:sz w:val="32"/>
          <w:szCs w:val="32"/>
        </w:rPr>
        <w:t>响应</w:t>
      </w:r>
    </w:p>
    <w:p>
      <w:pPr>
        <w:keepNext/>
        <w:keepLines/>
        <w:numPr>
          <w:ilvl w:val="0"/>
          <w:numId w:val="1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总体要求</w:t>
      </w:r>
    </w:p>
    <w:p>
      <w:pPr>
        <w:spacing w:line="360" w:lineRule="auto"/>
        <w:ind w:firstLine="420"/>
        <w:rPr>
          <w:rFonts w:ascii="宋体" w:hAnsi="宋体"/>
          <w:szCs w:val="21"/>
        </w:rPr>
      </w:pPr>
      <w:r>
        <w:rPr>
          <w:rFonts w:ascii="宋体" w:hAnsi="宋体" w:hint="eastAsia"/>
          <w:szCs w:val="21"/>
        </w:rPr>
        <w:t>在需求规定的时间内保质保量完成服务清单中所列的建设内容；项目建设任务必须满足中国气象局信息化相关管理规定，满足</w:t>
      </w:r>
      <w:r>
        <w:rPr>
          <w:rFonts w:ascii="宋体" w:hAnsi="宋体" w:cs="宋体" w:hint="eastAsia"/>
        </w:rPr>
        <w:t>中国气象局整体的集约化要求。</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项目实施范围要求</w:t>
      </w:r>
    </w:p>
    <w:p>
      <w:pPr>
        <w:spacing w:line="360" w:lineRule="auto"/>
        <w:ind w:firstLine="420"/>
        <w:rPr>
          <w:rFonts w:ascii="宋体" w:hAnsi="宋体"/>
          <w:szCs w:val="21"/>
        </w:rPr>
      </w:pPr>
      <w:r>
        <w:rPr>
          <w:rFonts w:ascii="宋体" w:hAnsi="宋体" w:hint="eastAsia"/>
          <w:szCs w:val="21"/>
        </w:rPr>
        <w:t>中标人</w:t>
      </w:r>
      <w:r>
        <w:rPr>
          <w:rFonts w:ascii="宋体" w:hAnsi="宋体"/>
          <w:szCs w:val="21"/>
        </w:rPr>
        <w:t>提供的服务范围包括：</w:t>
      </w:r>
    </w:p>
    <w:p>
      <w:pPr>
        <w:tabs>
          <w:tab w:val="left" w:pos="1140"/>
        </w:tabs>
        <w:spacing w:line="360" w:lineRule="auto"/>
        <w:ind w:left="420" w:hanging="420" w:hangingChars="200"/>
        <w:rPr>
          <w:rFonts w:ascii="宋体" w:hAnsi="宋体"/>
          <w:szCs w:val="21"/>
        </w:rPr>
      </w:pPr>
      <w:r>
        <w:rPr>
          <w:rFonts w:ascii="宋体" w:hAnsi="宋体" w:hint="eastAsia"/>
          <w:szCs w:val="21"/>
        </w:rPr>
        <w:t>（1）开发阶段：</w:t>
      </w:r>
    </w:p>
    <w:p>
      <w:pPr>
        <w:numPr>
          <w:ilvl w:val="0"/>
          <w:numId w:val="12"/>
        </w:numPr>
        <w:spacing w:line="360" w:lineRule="auto"/>
        <w:rPr>
          <w:rFonts w:ascii="宋体" w:hAnsi="宋体"/>
          <w:szCs w:val="21"/>
        </w:rPr>
      </w:pPr>
      <w:r>
        <w:rPr>
          <w:rFonts w:ascii="宋体" w:hAnsi="宋体" w:hint="eastAsia"/>
          <w:szCs w:val="21"/>
        </w:rPr>
        <w:t>协助智慧短临气象闪信预警信息发布平台建设项目进行总体技术协调；</w:t>
      </w:r>
    </w:p>
    <w:p>
      <w:pPr>
        <w:numPr>
          <w:ilvl w:val="0"/>
          <w:numId w:val="12"/>
        </w:numPr>
        <w:spacing w:line="360" w:lineRule="auto"/>
        <w:rPr>
          <w:rFonts w:ascii="宋体" w:hAnsi="宋体"/>
          <w:szCs w:val="21"/>
        </w:rPr>
      </w:pPr>
      <w:r>
        <w:rPr>
          <w:rFonts w:ascii="宋体" w:hAnsi="宋体" w:hint="eastAsia"/>
          <w:szCs w:val="21"/>
        </w:rPr>
        <w:t>协助智慧短临气象闪信预警信息发布平台建设项目运行有关集成工作。</w:t>
      </w:r>
    </w:p>
    <w:p>
      <w:pPr>
        <w:tabs>
          <w:tab w:val="left" w:pos="1140"/>
        </w:tabs>
        <w:spacing w:line="360" w:lineRule="auto"/>
        <w:ind w:left="420" w:hanging="420" w:hangingChars="200"/>
        <w:rPr>
          <w:rFonts w:ascii="宋体" w:hAnsi="宋体"/>
          <w:szCs w:val="21"/>
        </w:rPr>
      </w:pPr>
      <w:r>
        <w:rPr>
          <w:rFonts w:ascii="宋体" w:hAnsi="宋体" w:hint="eastAsia"/>
          <w:szCs w:val="21"/>
        </w:rPr>
        <w:t>（2）实施阶段：</w:t>
      </w:r>
    </w:p>
    <w:p>
      <w:pPr>
        <w:numPr>
          <w:ilvl w:val="0"/>
          <w:numId w:val="12"/>
        </w:numPr>
        <w:spacing w:line="360" w:lineRule="auto"/>
        <w:rPr>
          <w:rFonts w:ascii="宋体" w:hAnsi="宋体"/>
          <w:szCs w:val="21"/>
        </w:rPr>
      </w:pPr>
      <w:r>
        <w:rPr>
          <w:rFonts w:ascii="宋体" w:hAnsi="宋体" w:hint="eastAsia"/>
          <w:szCs w:val="21"/>
        </w:rPr>
        <w:t>系统的安装、调试和相关技术支持；</w:t>
      </w:r>
    </w:p>
    <w:p>
      <w:pPr>
        <w:numPr>
          <w:ilvl w:val="0"/>
          <w:numId w:val="12"/>
        </w:numPr>
        <w:spacing w:line="360" w:lineRule="auto"/>
        <w:rPr>
          <w:rFonts w:ascii="宋体" w:hAnsi="宋体"/>
          <w:szCs w:val="21"/>
        </w:rPr>
      </w:pPr>
      <w:r>
        <w:rPr>
          <w:rFonts w:ascii="宋体" w:hAnsi="宋体" w:hint="eastAsia"/>
          <w:szCs w:val="21"/>
        </w:rPr>
        <w:t>系统综合测试与联调和相关技术支持。</w:t>
      </w:r>
    </w:p>
    <w:p>
      <w:pPr>
        <w:tabs>
          <w:tab w:val="left" w:pos="1140"/>
        </w:tabs>
        <w:spacing w:line="360" w:lineRule="auto"/>
        <w:ind w:left="420" w:hanging="420" w:hangingChars="200"/>
        <w:rPr>
          <w:rFonts w:ascii="宋体" w:hAnsi="宋体"/>
          <w:szCs w:val="21"/>
        </w:rPr>
      </w:pPr>
      <w:r>
        <w:rPr>
          <w:rFonts w:ascii="宋体" w:hAnsi="宋体" w:hint="eastAsia"/>
          <w:szCs w:val="21"/>
        </w:rPr>
        <w:t>（3）运行维护阶段：</w:t>
      </w:r>
    </w:p>
    <w:p>
      <w:pPr>
        <w:numPr>
          <w:ilvl w:val="0"/>
          <w:numId w:val="12"/>
        </w:numPr>
        <w:spacing w:line="360" w:lineRule="auto"/>
        <w:rPr>
          <w:rFonts w:ascii="宋体" w:hAnsi="宋体"/>
          <w:szCs w:val="21"/>
        </w:rPr>
      </w:pPr>
      <w:r>
        <w:rPr>
          <w:rFonts w:ascii="宋体" w:hAnsi="宋体" w:hint="eastAsia"/>
          <w:szCs w:val="21"/>
        </w:rPr>
        <w:t>运行支持和相关用户培训；</w:t>
      </w:r>
    </w:p>
    <w:p>
      <w:pPr>
        <w:numPr>
          <w:ilvl w:val="0"/>
          <w:numId w:val="12"/>
        </w:numPr>
        <w:spacing w:line="360" w:lineRule="auto"/>
        <w:rPr>
          <w:rFonts w:ascii="宋体" w:hAnsi="宋体"/>
          <w:szCs w:val="21"/>
        </w:rPr>
      </w:pPr>
      <w:r>
        <w:rPr>
          <w:rFonts w:ascii="宋体" w:hAnsi="宋体" w:hint="eastAsia"/>
          <w:szCs w:val="21"/>
        </w:rPr>
        <w:t>即时响应故障维护需求，并针对故障进行技术支持和用户培训等。</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建设场址要求</w:t>
      </w:r>
    </w:p>
    <w:p>
      <w:pPr>
        <w:spacing w:line="360" w:lineRule="auto"/>
        <w:ind w:firstLine="420"/>
        <w:rPr>
          <w:rFonts w:ascii="宋体" w:hAnsi="宋体"/>
          <w:szCs w:val="21"/>
        </w:rPr>
      </w:pPr>
      <w:r>
        <w:rPr>
          <w:rFonts w:ascii="宋体" w:hAnsi="宋体" w:hint="eastAsia"/>
          <w:szCs w:val="21"/>
        </w:rPr>
        <w:t>项目建设地点为中国气象局公共气象服务中心，位于北京市海淀区中关村南大街46号气象科技大楼，具备机房运行、网络通信、硬件存储、服务器等相关系统建设部署的条件。</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交付物要求</w:t>
      </w:r>
    </w:p>
    <w:p>
      <w:pPr>
        <w:spacing w:before="120" w:after="120" w:line="360" w:lineRule="auto"/>
        <w:ind w:firstLine="420"/>
        <w:rPr>
          <w:rFonts w:ascii="宋体" w:hAnsi="宋体"/>
          <w:szCs w:val="21"/>
        </w:rPr>
      </w:pPr>
      <w:r>
        <w:rPr>
          <w:rFonts w:ascii="宋体" w:hAnsi="宋体" w:hint="eastAsia"/>
          <w:szCs w:val="21"/>
        </w:rPr>
        <w:t>智慧短临气象闪信预警信息发布平台建设项目</w:t>
      </w:r>
      <w:r>
        <w:rPr>
          <w:rFonts w:ascii="宋体" w:hAnsi="宋体"/>
          <w:szCs w:val="21"/>
        </w:rPr>
        <w:t>的验收和交付按照</w:t>
      </w:r>
      <w:r>
        <w:rPr>
          <w:rFonts w:ascii="宋体" w:hAnsi="宋体" w:hint="eastAsia"/>
          <w:szCs w:val="21"/>
        </w:rPr>
        <w:t>现行</w:t>
      </w:r>
      <w:r>
        <w:rPr>
          <w:rFonts w:ascii="宋体" w:hAnsi="宋体"/>
          <w:szCs w:val="21"/>
        </w:rPr>
        <w:t>《计算机软件工程规范国家标准》的要求执行。</w:t>
      </w:r>
    </w:p>
    <w:p>
      <w:pPr>
        <w:spacing w:before="120" w:after="120" w:line="360" w:lineRule="auto"/>
        <w:ind w:firstLine="420"/>
        <w:rPr>
          <w:rFonts w:ascii="宋体" w:hAnsi="宋体"/>
          <w:szCs w:val="21"/>
        </w:rPr>
      </w:pPr>
      <w:r>
        <w:rPr>
          <w:rFonts w:ascii="宋体" w:hAnsi="宋体" w:hint="eastAsia"/>
          <w:szCs w:val="21"/>
        </w:rPr>
        <w:t>本项目实施后，中标人应根据自身实施方法论和项目管理经验详细描述项目各阶段交付物，应至少在项目中提供包含但不限于以下交付物：</w:t>
      </w:r>
    </w:p>
    <w:p>
      <w:pPr>
        <w:ind w:firstLine="640"/>
      </w:pPr>
      <w:r>
        <w:rPr>
          <w:rFonts w:hint="eastAsia"/>
        </w:rPr>
        <w:t>（1）软件交付物</w:t>
      </w:r>
    </w:p>
    <w:tbl>
      <w:tblPr>
        <w:tblStyle w:val="TableNormal"/>
        <w:tblW w:w="7758" w:type="dxa"/>
        <w:jc w:val="center"/>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1604"/>
        <w:gridCol w:w="6154"/>
      </w:tblGrid>
      <w:tr>
        <w:tblPrEx>
          <w:tblW w:w="7758" w:type="dxa"/>
          <w:jc w:val="center"/>
          <w:tblInd w:w="2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jc w:val="center"/>
        </w:trPr>
        <w:tc>
          <w:tcPr>
            <w:tcW w:w="1604" w:type="dxa"/>
            <w:shd w:val="pct10" w:color="auto" w:fill="auto"/>
          </w:tcPr>
          <w:p>
            <w:pPr>
              <w:pStyle w:val="B"/>
              <w:spacing w:before="156" w:beforeLines="50"/>
              <w:rPr>
                <w:rFonts w:ascii="宋体" w:eastAsia="宋体" w:hAnsi="宋体"/>
              </w:rPr>
            </w:pPr>
            <w:r>
              <w:rPr>
                <w:rFonts w:ascii="宋体" w:eastAsia="宋体" w:hAnsi="宋体" w:hint="eastAsia"/>
              </w:rPr>
              <w:t>序号</w:t>
            </w:r>
          </w:p>
        </w:tc>
        <w:tc>
          <w:tcPr>
            <w:tcW w:w="6154" w:type="dxa"/>
            <w:shd w:val="pct10" w:color="auto" w:fill="auto"/>
          </w:tcPr>
          <w:p>
            <w:pPr>
              <w:pStyle w:val="B"/>
              <w:spacing w:before="156" w:beforeLines="50"/>
              <w:rPr>
                <w:rFonts w:ascii="宋体" w:eastAsia="宋体" w:hAnsi="宋体"/>
              </w:rPr>
            </w:pPr>
            <w:r>
              <w:rPr>
                <w:rFonts w:ascii="宋体" w:eastAsia="宋体" w:hAnsi="宋体" w:hint="eastAsia"/>
              </w:rPr>
              <w:t>交付名称</w:t>
            </w:r>
          </w:p>
        </w:tc>
      </w:tr>
      <w:tr>
        <w:tblPrEx>
          <w:tblW w:w="7758" w:type="dxa"/>
          <w:jc w:val="center"/>
          <w:tblInd w:w="207" w:type="dxa"/>
          <w:tblLayout w:type="fixed"/>
          <w:tblCellMar>
            <w:top w:w="0" w:type="dxa"/>
            <w:left w:w="108" w:type="dxa"/>
            <w:bottom w:w="0" w:type="dxa"/>
            <w:right w:w="108" w:type="dxa"/>
          </w:tblCellMar>
          <w:tblLook w:val="0000"/>
        </w:tblPrEx>
        <w:trPr>
          <w:jc w:val="center"/>
        </w:trPr>
        <w:tc>
          <w:tcPr>
            <w:tcW w:w="1604" w:type="dxa"/>
          </w:tcPr>
          <w:p>
            <w:pPr>
              <w:snapToGrid w:val="0"/>
              <w:spacing w:before="156" w:beforeLines="50"/>
              <w:jc w:val="center"/>
              <w:rPr>
                <w:szCs w:val="21"/>
              </w:rPr>
            </w:pPr>
            <w:r>
              <w:rPr>
                <w:rFonts w:hint="eastAsia"/>
                <w:szCs w:val="21"/>
              </w:rPr>
              <w:t>1</w:t>
            </w:r>
          </w:p>
        </w:tc>
        <w:tc>
          <w:tcPr>
            <w:tcW w:w="6154" w:type="dxa"/>
          </w:tcPr>
          <w:p>
            <w:pPr>
              <w:snapToGrid w:val="0"/>
              <w:spacing w:before="156" w:beforeLines="50"/>
              <w:ind w:firstLine="420"/>
              <w:rPr>
                <w:szCs w:val="21"/>
              </w:rPr>
            </w:pPr>
            <w:r>
              <w:rPr>
                <w:rFonts w:hint="eastAsia"/>
                <w:szCs w:val="21"/>
              </w:rPr>
              <w:t>应用软件安装包</w:t>
            </w:r>
          </w:p>
        </w:tc>
      </w:tr>
      <w:tr>
        <w:tblPrEx>
          <w:tblW w:w="7758" w:type="dxa"/>
          <w:jc w:val="center"/>
          <w:tblInd w:w="207" w:type="dxa"/>
          <w:tblLayout w:type="fixed"/>
          <w:tblCellMar>
            <w:top w:w="0" w:type="dxa"/>
            <w:left w:w="108" w:type="dxa"/>
            <w:bottom w:w="0" w:type="dxa"/>
            <w:right w:w="108" w:type="dxa"/>
          </w:tblCellMar>
          <w:tblLook w:val="0000"/>
        </w:tblPrEx>
        <w:trPr>
          <w:jc w:val="center"/>
        </w:trPr>
        <w:tc>
          <w:tcPr>
            <w:tcW w:w="1604" w:type="dxa"/>
          </w:tcPr>
          <w:p>
            <w:pPr>
              <w:snapToGrid w:val="0"/>
              <w:spacing w:before="156" w:beforeLines="50"/>
              <w:jc w:val="center"/>
              <w:rPr>
                <w:szCs w:val="21"/>
              </w:rPr>
            </w:pPr>
            <w:r>
              <w:rPr>
                <w:rFonts w:hint="eastAsia"/>
                <w:szCs w:val="21"/>
              </w:rPr>
              <w:t>2</w:t>
            </w:r>
          </w:p>
        </w:tc>
        <w:tc>
          <w:tcPr>
            <w:tcW w:w="6154" w:type="dxa"/>
          </w:tcPr>
          <w:p>
            <w:pPr>
              <w:snapToGrid w:val="0"/>
              <w:spacing w:before="156" w:beforeLines="50"/>
              <w:ind w:firstLine="420"/>
              <w:rPr>
                <w:szCs w:val="21"/>
              </w:rPr>
            </w:pPr>
            <w:r>
              <w:rPr>
                <w:rFonts w:hint="eastAsia"/>
                <w:szCs w:val="21"/>
              </w:rPr>
              <w:t>源代码、工程文件及程序说明</w:t>
            </w:r>
          </w:p>
        </w:tc>
      </w:tr>
    </w:tbl>
    <w:p>
      <w:pPr>
        <w:pStyle w:val="NormalIndent"/>
        <w:ind w:firstLineChars="0"/>
      </w:pPr>
      <w:r>
        <w:rPr>
          <w:rFonts w:hint="eastAsia"/>
        </w:rPr>
        <w:t>（2）文档交付物</w:t>
      </w:r>
    </w:p>
    <w:tbl>
      <w:tblPr>
        <w:tblStyle w:val="TableNormal"/>
        <w:tblW w:w="43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
      <w:tblGrid>
        <w:gridCol w:w="1615"/>
        <w:gridCol w:w="6147"/>
      </w:tblGrid>
      <w:tr>
        <w:tblPrEx>
          <w:tblW w:w="4311"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108" w:type="dxa"/>
            <w:bottom w:w="0" w:type="dxa"/>
            <w:right w:w="108" w:type="dxa"/>
          </w:tblCellMar>
          <w:tblLook w:val="0000"/>
        </w:tblPrEx>
        <w:trPr>
          <w:jc w:val="center"/>
        </w:trPr>
        <w:tc>
          <w:tcPr>
            <w:tcW w:w="1615" w:type="dxa"/>
            <w:shd w:val="pct10" w:color="auto" w:fill="auto"/>
            <w:vAlign w:val="center"/>
          </w:tcPr>
          <w:p>
            <w:pPr>
              <w:pStyle w:val="B"/>
              <w:spacing w:before="156" w:beforeLines="50"/>
              <w:rPr>
                <w:rFonts w:ascii="宋体" w:eastAsia="宋体" w:hAnsi="宋体"/>
              </w:rPr>
            </w:pPr>
            <w:r>
              <w:rPr>
                <w:rFonts w:ascii="宋体" w:eastAsia="宋体" w:hAnsi="宋体" w:hint="eastAsia"/>
              </w:rPr>
              <w:t>项目阶段</w:t>
            </w:r>
          </w:p>
        </w:tc>
        <w:tc>
          <w:tcPr>
            <w:tcW w:w="6147" w:type="dxa"/>
            <w:shd w:val="pct10" w:color="auto" w:fill="auto"/>
            <w:vAlign w:val="center"/>
          </w:tcPr>
          <w:p>
            <w:pPr>
              <w:pStyle w:val="B"/>
              <w:spacing w:before="156" w:beforeLines="50"/>
              <w:rPr>
                <w:rFonts w:ascii="宋体" w:eastAsia="宋体" w:hAnsi="宋体"/>
              </w:rPr>
            </w:pPr>
            <w:r>
              <w:rPr>
                <w:rFonts w:ascii="宋体" w:eastAsia="宋体" w:hAnsi="宋体" w:hint="eastAsia"/>
              </w:rPr>
              <w:t>文档成果</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restart"/>
            <w:vAlign w:val="center"/>
          </w:tcPr>
          <w:p>
            <w:pPr>
              <w:snapToGrid w:val="0"/>
              <w:spacing w:before="156" w:beforeLines="50"/>
              <w:jc w:val="center"/>
              <w:rPr>
                <w:szCs w:val="21"/>
              </w:rPr>
            </w:pPr>
            <w:r>
              <w:rPr>
                <w:rFonts w:hint="eastAsia"/>
                <w:szCs w:val="21"/>
              </w:rPr>
              <w:t>需求分析</w:t>
            </w:r>
          </w:p>
        </w:tc>
        <w:tc>
          <w:tcPr>
            <w:tcW w:w="6147" w:type="dxa"/>
            <w:vAlign w:val="center"/>
          </w:tcPr>
          <w:p>
            <w:pPr>
              <w:snapToGrid w:val="0"/>
              <w:spacing w:before="156" w:beforeLines="50"/>
              <w:ind w:firstLine="420"/>
              <w:rPr>
                <w:szCs w:val="21"/>
              </w:rPr>
            </w:pPr>
            <w:r>
              <w:rPr>
                <w:rFonts w:hint="eastAsia"/>
                <w:szCs w:val="21"/>
              </w:rPr>
              <w:t>用户需求说明书</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软件需求规格说明</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数据需求说明</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restart"/>
            <w:vAlign w:val="center"/>
          </w:tcPr>
          <w:p>
            <w:pPr>
              <w:snapToGrid w:val="0"/>
              <w:spacing w:before="156" w:beforeLines="50"/>
              <w:jc w:val="center"/>
              <w:rPr>
                <w:szCs w:val="21"/>
              </w:rPr>
            </w:pPr>
            <w:r>
              <w:rPr>
                <w:rFonts w:hint="eastAsia"/>
                <w:szCs w:val="21"/>
              </w:rPr>
              <w:t>设计和开发</w:t>
            </w:r>
          </w:p>
        </w:tc>
        <w:tc>
          <w:tcPr>
            <w:tcW w:w="6147" w:type="dxa"/>
            <w:vAlign w:val="center"/>
          </w:tcPr>
          <w:p>
            <w:pPr>
              <w:snapToGrid w:val="0"/>
              <w:spacing w:before="156" w:beforeLines="50"/>
              <w:ind w:firstLine="420"/>
              <w:rPr>
                <w:szCs w:val="21"/>
              </w:rPr>
            </w:pPr>
            <w:r>
              <w:rPr>
                <w:rFonts w:hint="eastAsia"/>
                <w:szCs w:val="21"/>
              </w:rPr>
              <w:t>软件开发计划</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概要设计说明书</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体系设计说明书</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详细设计说明书</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代码走查记录单</w:t>
            </w:r>
          </w:p>
        </w:tc>
      </w:tr>
      <w:tr>
        <w:tblPrEx>
          <w:tblW w:w="4311" w:type="pct"/>
          <w:jc w:val="center"/>
          <w:tblLayout w:type="fixed"/>
          <w:tblCellMar>
            <w:top w:w="0" w:type="dxa"/>
            <w:left w:w="108" w:type="dxa"/>
            <w:bottom w:w="0" w:type="dxa"/>
            <w:right w:w="108" w:type="dxa"/>
          </w:tblCellMar>
          <w:tblLook w:val="0000"/>
        </w:tblPrEx>
        <w:trPr>
          <w:trHeight w:val="443"/>
          <w:jc w:val="center"/>
        </w:trPr>
        <w:tc>
          <w:tcPr>
            <w:tcW w:w="1615" w:type="dxa"/>
            <w:vAlign w:val="center"/>
          </w:tcPr>
          <w:p>
            <w:pPr>
              <w:snapToGrid w:val="0"/>
              <w:spacing w:before="156" w:beforeLines="50"/>
              <w:jc w:val="center"/>
              <w:rPr>
                <w:szCs w:val="21"/>
              </w:rPr>
            </w:pPr>
            <w:r>
              <w:rPr>
                <w:rFonts w:hint="eastAsia"/>
                <w:szCs w:val="21"/>
              </w:rPr>
              <w:t>测试</w:t>
            </w:r>
          </w:p>
        </w:tc>
        <w:tc>
          <w:tcPr>
            <w:tcW w:w="6147" w:type="dxa"/>
            <w:vAlign w:val="center"/>
          </w:tcPr>
          <w:p>
            <w:pPr>
              <w:snapToGrid w:val="0"/>
              <w:spacing w:before="156" w:beforeLines="50"/>
              <w:ind w:firstLine="420"/>
              <w:rPr>
                <w:szCs w:val="21"/>
              </w:rPr>
            </w:pPr>
            <w:r>
              <w:rPr>
                <w:rFonts w:hint="eastAsia"/>
                <w:szCs w:val="21"/>
              </w:rPr>
              <w:t>软件测试报告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restart"/>
            <w:vAlign w:val="center"/>
          </w:tcPr>
          <w:p>
            <w:pPr>
              <w:snapToGrid w:val="0"/>
              <w:spacing w:before="156" w:beforeLines="50"/>
              <w:jc w:val="center"/>
              <w:rPr>
                <w:szCs w:val="21"/>
              </w:rPr>
            </w:pPr>
            <w:r>
              <w:rPr>
                <w:rFonts w:hint="eastAsia"/>
                <w:szCs w:val="21"/>
              </w:rPr>
              <w:t>试运行</w:t>
            </w:r>
          </w:p>
        </w:tc>
        <w:tc>
          <w:tcPr>
            <w:tcW w:w="6147" w:type="dxa"/>
            <w:vAlign w:val="center"/>
          </w:tcPr>
          <w:p>
            <w:pPr>
              <w:snapToGrid w:val="0"/>
              <w:spacing w:before="156" w:beforeLines="50"/>
              <w:ind w:firstLine="420"/>
              <w:rPr>
                <w:szCs w:val="21"/>
              </w:rPr>
            </w:pPr>
            <w:r>
              <w:rPr>
                <w:rFonts w:hint="eastAsia"/>
                <w:szCs w:val="21"/>
              </w:rPr>
              <w:t>软件用户手册</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运行维护手册</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软件部署手册</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试运行方案</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故障报告处理表</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试运行报告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center"/>
              <w:rPr>
                <w:szCs w:val="21"/>
              </w:rPr>
            </w:pPr>
          </w:p>
        </w:tc>
        <w:tc>
          <w:tcPr>
            <w:tcW w:w="6147" w:type="dxa"/>
            <w:vAlign w:val="center"/>
          </w:tcPr>
          <w:p>
            <w:pPr>
              <w:snapToGrid w:val="0"/>
              <w:spacing w:before="156" w:beforeLines="50"/>
              <w:ind w:firstLine="420"/>
              <w:rPr>
                <w:szCs w:val="21"/>
              </w:rPr>
            </w:pPr>
            <w:r>
              <w:rPr>
                <w:rFonts w:hint="eastAsia"/>
                <w:szCs w:val="21"/>
              </w:rPr>
              <w:t>培训教程</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restart"/>
            <w:vAlign w:val="center"/>
          </w:tcPr>
          <w:p>
            <w:pPr>
              <w:snapToGrid w:val="0"/>
              <w:spacing w:before="156" w:beforeLines="50"/>
              <w:jc w:val="center"/>
              <w:rPr>
                <w:szCs w:val="21"/>
              </w:rPr>
            </w:pPr>
            <w:r>
              <w:rPr>
                <w:rFonts w:hint="eastAsia"/>
                <w:szCs w:val="21"/>
              </w:rPr>
              <w:t>终验</w:t>
            </w:r>
          </w:p>
        </w:tc>
        <w:tc>
          <w:tcPr>
            <w:tcW w:w="6147" w:type="dxa"/>
            <w:vAlign w:val="center"/>
          </w:tcPr>
          <w:p>
            <w:pPr>
              <w:snapToGrid w:val="0"/>
              <w:spacing w:before="156" w:beforeLines="50"/>
              <w:ind w:firstLine="420"/>
              <w:rPr>
                <w:szCs w:val="21"/>
              </w:rPr>
            </w:pPr>
            <w:r>
              <w:rPr>
                <w:rFonts w:hint="eastAsia"/>
                <w:szCs w:val="21"/>
              </w:rPr>
              <w:t>集约化验收报告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szCs w:val="21"/>
              </w:rPr>
            </w:pPr>
            <w:r>
              <w:rPr>
                <w:rFonts w:hint="eastAsia"/>
                <w:szCs w:val="21"/>
              </w:rPr>
              <w:t>项目技术总结报告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szCs w:val="21"/>
              </w:rPr>
            </w:pPr>
            <w:r>
              <w:rPr>
                <w:rFonts w:hint="eastAsia"/>
                <w:szCs w:val="21"/>
              </w:rPr>
              <w:t>项目建设情况报告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szCs w:val="21"/>
              </w:rPr>
            </w:pPr>
            <w:r>
              <w:rPr>
                <w:rFonts w:hint="eastAsia"/>
                <w:szCs w:val="21"/>
              </w:rPr>
              <w:t>项目用户使用情况报告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szCs w:val="21"/>
              </w:rPr>
            </w:pPr>
            <w:r>
              <w:rPr>
                <w:rFonts w:hint="eastAsia"/>
                <w:szCs w:val="21"/>
              </w:rPr>
              <w:t>项目工作报告</w:t>
            </w:r>
          </w:p>
        </w:tc>
      </w:tr>
      <w:tr>
        <w:tblPrEx>
          <w:tblW w:w="4311" w:type="pct"/>
          <w:jc w:val="center"/>
          <w:tblLayout w:type="fixed"/>
          <w:tblCellMar>
            <w:top w:w="0" w:type="dxa"/>
            <w:left w:w="108" w:type="dxa"/>
            <w:bottom w:w="0" w:type="dxa"/>
            <w:right w:w="108" w:type="dxa"/>
          </w:tblCellMar>
          <w:tblLook w:val="0000"/>
        </w:tblPrEx>
        <w:trPr>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rFonts w:hint="eastAsia"/>
                <w:szCs w:val="21"/>
              </w:rPr>
            </w:pPr>
            <w:r>
              <w:rPr>
                <w:rFonts w:hint="eastAsia"/>
                <w:szCs w:val="21"/>
              </w:rPr>
              <w:t>等保</w:t>
            </w:r>
            <w:r>
              <w:rPr>
                <w:szCs w:val="21"/>
              </w:rPr>
              <w:t>测评报告</w:t>
            </w:r>
          </w:p>
        </w:tc>
      </w:tr>
      <w:tr>
        <w:tblPrEx>
          <w:tblW w:w="4311" w:type="pct"/>
          <w:jc w:val="center"/>
          <w:tblLayout w:type="fixed"/>
          <w:tblCellMar>
            <w:top w:w="0" w:type="dxa"/>
            <w:left w:w="108" w:type="dxa"/>
            <w:bottom w:w="0" w:type="dxa"/>
            <w:right w:w="108" w:type="dxa"/>
          </w:tblCellMar>
          <w:tblLook w:val="0000"/>
        </w:tblPrEx>
        <w:trPr>
          <w:trHeight w:val="317"/>
          <w:jc w:val="center"/>
        </w:trPr>
        <w:tc>
          <w:tcPr>
            <w:tcW w:w="1615" w:type="dxa"/>
            <w:vMerge/>
            <w:vAlign w:val="center"/>
          </w:tcPr>
          <w:p>
            <w:pPr>
              <w:snapToGrid w:val="0"/>
              <w:spacing w:before="156" w:beforeLines="50"/>
              <w:ind w:firstLine="420"/>
              <w:jc w:val="left"/>
              <w:rPr>
                <w:szCs w:val="21"/>
              </w:rPr>
            </w:pPr>
          </w:p>
        </w:tc>
        <w:tc>
          <w:tcPr>
            <w:tcW w:w="6147" w:type="dxa"/>
            <w:vAlign w:val="center"/>
          </w:tcPr>
          <w:p>
            <w:pPr>
              <w:snapToGrid w:val="0"/>
              <w:spacing w:before="156" w:beforeLines="50"/>
              <w:ind w:firstLine="420"/>
              <w:rPr>
                <w:szCs w:val="21"/>
              </w:rPr>
            </w:pPr>
            <w:r>
              <w:rPr>
                <w:rFonts w:hint="eastAsia"/>
                <w:szCs w:val="21"/>
              </w:rPr>
              <w:t>项目开发总结报告</w:t>
            </w:r>
          </w:p>
        </w:tc>
      </w:tr>
    </w:tbl>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运行维护要求</w:t>
      </w:r>
    </w:p>
    <w:p>
      <w:pPr>
        <w:tabs>
          <w:tab w:val="left" w:pos="780"/>
        </w:tabs>
        <w:spacing w:line="360" w:lineRule="auto"/>
        <w:ind w:firstLine="420" w:firstLineChars="200"/>
        <w:jc w:val="left"/>
        <w:rPr>
          <w:rFonts w:ascii="宋体" w:hAnsi="宋体"/>
          <w:szCs w:val="21"/>
        </w:rPr>
      </w:pPr>
      <w:r>
        <w:rPr>
          <w:rFonts w:ascii="宋体" w:hAnsi="宋体" w:hint="eastAsia"/>
          <w:szCs w:val="21"/>
        </w:rPr>
        <w:t xml:space="preserve">运行维护服务内容（包括但不限于）： </w:t>
      </w:r>
    </w:p>
    <w:p>
      <w:pPr>
        <w:numPr>
          <w:ilvl w:val="0"/>
          <w:numId w:val="12"/>
        </w:numPr>
        <w:spacing w:line="360" w:lineRule="auto"/>
        <w:rPr>
          <w:rFonts w:ascii="宋体" w:hAnsi="宋体"/>
          <w:szCs w:val="21"/>
        </w:rPr>
      </w:pPr>
      <w:r>
        <w:rPr>
          <w:rFonts w:ascii="宋体" w:hAnsi="宋体" w:hint="eastAsia"/>
          <w:szCs w:val="21"/>
        </w:rPr>
        <w:t>中标人应详细说明技术服务的范围和流程；提供运行维护方案；</w:t>
      </w:r>
    </w:p>
    <w:p>
      <w:pPr>
        <w:numPr>
          <w:ilvl w:val="0"/>
          <w:numId w:val="12"/>
        </w:numPr>
        <w:spacing w:line="360" w:lineRule="auto"/>
        <w:rPr>
          <w:rFonts w:ascii="宋体" w:hAnsi="宋体"/>
          <w:szCs w:val="21"/>
        </w:rPr>
      </w:pPr>
      <w:r>
        <w:rPr>
          <w:rFonts w:ascii="宋体" w:hAnsi="宋体" w:hint="eastAsia"/>
          <w:szCs w:val="21"/>
        </w:rPr>
        <w:t>在试运行期间的工作时间内，中标人应指定有经验的技术人员在现场负责软件系统的运行和维护，若软件系统出现问题或故障，中标人应免费进行故障处理和软件更新；</w:t>
      </w:r>
      <w:r>
        <w:rPr>
          <w:rFonts w:ascii="宋体" w:hAnsi="宋体"/>
          <w:szCs w:val="21"/>
        </w:rPr>
        <w:t xml:space="preserve"> </w:t>
      </w:r>
    </w:p>
    <w:p>
      <w:pPr>
        <w:numPr>
          <w:ilvl w:val="0"/>
          <w:numId w:val="12"/>
        </w:numPr>
        <w:spacing w:line="360" w:lineRule="auto"/>
        <w:rPr>
          <w:rFonts w:ascii="宋体" w:hAnsi="宋体"/>
          <w:szCs w:val="21"/>
        </w:rPr>
      </w:pPr>
      <w:r>
        <w:rPr>
          <w:rFonts w:ascii="宋体" w:hAnsi="宋体" w:hint="eastAsia"/>
          <w:szCs w:val="21"/>
        </w:rPr>
        <w:t>在运行维护服务期，中标人应指定有经验的技术人员负责软件系统的运行和维护，若软件系统出现问题或故障，应免费进行故障处理和软件更新；</w:t>
      </w:r>
    </w:p>
    <w:p>
      <w:pPr>
        <w:numPr>
          <w:ilvl w:val="0"/>
          <w:numId w:val="12"/>
        </w:numPr>
        <w:spacing w:line="360" w:lineRule="auto"/>
        <w:rPr>
          <w:rFonts w:ascii="宋体" w:hAnsi="宋体"/>
          <w:szCs w:val="21"/>
        </w:rPr>
      </w:pPr>
      <w:r>
        <w:rPr>
          <w:rFonts w:ascii="宋体" w:hAnsi="宋体" w:hint="eastAsia"/>
          <w:szCs w:val="21"/>
        </w:rPr>
        <w:t>在运行维护服务期，应供7天</w:t>
      </w:r>
      <w:r>
        <w:rPr>
          <w:rFonts w:ascii="宋体" w:hAnsi="宋体" w:hint="eastAsia"/>
          <w:szCs w:val="21"/>
        </w:rPr>
        <w:t>×</w:t>
      </w:r>
      <w:r>
        <w:rPr>
          <w:rFonts w:ascii="宋体" w:hAnsi="宋体" w:hint="eastAsia"/>
          <w:szCs w:val="21"/>
        </w:rPr>
        <w:t>24小时的服务响应，保证采购人可以随时找到相应的技术人员，如采购人认为必要，中标人技术人员要在6小时之内赶到现场予以技术支持；</w:t>
      </w:r>
    </w:p>
    <w:p>
      <w:pPr>
        <w:numPr>
          <w:ilvl w:val="0"/>
          <w:numId w:val="12"/>
        </w:numPr>
        <w:spacing w:line="360" w:lineRule="auto"/>
        <w:rPr>
          <w:rFonts w:ascii="宋体" w:hAnsi="宋体"/>
          <w:szCs w:val="21"/>
        </w:rPr>
      </w:pPr>
      <w:r>
        <w:rPr>
          <w:rFonts w:ascii="宋体" w:hAnsi="宋体" w:hint="eastAsia"/>
          <w:szCs w:val="21"/>
        </w:rPr>
        <w:t>中标人详细阐述软件系统上线运行后，对本项目提供的支持与服务（如投入人员、时间、范围等）；</w:t>
      </w:r>
    </w:p>
    <w:p>
      <w:pPr>
        <w:numPr>
          <w:ilvl w:val="0"/>
          <w:numId w:val="12"/>
        </w:numPr>
        <w:spacing w:line="360" w:lineRule="auto"/>
        <w:rPr>
          <w:rFonts w:ascii="宋体" w:hAnsi="宋体"/>
          <w:szCs w:val="21"/>
        </w:rPr>
      </w:pPr>
      <w:r>
        <w:rPr>
          <w:rFonts w:ascii="宋体" w:hAnsi="宋体" w:hint="eastAsia"/>
          <w:szCs w:val="21"/>
        </w:rPr>
        <w:t>中标人应提供应急人员和技术支持人员的名单和联系方式；</w:t>
      </w:r>
    </w:p>
    <w:p>
      <w:pPr>
        <w:numPr>
          <w:ilvl w:val="0"/>
          <w:numId w:val="12"/>
        </w:numPr>
        <w:spacing w:line="360" w:lineRule="auto"/>
        <w:rPr>
          <w:rFonts w:ascii="宋体" w:hAnsi="宋体"/>
          <w:szCs w:val="21"/>
        </w:rPr>
      </w:pPr>
      <w:r>
        <w:rPr>
          <w:rFonts w:ascii="宋体" w:hAnsi="宋体" w:hint="eastAsia"/>
          <w:szCs w:val="21"/>
        </w:rPr>
        <w:t>中标人应提供整个软件系统安装调试时所需的技术支持及资料，包括：技术咨询、技术说明书、需求文档、软件系统设计文档、使用说明书、维护说明书等；</w:t>
      </w:r>
    </w:p>
    <w:p>
      <w:pPr>
        <w:numPr>
          <w:ilvl w:val="0"/>
          <w:numId w:val="12"/>
        </w:numPr>
        <w:spacing w:line="360" w:lineRule="auto"/>
        <w:rPr>
          <w:rFonts w:ascii="宋体" w:hAnsi="宋体"/>
          <w:szCs w:val="21"/>
        </w:rPr>
      </w:pPr>
      <w:r>
        <w:rPr>
          <w:rFonts w:ascii="宋体" w:hAnsi="宋体" w:hint="eastAsia"/>
          <w:szCs w:val="21"/>
        </w:rPr>
        <w:t>在整个软件系统安装和调测期间，采购人有权利派出技术人员参与整个过程，中标人有义务对其进行指导，并充分进行知识转移。</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其他要求</w:t>
      </w:r>
    </w:p>
    <w:p>
      <w:pPr>
        <w:spacing w:line="360" w:lineRule="auto"/>
        <w:ind w:firstLine="420"/>
        <w:rPr>
          <w:rFonts w:ascii="宋体" w:hAnsi="宋体" w:hint="eastAsia"/>
          <w:szCs w:val="21"/>
        </w:rPr>
      </w:pPr>
      <w:r>
        <w:rPr>
          <w:rFonts w:ascii="宋体" w:hAnsi="宋体" w:hint="eastAsia"/>
          <w:szCs w:val="21"/>
        </w:rPr>
        <w:t>允许投标/响应人将项目非主体、非关键性工作面向多场景气象服务智能体交由他人完成，金额不超过合同总额的</w:t>
      </w:r>
      <w:r>
        <w:rPr>
          <w:rFonts w:ascii="宋体" w:hAnsi="宋体"/>
          <w:szCs w:val="21"/>
        </w:rPr>
        <w:t>35</w:t>
      </w:r>
      <w:r>
        <w:rPr>
          <w:rFonts w:ascii="宋体" w:hAnsi="宋体" w:hint="eastAsia"/>
          <w:szCs w:val="21"/>
        </w:rPr>
        <w:t>%。</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七、培训</w:t>
      </w:r>
      <w:r>
        <w:rPr>
          <w:rFonts w:ascii="Times New Roman" w:hAnsi="Times New Roman"/>
          <w:b/>
          <w:bCs/>
          <w:sz w:val="32"/>
          <w:szCs w:val="32"/>
        </w:rPr>
        <w:t>要求</w:t>
      </w:r>
    </w:p>
    <w:p>
      <w:pPr>
        <w:spacing w:line="360" w:lineRule="auto"/>
        <w:ind w:firstLine="420"/>
        <w:rPr>
          <w:rFonts w:ascii="宋体" w:hAnsi="宋体" w:hint="eastAsia"/>
          <w:szCs w:val="21"/>
        </w:rPr>
      </w:pPr>
      <w:r>
        <w:rPr>
          <w:rFonts w:ascii="宋体" w:hAnsi="宋体" w:hint="eastAsia"/>
          <w:szCs w:val="21"/>
        </w:rPr>
        <w:t>培训方式应包括现场培训和集中培训，并应在进行培训之前向采购人提交一份详细的培训计划。</w:t>
      </w:r>
    </w:p>
    <w:p>
      <w:pPr>
        <w:spacing w:line="360" w:lineRule="auto"/>
        <w:ind w:firstLine="420"/>
        <w:rPr>
          <w:rFonts w:ascii="宋体" w:hAnsi="宋体" w:hint="eastAsia"/>
          <w:szCs w:val="21"/>
        </w:rPr>
      </w:pPr>
      <w:r>
        <w:rPr>
          <w:rFonts w:ascii="宋体" w:hAnsi="宋体" w:hint="eastAsia"/>
          <w:szCs w:val="21"/>
        </w:rPr>
        <w:t>中标人应以培训目标的实现为目的组织培训，确保每一位系统使用人员能够独立、熟练地完成操作，保证系统用户能够独立处理软件系统故障和进行简单的功能调整。</w:t>
      </w:r>
    </w:p>
    <w:p>
      <w:pPr>
        <w:spacing w:line="360" w:lineRule="auto"/>
        <w:ind w:firstLine="420"/>
        <w:rPr>
          <w:rFonts w:ascii="宋体" w:hAnsi="宋体" w:hint="eastAsia"/>
          <w:szCs w:val="21"/>
        </w:rPr>
      </w:pPr>
      <w:r>
        <w:rPr>
          <w:rFonts w:ascii="宋体" w:hAnsi="宋体" w:hint="eastAsia"/>
          <w:szCs w:val="21"/>
        </w:rPr>
        <w:t>集中培训地点由采购人根据本项目实际情况确定，确保培训次数不少于2次，每次培训时间不少于1天，培训人次不少于20人次，具体培训时间由采购人与中标人根据项目进展情况协商确定。</w:t>
      </w:r>
    </w:p>
    <w:p>
      <w:pPr>
        <w:spacing w:line="360" w:lineRule="auto"/>
        <w:ind w:firstLine="420"/>
        <w:rPr>
          <w:rFonts w:ascii="宋体" w:hAnsi="宋体"/>
          <w:szCs w:val="21"/>
        </w:rPr>
      </w:pPr>
      <w:r>
        <w:rPr>
          <w:rFonts w:ascii="宋体" w:hAnsi="宋体" w:hint="eastAsia"/>
          <w:szCs w:val="21"/>
        </w:rPr>
        <w:t>中标人负责为培训搭建所需的环境，并提供培训教材等相关用品。</w:t>
      </w:r>
    </w:p>
    <w:p>
      <w:pPr>
        <w:spacing w:line="360" w:lineRule="auto"/>
        <w:ind w:firstLine="420"/>
        <w:rPr>
          <w:rFonts w:ascii="宋体" w:hAnsi="宋体"/>
          <w:szCs w:val="21"/>
        </w:rPr>
      </w:pPr>
      <w:r>
        <w:rPr>
          <w:rFonts w:ascii="宋体" w:hAnsi="宋体" w:hint="eastAsia"/>
          <w:szCs w:val="21"/>
        </w:rPr>
        <w:t>在培训之后，运行维护服务</w:t>
      </w:r>
      <w:r>
        <w:rPr>
          <w:rFonts w:ascii="宋体" w:hAnsi="宋体"/>
          <w:szCs w:val="21"/>
        </w:rPr>
        <w:t>期</w:t>
      </w:r>
      <w:r>
        <w:rPr>
          <w:rFonts w:ascii="宋体" w:hAnsi="宋体" w:hint="eastAsia"/>
          <w:szCs w:val="21"/>
        </w:rPr>
        <w:t>内仍需提供必要</w:t>
      </w:r>
      <w:r>
        <w:rPr>
          <w:rFonts w:ascii="宋体" w:hAnsi="宋体"/>
          <w:szCs w:val="21"/>
        </w:rPr>
        <w:t>的</w:t>
      </w:r>
      <w:r>
        <w:rPr>
          <w:rFonts w:ascii="宋体" w:hAnsi="宋体" w:hint="eastAsia"/>
          <w:szCs w:val="21"/>
        </w:rPr>
        <w:t>答疑</w:t>
      </w:r>
      <w:r>
        <w:rPr>
          <w:rFonts w:ascii="宋体" w:hAnsi="宋体"/>
          <w:szCs w:val="21"/>
        </w:rPr>
        <w:t>、咨询</w:t>
      </w:r>
      <w:r>
        <w:rPr>
          <w:rFonts w:ascii="宋体" w:hAnsi="宋体" w:hint="eastAsia"/>
          <w:szCs w:val="21"/>
        </w:rPr>
        <w:t>、</w:t>
      </w:r>
      <w:r>
        <w:rPr>
          <w:rFonts w:ascii="宋体" w:hAnsi="宋体"/>
          <w:szCs w:val="21"/>
        </w:rPr>
        <w:t>现场支持</w:t>
      </w:r>
      <w:r>
        <w:rPr>
          <w:rFonts w:ascii="宋体" w:hAnsi="宋体" w:hint="eastAsia"/>
          <w:szCs w:val="21"/>
        </w:rPr>
        <w:t>等技术指导。</w:t>
      </w:r>
    </w:p>
    <w:p>
      <w:pPr>
        <w:spacing w:line="360" w:lineRule="auto"/>
        <w:ind w:firstLine="420"/>
        <w:rPr>
          <w:rFonts w:ascii="宋体" w:hAnsi="宋体"/>
          <w:szCs w:val="21"/>
        </w:rPr>
      </w:pPr>
      <w:r>
        <w:rPr>
          <w:rFonts w:ascii="宋体" w:hAnsi="宋体" w:hint="eastAsia"/>
          <w:szCs w:val="21"/>
        </w:rPr>
        <w:t>对于项目成果业务运行人员，需培训其明确项目设计思路、方案实现、以及基于角色的培训，帮助其正确操作和使用项目交付的功能。</w:t>
      </w:r>
    </w:p>
    <w:p>
      <w:pPr>
        <w:spacing w:line="360" w:lineRule="auto"/>
        <w:ind w:firstLine="420"/>
        <w:rPr>
          <w:rFonts w:ascii="宋体" w:hAnsi="宋体"/>
          <w:szCs w:val="21"/>
        </w:rPr>
      </w:pPr>
      <w:r>
        <w:rPr>
          <w:rFonts w:ascii="宋体" w:hAnsi="宋体" w:hint="eastAsia"/>
          <w:szCs w:val="21"/>
        </w:rPr>
        <w:t>对于技术开发和系统运维人员，培训内容包括但不限于项目总体设计、详细设计、数据库设计、程序设计及功能、接口设计以及系统常见技故障解决方法等内容，同时中标人应提供关于系统开发平台（工具）的相关培训。</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八、服务团队</w:t>
      </w:r>
    </w:p>
    <w:p>
      <w:pPr>
        <w:spacing w:line="360" w:lineRule="auto"/>
        <w:ind w:firstLine="420"/>
        <w:rPr>
          <w:rFonts w:ascii="宋体" w:hAnsi="宋体" w:hint="eastAsia"/>
          <w:szCs w:val="21"/>
        </w:rPr>
      </w:pPr>
      <w:bookmarkStart w:id="69" w:name="_Hlk212123916"/>
      <w:r>
        <w:rPr>
          <w:rFonts w:ascii="宋体" w:hAnsi="宋体" w:hint="eastAsia"/>
          <w:szCs w:val="21"/>
        </w:rPr>
        <w:t>中标人应组成本项目开发服务团队，团队组织结构清晰，人员专业背景齐全，建立健全保障本项目顺利实施的各项管理制度和质量保证体系，安排好足够的高素质人才参加本项目工作。</w:t>
      </w:r>
    </w:p>
    <w:p>
      <w:pPr>
        <w:spacing w:line="360" w:lineRule="auto"/>
        <w:ind w:firstLine="420"/>
        <w:rPr>
          <w:rFonts w:ascii="宋体" w:hAnsi="宋体" w:hint="eastAsia"/>
          <w:szCs w:val="21"/>
        </w:rPr>
      </w:pPr>
      <w:r>
        <w:rPr>
          <w:rFonts w:ascii="宋体" w:hAnsi="宋体" w:hint="eastAsia"/>
          <w:szCs w:val="21"/>
        </w:rPr>
        <w:t>在组织机构中应明确各岗位的职责、任职资格及要求，确保项目顺利实施，项目团队成员至少</w:t>
      </w:r>
      <w:r>
        <w:rPr>
          <w:rFonts w:ascii="宋体" w:hAnsi="宋体"/>
          <w:szCs w:val="21"/>
        </w:rPr>
        <w:t>15</w:t>
      </w:r>
      <w:r>
        <w:rPr>
          <w:rFonts w:ascii="宋体" w:hAnsi="宋体" w:hint="eastAsia"/>
          <w:szCs w:val="21"/>
        </w:rPr>
        <w:t>人，其中驻场人员至少</w:t>
      </w:r>
      <w:r>
        <w:rPr>
          <w:rFonts w:ascii="宋体" w:hAnsi="宋体"/>
          <w:szCs w:val="21"/>
        </w:rPr>
        <w:t>10</w:t>
      </w:r>
      <w:r>
        <w:rPr>
          <w:rFonts w:ascii="宋体" w:hAnsi="宋体" w:hint="eastAsia"/>
          <w:szCs w:val="21"/>
        </w:rPr>
        <w:t>人，应配备有服务团队负责人（项目经理）、首席技术专家承担本项目工作。</w:t>
      </w:r>
    </w:p>
    <w:p>
      <w:pPr>
        <w:spacing w:line="360" w:lineRule="auto"/>
        <w:ind w:firstLine="420"/>
        <w:rPr>
          <w:rFonts w:ascii="宋体" w:hAnsi="宋体" w:hint="eastAsia"/>
          <w:szCs w:val="21"/>
        </w:rPr>
      </w:pPr>
      <w:r>
        <w:rPr>
          <w:rFonts w:ascii="宋体" w:hAnsi="宋体" w:hint="eastAsia"/>
          <w:szCs w:val="21"/>
        </w:rPr>
        <w:t>团队负责人（项目经理）应具有计算机软件相关专业背景，获得PMP证书（项目管理专业人员资格认证）或信息系统项目管理师（高级）证书，有大模型相关项目工作经验3年以上。</w:t>
      </w:r>
    </w:p>
    <w:p>
      <w:pPr>
        <w:spacing w:line="360" w:lineRule="auto"/>
        <w:ind w:firstLine="420"/>
        <w:rPr>
          <w:rFonts w:ascii="宋体" w:hAnsi="宋体" w:hint="eastAsia"/>
          <w:szCs w:val="21"/>
        </w:rPr>
      </w:pPr>
      <w:r>
        <w:rPr>
          <w:rFonts w:ascii="宋体" w:hAnsi="宋体" w:hint="eastAsia"/>
          <w:szCs w:val="21"/>
        </w:rPr>
        <w:t>首席技术专家应具有计算机科学或人工智能相关专业背景，</w:t>
      </w:r>
      <w:r>
        <w:rPr>
          <w:rFonts w:ascii="宋体" w:hAnsi="宋体" w:hint="eastAsia"/>
          <w:szCs w:val="21"/>
          <w:lang w:val="en-US" w:eastAsia="zh-CN"/>
        </w:rPr>
        <w:t>3</w:t>
      </w:r>
      <w:r>
        <w:rPr>
          <w:rFonts w:ascii="宋体" w:hAnsi="宋体" w:hint="eastAsia"/>
          <w:szCs w:val="21"/>
        </w:rPr>
        <w:t>年以上人工智能相关领域</w:t>
      </w:r>
      <w:r>
        <w:rPr>
          <w:rFonts w:ascii="宋体" w:hAnsi="宋体" w:hint="eastAsia"/>
          <w:szCs w:val="21"/>
          <w:lang w:eastAsia="zh-CN"/>
        </w:rPr>
        <w:t>项目</w:t>
      </w:r>
      <w:r>
        <w:rPr>
          <w:rFonts w:ascii="宋体" w:hAnsi="宋体" w:hint="eastAsia"/>
          <w:szCs w:val="21"/>
        </w:rPr>
        <w:t>经验。</w:t>
      </w:r>
    </w:p>
    <w:p>
      <w:pPr>
        <w:spacing w:line="360" w:lineRule="auto"/>
        <w:ind w:firstLine="420"/>
        <w:rPr>
          <w:rFonts w:ascii="宋体" w:hAnsi="宋体"/>
          <w:szCs w:val="21"/>
        </w:rPr>
      </w:pPr>
      <w:r>
        <w:rPr>
          <w:rFonts w:ascii="宋体" w:hAnsi="宋体" w:hint="eastAsia"/>
          <w:szCs w:val="21"/>
        </w:rPr>
        <w:t>团队其他成员应具有计算机软件相关的专业背景或气象相关专业背景，且具有2年以上同类项目开发经历，能够与用户进行良好的沟通。</w:t>
      </w:r>
    </w:p>
    <w:p>
      <w:pPr>
        <w:spacing w:line="360" w:lineRule="auto"/>
        <w:ind w:firstLine="420"/>
        <w:rPr>
          <w:rFonts w:ascii="宋体" w:hAnsi="宋体" w:hint="eastAsia"/>
          <w:szCs w:val="21"/>
        </w:rPr>
      </w:pPr>
      <w:bookmarkEnd w:id="69"/>
      <w:r>
        <w:rPr>
          <w:rFonts w:ascii="宋体" w:hAnsi="宋体" w:hint="eastAsia"/>
          <w:szCs w:val="21"/>
        </w:rPr>
        <w:t>驻场期间，服务团队人员所使用的设备和形成的食宿费用由中标人承担。</w:t>
      </w:r>
    </w:p>
    <w:p>
      <w:pPr>
        <w:keepNext/>
        <w:keepLines/>
        <w:spacing w:before="260" w:after="260" w:line="416" w:lineRule="atLeast"/>
        <w:ind w:left="420" w:hanging="420"/>
        <w:outlineLvl w:val="2"/>
        <w:rPr>
          <w:rFonts w:ascii="Times New Roman" w:hAnsi="Times New Roman"/>
          <w:b/>
          <w:bCs/>
          <w:sz w:val="32"/>
          <w:szCs w:val="32"/>
        </w:rPr>
      </w:pPr>
      <w:r>
        <w:rPr>
          <w:rFonts w:ascii="Times New Roman" w:hAnsi="Times New Roman" w:hint="eastAsia"/>
          <w:b/>
          <w:bCs/>
          <w:sz w:val="32"/>
          <w:szCs w:val="32"/>
        </w:rPr>
        <w:t>九、验收要求</w:t>
      </w:r>
    </w:p>
    <w:p>
      <w:pPr>
        <w:keepNext/>
        <w:keepLines/>
        <w:numPr>
          <w:ilvl w:val="0"/>
          <w:numId w:val="15"/>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测试</w:t>
      </w:r>
    </w:p>
    <w:p>
      <w:pPr>
        <w:spacing w:line="360" w:lineRule="auto"/>
        <w:ind w:firstLine="420"/>
        <w:rPr>
          <w:rFonts w:ascii="宋体" w:hAnsi="宋体" w:hint="eastAsia"/>
          <w:szCs w:val="21"/>
        </w:rPr>
      </w:pPr>
      <w:r>
        <w:rPr>
          <w:rFonts w:ascii="宋体" w:hAnsi="宋体" w:hint="eastAsia"/>
          <w:szCs w:val="21"/>
        </w:rPr>
        <w:t>请中标人提供具体进行各技术组件测试的测试方法和步骤，以最终验证各模块上线后的功能和性能能否合格；提供系统集成测试的测试方法和工作步骤，以最终验证系统全面上线之后功能和性能能否合格。</w:t>
      </w:r>
    </w:p>
    <w:p>
      <w:pPr>
        <w:spacing w:line="360" w:lineRule="auto"/>
        <w:ind w:firstLine="420"/>
        <w:rPr>
          <w:rFonts w:ascii="宋体" w:hAnsi="宋体" w:hint="eastAsia"/>
          <w:szCs w:val="21"/>
        </w:rPr>
      </w:pPr>
      <w:r>
        <w:rPr>
          <w:rFonts w:ascii="宋体" w:hAnsi="宋体" w:hint="eastAsia"/>
          <w:szCs w:val="21"/>
        </w:rPr>
        <w:t>请中标人列出在系统测试完成后，向采购人提供的所有信息化应用解决方案软件的合格证明、质量保证书、各类交付物等资料</w:t>
      </w:r>
    </w:p>
    <w:p>
      <w:pPr>
        <w:keepNext/>
        <w:keepLines/>
        <w:numPr>
          <w:ilvl w:val="0"/>
          <w:numId w:val="4"/>
        </w:numPr>
        <w:spacing w:before="280" w:after="290" w:line="376" w:lineRule="atLeast"/>
        <w:outlineLvl w:val="3"/>
        <w:rPr>
          <w:rFonts w:ascii="Arial" w:eastAsia="黑体" w:hAnsi="Arial"/>
          <w:b/>
          <w:bCs/>
          <w:sz w:val="28"/>
          <w:szCs w:val="21"/>
        </w:rPr>
      </w:pPr>
      <w:r>
        <w:rPr>
          <w:rFonts w:ascii="Arial" w:eastAsia="黑体" w:hAnsi="Arial" w:hint="eastAsia"/>
          <w:b/>
          <w:bCs/>
          <w:sz w:val="28"/>
          <w:szCs w:val="21"/>
        </w:rPr>
        <w:t>验收</w:t>
      </w:r>
    </w:p>
    <w:p>
      <w:pPr>
        <w:spacing w:line="360" w:lineRule="auto"/>
        <w:ind w:firstLine="412" w:firstLineChars="196"/>
        <w:jc w:val="left"/>
        <w:rPr>
          <w:rFonts w:ascii="宋体" w:hAnsi="宋体"/>
          <w:szCs w:val="21"/>
        </w:rPr>
      </w:pPr>
      <w:r>
        <w:rPr>
          <w:rFonts w:ascii="宋体" w:hAnsi="宋体" w:hint="eastAsia"/>
          <w:szCs w:val="21"/>
        </w:rPr>
        <w:t>本项目的验收分为两个阶段：第一阶段为上线初验，第二个阶段为终验。验收要求及标准：</w:t>
      </w:r>
    </w:p>
    <w:p>
      <w:pPr>
        <w:tabs>
          <w:tab w:val="left" w:pos="1140"/>
        </w:tabs>
        <w:spacing w:line="360" w:lineRule="auto"/>
        <w:ind w:left="420" w:hanging="420" w:hangingChars="200"/>
        <w:rPr>
          <w:rFonts w:ascii="宋体" w:hAnsi="宋体"/>
          <w:szCs w:val="21"/>
        </w:rPr>
      </w:pPr>
      <w:r>
        <w:rPr>
          <w:rFonts w:ascii="宋体" w:hAnsi="宋体"/>
          <w:szCs w:val="21"/>
        </w:rPr>
        <w:t>（</w:t>
      </w:r>
      <w:r>
        <w:rPr>
          <w:rFonts w:ascii="宋体" w:hAnsi="宋体" w:hint="eastAsia"/>
          <w:szCs w:val="21"/>
        </w:rPr>
        <w:t>1</w:t>
      </w:r>
      <w:r>
        <w:rPr>
          <w:rFonts w:ascii="宋体" w:hAnsi="宋体"/>
          <w:szCs w:val="21"/>
        </w:rPr>
        <w:t>）上线初验</w:t>
      </w:r>
      <w:r>
        <w:rPr>
          <w:rFonts w:ascii="宋体" w:hAnsi="宋体" w:hint="eastAsia"/>
          <w:szCs w:val="21"/>
        </w:rPr>
        <w:t>：</w:t>
      </w:r>
      <w:r>
        <w:rPr>
          <w:rFonts w:ascii="宋体" w:hAnsi="宋体"/>
          <w:szCs w:val="21"/>
        </w:rPr>
        <w:t>在</w:t>
      </w:r>
      <w:r>
        <w:rPr>
          <w:rFonts w:ascii="宋体" w:hAnsi="宋体" w:hint="eastAsia"/>
          <w:szCs w:val="21"/>
        </w:rPr>
        <w:t>中标人</w:t>
      </w:r>
      <w:r>
        <w:rPr>
          <w:rFonts w:ascii="宋体" w:hAnsi="宋体"/>
          <w:szCs w:val="21"/>
        </w:rPr>
        <w:t>完成上述各项工作后，达到如下</w:t>
      </w:r>
      <w:r>
        <w:rPr>
          <w:rFonts w:ascii="宋体" w:hAnsi="宋体" w:hint="eastAsia"/>
          <w:szCs w:val="21"/>
        </w:rPr>
        <w:t>条件</w:t>
      </w:r>
      <w:r>
        <w:rPr>
          <w:rFonts w:ascii="宋体" w:hAnsi="宋体"/>
          <w:szCs w:val="21"/>
        </w:rPr>
        <w:t>时即可提出上线初验申请：</w:t>
      </w:r>
    </w:p>
    <w:p>
      <w:pPr>
        <w:numPr>
          <w:ilvl w:val="0"/>
          <w:numId w:val="12"/>
        </w:numPr>
        <w:spacing w:line="360" w:lineRule="auto"/>
        <w:rPr>
          <w:rFonts w:ascii="宋体" w:hAnsi="宋体"/>
          <w:szCs w:val="21"/>
        </w:rPr>
      </w:pPr>
      <w:r>
        <w:rPr>
          <w:rFonts w:ascii="宋体" w:hAnsi="宋体" w:hint="eastAsia"/>
          <w:szCs w:val="21"/>
        </w:rPr>
        <w:t>软件</w:t>
      </w:r>
      <w:r>
        <w:rPr>
          <w:rFonts w:ascii="宋体" w:hAnsi="宋体"/>
          <w:szCs w:val="21"/>
        </w:rPr>
        <w:t>系统后台（包括但不限于服务器和中间件平台）部署到生产环境，客户端部署完成，系统上线后平稳运行。达到平稳运行的条件至少为：系统功能满足需求、各类操作顺畅、性能稳定</w:t>
      </w:r>
      <w:r>
        <w:rPr>
          <w:rFonts w:ascii="宋体" w:hAnsi="宋体" w:hint="eastAsia"/>
          <w:szCs w:val="21"/>
        </w:rPr>
        <w:t>。</w:t>
      </w:r>
    </w:p>
    <w:p>
      <w:pPr>
        <w:numPr>
          <w:ilvl w:val="0"/>
          <w:numId w:val="12"/>
        </w:numPr>
        <w:spacing w:line="360" w:lineRule="auto"/>
        <w:rPr>
          <w:rFonts w:ascii="宋体" w:hAnsi="宋体"/>
          <w:szCs w:val="21"/>
        </w:rPr>
      </w:pPr>
      <w:r>
        <w:rPr>
          <w:rFonts w:ascii="宋体" w:hAnsi="宋体"/>
          <w:szCs w:val="21"/>
        </w:rPr>
        <w:t>交付物通过</w:t>
      </w:r>
      <w:r>
        <w:rPr>
          <w:rFonts w:ascii="宋体" w:hAnsi="宋体" w:hint="eastAsia"/>
          <w:szCs w:val="21"/>
        </w:rPr>
        <w:t>采购人</w:t>
      </w:r>
      <w:r>
        <w:rPr>
          <w:rFonts w:ascii="宋体" w:hAnsi="宋体"/>
          <w:szCs w:val="21"/>
        </w:rPr>
        <w:t>签字确认。</w:t>
      </w:r>
    </w:p>
    <w:p>
      <w:pPr>
        <w:spacing w:line="360" w:lineRule="auto"/>
        <w:ind w:firstLine="412" w:firstLineChars="196"/>
        <w:jc w:val="left"/>
        <w:rPr>
          <w:rFonts w:ascii="宋体" w:hAnsi="宋体"/>
          <w:szCs w:val="21"/>
        </w:rPr>
      </w:pPr>
      <w:r>
        <w:rPr>
          <w:rFonts w:ascii="宋体" w:hAnsi="宋体"/>
          <w:szCs w:val="21"/>
        </w:rPr>
        <w:t>在</w:t>
      </w:r>
      <w:r>
        <w:rPr>
          <w:rFonts w:ascii="宋体" w:hAnsi="宋体" w:hint="eastAsia"/>
          <w:szCs w:val="21"/>
        </w:rPr>
        <w:t>采购人</w:t>
      </w:r>
      <w:r>
        <w:rPr>
          <w:rFonts w:ascii="宋体" w:hAnsi="宋体"/>
          <w:szCs w:val="21"/>
        </w:rPr>
        <w:t>收到上线初验申请后，由</w:t>
      </w:r>
      <w:r>
        <w:rPr>
          <w:rFonts w:ascii="宋体" w:hAnsi="宋体" w:hint="eastAsia"/>
          <w:szCs w:val="21"/>
        </w:rPr>
        <w:t>中标人</w:t>
      </w:r>
      <w:r>
        <w:rPr>
          <w:rFonts w:ascii="宋体" w:hAnsi="宋体"/>
          <w:szCs w:val="21"/>
        </w:rPr>
        <w:t>和</w:t>
      </w:r>
      <w:r>
        <w:rPr>
          <w:rFonts w:ascii="宋体" w:hAnsi="宋体" w:hint="eastAsia"/>
          <w:szCs w:val="21"/>
        </w:rPr>
        <w:t>采购人</w:t>
      </w:r>
      <w:r>
        <w:rPr>
          <w:rFonts w:ascii="宋体" w:hAnsi="宋体"/>
          <w:szCs w:val="21"/>
        </w:rPr>
        <w:t>共同</w:t>
      </w:r>
      <w:r>
        <w:rPr>
          <w:rFonts w:ascii="宋体" w:hAnsi="宋体" w:hint="eastAsia"/>
          <w:szCs w:val="21"/>
        </w:rPr>
        <w:t>开展验收工作</w:t>
      </w:r>
      <w:r>
        <w:rPr>
          <w:rFonts w:ascii="宋体" w:hAnsi="宋体"/>
          <w:szCs w:val="21"/>
        </w:rPr>
        <w:t>，由</w:t>
      </w:r>
      <w:r>
        <w:rPr>
          <w:rFonts w:ascii="宋体" w:hAnsi="宋体" w:hint="eastAsia"/>
          <w:szCs w:val="21"/>
        </w:rPr>
        <w:t>中标人</w:t>
      </w:r>
      <w:r>
        <w:rPr>
          <w:rFonts w:ascii="宋体" w:hAnsi="宋体"/>
          <w:szCs w:val="21"/>
        </w:rPr>
        <w:t>提供测试案例，经</w:t>
      </w:r>
      <w:r>
        <w:rPr>
          <w:rFonts w:ascii="宋体" w:hAnsi="宋体" w:hint="eastAsia"/>
          <w:szCs w:val="21"/>
        </w:rPr>
        <w:t>采购人</w:t>
      </w:r>
      <w:r>
        <w:rPr>
          <w:rFonts w:ascii="宋体" w:hAnsi="宋体"/>
          <w:szCs w:val="21"/>
        </w:rPr>
        <w:t>确认后，按照合同要求对软件系统进行总体功能和性能进行测试，系统测试结果必须满足</w:t>
      </w:r>
      <w:r>
        <w:rPr>
          <w:rFonts w:ascii="宋体" w:hAnsi="宋体" w:hint="eastAsia"/>
          <w:szCs w:val="21"/>
        </w:rPr>
        <w:t>项目</w:t>
      </w:r>
      <w:r>
        <w:rPr>
          <w:rFonts w:ascii="宋体" w:hAnsi="宋体"/>
          <w:szCs w:val="21"/>
        </w:rPr>
        <w:t>规定的技术和功能要求，双方签字的上线初验报告作为付款依据。</w:t>
      </w:r>
    </w:p>
    <w:p>
      <w:pPr>
        <w:tabs>
          <w:tab w:val="left" w:pos="1140"/>
        </w:tabs>
        <w:spacing w:line="360" w:lineRule="auto"/>
        <w:ind w:left="420" w:hanging="420" w:hangingChars="200"/>
        <w:rPr>
          <w:rFonts w:ascii="宋体" w:hAnsi="宋体"/>
          <w:szCs w:val="21"/>
        </w:rPr>
      </w:pPr>
      <w:r>
        <w:rPr>
          <w:rFonts w:ascii="宋体" w:hAnsi="宋体"/>
          <w:szCs w:val="21"/>
        </w:rPr>
        <w:t>（</w:t>
      </w:r>
      <w:r>
        <w:rPr>
          <w:rFonts w:ascii="宋体" w:hAnsi="宋体" w:hint="eastAsia"/>
          <w:szCs w:val="21"/>
        </w:rPr>
        <w:t>2</w:t>
      </w:r>
      <w:r>
        <w:rPr>
          <w:rFonts w:ascii="宋体" w:hAnsi="宋体"/>
          <w:szCs w:val="21"/>
        </w:rPr>
        <w:t>）终验</w:t>
      </w:r>
      <w:r>
        <w:rPr>
          <w:rFonts w:ascii="宋体" w:hAnsi="宋体" w:hint="eastAsia"/>
          <w:szCs w:val="21"/>
        </w:rPr>
        <w:t>：</w:t>
      </w:r>
      <w:r>
        <w:rPr>
          <w:rFonts w:ascii="宋体" w:hAnsi="宋体"/>
          <w:szCs w:val="21"/>
        </w:rPr>
        <w:t>上线初验合格后</w:t>
      </w:r>
      <w:r>
        <w:rPr>
          <w:rFonts w:ascii="宋体" w:hAnsi="宋体" w:hint="eastAsia"/>
          <w:szCs w:val="21"/>
        </w:rPr>
        <w:t>，</w:t>
      </w:r>
      <w:r>
        <w:rPr>
          <w:rFonts w:ascii="宋体" w:hAnsi="宋体"/>
          <w:szCs w:val="21"/>
        </w:rPr>
        <w:t>系统进入试运行期，试运行期满后进行系统终验。在试运行期间，由于各种原因造成某些技术指标达不到要求，</w:t>
      </w:r>
      <w:r>
        <w:rPr>
          <w:rFonts w:ascii="宋体" w:hAnsi="宋体" w:hint="eastAsia"/>
          <w:szCs w:val="21"/>
        </w:rPr>
        <w:t>中标人</w:t>
      </w:r>
      <w:r>
        <w:rPr>
          <w:rFonts w:ascii="宋体" w:hAnsi="宋体"/>
          <w:szCs w:val="21"/>
        </w:rPr>
        <w:t>应负责解决，但试运行期相应顺延。系统通过试运行后，双方签署终验报告，此报告将作为付款依据。</w:t>
      </w:r>
    </w:p>
    <w:p>
      <w:pPr>
        <w:tabs>
          <w:tab w:val="left" w:pos="1140"/>
        </w:tabs>
        <w:spacing w:line="360" w:lineRule="auto"/>
        <w:rPr>
          <w:rFonts w:ascii="宋体" w:hAnsi="宋体"/>
          <w:szCs w:val="21"/>
        </w:rPr>
      </w:pPr>
      <w:r>
        <w:rPr>
          <w:rFonts w:ascii="宋体" w:hAnsi="宋体" w:hint="eastAsia"/>
          <w:szCs w:val="21"/>
        </w:rPr>
        <w:t>（3）验收不合格的处理（由于中标人的原因）：</w:t>
      </w:r>
    </w:p>
    <w:p>
      <w:pPr>
        <w:numPr>
          <w:ilvl w:val="0"/>
          <w:numId w:val="12"/>
        </w:numPr>
        <w:spacing w:line="360" w:lineRule="auto"/>
        <w:rPr>
          <w:rFonts w:ascii="宋体" w:hAnsi="宋体"/>
          <w:szCs w:val="21"/>
        </w:rPr>
      </w:pPr>
      <w:r>
        <w:rPr>
          <w:rFonts w:ascii="宋体" w:hAnsi="宋体" w:hint="eastAsia"/>
          <w:szCs w:val="21"/>
        </w:rPr>
        <w:t>软件系统初验不合格：中标人在5个工作日内免费更换并立即进行下一次测试。</w:t>
      </w:r>
    </w:p>
    <w:p>
      <w:pPr>
        <w:numPr>
          <w:ilvl w:val="0"/>
          <w:numId w:val="12"/>
        </w:numPr>
        <w:spacing w:line="360" w:lineRule="auto"/>
        <w:rPr>
          <w:rFonts w:ascii="宋体" w:hAnsi="宋体"/>
          <w:szCs w:val="21"/>
        </w:rPr>
      </w:pPr>
      <w:r>
        <w:rPr>
          <w:rFonts w:ascii="宋体" w:hAnsi="宋体" w:hint="eastAsia"/>
          <w:szCs w:val="21"/>
        </w:rPr>
        <w:t>试运行期测试不合格：在试运行期内如出现重大问题，则试运行期从故障修复之日起重新计算。</w:t>
      </w:r>
    </w:p>
    <w:p>
      <w:pPr>
        <w:keepNext/>
        <w:keepLines/>
        <w:numPr>
          <w:ilvl w:val="0"/>
          <w:numId w:val="16"/>
        </w:numPr>
        <w:tabs>
          <w:tab w:val="left" w:pos="432"/>
        </w:tabs>
        <w:spacing w:line="360" w:lineRule="auto"/>
        <w:jc w:val="left"/>
        <w:outlineLvl w:val="4"/>
        <w:rPr>
          <w:rFonts w:ascii="Times New Roman" w:hAnsi="Times New Roman"/>
          <w:b/>
          <w:bCs/>
          <w:sz w:val="28"/>
          <w:szCs w:val="28"/>
        </w:rPr>
      </w:pPr>
      <w:r>
        <w:rPr>
          <w:rFonts w:ascii="Times New Roman" w:hAnsi="Times New Roman" w:hint="eastAsia"/>
          <w:b/>
          <w:bCs/>
          <w:sz w:val="28"/>
          <w:szCs w:val="28"/>
        </w:rPr>
        <w:t>验收过程</w:t>
      </w:r>
    </w:p>
    <w:p>
      <w:pPr>
        <w:spacing w:line="360" w:lineRule="auto"/>
        <w:ind w:firstLine="420"/>
        <w:rPr>
          <w:rFonts w:ascii="宋体" w:hAnsi="宋体"/>
          <w:szCs w:val="21"/>
        </w:rPr>
      </w:pPr>
      <w:r>
        <w:rPr>
          <w:rFonts w:ascii="宋体" w:hAnsi="宋体" w:hint="eastAsia"/>
          <w:szCs w:val="21"/>
        </w:rPr>
        <w:t>智慧短临气象闪信预警信息发布平台建设项目</w:t>
      </w:r>
      <w:r>
        <w:rPr>
          <w:rFonts w:ascii="宋体" w:hAnsi="宋体"/>
          <w:szCs w:val="21"/>
        </w:rPr>
        <w:t xml:space="preserve">在交付使用之前，必须履行软件产品验收过程。软件验收必须遵守《计算机软件工程规范国家标准》的规定，履行正式手续，遵守以下工作步骤： </w:t>
      </w:r>
    </w:p>
    <w:p>
      <w:pPr>
        <w:numPr>
          <w:ilvl w:val="0"/>
          <w:numId w:val="12"/>
        </w:numPr>
        <w:spacing w:line="360" w:lineRule="auto"/>
        <w:rPr>
          <w:rFonts w:ascii="宋体" w:hAnsi="宋体"/>
          <w:szCs w:val="21"/>
        </w:rPr>
      </w:pPr>
      <w:r>
        <w:rPr>
          <w:rFonts w:ascii="宋体" w:hAnsi="宋体" w:hint="eastAsia"/>
          <w:szCs w:val="21"/>
        </w:rPr>
        <w:t>提出软件验收申请；</w:t>
      </w:r>
    </w:p>
    <w:p>
      <w:pPr>
        <w:numPr>
          <w:ilvl w:val="0"/>
          <w:numId w:val="12"/>
        </w:numPr>
        <w:spacing w:line="360" w:lineRule="auto"/>
        <w:rPr>
          <w:rFonts w:ascii="宋体" w:hAnsi="宋体"/>
          <w:szCs w:val="21"/>
        </w:rPr>
      </w:pPr>
      <w:r>
        <w:rPr>
          <w:rFonts w:ascii="宋体" w:hAnsi="宋体" w:hint="eastAsia"/>
          <w:szCs w:val="21"/>
        </w:rPr>
        <w:t>制定软件验收计划；</w:t>
      </w:r>
    </w:p>
    <w:p>
      <w:pPr>
        <w:numPr>
          <w:ilvl w:val="0"/>
          <w:numId w:val="12"/>
        </w:numPr>
        <w:spacing w:line="360" w:lineRule="auto"/>
        <w:rPr>
          <w:rFonts w:ascii="宋体" w:hAnsi="宋体"/>
          <w:szCs w:val="21"/>
        </w:rPr>
      </w:pPr>
      <w:r>
        <w:rPr>
          <w:rFonts w:ascii="宋体" w:hAnsi="宋体" w:hint="eastAsia"/>
          <w:szCs w:val="21"/>
        </w:rPr>
        <w:t>成立软件验收组织机构；</w:t>
      </w:r>
    </w:p>
    <w:p>
      <w:pPr>
        <w:numPr>
          <w:ilvl w:val="0"/>
          <w:numId w:val="12"/>
        </w:numPr>
        <w:spacing w:line="360" w:lineRule="auto"/>
        <w:rPr>
          <w:rFonts w:ascii="宋体" w:hAnsi="宋体"/>
          <w:szCs w:val="21"/>
        </w:rPr>
      </w:pPr>
      <w:r>
        <w:rPr>
          <w:rFonts w:ascii="宋体" w:hAnsi="宋体" w:hint="eastAsia"/>
          <w:szCs w:val="21"/>
        </w:rPr>
        <w:t>进行软件验收测试和配置审计；</w:t>
      </w:r>
    </w:p>
    <w:p>
      <w:pPr>
        <w:numPr>
          <w:ilvl w:val="0"/>
          <w:numId w:val="12"/>
        </w:numPr>
        <w:spacing w:line="360" w:lineRule="auto"/>
        <w:rPr>
          <w:rFonts w:ascii="宋体" w:hAnsi="宋体"/>
          <w:szCs w:val="21"/>
        </w:rPr>
      </w:pPr>
      <w:r>
        <w:rPr>
          <w:rFonts w:ascii="宋体" w:hAnsi="宋体" w:hint="eastAsia"/>
          <w:szCs w:val="21"/>
        </w:rPr>
        <w:t>进行软件验收评审；</w:t>
      </w:r>
    </w:p>
    <w:p>
      <w:pPr>
        <w:numPr>
          <w:ilvl w:val="0"/>
          <w:numId w:val="12"/>
        </w:numPr>
        <w:spacing w:line="360" w:lineRule="auto"/>
        <w:rPr>
          <w:rFonts w:ascii="宋体" w:hAnsi="宋体"/>
          <w:szCs w:val="21"/>
        </w:rPr>
      </w:pPr>
      <w:r>
        <w:rPr>
          <w:rFonts w:ascii="宋体" w:hAnsi="宋体" w:hint="eastAsia"/>
          <w:szCs w:val="21"/>
        </w:rPr>
        <w:t>形成软件验收报告；</w:t>
      </w:r>
    </w:p>
    <w:p>
      <w:pPr>
        <w:numPr>
          <w:ilvl w:val="0"/>
          <w:numId w:val="12"/>
        </w:numPr>
        <w:spacing w:line="360" w:lineRule="auto"/>
        <w:rPr>
          <w:rFonts w:ascii="宋体" w:hAnsi="宋体"/>
          <w:szCs w:val="21"/>
        </w:rPr>
      </w:pPr>
      <w:r>
        <w:rPr>
          <w:rFonts w:ascii="宋体" w:hAnsi="宋体" w:hint="eastAsia"/>
          <w:szCs w:val="21"/>
        </w:rPr>
        <w:t>移交软件产品。</w:t>
      </w:r>
    </w:p>
    <w:p>
      <w:pPr>
        <w:keepNext/>
        <w:keepLines/>
        <w:numPr>
          <w:ilvl w:val="0"/>
          <w:numId w:val="16"/>
        </w:numPr>
        <w:tabs>
          <w:tab w:val="left" w:pos="432"/>
        </w:tabs>
        <w:spacing w:line="360" w:lineRule="auto"/>
        <w:jc w:val="left"/>
        <w:outlineLvl w:val="4"/>
        <w:rPr>
          <w:rFonts w:ascii="Times New Roman" w:hAnsi="Times New Roman"/>
          <w:b/>
          <w:bCs/>
          <w:sz w:val="28"/>
          <w:szCs w:val="28"/>
        </w:rPr>
      </w:pPr>
      <w:r>
        <w:rPr>
          <w:rFonts w:ascii="Times New Roman" w:hAnsi="Times New Roman" w:hint="eastAsia"/>
          <w:b/>
          <w:bCs/>
          <w:sz w:val="28"/>
          <w:szCs w:val="28"/>
        </w:rPr>
        <w:t>验收标准</w:t>
      </w:r>
    </w:p>
    <w:p>
      <w:pPr>
        <w:spacing w:line="360" w:lineRule="auto"/>
        <w:ind w:firstLine="420"/>
        <w:rPr>
          <w:rFonts w:ascii="宋体" w:hAnsi="宋体"/>
          <w:szCs w:val="21"/>
        </w:rPr>
      </w:pPr>
      <w:r>
        <w:rPr>
          <w:rFonts w:ascii="宋体" w:hAnsi="宋体" w:hint="eastAsia"/>
          <w:szCs w:val="21"/>
        </w:rPr>
        <w:t>智慧短临气象闪信预警信息发布平台建设项目</w:t>
      </w:r>
      <w:r>
        <w:rPr>
          <w:rFonts w:ascii="宋体" w:hAnsi="宋体"/>
          <w:szCs w:val="21"/>
        </w:rPr>
        <w:t>的验收准则是：</w:t>
      </w:r>
    </w:p>
    <w:p>
      <w:pPr>
        <w:numPr>
          <w:ilvl w:val="0"/>
          <w:numId w:val="12"/>
        </w:numPr>
        <w:spacing w:line="360" w:lineRule="auto"/>
        <w:rPr>
          <w:rFonts w:ascii="宋体" w:hAnsi="宋体"/>
          <w:szCs w:val="21"/>
        </w:rPr>
      </w:pPr>
      <w:r>
        <w:rPr>
          <w:rFonts w:ascii="宋体" w:hAnsi="宋体" w:hint="eastAsia"/>
          <w:szCs w:val="21"/>
        </w:rPr>
        <w:t>项目软件系统符合项目规定的全部功能和质量要求；</w:t>
      </w:r>
    </w:p>
    <w:p>
      <w:pPr>
        <w:numPr>
          <w:ilvl w:val="0"/>
          <w:numId w:val="12"/>
        </w:numPr>
        <w:spacing w:line="360" w:lineRule="auto"/>
        <w:rPr>
          <w:rFonts w:ascii="宋体" w:hAnsi="宋体" w:hint="eastAsia"/>
          <w:szCs w:val="21"/>
        </w:rPr>
      </w:pPr>
      <w:r>
        <w:rPr>
          <w:rFonts w:ascii="宋体" w:hAnsi="宋体" w:hint="eastAsia"/>
          <w:szCs w:val="21"/>
        </w:rPr>
        <w:t>项目软件系统均须通过《计算机软件工程规范国家标准》所要求的测试；</w:t>
      </w:r>
    </w:p>
    <w:p>
      <w:pPr>
        <w:numPr>
          <w:ilvl w:val="0"/>
          <w:numId w:val="12"/>
        </w:numPr>
        <w:spacing w:line="360" w:lineRule="auto"/>
        <w:rPr>
          <w:rFonts w:ascii="宋体" w:hAnsi="宋体"/>
          <w:szCs w:val="21"/>
        </w:rPr>
      </w:pPr>
      <w:r>
        <w:rPr>
          <w:rFonts w:ascii="宋体" w:hAnsi="宋体" w:hint="eastAsia"/>
          <w:szCs w:val="21"/>
        </w:rPr>
        <w:t>项目软件系统均须符合《公共气象服务中心软件</w:t>
      </w:r>
      <w:r>
        <w:rPr>
          <w:rFonts w:ascii="宋体" w:hAnsi="宋体"/>
          <w:szCs w:val="21"/>
        </w:rPr>
        <w:t>开发技术指南</w:t>
      </w:r>
      <w:r>
        <w:rPr>
          <w:rFonts w:ascii="宋体" w:hAnsi="宋体" w:hint="eastAsia"/>
          <w:szCs w:val="21"/>
        </w:rPr>
        <w:t>》、《气象软件工程规范》的要求；</w:t>
      </w:r>
    </w:p>
    <w:p>
      <w:pPr>
        <w:numPr>
          <w:ilvl w:val="0"/>
          <w:numId w:val="12"/>
        </w:numPr>
        <w:spacing w:line="360" w:lineRule="auto"/>
        <w:rPr>
          <w:rFonts w:ascii="宋体" w:hAnsi="宋体"/>
          <w:szCs w:val="21"/>
        </w:rPr>
      </w:pPr>
      <w:r>
        <w:rPr>
          <w:rFonts w:ascii="宋体" w:hAnsi="宋体" w:hint="eastAsia"/>
          <w:szCs w:val="21"/>
        </w:rPr>
        <w:t>文档齐全，符合项目要求及有关标准的规定；</w:t>
      </w:r>
      <w:r>
        <w:rPr>
          <w:rFonts w:ascii="宋体" w:hAnsi="宋体"/>
          <w:szCs w:val="21"/>
        </w:rPr>
        <w:t xml:space="preserve"> </w:t>
      </w:r>
    </w:p>
    <w:p>
      <w:pPr>
        <w:numPr>
          <w:ilvl w:val="0"/>
          <w:numId w:val="12"/>
        </w:numPr>
        <w:spacing w:line="360" w:lineRule="auto"/>
        <w:rPr>
          <w:rFonts w:ascii="宋体" w:hAnsi="宋体" w:hint="eastAsia"/>
          <w:szCs w:val="21"/>
        </w:rPr>
      </w:pPr>
      <w:r>
        <w:rPr>
          <w:rFonts w:ascii="Times New Roman" w:hAnsi="Times New Roman" w:hint="eastAsia"/>
          <w:szCs w:val="21"/>
        </w:rPr>
        <w:t>中标人</w:t>
      </w:r>
      <w:r>
        <w:rPr>
          <w:rFonts w:ascii="宋体" w:hAnsi="宋体" w:hint="eastAsia"/>
          <w:szCs w:val="21"/>
        </w:rPr>
        <w:t>提交软件质量评测报告；</w:t>
      </w:r>
    </w:p>
    <w:p>
      <w:pPr>
        <w:numPr>
          <w:ilvl w:val="0"/>
          <w:numId w:val="12"/>
        </w:numPr>
        <w:spacing w:line="360" w:lineRule="auto"/>
        <w:rPr>
          <w:rFonts w:ascii="宋体" w:hAnsi="宋体"/>
          <w:szCs w:val="21"/>
        </w:rPr>
      </w:pPr>
      <w:r>
        <w:rPr>
          <w:rFonts w:ascii="宋体" w:hAnsi="宋体" w:hint="eastAsia"/>
          <w:szCs w:val="21"/>
        </w:rPr>
        <w:t>提交配置管理报告。</w:t>
      </w:r>
    </w:p>
    <w:p>
      <w:pPr>
        <w:keepNext/>
        <w:keepLines/>
        <w:numPr>
          <w:ilvl w:val="0"/>
          <w:numId w:val="16"/>
        </w:numPr>
        <w:tabs>
          <w:tab w:val="left" w:pos="432"/>
        </w:tabs>
        <w:spacing w:line="360" w:lineRule="auto"/>
        <w:jc w:val="left"/>
        <w:outlineLvl w:val="4"/>
        <w:rPr>
          <w:rFonts w:ascii="Times New Roman" w:hAnsi="Times New Roman"/>
          <w:b/>
          <w:bCs/>
          <w:sz w:val="28"/>
          <w:szCs w:val="28"/>
        </w:rPr>
      </w:pPr>
      <w:r>
        <w:rPr>
          <w:rFonts w:ascii="Times New Roman" w:hAnsi="Times New Roman" w:hint="eastAsia"/>
          <w:b/>
          <w:bCs/>
          <w:sz w:val="28"/>
          <w:szCs w:val="28"/>
        </w:rPr>
        <w:t>验收运行环境</w:t>
      </w:r>
    </w:p>
    <w:p>
      <w:pPr>
        <w:spacing w:line="360" w:lineRule="auto"/>
        <w:ind w:firstLine="420"/>
        <w:rPr>
          <w:rFonts w:ascii="宋体" w:hAnsi="宋体"/>
          <w:szCs w:val="21"/>
        </w:rPr>
      </w:pPr>
      <w:r>
        <w:rPr>
          <w:rFonts w:ascii="宋体" w:hAnsi="宋体" w:hint="eastAsia"/>
          <w:szCs w:val="21"/>
        </w:rPr>
        <w:t>项目软件系统的实际</w:t>
      </w:r>
      <w:r>
        <w:rPr>
          <w:rFonts w:ascii="宋体" w:hAnsi="宋体"/>
          <w:szCs w:val="21"/>
        </w:rPr>
        <w:t>运行环境作为验收运行环境。验收地点在中国气象局</w:t>
      </w:r>
      <w:r>
        <w:rPr>
          <w:rFonts w:ascii="宋体" w:hAnsi="宋体" w:hint="eastAsia"/>
          <w:szCs w:val="21"/>
        </w:rPr>
        <w:t>公共</w:t>
      </w:r>
      <w:r>
        <w:rPr>
          <w:rFonts w:ascii="宋体" w:hAnsi="宋体"/>
          <w:szCs w:val="21"/>
        </w:rPr>
        <w:t>气象服务中心。</w:t>
      </w:r>
    </w:p>
    <w:p>
      <w:pPr>
        <w:keepNext/>
        <w:keepLines/>
        <w:numPr>
          <w:ilvl w:val="0"/>
          <w:numId w:val="4"/>
        </w:numPr>
        <w:spacing w:before="280" w:after="290" w:line="376" w:lineRule="atLeast"/>
        <w:outlineLvl w:val="3"/>
        <w:rPr>
          <w:rFonts w:ascii="Arial" w:eastAsia="黑体" w:hAnsi="Arial"/>
          <w:b/>
          <w:bCs/>
          <w:sz w:val="28"/>
          <w:szCs w:val="21"/>
        </w:rPr>
      </w:pPr>
      <w:r>
        <w:rPr>
          <w:rFonts w:ascii="Arial" w:eastAsia="黑体" w:hAnsi="Arial" w:hint="eastAsia"/>
          <w:b/>
          <w:bCs/>
          <w:sz w:val="28"/>
          <w:szCs w:val="21"/>
        </w:rPr>
        <w:t>软件交付</w:t>
      </w:r>
    </w:p>
    <w:p>
      <w:pPr>
        <w:spacing w:line="360" w:lineRule="auto"/>
        <w:ind w:firstLine="420"/>
        <w:rPr>
          <w:rFonts w:ascii="宋体" w:hAnsi="宋体"/>
          <w:szCs w:val="21"/>
        </w:rPr>
      </w:pPr>
      <w:r>
        <w:rPr>
          <w:rFonts w:ascii="宋体" w:hAnsi="宋体" w:hint="eastAsia"/>
          <w:szCs w:val="21"/>
        </w:rPr>
        <w:t>项目</w:t>
      </w:r>
      <w:r>
        <w:rPr>
          <w:rFonts w:ascii="宋体" w:hAnsi="宋体"/>
          <w:szCs w:val="21"/>
        </w:rPr>
        <w:t>软件</w:t>
      </w:r>
      <w:r>
        <w:rPr>
          <w:rFonts w:ascii="宋体" w:hAnsi="宋体" w:hint="eastAsia"/>
          <w:szCs w:val="21"/>
        </w:rPr>
        <w:t>系统</w:t>
      </w:r>
      <w:r>
        <w:rPr>
          <w:rFonts w:ascii="宋体" w:hAnsi="宋体"/>
          <w:szCs w:val="21"/>
        </w:rPr>
        <w:t>验收通过后，</w:t>
      </w:r>
      <w:r>
        <w:rPr>
          <w:rFonts w:ascii="Times New Roman" w:hAnsi="Times New Roman" w:hint="eastAsia"/>
          <w:szCs w:val="21"/>
        </w:rPr>
        <w:t>中标人</w:t>
      </w:r>
      <w:r>
        <w:rPr>
          <w:rFonts w:ascii="宋体" w:hAnsi="宋体"/>
          <w:szCs w:val="21"/>
        </w:rPr>
        <w:t>必须按验收评审意见，做好后续工作，并在得到验收</w:t>
      </w:r>
      <w:r>
        <w:rPr>
          <w:rFonts w:ascii="宋体" w:hAnsi="宋体" w:hint="eastAsia"/>
          <w:szCs w:val="21"/>
        </w:rPr>
        <w:t>组织机构</w:t>
      </w:r>
      <w:r>
        <w:rPr>
          <w:rFonts w:ascii="宋体" w:hAnsi="宋体"/>
          <w:szCs w:val="21"/>
        </w:rPr>
        <w:t>或其指定人员认可后，按合同书要求，将</w:t>
      </w:r>
      <w:r>
        <w:rPr>
          <w:rFonts w:ascii="宋体" w:hAnsi="宋体" w:hint="eastAsia"/>
          <w:szCs w:val="21"/>
        </w:rPr>
        <w:t>项目</w:t>
      </w:r>
      <w:r>
        <w:rPr>
          <w:rFonts w:ascii="宋体" w:hAnsi="宋体"/>
          <w:szCs w:val="21"/>
        </w:rPr>
        <w:t>软件</w:t>
      </w:r>
      <w:r>
        <w:rPr>
          <w:rFonts w:ascii="宋体" w:hAnsi="宋体" w:hint="eastAsia"/>
          <w:szCs w:val="21"/>
        </w:rPr>
        <w:t>系统交付</w:t>
      </w:r>
      <w:r>
        <w:rPr>
          <w:rFonts w:ascii="宋体" w:hAnsi="宋体"/>
          <w:szCs w:val="21"/>
        </w:rPr>
        <w:t>给</w:t>
      </w:r>
      <w:r>
        <w:rPr>
          <w:rFonts w:ascii="宋体" w:hAnsi="宋体" w:hint="eastAsia"/>
          <w:szCs w:val="21"/>
        </w:rPr>
        <w:t>采购人</w:t>
      </w:r>
      <w:r>
        <w:rPr>
          <w:rFonts w:ascii="宋体" w:hAnsi="宋体"/>
          <w:szCs w:val="21"/>
        </w:rPr>
        <w:t>。具体要求如下：</w:t>
      </w:r>
    </w:p>
    <w:p>
      <w:pPr>
        <w:tabs>
          <w:tab w:val="left" w:pos="1140"/>
        </w:tabs>
        <w:spacing w:line="360" w:lineRule="auto"/>
        <w:ind w:left="420" w:hanging="420" w:hangingChars="200"/>
        <w:rPr>
          <w:rFonts w:ascii="宋体" w:hAnsi="宋体"/>
          <w:szCs w:val="21"/>
        </w:rPr>
      </w:pPr>
      <w:r>
        <w:rPr>
          <w:rFonts w:ascii="宋体" w:hAnsi="宋体" w:hint="eastAsia"/>
          <w:szCs w:val="21"/>
        </w:rPr>
        <w:t>（1）交付双方应按验收大纲的要求做好交付</w:t>
      </w:r>
      <w:r>
        <w:rPr>
          <w:rFonts w:ascii="宋体" w:hAnsi="宋体"/>
          <w:szCs w:val="21"/>
        </w:rPr>
        <w:t>/</w:t>
      </w:r>
      <w:r>
        <w:rPr>
          <w:rFonts w:ascii="宋体" w:hAnsi="宋体" w:hint="eastAsia"/>
          <w:szCs w:val="21"/>
        </w:rPr>
        <w:t>接收的准备工作，指定采购人交接的负责人；</w:t>
      </w:r>
    </w:p>
    <w:p>
      <w:pPr>
        <w:tabs>
          <w:tab w:val="left" w:pos="1140"/>
        </w:tabs>
        <w:spacing w:line="360" w:lineRule="auto"/>
        <w:ind w:left="420" w:hanging="420" w:hangingChars="200"/>
        <w:rPr>
          <w:rFonts w:ascii="宋体" w:hAnsi="宋体"/>
          <w:szCs w:val="21"/>
        </w:rPr>
      </w:pPr>
      <w:r>
        <w:rPr>
          <w:rFonts w:ascii="宋体" w:hAnsi="宋体" w:hint="eastAsia"/>
          <w:szCs w:val="21"/>
        </w:rPr>
        <w:t>（2）</w:t>
      </w:r>
      <w:r>
        <w:rPr>
          <w:rFonts w:ascii="Times New Roman" w:hAnsi="Times New Roman" w:hint="eastAsia"/>
          <w:szCs w:val="21"/>
        </w:rPr>
        <w:t>中标人</w:t>
      </w:r>
      <w:r>
        <w:rPr>
          <w:rFonts w:ascii="宋体" w:hAnsi="宋体" w:hint="eastAsia"/>
          <w:szCs w:val="21"/>
        </w:rPr>
        <w:t>根据合同规定提出项目交付清单，在验收组织机构的审定与监督下，逐项核实并交付给采购人。交付结束后形成项目交付文件，并由双方签署完整的交付清单。该文件应包括以下内容：</w:t>
      </w:r>
      <w:r>
        <w:rPr>
          <w:rFonts w:ascii="宋体" w:hAnsi="宋体"/>
          <w:szCs w:val="21"/>
        </w:rPr>
        <w:t xml:space="preserve"> </w:t>
      </w:r>
    </w:p>
    <w:p>
      <w:pPr>
        <w:numPr>
          <w:ilvl w:val="0"/>
          <w:numId w:val="12"/>
        </w:numPr>
        <w:spacing w:line="360" w:lineRule="auto"/>
        <w:rPr>
          <w:rFonts w:ascii="宋体" w:hAnsi="宋体"/>
          <w:szCs w:val="21"/>
        </w:rPr>
      </w:pPr>
      <w:r>
        <w:rPr>
          <w:rFonts w:ascii="宋体" w:hAnsi="宋体" w:hint="eastAsia"/>
          <w:szCs w:val="21"/>
        </w:rPr>
        <w:t>各交付项的名称、数量和装载媒体等的详细说明；</w:t>
      </w:r>
    </w:p>
    <w:p>
      <w:pPr>
        <w:numPr>
          <w:ilvl w:val="0"/>
          <w:numId w:val="12"/>
        </w:numPr>
        <w:spacing w:line="360" w:lineRule="auto"/>
        <w:rPr>
          <w:rFonts w:ascii="宋体" w:hAnsi="宋体"/>
          <w:szCs w:val="21"/>
        </w:rPr>
      </w:pPr>
      <w:r>
        <w:rPr>
          <w:rFonts w:ascii="宋体" w:hAnsi="宋体" w:hint="eastAsia"/>
          <w:szCs w:val="21"/>
        </w:rPr>
        <w:t>交付的时间，地点；</w:t>
      </w:r>
    </w:p>
    <w:p>
      <w:pPr>
        <w:numPr>
          <w:ilvl w:val="0"/>
          <w:numId w:val="12"/>
        </w:numPr>
        <w:spacing w:line="360" w:lineRule="auto"/>
        <w:rPr>
          <w:rFonts w:ascii="宋体" w:hAnsi="宋体"/>
          <w:szCs w:val="21"/>
        </w:rPr>
      </w:pPr>
      <w:r>
        <w:rPr>
          <w:rFonts w:ascii="宋体" w:hAnsi="宋体" w:hint="eastAsia"/>
          <w:szCs w:val="21"/>
        </w:rPr>
        <w:t>双方交付负责人签名。</w:t>
      </w:r>
    </w:p>
    <w:p>
      <w:pPr>
        <w:keepNext/>
        <w:keepLines/>
        <w:numPr>
          <w:ilvl w:val="0"/>
          <w:numId w:val="4"/>
        </w:numPr>
        <w:spacing w:before="280" w:after="290" w:line="376" w:lineRule="atLeast"/>
        <w:outlineLvl w:val="3"/>
        <w:rPr>
          <w:rFonts w:ascii="Arial" w:eastAsia="黑体" w:hAnsi="Arial"/>
          <w:b/>
          <w:bCs/>
          <w:sz w:val="28"/>
          <w:szCs w:val="28"/>
        </w:rPr>
      </w:pPr>
      <w:r>
        <w:rPr>
          <w:rFonts w:ascii="Arial" w:eastAsia="黑体" w:hAnsi="Arial" w:hint="eastAsia"/>
          <w:b/>
          <w:bCs/>
          <w:sz w:val="28"/>
          <w:szCs w:val="28"/>
        </w:rPr>
        <w:t>成果约定</w:t>
      </w:r>
    </w:p>
    <w:p>
      <w:pPr>
        <w:spacing w:line="360" w:lineRule="auto"/>
        <w:ind w:firstLine="420"/>
        <w:rPr>
          <w:rFonts w:ascii="宋体" w:hAnsi="宋体" w:hint="eastAsia"/>
          <w:szCs w:val="21"/>
        </w:rPr>
      </w:pPr>
      <w:r>
        <w:rPr>
          <w:rFonts w:ascii="宋体" w:hAnsi="宋体" w:hint="eastAsia"/>
          <w:szCs w:val="21"/>
        </w:rPr>
        <w:t>因实施本项目所产生的研究开发成果（包括阶段性成果和总成果，包括但不限于软件源代码、可执行文件及相关开发文档资料）的全部知识产权（包括但不限于著作权、专利权、技术秘密等）归采购人所有, 中标人不享有上述权利，并且采购人在决定行使上述权利时，中标人应无条件予以协助。未经采购人书面同意，中标人不得主张任何权利，不得自行使用或许可他人使用，也不得提供或泄露给任何第三方。</w:t>
      </w:r>
    </w:p>
    <w:p>
      <w:pPr>
        <w:spacing w:line="360" w:lineRule="auto"/>
        <w:ind w:firstLine="420"/>
        <w:rPr>
          <w:rFonts w:ascii="宋体" w:hAnsi="宋体" w:hint="eastAsia"/>
          <w:szCs w:val="21"/>
        </w:rPr>
      </w:pPr>
      <w:r>
        <w:rPr>
          <w:rFonts w:ascii="宋体" w:hAnsi="宋体" w:hint="eastAsia"/>
          <w:szCs w:val="21"/>
        </w:rPr>
        <w:t>采购人有权利用因实施本项目产生的研究开发成果，进行后续改进。由此产生的具有实质性或创造性技术进步特征的新的技术成果及其权属，由采购人享有。</w:t>
      </w:r>
    </w:p>
    <w:p>
      <w:pPr>
        <w:spacing w:line="360" w:lineRule="auto"/>
        <w:ind w:firstLine="420"/>
        <w:rPr>
          <w:rFonts w:ascii="宋体" w:hAnsi="宋体" w:hint="eastAsia"/>
          <w:szCs w:val="21"/>
        </w:rPr>
      </w:pPr>
      <w:r>
        <w:rPr>
          <w:rFonts w:ascii="宋体" w:hAnsi="宋体" w:hint="eastAsia"/>
          <w:szCs w:val="21"/>
        </w:rPr>
        <w:t>项目软件平台运行中采集、收集、分析的所有数据都归采购人所有。</w:t>
      </w:r>
    </w:p>
    <w:p>
      <w:pPr>
        <w:spacing w:line="360" w:lineRule="auto"/>
        <w:ind w:firstLine="420"/>
        <w:rPr>
          <w:rFonts w:ascii="宋体" w:hAnsi="宋体" w:hint="eastAsia"/>
          <w:szCs w:val="21"/>
        </w:rPr>
      </w:pPr>
      <w:r>
        <w:rPr>
          <w:rFonts w:ascii="宋体" w:hAnsi="宋体" w:hint="eastAsia"/>
          <w:szCs w:val="21"/>
        </w:rPr>
        <w:t>未经采购人书面许可，中标人不得向第三方提供本项目建设使用的采购人相关数据资料，并且要做好数据的保密工作，中标人不得将本项目中算法及基于本项目算法开发的系统/平台进行任何商业化推广、服务等使用行为。</w:t>
      </w:r>
    </w:p>
    <w:p>
      <w:pPr>
        <w:spacing w:line="360" w:lineRule="auto"/>
        <w:ind w:firstLine="420"/>
        <w:rPr>
          <w:rFonts w:ascii="宋体" w:hAnsi="宋体"/>
          <w:szCs w:val="21"/>
        </w:rPr>
      </w:pPr>
      <w:r>
        <w:rPr>
          <w:rFonts w:ascii="宋体" w:hAnsi="宋体" w:hint="eastAsia"/>
          <w:szCs w:val="21"/>
        </w:rPr>
        <w:t>中标人应当保证其有关参与本次采购相关的活动包括履行本次采购的任何行为，以及本次采购活动结束之后的任何涉及到本次采购的行为，均不会侵犯任何第三方的知识产权。</w:t>
      </w:r>
    </w:p>
    <w:p>
      <w:pPr>
        <w:spacing w:line="360" w:lineRule="auto"/>
        <w:ind w:firstLine="420"/>
        <w:rPr>
          <w:rFonts w:ascii="Times New Roman" w:hAnsi="Times New Roman" w:hint="eastAsia"/>
          <w:szCs w:val="20"/>
        </w:rPr>
      </w:pPr>
      <w:r>
        <w:rPr>
          <w:rFonts w:ascii="宋体" w:hAnsi="宋体" w:hint="eastAsia"/>
          <w:szCs w:val="21"/>
        </w:rPr>
        <w:t>因实施本项目所产生的软件成果和产权归采购人所有，未经采购人同意中标人不得转移或使用。项目</w:t>
      </w:r>
      <w:r>
        <w:rPr>
          <w:rFonts w:ascii="宋体" w:hAnsi="宋体"/>
          <w:szCs w:val="21"/>
        </w:rPr>
        <w:t>通过验收后，所有文档、软件和资料交</w:t>
      </w:r>
      <w:r>
        <w:rPr>
          <w:rFonts w:ascii="宋体" w:hAnsi="宋体" w:hint="eastAsia"/>
          <w:szCs w:val="21"/>
        </w:rPr>
        <w:t>采购人</w:t>
      </w:r>
      <w:r>
        <w:rPr>
          <w:rFonts w:ascii="宋体" w:hAnsi="宋体"/>
          <w:szCs w:val="21"/>
        </w:rPr>
        <w:t>统一归档。</w:t>
      </w:r>
    </w:p>
    <w:p>
      <w:pPr>
        <w:spacing w:line="360" w:lineRule="auto"/>
        <w:rPr>
          <w:rFonts w:ascii="宋体" w:hAnsi="宋体" w:hint="eastAsia"/>
          <w:szCs w:val="21"/>
        </w:rPr>
      </w:pPr>
    </w:p>
    <w:p w:rsidR="00A77B3E"/>
    <w:p>
      <w:pPr>
        <w:adjustRightInd w:val="0"/>
        <w:snapToGrid w:val="0"/>
        <w:spacing w:line="360" w:lineRule="auto"/>
        <w:jc w:val="center"/>
        <w:rPr>
          <w:rFonts w:ascii="宋体" w:hAnsi="宋体" w:hint="eastAsia"/>
          <w:b/>
          <w:sz w:val="30"/>
          <w:szCs w:val="30"/>
          <w:highlight w:val="none"/>
        </w:rPr>
        <w:sectPr>
          <w:footerReference w:type="default" r:id="rId7"/>
          <w:pgSz w:w="11906" w:h="16838"/>
          <w:pgMar w:top="1418" w:right="1418" w:bottom="1418" w:left="1701" w:header="851" w:footer="851" w:gutter="0"/>
          <w:cols w:space="708"/>
          <w:docGrid w:type="linesAndChars" w:linePitch="312"/>
        </w:sectPr>
      </w:pPr>
      <w:bookmarkEnd w:id="60"/>
    </w:p>
    <w:p>
      <w:pPr>
        <w:spacing w:before="156" w:beforeLines="50" w:line="360" w:lineRule="auto"/>
        <w:jc w:val="center"/>
        <w:outlineLvl w:val="1"/>
        <w:rPr>
          <w:rFonts w:ascii="宋体" w:hAnsi="宋体"/>
          <w:b/>
          <w:sz w:val="30"/>
          <w:szCs w:val="30"/>
          <w:highlight w:val="none"/>
        </w:rPr>
      </w:pPr>
      <w:bookmarkStart w:id="70" w:name="投标被拒绝条款专用部分_JJTK"/>
      <w:r>
        <w:rPr>
          <w:rFonts w:ascii="宋体" w:hAnsi="宋体" w:cs="Times New Roman" w:hint="eastAsia"/>
          <w:b/>
          <w:sz w:val="30"/>
          <w:szCs w:val="30"/>
          <w:highlight w:val="none"/>
        </w:rPr>
        <w:t>第八章  投标被拒绝条款专用部分</w:t>
      </w:r>
    </w:p>
    <w:p>
      <w:pPr>
        <w:adjustRightInd w:val="0"/>
        <w:snapToGrid w:val="0"/>
        <w:spacing w:before="156" w:beforeLines="50" w:line="360" w:lineRule="auto"/>
        <w:ind w:firstLine="420" w:firstLineChars="200"/>
        <w:rPr>
          <w:rFonts w:ascii="宋体" w:hAnsi="宋体"/>
          <w:szCs w:val="21"/>
          <w:highlight w:val="none"/>
        </w:rPr>
      </w:pPr>
      <w:r>
        <w:rPr>
          <w:rFonts w:ascii="宋体" w:hAnsi="宋体" w:cs="Times New Roman" w:hint="eastAsia"/>
          <w:szCs w:val="21"/>
          <w:highlight w:val="none"/>
        </w:rPr>
        <w:t>本项目投标被拒绝专用条款详见下表。除下表及</w:t>
      </w:r>
      <w:r>
        <w:rPr>
          <w:rFonts w:ascii="黑体" w:eastAsia="黑体" w:hAnsi="黑体" w:cs="Times New Roman" w:hint="eastAsia"/>
          <w:b/>
          <w:bCs/>
          <w:szCs w:val="21"/>
          <w:highlight w:val="none"/>
        </w:rPr>
        <w:t>第三章投标被拒绝条款通用部分</w:t>
      </w:r>
      <w:r>
        <w:rPr>
          <w:rFonts w:ascii="宋体" w:hAnsi="宋体" w:cs="Times New Roman"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sz w:val="18"/>
                <w:szCs w:val="18"/>
                <w:highlight w:val="none"/>
              </w:rPr>
            </w:pPr>
            <w:r>
              <w:rPr>
                <w:rFonts w:ascii="Times New Roman" w:hAnsi="Times New Roman" w:cs="Times New Roman" w:hint="eastAsia"/>
                <w:sz w:val="18"/>
                <w:szCs w:val="18"/>
                <w:highlight w:val="none"/>
              </w:rPr>
              <w:t>序号</w:t>
            </w:r>
          </w:p>
        </w:tc>
        <w:tc>
          <w:tcPr>
            <w:tcW w:w="898" w:type="dxa"/>
            <w:noWrap w:val="0"/>
            <w:vAlign w:val="center"/>
          </w:tcPr>
          <w:p>
            <w:pPr>
              <w:jc w:val="center"/>
              <w:rPr>
                <w:sz w:val="18"/>
                <w:szCs w:val="18"/>
                <w:highlight w:val="none"/>
              </w:rPr>
            </w:pPr>
            <w:r>
              <w:rPr>
                <w:rFonts w:ascii="Times New Roman" w:hAnsi="Times New Roman" w:cs="Times New Roman" w:hint="eastAsia"/>
                <w:sz w:val="18"/>
                <w:szCs w:val="18"/>
                <w:highlight w:val="none"/>
              </w:rPr>
              <w:t>对应</w:t>
            </w:r>
          </w:p>
          <w:p>
            <w:pPr>
              <w:jc w:val="center"/>
              <w:rPr>
                <w:sz w:val="18"/>
                <w:szCs w:val="18"/>
                <w:highlight w:val="none"/>
              </w:rPr>
            </w:pPr>
            <w:r>
              <w:rPr>
                <w:rFonts w:ascii="Times New Roman" w:hAnsi="Times New Roman" w:cs="Times New Roman" w:hint="eastAsia"/>
                <w:sz w:val="18"/>
                <w:szCs w:val="18"/>
                <w:highlight w:val="none"/>
              </w:rPr>
              <w:t>条款号</w:t>
            </w:r>
          </w:p>
        </w:tc>
        <w:tc>
          <w:tcPr>
            <w:tcW w:w="7347" w:type="dxa"/>
            <w:noWrap w:val="0"/>
            <w:vAlign w:val="center"/>
          </w:tcPr>
          <w:p>
            <w:pPr>
              <w:jc w:val="center"/>
              <w:rPr>
                <w:sz w:val="18"/>
                <w:szCs w:val="18"/>
                <w:highlight w:val="none"/>
              </w:rPr>
            </w:pPr>
            <w:r>
              <w:rPr>
                <w:rFonts w:ascii="Times New Roman" w:hAnsi="Times New Roman" w:cs="Times New Roman" w:hint="eastAsia"/>
                <w:sz w:val="18"/>
                <w:szCs w:val="18"/>
                <w:highlight w:val="none"/>
              </w:rPr>
              <w:t>内 容</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b/>
                <w:sz w:val="18"/>
                <w:szCs w:val="18"/>
                <w:highlight w:val="none"/>
              </w:rPr>
            </w:pPr>
            <w:r>
              <w:rPr>
                <w:rFonts w:ascii="Times New Roman" w:hAnsi="Times New Roman" w:cs="Times New Roman" w:hint="eastAsia"/>
                <w:b/>
                <w:sz w:val="18"/>
                <w:szCs w:val="18"/>
                <w:highlight w:val="none"/>
              </w:rPr>
              <w:t>第五章 投标人须知专用部分</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r>
              <w:rPr>
                <w:rFonts w:ascii="宋体" w:hAnsi="宋体" w:cs="Times New Roman" w:hint="eastAsia"/>
                <w:sz w:val="18"/>
                <w:szCs w:val="18"/>
                <w:highlight w:val="none"/>
              </w:rPr>
              <w:t>5</w:t>
            </w:r>
            <w:r>
              <w:rPr>
                <w:rFonts w:ascii="宋体" w:hAnsi="宋体" w:cs="Times New Roman"/>
                <w:sz w:val="18"/>
                <w:szCs w:val="18"/>
                <w:highlight w:val="none"/>
              </w:rPr>
              <w:t>.2</w:t>
            </w:r>
          </w:p>
        </w:tc>
        <w:tc>
          <w:tcPr>
            <w:tcW w:w="7347" w:type="dxa"/>
            <w:noWrap w:val="0"/>
            <w:vAlign w:val="top"/>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1、xxxxxx；2、xxxxxx</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r>
        <w:tblPrEx>
          <w:tblW w:w="0" w:type="auto"/>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sz w:val="18"/>
                <w:szCs w:val="18"/>
                <w:highlight w:val="none"/>
              </w:rPr>
            </w:pPr>
            <w:r>
              <w:rPr>
                <w:rFonts w:ascii="Times New Roman" w:hAnsi="Times New Roman" w:cs="Times New Roman" w:hint="eastAsia"/>
                <w:b/>
                <w:sz w:val="18"/>
                <w:szCs w:val="18"/>
                <w:highlight w:val="none"/>
              </w:rPr>
              <w:t>第七章  采购需求</w:t>
            </w:r>
          </w:p>
        </w:tc>
      </w:tr>
      <w:tr>
        <w:tblPrEx>
          <w:tblW w:w="0" w:type="auto"/>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59"/>
              </w:numPr>
              <w:rPr>
                <w:rFonts w:ascii="宋体" w:hAnsi="宋体"/>
                <w:sz w:val="18"/>
                <w:szCs w:val="18"/>
                <w:highlight w:val="none"/>
              </w:rPr>
            </w:pPr>
          </w:p>
        </w:tc>
        <w:tc>
          <w:tcPr>
            <w:tcW w:w="898" w:type="dxa"/>
            <w:noWrap w:val="0"/>
            <w:vAlign w:val="center"/>
          </w:tcPr>
          <w:p>
            <w:pPr>
              <w:jc w:val="center"/>
              <w:rPr>
                <w:rFonts w:ascii="宋体" w:hAnsi="宋体"/>
                <w:sz w:val="18"/>
                <w:szCs w:val="18"/>
                <w:highlight w:val="none"/>
              </w:rPr>
            </w:pPr>
          </w:p>
        </w:tc>
        <w:tc>
          <w:tcPr>
            <w:tcW w:w="7347" w:type="dxa"/>
            <w:noWrap w:val="0"/>
            <w:vAlign w:val="center"/>
          </w:tcPr>
          <w:p>
            <w:pPr>
              <w:tabs>
                <w:tab w:val="left" w:pos="709"/>
              </w:tabs>
              <w:spacing w:line="360" w:lineRule="auto"/>
              <w:jc w:val="left"/>
              <w:rPr>
                <w:rFonts w:ascii="宋体" w:hAnsi="宋体"/>
                <w:sz w:val="18"/>
                <w:szCs w:val="18"/>
                <w:highlight w:val="none"/>
              </w:rPr>
            </w:pPr>
            <w:r>
              <w:rPr>
                <w:rFonts w:ascii="宋体" w:hAnsi="宋体" w:cs="微软雅黑" w:hint="eastAsia"/>
                <w:b/>
                <w:color w:val="0000FF"/>
                <w:kern w:val="0"/>
                <w:sz w:val="18"/>
                <w:szCs w:val="18"/>
                <w:highlight w:val="none"/>
              </w:rPr>
              <w:t>……</w:t>
            </w:r>
            <w:r>
              <w:rPr>
                <w:rFonts w:ascii="宋体" w:hAnsi="宋体" w:cs="微软雅黑"/>
                <w:b/>
                <w:color w:val="0000FF"/>
                <w:kern w:val="0"/>
                <w:sz w:val="18"/>
                <w:szCs w:val="18"/>
                <w:highlight w:val="none"/>
              </w:rPr>
              <w:t xml:space="preserve">      ……            ……</w:t>
            </w:r>
          </w:p>
        </w:tc>
      </w:tr>
    </w:tbl>
    <w:p>
      <w:pPr>
        <w:spacing w:before="156" w:beforeLines="50" w:line="360" w:lineRule="auto"/>
        <w:rPr>
          <w:rFonts w:ascii="宋体" w:hAnsi="宋体"/>
          <w:szCs w:val="21"/>
          <w:highlight w:val="none"/>
        </w:rPr>
      </w:pPr>
      <w:r>
        <w:rPr>
          <w:rFonts w:ascii="宋体" w:hAnsi="宋体" w:cs="Times New Roman" w:hint="eastAsia"/>
          <w:szCs w:val="21"/>
          <w:highlight w:val="none"/>
        </w:rPr>
        <w:t>注：根据项目具体情况，对投标人有具体要求，且</w:t>
      </w:r>
      <w:r>
        <w:rPr>
          <w:rFonts w:ascii="宋体" w:hAnsi="宋体" w:cs="Times New Roman" w:hint="eastAsia"/>
          <w:szCs w:val="21"/>
          <w:highlight w:val="none"/>
        </w:rPr>
        <w:t>投标人必须遵守的，逐条列出</w:t>
      </w:r>
      <w:r>
        <w:rPr>
          <w:rFonts w:ascii="宋体" w:hAnsi="宋体" w:cs="Times New Roman" w:hint="eastAsia"/>
          <w:szCs w:val="21"/>
          <w:highlight w:val="none"/>
        </w:rPr>
        <w:t>。</w:t>
      </w:r>
    </w:p>
    <w:p>
      <w:pPr>
        <w:spacing w:before="156" w:beforeLines="50" w:line="360" w:lineRule="auto"/>
        <w:ind w:firstLine="420"/>
        <w:rPr>
          <w:highlight w:val="none"/>
        </w:rPr>
      </w:pP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8"/>
          <w:footerReference w:type="default" r:id="rId9"/>
          <w:pgSz w:w="11906" w:h="16838"/>
          <w:pgMar w:top="1440" w:right="1800" w:bottom="1440" w:left="1800" w:header="851" w:footer="992" w:gutter="0"/>
          <w:cols w:space="708"/>
          <w:docGrid w:type="lines" w:linePitch="312"/>
        </w:sectPr>
      </w:pPr>
      <w:bookmarkEnd w:id="70"/>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4161F4">
      <w:pPr>
        <w:numPr>
          <w:ilvl w:val="0"/>
          <w:numId w:val="17"/>
        </w:numPr>
        <w:spacing w:line="360" w:lineRule="auto"/>
        <w:ind w:firstLine="3066" w:firstLineChars="1460"/>
        <w:jc w:val="left"/>
        <w:rPr>
          <w:rFonts w:ascii="Times New Roman" w:eastAsia="宋体" w:hAnsi="Times New Roman" w:cs="Times New Roman"/>
          <w:b/>
          <w:bCs/>
          <w:szCs w:val="21"/>
        </w:rPr>
      </w:pPr>
      <w:bookmarkStart w:id="71" w:name="采购公告合同部分_ZBGGHT"/>
      <w:r>
        <w:rPr>
          <w:rFonts w:ascii="Times New Roman" w:eastAsia="宋体" w:hAnsi="Times New Roman" w:cs="Times New Roman" w:hint="eastAsia"/>
          <w:b/>
          <w:bCs/>
          <w:szCs w:val="21"/>
        </w:rPr>
        <w:t xml:space="preserve"> </w:t>
      </w:r>
      <w:r>
        <w:rPr>
          <w:rFonts w:ascii="Times New Roman" w:eastAsia="宋体" w:hAnsi="Times New Roman" w:cs="Times New Roman" w:hint="eastAsia"/>
          <w:b/>
          <w:bCs/>
          <w:szCs w:val="21"/>
        </w:rPr>
        <w:t>采购合同</w:t>
      </w:r>
    </w:p>
    <w:p w:rsidR="004161F4">
      <w:pPr>
        <w:spacing w:line="360" w:lineRule="auto"/>
        <w:ind w:left="1680" w:firstLine="420"/>
        <w:jc w:val="left"/>
        <w:rPr>
          <w:rFonts w:ascii="Times New Roman" w:eastAsia="宋体" w:hAnsi="Times New Roman" w:cs="Times New Roman"/>
          <w:b/>
          <w:bCs/>
          <w:szCs w:val="21"/>
        </w:rPr>
      </w:pPr>
      <w:r w:rsidRPr="00BD6DF2">
        <w:rPr>
          <w:rFonts w:hint="eastAsia"/>
          <w:b/>
          <w:bCs/>
          <w:szCs w:val="21"/>
        </w:rPr>
        <w:t>必须明确合同金额支付条件及支付比例</w:t>
      </w:r>
    </w:p>
    <w:p w:rsidR="004161F4">
      <w:pPr>
        <w:spacing w:line="360" w:lineRule="auto"/>
        <w:ind w:right="-210" w:rightChars="-100"/>
        <w:jc w:val="center"/>
        <w:rPr>
          <w:rFonts w:ascii="方正小标宋简体" w:eastAsia="方正小标宋简体" w:hAnsi="方正小标宋简体" w:cs="方正小标宋简体"/>
          <w:bCs/>
          <w:sz w:val="44"/>
          <w:szCs w:val="44"/>
        </w:rPr>
      </w:pPr>
      <w:r>
        <w:rPr>
          <w:rFonts w:ascii="宋体" w:eastAsia="宋体" w:hAnsi="宋体" w:cs="Times New Roman"/>
          <w:szCs w:val="21"/>
        </w:rPr>
        <w:br w:type="page"/>
      </w:r>
      <w:r>
        <w:rPr>
          <w:rFonts w:ascii="方正小标宋简体" w:eastAsia="方正小标宋简体" w:hAnsi="方正小标宋简体" w:cs="方正小标宋简体" w:hint="eastAsia"/>
          <w:bCs/>
          <w:sz w:val="44"/>
          <w:szCs w:val="44"/>
        </w:rPr>
        <w:t>中国</w:t>
      </w:r>
      <w:r>
        <w:rPr>
          <w:rFonts w:ascii="方正小标宋简体" w:eastAsia="方正小标宋简体" w:hAnsi="方正小标宋简体" w:cs="方正小标宋简体" w:hint="eastAsia"/>
          <w:bCs/>
          <w:sz w:val="44"/>
          <w:szCs w:val="44"/>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方正小标宋简体" w:eastAsia="方正小标宋简体" w:hAnsi="方正小标宋简体" w:cs="方正小标宋简体" w:hint="eastAsia"/>
          <w:bCs/>
          <w:sz w:val="44"/>
          <w:szCs w:val="44"/>
        </w:rPr>
        <w:instrText>ADDIN CNKISM.UserStyle</w:instrText>
      </w:r>
      <w:r>
        <w:rPr>
          <w:rFonts w:ascii="方正小标宋简体" w:eastAsia="方正小标宋简体" w:hAnsi="方正小标宋简体" w:cs="方正小标宋简体" w:hint="eastAsia"/>
          <w:bCs/>
          <w:sz w:val="44"/>
          <w:szCs w:val="44"/>
        </w:rPr>
        <w:fldChar w:fldCharType="separate"/>
      </w:r>
      <w:r>
        <w:rPr>
          <w:rFonts w:ascii="方正小标宋简体" w:eastAsia="方正小标宋简体" w:hAnsi="方正小标宋简体" w:cs="方正小标宋简体" w:hint="eastAsia"/>
          <w:bCs/>
          <w:sz w:val="44"/>
          <w:szCs w:val="44"/>
        </w:rPr>
        <w:fldChar w:fldCharType="end"/>
      </w:r>
      <w:r>
        <w:rPr>
          <w:rFonts w:ascii="方正小标宋简体" w:eastAsia="方正小标宋简体" w:hAnsi="方正小标宋简体" w:cs="方正小标宋简体" w:hint="eastAsia"/>
          <w:bCs/>
          <w:sz w:val="44"/>
          <w:szCs w:val="44"/>
        </w:rPr>
        <w:t>气象局气象业务软件开发合同</w:t>
      </w:r>
    </w:p>
    <w:p w:rsidR="004161F4">
      <w:pPr>
        <w:spacing w:line="360" w:lineRule="auto"/>
        <w:ind w:right="-210" w:rightChars="-100"/>
        <w:rPr>
          <w:rFonts w:ascii="宋体" w:eastAsia="宋体" w:hAnsi="宋体" w:cs="宋体"/>
          <w:szCs w:val="21"/>
        </w:rPr>
      </w:pPr>
    </w:p>
    <w:p w:rsidR="004161F4">
      <w:pPr>
        <w:spacing w:line="360" w:lineRule="auto"/>
        <w:ind w:right="-210" w:rightChars="-100"/>
        <w:rPr>
          <w:rFonts w:ascii="宋体" w:eastAsia="宋体" w:hAnsi="宋体" w:cs="宋体"/>
          <w:szCs w:val="21"/>
        </w:rPr>
      </w:pPr>
    </w:p>
    <w:p w:rsidR="004161F4">
      <w:pPr>
        <w:spacing w:line="360" w:lineRule="auto"/>
        <w:ind w:right="-210" w:rightChars="-100"/>
        <w:rPr>
          <w:rFonts w:ascii="宋体" w:eastAsia="宋体" w:hAnsi="宋体" w:cs="宋体"/>
          <w:szCs w:val="21"/>
        </w:rPr>
      </w:pPr>
      <w:r>
        <w:rPr>
          <w:rFonts w:ascii="宋体" w:eastAsia="宋体" w:hAnsi="宋体" w:cs="宋体" w:hint="eastAsia"/>
          <w:szCs w:val="21"/>
        </w:rPr>
        <w:t>合同编号：</w:t>
      </w:r>
    </w:p>
    <w:p w:rsidR="004161F4">
      <w:pPr>
        <w:spacing w:line="360" w:lineRule="auto"/>
        <w:jc w:val="center"/>
        <w:rPr>
          <w:rFonts w:ascii="宋体" w:eastAsia="宋体" w:hAnsi="宋体" w:cs="宋体"/>
          <w:szCs w:val="21"/>
        </w:rPr>
      </w:pPr>
    </w:p>
    <w:p w:rsidR="004161F4">
      <w:pPr>
        <w:spacing w:line="360" w:lineRule="auto"/>
        <w:jc w:val="center"/>
        <w:rPr>
          <w:rFonts w:ascii="宋体" w:eastAsia="宋体" w:hAnsi="宋体" w:cs="宋体"/>
          <w:b/>
          <w:sz w:val="28"/>
          <w:szCs w:val="28"/>
        </w:rPr>
      </w:pPr>
      <w:r>
        <w:rPr>
          <w:rFonts w:ascii="宋体" w:eastAsia="宋体" w:hAnsi="宋体" w:cs="宋体" w:hint="eastAsia"/>
          <w:b/>
          <w:sz w:val="28"/>
          <w:szCs w:val="28"/>
        </w:rPr>
        <w:t>技术开发（委托）合同</w:t>
      </w:r>
    </w:p>
    <w:p w:rsidR="004161F4">
      <w:pPr>
        <w:spacing w:line="360" w:lineRule="auto"/>
        <w:jc w:val="center"/>
        <w:rPr>
          <w:rFonts w:ascii="宋体" w:eastAsia="宋体" w:hAnsi="宋体" w:cs="宋体"/>
          <w:szCs w:val="21"/>
        </w:rPr>
      </w:pPr>
    </w:p>
    <w:p w:rsidR="004161F4">
      <w:pPr>
        <w:spacing w:line="360" w:lineRule="auto"/>
        <w:jc w:val="center"/>
        <w:rPr>
          <w:rFonts w:ascii="宋体" w:eastAsia="宋体" w:hAnsi="宋体" w:cs="宋体"/>
          <w:szCs w:val="21"/>
        </w:rPr>
      </w:pPr>
    </w:p>
    <w:p w:rsidR="004161F4" w:rsidP="00BD6DF2">
      <w:pPr>
        <w:spacing w:line="600" w:lineRule="auto"/>
        <w:ind w:left="1413" w:right="-32" w:hanging="991" w:leftChars="201" w:rightChars="-15" w:hangingChars="472"/>
        <w:rPr>
          <w:rFonts w:ascii="宋体" w:eastAsia="宋体" w:hAnsi="宋体" w:cs="宋体"/>
          <w:szCs w:val="21"/>
        </w:rPr>
      </w:pPr>
      <w:r>
        <w:rPr>
          <w:rFonts w:ascii="宋体" w:eastAsia="宋体" w:hAnsi="宋体" w:cs="宋体" w:hint="eastAsia"/>
          <w:b/>
          <w:bCs/>
          <w:szCs w:val="21"/>
        </w:rPr>
        <w:t>项目名称：</w:t>
      </w:r>
      <w:r w:rsidRPr="00E273CC" w:rsidR="00E273CC">
        <w:rPr>
          <w:rFonts w:ascii="宋体" w:eastAsia="宋体" w:hAnsi="宋体" w:cs="宋体" w:hint="eastAsia"/>
          <w:szCs w:val="21"/>
          <w:u w:val="single"/>
        </w:rPr>
        <w:t>智慧短临</w:t>
      </w:r>
      <w:r w:rsidRPr="00E273CC" w:rsidR="00E273CC">
        <w:rPr>
          <w:rFonts w:ascii="宋体" w:eastAsia="宋体" w:hAnsi="宋体" w:cs="宋体" w:hint="eastAsia"/>
          <w:szCs w:val="21"/>
          <w:u w:val="single"/>
        </w:rPr>
        <w:t>气象闪信预警</w:t>
      </w:r>
      <w:r w:rsidRPr="00E273CC" w:rsidR="00E273CC">
        <w:rPr>
          <w:rFonts w:ascii="宋体" w:eastAsia="宋体" w:hAnsi="宋体" w:cs="宋体" w:hint="eastAsia"/>
          <w:szCs w:val="21"/>
          <w:u w:val="single"/>
        </w:rPr>
        <w:t>信息发布平台建设项目-智慧短临预警气象服务大语言模型</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u w:val="single"/>
        </w:rPr>
      </w:pPr>
      <w:r>
        <w:rPr>
          <w:rFonts w:ascii="宋体" w:eastAsia="宋体" w:hAnsi="宋体" w:cs="宋体" w:hint="eastAsia"/>
          <w:b/>
          <w:bCs/>
          <w:szCs w:val="21"/>
        </w:rPr>
        <w:t>委托方（甲方）：</w:t>
      </w:r>
      <w:r>
        <w:rPr>
          <w:rFonts w:ascii="宋体" w:eastAsia="宋体" w:hAnsi="宋体" w:cs="宋体" w:hint="eastAsia"/>
          <w:szCs w:val="21"/>
          <w:u w:val="single"/>
        </w:rPr>
        <w:t xml:space="preserve">    </w:t>
      </w:r>
      <w:r w:rsidR="005C34D5">
        <w:rPr>
          <w:rFonts w:ascii="宋体" w:eastAsia="宋体" w:hAnsi="宋体" w:cs="宋体"/>
          <w:szCs w:val="21"/>
          <w:u w:val="single"/>
        </w:rPr>
        <w:t xml:space="preserve">       </w:t>
      </w:r>
      <w:r w:rsidR="005C34D5">
        <w:rPr>
          <w:rFonts w:ascii="宋体" w:eastAsia="宋体" w:hAnsi="宋体" w:cs="宋体" w:hint="eastAsia"/>
          <w:szCs w:val="21"/>
          <w:u w:val="single"/>
        </w:rPr>
        <w:t>中国气象局公共气象服务中心</w:t>
      </w:r>
      <w:r>
        <w:rPr>
          <w:rFonts w:ascii="宋体" w:eastAsia="宋体" w:hAnsi="宋体" w:cs="宋体" w:hint="eastAsia"/>
          <w:szCs w:val="21"/>
          <w:u w:val="single"/>
        </w:rPr>
        <w:t xml:space="preserve">  </w:t>
      </w:r>
      <w:r w:rsidR="005C34D5">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u w:val="single"/>
        </w:rPr>
      </w:pPr>
    </w:p>
    <w:p w:rsidR="004161F4">
      <w:pPr>
        <w:spacing w:line="600" w:lineRule="auto"/>
        <w:ind w:right="-15" w:firstLine="420" w:firstLineChars="200"/>
        <w:rPr>
          <w:rFonts w:ascii="宋体" w:eastAsia="宋体" w:hAnsi="宋体" w:cs="宋体"/>
          <w:szCs w:val="21"/>
        </w:rPr>
      </w:pPr>
      <w:r>
        <w:rPr>
          <w:rFonts w:ascii="宋体" w:eastAsia="宋体" w:hAnsi="宋体" w:cs="宋体" w:hint="eastAsia"/>
          <w:b/>
          <w:bCs/>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left="-540" w:right="-15" w:firstLine="420" w:firstLineChars="200"/>
        <w:rPr>
          <w:rFonts w:ascii="宋体" w:eastAsia="宋体" w:hAnsi="宋体" w:cs="宋体"/>
          <w:szCs w:val="21"/>
          <w:u w:val="single"/>
        </w:rPr>
      </w:pPr>
      <w:r>
        <w:rPr>
          <w:rFonts w:ascii="宋体" w:eastAsia="宋体" w:hAnsi="宋体" w:cs="宋体" w:hint="eastAsia"/>
          <w:szCs w:val="21"/>
        </w:rPr>
        <w:t xml:space="preserve">                   </w:t>
      </w:r>
    </w:p>
    <w:p w:rsidR="004161F4">
      <w:pPr>
        <w:spacing w:line="600" w:lineRule="auto"/>
        <w:ind w:left="-180" w:right="-15" w:firstLine="630" w:firstLineChars="300"/>
        <w:rPr>
          <w:rFonts w:ascii="宋体" w:eastAsia="宋体" w:hAnsi="宋体" w:cs="宋体"/>
          <w:szCs w:val="21"/>
          <w:u w:val="single"/>
        </w:rPr>
      </w:pPr>
      <w:r>
        <w:rPr>
          <w:rFonts w:ascii="宋体" w:eastAsia="宋体" w:hAnsi="宋体" w:cs="宋体" w:hint="eastAsia"/>
          <w:b/>
          <w:bCs/>
          <w:szCs w:val="21"/>
        </w:rPr>
        <w:t>签订时间：</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b/>
          <w:bCs/>
          <w:szCs w:val="21"/>
        </w:rPr>
      </w:pPr>
      <w:r>
        <w:rPr>
          <w:rFonts w:ascii="宋体" w:eastAsia="宋体" w:hAnsi="宋体" w:cs="宋体" w:hint="eastAsia"/>
          <w:b/>
          <w:bCs/>
          <w:szCs w:val="21"/>
        </w:rPr>
        <w:t>签订地点：</w:t>
      </w:r>
      <w:r>
        <w:rPr>
          <w:rFonts w:ascii="宋体" w:eastAsia="宋体" w:hAnsi="宋体" w:cs="宋体" w:hint="eastAsia"/>
          <w:szCs w:val="21"/>
          <w:u w:val="single"/>
        </w:rPr>
        <w:t xml:space="preserve">               </w:t>
      </w:r>
      <w:r>
        <w:rPr>
          <w:rFonts w:ascii="宋体" w:eastAsia="宋体" w:hAnsi="宋体" w:cs="宋体"/>
          <w:szCs w:val="21"/>
          <w:u w:val="single"/>
        </w:rPr>
        <w:t xml:space="preserve">           </w:t>
      </w:r>
      <w:r w:rsidR="005C34D5">
        <w:rPr>
          <w:rFonts w:ascii="宋体" w:eastAsia="宋体" w:hAnsi="宋体" w:cs="宋体" w:hint="eastAsia"/>
          <w:szCs w:val="21"/>
          <w:u w:val="single"/>
        </w:rPr>
        <w:t>北京</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600" w:lineRule="auto"/>
        <w:ind w:right="-15" w:firstLine="420" w:firstLineChars="200"/>
        <w:rPr>
          <w:rFonts w:ascii="宋体" w:eastAsia="宋体" w:hAnsi="宋体" w:cs="宋体"/>
          <w:szCs w:val="21"/>
          <w:u w:val="single"/>
        </w:rPr>
      </w:pPr>
      <w:r>
        <w:rPr>
          <w:rFonts w:ascii="宋体" w:eastAsia="宋体" w:hAnsi="宋体" w:cs="宋体" w:hint="eastAsia"/>
          <w:b/>
          <w:bCs/>
          <w:szCs w:val="21"/>
        </w:rPr>
        <w:t>有效期限：</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360" w:lineRule="auto"/>
        <w:jc w:val="center"/>
        <w:rPr>
          <w:rFonts w:ascii="宋体" w:eastAsia="宋体" w:hAnsi="宋体" w:cs="宋体"/>
          <w:b/>
          <w:sz w:val="28"/>
          <w:szCs w:val="28"/>
        </w:rPr>
      </w:pPr>
      <w:r>
        <w:rPr>
          <w:rFonts w:ascii="宋体" w:eastAsia="宋体" w:hAnsi="宋体" w:cs="宋体"/>
          <w:szCs w:val="21"/>
        </w:rPr>
        <w:br w:type="page"/>
      </w:r>
      <w:r>
        <w:rPr>
          <w:rFonts w:ascii="宋体" w:eastAsia="宋体" w:hAnsi="宋体" w:cs="宋体" w:hint="eastAsia"/>
          <w:b/>
          <w:sz w:val="28"/>
          <w:szCs w:val="28"/>
        </w:rPr>
        <w:t>技术开发（委托）合同</w:t>
      </w:r>
    </w:p>
    <w:p w:rsidR="004161F4">
      <w:pPr>
        <w:spacing w:line="360" w:lineRule="auto"/>
        <w:ind w:firstLine="1680" w:firstLineChars="800"/>
        <w:rPr>
          <w:rFonts w:ascii="宋体" w:eastAsia="宋体" w:hAnsi="宋体" w:cs="宋体"/>
          <w:szCs w:val="21"/>
        </w:rPr>
      </w:pPr>
    </w:p>
    <w:p w:rsidR="004161F4">
      <w:pPr>
        <w:spacing w:line="480" w:lineRule="auto"/>
        <w:rPr>
          <w:rFonts w:ascii="宋体" w:eastAsia="宋体" w:hAnsi="宋体" w:cs="宋体"/>
          <w:szCs w:val="21"/>
        </w:rPr>
      </w:pPr>
      <w:r>
        <w:rPr>
          <w:rFonts w:ascii="宋体" w:eastAsia="宋体" w:hAnsi="宋体" w:cs="宋体" w:hint="eastAsia"/>
          <w:szCs w:val="21"/>
        </w:rPr>
        <w:t xml:space="preserve">委托方（甲方）： </w:t>
      </w:r>
      <w:r>
        <w:rPr>
          <w:rFonts w:ascii="宋体" w:eastAsia="宋体" w:hAnsi="宋体" w:cs="宋体" w:hint="eastAsia"/>
          <w:szCs w:val="21"/>
          <w:u w:val="single"/>
        </w:rPr>
        <w:t xml:space="preserve">            </w:t>
      </w:r>
      <w:r w:rsidRPr="005C34D5" w:rsidR="005C34D5">
        <w:rPr>
          <w:rFonts w:ascii="宋体" w:eastAsia="宋体" w:hAnsi="宋体" w:cs="宋体" w:hint="eastAsia"/>
          <w:szCs w:val="21"/>
          <w:u w:val="single"/>
        </w:rPr>
        <w:t>中国气象局公共气象服务中心</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sidR="005C34D5">
        <w:rPr>
          <w:rFonts w:ascii="宋体" w:eastAsia="宋体" w:hAnsi="宋体" w:cs="宋体" w:hint="eastAsia"/>
          <w:szCs w:val="21"/>
          <w:u w:val="single"/>
        </w:rPr>
        <w:t>北京市海淀区中关村南大街4</w:t>
      </w:r>
      <w:r w:rsidR="005C34D5">
        <w:rPr>
          <w:rFonts w:ascii="宋体" w:eastAsia="宋体" w:hAnsi="宋体" w:cs="宋体"/>
          <w:szCs w:val="21"/>
          <w:u w:val="single"/>
        </w:rPr>
        <w:t>6</w:t>
      </w:r>
      <w:r w:rsidR="005C34D5">
        <w:rPr>
          <w:rFonts w:ascii="宋体" w:eastAsia="宋体" w:hAnsi="宋体" w:cs="宋体" w:hint="eastAsia"/>
          <w:szCs w:val="21"/>
          <w:u w:val="single"/>
        </w:rPr>
        <w:t>号气象科技大楼</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联系方式：</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sidR="0074010F">
        <w:rPr>
          <w:rFonts w:ascii="宋体" w:eastAsia="宋体" w:hAnsi="宋体" w:cs="宋体"/>
          <w:szCs w:val="21"/>
          <w:u w:val="single"/>
        </w:rPr>
        <w:t xml:space="preserve">            </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sidR="00337F11">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sidR="005F4194">
        <w:rPr>
          <w:rFonts w:ascii="宋体" w:eastAsia="宋体" w:hAnsi="宋体" w:cs="宋体" w:hint="eastAsia"/>
          <w:szCs w:val="21"/>
          <w:u w:val="single"/>
        </w:rPr>
        <w:t xml:space="preserve"> </w:t>
      </w:r>
      <w:r w:rsidR="005F4194">
        <w:rPr>
          <w:rFonts w:ascii="宋体" w:eastAsia="宋体" w:hAnsi="宋体" w:cs="宋体"/>
          <w:szCs w:val="21"/>
          <w:u w:val="single"/>
        </w:rPr>
        <w:t xml:space="preserve">    </w:t>
      </w:r>
      <w:r w:rsidR="005F4194">
        <w:rPr>
          <w:rFonts w:ascii="宋体" w:eastAsia="宋体" w:hAnsi="宋体" w:cs="宋体" w:hint="eastAsia"/>
          <w:szCs w:val="21"/>
          <w:u w:val="single"/>
        </w:rPr>
        <w:t xml:space="preserve"> </w:t>
      </w:r>
      <w:r w:rsidRPr="005C34D5" w:rsidR="005C34D5">
        <w:rPr>
          <w:rFonts w:ascii="宋体" w:eastAsia="宋体" w:hAnsi="宋体" w:cs="宋体" w:hint="eastAsia"/>
          <w:szCs w:val="21"/>
          <w:u w:val="single"/>
        </w:rPr>
        <w:t>北京市海淀区中关村南大街46号</w:t>
      </w:r>
      <w:r w:rsidR="005C34D5">
        <w:rPr>
          <w:rFonts w:ascii="宋体" w:eastAsia="宋体" w:hAnsi="宋体" w:cs="宋体" w:hint="eastAsia"/>
          <w:szCs w:val="21"/>
          <w:u w:val="single"/>
        </w:rPr>
        <w:t>公共气象服务中心</w:t>
      </w:r>
      <w:r w:rsidR="005F4194">
        <w:rPr>
          <w:rFonts w:ascii="宋体" w:eastAsia="宋体" w:hAnsi="宋体" w:cs="宋体" w:hint="eastAsia"/>
          <w:szCs w:val="21"/>
          <w:u w:val="single"/>
        </w:rPr>
        <w:t xml:space="preserve"> </w:t>
      </w:r>
      <w:r w:rsidR="005F4194">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rPr>
          <w:rFonts w:ascii="宋体" w:eastAsia="宋体" w:hAnsi="宋体" w:cs="宋体"/>
          <w:szCs w:val="21"/>
          <w:u w:val="single"/>
        </w:rPr>
      </w:pPr>
      <w:r>
        <w:rPr>
          <w:rFonts w:ascii="宋体" w:eastAsia="宋体" w:hAnsi="宋体" w:cs="宋体" w:hint="eastAsia"/>
          <w:szCs w:val="21"/>
        </w:rPr>
        <w:t>受托方（乙方）：</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住  所  地：</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法定代表人：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项目联系人：</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rPr>
      </w:pPr>
      <w:r>
        <w:rPr>
          <w:rFonts w:ascii="宋体" w:eastAsia="宋体" w:hAnsi="宋体" w:cs="宋体" w:hint="eastAsia"/>
          <w:szCs w:val="21"/>
        </w:rPr>
        <w:t xml:space="preserve">联系方式： </w:t>
      </w:r>
      <w:r>
        <w:rPr>
          <w:rFonts w:ascii="宋体" w:eastAsia="宋体" w:hAnsi="宋体" w:cs="宋体" w:hint="eastAsia"/>
          <w:szCs w:val="21"/>
          <w:u w:val="single"/>
        </w:rPr>
        <w:t xml:space="preserve">                                                       </w:t>
      </w:r>
    </w:p>
    <w:p w:rsidR="004161F4">
      <w:pPr>
        <w:tabs>
          <w:tab w:val="left" w:pos="8100"/>
        </w:tabs>
        <w:spacing w:line="480" w:lineRule="auto"/>
        <w:ind w:firstLine="210" w:firstLineChars="100"/>
        <w:rPr>
          <w:rFonts w:ascii="宋体" w:eastAsia="宋体" w:hAnsi="宋体" w:cs="宋体"/>
          <w:szCs w:val="21"/>
          <w:u w:val="single"/>
        </w:rPr>
      </w:pPr>
      <w:r>
        <w:rPr>
          <w:rFonts w:ascii="宋体" w:eastAsia="宋体" w:hAnsi="宋体" w:cs="宋体" w:hint="eastAsia"/>
          <w:szCs w:val="21"/>
        </w:rPr>
        <w:t>通讯地址：</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w:t>
      </w:r>
      <w:r>
        <w:rPr>
          <w:rFonts w:ascii="宋体" w:eastAsia="宋体" w:hAnsi="宋体" w:cs="宋体"/>
          <w:szCs w:val="21"/>
        </w:rPr>
        <w:t xml:space="preserve">    </w:t>
      </w:r>
      <w:r>
        <w:rPr>
          <w:rFonts w:ascii="宋体" w:eastAsia="宋体" w:hAnsi="宋体" w:cs="宋体" w:hint="eastAsia"/>
          <w:szCs w:val="21"/>
        </w:rPr>
        <w:t>话：</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传</w:t>
      </w:r>
      <w:r>
        <w:rPr>
          <w:rFonts w:ascii="宋体" w:eastAsia="宋体" w:hAnsi="宋体" w:cs="宋体"/>
          <w:szCs w:val="21"/>
        </w:rPr>
        <w:t xml:space="preserve">    </w:t>
      </w:r>
      <w:r>
        <w:rPr>
          <w:rFonts w:ascii="宋体" w:eastAsia="宋体" w:hAnsi="宋体" w:cs="宋体" w:hint="eastAsia"/>
          <w:szCs w:val="21"/>
        </w:rPr>
        <w:t>真：</w:t>
      </w:r>
      <w:r>
        <w:rPr>
          <w:rFonts w:ascii="宋体" w:eastAsia="宋体" w:hAnsi="宋体" w:cs="宋体" w:hint="eastAsia"/>
          <w:szCs w:val="21"/>
          <w:u w:val="single"/>
        </w:rPr>
        <w:t xml:space="preserve">                        </w:t>
      </w:r>
    </w:p>
    <w:p w:rsidR="004161F4">
      <w:pPr>
        <w:spacing w:line="480" w:lineRule="auto"/>
        <w:ind w:firstLine="210" w:firstLineChars="100"/>
        <w:rPr>
          <w:rFonts w:ascii="宋体" w:eastAsia="宋体" w:hAnsi="宋体" w:cs="宋体"/>
          <w:szCs w:val="21"/>
          <w:u w:val="single"/>
        </w:rPr>
      </w:pPr>
      <w:r>
        <w:rPr>
          <w:rFonts w:ascii="宋体" w:eastAsia="宋体" w:hAnsi="宋体" w:cs="宋体" w:hint="eastAsia"/>
          <w:szCs w:val="21"/>
        </w:rPr>
        <w:t>电子信箱：</w:t>
      </w: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ind w:firstLine="420" w:firstLineChars="200"/>
        <w:jc w:val="left"/>
        <w:rPr>
          <w:rFonts w:ascii="宋体" w:hAnsi="宋体" w:cs="宋体"/>
          <w:szCs w:val="21"/>
        </w:rPr>
        <w:sectPr>
          <w:footerReference w:type="even" r:id="rId10"/>
          <w:footerReference w:type="default" r:id="rId11"/>
          <w:pgSz w:w="11906" w:h="16838"/>
          <w:pgMar w:top="1440" w:right="1800" w:bottom="1440" w:left="1800" w:header="851" w:footer="992" w:gutter="0"/>
          <w:cols w:space="720"/>
          <w:docGrid w:type="lines" w:linePitch="312"/>
        </w:sect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p>
    <w:p w:rsidR="004161F4">
      <w:pPr>
        <w:jc w:val="center"/>
        <w:rPr>
          <w:rFonts w:ascii="黑体" w:eastAsia="黑体" w:hAnsi="黑体" w:cs="黑体"/>
          <w:sz w:val="32"/>
          <w:szCs w:val="32"/>
        </w:rPr>
      </w:pPr>
      <w:r>
        <w:rPr>
          <w:rFonts w:ascii="黑体" w:eastAsia="黑体" w:hAnsi="黑体" w:cs="黑体" w:hint="eastAsia"/>
          <w:sz w:val="32"/>
          <w:szCs w:val="32"/>
        </w:rPr>
        <w:t>使 用 说 明</w:t>
      </w:r>
    </w:p>
    <w:p w:rsidR="004161F4">
      <w:pPr>
        <w:jc w:val="center"/>
        <w:rPr>
          <w:rFonts w:ascii="黑体" w:eastAsia="黑体" w:hAnsi="黑体" w:cs="黑体"/>
          <w:sz w:val="32"/>
          <w:szCs w:val="32"/>
        </w:rPr>
      </w:pPr>
    </w:p>
    <w:p w:rsidR="004161F4">
      <w:pPr>
        <w:numPr>
          <w:ilvl w:val="0"/>
          <w:numId w:val="1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本合同标准文本适用于气象部门需要供应商定</w:t>
      </w:r>
      <w:r>
        <w:rPr>
          <w:rFonts w:ascii="宋体" w:eastAsia="宋体" w:hAnsi="宋体" w:cs="宋体" w:hint="eastAsia"/>
          <w:sz w:val="28"/>
          <w:szCs w:val="28"/>
        </w:rPr>
        <w:t>制开发</w:t>
      </w:r>
      <w:r>
        <w:rPr>
          <w:rFonts w:ascii="宋体" w:eastAsia="宋体" w:hAnsi="宋体" w:cs="宋体" w:hint="eastAsia"/>
          <w:sz w:val="28"/>
          <w:szCs w:val="28"/>
        </w:rPr>
        <w:t>的气象业务软件采购项目。</w:t>
      </w:r>
    </w:p>
    <w:p w:rsidR="004161F4">
      <w:pPr>
        <w:numPr>
          <w:ilvl w:val="0"/>
          <w:numId w:val="1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本合同标准文本为气象部门采购气象业务软件定制开发合同编制提供参考，可以结合采购项目具体情况，对文本作必要的调整修订后使用。</w:t>
      </w:r>
    </w:p>
    <w:p w:rsidR="004161F4">
      <w:pPr>
        <w:numPr>
          <w:ilvl w:val="0"/>
          <w:numId w:val="18"/>
        </w:numPr>
        <w:spacing w:line="360" w:lineRule="auto"/>
        <w:ind w:firstLine="638" w:firstLineChars="228"/>
        <w:rPr>
          <w:rFonts w:ascii="宋体" w:eastAsia="宋体" w:hAnsi="宋体" w:cs="宋体"/>
          <w:sz w:val="28"/>
          <w:szCs w:val="28"/>
        </w:rPr>
      </w:pPr>
      <w:r>
        <w:rPr>
          <w:rFonts w:ascii="宋体" w:eastAsia="宋体" w:hAnsi="宋体" w:cs="宋体" w:hint="eastAsia"/>
          <w:sz w:val="28"/>
          <w:szCs w:val="28"/>
        </w:rPr>
        <w:t>本合同标准文本各条款中，如涉及填写多家供应商、多种采购标的等信息的，可根据采购项目具体情况添加信息项。</w:t>
      </w:r>
    </w:p>
    <w:p w:rsidR="004161F4" w:rsidP="00E67FAF">
      <w:pPr>
        <w:spacing w:line="360" w:lineRule="auto"/>
        <w:ind w:firstLine="420" w:firstLineChars="200"/>
        <w:rPr>
          <w:rFonts w:ascii="宋体" w:eastAsia="宋体" w:hAnsi="宋体" w:cs="宋体"/>
          <w:snapToGrid w:val="0"/>
          <w:szCs w:val="21"/>
        </w:rPr>
      </w:pPr>
      <w:r>
        <w:rPr>
          <w:rFonts w:ascii="宋体" w:eastAsia="宋体" w:hAnsi="宋体" w:cs="宋体"/>
          <w:szCs w:val="21"/>
        </w:rPr>
        <w:br w:type="page"/>
      </w:r>
      <w:r>
        <w:rPr>
          <w:rFonts w:ascii="宋体" w:eastAsia="宋体" w:hAnsi="宋体" w:cs="宋体" w:hint="eastAsia"/>
          <w:snapToGrid w:val="0"/>
          <w:szCs w:val="21"/>
        </w:rPr>
        <w:t>根据《中华人民共和国政府采购法》《中华人民共和国民法典》以及法律法规和行业标准，甲方通过公开招标，选定乙方为</w:t>
      </w:r>
      <w:r>
        <w:rPr>
          <w:rFonts w:ascii="宋体" w:eastAsia="宋体" w:hAnsi="宋体" w:cs="宋体" w:hint="eastAsia"/>
          <w:snapToGrid w:val="0"/>
          <w:szCs w:val="21"/>
          <w:u w:val="single"/>
        </w:rPr>
        <w:t xml:space="preserve"> </w:t>
      </w:r>
      <w:r w:rsidRPr="00E273CC" w:rsidR="00E273CC">
        <w:rPr>
          <w:rFonts w:ascii="宋体" w:eastAsia="宋体" w:hAnsi="宋体" w:cs="宋体" w:hint="eastAsia"/>
          <w:snapToGrid w:val="0"/>
          <w:szCs w:val="21"/>
          <w:u w:val="single"/>
        </w:rPr>
        <w:t>智慧短临</w:t>
      </w:r>
      <w:r w:rsidRPr="00E273CC" w:rsidR="00E273CC">
        <w:rPr>
          <w:rFonts w:ascii="宋体" w:eastAsia="宋体" w:hAnsi="宋体" w:cs="宋体" w:hint="eastAsia"/>
          <w:snapToGrid w:val="0"/>
          <w:szCs w:val="21"/>
          <w:u w:val="single"/>
        </w:rPr>
        <w:t>气象闪信预警</w:t>
      </w:r>
      <w:r w:rsidRPr="00E273CC" w:rsidR="00E273CC">
        <w:rPr>
          <w:rFonts w:ascii="宋体" w:eastAsia="宋体" w:hAnsi="宋体" w:cs="宋体" w:hint="eastAsia"/>
          <w:snapToGrid w:val="0"/>
          <w:szCs w:val="21"/>
          <w:u w:val="single"/>
        </w:rPr>
        <w:t>信息发布平台建设项目-智慧短临预警气象服务大语言模型</w:t>
      </w:r>
      <w:r>
        <w:rPr>
          <w:rFonts w:ascii="宋体" w:eastAsia="宋体" w:hAnsi="宋体" w:cs="宋体"/>
          <w:snapToGrid w:val="0"/>
          <w:szCs w:val="21"/>
          <w:u w:val="single"/>
        </w:rPr>
        <w:t xml:space="preserve"> </w:t>
      </w:r>
      <w:r>
        <w:rPr>
          <w:rFonts w:ascii="宋体" w:eastAsia="宋体" w:hAnsi="宋体" w:cs="宋体" w:hint="eastAsia"/>
          <w:snapToGrid w:val="0"/>
          <w:szCs w:val="21"/>
        </w:rPr>
        <w:t>项目的中标供应商。双方经过平等协商，在真实、充分地表达各自意愿的基础上，达成如下协议，并由双方共同恪守。</w:t>
      </w:r>
    </w:p>
    <w:p w:rsidR="004161F4">
      <w:pPr>
        <w:keepNext/>
        <w:keepLines/>
        <w:numPr>
          <w:ilvl w:val="0"/>
          <w:numId w:val="19"/>
        </w:numPr>
        <w:spacing w:before="60" w:after="60" w:line="360" w:lineRule="auto"/>
        <w:jc w:val="left"/>
        <w:outlineLvl w:val="1"/>
        <w:rPr>
          <w:rFonts w:ascii="宋体" w:eastAsia="宋体" w:hAnsi="宋体" w:cs="宋体"/>
          <w:b/>
          <w:bCs/>
          <w:szCs w:val="21"/>
        </w:rPr>
      </w:pPr>
      <w:bookmarkStart w:id="72" w:name="_Toc150439537"/>
      <w:r>
        <w:rPr>
          <w:rFonts w:ascii="宋体" w:eastAsia="宋体" w:hAnsi="宋体" w:cs="宋体" w:hint="eastAsia"/>
          <w:b/>
          <w:bCs/>
          <w:szCs w:val="21"/>
        </w:rPr>
        <w:t>项目内容及概况</w:t>
      </w:r>
      <w:bookmarkEnd w:id="72"/>
      <w:r>
        <w:rPr>
          <w:rFonts w:ascii="宋体" w:eastAsia="宋体" w:hAnsi="宋体" w:cs="宋体" w:hint="eastAsia"/>
          <w:b/>
          <w:bCs/>
          <w:szCs w:val="21"/>
        </w:rP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887"/>
        <w:gridCol w:w="728"/>
        <w:gridCol w:w="772"/>
        <w:gridCol w:w="1462"/>
        <w:gridCol w:w="1464"/>
        <w:gridCol w:w="146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644" w:type="pct"/>
          </w:tcPr>
          <w:p w:rsidR="004161F4">
            <w:pPr>
              <w:jc w:val="left"/>
              <w:rPr>
                <w:rFonts w:ascii="宋体" w:eastAsia="宋体" w:hAnsi="宋体" w:cs="宋体"/>
                <w:szCs w:val="21"/>
              </w:rPr>
            </w:pPr>
            <w:r>
              <w:rPr>
                <w:rFonts w:ascii="宋体" w:eastAsia="宋体" w:hAnsi="宋体" w:cs="宋体" w:hint="eastAsia"/>
                <w:szCs w:val="21"/>
              </w:rPr>
              <w:t>名称</w:t>
            </w:r>
          </w:p>
        </w:tc>
        <w:tc>
          <w:tcPr>
            <w:tcW w:w="415" w:type="pct"/>
          </w:tcPr>
          <w:p w:rsidR="004161F4">
            <w:pPr>
              <w:jc w:val="left"/>
              <w:rPr>
                <w:rFonts w:ascii="宋体" w:eastAsia="宋体" w:hAnsi="宋体" w:cs="宋体"/>
                <w:szCs w:val="21"/>
              </w:rPr>
            </w:pPr>
            <w:r>
              <w:rPr>
                <w:rFonts w:ascii="宋体" w:eastAsia="宋体" w:hAnsi="宋体" w:cs="宋体" w:hint="eastAsia"/>
                <w:szCs w:val="21"/>
              </w:rPr>
              <w:t>数量</w:t>
            </w:r>
          </w:p>
        </w:tc>
        <w:tc>
          <w:tcPr>
            <w:tcW w:w="440" w:type="pct"/>
          </w:tcPr>
          <w:p w:rsidR="004161F4">
            <w:pPr>
              <w:jc w:val="left"/>
              <w:rPr>
                <w:rFonts w:ascii="宋体" w:eastAsia="宋体" w:hAnsi="宋体" w:cs="宋体"/>
                <w:szCs w:val="21"/>
              </w:rPr>
            </w:pPr>
            <w:r>
              <w:rPr>
                <w:rFonts w:ascii="宋体" w:eastAsia="宋体" w:hAnsi="宋体" w:cs="宋体" w:hint="eastAsia"/>
                <w:szCs w:val="21"/>
              </w:rPr>
              <w:t>单位</w:t>
            </w:r>
          </w:p>
        </w:tc>
        <w:tc>
          <w:tcPr>
            <w:tcW w:w="833" w:type="pct"/>
          </w:tcPr>
          <w:p w:rsidR="004161F4">
            <w:pPr>
              <w:jc w:val="left"/>
              <w:rPr>
                <w:rFonts w:ascii="宋体" w:eastAsia="宋体" w:hAnsi="宋体" w:cs="宋体"/>
                <w:szCs w:val="21"/>
              </w:rPr>
            </w:pPr>
            <w:r>
              <w:rPr>
                <w:rFonts w:ascii="宋体" w:eastAsia="宋体" w:hAnsi="宋体" w:cs="宋体" w:hint="eastAsia"/>
                <w:szCs w:val="21"/>
              </w:rPr>
              <w:t>单价（元）</w:t>
            </w:r>
          </w:p>
        </w:tc>
        <w:tc>
          <w:tcPr>
            <w:tcW w:w="834" w:type="pct"/>
          </w:tcPr>
          <w:p w:rsidR="004161F4">
            <w:pPr>
              <w:jc w:val="left"/>
              <w:rPr>
                <w:rFonts w:ascii="宋体" w:eastAsia="宋体" w:hAnsi="宋体" w:cs="宋体"/>
                <w:szCs w:val="21"/>
              </w:rPr>
            </w:pPr>
            <w:r>
              <w:rPr>
                <w:rFonts w:ascii="宋体" w:eastAsia="宋体" w:hAnsi="宋体" w:cs="宋体" w:hint="eastAsia"/>
                <w:szCs w:val="21"/>
              </w:rPr>
              <w:t>合计（元）</w:t>
            </w:r>
          </w:p>
        </w:tc>
        <w:tc>
          <w:tcPr>
            <w:tcW w:w="834" w:type="pct"/>
          </w:tcPr>
          <w:p w:rsidR="004161F4">
            <w:pPr>
              <w:jc w:val="left"/>
              <w:rPr>
                <w:rFonts w:ascii="宋体" w:eastAsia="宋体" w:hAnsi="宋体" w:cs="宋体"/>
                <w:szCs w:val="21"/>
              </w:rPr>
            </w:pPr>
            <w:r>
              <w:rPr>
                <w:rFonts w:ascii="宋体" w:eastAsia="宋体" w:hAnsi="宋体" w:cs="宋体" w:hint="eastAsia"/>
                <w:szCs w:val="21"/>
              </w:rPr>
              <w:t>备注</w:t>
            </w:r>
          </w:p>
        </w:tc>
      </w:tr>
      <w:tr>
        <w:tblPrEx>
          <w:tblW w:w="5000" w:type="pct"/>
          <w:tblLook w:val="04A0"/>
        </w:tblPrEx>
        <w:tc>
          <w:tcPr>
            <w:tcW w:w="1644" w:type="pct"/>
          </w:tcPr>
          <w:p w:rsidR="004161F4">
            <w:pPr>
              <w:jc w:val="left"/>
              <w:rPr>
                <w:rFonts w:ascii="宋体" w:eastAsia="宋体" w:hAnsi="宋体" w:cs="宋体"/>
                <w:szCs w:val="21"/>
              </w:rPr>
            </w:pPr>
            <w:r w:rsidRPr="00E273CC">
              <w:rPr>
                <w:rFonts w:ascii="宋体" w:eastAsia="宋体" w:hAnsi="宋体" w:cs="宋体" w:hint="eastAsia"/>
                <w:szCs w:val="21"/>
              </w:rPr>
              <w:t>智慧短临</w:t>
            </w:r>
            <w:r w:rsidRPr="00E273CC">
              <w:rPr>
                <w:rFonts w:ascii="宋体" w:eastAsia="宋体" w:hAnsi="宋体" w:cs="宋体" w:hint="eastAsia"/>
                <w:szCs w:val="21"/>
              </w:rPr>
              <w:t>气象闪信预警</w:t>
            </w:r>
            <w:r w:rsidRPr="00E273CC">
              <w:rPr>
                <w:rFonts w:ascii="宋体" w:eastAsia="宋体" w:hAnsi="宋体" w:cs="宋体" w:hint="eastAsia"/>
                <w:szCs w:val="21"/>
              </w:rPr>
              <w:t>信息发布平台建设项目-智慧短临预警气象服务大语言模型</w:t>
            </w:r>
          </w:p>
        </w:tc>
        <w:tc>
          <w:tcPr>
            <w:tcW w:w="415" w:type="pct"/>
          </w:tcPr>
          <w:p w:rsidR="004161F4">
            <w:pPr>
              <w:jc w:val="left"/>
              <w:rPr>
                <w:rFonts w:ascii="宋体" w:eastAsia="宋体" w:hAnsi="宋体" w:cs="宋体"/>
                <w:szCs w:val="21"/>
              </w:rPr>
            </w:pPr>
            <w:r>
              <w:rPr>
                <w:rFonts w:ascii="宋体" w:eastAsia="宋体" w:hAnsi="宋体" w:cs="宋体" w:hint="eastAsia"/>
                <w:szCs w:val="21"/>
              </w:rPr>
              <w:t>1</w:t>
            </w:r>
          </w:p>
        </w:tc>
        <w:tc>
          <w:tcPr>
            <w:tcW w:w="440" w:type="pct"/>
          </w:tcPr>
          <w:p w:rsidR="004161F4">
            <w:pPr>
              <w:jc w:val="left"/>
              <w:rPr>
                <w:rFonts w:ascii="宋体" w:eastAsia="宋体" w:hAnsi="宋体" w:cs="宋体"/>
                <w:szCs w:val="21"/>
              </w:rPr>
            </w:pPr>
            <w:r>
              <w:rPr>
                <w:rFonts w:ascii="宋体" w:eastAsia="宋体" w:hAnsi="宋体" w:cs="宋体" w:hint="eastAsia"/>
                <w:szCs w:val="21"/>
              </w:rPr>
              <w:t>项</w:t>
            </w:r>
          </w:p>
        </w:tc>
        <w:tc>
          <w:tcPr>
            <w:tcW w:w="833" w:type="pct"/>
          </w:tcPr>
          <w:p w:rsidR="004161F4">
            <w:pPr>
              <w:jc w:val="left"/>
              <w:rPr>
                <w:rFonts w:ascii="宋体" w:eastAsia="宋体" w:hAnsi="宋体" w:cs="宋体"/>
                <w:szCs w:val="21"/>
              </w:rPr>
            </w:pPr>
          </w:p>
        </w:tc>
        <w:tc>
          <w:tcPr>
            <w:tcW w:w="834" w:type="pct"/>
          </w:tcPr>
          <w:p w:rsidR="004161F4">
            <w:pPr>
              <w:jc w:val="left"/>
              <w:rPr>
                <w:rFonts w:ascii="宋体" w:eastAsia="宋体" w:hAnsi="宋体" w:cs="宋体"/>
                <w:szCs w:val="21"/>
              </w:rPr>
            </w:pPr>
          </w:p>
        </w:tc>
        <w:tc>
          <w:tcPr>
            <w:tcW w:w="834" w:type="pct"/>
          </w:tcPr>
          <w:p w:rsidR="004161F4">
            <w:pPr>
              <w:jc w:val="left"/>
              <w:rPr>
                <w:rFonts w:ascii="宋体" w:eastAsia="宋体" w:hAnsi="宋体" w:cs="宋体"/>
                <w:szCs w:val="21"/>
              </w:rPr>
            </w:pPr>
          </w:p>
        </w:tc>
      </w:tr>
      <w:tr>
        <w:tblPrEx>
          <w:tblW w:w="5000" w:type="pct"/>
          <w:tblLook w:val="04A0"/>
        </w:tblPrEx>
        <w:tc>
          <w:tcPr>
            <w:tcW w:w="5000" w:type="pct"/>
            <w:gridSpan w:val="6"/>
          </w:tcPr>
          <w:p w:rsidR="004161F4">
            <w:pPr>
              <w:jc w:val="left"/>
              <w:rPr>
                <w:rFonts w:ascii="宋体" w:eastAsia="宋体" w:hAnsi="宋体" w:cs="宋体"/>
                <w:szCs w:val="21"/>
              </w:rPr>
            </w:pPr>
            <w:r>
              <w:rPr>
                <w:rFonts w:ascii="宋体" w:eastAsia="宋体" w:hAnsi="宋体" w:cs="宋体"/>
                <w:spacing w:val="6"/>
                <w:szCs w:val="21"/>
              </w:rPr>
              <w:t>合计总价</w:t>
            </w:r>
            <w:r>
              <w:rPr>
                <w:rFonts w:ascii="宋体" w:eastAsia="宋体" w:hAnsi="宋体" w:cs="宋体" w:hint="eastAsia"/>
                <w:spacing w:val="6"/>
                <w:szCs w:val="21"/>
              </w:rPr>
              <w:t>（人民币）</w:t>
            </w:r>
            <w:r>
              <w:rPr>
                <w:rFonts w:ascii="宋体" w:eastAsia="宋体" w:hAnsi="宋体" w:cs="宋体"/>
                <w:spacing w:val="6"/>
                <w:szCs w:val="21"/>
              </w:rPr>
              <w:t>：</w:t>
            </w:r>
            <w:r>
              <w:rPr>
                <w:rFonts w:ascii="宋体" w:eastAsia="宋体" w:hAnsi="宋体" w:cs="宋体" w:hint="eastAsia"/>
                <w:spacing w:val="6"/>
                <w:szCs w:val="21"/>
              </w:rPr>
              <w:t>￥</w:t>
            </w:r>
            <w:r>
              <w:rPr>
                <w:rFonts w:ascii="宋体" w:eastAsia="宋体" w:hAnsi="宋体" w:cs="宋体"/>
                <w:spacing w:val="7"/>
                <w:szCs w:val="21"/>
              </w:rPr>
              <w:t xml:space="preserve">    </w:t>
            </w:r>
            <w:r>
              <w:rPr>
                <w:rFonts w:ascii="宋体" w:eastAsia="宋体" w:hAnsi="宋体" w:cs="宋体"/>
                <w:spacing w:val="6"/>
                <w:szCs w:val="21"/>
              </w:rPr>
              <w:t>元（大写</w:t>
            </w:r>
            <w:r>
              <w:rPr>
                <w:rFonts w:ascii="宋体" w:eastAsia="宋体" w:hAnsi="宋体" w:cs="宋体"/>
                <w:szCs w:val="21"/>
              </w:rPr>
              <w:t>：</w:t>
            </w:r>
            <w:r>
              <w:rPr>
                <w:rFonts w:ascii="宋体" w:eastAsia="宋体" w:hAnsi="宋体" w:cs="宋体"/>
                <w:spacing w:val="1"/>
                <w:szCs w:val="21"/>
              </w:rPr>
              <w:t xml:space="preserve">                                </w:t>
            </w:r>
            <w:r>
              <w:rPr>
                <w:rFonts w:ascii="宋体" w:eastAsia="宋体" w:hAnsi="宋体" w:cs="宋体"/>
                <w:szCs w:val="21"/>
              </w:rPr>
              <w:t>）</w:t>
            </w:r>
          </w:p>
        </w:tc>
      </w:tr>
    </w:tbl>
    <w:p w:rsidR="004161F4" w:rsidP="00E67FAF">
      <w:pPr>
        <w:spacing w:line="360" w:lineRule="auto"/>
        <w:ind w:firstLine="420" w:firstLineChars="200"/>
        <w:rPr>
          <w:rFonts w:ascii="宋体" w:eastAsia="宋体" w:hAnsi="宋体" w:cs="宋体"/>
          <w:szCs w:val="21"/>
          <w:u w:val="single"/>
        </w:rPr>
      </w:pPr>
      <w:r>
        <w:rPr>
          <w:rFonts w:ascii="宋体" w:eastAsia="宋体" w:hAnsi="宋体" w:cs="宋体" w:hint="eastAsia"/>
          <w:szCs w:val="21"/>
        </w:rPr>
        <w:t>项目简要介绍：</w:t>
      </w:r>
      <w:r>
        <w:rPr>
          <w:rFonts w:ascii="宋体" w:eastAsia="宋体" w:hAnsi="宋体" w:cs="宋体" w:hint="eastAsia"/>
          <w:szCs w:val="21"/>
          <w:u w:val="single"/>
        </w:rPr>
        <w:t xml:space="preserve"> </w:t>
      </w:r>
      <w:r w:rsidRPr="00C30332" w:rsidR="00C30332">
        <w:rPr>
          <w:rFonts w:ascii="宋体" w:eastAsia="宋体" w:hAnsi="宋体" w:cs="宋体" w:hint="eastAsia"/>
          <w:szCs w:val="21"/>
          <w:u w:val="single"/>
        </w:rPr>
        <w:t>本项目建设智慧短临预警气象服务大语言模型、短临预警模型评估体系、基于短临预警数据的</w:t>
      </w:r>
      <w:r w:rsidRPr="00C30332" w:rsidR="00C30332">
        <w:rPr>
          <w:rFonts w:ascii="宋体" w:eastAsia="宋体" w:hAnsi="宋体" w:cs="宋体" w:hint="eastAsia"/>
          <w:szCs w:val="21"/>
          <w:u w:val="single"/>
        </w:rPr>
        <w:t>分众式服务</w:t>
      </w:r>
      <w:r w:rsidRPr="00C30332" w:rsidR="00C30332">
        <w:rPr>
          <w:rFonts w:ascii="宋体" w:eastAsia="宋体" w:hAnsi="宋体" w:cs="宋体" w:hint="eastAsia"/>
          <w:szCs w:val="21"/>
          <w:u w:val="single"/>
        </w:rPr>
        <w:t>智能体，形成智慧短临预警气象服务大语言模型基础支撑能力。</w:t>
      </w:r>
      <w:r w:rsidRPr="008D66FB" w:rsidR="008D66FB">
        <w:rPr>
          <w:rFonts w:ascii="宋体" w:eastAsia="宋体" w:hAnsi="宋体" w:cs="宋体" w:hint="eastAsia"/>
          <w:szCs w:val="21"/>
          <w:u w:val="single"/>
        </w:rPr>
        <w:t>。</w:t>
      </w:r>
    </w:p>
    <w:p w:rsidR="004161F4" w:rsidRPr="00297AE4" w:rsidP="00E67FAF">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乙方承担的研</w:t>
      </w:r>
      <w:r w:rsidRPr="00297AE4">
        <w:rPr>
          <w:rFonts w:ascii="宋体" w:eastAsia="宋体" w:hAnsi="宋体" w:cs="宋体" w:hint="eastAsia"/>
          <w:szCs w:val="21"/>
        </w:rPr>
        <w:t>究内容：</w:t>
      </w:r>
    </w:p>
    <w:p w:rsidR="004161F4" w:rsidRPr="00297AE4" w:rsidP="00E67FAF">
      <w:pPr>
        <w:spacing w:line="360" w:lineRule="auto"/>
        <w:ind w:firstLine="420" w:firstLineChars="200"/>
        <w:jc w:val="left"/>
        <w:rPr>
          <w:rFonts w:ascii="宋体" w:eastAsia="宋体" w:hAnsi="宋体" w:cs="宋体"/>
          <w:szCs w:val="21"/>
        </w:rPr>
      </w:pPr>
      <w:r w:rsidRPr="00257329">
        <w:rPr>
          <w:rFonts w:ascii="宋体" w:eastAsia="宋体" w:hAnsi="宋体" w:cs="宋体" w:hint="eastAsia"/>
          <w:szCs w:val="21"/>
        </w:rPr>
        <w:t>项目需求规格说明书和招标文件采购需求中的建设内容</w:t>
      </w:r>
      <w:r w:rsidRPr="00297AE4" w:rsidR="00296BC8">
        <w:rPr>
          <w:rFonts w:ascii="宋体" w:eastAsia="宋体" w:hAnsi="宋体" w:cs="宋体" w:hint="eastAsia"/>
          <w:szCs w:val="21"/>
        </w:rPr>
        <w:t>。</w:t>
      </w:r>
    </w:p>
    <w:p w:rsidR="004161F4" w:rsidRPr="00297AE4" w:rsidP="00E67FAF">
      <w:pPr>
        <w:spacing w:line="360" w:lineRule="auto"/>
        <w:ind w:firstLine="420" w:firstLineChars="200"/>
        <w:jc w:val="left"/>
        <w:rPr>
          <w:rFonts w:ascii="宋体" w:eastAsia="宋体" w:hAnsi="宋体" w:cs="宋体"/>
          <w:szCs w:val="21"/>
        </w:rPr>
      </w:pPr>
    </w:p>
    <w:p w:rsidR="004161F4" w:rsidRPr="00297AE4" w:rsidP="00E67FAF">
      <w:pPr>
        <w:spacing w:line="360" w:lineRule="auto"/>
        <w:ind w:firstLine="420" w:firstLineChars="200"/>
        <w:jc w:val="left"/>
        <w:rPr>
          <w:rFonts w:ascii="宋体" w:eastAsia="宋体" w:hAnsi="宋体" w:cs="宋体"/>
          <w:szCs w:val="21"/>
        </w:rPr>
      </w:pPr>
      <w:r w:rsidRPr="00297AE4">
        <w:rPr>
          <w:rFonts w:ascii="宋体" w:eastAsia="宋体" w:hAnsi="宋体" w:cs="宋体" w:hint="eastAsia"/>
          <w:szCs w:val="21"/>
        </w:rPr>
        <w:t>乙方主要研究人员</w:t>
      </w:r>
    </w:p>
    <w:p w:rsidR="004161F4" w:rsidP="00E67FAF">
      <w:pPr>
        <w:spacing w:line="360" w:lineRule="auto"/>
        <w:ind w:firstLine="420" w:firstLineChars="200"/>
        <w:jc w:val="left"/>
        <w:rPr>
          <w:rFonts w:ascii="宋体" w:eastAsia="宋体" w:hAnsi="宋体" w:cs="宋体"/>
          <w:szCs w:val="21"/>
        </w:rPr>
      </w:pPr>
      <w:r w:rsidRPr="00297AE4">
        <w:rPr>
          <w:rFonts w:ascii="宋体" w:eastAsia="宋体" w:hAnsi="宋体" w:cs="宋体" w:hint="eastAsia"/>
          <w:szCs w:val="21"/>
        </w:rPr>
        <w:t xml:space="preserve"> XXXX。</w:t>
      </w:r>
    </w:p>
    <w:p w:rsidR="004161F4" w:rsidP="00E67FAF">
      <w:pPr>
        <w:spacing w:line="360" w:lineRule="auto"/>
        <w:ind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p>
    <w:p w:rsidR="004161F4">
      <w:pPr>
        <w:keepNext/>
        <w:keepLines/>
        <w:numPr>
          <w:ilvl w:val="0"/>
          <w:numId w:val="19"/>
        </w:numPr>
        <w:spacing w:before="60" w:after="60" w:line="360" w:lineRule="auto"/>
        <w:jc w:val="left"/>
        <w:outlineLvl w:val="1"/>
        <w:rPr>
          <w:rFonts w:ascii="宋体" w:eastAsia="宋体" w:hAnsi="宋体" w:cs="宋体"/>
          <w:b/>
          <w:bCs/>
          <w:szCs w:val="21"/>
        </w:rPr>
      </w:pPr>
      <w:bookmarkStart w:id="73" w:name="_Toc150439540"/>
      <w:r>
        <w:rPr>
          <w:rFonts w:ascii="宋体" w:eastAsia="宋体" w:hAnsi="宋体" w:cs="宋体" w:hint="eastAsia"/>
          <w:b/>
          <w:bCs/>
          <w:szCs w:val="21"/>
        </w:rPr>
        <w:t>项目相关标准</w:t>
      </w:r>
      <w:bookmarkEnd w:id="73"/>
    </w:p>
    <w:p w:rsidR="004161F4" w:rsidP="00AB7D25">
      <w:pPr>
        <w:numPr>
          <w:ilvl w:val="0"/>
          <w:numId w:val="2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技术标准</w:t>
      </w:r>
    </w:p>
    <w:p w:rsidR="004161F4" w:rsidP="00AB7D25">
      <w:pPr>
        <w:numPr>
          <w:ilvl w:val="0"/>
          <w:numId w:val="21"/>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国家政策文件</w:t>
      </w:r>
    </w:p>
    <w:p w:rsidR="004161F4" w:rsidP="00AB7D25">
      <w:pPr>
        <w:numPr>
          <w:ilvl w:val="1"/>
          <w:numId w:val="20"/>
        </w:numPr>
        <w:spacing w:line="360" w:lineRule="auto"/>
        <w:ind w:left="426"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AB7D25">
      <w:pPr>
        <w:numPr>
          <w:ilvl w:val="1"/>
          <w:numId w:val="20"/>
        </w:numPr>
        <w:spacing w:line="360" w:lineRule="auto"/>
        <w:ind w:left="426"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AB7D25">
      <w:pPr>
        <w:numPr>
          <w:ilvl w:val="0"/>
          <w:numId w:val="2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标准规范</w:t>
      </w:r>
    </w:p>
    <w:p w:rsidR="004161F4" w:rsidP="00AB7D25">
      <w:pPr>
        <w:numPr>
          <w:ilvl w:val="0"/>
          <w:numId w:val="22"/>
        </w:numPr>
        <w:spacing w:line="360" w:lineRule="auto"/>
        <w:ind w:left="0"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45288.1-2025  人工智能 大模型 第1部分：通用要求</w:t>
      </w:r>
      <w:r w:rsidR="00296BC8">
        <w:rPr>
          <w:rFonts w:ascii="宋体" w:eastAsia="宋体" w:hAnsi="宋体" w:cs="宋体" w:hint="eastAsia"/>
          <w:szCs w:val="21"/>
          <w:u w:val="single"/>
        </w:rPr>
        <w:t xml:space="preserve">     </w:t>
      </w:r>
      <w:r w:rsidR="00132E52">
        <w:rPr>
          <w:rFonts w:ascii="宋体" w:eastAsia="宋体" w:hAnsi="宋体" w:cs="宋体"/>
          <w:szCs w:val="21"/>
          <w:u w:val="single"/>
        </w:rPr>
        <w:t xml:space="preserve">     </w:t>
      </w:r>
    </w:p>
    <w:p w:rsidR="004161F4" w:rsidP="00AB7D25">
      <w:pPr>
        <w:numPr>
          <w:ilvl w:val="0"/>
          <w:numId w:val="22"/>
        </w:numPr>
        <w:spacing w:line="360" w:lineRule="auto"/>
        <w:ind w:left="0"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45288.2-2025  人工智能 大模型 第2部分：评测指标与方法</w:t>
      </w:r>
      <w:r w:rsidR="00296BC8">
        <w:rPr>
          <w:rFonts w:ascii="宋体" w:eastAsia="宋体" w:hAnsi="宋体" w:cs="宋体" w:hint="eastAsia"/>
          <w:szCs w:val="21"/>
          <w:u w:val="single"/>
        </w:rPr>
        <w:t xml:space="preserve"> </w:t>
      </w:r>
      <w:r w:rsidR="00132E52">
        <w:rPr>
          <w:rFonts w:ascii="宋体" w:eastAsia="宋体" w:hAnsi="宋体" w:cs="宋体"/>
          <w:szCs w:val="21"/>
          <w:u w:val="single"/>
        </w:rPr>
        <w:t xml:space="preserve">   </w:t>
      </w:r>
    </w:p>
    <w:p w:rsidR="006922B7" w:rsidP="00AB7D25">
      <w:pPr>
        <w:numPr>
          <w:ilvl w:val="0"/>
          <w:numId w:val="22"/>
        </w:numPr>
        <w:spacing w:line="360" w:lineRule="auto"/>
        <w:ind w:left="0" w:firstLine="420" w:firstLineChars="200"/>
        <w:jc w:val="left"/>
        <w:rPr>
          <w:rFonts w:ascii="宋体" w:eastAsia="宋体" w:hAnsi="宋体" w:cs="宋体"/>
          <w:szCs w:val="21"/>
          <w:u w:val="single"/>
        </w:rPr>
      </w:pPr>
      <w:r w:rsidRPr="006922B7">
        <w:rPr>
          <w:rFonts w:ascii="宋体" w:eastAsia="宋体" w:hAnsi="宋体" w:cs="宋体" w:hint="eastAsia"/>
          <w:szCs w:val="21"/>
          <w:u w:val="single"/>
        </w:rPr>
        <w:t>GB/T 45288.3-2025  人工智能 大模型 第3部分：服务能力成熟度评估</w:t>
      </w:r>
    </w:p>
    <w:p w:rsidR="004161F4" w:rsidP="00AB7D25">
      <w:pPr>
        <w:numPr>
          <w:ilvl w:val="0"/>
          <w:numId w:val="2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国家法律法规</w:t>
      </w:r>
    </w:p>
    <w:p w:rsidR="008866F8" w:rsidRPr="008866F8" w:rsidP="00AB7D25">
      <w:pPr>
        <w:numPr>
          <w:ilvl w:val="0"/>
          <w:numId w:val="23"/>
        </w:numPr>
        <w:spacing w:line="360" w:lineRule="auto"/>
        <w:ind w:left="849" w:leftChars="202"/>
        <w:jc w:val="left"/>
        <w:rPr>
          <w:rFonts w:ascii="宋体" w:eastAsia="宋体" w:hAnsi="宋体" w:cs="宋体"/>
          <w:szCs w:val="21"/>
          <w:u w:val="single"/>
        </w:rPr>
      </w:pPr>
      <w:r w:rsidRPr="008866F8">
        <w:rPr>
          <w:rFonts w:ascii="宋体" w:eastAsia="宋体" w:hAnsi="宋体" w:cs="宋体" w:hint="eastAsia"/>
          <w:szCs w:val="21"/>
          <w:u w:val="single"/>
        </w:rPr>
        <w:t xml:space="preserve">《中华人民共和国民法典》            </w:t>
      </w:r>
    </w:p>
    <w:p w:rsidR="008866F8" w:rsidRPr="008866F8" w:rsidP="00AB7D25">
      <w:pPr>
        <w:numPr>
          <w:ilvl w:val="0"/>
          <w:numId w:val="23"/>
        </w:numPr>
        <w:spacing w:line="360" w:lineRule="auto"/>
        <w:ind w:left="0" w:firstLine="420" w:firstLineChars="200"/>
        <w:jc w:val="left"/>
        <w:rPr>
          <w:rFonts w:ascii="宋体" w:eastAsia="宋体" w:hAnsi="宋体" w:cs="宋体"/>
          <w:szCs w:val="21"/>
          <w:u w:val="single"/>
        </w:rPr>
      </w:pPr>
      <w:r w:rsidRPr="008866F8">
        <w:rPr>
          <w:rFonts w:ascii="宋体" w:eastAsia="宋体" w:hAnsi="宋体" w:cs="宋体" w:hint="eastAsia"/>
          <w:szCs w:val="21"/>
          <w:u w:val="single"/>
        </w:rPr>
        <w:t xml:space="preserve">《中华人民共和国政府采购法》                </w:t>
      </w:r>
    </w:p>
    <w:p w:rsidR="004161F4" w:rsidP="00AB7D25">
      <w:pPr>
        <w:numPr>
          <w:ilvl w:val="0"/>
          <w:numId w:val="23"/>
        </w:numPr>
        <w:spacing w:line="360" w:lineRule="auto"/>
        <w:ind w:left="0" w:firstLine="420" w:firstLineChars="200"/>
        <w:jc w:val="left"/>
        <w:rPr>
          <w:rFonts w:ascii="宋体" w:eastAsia="宋体" w:hAnsi="宋体" w:cs="宋体"/>
          <w:szCs w:val="21"/>
          <w:u w:val="single"/>
        </w:rPr>
      </w:pPr>
      <w:r w:rsidRPr="008866F8">
        <w:rPr>
          <w:rFonts w:ascii="宋体" w:eastAsia="宋体" w:hAnsi="宋体" w:cs="宋体" w:hint="eastAsia"/>
          <w:szCs w:val="21"/>
          <w:u w:val="single"/>
        </w:rPr>
        <w:t>《中华人民共和国政府采购法实施条例》</w:t>
      </w:r>
      <w:r w:rsidR="00296BC8">
        <w:rPr>
          <w:rFonts w:ascii="宋体" w:eastAsia="宋体" w:hAnsi="宋体" w:cs="宋体" w:hint="eastAsia"/>
          <w:szCs w:val="21"/>
          <w:u w:val="single"/>
        </w:rPr>
        <w:t xml:space="preserve">            </w:t>
      </w:r>
    </w:p>
    <w:p w:rsidR="004161F4" w:rsidP="00AB7D25">
      <w:pPr>
        <w:numPr>
          <w:ilvl w:val="0"/>
          <w:numId w:val="2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气象部门管理制度</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《气象业务软件外包风险监管办法（试行）》（气办发〔2023〕37号） </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《气象软件工程规范》（气办发〔2023〕38号）</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《关于统筹集约建设气象业务软件的指导意见》（气发〔2024〕8号） </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《气象业务软件组件化开发指南（</w:t>
      </w:r>
      <w:r>
        <w:rPr>
          <w:rFonts w:ascii="宋体" w:eastAsia="宋体" w:hAnsi="宋体" w:cs="宋体"/>
          <w:szCs w:val="21"/>
          <w:u w:val="single"/>
        </w:rPr>
        <w:t>2023版）》（</w:t>
      </w:r>
      <w:r>
        <w:rPr>
          <w:rFonts w:ascii="宋体" w:eastAsia="宋体" w:hAnsi="宋体" w:cs="宋体"/>
          <w:szCs w:val="21"/>
          <w:u w:val="single"/>
        </w:rPr>
        <w:t>气预函</w:t>
      </w:r>
      <w:r>
        <w:rPr>
          <w:rFonts w:ascii="宋体" w:eastAsia="宋体" w:hAnsi="宋体" w:cs="宋体"/>
          <w:szCs w:val="21"/>
          <w:u w:val="single"/>
        </w:rPr>
        <w:t>〔2023〕76号）</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《气象数据管理办法（试行）》（气发〔</w:t>
      </w:r>
      <w:r>
        <w:rPr>
          <w:rFonts w:ascii="宋体" w:eastAsia="宋体" w:hAnsi="宋体" w:cs="宋体"/>
          <w:szCs w:val="21"/>
          <w:u w:val="single"/>
        </w:rPr>
        <w:t xml:space="preserve">2020〕92号）        </w:t>
      </w:r>
      <w:r>
        <w:rPr>
          <w:rFonts w:ascii="宋体" w:eastAsia="宋体" w:hAnsi="宋体" w:cs="宋体" w:hint="eastAsia"/>
          <w:szCs w:val="21"/>
          <w:u w:val="single"/>
        </w:rPr>
        <w:t xml:space="preserve">       </w:t>
      </w:r>
    </w:p>
    <w:p w:rsidR="004161F4" w:rsidP="00AB7D25">
      <w:pPr>
        <w:numPr>
          <w:ilvl w:val="0"/>
          <w:numId w:val="24"/>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u w:val="single"/>
        </w:rPr>
        <w:t>《气象数据共享服务与安全管理办法（试行）》（气发〔</w:t>
      </w:r>
      <w:r>
        <w:rPr>
          <w:rFonts w:ascii="宋体" w:eastAsia="宋体" w:hAnsi="宋体" w:cs="宋体"/>
          <w:szCs w:val="21"/>
          <w:u w:val="single"/>
        </w:rPr>
        <w:t>2022〕59号）</w:t>
      </w:r>
      <w:r>
        <w:rPr>
          <w:rFonts w:ascii="宋体" w:eastAsia="宋体" w:hAnsi="宋体" w:cs="宋体" w:hint="eastAsia"/>
          <w:szCs w:val="21"/>
          <w:u w:val="single"/>
        </w:rPr>
        <w:t xml:space="preserve"> </w:t>
      </w:r>
    </w:p>
    <w:p w:rsidR="004161F4" w:rsidP="00AB7D25">
      <w:pPr>
        <w:numPr>
          <w:ilvl w:val="0"/>
          <w:numId w:val="24"/>
        </w:numPr>
        <w:spacing w:line="360" w:lineRule="auto"/>
        <w:ind w:left="0" w:firstLine="420" w:firstLineChars="200"/>
        <w:jc w:val="left"/>
        <w:rPr>
          <w:rFonts w:ascii="宋体" w:eastAsia="宋体" w:hAnsi="宋体" w:cs="宋体"/>
          <w:szCs w:val="21"/>
          <w:u w:val="single"/>
        </w:rPr>
      </w:pPr>
      <w:r>
        <w:rPr>
          <w:rFonts w:ascii="宋体" w:eastAsia="宋体" w:hAnsi="宋体" w:cs="宋体" w:hint="eastAsia"/>
          <w:szCs w:val="21"/>
          <w:u w:val="single"/>
        </w:rPr>
        <w:t xml:space="preserve">《中国气象局网络安全管理办法（试行）》（气发〔2020〕41号）     </w:t>
      </w:r>
    </w:p>
    <w:p w:rsidR="00E4365E" w:rsidP="00AB7D25">
      <w:pPr>
        <w:numPr>
          <w:ilvl w:val="0"/>
          <w:numId w:val="24"/>
        </w:numPr>
        <w:spacing w:line="360" w:lineRule="auto"/>
        <w:ind w:left="0" w:firstLine="420" w:firstLineChars="200"/>
        <w:jc w:val="left"/>
        <w:rPr>
          <w:rFonts w:ascii="宋体" w:eastAsia="宋体" w:hAnsi="宋体" w:cs="宋体"/>
          <w:szCs w:val="21"/>
          <w:u w:val="single"/>
        </w:rPr>
      </w:pPr>
      <w:r w:rsidRPr="00E4365E">
        <w:rPr>
          <w:rFonts w:ascii="宋体" w:eastAsia="宋体" w:hAnsi="宋体" w:cs="宋体" w:hint="eastAsia"/>
          <w:szCs w:val="21"/>
          <w:u w:val="single"/>
        </w:rPr>
        <w:t>《中国气象局公共气象服务中心业务建设项目管理办法》</w:t>
      </w:r>
      <w:r>
        <w:rPr>
          <w:rFonts w:ascii="宋体" w:eastAsia="宋体" w:hAnsi="宋体" w:cs="宋体" w:hint="eastAsia"/>
          <w:szCs w:val="21"/>
          <w:u w:val="single"/>
        </w:rPr>
        <w:t>（</w:t>
      </w:r>
      <w:r w:rsidRPr="00E4365E">
        <w:rPr>
          <w:rFonts w:ascii="宋体" w:eastAsia="宋体" w:hAnsi="宋体" w:cs="宋体" w:hint="eastAsia"/>
          <w:szCs w:val="21"/>
          <w:u w:val="single"/>
        </w:rPr>
        <w:t>公气发〔2023〕45号</w:t>
      </w:r>
      <w:r>
        <w:rPr>
          <w:rFonts w:ascii="宋体" w:eastAsia="宋体" w:hAnsi="宋体" w:cs="宋体" w:hint="eastAsia"/>
          <w:szCs w:val="21"/>
          <w:u w:val="single"/>
        </w:rPr>
        <w:t>）</w:t>
      </w:r>
    </w:p>
    <w:p w:rsidR="002B1B22" w:rsidRPr="00E4365E" w:rsidP="00AB7D25">
      <w:pPr>
        <w:numPr>
          <w:ilvl w:val="0"/>
          <w:numId w:val="24"/>
        </w:numPr>
        <w:spacing w:line="360" w:lineRule="auto"/>
        <w:ind w:left="0" w:firstLine="420" w:firstLineChars="200"/>
        <w:jc w:val="left"/>
        <w:rPr>
          <w:rFonts w:ascii="宋体" w:eastAsia="宋体" w:hAnsi="宋体" w:cs="宋体"/>
          <w:szCs w:val="21"/>
          <w:u w:val="single"/>
        </w:rPr>
      </w:pPr>
      <w:r w:rsidRPr="002B1B22">
        <w:rPr>
          <w:rFonts w:ascii="宋体" w:eastAsia="宋体" w:hAnsi="宋体" w:cs="宋体" w:hint="eastAsia"/>
          <w:szCs w:val="21"/>
          <w:u w:val="single"/>
        </w:rPr>
        <w:t>《气象业务软件组件化开发指南（2025版）》</w:t>
      </w:r>
    </w:p>
    <w:p w:rsidR="004161F4">
      <w:pPr>
        <w:ind w:firstLine="420" w:firstLineChars="200"/>
        <w:jc w:val="left"/>
        <w:rPr>
          <w:rFonts w:ascii="华文楷体" w:eastAsia="华文楷体" w:hAnsi="华文楷体" w:cs="华文楷体"/>
          <w:szCs w:val="21"/>
        </w:rPr>
      </w:pPr>
      <w:r>
        <w:rPr>
          <w:rFonts w:ascii="华文楷体" w:eastAsia="华文楷体" w:hAnsi="华文楷体" w:cs="华文楷体" w:hint="eastAsia"/>
          <w:szCs w:val="21"/>
        </w:rPr>
        <w:t>注：上述气象部门管理制度应根据本合同签订时的实际情况进行更新和补充。</w:t>
      </w:r>
    </w:p>
    <w:p w:rsidR="004161F4">
      <w:pPr>
        <w:keepNext/>
        <w:keepLines/>
        <w:numPr>
          <w:ilvl w:val="0"/>
          <w:numId w:val="19"/>
        </w:numPr>
        <w:spacing w:before="60" w:after="60" w:line="360" w:lineRule="auto"/>
        <w:jc w:val="left"/>
        <w:outlineLvl w:val="1"/>
        <w:rPr>
          <w:rFonts w:ascii="宋体" w:eastAsia="宋体" w:hAnsi="宋体" w:cs="宋体"/>
          <w:b/>
          <w:bCs/>
          <w:szCs w:val="21"/>
        </w:rPr>
      </w:pPr>
      <w:bookmarkStart w:id="74" w:name="_Toc150439542"/>
      <w:r>
        <w:rPr>
          <w:rFonts w:ascii="宋体" w:eastAsia="宋体" w:hAnsi="宋体" w:cs="宋体" w:hint="eastAsia"/>
          <w:b/>
          <w:bCs/>
          <w:szCs w:val="21"/>
        </w:rPr>
        <w:t>组成本合同的文件</w:t>
      </w:r>
      <w:bookmarkEnd w:id="74"/>
    </w:p>
    <w:p w:rsidR="004161F4" w:rsidP="00AB7D25">
      <w:pPr>
        <w:numPr>
          <w:ilvl w:val="0"/>
          <w:numId w:val="25"/>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本合同；</w:t>
      </w:r>
    </w:p>
    <w:p w:rsidR="004161F4" w:rsidP="00AB7D25">
      <w:pPr>
        <w:numPr>
          <w:ilvl w:val="0"/>
          <w:numId w:val="25"/>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中标通知书、招标文件、投标文件等；</w:t>
      </w:r>
    </w:p>
    <w:p w:rsidR="004161F4" w:rsidRPr="00297AE4" w:rsidP="00AB7D25">
      <w:pPr>
        <w:numPr>
          <w:ilvl w:val="0"/>
          <w:numId w:val="25"/>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与履行</w:t>
      </w:r>
      <w:r w:rsidRPr="00297AE4">
        <w:rPr>
          <w:rFonts w:ascii="宋体" w:eastAsia="宋体" w:hAnsi="宋体" w:cs="宋体" w:hint="eastAsia"/>
          <w:szCs w:val="21"/>
        </w:rPr>
        <w:t>本合同有关、经双方依法签字盖章确认后的下列技术文件：</w:t>
      </w:r>
    </w:p>
    <w:p w:rsidR="00485E75" w:rsidRPr="00485E75" w:rsidP="00AB7D25">
      <w:pPr>
        <w:numPr>
          <w:ilvl w:val="0"/>
          <w:numId w:val="26"/>
        </w:numPr>
        <w:spacing w:line="360" w:lineRule="auto"/>
        <w:ind w:left="851"/>
        <w:jc w:val="left"/>
        <w:rPr>
          <w:rFonts w:ascii="宋体" w:eastAsia="宋体" w:hAnsi="宋体" w:cs="宋体"/>
          <w:szCs w:val="21"/>
          <w:u w:val="single"/>
        </w:rPr>
      </w:pPr>
      <w:r w:rsidRPr="00485E75">
        <w:rPr>
          <w:rFonts w:ascii="宋体" w:eastAsia="宋体" w:hAnsi="宋体" w:cs="宋体" w:hint="eastAsia"/>
          <w:szCs w:val="21"/>
          <w:u w:val="single"/>
        </w:rPr>
        <w:t>技术背景资料；</w:t>
      </w:r>
    </w:p>
    <w:p w:rsidR="00485E75" w:rsidRPr="00485E75" w:rsidP="00AB7D25">
      <w:pPr>
        <w:numPr>
          <w:ilvl w:val="0"/>
          <w:numId w:val="26"/>
        </w:numPr>
        <w:spacing w:line="360" w:lineRule="auto"/>
        <w:ind w:left="851"/>
        <w:jc w:val="left"/>
        <w:rPr>
          <w:rFonts w:ascii="宋体" w:eastAsia="宋体" w:hAnsi="宋体" w:cs="宋体"/>
          <w:szCs w:val="21"/>
          <w:u w:val="single"/>
        </w:rPr>
      </w:pPr>
      <w:r w:rsidRPr="00485E75">
        <w:rPr>
          <w:rFonts w:ascii="宋体" w:eastAsia="宋体" w:hAnsi="宋体" w:cs="宋体" w:hint="eastAsia"/>
          <w:szCs w:val="21"/>
          <w:u w:val="single"/>
        </w:rPr>
        <w:t>可行性论证报告；</w:t>
      </w:r>
    </w:p>
    <w:p w:rsidR="00485E75" w:rsidRPr="00485E75" w:rsidP="00AB7D25">
      <w:pPr>
        <w:numPr>
          <w:ilvl w:val="0"/>
          <w:numId w:val="26"/>
        </w:numPr>
        <w:spacing w:line="360" w:lineRule="auto"/>
        <w:ind w:left="851"/>
        <w:jc w:val="left"/>
        <w:rPr>
          <w:rFonts w:ascii="宋体" w:eastAsia="宋体" w:hAnsi="宋体" w:cs="宋体"/>
          <w:szCs w:val="21"/>
          <w:u w:val="single"/>
        </w:rPr>
      </w:pPr>
      <w:r w:rsidRPr="00485E75">
        <w:rPr>
          <w:rFonts w:ascii="宋体" w:eastAsia="宋体" w:hAnsi="宋体" w:cs="宋体" w:hint="eastAsia"/>
          <w:szCs w:val="21"/>
          <w:u w:val="single"/>
        </w:rPr>
        <w:t>技术评价报告；</w:t>
      </w:r>
    </w:p>
    <w:p w:rsidR="00485E75" w:rsidRPr="00485E75" w:rsidP="00AB7D25">
      <w:pPr>
        <w:numPr>
          <w:ilvl w:val="0"/>
          <w:numId w:val="26"/>
        </w:numPr>
        <w:spacing w:line="360" w:lineRule="auto"/>
        <w:ind w:left="851"/>
        <w:jc w:val="left"/>
        <w:rPr>
          <w:rFonts w:ascii="宋体" w:eastAsia="宋体" w:hAnsi="宋体" w:cs="宋体"/>
          <w:szCs w:val="21"/>
          <w:u w:val="single"/>
        </w:rPr>
      </w:pPr>
      <w:r w:rsidRPr="00485E75">
        <w:rPr>
          <w:rFonts w:ascii="宋体" w:eastAsia="宋体" w:hAnsi="宋体" w:cs="宋体" w:hint="eastAsia"/>
          <w:szCs w:val="21"/>
          <w:u w:val="single"/>
        </w:rPr>
        <w:t>技术标准和规范；</w:t>
      </w:r>
    </w:p>
    <w:p w:rsidR="004161F4" w:rsidRPr="00485E75" w:rsidP="00AB7D25">
      <w:pPr>
        <w:numPr>
          <w:ilvl w:val="0"/>
          <w:numId w:val="26"/>
        </w:numPr>
        <w:spacing w:line="360" w:lineRule="auto"/>
        <w:ind w:left="851"/>
        <w:jc w:val="left"/>
        <w:rPr>
          <w:rFonts w:ascii="宋体" w:eastAsia="宋体" w:hAnsi="宋体" w:cs="宋体"/>
          <w:szCs w:val="21"/>
          <w:u w:val="single"/>
        </w:rPr>
      </w:pPr>
      <w:r w:rsidRPr="00485E75">
        <w:rPr>
          <w:rFonts w:ascii="宋体" w:eastAsia="宋体" w:hAnsi="宋体" w:cs="宋体"/>
          <w:szCs w:val="21"/>
          <w:u w:val="single"/>
        </w:rPr>
        <w:t>……</w:t>
      </w:r>
    </w:p>
    <w:p w:rsidR="004161F4" w:rsidP="00AB7D25">
      <w:pPr>
        <w:numPr>
          <w:ilvl w:val="0"/>
          <w:numId w:val="25"/>
        </w:numPr>
        <w:spacing w:line="360" w:lineRule="auto"/>
        <w:ind w:left="0" w:firstLine="420" w:firstLineChars="200"/>
        <w:jc w:val="left"/>
        <w:rPr>
          <w:rFonts w:ascii="宋体" w:eastAsia="宋体" w:hAnsi="宋体" w:cs="宋体"/>
          <w:szCs w:val="21"/>
        </w:rPr>
      </w:pPr>
      <w:r w:rsidRPr="00297AE4">
        <w:rPr>
          <w:rFonts w:ascii="宋体" w:eastAsia="宋体" w:hAnsi="宋体" w:cs="宋体" w:hint="eastAsia"/>
          <w:szCs w:val="21"/>
        </w:rPr>
        <w:t>安全保密承诺书（签字盖章）；</w:t>
      </w:r>
    </w:p>
    <w:p w:rsidR="00485E75" w:rsidRPr="00297AE4" w:rsidP="00AB7D25">
      <w:pPr>
        <w:numPr>
          <w:ilvl w:val="0"/>
          <w:numId w:val="25"/>
        </w:numPr>
        <w:spacing w:line="360" w:lineRule="auto"/>
        <w:ind w:left="0" w:firstLine="420" w:firstLineChars="200"/>
        <w:jc w:val="left"/>
        <w:rPr>
          <w:rFonts w:ascii="宋体" w:eastAsia="宋体" w:hAnsi="宋体" w:cs="宋体"/>
          <w:szCs w:val="21"/>
        </w:rPr>
      </w:pPr>
      <w:r w:rsidRPr="00485E75">
        <w:rPr>
          <w:rFonts w:ascii="宋体" w:eastAsia="宋体" w:hAnsi="宋体" w:cs="宋体" w:hint="eastAsia"/>
          <w:szCs w:val="21"/>
        </w:rPr>
        <w:t>安全保密协议（签字盖章）；</w:t>
      </w:r>
    </w:p>
    <w:p w:rsidR="004161F4" w:rsidP="00AB7D25">
      <w:pPr>
        <w:numPr>
          <w:ilvl w:val="0"/>
          <w:numId w:val="25"/>
        </w:numPr>
        <w:spacing w:line="360" w:lineRule="auto"/>
        <w:ind w:left="0" w:firstLine="420" w:firstLineChars="200"/>
        <w:jc w:val="left"/>
        <w:rPr>
          <w:rFonts w:ascii="宋体" w:eastAsia="宋体" w:hAnsi="宋体" w:cs="宋体"/>
          <w:szCs w:val="21"/>
        </w:rPr>
      </w:pPr>
      <w:r w:rsidRPr="00297AE4">
        <w:rPr>
          <w:rFonts w:ascii="宋体" w:eastAsia="宋体" w:hAnsi="宋体" w:cs="宋体" w:hint="eastAsia"/>
          <w:szCs w:val="21"/>
        </w:rPr>
        <w:t>乙方就该项目实施情况</w:t>
      </w:r>
      <w:r>
        <w:rPr>
          <w:rFonts w:ascii="宋体" w:eastAsia="宋体" w:hAnsi="宋体" w:cs="宋体" w:hint="eastAsia"/>
          <w:szCs w:val="21"/>
        </w:rPr>
        <w:t>接受甲方监督检查的承诺书（签字盖章）；</w:t>
      </w:r>
    </w:p>
    <w:p w:rsidR="000501CD" w:rsidP="00AB7D25">
      <w:pPr>
        <w:numPr>
          <w:ilvl w:val="0"/>
          <w:numId w:val="25"/>
        </w:numPr>
        <w:spacing w:line="360" w:lineRule="auto"/>
        <w:ind w:left="0" w:firstLine="420" w:firstLineChars="200"/>
        <w:jc w:val="left"/>
        <w:rPr>
          <w:rFonts w:ascii="宋体" w:eastAsia="宋体" w:hAnsi="宋体" w:cs="宋体"/>
          <w:szCs w:val="21"/>
        </w:rPr>
      </w:pPr>
      <w:r w:rsidRPr="000501CD">
        <w:rPr>
          <w:rFonts w:ascii="宋体" w:eastAsia="宋体" w:hAnsi="宋体" w:cs="宋体" w:hint="eastAsia"/>
          <w:szCs w:val="21"/>
        </w:rPr>
        <w:t>统筹集约承诺书（签字盖章）；</w:t>
      </w:r>
    </w:p>
    <w:p w:rsidR="004161F4" w:rsidP="00AB7D25">
      <w:pPr>
        <w:numPr>
          <w:ilvl w:val="0"/>
          <w:numId w:val="25"/>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在执行本合同的过程中，所有经双方签署确认的文件（包括会议纪要、补充协议、往来信函）均为本合同的有效组成部分。</w:t>
      </w:r>
    </w:p>
    <w:p w:rsidR="004161F4">
      <w:pPr>
        <w:keepNext/>
        <w:keepLines/>
        <w:numPr>
          <w:ilvl w:val="0"/>
          <w:numId w:val="19"/>
        </w:numPr>
        <w:spacing w:before="60" w:after="60" w:line="360" w:lineRule="auto"/>
        <w:jc w:val="left"/>
        <w:outlineLvl w:val="1"/>
        <w:rPr>
          <w:rFonts w:ascii="宋体" w:eastAsia="宋体" w:hAnsi="宋体" w:cs="宋体"/>
          <w:b/>
          <w:bCs/>
          <w:szCs w:val="21"/>
        </w:rPr>
      </w:pPr>
      <w:bookmarkStart w:id="75" w:name="_Toc150439545"/>
      <w:r>
        <w:rPr>
          <w:rFonts w:ascii="宋体" w:eastAsia="宋体" w:hAnsi="宋体" w:cs="宋体" w:hint="eastAsia"/>
          <w:b/>
          <w:bCs/>
          <w:szCs w:val="21"/>
        </w:rPr>
        <w:t>合同履行地点、合同服务期</w:t>
      </w:r>
      <w:bookmarkEnd w:id="75"/>
    </w:p>
    <w:p w:rsidR="004161F4" w:rsidP="00AB7D25">
      <w:pPr>
        <w:numPr>
          <w:ilvl w:val="0"/>
          <w:numId w:val="27"/>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服务地点：依据服务内容及服务方式确定，实际要求在</w:t>
      </w:r>
      <w:r>
        <w:rPr>
          <w:rFonts w:ascii="宋体" w:eastAsia="宋体" w:hAnsi="宋体" w:cs="宋体" w:hint="eastAsia"/>
          <w:szCs w:val="21"/>
          <w:u w:val="single"/>
        </w:rPr>
        <w:t xml:space="preserve"> </w:t>
      </w:r>
      <w:r w:rsidRPr="005F4194" w:rsidR="005F4194">
        <w:rPr>
          <w:rFonts w:ascii="宋体" w:eastAsia="宋体" w:hAnsi="宋体" w:cs="宋体" w:hint="eastAsia"/>
          <w:szCs w:val="21"/>
          <w:u w:val="single"/>
        </w:rPr>
        <w:t>北京市海淀区中关村南大街46号公共气象服务中心</w:t>
      </w:r>
      <w:r>
        <w:rPr>
          <w:rFonts w:ascii="宋体" w:eastAsia="宋体" w:hAnsi="宋体" w:cs="宋体" w:hint="eastAsia"/>
          <w:szCs w:val="21"/>
          <w:u w:val="single"/>
        </w:rPr>
        <w:t xml:space="preserve"> </w:t>
      </w:r>
      <w:r>
        <w:rPr>
          <w:rFonts w:ascii="宋体" w:eastAsia="宋体" w:hAnsi="宋体" w:cs="宋体" w:hint="eastAsia"/>
          <w:szCs w:val="21"/>
        </w:rPr>
        <w:t>进行。</w:t>
      </w:r>
    </w:p>
    <w:p w:rsidR="004161F4" w:rsidP="00AB7D25">
      <w:pPr>
        <w:numPr>
          <w:ilvl w:val="0"/>
          <w:numId w:val="27"/>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合同服务期：</w:t>
      </w:r>
      <w:r>
        <w:rPr>
          <w:rFonts w:ascii="宋体" w:eastAsia="宋体" w:hAnsi="宋体" w:cs="宋体" w:hint="eastAsia"/>
          <w:szCs w:val="21"/>
          <w:u w:val="single"/>
        </w:rPr>
        <w:t xml:space="preserve"> </w:t>
      </w:r>
      <w:r w:rsidRPr="00BD6DF2" w:rsidR="003E2806">
        <w:rPr>
          <w:rFonts w:ascii="宋体" w:eastAsia="宋体" w:hAnsi="宋体" w:cs="宋体" w:hint="eastAsia"/>
          <w:szCs w:val="21"/>
          <w:u w:val="single"/>
        </w:rPr>
        <w:t>合同签</w:t>
      </w:r>
      <w:r w:rsidRPr="00F06E18" w:rsidR="003E2806">
        <w:rPr>
          <w:rFonts w:ascii="宋体" w:eastAsia="宋体" w:hAnsi="宋体" w:cs="宋体" w:hint="eastAsia"/>
          <w:szCs w:val="21"/>
          <w:u w:val="single"/>
        </w:rPr>
        <w:t>订后</w:t>
      </w:r>
      <w:r w:rsidRPr="00F06E18" w:rsidR="00166FE2">
        <w:rPr>
          <w:rFonts w:ascii="宋体" w:eastAsia="宋体" w:hAnsi="宋体" w:cs="宋体" w:hint="eastAsia"/>
          <w:szCs w:val="21"/>
          <w:u w:val="single"/>
        </w:rPr>
        <w:t>的</w:t>
      </w:r>
      <w:r w:rsidRPr="00F06E18" w:rsidR="003E2806">
        <w:rPr>
          <w:rFonts w:ascii="宋体" w:eastAsia="宋体" w:hAnsi="宋体" w:cs="宋体"/>
          <w:szCs w:val="21"/>
          <w:u w:val="single"/>
        </w:rPr>
        <w:t>48个月</w:t>
      </w:r>
      <w:r w:rsidRPr="00F06E18" w:rsidR="00257329">
        <w:rPr>
          <w:rFonts w:ascii="宋体" w:eastAsia="宋体" w:hAnsi="宋体" w:cs="宋体" w:hint="eastAsia"/>
          <w:szCs w:val="21"/>
          <w:u w:val="single"/>
        </w:rPr>
        <w:t>，包含开发期和</w:t>
      </w:r>
      <w:r w:rsidRPr="00F06E18" w:rsidR="00166FE2">
        <w:rPr>
          <w:rFonts w:ascii="宋体" w:eastAsia="宋体" w:hAnsi="宋体" w:cs="宋体" w:hint="eastAsia"/>
          <w:szCs w:val="21"/>
          <w:u w:val="single"/>
        </w:rPr>
        <w:t>项目正式验收后</w:t>
      </w:r>
      <w:r w:rsidR="003C2CCC">
        <w:rPr>
          <w:rFonts w:ascii="宋体" w:eastAsia="宋体" w:hAnsi="宋体" w:cs="宋体" w:hint="eastAsia"/>
          <w:szCs w:val="21"/>
          <w:u w:val="single"/>
        </w:rPr>
        <w:t>进入</w:t>
      </w:r>
      <w:r w:rsidRPr="00F06E18" w:rsidR="00166FE2">
        <w:rPr>
          <w:rFonts w:ascii="宋体" w:eastAsia="宋体" w:hAnsi="宋体" w:cs="宋体" w:hint="eastAsia"/>
          <w:szCs w:val="21"/>
          <w:u w:val="single"/>
        </w:rPr>
        <w:t>的免费运行维护</w:t>
      </w:r>
      <w:r w:rsidRPr="00F06E18" w:rsidR="009E5095">
        <w:rPr>
          <w:rFonts w:ascii="宋体" w:eastAsia="宋体" w:hAnsi="宋体" w:cs="宋体" w:hint="eastAsia"/>
          <w:szCs w:val="21"/>
          <w:u w:val="single"/>
        </w:rPr>
        <w:t>期</w:t>
      </w:r>
      <w:r w:rsidRPr="00F06E18" w:rsidR="00E61E56">
        <w:rPr>
          <w:rFonts w:ascii="宋体" w:eastAsia="宋体" w:hAnsi="宋体" w:cs="宋体" w:hint="eastAsia"/>
          <w:szCs w:val="21"/>
          <w:u w:val="single"/>
        </w:rPr>
        <w:t>，在开发期期间</w:t>
      </w:r>
      <w:r w:rsidR="00E61E56">
        <w:rPr>
          <w:rFonts w:ascii="宋体" w:eastAsia="宋体" w:hAnsi="宋体" w:cs="宋体" w:hint="eastAsia"/>
          <w:szCs w:val="21"/>
          <w:u w:val="single"/>
        </w:rPr>
        <w:t>提供</w:t>
      </w:r>
      <w:r w:rsidR="0076448E">
        <w:rPr>
          <w:rFonts w:ascii="宋体" w:eastAsia="宋体" w:hAnsi="宋体" w:cs="宋体" w:hint="eastAsia"/>
          <w:szCs w:val="21"/>
          <w:u w:val="single"/>
        </w:rPr>
        <w:t>免费</w:t>
      </w:r>
      <w:r w:rsidR="00E61E56">
        <w:rPr>
          <w:rFonts w:ascii="宋体" w:eastAsia="宋体" w:hAnsi="宋体" w:cs="宋体" w:hint="eastAsia"/>
          <w:szCs w:val="21"/>
          <w:u w:val="single"/>
        </w:rPr>
        <w:t>算力支撑</w:t>
      </w:r>
      <w:r w:rsidR="00E61E56">
        <w:rPr>
          <w:rFonts w:ascii="宋体" w:eastAsia="宋体" w:hAnsi="宋体" w:cs="宋体" w:hint="eastAsia"/>
          <w:szCs w:val="21"/>
          <w:u w:val="single"/>
        </w:rPr>
        <w:t>保障</w:t>
      </w:r>
      <w:r w:rsidRPr="00166FE2" w:rsidR="00166FE2">
        <w:rPr>
          <w:rFonts w:ascii="宋体" w:eastAsia="宋体" w:hAnsi="宋体" w:cs="宋体" w:hint="eastAsia"/>
          <w:szCs w:val="21"/>
          <w:u w:val="single"/>
        </w:rPr>
        <w:t>。</w:t>
      </w:r>
    </w:p>
    <w:p w:rsidR="004161F4">
      <w:pPr>
        <w:keepNext/>
        <w:keepLines/>
        <w:numPr>
          <w:ilvl w:val="0"/>
          <w:numId w:val="19"/>
        </w:numPr>
        <w:spacing w:before="60" w:after="60" w:line="360" w:lineRule="auto"/>
        <w:outlineLvl w:val="1"/>
        <w:rPr>
          <w:rFonts w:ascii="宋体" w:eastAsia="宋体" w:hAnsi="宋体" w:cs="宋体"/>
          <w:b/>
          <w:bCs/>
          <w:szCs w:val="21"/>
        </w:rPr>
      </w:pPr>
      <w:bookmarkStart w:id="76" w:name="_Toc150439547"/>
      <w:r>
        <w:rPr>
          <w:rFonts w:ascii="宋体" w:eastAsia="宋体" w:hAnsi="宋体" w:cs="宋体" w:hint="eastAsia"/>
          <w:b/>
          <w:bCs/>
          <w:szCs w:val="21"/>
        </w:rPr>
        <w:t>服务范围及内容</w:t>
      </w:r>
      <w:bookmarkEnd w:id="76"/>
    </w:p>
    <w:p w:rsidR="004161F4">
      <w:pPr>
        <w:ind w:firstLine="420" w:firstLineChars="200"/>
        <w:rPr>
          <w:rFonts w:ascii="宋体" w:eastAsia="宋体" w:hAnsi="宋体" w:cs="宋体"/>
          <w:szCs w:val="21"/>
        </w:rPr>
      </w:pPr>
      <w:r>
        <w:rPr>
          <w:rFonts w:ascii="宋体" w:eastAsia="宋体" w:hAnsi="宋体" w:cs="宋体" w:hint="eastAsia"/>
          <w:szCs w:val="21"/>
        </w:rPr>
        <w:t>本合同研究开发项目的要求如下：</w:t>
      </w:r>
    </w:p>
    <w:p w:rsidR="004161F4" w:rsidP="002C6012">
      <w:pPr>
        <w:numPr>
          <w:ilvl w:val="0"/>
          <w:numId w:val="28"/>
        </w:numPr>
        <w:spacing w:line="360" w:lineRule="auto"/>
        <w:ind w:left="0" w:firstLine="420"/>
        <w:jc w:val="left"/>
        <w:rPr>
          <w:rFonts w:ascii="宋体" w:eastAsia="宋体" w:hAnsi="宋体" w:cs="宋体"/>
          <w:szCs w:val="21"/>
        </w:rPr>
      </w:pPr>
      <w:r>
        <w:rPr>
          <w:rFonts w:ascii="宋体" w:eastAsia="宋体" w:hAnsi="宋体" w:cs="宋体" w:hint="eastAsia"/>
          <w:szCs w:val="21"/>
        </w:rPr>
        <w:t>服务范围：甲方委托乙方开发</w:t>
      </w:r>
      <w:r>
        <w:rPr>
          <w:rFonts w:ascii="宋体" w:eastAsia="宋体" w:hAnsi="宋体" w:cs="宋体" w:hint="eastAsia"/>
          <w:szCs w:val="21"/>
          <w:u w:val="single"/>
        </w:rPr>
        <w:t xml:space="preserve"> </w:t>
      </w:r>
      <w:r w:rsidRPr="000B7510" w:rsidR="000B7510">
        <w:rPr>
          <w:rFonts w:ascii="宋体" w:eastAsia="宋体" w:hAnsi="宋体" w:cs="宋体" w:hint="eastAsia"/>
          <w:szCs w:val="21"/>
          <w:u w:val="single"/>
        </w:rPr>
        <w:t>智慧短临</w:t>
      </w:r>
      <w:r w:rsidRPr="000B7510" w:rsidR="000B7510">
        <w:rPr>
          <w:rFonts w:ascii="宋体" w:eastAsia="宋体" w:hAnsi="宋体" w:cs="宋体" w:hint="eastAsia"/>
          <w:szCs w:val="21"/>
          <w:u w:val="single"/>
        </w:rPr>
        <w:t>气象闪信预警</w:t>
      </w:r>
      <w:r w:rsidRPr="000B7510" w:rsidR="000B7510">
        <w:rPr>
          <w:rFonts w:ascii="宋体" w:eastAsia="宋体" w:hAnsi="宋体" w:cs="宋体" w:hint="eastAsia"/>
          <w:szCs w:val="21"/>
          <w:u w:val="single"/>
        </w:rPr>
        <w:t>信息发布平台建设项目-智慧短临预警气象服务大语言模型</w:t>
      </w:r>
      <w:r>
        <w:rPr>
          <w:rFonts w:ascii="宋体" w:eastAsia="宋体" w:hAnsi="宋体" w:cs="宋体"/>
          <w:szCs w:val="21"/>
          <w:u w:val="single"/>
        </w:rPr>
        <w:t xml:space="preserve"> </w:t>
      </w:r>
      <w:r>
        <w:rPr>
          <w:rFonts w:ascii="宋体" w:eastAsia="宋体" w:hAnsi="宋体" w:cs="宋体" w:hint="eastAsia"/>
          <w:szCs w:val="21"/>
        </w:rPr>
        <w:t>项目软件，该项目属于</w:t>
      </w:r>
      <w:r w:rsidRPr="00017515">
        <w:rPr>
          <w:rFonts w:ascii="宋体" w:eastAsia="宋体" w:hAnsi="宋体" w:cs="宋体" w:hint="eastAsia"/>
          <w:szCs w:val="21"/>
          <w:u w:val="single"/>
        </w:rPr>
        <w:t xml:space="preserve"> </w:t>
      </w:r>
      <w:r w:rsidRPr="00017515" w:rsidR="00440156">
        <w:rPr>
          <w:rFonts w:ascii="宋体" w:eastAsia="宋体" w:hAnsi="宋体" w:cs="宋体" w:hint="eastAsia"/>
          <w:szCs w:val="21"/>
          <w:u w:val="single"/>
        </w:rPr>
        <w:t>公共服务</w:t>
      </w:r>
      <w:r w:rsidRPr="00017515">
        <w:rPr>
          <w:rFonts w:ascii="宋体" w:eastAsia="宋体" w:hAnsi="宋体" w:cs="宋体"/>
          <w:szCs w:val="21"/>
          <w:u w:val="single"/>
        </w:rPr>
        <w:t xml:space="preserve"> </w:t>
      </w:r>
      <w:r w:rsidRPr="009E52EB">
        <w:rPr>
          <w:rFonts w:ascii="宋体" w:eastAsia="宋体" w:hAnsi="宋体" w:cs="宋体" w:hint="eastAsia"/>
          <w:szCs w:val="21"/>
        </w:rPr>
        <w:t>（公共</w:t>
      </w:r>
      <w:r>
        <w:rPr>
          <w:rFonts w:ascii="宋体" w:eastAsia="宋体" w:hAnsi="宋体" w:cs="宋体" w:hint="eastAsia"/>
          <w:szCs w:val="21"/>
        </w:rPr>
        <w:t>服务、</w:t>
      </w:r>
      <w:r>
        <w:rPr>
          <w:rFonts w:ascii="仿宋_GB2312" w:eastAsia="宋体" w:hAnsi="等线" w:cs="宋体" w:hint="eastAsia"/>
          <w:szCs w:val="21"/>
        </w:rPr>
        <w:t>预报预测、综合观测、信息网络等）气象业务领域的开发定制类软件，同时属于</w:t>
      </w:r>
      <w:r>
        <w:rPr>
          <w:rFonts w:ascii="仿宋_GB2312" w:eastAsia="宋体" w:hAnsi="等线" w:cs="宋体" w:hint="eastAsia"/>
          <w:szCs w:val="21"/>
          <w:u w:val="single"/>
        </w:rPr>
        <w:t xml:space="preserve"> </w:t>
      </w:r>
      <w:r w:rsidRPr="009B4C3D" w:rsidR="009B4C3D">
        <w:rPr>
          <w:rFonts w:ascii="仿宋_GB2312" w:eastAsia="宋体" w:hAnsi="等线" w:cs="宋体" w:hint="eastAsia"/>
          <w:szCs w:val="21"/>
          <w:u w:val="single"/>
        </w:rPr>
        <w:t>重要外包</w:t>
      </w:r>
      <w:r>
        <w:rPr>
          <w:rFonts w:ascii="仿宋_GB2312" w:eastAsia="宋体" w:hAnsi="等线" w:cs="宋体"/>
          <w:szCs w:val="21"/>
          <w:u w:val="single"/>
        </w:rPr>
        <w:t xml:space="preserve"> </w:t>
      </w:r>
      <w:r>
        <w:rPr>
          <w:rFonts w:ascii="仿宋_GB2312" w:eastAsia="宋体" w:hAnsi="等线" w:cs="宋体" w:hint="eastAsia"/>
          <w:szCs w:val="21"/>
        </w:rPr>
        <w:t>（重要外包、一般外包）项目。</w:t>
      </w:r>
    </w:p>
    <w:p w:rsidR="004161F4" w:rsidRPr="00BD6DF2" w:rsidP="002C6012">
      <w:pPr>
        <w:numPr>
          <w:ilvl w:val="0"/>
          <w:numId w:val="28"/>
        </w:numPr>
        <w:spacing w:line="360" w:lineRule="auto"/>
        <w:ind w:left="0" w:firstLine="420"/>
        <w:jc w:val="left"/>
        <w:rPr>
          <w:rFonts w:ascii="宋体" w:eastAsia="宋体" w:hAnsi="宋体" w:cs="宋体"/>
          <w:szCs w:val="21"/>
        </w:rPr>
      </w:pPr>
      <w:r w:rsidRPr="00BD6DF2">
        <w:rPr>
          <w:rFonts w:ascii="宋体" w:eastAsia="宋体" w:hAnsi="宋体" w:cs="宋体" w:hint="eastAsia"/>
          <w:szCs w:val="21"/>
        </w:rPr>
        <w:t>技术目标：</w:t>
      </w:r>
      <w:r w:rsidRPr="00BD6DF2">
        <w:rPr>
          <w:rFonts w:ascii="宋体" w:eastAsia="宋体" w:hAnsi="宋体" w:cs="宋体"/>
          <w:szCs w:val="21"/>
          <w:u w:val="single"/>
        </w:rPr>
        <w:t xml:space="preserve">                               </w:t>
      </w:r>
      <w:r w:rsidR="00BD6DF2">
        <w:rPr>
          <w:rFonts w:ascii="宋体" w:eastAsia="宋体" w:hAnsi="宋体" w:cs="宋体"/>
          <w:szCs w:val="21"/>
          <w:u w:val="single"/>
        </w:rPr>
        <w:t xml:space="preserve">            </w:t>
      </w:r>
      <w:r w:rsidRPr="00BD6DF2">
        <w:rPr>
          <w:rFonts w:ascii="宋体" w:eastAsia="宋体" w:hAnsi="宋体" w:cs="宋体"/>
          <w:szCs w:val="21"/>
          <w:u w:val="single"/>
        </w:rPr>
        <w:t xml:space="preserve">           </w:t>
      </w:r>
      <w:r w:rsidR="00BD6DF2">
        <w:rPr>
          <w:rFonts w:ascii="宋体" w:eastAsia="宋体" w:hAnsi="宋体" w:cs="宋体"/>
          <w:szCs w:val="21"/>
          <w:u w:val="single"/>
        </w:rPr>
        <w:t xml:space="preserve">   </w:t>
      </w:r>
      <w:r w:rsidRPr="00BD6DF2">
        <w:rPr>
          <w:rFonts w:ascii="宋体" w:eastAsia="宋体" w:hAnsi="宋体" w:cs="宋体"/>
          <w:szCs w:val="21"/>
          <w:u w:val="single"/>
        </w:rPr>
        <w:t xml:space="preserve">   ；</w:t>
      </w:r>
    </w:p>
    <w:p w:rsidR="004161F4" w:rsidP="002C6012">
      <w:pPr>
        <w:numPr>
          <w:ilvl w:val="0"/>
          <w:numId w:val="28"/>
        </w:numPr>
        <w:spacing w:line="360" w:lineRule="auto"/>
        <w:ind w:left="0" w:firstLine="420"/>
        <w:jc w:val="left"/>
        <w:rPr>
          <w:rFonts w:ascii="宋体" w:eastAsia="宋体" w:hAnsi="宋体" w:cs="宋体"/>
          <w:szCs w:val="21"/>
        </w:rPr>
      </w:pPr>
      <w:r>
        <w:rPr>
          <w:rFonts w:ascii="宋体" w:eastAsia="宋体" w:hAnsi="宋体" w:cs="宋体" w:hint="eastAsia"/>
          <w:szCs w:val="21"/>
        </w:rPr>
        <w:t>技术内容：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（以招标文件及双方签字确认的补充文件为准</w:t>
      </w:r>
      <w:r>
        <w:rPr>
          <w:rFonts w:ascii="宋体" w:eastAsia="宋体" w:hAnsi="宋体" w:cs="宋体"/>
          <w:szCs w:val="21"/>
          <w:u w:val="single"/>
        </w:rPr>
        <w:t xml:space="preserve"> </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w:t>
      </w:r>
    </w:p>
    <w:p w:rsidR="004161F4" w:rsidP="002C6012">
      <w:pPr>
        <w:numPr>
          <w:ilvl w:val="0"/>
          <w:numId w:val="28"/>
        </w:numPr>
        <w:spacing w:line="360" w:lineRule="auto"/>
        <w:ind w:left="0" w:firstLine="420"/>
        <w:jc w:val="left"/>
        <w:rPr>
          <w:rFonts w:ascii="宋体" w:eastAsia="宋体" w:hAnsi="宋体" w:cs="宋体"/>
          <w:szCs w:val="21"/>
        </w:rPr>
      </w:pPr>
      <w:r>
        <w:rPr>
          <w:rFonts w:ascii="宋体" w:eastAsia="宋体" w:hAnsi="宋体" w:cs="宋体" w:hint="eastAsia"/>
          <w:szCs w:val="21"/>
        </w:rPr>
        <w:t>技术方法和路线：</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rsidP="002C6012">
      <w:pPr>
        <w:numPr>
          <w:ilvl w:val="0"/>
          <w:numId w:val="28"/>
        </w:numPr>
        <w:spacing w:line="360" w:lineRule="auto"/>
        <w:ind w:left="0" w:firstLine="420"/>
        <w:jc w:val="left"/>
        <w:rPr>
          <w:rFonts w:ascii="宋体" w:eastAsia="宋体" w:hAnsi="宋体" w:cs="宋体"/>
          <w:szCs w:val="21"/>
        </w:rPr>
      </w:pPr>
      <w:r>
        <w:rPr>
          <w:rFonts w:ascii="宋体" w:eastAsia="宋体" w:hAnsi="宋体" w:cs="宋体" w:hint="eastAsia"/>
          <w:szCs w:val="21"/>
        </w:rPr>
        <w:t>服务内容：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rsidP="002C6012">
      <w:pPr>
        <w:numPr>
          <w:ilvl w:val="0"/>
          <w:numId w:val="28"/>
        </w:numPr>
        <w:spacing w:line="360" w:lineRule="auto"/>
        <w:ind w:left="0" w:firstLine="420"/>
        <w:jc w:val="left"/>
        <w:rPr>
          <w:rFonts w:ascii="宋体" w:eastAsia="宋体" w:hAnsi="宋体" w:cs="宋体"/>
          <w:szCs w:val="21"/>
        </w:rPr>
      </w:pPr>
      <w:r>
        <w:rPr>
          <w:rFonts w:ascii="宋体" w:eastAsia="宋体" w:hAnsi="宋体" w:cs="宋体" w:hint="eastAsia"/>
          <w:szCs w:val="21"/>
        </w:rPr>
        <w:t>服务要求：</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rsidP="002C6012">
      <w:pPr>
        <w:numPr>
          <w:ilvl w:val="0"/>
          <w:numId w:val="28"/>
        </w:numPr>
        <w:spacing w:line="360" w:lineRule="auto"/>
        <w:ind w:left="0" w:firstLine="420"/>
        <w:rPr>
          <w:rFonts w:ascii="宋体" w:eastAsia="宋体" w:hAnsi="宋体" w:cs="宋体"/>
          <w:szCs w:val="21"/>
        </w:rPr>
      </w:pPr>
      <w:r>
        <w:rPr>
          <w:rFonts w:ascii="宋体" w:eastAsia="宋体" w:hAnsi="宋体" w:cs="宋体" w:hint="eastAsia"/>
          <w:szCs w:val="21"/>
        </w:rPr>
        <w:t>进度安排：</w:t>
      </w:r>
    </w:p>
    <w:p w:rsidR="004161F4">
      <w:pPr>
        <w:ind w:firstLine="420" w:firstLineChars="200"/>
        <w:rPr>
          <w:rFonts w:ascii="宋体" w:eastAsia="宋体" w:hAnsi="宋体" w:cs="宋体"/>
          <w:szCs w:val="21"/>
        </w:rPr>
      </w:pPr>
      <w:r>
        <w:rPr>
          <w:rFonts w:ascii="宋体" w:eastAsia="宋体" w:hAnsi="宋体" w:cs="宋体" w:hint="eastAsia"/>
          <w:szCs w:val="21"/>
        </w:rPr>
        <w:t>乙方应按下列进度完成研究开发工作：</w:t>
      </w:r>
    </w:p>
    <w:p w:rsidR="004161F4" w:rsidP="005C0AA8">
      <w:pPr>
        <w:numPr>
          <w:ilvl w:val="0"/>
          <w:numId w:val="29"/>
        </w:numPr>
        <w:spacing w:line="360" w:lineRule="auto"/>
        <w:ind w:left="0" w:firstLine="420" w:firstLineChars="200"/>
        <w:jc w:val="left"/>
        <w:rPr>
          <w:rFonts w:ascii="宋体" w:eastAsia="宋体" w:hAnsi="宋体" w:cs="宋体"/>
          <w:szCs w:val="21"/>
        </w:rPr>
      </w:pPr>
      <w:r w:rsidRPr="00BD6DF2">
        <w:rPr>
          <w:rFonts w:ascii="宋体" w:eastAsia="宋体" w:hAnsi="宋体" w:cs="宋体" w:hint="eastAsia"/>
          <w:szCs w:val="21"/>
        </w:rPr>
        <w:t>软件开发周期为</w:t>
      </w:r>
      <w:r w:rsidRPr="00BD6DF2">
        <w:rPr>
          <w:rFonts w:ascii="宋体" w:eastAsia="宋体" w:hAnsi="宋体" w:cs="宋体"/>
          <w:szCs w:val="21"/>
          <w:u w:val="single"/>
        </w:rPr>
        <w:t xml:space="preserve"> </w:t>
      </w:r>
      <w:r w:rsidR="003C2CCC">
        <w:rPr>
          <w:rFonts w:ascii="宋体" w:eastAsia="宋体" w:hAnsi="宋体" w:cs="宋体"/>
          <w:szCs w:val="21"/>
          <w:u w:val="single"/>
        </w:rPr>
        <w:t>8</w:t>
      </w:r>
      <w:r w:rsidRPr="00BD6DF2">
        <w:rPr>
          <w:rFonts w:ascii="宋体" w:eastAsia="宋体" w:hAnsi="宋体" w:cs="宋体"/>
          <w:szCs w:val="21"/>
          <w:u w:val="single"/>
        </w:rPr>
        <w:t xml:space="preserve"> </w:t>
      </w:r>
      <w:r w:rsidRPr="00BD6DF2">
        <w:rPr>
          <w:rFonts w:ascii="宋体" w:eastAsia="宋体" w:hAnsi="宋体" w:cs="宋体" w:hint="eastAsia"/>
          <w:szCs w:val="21"/>
        </w:rPr>
        <w:t>个</w:t>
      </w:r>
      <w:r w:rsidRPr="00BD6DF2">
        <w:rPr>
          <w:rFonts w:ascii="宋体" w:eastAsia="宋体" w:hAnsi="宋体" w:cs="宋体" w:hint="eastAsia"/>
          <w:szCs w:val="21"/>
        </w:rPr>
        <w:t>月，</w:t>
      </w:r>
      <w:r>
        <w:rPr>
          <w:rFonts w:ascii="宋体" w:eastAsia="宋体" w:hAnsi="宋体" w:cs="宋体" w:hint="eastAsia"/>
          <w:szCs w:val="21"/>
        </w:rPr>
        <w:t>自本合同生效之日起算,</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日至</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年</w:t>
      </w:r>
      <w:r>
        <w:rPr>
          <w:rFonts w:ascii="宋体" w:eastAsia="宋体" w:hAnsi="宋体" w:cs="宋体"/>
          <w:szCs w:val="21"/>
          <w:u w:val="single"/>
        </w:rPr>
        <w:t xml:space="preserve">   </w:t>
      </w:r>
      <w:r>
        <w:rPr>
          <w:rFonts w:ascii="宋体" w:eastAsia="宋体" w:hAnsi="宋体" w:cs="宋体" w:hint="eastAsia"/>
          <w:szCs w:val="21"/>
        </w:rPr>
        <w:t>月</w:t>
      </w:r>
      <w:r>
        <w:rPr>
          <w:rFonts w:ascii="宋体" w:eastAsia="宋体" w:hAnsi="宋体" w:cs="宋体" w:hint="eastAsia"/>
          <w:szCs w:val="21"/>
          <w:u w:val="single"/>
        </w:rPr>
        <w:t xml:space="preserve"> </w:t>
      </w:r>
      <w:r>
        <w:rPr>
          <w:rFonts w:ascii="宋体" w:eastAsia="宋体" w:hAnsi="宋体" w:cs="宋体"/>
          <w:szCs w:val="21"/>
          <w:u w:val="single"/>
        </w:rPr>
        <w:t xml:space="preserve">  </w:t>
      </w:r>
      <w:r w:rsidRPr="00651993" w:rsidR="00651993">
        <w:rPr>
          <w:rFonts w:ascii="宋体" w:eastAsia="宋体" w:hAnsi="宋体" w:cs="宋体" w:hint="eastAsia"/>
          <w:szCs w:val="21"/>
        </w:rPr>
        <w:t>日</w:t>
      </w:r>
      <w:r>
        <w:rPr>
          <w:rFonts w:ascii="宋体" w:eastAsia="宋体" w:hAnsi="宋体" w:cs="宋体" w:hint="eastAsia"/>
          <w:szCs w:val="21"/>
        </w:rPr>
        <w:t>完成；</w:t>
      </w:r>
    </w:p>
    <w:p w:rsidR="004161F4" w:rsidP="005C0AA8">
      <w:pPr>
        <w:numPr>
          <w:ilvl w:val="0"/>
          <w:numId w:val="29"/>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项目详细进度表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93"/>
        <w:gridCol w:w="6184"/>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1477" w:type="pct"/>
            <w:vAlign w:val="center"/>
          </w:tcPr>
          <w:p w:rsidR="004161F4">
            <w:pPr>
              <w:jc w:val="center"/>
              <w:rPr>
                <w:rFonts w:ascii="宋体" w:eastAsia="宋体" w:hAnsi="宋体" w:cs="宋体"/>
                <w:b/>
                <w:bCs/>
                <w:szCs w:val="21"/>
              </w:rPr>
            </w:pPr>
            <w:r>
              <w:rPr>
                <w:rFonts w:ascii="宋体" w:eastAsia="宋体" w:hAnsi="宋体" w:cs="宋体" w:hint="eastAsia"/>
                <w:b/>
                <w:bCs/>
                <w:szCs w:val="21"/>
              </w:rPr>
              <w:t>项目执行阶段</w:t>
            </w:r>
          </w:p>
        </w:tc>
        <w:tc>
          <w:tcPr>
            <w:tcW w:w="3523" w:type="pct"/>
            <w:vAlign w:val="center"/>
          </w:tcPr>
          <w:p w:rsidR="004161F4">
            <w:pPr>
              <w:jc w:val="center"/>
              <w:rPr>
                <w:rFonts w:ascii="宋体" w:eastAsia="宋体" w:hAnsi="宋体" w:cs="宋体"/>
                <w:b/>
                <w:bCs/>
                <w:szCs w:val="21"/>
              </w:rPr>
            </w:pPr>
            <w:r>
              <w:rPr>
                <w:rFonts w:ascii="宋体" w:eastAsia="宋体" w:hAnsi="宋体" w:cs="宋体" w:hint="eastAsia"/>
                <w:b/>
                <w:bCs/>
                <w:szCs w:val="21"/>
              </w:rPr>
              <w:t>项目执行时间</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研究开发计划</w:t>
            </w:r>
          </w:p>
        </w:tc>
        <w:tc>
          <w:tcPr>
            <w:tcW w:w="3523" w:type="pct"/>
            <w:vAlign w:val="center"/>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初设方案</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 xml:space="preserve"> </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安装、测试、培训</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软件试运行</w:t>
            </w:r>
          </w:p>
        </w:tc>
        <w:tc>
          <w:tcPr>
            <w:tcW w:w="3523" w:type="pct"/>
          </w:tcPr>
          <w:p w:rsidR="004161F4">
            <w:pPr>
              <w:jc w:val="center"/>
              <w:rPr>
                <w:rFonts w:ascii="宋体" w:eastAsia="宋体" w:hAnsi="宋体" w:cs="宋体"/>
                <w:szCs w:val="21"/>
              </w:rPr>
            </w:pPr>
            <w:r>
              <w:rPr>
                <w:rFonts w:ascii="宋体" w:eastAsia="宋体" w:hAnsi="宋体" w:cs="宋体" w:hint="eastAsia"/>
                <w:szCs w:val="21"/>
              </w:rPr>
              <w:t xml:space="preserve">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月</w:t>
            </w:r>
            <w:r>
              <w:rPr>
                <w:rFonts w:ascii="宋体" w:eastAsia="宋体" w:hAnsi="宋体" w:cs="宋体" w:hint="eastAsia"/>
                <w:szCs w:val="21"/>
              </w:rPr>
              <w:t xml:space="preserve"> </w:t>
            </w:r>
            <w:r>
              <w:rPr>
                <w:rFonts w:ascii="宋体" w:eastAsia="宋体" w:hAnsi="宋体" w:cs="宋体"/>
                <w:szCs w:val="21"/>
              </w:rPr>
              <w:t xml:space="preserve"> 日</w:t>
            </w:r>
            <w:r>
              <w:rPr>
                <w:rFonts w:ascii="宋体" w:eastAsia="宋体" w:hAnsi="宋体" w:cs="宋体" w:hint="eastAsia"/>
                <w:szCs w:val="21"/>
              </w:rPr>
              <w:t xml:space="preserve">至 </w:t>
            </w:r>
            <w:r>
              <w:rPr>
                <w:rFonts w:ascii="宋体" w:eastAsia="宋体" w:hAnsi="宋体" w:cs="宋体"/>
                <w:szCs w:val="21"/>
              </w:rPr>
              <w:t xml:space="preserve">  </w:t>
            </w: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r>
        <w:tblPrEx>
          <w:tblW w:w="5000" w:type="pct"/>
          <w:tblLook w:val="04A0"/>
        </w:tblPrEx>
        <w:tc>
          <w:tcPr>
            <w:tcW w:w="1477" w:type="pct"/>
            <w:vAlign w:val="center"/>
          </w:tcPr>
          <w:p w:rsidR="004161F4">
            <w:pPr>
              <w:jc w:val="center"/>
              <w:rPr>
                <w:rFonts w:ascii="宋体" w:eastAsia="宋体" w:hAnsi="宋体" w:cs="宋体"/>
                <w:szCs w:val="21"/>
              </w:rPr>
            </w:pPr>
            <w:r>
              <w:rPr>
                <w:rFonts w:ascii="宋体" w:eastAsia="宋体" w:hAnsi="宋体" w:cs="宋体" w:hint="eastAsia"/>
                <w:szCs w:val="21"/>
              </w:rPr>
              <w:t>项目验收</w:t>
            </w:r>
          </w:p>
        </w:tc>
        <w:tc>
          <w:tcPr>
            <w:tcW w:w="3523" w:type="pct"/>
          </w:tcPr>
          <w:p w:rsidR="004161F4">
            <w:pPr>
              <w:jc w:val="center"/>
              <w:rPr>
                <w:rFonts w:ascii="宋体" w:eastAsia="宋体" w:hAnsi="宋体" w:cs="宋体"/>
                <w:szCs w:val="21"/>
              </w:rPr>
            </w:pPr>
            <w:r>
              <w:rPr>
                <w:rFonts w:ascii="宋体" w:eastAsia="宋体" w:hAnsi="宋体" w:cs="宋体" w:hint="eastAsia"/>
                <w:szCs w:val="21"/>
              </w:rPr>
              <w:t>年</w:t>
            </w:r>
            <w:r>
              <w:rPr>
                <w:rFonts w:ascii="宋体" w:eastAsia="宋体" w:hAnsi="宋体" w:cs="宋体"/>
                <w:szCs w:val="21"/>
              </w:rPr>
              <w:t xml:space="preserve">      </w:t>
            </w:r>
            <w:r>
              <w:rPr>
                <w:rFonts w:ascii="宋体" w:eastAsia="宋体" w:hAnsi="宋体" w:cs="宋体" w:hint="eastAsia"/>
                <w:szCs w:val="21"/>
              </w:rPr>
              <w:t xml:space="preserve">月 </w:t>
            </w:r>
            <w:r>
              <w:rPr>
                <w:rFonts w:ascii="宋体" w:eastAsia="宋体" w:hAnsi="宋体" w:cs="宋体"/>
                <w:szCs w:val="21"/>
              </w:rPr>
              <w:t xml:space="preserve">    </w:t>
            </w:r>
            <w:r>
              <w:rPr>
                <w:rFonts w:ascii="宋体" w:eastAsia="宋体" w:hAnsi="宋体" w:cs="宋体" w:hint="eastAsia"/>
                <w:szCs w:val="21"/>
              </w:rPr>
              <w:t>日前完成</w:t>
            </w:r>
          </w:p>
        </w:tc>
      </w:tr>
    </w:tbl>
    <w:p w:rsidR="004161F4">
      <w:pPr>
        <w:keepNext/>
        <w:keepLines/>
        <w:numPr>
          <w:ilvl w:val="0"/>
          <w:numId w:val="19"/>
        </w:numPr>
        <w:spacing w:before="60" w:after="60" w:line="360" w:lineRule="auto"/>
        <w:outlineLvl w:val="1"/>
        <w:rPr>
          <w:rFonts w:ascii="宋体" w:eastAsia="宋体" w:hAnsi="宋体" w:cs="宋体"/>
          <w:b/>
          <w:bCs/>
          <w:szCs w:val="21"/>
        </w:rPr>
      </w:pPr>
      <w:bookmarkStart w:id="77" w:name="_Toc150439549"/>
      <w:r>
        <w:rPr>
          <w:rFonts w:ascii="宋体" w:eastAsia="宋体" w:hAnsi="宋体" w:cs="宋体" w:hint="eastAsia"/>
          <w:b/>
          <w:bCs/>
          <w:szCs w:val="21"/>
        </w:rPr>
        <w:t>乙方的权利与义务</w:t>
      </w:r>
      <w:bookmarkEnd w:id="77"/>
    </w:p>
    <w:p w:rsidR="004161F4" w:rsidP="002C6012">
      <w:pPr>
        <w:numPr>
          <w:ilvl w:val="0"/>
          <w:numId w:val="30"/>
        </w:numPr>
        <w:spacing w:line="360" w:lineRule="auto"/>
        <w:ind w:left="0" w:firstLine="420" w:firstLineChars="200"/>
        <w:rPr>
          <w:rFonts w:ascii="宋体" w:eastAsia="宋体" w:hAnsi="宋体" w:cs="宋体"/>
          <w:szCs w:val="21"/>
        </w:rPr>
      </w:pPr>
      <w:r>
        <w:rPr>
          <w:rFonts w:ascii="宋体" w:eastAsia="宋体" w:hAnsi="宋体" w:cs="宋体" w:hint="eastAsia"/>
          <w:szCs w:val="21"/>
        </w:rPr>
        <w:t>为保证履行合同，乙方承诺以下事项：</w:t>
      </w:r>
    </w:p>
    <w:p w:rsidR="004161F4" w:rsidP="002C6012">
      <w:pPr>
        <w:numPr>
          <w:ilvl w:val="0"/>
          <w:numId w:val="31"/>
        </w:numPr>
        <w:spacing w:line="360" w:lineRule="auto"/>
        <w:ind w:left="0" w:firstLine="420" w:firstLineChars="200"/>
        <w:rPr>
          <w:rFonts w:ascii="宋体" w:eastAsia="宋体" w:hAnsi="宋体" w:cs="宋体"/>
          <w:szCs w:val="21"/>
          <w:u w:val="single"/>
        </w:rPr>
      </w:pPr>
      <w:r w:rsidRPr="005C0AA8">
        <w:rPr>
          <w:rFonts w:ascii="宋体" w:eastAsia="宋体" w:hAnsi="宋体" w:cs="宋体" w:hint="eastAsia"/>
          <w:szCs w:val="21"/>
          <w:u w:val="single"/>
        </w:rPr>
        <w:t>保证具备履行本合同的相应资质条件，组成XX人的开发团队，其中专职人员X人，X人具有XXX资质，X人具有软件开发经历，技术负责人还应具有XXX资质，项目经理还应具有XXX资质；兼职人员X人，X人具有XXX资质，X人具有软件开发经历，指定现场实施具体负责人【】，保证并配合甲方提供相关验收材料，否则由此引发的一切法律及经济责任由乙方承担，造成甲方</w:t>
      </w:r>
      <w:r w:rsidRPr="005C0AA8">
        <w:rPr>
          <w:rFonts w:ascii="宋体" w:eastAsia="宋体" w:hAnsi="宋体" w:cs="宋体" w:hint="eastAsia"/>
          <w:szCs w:val="21"/>
          <w:u w:val="single"/>
        </w:rPr>
        <w:t>损失的，应予全部赔偿。</w:t>
      </w:r>
    </w:p>
    <w:p w:rsidR="004161F4" w:rsidP="002C6012">
      <w:pPr>
        <w:numPr>
          <w:ilvl w:val="0"/>
          <w:numId w:val="3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开发团队中X人需驻场开发，驻场地址为</w:t>
      </w:r>
      <w:r w:rsidR="008A4F6C">
        <w:rPr>
          <w:rFonts w:ascii="宋体" w:eastAsia="宋体" w:hAnsi="宋体" w:cs="宋体" w:hint="eastAsia"/>
          <w:szCs w:val="21"/>
          <w:u w:val="single"/>
        </w:rPr>
        <w:t>：</w:t>
      </w:r>
      <w:r w:rsidRPr="00EF60A7" w:rsidR="00EF60A7">
        <w:rPr>
          <w:rFonts w:ascii="宋体" w:eastAsia="宋体" w:hAnsi="宋体" w:cs="宋体" w:hint="eastAsia"/>
          <w:szCs w:val="21"/>
          <w:u w:val="single"/>
        </w:rPr>
        <w:t>北京市海淀区中关村南大街46号公共气象服务中心</w:t>
      </w:r>
      <w:r>
        <w:rPr>
          <w:rFonts w:ascii="宋体" w:eastAsia="宋体" w:hAnsi="宋体" w:cs="宋体" w:hint="eastAsia"/>
          <w:szCs w:val="21"/>
          <w:u w:val="single"/>
        </w:rPr>
        <w:t>；</w:t>
      </w:r>
    </w:p>
    <w:p w:rsidR="004161F4" w:rsidP="002C6012">
      <w:pPr>
        <w:numPr>
          <w:ilvl w:val="0"/>
          <w:numId w:val="3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投入所必需的XXX等软硬件设施资源及XXX场地；                         </w:t>
      </w:r>
    </w:p>
    <w:p w:rsidR="004161F4" w:rsidP="002C6012">
      <w:pPr>
        <w:numPr>
          <w:ilvl w:val="0"/>
          <w:numId w:val="3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制定针对本项目的备份恢复措施和应急预案；                             </w:t>
      </w:r>
    </w:p>
    <w:p w:rsidR="004161F4" w:rsidP="002C6012">
      <w:pPr>
        <w:numPr>
          <w:ilvl w:val="0"/>
          <w:numId w:val="3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具有XXX等内控、保密和管理制度。                                     </w:t>
      </w:r>
    </w:p>
    <w:p w:rsidR="004161F4" w:rsidP="002C6012">
      <w:pPr>
        <w:numPr>
          <w:ilvl w:val="0"/>
          <w:numId w:val="3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4161F4" w:rsidP="002C6012">
      <w:pPr>
        <w:numPr>
          <w:ilvl w:val="0"/>
          <w:numId w:val="30"/>
        </w:numPr>
        <w:spacing w:line="360" w:lineRule="auto"/>
        <w:ind w:left="0" w:firstLine="420" w:firstLineChars="200"/>
        <w:rPr>
          <w:rFonts w:ascii="宋体" w:eastAsia="宋体" w:hAnsi="宋体" w:cs="宋体"/>
          <w:szCs w:val="21"/>
        </w:rPr>
      </w:pPr>
      <w:r>
        <w:rPr>
          <w:rFonts w:ascii="宋体" w:eastAsia="宋体" w:hAnsi="宋体" w:cs="宋体" w:hint="eastAsia"/>
          <w:szCs w:val="21"/>
        </w:rPr>
        <w:t>对非驻场软件开发，乙方承诺以下事项：</w:t>
      </w:r>
    </w:p>
    <w:p w:rsidR="004161F4" w:rsidP="002C6012">
      <w:pPr>
        <w:numPr>
          <w:ilvl w:val="0"/>
          <w:numId w:val="32"/>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用于本项目的设施、系统和数据与其他项目有明确、清晰的边界；            </w:t>
      </w:r>
    </w:p>
    <w:p w:rsidR="004161F4" w:rsidP="002C6012">
      <w:pPr>
        <w:numPr>
          <w:ilvl w:val="0"/>
          <w:numId w:val="32"/>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对用于本项目的乙方服务器、存储、网络设备、操作系统、数据库、中间件等软硬件设施具有最高管理权限；                                                  </w:t>
      </w:r>
    </w:p>
    <w:p w:rsidR="004161F4" w:rsidP="002C6012">
      <w:pPr>
        <w:numPr>
          <w:ilvl w:val="0"/>
          <w:numId w:val="32"/>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u w:val="single"/>
        </w:rPr>
        <w:t xml:space="preserve">不存在规避监管的情形。                                                </w:t>
      </w:r>
    </w:p>
    <w:p w:rsidR="004161F4" w:rsidP="002C6012">
      <w:pPr>
        <w:numPr>
          <w:ilvl w:val="0"/>
          <w:numId w:val="30"/>
        </w:numPr>
        <w:spacing w:line="360" w:lineRule="auto"/>
        <w:ind w:left="0" w:firstLine="420" w:firstLineChars="200"/>
        <w:rPr>
          <w:rFonts w:ascii="宋体" w:eastAsia="宋体" w:hAnsi="宋体" w:cs="宋体"/>
          <w:szCs w:val="21"/>
        </w:rPr>
      </w:pPr>
      <w:r>
        <w:rPr>
          <w:rFonts w:ascii="宋体" w:eastAsia="宋体" w:hAnsi="宋体" w:cs="宋体" w:hint="eastAsia"/>
          <w:szCs w:val="21"/>
        </w:rPr>
        <w:t>未经甲方</w:t>
      </w:r>
      <w:r>
        <w:rPr>
          <w:rFonts w:ascii="宋体" w:eastAsia="宋体" w:hAnsi="宋体" w:cs="宋体"/>
          <w:szCs w:val="21"/>
        </w:rPr>
        <w:t>事先书面同意</w:t>
      </w:r>
      <w:r>
        <w:rPr>
          <w:rFonts w:ascii="宋体" w:eastAsia="宋体" w:hAnsi="宋体" w:cs="宋体" w:hint="eastAsia"/>
          <w:szCs w:val="21"/>
        </w:rPr>
        <w:t>，</w:t>
      </w:r>
      <w:r>
        <w:rPr>
          <w:rFonts w:ascii="宋体" w:eastAsia="宋体" w:hAnsi="宋体" w:cs="宋体"/>
          <w:szCs w:val="21"/>
        </w:rPr>
        <w:t>乙方不得部分或全部转让其应履行的合同项下的义务</w:t>
      </w:r>
      <w:r>
        <w:rPr>
          <w:rFonts w:ascii="宋体" w:eastAsia="宋体" w:hAnsi="宋体" w:cs="宋体" w:hint="eastAsia"/>
          <w:szCs w:val="21"/>
        </w:rPr>
        <w:t>。</w:t>
      </w:r>
    </w:p>
    <w:p w:rsidR="004161F4" w:rsidP="002C6012">
      <w:pPr>
        <w:numPr>
          <w:ilvl w:val="0"/>
          <w:numId w:val="3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乙方应在本合同生效后</w:t>
      </w:r>
      <w:r>
        <w:rPr>
          <w:rFonts w:ascii="宋体" w:eastAsia="宋体" w:hAnsi="宋体" w:cs="宋体" w:hint="eastAsia"/>
          <w:szCs w:val="21"/>
          <w:u w:val="single"/>
        </w:rPr>
        <w:t xml:space="preserve"> </w:t>
      </w:r>
      <w:r w:rsidR="00651993">
        <w:rPr>
          <w:rFonts w:ascii="宋体" w:eastAsia="宋体" w:hAnsi="宋体" w:cs="宋体"/>
          <w:szCs w:val="21"/>
          <w:u w:val="single"/>
        </w:rPr>
        <w:t>30</w:t>
      </w:r>
      <w:r>
        <w:rPr>
          <w:rFonts w:ascii="宋体" w:eastAsia="宋体" w:hAnsi="宋体" w:cs="宋体" w:hint="eastAsia"/>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工作日内向甲方提交研究开发计划。研究开发计划应包括以下主要内容：</w:t>
      </w:r>
    </w:p>
    <w:p w:rsidR="004161F4" w:rsidP="00E84035">
      <w:pPr>
        <w:numPr>
          <w:ilvl w:val="0"/>
          <w:numId w:val="33"/>
        </w:numPr>
        <w:spacing w:line="360" w:lineRule="auto"/>
        <w:ind w:left="0" w:firstLine="421"/>
        <w:jc w:val="left"/>
        <w:rPr>
          <w:rFonts w:ascii="宋体" w:eastAsia="宋体" w:hAnsi="宋体" w:cs="宋体"/>
          <w:szCs w:val="21"/>
        </w:rPr>
      </w:pPr>
      <w:r>
        <w:rPr>
          <w:rFonts w:ascii="宋体" w:eastAsia="宋体" w:hAnsi="宋体" w:cs="宋体" w:hint="eastAsia"/>
          <w:szCs w:val="21"/>
        </w:rPr>
        <w:t>项目功能清单；</w:t>
      </w:r>
    </w:p>
    <w:p w:rsidR="004161F4" w:rsidP="00E84035">
      <w:pPr>
        <w:numPr>
          <w:ilvl w:val="0"/>
          <w:numId w:val="33"/>
        </w:numPr>
        <w:spacing w:line="360" w:lineRule="auto"/>
        <w:ind w:left="0" w:firstLine="421"/>
        <w:jc w:val="left"/>
        <w:rPr>
          <w:rFonts w:ascii="宋体" w:eastAsia="宋体" w:hAnsi="宋体" w:cs="宋体"/>
          <w:szCs w:val="21"/>
        </w:rPr>
      </w:pPr>
      <w:r>
        <w:rPr>
          <w:rFonts w:ascii="宋体" w:eastAsia="宋体" w:hAnsi="宋体" w:cs="宋体" w:hint="eastAsia"/>
          <w:szCs w:val="21"/>
        </w:rPr>
        <w:t>项目实施方案。</w:t>
      </w:r>
    </w:p>
    <w:p w:rsidR="004161F4" w:rsidP="00E84035">
      <w:pPr>
        <w:numPr>
          <w:ilvl w:val="0"/>
          <w:numId w:val="30"/>
        </w:numPr>
        <w:spacing w:line="360" w:lineRule="auto"/>
        <w:ind w:left="0" w:firstLine="420" w:firstLineChars="200"/>
        <w:jc w:val="left"/>
        <w:rPr>
          <w:rFonts w:ascii="宋体" w:eastAsia="宋体" w:hAnsi="宋体" w:cs="宋体"/>
          <w:szCs w:val="21"/>
        </w:rPr>
      </w:pPr>
      <w:r>
        <w:rPr>
          <w:rFonts w:ascii="宋体" w:eastAsia="宋体" w:hAnsi="宋体" w:cs="宋体" w:hint="eastAsia"/>
          <w:szCs w:val="21"/>
        </w:rPr>
        <w:t>乙方在软件开发实施中，应在招标文件范围内，根据甲方需求持续改进，直到最终用户确认满意。</w:t>
      </w:r>
    </w:p>
    <w:p w:rsidR="004161F4" w:rsidP="00E84035">
      <w:pPr>
        <w:numPr>
          <w:ilvl w:val="0"/>
          <w:numId w:val="34"/>
        </w:numPr>
        <w:spacing w:line="360" w:lineRule="auto"/>
        <w:ind w:left="0" w:firstLine="420"/>
        <w:jc w:val="left"/>
        <w:rPr>
          <w:rFonts w:ascii="宋体" w:eastAsia="宋体" w:hAnsi="宋体" w:cs="宋体"/>
          <w:szCs w:val="21"/>
        </w:rPr>
      </w:pPr>
      <w:r>
        <w:rPr>
          <w:rFonts w:ascii="宋体" w:eastAsia="宋体" w:hAnsi="宋体" w:cs="宋体" w:hint="eastAsia"/>
          <w:szCs w:val="21"/>
        </w:rPr>
        <w:t>乙方必须对甲方的需求进行充分详细的调研，及时整理需求调研记录，请甲方签字确认，并据此开发软件系统原型。甲方可以随时补充或更正需求的细节，乙方应及时满足。</w:t>
      </w:r>
    </w:p>
    <w:p w:rsidR="004161F4" w:rsidP="00E84035">
      <w:pPr>
        <w:numPr>
          <w:ilvl w:val="0"/>
          <w:numId w:val="34"/>
        </w:numPr>
        <w:spacing w:line="360" w:lineRule="auto"/>
        <w:ind w:left="0" w:firstLine="420"/>
        <w:jc w:val="left"/>
        <w:rPr>
          <w:rFonts w:ascii="宋体" w:eastAsia="宋体" w:hAnsi="宋体" w:cs="宋体"/>
          <w:szCs w:val="21"/>
        </w:rPr>
      </w:pPr>
      <w:r>
        <w:rPr>
          <w:rFonts w:ascii="宋体" w:eastAsia="宋体" w:hAnsi="宋体" w:cs="宋体" w:hint="eastAsia"/>
          <w:szCs w:val="21"/>
        </w:rPr>
        <w:t>乙方在需求分析的基础上，根据本系统的功能、性能和使用目标，按照进度完成软件的详细设计方案。在实际执行过程中出现任何与乙方设计相关的技术问题或技术调整，由乙方负责解决。</w:t>
      </w:r>
    </w:p>
    <w:p w:rsidR="004161F4" w:rsidP="00E84035">
      <w:pPr>
        <w:numPr>
          <w:ilvl w:val="0"/>
          <w:numId w:val="34"/>
        </w:numPr>
        <w:spacing w:line="360" w:lineRule="auto"/>
        <w:ind w:left="0" w:firstLine="420"/>
        <w:jc w:val="left"/>
        <w:rPr>
          <w:rFonts w:ascii="宋体" w:eastAsia="宋体" w:hAnsi="宋体" w:cs="宋体"/>
          <w:szCs w:val="21"/>
        </w:rPr>
      </w:pPr>
      <w:r>
        <w:rPr>
          <w:rFonts w:ascii="宋体" w:eastAsia="宋体" w:hAnsi="宋体" w:cs="宋体" w:hint="eastAsia"/>
          <w:szCs w:val="21"/>
        </w:rPr>
        <w:t>甲方对详细设计方案的认可，并不代表对据此开发出的应用系统的认可。甲方在正式试用了本项目开发的软件后，可根据实际情况提出具体改进意见。</w:t>
      </w:r>
    </w:p>
    <w:p w:rsidR="004161F4" w:rsidP="006C0C73">
      <w:pPr>
        <w:numPr>
          <w:ilvl w:val="0"/>
          <w:numId w:val="30"/>
        </w:numPr>
        <w:spacing w:line="360" w:lineRule="auto"/>
        <w:ind w:left="0" w:firstLine="420" w:firstLineChars="200"/>
        <w:rPr>
          <w:rFonts w:ascii="宋体" w:eastAsia="宋体" w:hAnsi="宋体" w:cs="宋体"/>
          <w:szCs w:val="21"/>
        </w:rPr>
      </w:pPr>
      <w:r>
        <w:rPr>
          <w:rFonts w:ascii="宋体" w:eastAsia="宋体" w:hAnsi="宋体" w:cs="宋体" w:hint="eastAsia"/>
          <w:szCs w:val="21"/>
        </w:rPr>
        <w:t>乙方应及时以项目周报、月报和专题报告的方式报告日常进度，包括有无项目变更及变更情况或其他与本项目有关的甲方应该知道或甲方要求知道的情况。项目执行过程中，如遇突发事件，乙方应及时向甲方进行书面汇报，若因此导致项目延期，</w:t>
      </w:r>
      <w:r>
        <w:rPr>
          <w:rFonts w:ascii="宋体" w:eastAsia="宋体" w:hAnsi="宋体" w:cs="宋体"/>
          <w:szCs w:val="21"/>
        </w:rPr>
        <w:t>乙方承担所有责任。</w:t>
      </w:r>
    </w:p>
    <w:p w:rsidR="004161F4" w:rsidP="006C0C73">
      <w:pPr>
        <w:numPr>
          <w:ilvl w:val="0"/>
          <w:numId w:val="30"/>
        </w:numPr>
        <w:spacing w:line="360" w:lineRule="auto"/>
        <w:ind w:left="0" w:firstLine="420" w:firstLineChars="200"/>
        <w:rPr>
          <w:rFonts w:ascii="宋体" w:eastAsia="宋体" w:hAnsi="宋体" w:cs="宋体"/>
          <w:szCs w:val="21"/>
        </w:rPr>
      </w:pPr>
      <w:r>
        <w:rPr>
          <w:rFonts w:ascii="宋体" w:eastAsia="宋体" w:hAnsi="宋体" w:cs="宋体" w:hint="eastAsia"/>
          <w:szCs w:val="21"/>
        </w:rPr>
        <w:t>乙方承诺接受甲方对本项目执行工作的监督、检查和评价。</w:t>
      </w:r>
    </w:p>
    <w:p w:rsidR="004161F4" w:rsidP="006C0C73">
      <w:pPr>
        <w:numPr>
          <w:ilvl w:val="0"/>
          <w:numId w:val="30"/>
        </w:numPr>
        <w:spacing w:line="360" w:lineRule="auto"/>
        <w:ind w:left="0" w:firstLine="420" w:firstLineChars="200"/>
        <w:rPr>
          <w:rFonts w:ascii="宋体" w:eastAsia="宋体" w:hAnsi="宋体" w:cs="Times New Roman"/>
          <w:szCs w:val="21"/>
        </w:rPr>
      </w:pPr>
      <w:r>
        <w:rPr>
          <w:rFonts w:ascii="宋体" w:eastAsia="宋体" w:hAnsi="宋体" w:cs="宋体" w:hint="eastAsia"/>
          <w:szCs w:val="21"/>
        </w:rPr>
        <w:t>乙方须选派参与软件建设的人员为甲方提供技术培训，培训内容</w:t>
      </w:r>
      <w:r>
        <w:rPr>
          <w:rFonts w:ascii="宋体" w:eastAsia="宋体" w:hAnsi="宋体" w:cs="Times New Roman"/>
          <w:szCs w:val="21"/>
        </w:rPr>
        <w:t>包括</w:t>
      </w:r>
      <w:r>
        <w:rPr>
          <w:rFonts w:ascii="宋体" w:eastAsia="宋体" w:hAnsi="宋体" w:cs="Times New Roman" w:hint="eastAsia"/>
          <w:szCs w:val="21"/>
        </w:rPr>
        <w:t>但不限于</w:t>
      </w:r>
      <w:r>
        <w:rPr>
          <w:rFonts w:ascii="宋体" w:eastAsia="宋体" w:hAnsi="宋体" w:cs="Times New Roman"/>
          <w:szCs w:val="21"/>
        </w:rPr>
        <w:t>系统的工作原理、使用操作、保养维修技术等，使受训人员达到独立使用、熟练操</w:t>
      </w:r>
      <w:r>
        <w:rPr>
          <w:rFonts w:ascii="宋体" w:eastAsia="宋体" w:hAnsi="宋体" w:cs="宋体"/>
          <w:spacing w:val="5"/>
          <w:szCs w:val="21"/>
        </w:rPr>
        <w:t>作的程度。</w:t>
      </w:r>
    </w:p>
    <w:p w:rsidR="004161F4" w:rsidP="006C0C73">
      <w:pPr>
        <w:numPr>
          <w:ilvl w:val="0"/>
          <w:numId w:val="30"/>
        </w:numPr>
        <w:spacing w:line="360" w:lineRule="auto"/>
        <w:ind w:left="0" w:firstLine="420" w:firstLineChars="200"/>
        <w:rPr>
          <w:rFonts w:ascii="宋体" w:eastAsia="宋体" w:hAnsi="宋体" w:cs="宋体"/>
          <w:szCs w:val="21"/>
        </w:rPr>
      </w:pPr>
      <w:r w:rsidRPr="00000BEC">
        <w:rPr>
          <w:rFonts w:ascii="宋体" w:eastAsia="宋体" w:hAnsi="宋体" w:cs="宋体" w:hint="eastAsia"/>
          <w:szCs w:val="21"/>
        </w:rPr>
        <w:t>乙方保证交付甲方的研发成果不侵犯任何第三方的合法权益，免受第三方提出的侵犯其知识产权的索赔或诉讼。如有发生，乙方应当承担由此而引起的一切法律责任和费用，并赔偿甲方由此造成的全部损失。由此造成甲方业务连续性中断或其他损失的，乙方应当予以全部赔偿。本款规定的损失，包括但不限于甲方直接的经济投入、甲方由此遭受第三方的处罚、因调查取证或提请仲裁而产生的包括律师费、仲裁费、差旅费在内的仲裁诉讼费用</w:t>
      </w:r>
      <w:r w:rsidR="00296BC8">
        <w:rPr>
          <w:rFonts w:ascii="宋体" w:eastAsia="宋体" w:hAnsi="宋体" w:cs="宋体" w:hint="eastAsia"/>
          <w:szCs w:val="21"/>
        </w:rPr>
        <w:t>。</w:t>
      </w:r>
    </w:p>
    <w:p w:rsidR="004161F4" w:rsidP="006C0C73">
      <w:pPr>
        <w:numPr>
          <w:ilvl w:val="0"/>
          <w:numId w:val="30"/>
        </w:numPr>
        <w:spacing w:line="360" w:lineRule="auto"/>
        <w:ind w:left="0" w:firstLine="420" w:firstLineChars="200"/>
        <w:rPr>
          <w:rFonts w:ascii="宋体" w:eastAsia="宋体" w:hAnsi="宋体" w:cs="宋体"/>
          <w:szCs w:val="21"/>
        </w:rPr>
      </w:pPr>
      <w:r w:rsidRPr="00000BEC">
        <w:rPr>
          <w:rFonts w:ascii="宋体" w:eastAsia="宋体" w:hAnsi="宋体" w:cs="宋体" w:hint="eastAsia"/>
          <w:szCs w:val="21"/>
        </w:rPr>
        <w:t>乙方必须遵守国家法律法规及气象部门管理制度的要求。乙方在本项目执行过程中如接触到气象数据，应遵守气象数据安全相关管理制度，不得将所获取的气象数据以转发、转让、出售等方式对外披露，或用于本项目以外的其他用途。</w:t>
      </w:r>
    </w:p>
    <w:p w:rsidR="004161F4" w:rsidP="006C0C73">
      <w:pPr>
        <w:numPr>
          <w:ilvl w:val="0"/>
          <w:numId w:val="30"/>
        </w:numPr>
        <w:spacing w:line="360" w:lineRule="auto"/>
        <w:ind w:left="0" w:firstLine="420" w:firstLineChars="200"/>
        <w:rPr>
          <w:rFonts w:ascii="宋体" w:eastAsia="宋体" w:hAnsi="宋体" w:cs="宋体"/>
          <w:szCs w:val="21"/>
        </w:rPr>
      </w:pPr>
      <w:r w:rsidRPr="00000BEC">
        <w:rPr>
          <w:rFonts w:ascii="宋体" w:eastAsia="宋体" w:hAnsi="宋体" w:cs="宋体" w:hint="eastAsia"/>
          <w:szCs w:val="21"/>
        </w:rPr>
        <w:t>乙方在履行合同过程中，不得擅自调整项目经理、技术负责人和软件开发人员。如出现相关人员离职、调动、生病等特殊情况，乙方应通知甲方，并与甲方协商一致后重新委派。重新委派的人员能力、资质、软件开发经历等应与</w:t>
      </w:r>
      <w:r w:rsidRPr="00000BEC">
        <w:rPr>
          <w:rFonts w:ascii="宋体" w:eastAsia="宋体" w:hAnsi="宋体" w:cs="宋体" w:hint="eastAsia"/>
          <w:szCs w:val="21"/>
        </w:rPr>
        <w:t>原人员</w:t>
      </w:r>
      <w:r w:rsidRPr="00000BEC">
        <w:rPr>
          <w:rFonts w:ascii="宋体" w:eastAsia="宋体" w:hAnsi="宋体" w:cs="宋体" w:hint="eastAsia"/>
          <w:szCs w:val="21"/>
        </w:rPr>
        <w:t>相当。如甲方认为需要调整项目经理、技术负责人和软件开发人员的，应与乙方协商一致后调整。</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78" w:name="_Toc150439565"/>
      <w:r>
        <w:rPr>
          <w:rFonts w:ascii="宋体" w:eastAsia="宋体" w:hAnsi="宋体" w:cs="宋体" w:hint="eastAsia"/>
          <w:b/>
          <w:bCs/>
          <w:szCs w:val="21"/>
        </w:rPr>
        <w:t>甲方</w:t>
      </w:r>
      <w:r>
        <w:rPr>
          <w:rFonts w:ascii="宋体" w:eastAsia="宋体" w:hAnsi="宋体" w:cs="宋体"/>
          <w:b/>
          <w:bCs/>
          <w:szCs w:val="21"/>
        </w:rPr>
        <w:t>的权利与义务</w:t>
      </w:r>
      <w:bookmarkEnd w:id="78"/>
    </w:p>
    <w:p w:rsidR="004161F4" w:rsidP="00BC3598">
      <w:pPr>
        <w:numPr>
          <w:ilvl w:val="0"/>
          <w:numId w:val="35"/>
        </w:numPr>
        <w:spacing w:line="360" w:lineRule="auto"/>
        <w:ind w:left="0" w:firstLine="420" w:firstLineChars="200"/>
        <w:rPr>
          <w:rFonts w:ascii="宋体" w:eastAsia="宋体" w:hAnsi="宋体" w:cs="宋体"/>
          <w:szCs w:val="21"/>
        </w:rPr>
      </w:pPr>
      <w:r>
        <w:rPr>
          <w:rFonts w:ascii="宋体" w:eastAsia="宋体" w:hAnsi="宋体" w:cs="宋体"/>
          <w:spacing w:val="7"/>
          <w:szCs w:val="21"/>
        </w:rPr>
        <w:t>提供基础资料数据（现有的资料和数据）</w:t>
      </w:r>
      <w:r>
        <w:rPr>
          <w:rFonts w:ascii="宋体" w:eastAsia="宋体" w:hAnsi="宋体" w:cs="宋体" w:hint="eastAsia"/>
          <w:szCs w:val="21"/>
        </w:rPr>
        <w:t>，及协作事项如下：</w:t>
      </w:r>
    </w:p>
    <w:p w:rsidR="004161F4" w:rsidP="00BC3598">
      <w:pPr>
        <w:numPr>
          <w:ilvl w:val="0"/>
          <w:numId w:val="36"/>
        </w:numPr>
        <w:spacing w:line="360" w:lineRule="auto"/>
        <w:ind w:left="0" w:firstLine="424" w:firstLineChars="202"/>
        <w:rPr>
          <w:rFonts w:ascii="宋体" w:eastAsia="宋体" w:hAnsi="宋体" w:cs="宋体"/>
          <w:szCs w:val="21"/>
          <w:u w:val="single"/>
        </w:rPr>
      </w:pPr>
      <w:r>
        <w:rPr>
          <w:rFonts w:ascii="宋体" w:eastAsia="宋体" w:hAnsi="宋体" w:cs="宋体" w:hint="eastAsia"/>
          <w:szCs w:val="21"/>
        </w:rPr>
        <w:t>技术资料清单：</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BC3598">
      <w:pPr>
        <w:numPr>
          <w:ilvl w:val="0"/>
          <w:numId w:val="36"/>
        </w:numPr>
        <w:spacing w:line="360" w:lineRule="auto"/>
        <w:ind w:left="0" w:firstLine="424" w:firstLineChars="202"/>
        <w:rPr>
          <w:rFonts w:ascii="宋体" w:eastAsia="宋体" w:hAnsi="宋体" w:cs="宋体"/>
          <w:szCs w:val="21"/>
        </w:rPr>
      </w:pPr>
      <w:r>
        <w:rPr>
          <w:rFonts w:ascii="宋体" w:eastAsia="宋体" w:hAnsi="宋体" w:cs="宋体" w:hint="eastAsia"/>
          <w:szCs w:val="21"/>
        </w:rPr>
        <w:t>提供时间和方式：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BC3598">
      <w:pPr>
        <w:numPr>
          <w:ilvl w:val="0"/>
          <w:numId w:val="36"/>
        </w:numPr>
        <w:spacing w:line="360" w:lineRule="auto"/>
        <w:ind w:left="0" w:firstLine="424" w:firstLineChars="202"/>
        <w:rPr>
          <w:rFonts w:ascii="宋体" w:eastAsia="宋体" w:hAnsi="宋体" w:cs="宋体"/>
          <w:szCs w:val="21"/>
          <w:u w:val="single"/>
        </w:rPr>
      </w:pPr>
      <w:r>
        <w:rPr>
          <w:rFonts w:ascii="宋体" w:eastAsia="宋体" w:hAnsi="宋体" w:cs="宋体" w:hint="eastAsia"/>
          <w:szCs w:val="21"/>
        </w:rPr>
        <w:t>其他协作事项：</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BC3598">
      <w:pPr>
        <w:ind w:firstLine="420" w:firstLineChars="200"/>
        <w:rPr>
          <w:rFonts w:ascii="宋体" w:eastAsia="宋体" w:hAnsi="宋体" w:cs="宋体"/>
          <w:szCs w:val="21"/>
          <w:u w:val="single"/>
        </w:rPr>
      </w:pPr>
      <w:r>
        <w:rPr>
          <w:rFonts w:ascii="宋体" w:eastAsia="宋体" w:hAnsi="宋体" w:cs="宋体" w:hint="eastAsia"/>
          <w:szCs w:val="21"/>
        </w:rPr>
        <w:t>本合同履行完毕后，上述技术资料按以下方式处理：</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BC3598">
      <w:pPr>
        <w:numPr>
          <w:ilvl w:val="0"/>
          <w:numId w:val="35"/>
        </w:numPr>
        <w:spacing w:line="360" w:lineRule="auto"/>
        <w:ind w:left="0" w:firstLine="420" w:firstLineChars="200"/>
        <w:rPr>
          <w:rFonts w:ascii="宋体" w:eastAsia="宋体" w:hAnsi="宋体" w:cs="宋体"/>
          <w:spacing w:val="7"/>
          <w:szCs w:val="21"/>
        </w:rPr>
      </w:pPr>
      <w:r>
        <w:rPr>
          <w:rFonts w:ascii="宋体" w:eastAsia="宋体" w:hAnsi="宋体" w:cs="宋体" w:hint="eastAsia"/>
          <w:spacing w:val="7"/>
          <w:szCs w:val="21"/>
        </w:rPr>
        <w:t>对于满足合同约定支付条件的，甲方应当按照合同约定期限将资金支付到合同约定的乙方账户，不得将采购文件和合同中未规定的义务作为向乙方付款的条件。</w:t>
      </w:r>
    </w:p>
    <w:p w:rsidR="004161F4" w:rsidP="00BC3598">
      <w:pPr>
        <w:numPr>
          <w:ilvl w:val="0"/>
          <w:numId w:val="35"/>
        </w:numPr>
        <w:spacing w:line="360" w:lineRule="auto"/>
        <w:ind w:left="0" w:firstLine="420" w:firstLineChars="200"/>
        <w:rPr>
          <w:rFonts w:ascii="宋体" w:eastAsia="宋体" w:hAnsi="宋体" w:cs="宋体"/>
          <w:szCs w:val="21"/>
        </w:rPr>
      </w:pPr>
      <w:r>
        <w:rPr>
          <w:rFonts w:ascii="宋体" w:eastAsia="宋体" w:hAnsi="宋体" w:cs="宋体" w:hint="eastAsia"/>
          <w:spacing w:val="7"/>
          <w:szCs w:val="21"/>
        </w:rPr>
        <w:t>本合同的研究开发经费由乙方以研发支出的方式使用。甲方对乙方进行研究开发工作和使用研究开发经费的情况具有监督、检查和评价的权利，有权要求乙方向甲方定期汇报，但不得妨碍乙方的正常工作。</w:t>
      </w:r>
    </w:p>
    <w:p w:rsidR="004161F4" w:rsidRPr="005B660A" w:rsidP="00BC3598">
      <w:pPr>
        <w:numPr>
          <w:ilvl w:val="0"/>
          <w:numId w:val="35"/>
        </w:numPr>
        <w:spacing w:line="360" w:lineRule="auto"/>
        <w:ind w:left="0" w:firstLine="420" w:firstLineChars="200"/>
        <w:rPr>
          <w:rFonts w:ascii="宋体" w:eastAsia="宋体" w:hAnsi="宋体" w:cs="宋体"/>
          <w:spacing w:val="7"/>
          <w:szCs w:val="21"/>
        </w:rPr>
      </w:pPr>
      <w:r>
        <w:rPr>
          <w:rFonts w:ascii="宋体" w:eastAsia="宋体" w:hAnsi="宋体" w:cs="宋体" w:hint="eastAsia"/>
          <w:szCs w:val="21"/>
        </w:rPr>
        <w:t>甲方必须遵守国家法律法规及气象部门管理制度的要求。</w:t>
      </w:r>
    </w:p>
    <w:p w:rsidR="005B660A" w:rsidP="00BC3598">
      <w:pPr>
        <w:numPr>
          <w:ilvl w:val="0"/>
          <w:numId w:val="35"/>
        </w:numPr>
        <w:spacing w:line="360" w:lineRule="auto"/>
        <w:ind w:left="0" w:firstLine="420" w:firstLineChars="200"/>
        <w:rPr>
          <w:rFonts w:ascii="宋体" w:eastAsia="宋体" w:hAnsi="宋体" w:cs="宋体"/>
          <w:spacing w:val="7"/>
          <w:szCs w:val="21"/>
        </w:rPr>
      </w:pPr>
      <w:r w:rsidRPr="005B660A">
        <w:rPr>
          <w:rFonts w:ascii="宋体" w:eastAsia="宋体" w:hAnsi="宋体" w:cs="宋体" w:hint="eastAsia"/>
          <w:spacing w:val="7"/>
          <w:szCs w:val="21"/>
        </w:rPr>
        <w:t>根据乙方工作进度，甲方有权组织人员不定期地对乙方已经完成的资料进行检查验收，乙方必须无条件给与安排；但甲方是否行使本项权利与否，均不降低乙方自己的注意义务，也不代表甲方应对乙方所提供的服务承担任何法律责任及风险，并不能够构成乙方义务的减免事由。</w:t>
      </w:r>
    </w:p>
    <w:p w:rsidR="004161F4" w:rsidP="00BC3598">
      <w:pPr>
        <w:keepNext/>
        <w:keepLines/>
        <w:numPr>
          <w:ilvl w:val="0"/>
          <w:numId w:val="19"/>
        </w:numPr>
        <w:spacing w:before="60" w:after="60" w:line="360" w:lineRule="auto"/>
        <w:outlineLvl w:val="1"/>
        <w:rPr>
          <w:rFonts w:ascii="宋体" w:eastAsia="宋体" w:hAnsi="宋体" w:cs="宋体"/>
          <w:b/>
          <w:bCs/>
          <w:szCs w:val="21"/>
        </w:rPr>
      </w:pPr>
      <w:r>
        <w:rPr>
          <w:rFonts w:ascii="宋体" w:eastAsia="宋体" w:hAnsi="宋体" w:cs="宋体" w:hint="eastAsia"/>
          <w:b/>
          <w:bCs/>
          <w:szCs w:val="21"/>
        </w:rPr>
        <w:t>知识产权归属</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因履行本合同所产生的研究开发成果（包括阶段性成果和总成果，包括但不限于软件源代码、可执行文件及相关开发文档资料）的全部知识产权（包括但不限于著作权、专利权、技术秘密等）归甲方所有,乙方不享有上述权利，并且甲方在决定行使上述权利时，乙方应无条件予以协助。未经甲方书面同意，乙方不得主张任何权利，不得自行使用或许可他人使用，也不得提供或泄露给任何第三方。</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甲方有权利用乙方按照本合同约定提供的研究开发成果，进行后续改进。由此产生的具有实质性或创造性技术进步特征的新的技术成果及其权属，由甲方享有。</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平台运行采集、收集、分析的所有数据都归甲方所有，以上数据仅限于本项目使用，如由于乙方原因发生数据丢失、泄露，由乙方承担事故责任。</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乙方利用研究开发经费所购置与研究开发工作有关的设备、器材、资料等财产，归甲方所有。</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未经甲方书面许可，乙方不得向第三方提供本项目建设使用的甲方相关数据资料，并且要做好数据的保密工作，乙方不得将本项目中算法及基于本项目算法开发的系统/平台进行任何商业化推广、服务等使用行为。</w:t>
      </w:r>
    </w:p>
    <w:p w:rsidR="00A07D1B" w:rsidRPr="00A07D1B"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如果甲方在使用该开发成果的任何一部分时被任何第三方诉称侵犯了该第三方知识产权或任何其它权利，乙方应负责处理这一指控并应以乙方的名义自负费用向起诉方提出抗辩，由此可能产生的一切法律责任和经济责任均由乙方承担。甲方将尽可能地对乙方抗辩给予协助，由此发生的费用由乙方承担。</w:t>
      </w:r>
    </w:p>
    <w:p w:rsidR="004161F4" w:rsidP="00BC3598">
      <w:pPr>
        <w:numPr>
          <w:ilvl w:val="0"/>
          <w:numId w:val="37"/>
        </w:numPr>
        <w:spacing w:line="360" w:lineRule="auto"/>
        <w:ind w:left="0" w:firstLine="424" w:firstLineChars="202"/>
        <w:rPr>
          <w:rFonts w:ascii="宋体" w:eastAsia="宋体" w:hAnsi="宋体" w:cs="宋体"/>
          <w:szCs w:val="21"/>
        </w:rPr>
      </w:pPr>
      <w:r w:rsidRPr="00A07D1B">
        <w:rPr>
          <w:rFonts w:ascii="宋体" w:eastAsia="宋体" w:hAnsi="宋体" w:cs="宋体" w:hint="eastAsia"/>
          <w:szCs w:val="21"/>
        </w:rPr>
        <w:t>乙方违反上述规定的，应承担相应的违约责任并及时采取补救措施。因乙方违约行为给甲方造成经济损失的（包括但不限于给对方造成名誉信誉或物质利益的损失），应赔偿甲方全部经济损失</w:t>
      </w:r>
      <w:r w:rsidR="00296BC8">
        <w:rPr>
          <w:rFonts w:ascii="宋体" w:eastAsia="宋体" w:hAnsi="宋体" w:cs="宋体"/>
          <w:szCs w:val="21"/>
        </w:rPr>
        <w:t>。</w:t>
      </w:r>
    </w:p>
    <w:p w:rsidR="004161F4" w:rsidP="00BC3598">
      <w:pPr>
        <w:keepNext/>
        <w:keepLines/>
        <w:numPr>
          <w:ilvl w:val="0"/>
          <w:numId w:val="19"/>
        </w:numPr>
        <w:spacing w:before="60" w:after="60" w:line="360" w:lineRule="auto"/>
        <w:outlineLvl w:val="1"/>
        <w:rPr>
          <w:rFonts w:ascii="宋体" w:eastAsia="宋体" w:hAnsi="宋体" w:cs="宋体"/>
          <w:b/>
          <w:bCs/>
          <w:szCs w:val="21"/>
        </w:rPr>
      </w:pPr>
      <w:r>
        <w:rPr>
          <w:rFonts w:ascii="宋体" w:eastAsia="宋体" w:hAnsi="宋体" w:cs="宋体" w:hint="eastAsia"/>
          <w:b/>
          <w:bCs/>
          <w:szCs w:val="21"/>
        </w:rPr>
        <w:t>项目联系人及相关约定</w:t>
      </w:r>
    </w:p>
    <w:p w:rsidR="004161F4" w:rsidP="00BC3598">
      <w:pPr>
        <w:numPr>
          <w:ilvl w:val="0"/>
          <w:numId w:val="38"/>
        </w:numPr>
        <w:spacing w:line="360" w:lineRule="auto"/>
        <w:ind w:left="0" w:firstLine="420" w:firstLineChars="200"/>
        <w:rPr>
          <w:rFonts w:ascii="宋体" w:eastAsia="宋体" w:hAnsi="宋体" w:cs="宋体"/>
          <w:szCs w:val="21"/>
        </w:rPr>
      </w:pPr>
      <w:r>
        <w:rPr>
          <w:rFonts w:ascii="宋体" w:eastAsia="宋体" w:hAnsi="宋体" w:cs="宋体" w:hint="eastAsia"/>
          <w:szCs w:val="21"/>
        </w:rPr>
        <w:t>联系人及职责</w:t>
      </w:r>
    </w:p>
    <w:p w:rsidR="004161F4" w:rsidP="00BC3598">
      <w:pPr>
        <w:ind w:firstLine="424" w:firstLineChars="202"/>
        <w:rPr>
          <w:rFonts w:ascii="宋体" w:eastAsia="宋体" w:hAnsi="宋体" w:cs="宋体"/>
          <w:szCs w:val="21"/>
        </w:rPr>
      </w:pPr>
      <w:r>
        <w:rPr>
          <w:rFonts w:ascii="宋体" w:eastAsia="宋体" w:hAnsi="宋体" w:cs="宋体"/>
          <w:szCs w:val="21"/>
        </w:rPr>
        <w:t>双方确定，在本合同有效期内，甲方指定</w:t>
      </w:r>
      <w:r>
        <w:rPr>
          <w:rFonts w:ascii="宋体" w:eastAsia="宋体" w:hAnsi="宋体" w:cs="宋体"/>
          <w:szCs w:val="21"/>
          <w:u w:val="single"/>
        </w:rPr>
        <w:t xml:space="preserve">    </w:t>
      </w:r>
      <w:r>
        <w:rPr>
          <w:rFonts w:ascii="宋体" w:eastAsia="宋体" w:hAnsi="宋体" w:cs="宋体"/>
          <w:szCs w:val="21"/>
        </w:rPr>
        <w:t>为甲方项目联系人，乙方指定</w:t>
      </w:r>
      <w:r>
        <w:rPr>
          <w:rFonts w:ascii="宋体" w:eastAsia="宋体" w:hAnsi="宋体" w:cs="宋体"/>
          <w:szCs w:val="21"/>
          <w:u w:val="single"/>
        </w:rPr>
        <w:t xml:space="preserve">     </w:t>
      </w:r>
    </w:p>
    <w:p w:rsidR="004161F4">
      <w:pPr>
        <w:rPr>
          <w:rFonts w:ascii="宋体" w:eastAsia="宋体" w:hAnsi="宋体" w:cs="宋体"/>
          <w:szCs w:val="21"/>
        </w:rPr>
      </w:pPr>
      <w:r>
        <w:rPr>
          <w:rFonts w:ascii="宋体" w:eastAsia="宋体" w:hAnsi="宋体" w:cs="宋体" w:hint="eastAsia"/>
          <w:szCs w:val="21"/>
        </w:rPr>
        <w:t>为乙方项目联系人。项目联系人承担以下责任：</w:t>
      </w:r>
      <w:r>
        <w:rPr>
          <w:rFonts w:ascii="宋体" w:eastAsia="宋体" w:hAnsi="宋体" w:cs="宋体"/>
          <w:szCs w:val="21"/>
        </w:rPr>
        <w:t xml:space="preserve"> </w:t>
      </w:r>
    </w:p>
    <w:p w:rsidR="004161F4" w:rsidP="00BC3598">
      <w:pPr>
        <w:numPr>
          <w:ilvl w:val="0"/>
          <w:numId w:val="39"/>
        </w:numPr>
        <w:spacing w:line="360" w:lineRule="auto"/>
        <w:ind w:left="0" w:firstLine="424" w:firstLineChars="202"/>
        <w:rPr>
          <w:rFonts w:ascii="宋体" w:eastAsia="宋体" w:hAnsi="宋体" w:cs="宋体"/>
          <w:szCs w:val="21"/>
          <w:u w:val="single"/>
        </w:rPr>
      </w:pPr>
      <w:r>
        <w:rPr>
          <w:rFonts w:ascii="宋体" w:eastAsia="宋体" w:hAnsi="宋体" w:cs="宋体" w:hint="eastAsia"/>
          <w:szCs w:val="21"/>
          <w:u w:val="single"/>
        </w:rPr>
        <w:t xml:space="preserve">                                                               ；</w:t>
      </w:r>
    </w:p>
    <w:p w:rsidR="004161F4" w:rsidP="00BC3598">
      <w:pPr>
        <w:numPr>
          <w:ilvl w:val="0"/>
          <w:numId w:val="39"/>
        </w:numPr>
        <w:spacing w:line="360" w:lineRule="auto"/>
        <w:ind w:left="0" w:firstLine="424" w:firstLineChars="202"/>
        <w:rPr>
          <w:rFonts w:ascii="宋体" w:eastAsia="宋体" w:hAnsi="宋体" w:cs="宋体"/>
          <w:szCs w:val="21"/>
          <w:u w:val="single"/>
        </w:rPr>
      </w:pPr>
      <w:r>
        <w:rPr>
          <w:rFonts w:ascii="宋体" w:eastAsia="宋体" w:hAnsi="宋体" w:cs="宋体" w:hint="eastAsia"/>
          <w:szCs w:val="21"/>
          <w:u w:val="single"/>
        </w:rPr>
        <w:t xml:space="preserve">                                                               ； </w:t>
      </w:r>
    </w:p>
    <w:p w:rsidR="004161F4" w:rsidP="00BC3598">
      <w:pPr>
        <w:numPr>
          <w:ilvl w:val="0"/>
          <w:numId w:val="39"/>
        </w:numPr>
        <w:spacing w:line="360" w:lineRule="auto"/>
        <w:ind w:left="0" w:firstLine="424" w:firstLineChars="202"/>
        <w:rPr>
          <w:rFonts w:ascii="宋体" w:eastAsia="宋体" w:hAnsi="宋体" w:cs="宋体"/>
          <w:szCs w:val="21"/>
          <w:u w:val="single"/>
        </w:rPr>
      </w:pPr>
      <w:r>
        <w:rPr>
          <w:rFonts w:ascii="宋体" w:eastAsia="宋体" w:hAnsi="宋体" w:cs="宋体" w:hint="eastAsia"/>
          <w:szCs w:val="21"/>
          <w:u w:val="single"/>
        </w:rPr>
        <w:t xml:space="preserve">                                                               ；</w:t>
      </w:r>
    </w:p>
    <w:p w:rsidR="004161F4" w:rsidP="00BC3598">
      <w:pPr>
        <w:numPr>
          <w:ilvl w:val="0"/>
          <w:numId w:val="39"/>
        </w:numPr>
        <w:spacing w:line="360" w:lineRule="auto"/>
        <w:ind w:left="0" w:firstLine="424" w:firstLineChars="202"/>
        <w:rPr>
          <w:rFonts w:ascii="宋体" w:eastAsia="宋体" w:hAnsi="宋体" w:cs="宋体"/>
          <w:szCs w:val="21"/>
          <w:u w:val="single"/>
        </w:rPr>
      </w:pPr>
      <w:r>
        <w:rPr>
          <w:rFonts w:ascii="Arial" w:eastAsia="宋体" w:hAnsi="Arial" w:cs="Arial" w:hint="eastAsia"/>
          <w:szCs w:val="21"/>
          <w:u w:val="single"/>
        </w:rPr>
        <w:t xml:space="preserve">                                                                 </w:t>
      </w:r>
    </w:p>
    <w:p w:rsidR="004161F4" w:rsidP="00BC3598">
      <w:pPr>
        <w:numPr>
          <w:ilvl w:val="0"/>
          <w:numId w:val="38"/>
        </w:numPr>
        <w:spacing w:line="360" w:lineRule="auto"/>
        <w:ind w:left="0" w:firstLine="420" w:firstLineChars="200"/>
        <w:rPr>
          <w:rFonts w:ascii="宋体" w:eastAsia="宋体" w:hAnsi="宋体" w:cs="宋体"/>
          <w:szCs w:val="21"/>
        </w:rPr>
      </w:pPr>
      <w:r>
        <w:rPr>
          <w:rFonts w:ascii="宋体" w:eastAsia="宋体" w:hAnsi="宋体" w:cs="宋体" w:hint="eastAsia"/>
          <w:szCs w:val="21"/>
        </w:rPr>
        <w:t>联系人变更约定</w:t>
      </w:r>
    </w:p>
    <w:p w:rsidR="004161F4" w:rsidP="00BC3598">
      <w:pPr>
        <w:numPr>
          <w:ilvl w:val="0"/>
          <w:numId w:val="40"/>
        </w:numPr>
        <w:spacing w:line="360" w:lineRule="auto"/>
        <w:ind w:left="0" w:firstLine="415"/>
        <w:rPr>
          <w:rFonts w:ascii="宋体" w:eastAsia="宋体" w:hAnsi="宋体" w:cs="宋体"/>
          <w:szCs w:val="21"/>
        </w:rPr>
      </w:pPr>
      <w:r>
        <w:rPr>
          <w:rFonts w:ascii="宋体" w:eastAsia="宋体" w:hAnsi="宋体" w:cs="宋体"/>
          <w:szCs w:val="21"/>
        </w:rPr>
        <w:t>一方变更项目联系人的，应当及时以书面形式通知另一方。未及时通知并影响本合同履行或造成损失的，应承担相应的责任。</w:t>
      </w:r>
    </w:p>
    <w:p w:rsidR="004161F4" w:rsidP="00BC3598">
      <w:pPr>
        <w:numPr>
          <w:ilvl w:val="0"/>
          <w:numId w:val="40"/>
        </w:numPr>
        <w:spacing w:line="360" w:lineRule="auto"/>
        <w:ind w:left="0" w:firstLine="415"/>
        <w:rPr>
          <w:rFonts w:ascii="宋体" w:eastAsia="宋体" w:hAnsi="宋体" w:cs="宋体"/>
          <w:szCs w:val="21"/>
        </w:rPr>
      </w:pPr>
      <w:r>
        <w:rPr>
          <w:rFonts w:ascii="宋体" w:eastAsia="宋体" w:hAnsi="宋体" w:cs="宋体"/>
          <w:szCs w:val="21"/>
        </w:rPr>
        <w:t>一方变更项目联系人的，须保证业务连续性及后续运行维护要求，由于人员变动影响本合同履行或造成损失的，应承担相应的责任。</w:t>
      </w:r>
    </w:p>
    <w:p w:rsidR="004161F4" w:rsidP="00BC3598">
      <w:pPr>
        <w:numPr>
          <w:ilvl w:val="0"/>
          <w:numId w:val="40"/>
        </w:numPr>
        <w:spacing w:line="360" w:lineRule="auto"/>
        <w:ind w:left="0" w:firstLine="415"/>
        <w:rPr>
          <w:rFonts w:ascii="宋体" w:eastAsia="宋体" w:hAnsi="宋体" w:cs="宋体"/>
          <w:szCs w:val="21"/>
        </w:rPr>
      </w:pPr>
      <w:r>
        <w:rPr>
          <w:rFonts w:ascii="宋体" w:eastAsia="宋体" w:hAnsi="宋体" w:cs="宋体"/>
          <w:szCs w:val="21"/>
        </w:rPr>
        <w:t>乙方</w:t>
      </w:r>
      <w:r>
        <w:rPr>
          <w:rFonts w:ascii="宋体" w:eastAsia="宋体" w:hAnsi="宋体" w:cs="宋体" w:hint="eastAsia"/>
          <w:szCs w:val="21"/>
        </w:rPr>
        <w:t>须定期向甲方通报汇总的</w:t>
      </w:r>
      <w:r>
        <w:rPr>
          <w:rFonts w:ascii="宋体" w:eastAsia="宋体" w:hAnsi="宋体" w:cs="宋体"/>
          <w:szCs w:val="21"/>
        </w:rPr>
        <w:t>项目参与人员并及时更新，</w:t>
      </w:r>
      <w:r>
        <w:rPr>
          <w:rFonts w:ascii="宋体" w:eastAsia="宋体" w:hAnsi="宋体" w:cs="宋体" w:hint="eastAsia"/>
          <w:szCs w:val="21"/>
        </w:rPr>
        <w:t>严格</w:t>
      </w:r>
      <w:r>
        <w:rPr>
          <w:rFonts w:ascii="宋体" w:eastAsia="宋体" w:hAnsi="宋体" w:cs="宋体"/>
          <w:szCs w:val="21"/>
        </w:rPr>
        <w:t>审核</w:t>
      </w:r>
      <w:r>
        <w:rPr>
          <w:rFonts w:ascii="宋体" w:eastAsia="宋体" w:hAnsi="宋体" w:cs="宋体" w:hint="eastAsia"/>
          <w:szCs w:val="21"/>
        </w:rPr>
        <w:t>参与</w:t>
      </w:r>
      <w:r>
        <w:rPr>
          <w:rFonts w:ascii="宋体" w:eastAsia="宋体" w:hAnsi="宋体" w:cs="宋体"/>
          <w:szCs w:val="21"/>
        </w:rPr>
        <w:t>人员背景，</w:t>
      </w:r>
      <w:r>
        <w:rPr>
          <w:rFonts w:ascii="宋体" w:eastAsia="宋体" w:hAnsi="宋体" w:cs="宋体" w:hint="eastAsia"/>
          <w:szCs w:val="21"/>
        </w:rPr>
        <w:t>不得超出应有的系统</w:t>
      </w:r>
      <w:r>
        <w:rPr>
          <w:rFonts w:ascii="宋体" w:eastAsia="宋体" w:hAnsi="宋体" w:cs="宋体"/>
          <w:szCs w:val="21"/>
        </w:rPr>
        <w:t>访问</w:t>
      </w:r>
      <w:r>
        <w:rPr>
          <w:rFonts w:ascii="宋体" w:eastAsia="宋体" w:hAnsi="宋体" w:cs="宋体" w:hint="eastAsia"/>
          <w:szCs w:val="21"/>
        </w:rPr>
        <w:t>权限</w:t>
      </w:r>
      <w:r>
        <w:rPr>
          <w:rFonts w:ascii="宋体" w:eastAsia="宋体" w:hAnsi="宋体" w:cs="宋体"/>
          <w:szCs w:val="21"/>
        </w:rPr>
        <w:t>授权，严格执行日志管理等</w:t>
      </w:r>
      <w:r>
        <w:rPr>
          <w:rFonts w:ascii="宋体" w:eastAsia="宋体" w:hAnsi="宋体" w:cs="宋体" w:hint="eastAsia"/>
          <w:szCs w:val="21"/>
        </w:rPr>
        <w:t>。</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79" w:name="_Toc150439567"/>
      <w:r>
        <w:rPr>
          <w:rFonts w:ascii="宋体" w:eastAsia="宋体" w:hAnsi="宋体" w:cs="宋体" w:hint="eastAsia"/>
          <w:b/>
          <w:bCs/>
          <w:szCs w:val="21"/>
        </w:rPr>
        <w:t>项目交付</w:t>
      </w:r>
      <w:bookmarkEnd w:id="79"/>
    </w:p>
    <w:p w:rsidR="004161F4" w:rsidP="00BC3598">
      <w:pPr>
        <w:numPr>
          <w:ilvl w:val="0"/>
          <w:numId w:val="41"/>
        </w:numPr>
        <w:spacing w:line="360" w:lineRule="auto"/>
        <w:ind w:left="0" w:firstLine="420" w:firstLineChars="200"/>
        <w:rPr>
          <w:rFonts w:ascii="宋体" w:eastAsia="宋体" w:hAnsi="宋体" w:cs="宋体"/>
          <w:szCs w:val="21"/>
        </w:rPr>
      </w:pPr>
      <w:r>
        <w:rPr>
          <w:rFonts w:ascii="宋体" w:eastAsia="宋体" w:hAnsi="宋体" w:cs="宋体" w:hint="eastAsia"/>
          <w:szCs w:val="21"/>
        </w:rPr>
        <w:t>乙方应当按以下方式向甲方交付研究开发成果：</w:t>
      </w:r>
    </w:p>
    <w:p w:rsidR="004161F4" w:rsidP="00BC3598">
      <w:pPr>
        <w:numPr>
          <w:ilvl w:val="0"/>
          <w:numId w:val="42"/>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rPr>
        <w:t>研究开发成果交付内容：</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需求分析、需求规格说明书、系统原型；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概要设计、详细设计方案；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运行正常的系统；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完整的软件源代码、可执行程序、安装程序；</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软件使用手册；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软件技术说明；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软件测试大纲、测试报告</w:t>
      </w:r>
      <w:r w:rsidRPr="00171FAB" w:rsidR="00171FAB">
        <w:rPr>
          <w:rFonts w:ascii="宋体" w:eastAsia="宋体" w:hAnsi="宋体" w:cs="宋体" w:hint="eastAsia"/>
          <w:szCs w:val="21"/>
          <w:u w:val="single"/>
        </w:rPr>
        <w:t>（第三方测试报告、代码审计报告）</w:t>
      </w:r>
      <w:r>
        <w:rPr>
          <w:rFonts w:ascii="宋体" w:eastAsia="宋体" w:hAnsi="宋体" w:cs="宋体" w:hint="eastAsia"/>
          <w:szCs w:val="21"/>
          <w:u w:val="single"/>
        </w:rPr>
        <w:t xml:space="preserve">； </w:t>
      </w:r>
    </w:p>
    <w:p w:rsidR="000C65E0"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产品清单；</w:t>
      </w:r>
      <w:r w:rsidR="002930E3">
        <w:rPr>
          <w:rFonts w:ascii="宋体" w:eastAsia="宋体" w:hAnsi="宋体" w:cs="宋体" w:hint="eastAsia"/>
          <w:szCs w:val="21"/>
          <w:u w:val="single"/>
        </w:rPr>
        <w:t xml:space="preserve"> </w:t>
      </w:r>
      <w:r w:rsidR="002930E3">
        <w:rPr>
          <w:rFonts w:ascii="宋体" w:eastAsia="宋体" w:hAnsi="宋体" w:cs="宋体"/>
          <w:szCs w:val="21"/>
          <w:u w:val="single"/>
        </w:rPr>
        <w:t xml:space="preserve">                             </w:t>
      </w:r>
    </w:p>
    <w:p w:rsidR="008A5924" w:rsidRPr="008A5924" w:rsidP="00BC3598">
      <w:pPr>
        <w:spacing w:line="360" w:lineRule="auto"/>
        <w:ind w:firstLine="420" w:firstLineChars="200"/>
        <w:rPr>
          <w:rFonts w:ascii="宋体" w:eastAsia="宋体" w:hAnsi="宋体" w:cs="宋体"/>
          <w:szCs w:val="21"/>
          <w:u w:val="single"/>
        </w:rPr>
      </w:pPr>
      <w:r w:rsidRPr="00290E28">
        <w:rPr>
          <w:rFonts w:ascii="宋体" w:eastAsia="宋体" w:hAnsi="宋体" w:cs="宋体" w:hint="eastAsia"/>
          <w:szCs w:val="21"/>
          <w:u w:val="single"/>
        </w:rPr>
        <w:t>SCI论文2篇和</w:t>
      </w:r>
      <w:r w:rsidR="00D525DD">
        <w:rPr>
          <w:rFonts w:ascii="宋体" w:eastAsia="宋体" w:hAnsi="宋体" w:cs="宋体" w:hint="eastAsia"/>
          <w:szCs w:val="21"/>
          <w:u w:val="single"/>
        </w:rPr>
        <w:t>授权</w:t>
      </w:r>
      <w:r w:rsidRPr="00D66ED5" w:rsidR="00606731">
        <w:rPr>
          <w:rFonts w:ascii="宋体" w:eastAsia="宋体" w:hAnsi="宋体" w:cs="宋体" w:hint="eastAsia"/>
          <w:szCs w:val="21"/>
          <w:u w:val="single"/>
        </w:rPr>
        <w:t>发明专利</w:t>
      </w:r>
      <w:r w:rsidRPr="00D66ED5" w:rsidR="00822EF7">
        <w:rPr>
          <w:rFonts w:ascii="宋体" w:eastAsia="宋体" w:hAnsi="宋体" w:cs="宋体"/>
          <w:szCs w:val="21"/>
          <w:u w:val="single"/>
        </w:rPr>
        <w:t>3</w:t>
      </w:r>
      <w:r w:rsidRPr="00D66ED5" w:rsidR="00606731">
        <w:rPr>
          <w:rFonts w:ascii="宋体" w:eastAsia="宋体" w:hAnsi="宋体" w:cs="宋体" w:hint="eastAsia"/>
          <w:szCs w:val="21"/>
          <w:u w:val="single"/>
        </w:rPr>
        <w:t>项</w:t>
      </w:r>
      <w:r w:rsidR="00606731">
        <w:rPr>
          <w:rFonts w:ascii="宋体" w:eastAsia="宋体" w:hAnsi="宋体" w:cs="宋体" w:hint="eastAsia"/>
          <w:szCs w:val="21"/>
          <w:u w:val="single"/>
        </w:rPr>
        <w:t>；</w:t>
      </w:r>
      <w:r w:rsidR="002930E3">
        <w:rPr>
          <w:rFonts w:ascii="宋体" w:eastAsia="宋体" w:hAnsi="宋体" w:cs="宋体" w:hint="eastAsia"/>
          <w:szCs w:val="21"/>
          <w:u w:val="single"/>
        </w:rPr>
        <w:t xml:space="preserve"> </w:t>
      </w:r>
      <w:r w:rsidR="002930E3">
        <w:rPr>
          <w:rFonts w:ascii="宋体" w:eastAsia="宋体" w:hAnsi="宋体" w:cs="宋体"/>
          <w:szCs w:val="21"/>
          <w:u w:val="single"/>
        </w:rPr>
        <w:t xml:space="preserve">                        </w:t>
      </w:r>
      <w:r w:rsidR="00606731">
        <w:rPr>
          <w:rFonts w:ascii="宋体" w:eastAsia="宋体" w:hAnsi="宋体" w:cs="宋体"/>
          <w:szCs w:val="21"/>
          <w:u w:val="single"/>
        </w:rPr>
        <w:t xml:space="preserve">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其他按照《气象软件工程规范》</w:t>
      </w:r>
      <w:r w:rsidR="00444E14">
        <w:rPr>
          <w:rFonts w:ascii="宋体" w:eastAsia="宋体" w:hAnsi="宋体" w:cs="宋体" w:hint="eastAsia"/>
          <w:szCs w:val="21"/>
          <w:u w:val="single"/>
        </w:rPr>
        <w:t>、</w:t>
      </w:r>
      <w:r w:rsidRPr="00444E14" w:rsidR="00444E14">
        <w:rPr>
          <w:rFonts w:ascii="宋体" w:eastAsia="宋体" w:hAnsi="宋体" w:cs="宋体" w:hint="eastAsia"/>
          <w:szCs w:val="21"/>
          <w:u w:val="single"/>
        </w:rPr>
        <w:t>《中国气象局公共气象服务中心业务建设项目管理办法》</w:t>
      </w:r>
      <w:r>
        <w:rPr>
          <w:rFonts w:ascii="宋体" w:eastAsia="宋体" w:hAnsi="宋体" w:cs="宋体" w:hint="eastAsia"/>
          <w:szCs w:val="21"/>
          <w:u w:val="single"/>
        </w:rPr>
        <w:t>要求的文档；</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 xml:space="preserve">                                        。</w:t>
      </w:r>
    </w:p>
    <w:p w:rsidR="004161F4" w:rsidP="00BC3598">
      <w:pPr>
        <w:spacing w:line="360" w:lineRule="auto"/>
        <w:ind w:firstLine="420" w:firstLineChars="200"/>
        <w:rPr>
          <w:rFonts w:ascii="宋体" w:eastAsia="宋体" w:hAnsi="宋体" w:cs="宋体"/>
          <w:szCs w:val="21"/>
          <w:u w:val="single"/>
        </w:rPr>
      </w:pPr>
      <w:r>
        <w:rPr>
          <w:rFonts w:ascii="宋体" w:eastAsia="宋体" w:hAnsi="宋体" w:cs="宋体" w:hint="eastAsia"/>
          <w:szCs w:val="21"/>
          <w:u w:val="single"/>
        </w:rPr>
        <w:t>（以上文档提供电子版x套，硬拷贝x套）。</w:t>
      </w:r>
    </w:p>
    <w:p w:rsidR="004161F4" w:rsidP="00BC3598">
      <w:pPr>
        <w:numPr>
          <w:ilvl w:val="0"/>
          <w:numId w:val="42"/>
        </w:numPr>
        <w:spacing w:line="360" w:lineRule="auto"/>
        <w:ind w:left="0" w:firstLine="420" w:firstLineChars="200"/>
        <w:rPr>
          <w:rFonts w:ascii="宋体" w:eastAsia="宋体" w:hAnsi="宋体" w:cs="宋体"/>
          <w:szCs w:val="21"/>
        </w:rPr>
      </w:pPr>
      <w:r>
        <w:rPr>
          <w:rFonts w:ascii="宋体" w:eastAsia="宋体" w:hAnsi="宋体" w:cs="宋体" w:hint="eastAsia"/>
          <w:szCs w:val="21"/>
        </w:rPr>
        <w:t>研究开发成果交付的时间及地点：             在            交付。</w:t>
      </w:r>
    </w:p>
    <w:p w:rsidR="004161F4" w:rsidP="00BC3598">
      <w:pPr>
        <w:numPr>
          <w:ilvl w:val="0"/>
          <w:numId w:val="42"/>
        </w:numPr>
        <w:spacing w:line="360" w:lineRule="auto"/>
        <w:ind w:left="0" w:firstLine="420" w:firstLineChars="200"/>
        <w:rPr>
          <w:rFonts w:ascii="宋体" w:eastAsia="宋体" w:hAnsi="宋体" w:cs="宋体"/>
          <w:szCs w:val="21"/>
        </w:rPr>
      </w:pPr>
      <w:r>
        <w:rPr>
          <w:rFonts w:ascii="宋体" w:eastAsia="宋体" w:hAnsi="宋体" w:cs="宋体" w:hint="eastAsia"/>
          <w:szCs w:val="21"/>
        </w:rPr>
        <w:t>乙方应向甲方交付的其他文档资料及协作事项如下：</w:t>
      </w:r>
    </w:p>
    <w:p w:rsidR="004161F4" w:rsidP="00BC3598">
      <w:pPr>
        <w:spacing w:line="360" w:lineRule="auto"/>
        <w:ind w:left="424" w:firstLine="420" w:leftChars="202" w:firstLineChars="200"/>
        <w:rPr>
          <w:rFonts w:ascii="宋体" w:eastAsia="宋体" w:hAnsi="宋体" w:cs="宋体"/>
          <w:szCs w:val="21"/>
        </w:rPr>
      </w:pPr>
      <w:r>
        <w:rPr>
          <w:rFonts w:ascii="宋体" w:eastAsia="宋体" w:hAnsi="宋体" w:cs="宋体" w:hint="eastAsia"/>
          <w:szCs w:val="21"/>
        </w:rPr>
        <w:t>资料清单:</w:t>
      </w:r>
      <w:r w:rsidRPr="00211191" w:rsidR="00C46165">
        <w:rPr>
          <w:rFonts w:hint="eastAsia"/>
          <w:u w:val="single"/>
        </w:rPr>
        <w:t xml:space="preserve"> </w:t>
      </w:r>
      <w:r w:rsidRPr="00211191" w:rsidR="00C46165">
        <w:rPr>
          <w:rFonts w:ascii="宋体" w:eastAsia="宋体" w:hAnsi="宋体" w:cs="宋体" w:hint="eastAsia"/>
          <w:szCs w:val="21"/>
          <w:u w:val="single"/>
        </w:rPr>
        <w:t>集约化验收报告、项目测试报告、项目档案管理情况报告、项目技术总结报告、项目建设情况报告、项目用户使用情况报告</w:t>
      </w:r>
      <w:r w:rsidR="00367D8F">
        <w:rPr>
          <w:rFonts w:ascii="宋体" w:eastAsia="宋体" w:hAnsi="宋体" w:cs="宋体" w:hint="eastAsia"/>
          <w:szCs w:val="21"/>
          <w:u w:val="single"/>
        </w:rPr>
        <w:t>及</w:t>
      </w:r>
      <w:r w:rsidRPr="00B60783" w:rsidR="00B60783">
        <w:rPr>
          <w:rFonts w:ascii="宋体" w:eastAsia="宋体" w:hAnsi="宋体" w:cs="宋体" w:hint="eastAsia"/>
          <w:szCs w:val="21"/>
          <w:u w:val="single"/>
        </w:rPr>
        <w:t>需求规格说明书</w:t>
      </w:r>
      <w:r w:rsidR="00B60783">
        <w:rPr>
          <w:rFonts w:ascii="宋体" w:eastAsia="宋体" w:hAnsi="宋体" w:cs="宋体" w:hint="eastAsia"/>
          <w:szCs w:val="21"/>
          <w:u w:val="single"/>
        </w:rPr>
        <w:t>中要求的其他资料</w:t>
      </w:r>
      <w:r>
        <w:rPr>
          <w:rFonts w:ascii="宋体" w:eastAsia="宋体" w:hAnsi="宋体" w:cs="宋体" w:hint="eastAsia"/>
          <w:szCs w:val="21"/>
        </w:rPr>
        <w:t>_</w:t>
      </w:r>
    </w:p>
    <w:p w:rsidR="004161F4" w:rsidP="00BC3598">
      <w:pPr>
        <w:spacing w:line="360" w:lineRule="auto"/>
        <w:ind w:left="424" w:firstLine="420" w:leftChars="202" w:firstLineChars="200"/>
        <w:rPr>
          <w:rFonts w:ascii="宋体" w:eastAsia="宋体" w:hAnsi="宋体" w:cs="宋体"/>
          <w:szCs w:val="21"/>
        </w:rPr>
      </w:pPr>
      <w:r>
        <w:rPr>
          <w:rFonts w:ascii="宋体" w:eastAsia="宋体" w:hAnsi="宋体" w:cs="宋体" w:hint="eastAsia"/>
          <w:szCs w:val="21"/>
        </w:rPr>
        <w:t>协作事项：</w:t>
      </w:r>
      <w:r>
        <w:rPr>
          <w:rFonts w:ascii="宋体" w:eastAsia="宋体" w:hAnsi="宋体" w:cs="宋体" w:hint="eastAsia"/>
          <w:szCs w:val="21"/>
          <w:u w:val="single"/>
        </w:rPr>
        <w:t xml:space="preserve">                      </w:t>
      </w:r>
    </w:p>
    <w:p w:rsidR="004161F4" w:rsidP="00BC3598">
      <w:pPr>
        <w:numPr>
          <w:ilvl w:val="0"/>
          <w:numId w:val="41"/>
        </w:numPr>
        <w:spacing w:line="360" w:lineRule="auto"/>
        <w:ind w:left="0" w:firstLine="420" w:firstLineChars="200"/>
        <w:rPr>
          <w:rFonts w:ascii="宋体" w:eastAsia="宋体" w:hAnsi="宋体" w:cs="宋体"/>
          <w:szCs w:val="21"/>
        </w:rPr>
      </w:pPr>
      <w:r>
        <w:rPr>
          <w:rFonts w:ascii="宋体" w:eastAsia="宋体" w:hAnsi="宋体" w:cs="宋体" w:hint="eastAsia"/>
          <w:szCs w:val="21"/>
        </w:rPr>
        <w:t>安装调试</w:t>
      </w:r>
    </w:p>
    <w:p w:rsidR="004161F4" w:rsidP="00BC3598">
      <w:pPr>
        <w:spacing w:line="360" w:lineRule="auto"/>
        <w:ind w:firstLine="420" w:firstLineChars="200"/>
        <w:rPr>
          <w:rFonts w:ascii="宋体" w:eastAsia="宋体" w:hAnsi="宋体" w:cs="宋体"/>
          <w:szCs w:val="21"/>
        </w:rPr>
      </w:pPr>
      <w:r>
        <w:rPr>
          <w:rFonts w:ascii="宋体" w:eastAsia="宋体" w:hAnsi="宋体" w:cs="宋体" w:hint="eastAsia"/>
          <w:szCs w:val="21"/>
        </w:rPr>
        <w:t>乙方负责项目系统的安装及调试，内容如下：</w:t>
      </w:r>
    </w:p>
    <w:p w:rsidR="004161F4" w:rsidP="00BC3598">
      <w:pPr>
        <w:numPr>
          <w:ilvl w:val="0"/>
          <w:numId w:val="43"/>
        </w:numPr>
        <w:spacing w:line="360" w:lineRule="auto"/>
        <w:ind w:left="0" w:firstLine="420" w:firstLineChars="200"/>
        <w:rPr>
          <w:rFonts w:ascii="宋体" w:eastAsia="宋体" w:hAnsi="宋体" w:cs="宋体"/>
          <w:szCs w:val="21"/>
        </w:rPr>
      </w:pPr>
      <w:r>
        <w:rPr>
          <w:rFonts w:ascii="宋体" w:eastAsia="宋体" w:hAnsi="宋体" w:cs="宋体" w:hint="eastAsia"/>
          <w:szCs w:val="21"/>
        </w:rPr>
        <w:t>确保达到系统正常运行条件和相关技术标准及业务要求；</w:t>
      </w:r>
    </w:p>
    <w:p w:rsidR="004161F4" w:rsidP="00BC3598">
      <w:pPr>
        <w:numPr>
          <w:ilvl w:val="0"/>
          <w:numId w:val="43"/>
        </w:numPr>
        <w:spacing w:line="360" w:lineRule="auto"/>
        <w:ind w:left="0" w:firstLine="420" w:firstLineChars="200"/>
        <w:rPr>
          <w:rFonts w:ascii="宋体" w:eastAsia="宋体" w:hAnsi="宋体" w:cs="宋体"/>
          <w:szCs w:val="21"/>
        </w:rPr>
      </w:pPr>
      <w:r>
        <w:rPr>
          <w:rFonts w:ascii="宋体" w:eastAsia="宋体" w:hAnsi="宋体" w:cs="宋体" w:hint="eastAsia"/>
          <w:szCs w:val="21"/>
        </w:rPr>
        <w:t>系统数据达到规范要求，运行正常；</w:t>
      </w:r>
    </w:p>
    <w:p w:rsidR="004161F4" w:rsidP="00BC3598">
      <w:pPr>
        <w:numPr>
          <w:ilvl w:val="0"/>
          <w:numId w:val="43"/>
        </w:numPr>
        <w:spacing w:line="360" w:lineRule="auto"/>
        <w:ind w:left="0" w:firstLine="420" w:firstLineChars="200"/>
        <w:rPr>
          <w:rFonts w:ascii="宋体" w:eastAsia="宋体" w:hAnsi="宋体" w:cs="宋体"/>
          <w:szCs w:val="21"/>
        </w:rPr>
      </w:pPr>
      <w:r>
        <w:rPr>
          <w:rFonts w:ascii="宋体" w:eastAsia="宋体" w:hAnsi="宋体" w:cs="宋体" w:hint="eastAsia"/>
          <w:szCs w:val="21"/>
        </w:rPr>
        <w:t>系统运行保证安全稳定；</w:t>
      </w:r>
    </w:p>
    <w:p w:rsidR="004161F4" w:rsidP="00BC3598">
      <w:pPr>
        <w:numPr>
          <w:ilvl w:val="0"/>
          <w:numId w:val="43"/>
        </w:numPr>
        <w:spacing w:line="360" w:lineRule="auto"/>
        <w:ind w:left="0" w:firstLine="420" w:firstLineChars="200"/>
        <w:rPr>
          <w:rFonts w:ascii="宋体" w:eastAsia="宋体" w:hAnsi="宋体" w:cs="宋体"/>
          <w:szCs w:val="21"/>
        </w:rPr>
      </w:pPr>
      <w:r>
        <w:rPr>
          <w:rFonts w:ascii="宋体" w:eastAsia="宋体" w:hAnsi="宋体" w:cs="宋体" w:hint="eastAsia"/>
          <w:szCs w:val="21"/>
        </w:rPr>
        <w:t>平台业务运行机制要完整。</w:t>
      </w:r>
    </w:p>
    <w:p w:rsidR="004161F4" w:rsidP="00BC3598">
      <w:pPr>
        <w:numPr>
          <w:ilvl w:val="0"/>
          <w:numId w:val="41"/>
        </w:numPr>
        <w:spacing w:line="360" w:lineRule="auto"/>
        <w:ind w:left="0" w:firstLine="420" w:firstLineChars="200"/>
        <w:rPr>
          <w:rFonts w:ascii="宋体" w:eastAsia="宋体" w:hAnsi="宋体" w:cs="宋体"/>
          <w:szCs w:val="21"/>
        </w:rPr>
      </w:pPr>
      <w:r>
        <w:rPr>
          <w:rFonts w:ascii="宋体" w:eastAsia="宋体" w:hAnsi="宋体" w:cs="宋体" w:hint="eastAsia"/>
          <w:szCs w:val="21"/>
        </w:rPr>
        <w:t>培训</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双方确定，乙方应在向甲方交付研究开发成果后，根据甲方的要求，为甲方指定的人员提供无偿的技术指导和培训，或提供与使用该研究开发成果相关的技术服务。</w:t>
      </w:r>
    </w:p>
    <w:p w:rsidR="004161F4" w:rsidP="00E67FAF">
      <w:pPr>
        <w:spacing w:line="360" w:lineRule="auto"/>
        <w:ind w:firstLine="420" w:firstLineChars="200"/>
        <w:rPr>
          <w:rFonts w:ascii="宋体" w:eastAsia="宋体" w:hAnsi="宋体" w:cs="宋体"/>
          <w:szCs w:val="21"/>
          <w:u w:val="single"/>
        </w:rPr>
      </w:pPr>
      <w:r>
        <w:rPr>
          <w:rFonts w:ascii="宋体" w:eastAsia="宋体" w:hAnsi="宋体" w:cs="宋体" w:hint="eastAsia"/>
          <w:szCs w:val="21"/>
        </w:rPr>
        <w:t>技术服务和指导内容：</w:t>
      </w:r>
      <w:r>
        <w:rPr>
          <w:rFonts w:ascii="宋体" w:eastAsia="宋体" w:hAnsi="宋体" w:cs="宋体" w:hint="eastAsia"/>
          <w:szCs w:val="21"/>
          <w:u w:val="single"/>
        </w:rPr>
        <w:t xml:space="preserve">                                  </w:t>
      </w:r>
    </w:p>
    <w:p w:rsidR="004161F4" w:rsidP="00E67FAF">
      <w:pPr>
        <w:spacing w:line="360" w:lineRule="auto"/>
        <w:ind w:firstLine="420" w:firstLineChars="200"/>
        <w:rPr>
          <w:rFonts w:ascii="宋体" w:eastAsia="宋体" w:hAnsi="宋体" w:cs="宋体"/>
          <w:szCs w:val="21"/>
          <w:u w:val="single"/>
        </w:rPr>
      </w:pPr>
      <w:r>
        <w:rPr>
          <w:rFonts w:ascii="宋体" w:eastAsia="宋体" w:hAnsi="宋体" w:cs="宋体" w:hint="eastAsia"/>
          <w:szCs w:val="21"/>
        </w:rPr>
        <w:t>地点和方式：</w:t>
      </w:r>
      <w:r>
        <w:rPr>
          <w:rFonts w:ascii="宋体" w:eastAsia="宋体" w:hAnsi="宋体" w:cs="宋体" w:hint="eastAsia"/>
          <w:szCs w:val="21"/>
          <w:u w:val="single"/>
        </w:rPr>
        <w:t xml:space="preserve">                                          </w:t>
      </w:r>
    </w:p>
    <w:p w:rsidR="004161F4" w:rsidP="00BC3598">
      <w:pPr>
        <w:keepNext/>
        <w:keepLines/>
        <w:numPr>
          <w:ilvl w:val="0"/>
          <w:numId w:val="19"/>
        </w:numPr>
        <w:spacing w:before="60" w:after="60" w:line="360" w:lineRule="auto"/>
        <w:outlineLvl w:val="1"/>
        <w:rPr>
          <w:rFonts w:ascii="宋体" w:eastAsia="宋体" w:hAnsi="宋体" w:cs="宋体"/>
          <w:b/>
          <w:bCs/>
          <w:szCs w:val="21"/>
        </w:rPr>
      </w:pPr>
      <w:r>
        <w:rPr>
          <w:rFonts w:ascii="宋体" w:eastAsia="宋体" w:hAnsi="宋体" w:cs="宋体" w:hint="eastAsia"/>
          <w:b/>
          <w:bCs/>
          <w:szCs w:val="21"/>
        </w:rPr>
        <w:t>支付方式</w:t>
      </w:r>
    </w:p>
    <w:p w:rsidR="004161F4">
      <w:pPr>
        <w:ind w:firstLine="420" w:firstLineChars="200"/>
        <w:rPr>
          <w:rFonts w:ascii="宋体" w:eastAsia="宋体" w:hAnsi="宋体" w:cs="宋体"/>
          <w:szCs w:val="21"/>
        </w:rPr>
      </w:pPr>
      <w:r>
        <w:rPr>
          <w:rFonts w:ascii="宋体" w:eastAsia="宋体" w:hAnsi="宋体" w:cs="宋体" w:hint="eastAsia"/>
          <w:szCs w:val="21"/>
        </w:rPr>
        <w:t>甲方应按以下方式支付研究开发经费和报酬：</w:t>
      </w:r>
    </w:p>
    <w:p w:rsidR="004161F4" w:rsidP="00BC3598">
      <w:pPr>
        <w:numPr>
          <w:ilvl w:val="0"/>
          <w:numId w:val="44"/>
        </w:numPr>
        <w:tabs>
          <w:tab w:val="left" w:pos="720"/>
        </w:tabs>
        <w:spacing w:line="360" w:lineRule="auto"/>
        <w:ind w:left="0" w:firstLine="420" w:firstLineChars="200"/>
        <w:rPr>
          <w:rFonts w:ascii="宋体" w:eastAsia="宋体" w:hAnsi="宋体" w:cs="宋体"/>
          <w:szCs w:val="21"/>
        </w:rPr>
      </w:pPr>
      <w:r>
        <w:rPr>
          <w:rFonts w:ascii="宋体" w:eastAsia="宋体" w:hAnsi="宋体" w:cs="宋体" w:hint="eastAsia"/>
          <w:szCs w:val="21"/>
        </w:rPr>
        <w:t>研究开发经费和报酬总额为（含税）</w:t>
      </w:r>
      <w:r>
        <w:rPr>
          <w:rFonts w:ascii="宋体" w:eastAsia="宋体" w:hAnsi="宋体" w:cs="宋体" w:hint="eastAsia"/>
          <w:szCs w:val="21"/>
          <w:u w:val="single"/>
        </w:rPr>
        <w:t>￥</w:t>
      </w:r>
      <w:r>
        <w:rPr>
          <w:rFonts w:ascii="宋体" w:eastAsia="宋体" w:hAnsi="宋体" w:cs="宋体"/>
          <w:szCs w:val="21"/>
          <w:u w:val="single"/>
        </w:rPr>
        <w:t xml:space="preserve">      </w:t>
      </w:r>
      <w:r>
        <w:rPr>
          <w:rFonts w:ascii="宋体" w:eastAsia="宋体" w:hAnsi="宋体" w:cs="宋体" w:hint="eastAsia"/>
          <w:szCs w:val="21"/>
          <w:u w:val="single"/>
        </w:rPr>
        <w:t xml:space="preserve">元（大写：人民币 </w:t>
      </w:r>
      <w:r>
        <w:rPr>
          <w:rFonts w:ascii="宋体" w:eastAsia="宋体" w:hAnsi="宋体" w:cs="宋体"/>
          <w:szCs w:val="21"/>
          <w:u w:val="single"/>
        </w:rPr>
        <w:t xml:space="preserve">                     </w:t>
      </w:r>
      <w:r>
        <w:rPr>
          <w:rFonts w:ascii="宋体" w:eastAsia="宋体" w:hAnsi="宋体" w:cs="宋体" w:hint="eastAsia"/>
          <w:szCs w:val="21"/>
          <w:u w:val="single"/>
        </w:rPr>
        <w:t>元）</w:t>
      </w:r>
      <w:r>
        <w:rPr>
          <w:rFonts w:ascii="宋体" w:eastAsia="宋体" w:hAnsi="宋体" w:cs="宋体" w:hint="eastAsia"/>
          <w:szCs w:val="21"/>
        </w:rPr>
        <w:t>。其中：</w:t>
      </w:r>
    </w:p>
    <w:p w:rsidR="004161F4" w:rsidP="00BC3598">
      <w:pPr>
        <w:numPr>
          <w:ilvl w:val="0"/>
          <w:numId w:val="45"/>
        </w:numPr>
        <w:spacing w:line="360" w:lineRule="auto"/>
        <w:ind w:left="0" w:firstLine="424" w:firstLineChars="202"/>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rsidP="00BC3598">
      <w:pPr>
        <w:numPr>
          <w:ilvl w:val="0"/>
          <w:numId w:val="45"/>
        </w:numPr>
        <w:spacing w:line="360" w:lineRule="auto"/>
        <w:ind w:left="0" w:firstLine="424" w:firstLineChars="202"/>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rsidP="00BC3598">
      <w:pPr>
        <w:numPr>
          <w:ilvl w:val="0"/>
          <w:numId w:val="45"/>
        </w:numPr>
        <w:spacing w:line="360" w:lineRule="auto"/>
        <w:ind w:left="0" w:firstLine="424" w:firstLineChars="202"/>
        <w:rPr>
          <w:rFonts w:ascii="宋体" w:eastAsia="宋体" w:hAnsi="宋体" w:cs="宋体"/>
          <w:szCs w:val="21"/>
        </w:rPr>
      </w:pPr>
      <w:r>
        <w:rPr>
          <w:rFonts w:ascii="宋体" w:eastAsia="宋体" w:hAnsi="宋体" w:cs="宋体" w:hint="eastAsia"/>
          <w:szCs w:val="21"/>
          <w:u w:val="single"/>
        </w:rPr>
        <w:t xml:space="preserve">                                                              </w:t>
      </w:r>
      <w:r>
        <w:rPr>
          <w:rFonts w:ascii="宋体" w:eastAsia="宋体" w:hAnsi="宋体" w:cs="宋体" w:hint="eastAsia"/>
          <w:szCs w:val="21"/>
        </w:rPr>
        <w:t>;</w:t>
      </w:r>
    </w:p>
    <w:p w:rsidR="004161F4" w:rsidP="00BC3598">
      <w:pPr>
        <w:numPr>
          <w:ilvl w:val="0"/>
          <w:numId w:val="45"/>
        </w:numPr>
        <w:spacing w:line="360" w:lineRule="auto"/>
        <w:ind w:left="0" w:firstLine="424" w:firstLineChars="202"/>
        <w:rPr>
          <w:rFonts w:ascii="宋体" w:eastAsia="宋体" w:hAnsi="宋体" w:cs="宋体"/>
          <w:szCs w:val="21"/>
        </w:rPr>
      </w:pPr>
      <w:r>
        <w:rPr>
          <w:rFonts w:ascii="宋体" w:eastAsia="宋体" w:hAnsi="宋体" w:cs="宋体" w:hint="eastAsia"/>
          <w:szCs w:val="21"/>
          <w:u w:val="single"/>
        </w:rPr>
        <w:t xml:space="preserve">                                                              。</w:t>
      </w:r>
    </w:p>
    <w:p w:rsidR="004161F4" w:rsidP="00BC3598">
      <w:pPr>
        <w:numPr>
          <w:ilvl w:val="0"/>
          <w:numId w:val="44"/>
        </w:numPr>
        <w:tabs>
          <w:tab w:val="left" w:pos="720"/>
        </w:tabs>
        <w:spacing w:line="360" w:lineRule="auto"/>
        <w:ind w:left="0" w:firstLine="420" w:firstLineChars="200"/>
        <w:rPr>
          <w:rFonts w:ascii="宋体" w:eastAsia="宋体" w:hAnsi="宋体" w:cs="宋体"/>
          <w:szCs w:val="21"/>
        </w:rPr>
      </w:pPr>
      <w:r>
        <w:rPr>
          <w:rFonts w:ascii="宋体" w:eastAsia="宋体" w:hAnsi="宋体" w:cs="宋体" w:hint="eastAsia"/>
          <w:szCs w:val="21"/>
        </w:rPr>
        <w:t xml:space="preserve">研究开发经费由甲方分期支付给乙方。具体支付方式和时间如下： </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甲方通过电汇或银行转账方式向乙方指定银行账户付款。在甲方每一笔款项支付前，乙方向甲方提交付款申请及出具同等金额的增值税发票，否则甲方有权拒绝付款并不承担违约责任。</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第一阶段：本合同签订生效后</w:t>
      </w:r>
      <w:r w:rsidR="0054365B">
        <w:rPr>
          <w:rFonts w:ascii="宋体" w:eastAsia="宋体" w:hAnsi="宋体" w:cs="宋体"/>
          <w:szCs w:val="21"/>
          <w:u w:val="single"/>
        </w:rPr>
        <w:t xml:space="preserve">   15    </w:t>
      </w:r>
      <w:r>
        <w:rPr>
          <w:rFonts w:ascii="宋体" w:eastAsia="宋体" w:hAnsi="宋体" w:cs="宋体" w:hint="eastAsia"/>
          <w:szCs w:val="21"/>
        </w:rPr>
        <w:t>个</w:t>
      </w:r>
      <w:r>
        <w:rPr>
          <w:rFonts w:ascii="宋体" w:eastAsia="宋体" w:hAnsi="宋体" w:cs="宋体" w:hint="eastAsia"/>
          <w:szCs w:val="21"/>
        </w:rPr>
        <w:t>工作日内，甲方向乙方支付本合同首付款至乙方指定账户，首付款为合同总额</w:t>
      </w:r>
      <w:r w:rsidR="00FA7AA3">
        <w:rPr>
          <w:rFonts w:ascii="宋体" w:eastAsia="宋体" w:hAnsi="宋体" w:cs="宋体" w:hint="eastAsia"/>
          <w:szCs w:val="21"/>
        </w:rPr>
        <w:t>的</w:t>
      </w:r>
      <w:r w:rsidRPr="00822EF7" w:rsidR="00822EF7">
        <w:rPr>
          <w:rFonts w:ascii="宋体" w:eastAsia="宋体" w:hAnsi="宋体" w:cs="宋体" w:hint="eastAsia"/>
          <w:szCs w:val="21"/>
          <w:u w:val="single"/>
        </w:rPr>
        <w:t xml:space="preserve"> </w:t>
      </w:r>
      <w:r w:rsidRPr="00822EF7" w:rsidR="00822EF7">
        <w:rPr>
          <w:rFonts w:ascii="宋体" w:eastAsia="宋体" w:hAnsi="宋体" w:cs="宋体"/>
          <w:szCs w:val="21"/>
          <w:u w:val="single"/>
        </w:rPr>
        <w:t xml:space="preserve"> 4</w:t>
      </w:r>
      <w:r w:rsidRPr="00822EF7" w:rsidR="00FA7AA3">
        <w:rPr>
          <w:rFonts w:ascii="宋体" w:eastAsia="宋体" w:hAnsi="宋体" w:cs="宋体"/>
          <w:szCs w:val="21"/>
          <w:u w:val="single"/>
        </w:rPr>
        <w:t>0%</w:t>
      </w:r>
      <w:r w:rsidR="00822EF7">
        <w:rPr>
          <w:rFonts w:ascii="宋体" w:eastAsia="宋体" w:hAnsi="宋体" w:cs="宋体"/>
          <w:szCs w:val="21"/>
          <w:u w:val="single"/>
        </w:rPr>
        <w:t xml:space="preserve"> </w:t>
      </w:r>
      <w:r>
        <w:rPr>
          <w:rFonts w:ascii="宋体" w:eastAsia="宋体" w:hAnsi="宋体" w:cs="宋体" w:hint="eastAsia"/>
          <w:szCs w:val="21"/>
        </w:rPr>
        <w:t>，即：</w:t>
      </w:r>
      <w:r>
        <w:rPr>
          <w:rFonts w:ascii="宋体" w:eastAsia="宋体" w:hAnsi="宋体" w:cs="宋体" w:hint="eastAsia"/>
          <w:szCs w:val="21"/>
          <w:u w:val="single"/>
        </w:rPr>
        <w:t>￥    元（大写：人民币    元整）；</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第二阶段：</w:t>
      </w:r>
      <w:r w:rsidR="00726E3A">
        <w:rPr>
          <w:rFonts w:ascii="宋体" w:eastAsia="宋体" w:hAnsi="宋体" w:cs="宋体" w:hint="eastAsia"/>
          <w:szCs w:val="21"/>
          <w:u w:val="single"/>
        </w:rPr>
        <w:t>合同</w:t>
      </w:r>
      <w:r w:rsidRPr="0054365B" w:rsidR="0052138C">
        <w:rPr>
          <w:rFonts w:ascii="宋体" w:eastAsia="宋体" w:hAnsi="宋体" w:cs="宋体" w:hint="eastAsia"/>
          <w:szCs w:val="21"/>
          <w:u w:val="single"/>
        </w:rPr>
        <w:t>初验</w:t>
      </w:r>
      <w:r w:rsidRPr="0054365B" w:rsidR="00FA7AA3">
        <w:rPr>
          <w:rFonts w:ascii="宋体" w:eastAsia="宋体" w:hAnsi="宋体" w:cs="宋体" w:hint="eastAsia"/>
          <w:szCs w:val="21"/>
          <w:u w:val="single"/>
        </w:rPr>
        <w:t>评审通过后1</w:t>
      </w:r>
      <w:r w:rsidRPr="0054365B" w:rsidR="00FA7AA3">
        <w:rPr>
          <w:rFonts w:ascii="宋体" w:eastAsia="宋体" w:hAnsi="宋体" w:cs="宋体"/>
          <w:szCs w:val="21"/>
          <w:u w:val="single"/>
        </w:rPr>
        <w:t>5</w:t>
      </w:r>
      <w:r w:rsidRPr="0054365B" w:rsidR="00FA7AA3">
        <w:rPr>
          <w:rFonts w:ascii="宋体" w:eastAsia="宋体" w:hAnsi="宋体" w:cs="宋体" w:hint="eastAsia"/>
          <w:szCs w:val="21"/>
          <w:u w:val="single"/>
        </w:rPr>
        <w:t>个工作日内</w:t>
      </w:r>
      <w:r>
        <w:rPr>
          <w:rFonts w:ascii="宋体" w:eastAsia="宋体" w:hAnsi="宋体" w:cs="宋体" w:hint="eastAsia"/>
          <w:szCs w:val="21"/>
        </w:rPr>
        <w:t>，甲方向乙方支付本合同总额的</w:t>
      </w:r>
      <w:r w:rsidRPr="0054365B" w:rsidR="0054365B">
        <w:rPr>
          <w:rFonts w:ascii="宋体" w:eastAsia="宋体" w:hAnsi="宋体" w:cs="宋体" w:hint="eastAsia"/>
          <w:szCs w:val="21"/>
          <w:u w:val="single"/>
        </w:rPr>
        <w:t xml:space="preserve"> </w:t>
      </w:r>
      <w:r w:rsidRPr="0054365B" w:rsidR="0054365B">
        <w:rPr>
          <w:rFonts w:ascii="宋体" w:eastAsia="宋体" w:hAnsi="宋体" w:cs="宋体"/>
          <w:szCs w:val="21"/>
          <w:u w:val="single"/>
        </w:rPr>
        <w:t xml:space="preserve">  </w:t>
      </w:r>
      <w:r w:rsidR="00822EF7">
        <w:rPr>
          <w:rFonts w:ascii="宋体" w:eastAsia="宋体" w:hAnsi="宋体" w:cs="宋体"/>
          <w:szCs w:val="21"/>
          <w:u w:val="single"/>
        </w:rPr>
        <w:t>4</w:t>
      </w:r>
      <w:r w:rsidRPr="0054365B" w:rsidR="00FA7AA3">
        <w:rPr>
          <w:rFonts w:ascii="宋体" w:eastAsia="宋体" w:hAnsi="宋体" w:cs="宋体"/>
          <w:szCs w:val="21"/>
          <w:u w:val="single"/>
        </w:rPr>
        <w:t>0</w:t>
      </w:r>
      <w:r w:rsidRPr="0054365B" w:rsidR="0054365B">
        <w:rPr>
          <w:rFonts w:ascii="宋体" w:eastAsia="宋体" w:hAnsi="宋体" w:cs="宋体"/>
          <w:szCs w:val="21"/>
          <w:u w:val="single"/>
        </w:rPr>
        <w:t xml:space="preserve">  </w:t>
      </w:r>
      <w:r w:rsidRPr="00FA7AA3">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C7158A"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第</w:t>
      </w:r>
      <w:r w:rsidRPr="00FA7AA3" w:rsidR="00FA7AA3">
        <w:rPr>
          <w:rFonts w:ascii="宋体" w:eastAsia="宋体" w:hAnsi="宋体" w:cs="宋体" w:hint="eastAsia"/>
          <w:szCs w:val="21"/>
        </w:rPr>
        <w:t>三</w:t>
      </w:r>
      <w:r>
        <w:rPr>
          <w:rFonts w:ascii="宋体" w:eastAsia="宋体" w:hAnsi="宋体" w:cs="宋体" w:hint="eastAsia"/>
          <w:szCs w:val="21"/>
        </w:rPr>
        <w:t>阶段：</w:t>
      </w:r>
      <w:r w:rsidR="00726E3A">
        <w:rPr>
          <w:rFonts w:ascii="宋体" w:eastAsia="宋体" w:hAnsi="宋体" w:cs="宋体" w:hint="eastAsia"/>
          <w:szCs w:val="21"/>
          <w:u w:val="single"/>
        </w:rPr>
        <w:t>合同</w:t>
      </w:r>
      <w:r w:rsidRPr="0054365B" w:rsidR="00752B22">
        <w:rPr>
          <w:rFonts w:ascii="宋体" w:eastAsia="宋体" w:hAnsi="宋体" w:cs="宋体" w:hint="eastAsia"/>
          <w:szCs w:val="21"/>
          <w:u w:val="single"/>
        </w:rPr>
        <w:t>通过</w:t>
      </w:r>
      <w:r w:rsidRPr="0054365B" w:rsidR="00FA7AA3">
        <w:rPr>
          <w:rFonts w:ascii="宋体" w:eastAsia="宋体" w:hAnsi="宋体" w:cs="宋体" w:hint="eastAsia"/>
          <w:szCs w:val="21"/>
          <w:u w:val="single"/>
        </w:rPr>
        <w:t>验收</w:t>
      </w:r>
      <w:r w:rsidRPr="0054365B" w:rsidR="00752B22">
        <w:rPr>
          <w:rFonts w:ascii="宋体" w:eastAsia="宋体" w:hAnsi="宋体" w:cs="宋体" w:hint="eastAsia"/>
          <w:szCs w:val="21"/>
          <w:u w:val="single"/>
        </w:rPr>
        <w:t>评审</w:t>
      </w:r>
      <w:r w:rsidRPr="0054365B" w:rsidR="00FA7AA3">
        <w:rPr>
          <w:rFonts w:ascii="宋体" w:eastAsia="宋体" w:hAnsi="宋体" w:cs="宋体" w:hint="eastAsia"/>
          <w:szCs w:val="21"/>
          <w:u w:val="single"/>
        </w:rPr>
        <w:t>后</w:t>
      </w:r>
      <w:r w:rsidRPr="0054365B" w:rsidR="00FA7AA3">
        <w:rPr>
          <w:rFonts w:ascii="宋体" w:eastAsia="宋体" w:hAnsi="宋体" w:cs="宋体"/>
          <w:szCs w:val="21"/>
          <w:u w:val="single"/>
        </w:rPr>
        <w:t>15</w:t>
      </w:r>
      <w:r w:rsidRPr="0054365B" w:rsidR="00FA7AA3">
        <w:rPr>
          <w:rFonts w:ascii="宋体" w:eastAsia="宋体" w:hAnsi="宋体" w:cs="宋体" w:hint="eastAsia"/>
          <w:szCs w:val="21"/>
          <w:u w:val="single"/>
        </w:rPr>
        <w:t>个工作日内</w:t>
      </w:r>
      <w:r w:rsidRPr="00FA7AA3" w:rsidR="00FA7AA3">
        <w:rPr>
          <w:rFonts w:ascii="宋体" w:eastAsia="宋体" w:hAnsi="宋体" w:cs="宋体" w:hint="eastAsia"/>
          <w:szCs w:val="21"/>
        </w:rPr>
        <w:t>，</w:t>
      </w:r>
      <w:r>
        <w:rPr>
          <w:rFonts w:ascii="宋体" w:eastAsia="宋体" w:hAnsi="宋体" w:cs="宋体" w:hint="eastAsia"/>
          <w:szCs w:val="21"/>
        </w:rPr>
        <w:t>甲方向乙方支付本合同总额的</w:t>
      </w:r>
      <w:r w:rsidRPr="0054365B" w:rsidR="0054365B">
        <w:rPr>
          <w:rFonts w:ascii="宋体" w:eastAsia="宋体" w:hAnsi="宋体" w:cs="宋体" w:hint="eastAsia"/>
          <w:szCs w:val="21"/>
          <w:u w:val="single"/>
        </w:rPr>
        <w:t xml:space="preserve"> </w:t>
      </w:r>
      <w:r w:rsidRPr="0054365B" w:rsidR="0054365B">
        <w:rPr>
          <w:rFonts w:ascii="宋体" w:eastAsia="宋体" w:hAnsi="宋体" w:cs="宋体"/>
          <w:szCs w:val="21"/>
          <w:u w:val="single"/>
        </w:rPr>
        <w:t xml:space="preserve"> </w:t>
      </w:r>
      <w:r w:rsidRPr="0054365B" w:rsidR="00FA7AA3">
        <w:rPr>
          <w:rFonts w:ascii="宋体" w:eastAsia="宋体" w:hAnsi="宋体" w:cs="宋体"/>
          <w:szCs w:val="21"/>
          <w:u w:val="single"/>
        </w:rPr>
        <w:t>20</w:t>
      </w:r>
      <w:r w:rsidRPr="0054365B" w:rsidR="0054365B">
        <w:rPr>
          <w:rFonts w:ascii="宋体" w:eastAsia="宋体" w:hAnsi="宋体" w:cs="宋体"/>
          <w:szCs w:val="21"/>
          <w:u w:val="single"/>
        </w:rPr>
        <w:t xml:space="preserve">  </w:t>
      </w:r>
      <w:r w:rsidRPr="00FA7AA3">
        <w:rPr>
          <w:rFonts w:ascii="宋体" w:eastAsia="宋体" w:hAnsi="宋体" w:cs="宋体" w:hint="eastAsia"/>
          <w:szCs w:val="21"/>
        </w:rPr>
        <w:t>%</w:t>
      </w:r>
      <w:r>
        <w:rPr>
          <w:rFonts w:ascii="宋体" w:eastAsia="宋体" w:hAnsi="宋体" w:cs="宋体" w:hint="eastAsia"/>
          <w:szCs w:val="21"/>
        </w:rPr>
        <w:t>，即：</w:t>
      </w:r>
      <w:r>
        <w:rPr>
          <w:rFonts w:ascii="宋体" w:eastAsia="宋体" w:hAnsi="宋体" w:cs="宋体" w:hint="eastAsia"/>
          <w:szCs w:val="21"/>
          <w:u w:val="single"/>
        </w:rPr>
        <w:t>￥     元（大写：人民币     元整）</w:t>
      </w:r>
      <w:r>
        <w:rPr>
          <w:rFonts w:ascii="宋体" w:eastAsia="宋体" w:hAnsi="宋体" w:cs="宋体" w:hint="eastAsia"/>
          <w:szCs w:val="21"/>
        </w:rPr>
        <w:t>。</w:t>
      </w:r>
    </w:p>
    <w:p w:rsidR="00C7158A" w:rsidP="00BC3598">
      <w:pPr>
        <w:numPr>
          <w:ilvl w:val="0"/>
          <w:numId w:val="44"/>
        </w:numPr>
        <w:tabs>
          <w:tab w:val="left" w:pos="720"/>
        </w:tabs>
        <w:spacing w:line="360" w:lineRule="auto"/>
        <w:ind w:left="0" w:firstLine="420" w:firstLineChars="200"/>
        <w:rPr>
          <w:rFonts w:ascii="宋体" w:eastAsia="宋体" w:hAnsi="宋体" w:cs="宋体"/>
          <w:szCs w:val="21"/>
        </w:rPr>
      </w:pPr>
      <w:r>
        <w:rPr>
          <w:rFonts w:ascii="宋体" w:eastAsia="宋体" w:hAnsi="宋体" w:cs="宋体" w:hint="eastAsia"/>
          <w:szCs w:val="21"/>
        </w:rPr>
        <w:t>履约保函</w:t>
      </w:r>
    </w:p>
    <w:p w:rsidR="002F452B" w:rsidP="00BC3598">
      <w:pPr>
        <w:numPr>
          <w:ilvl w:val="0"/>
          <w:numId w:val="46"/>
        </w:numPr>
        <w:tabs>
          <w:tab w:val="left" w:pos="720"/>
        </w:tabs>
        <w:spacing w:line="360" w:lineRule="auto"/>
        <w:ind w:left="0" w:firstLine="420"/>
        <w:rPr>
          <w:rFonts w:ascii="宋体" w:eastAsia="宋体" w:hAnsi="宋体" w:cs="宋体"/>
          <w:szCs w:val="21"/>
        </w:rPr>
      </w:pPr>
      <w:r w:rsidRPr="002F452B">
        <w:rPr>
          <w:rFonts w:ascii="宋体" w:eastAsia="宋体" w:hAnsi="宋体" w:cs="宋体" w:hint="eastAsia"/>
          <w:szCs w:val="21"/>
        </w:rPr>
        <w:t>合同签订后</w:t>
      </w:r>
      <w:r w:rsidRPr="002F452B">
        <w:rPr>
          <w:rFonts w:ascii="宋体" w:eastAsia="宋体" w:hAnsi="宋体" w:cs="宋体" w:hint="eastAsia"/>
          <w:szCs w:val="21"/>
          <w:u w:val="single"/>
        </w:rPr>
        <w:t xml:space="preserve"> </w:t>
      </w:r>
      <w:r w:rsidRPr="002F452B">
        <w:rPr>
          <w:rFonts w:ascii="宋体" w:eastAsia="宋体" w:hAnsi="宋体" w:cs="宋体"/>
          <w:szCs w:val="21"/>
          <w:u w:val="single"/>
        </w:rPr>
        <w:t>30</w:t>
      </w:r>
      <w:r w:rsidRPr="002F452B">
        <w:rPr>
          <w:rFonts w:ascii="宋体" w:eastAsia="宋体" w:hAnsi="宋体" w:cs="宋体" w:hint="eastAsia"/>
          <w:szCs w:val="21"/>
          <w:u w:val="single"/>
        </w:rPr>
        <w:t xml:space="preserve"> </w:t>
      </w:r>
      <w:r w:rsidRPr="002F452B">
        <w:rPr>
          <w:rFonts w:ascii="宋体" w:eastAsia="宋体" w:hAnsi="宋体" w:cs="宋体" w:hint="eastAsia"/>
          <w:szCs w:val="21"/>
        </w:rPr>
        <w:t>个</w:t>
      </w:r>
      <w:r w:rsidRPr="002F452B">
        <w:rPr>
          <w:rFonts w:ascii="宋体" w:eastAsia="宋体" w:hAnsi="宋体" w:cs="宋体" w:hint="eastAsia"/>
          <w:szCs w:val="21"/>
        </w:rPr>
        <w:t>工作日内，乙方需向甲方</w:t>
      </w:r>
      <w:r w:rsidRPr="002F452B" w:rsidR="004F331D">
        <w:rPr>
          <w:rFonts w:ascii="宋体" w:eastAsia="宋体" w:hAnsi="宋体" w:cs="宋体" w:hint="eastAsia"/>
          <w:szCs w:val="21"/>
        </w:rPr>
        <w:t>提交履约保函，</w:t>
      </w:r>
      <w:r w:rsidRPr="002F452B">
        <w:rPr>
          <w:rFonts w:ascii="宋体" w:eastAsia="宋体" w:hAnsi="宋体" w:cs="宋体" w:hint="eastAsia"/>
          <w:szCs w:val="21"/>
        </w:rPr>
        <w:t>履约</w:t>
      </w:r>
      <w:r w:rsidRPr="002F452B" w:rsidR="00F1745F">
        <w:rPr>
          <w:rFonts w:ascii="宋体" w:eastAsia="宋体" w:hAnsi="宋体" w:cs="宋体" w:hint="eastAsia"/>
          <w:szCs w:val="21"/>
        </w:rPr>
        <w:t>保函的担保</w:t>
      </w:r>
      <w:r w:rsidRPr="002F452B">
        <w:rPr>
          <w:rFonts w:ascii="宋体" w:eastAsia="宋体" w:hAnsi="宋体" w:cs="宋体" w:hint="eastAsia"/>
          <w:szCs w:val="21"/>
        </w:rPr>
        <w:t>金额为合同总额</w:t>
      </w:r>
      <w:r w:rsidRPr="002F452B" w:rsidR="00F1745F">
        <w:rPr>
          <w:rFonts w:ascii="宋体" w:eastAsia="宋体" w:hAnsi="宋体" w:cs="宋体" w:hint="eastAsia"/>
          <w:szCs w:val="21"/>
        </w:rPr>
        <w:t>的</w:t>
      </w:r>
      <w:r w:rsidRPr="002F452B">
        <w:rPr>
          <w:rFonts w:ascii="宋体" w:eastAsia="宋体" w:hAnsi="宋体" w:cs="宋体" w:hint="eastAsia"/>
          <w:szCs w:val="21"/>
          <w:u w:val="single"/>
        </w:rPr>
        <w:t xml:space="preserve">   </w:t>
      </w:r>
      <w:r w:rsidRPr="002F452B" w:rsidR="00F1745F">
        <w:rPr>
          <w:rFonts w:ascii="宋体" w:eastAsia="宋体" w:hAnsi="宋体" w:cs="宋体" w:hint="eastAsia"/>
          <w:szCs w:val="21"/>
          <w:u w:val="single"/>
        </w:rPr>
        <w:t>1</w:t>
      </w:r>
      <w:r w:rsidRPr="002F452B" w:rsidR="00F1745F">
        <w:rPr>
          <w:rFonts w:ascii="宋体" w:eastAsia="宋体" w:hAnsi="宋体" w:cs="宋体"/>
          <w:szCs w:val="21"/>
          <w:u w:val="single"/>
        </w:rPr>
        <w:t>0</w:t>
      </w:r>
      <w:r w:rsidRPr="002F452B">
        <w:rPr>
          <w:rFonts w:ascii="宋体" w:eastAsia="宋体" w:hAnsi="宋体" w:cs="宋体" w:hint="eastAsia"/>
          <w:szCs w:val="21"/>
          <w:u w:val="single"/>
        </w:rPr>
        <w:t xml:space="preserve">  </w:t>
      </w:r>
      <w:r w:rsidRPr="002F452B">
        <w:rPr>
          <w:rFonts w:ascii="宋体" w:eastAsia="宋体" w:hAnsi="宋体" w:cs="宋体" w:hint="eastAsia"/>
          <w:szCs w:val="21"/>
        </w:rPr>
        <w:t>%，即</w:t>
      </w:r>
      <w:r w:rsidRPr="002F452B">
        <w:rPr>
          <w:rFonts w:ascii="宋体" w:eastAsia="宋体" w:hAnsi="宋体" w:cs="宋体" w:hint="eastAsia"/>
          <w:szCs w:val="21"/>
          <w:u w:val="single"/>
        </w:rPr>
        <w:t>￥    元（大写：人民币   元整）。</w:t>
      </w:r>
      <w:r w:rsidRPr="002F452B">
        <w:rPr>
          <w:rFonts w:ascii="宋体" w:eastAsia="宋体" w:hAnsi="宋体" w:cs="宋体" w:hint="eastAsia"/>
          <w:szCs w:val="21"/>
        </w:rPr>
        <w:t>如果乙方未按合同要求履行合同，或因</w:t>
      </w:r>
      <w:r w:rsidRPr="002F452B">
        <w:rPr>
          <w:rFonts w:ascii="宋体" w:eastAsia="宋体" w:hAnsi="宋体" w:cs="宋体" w:hint="eastAsia"/>
          <w:szCs w:val="21"/>
        </w:rPr>
        <w:t>乙方原因导致本合同解除的，甲方</w:t>
      </w:r>
      <w:r w:rsidRPr="002F452B">
        <w:rPr>
          <w:rFonts w:ascii="宋体" w:eastAsia="宋体" w:hAnsi="宋体" w:cs="宋体" w:hint="eastAsia"/>
          <w:szCs w:val="21"/>
        </w:rPr>
        <w:t>有权依据履约保函的规定向担保机构提出索赔。</w:t>
      </w:r>
    </w:p>
    <w:p w:rsidR="00684B1C" w:rsidP="00BC3598">
      <w:pPr>
        <w:numPr>
          <w:ilvl w:val="0"/>
          <w:numId w:val="46"/>
        </w:numPr>
        <w:tabs>
          <w:tab w:val="left" w:pos="720"/>
        </w:tabs>
        <w:spacing w:line="360" w:lineRule="auto"/>
        <w:ind w:left="0" w:firstLine="420"/>
        <w:rPr>
          <w:rFonts w:ascii="宋体" w:eastAsia="宋体" w:hAnsi="宋体" w:cs="宋体"/>
          <w:szCs w:val="21"/>
        </w:rPr>
      </w:pPr>
      <w:r w:rsidRPr="00F10C4B">
        <w:rPr>
          <w:rFonts w:ascii="宋体" w:eastAsia="宋体" w:hAnsi="宋体" w:cs="宋体" w:hint="eastAsia"/>
          <w:szCs w:val="21"/>
        </w:rPr>
        <w:t>若乙方未能在约定期限内提供符合要求的履约保函，视为乙方违约，甲方有权解除合同并要求乙方承担相应的违约责任。</w:t>
      </w:r>
    </w:p>
    <w:p w:rsidR="00075A77" w:rsidRPr="002F452B" w:rsidP="00BC3598">
      <w:pPr>
        <w:numPr>
          <w:ilvl w:val="0"/>
          <w:numId w:val="46"/>
        </w:numPr>
        <w:tabs>
          <w:tab w:val="left" w:pos="720"/>
        </w:tabs>
        <w:spacing w:line="360" w:lineRule="auto"/>
        <w:ind w:left="0" w:firstLine="420"/>
        <w:rPr>
          <w:rFonts w:ascii="宋体" w:eastAsia="宋体" w:hAnsi="宋体" w:cs="宋体"/>
          <w:szCs w:val="21"/>
        </w:rPr>
      </w:pPr>
      <w:r w:rsidRPr="005325B4">
        <w:rPr>
          <w:rFonts w:ascii="宋体" w:eastAsia="宋体" w:hAnsi="宋体" w:cs="宋体" w:hint="eastAsia"/>
          <w:szCs w:val="21"/>
        </w:rPr>
        <w:t>因履约保函引起的或与履约保函有关的任何争议，双方应首先通过友好协商解决；协商不成的，可提交至</w:t>
      </w:r>
      <w:r w:rsidRPr="005325B4">
        <w:rPr>
          <w:rFonts w:ascii="宋体" w:eastAsia="宋体" w:hAnsi="宋体" w:cs="宋体"/>
          <w:szCs w:val="21"/>
          <w:u w:val="single"/>
        </w:rPr>
        <w:t xml:space="preserve">             </w:t>
      </w:r>
      <w:r w:rsidRPr="005325B4">
        <w:rPr>
          <w:rFonts w:ascii="宋体" w:eastAsia="宋体" w:hAnsi="宋体" w:cs="宋体" w:hint="eastAsia"/>
          <w:szCs w:val="21"/>
        </w:rPr>
        <w:t>进行仲裁，或依法向人民法院提起诉讼。</w:t>
      </w:r>
    </w:p>
    <w:p w:rsidR="002F452B" w:rsidP="00BC3598">
      <w:pPr>
        <w:numPr>
          <w:ilvl w:val="0"/>
          <w:numId w:val="46"/>
        </w:numPr>
        <w:tabs>
          <w:tab w:val="left" w:pos="720"/>
        </w:tabs>
        <w:spacing w:line="360" w:lineRule="auto"/>
        <w:ind w:left="0" w:firstLine="420"/>
        <w:rPr>
          <w:rFonts w:ascii="宋体" w:eastAsia="宋体" w:hAnsi="宋体" w:cs="宋体"/>
          <w:szCs w:val="21"/>
        </w:rPr>
      </w:pPr>
      <w:r w:rsidRPr="00A65A18">
        <w:rPr>
          <w:rFonts w:ascii="宋体" w:eastAsia="宋体" w:hAnsi="宋体" w:cs="宋体" w:hint="eastAsia"/>
          <w:szCs w:val="21"/>
        </w:rPr>
        <w:t>本履约保函的保证期</w:t>
      </w:r>
      <w:r w:rsidR="00C73898">
        <w:rPr>
          <w:rFonts w:ascii="宋体" w:eastAsia="宋体" w:hAnsi="宋体" w:cs="宋体" w:hint="eastAsia"/>
          <w:szCs w:val="21"/>
        </w:rPr>
        <w:t>与合同服务期一致</w:t>
      </w:r>
      <w:r>
        <w:rPr>
          <w:rFonts w:ascii="宋体" w:eastAsia="宋体" w:hAnsi="宋体" w:cs="宋体" w:hint="eastAsia"/>
          <w:szCs w:val="21"/>
        </w:rPr>
        <w:t>，若</w:t>
      </w:r>
      <w:r w:rsidRPr="002F452B">
        <w:rPr>
          <w:rFonts w:ascii="宋体" w:eastAsia="宋体" w:hAnsi="宋体" w:cs="宋体" w:hint="eastAsia"/>
          <w:szCs w:val="21"/>
        </w:rPr>
        <w:t>乙方</w:t>
      </w:r>
      <w:r w:rsidR="00C85514">
        <w:rPr>
          <w:rFonts w:ascii="宋体" w:eastAsia="宋体" w:hAnsi="宋体" w:cs="宋体" w:hint="eastAsia"/>
          <w:szCs w:val="21"/>
        </w:rPr>
        <w:t>在</w:t>
      </w:r>
      <w:r w:rsidR="00E67D00">
        <w:rPr>
          <w:rFonts w:ascii="宋体" w:eastAsia="宋体" w:hAnsi="宋体" w:cs="宋体" w:hint="eastAsia"/>
          <w:szCs w:val="21"/>
        </w:rPr>
        <w:t>此期间</w:t>
      </w:r>
      <w:r>
        <w:rPr>
          <w:rFonts w:ascii="宋体" w:eastAsia="宋体" w:hAnsi="宋体" w:cs="宋体" w:hint="eastAsia"/>
          <w:szCs w:val="21"/>
        </w:rPr>
        <w:t>无违约行为，</w:t>
      </w:r>
      <w:r w:rsidRPr="002F452B">
        <w:rPr>
          <w:rFonts w:ascii="宋体" w:eastAsia="宋体" w:hAnsi="宋体" w:cs="宋体" w:hint="eastAsia"/>
          <w:szCs w:val="21"/>
        </w:rPr>
        <w:t>甲方</w:t>
      </w:r>
      <w:r w:rsidR="0096287A">
        <w:rPr>
          <w:rFonts w:ascii="宋体" w:eastAsia="宋体" w:hAnsi="宋体" w:cs="宋体" w:hint="eastAsia"/>
          <w:szCs w:val="21"/>
        </w:rPr>
        <w:t>在</w:t>
      </w:r>
      <w:r w:rsidR="00C73898">
        <w:rPr>
          <w:rFonts w:ascii="宋体" w:eastAsia="宋体" w:hAnsi="宋体" w:cs="宋体" w:hint="eastAsia"/>
          <w:szCs w:val="21"/>
        </w:rPr>
        <w:t>合同</w:t>
      </w:r>
      <w:r w:rsidR="00E67D00">
        <w:rPr>
          <w:rFonts w:ascii="宋体" w:eastAsia="宋体" w:hAnsi="宋体" w:cs="宋体" w:hint="eastAsia"/>
          <w:szCs w:val="21"/>
        </w:rPr>
        <w:t>结束</w:t>
      </w:r>
      <w:r>
        <w:rPr>
          <w:rFonts w:ascii="宋体" w:eastAsia="宋体" w:hAnsi="宋体" w:cs="宋体" w:hint="eastAsia"/>
          <w:szCs w:val="21"/>
        </w:rPr>
        <w:t>后</w:t>
      </w:r>
      <w:r w:rsidRPr="00297ADF" w:rsidR="00297ADF">
        <w:rPr>
          <w:rFonts w:ascii="宋体" w:eastAsia="宋体" w:hAnsi="宋体" w:cs="宋体" w:hint="eastAsia"/>
          <w:szCs w:val="21"/>
          <w:u w:val="single"/>
        </w:rPr>
        <w:t xml:space="preserve"> </w:t>
      </w:r>
      <w:r w:rsidRPr="00297ADF" w:rsidR="00297ADF">
        <w:rPr>
          <w:rFonts w:ascii="宋体" w:eastAsia="宋体" w:hAnsi="宋体" w:cs="宋体"/>
          <w:szCs w:val="21"/>
          <w:u w:val="single"/>
        </w:rPr>
        <w:t xml:space="preserve">    </w:t>
      </w:r>
      <w:r w:rsidR="0096287A">
        <w:rPr>
          <w:rFonts w:ascii="宋体" w:eastAsia="宋体" w:hAnsi="宋体" w:cs="宋体" w:hint="eastAsia"/>
          <w:szCs w:val="21"/>
        </w:rPr>
        <w:t>日内</w:t>
      </w:r>
      <w:r w:rsidRPr="002F452B">
        <w:rPr>
          <w:rFonts w:ascii="宋体" w:eastAsia="宋体" w:hAnsi="宋体" w:cs="宋体" w:hint="eastAsia"/>
          <w:szCs w:val="21"/>
        </w:rPr>
        <w:t>书面通知</w:t>
      </w:r>
      <w:r w:rsidR="00C1630F">
        <w:rPr>
          <w:rFonts w:ascii="宋体" w:eastAsia="宋体" w:hAnsi="宋体" w:cs="宋体" w:hint="eastAsia"/>
          <w:szCs w:val="21"/>
        </w:rPr>
        <w:t>担保</w:t>
      </w:r>
      <w:r w:rsidRPr="002F452B">
        <w:rPr>
          <w:rFonts w:ascii="宋体" w:eastAsia="宋体" w:hAnsi="宋体" w:cs="宋体" w:hint="eastAsia"/>
          <w:szCs w:val="21"/>
        </w:rPr>
        <w:t>机构解除履约保函的担保责任。</w:t>
      </w:r>
    </w:p>
    <w:p w:rsidR="00C7158A" w:rsidRPr="009B59D4" w:rsidP="00BC3598">
      <w:pPr>
        <w:numPr>
          <w:ilvl w:val="0"/>
          <w:numId w:val="46"/>
        </w:numPr>
        <w:tabs>
          <w:tab w:val="left" w:pos="720"/>
        </w:tabs>
        <w:spacing w:line="360" w:lineRule="auto"/>
        <w:ind w:left="0" w:firstLine="420"/>
        <w:rPr>
          <w:rFonts w:ascii="宋体" w:eastAsia="宋体" w:hAnsi="宋体" w:cs="宋体"/>
          <w:szCs w:val="21"/>
        </w:rPr>
      </w:pPr>
      <w:r w:rsidRPr="009B59D4">
        <w:rPr>
          <w:rFonts w:ascii="宋体" w:eastAsia="宋体" w:hAnsi="宋体" w:cs="宋体" w:hint="eastAsia"/>
          <w:szCs w:val="21"/>
        </w:rPr>
        <w:t>履约</w:t>
      </w:r>
      <w:r w:rsidRPr="009B59D4" w:rsidR="00EB4277">
        <w:rPr>
          <w:rFonts w:ascii="宋体" w:eastAsia="宋体" w:hAnsi="宋体" w:cs="宋体" w:hint="eastAsia"/>
          <w:szCs w:val="21"/>
        </w:rPr>
        <w:t>保函</w:t>
      </w:r>
      <w:r w:rsidRPr="009B59D4">
        <w:rPr>
          <w:rFonts w:ascii="宋体" w:eastAsia="宋体" w:hAnsi="宋体" w:cs="宋体" w:hint="eastAsia"/>
          <w:szCs w:val="21"/>
        </w:rPr>
        <w:t>金应用</w:t>
      </w:r>
      <w:r w:rsidRPr="009B59D4">
        <w:rPr>
          <w:rFonts w:ascii="宋体" w:eastAsia="宋体" w:hAnsi="宋体" w:cs="宋体" w:hint="eastAsia"/>
          <w:szCs w:val="21"/>
        </w:rPr>
        <w:t>本合同货币。</w:t>
      </w:r>
    </w:p>
    <w:p w:rsidR="004161F4" w:rsidP="00BC3598">
      <w:pPr>
        <w:numPr>
          <w:ilvl w:val="0"/>
          <w:numId w:val="44"/>
        </w:numPr>
        <w:tabs>
          <w:tab w:val="left" w:pos="720"/>
        </w:tabs>
        <w:spacing w:line="360" w:lineRule="auto"/>
        <w:ind w:left="0" w:firstLine="420" w:firstLineChars="200"/>
        <w:rPr>
          <w:rFonts w:ascii="宋体" w:eastAsia="宋体" w:hAnsi="宋体" w:cs="宋体"/>
          <w:szCs w:val="21"/>
        </w:rPr>
      </w:pPr>
      <w:r>
        <w:rPr>
          <w:rFonts w:ascii="宋体" w:eastAsia="宋体" w:hAnsi="宋体" w:cs="宋体" w:hint="eastAsia"/>
          <w:szCs w:val="21"/>
        </w:rPr>
        <w:t>双方银行账户信息</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388"/>
        <w:gridCol w:w="43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甲方开户银行名称、地址和账号为：</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乙方开户银行名称、地址和账号为：</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开户银行：</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开户银行：</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地址：</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地址：</w:t>
            </w:r>
          </w:p>
        </w:tc>
      </w:tr>
      <w:tr>
        <w:tblPrEx>
          <w:tblW w:w="5000" w:type="pct"/>
          <w:tblLook w:val="04A0"/>
        </w:tblPrEx>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账号：</w:t>
            </w:r>
          </w:p>
        </w:tc>
        <w:tc>
          <w:tcPr>
            <w:tcW w:w="2500" w:type="pct"/>
          </w:tcPr>
          <w:p w:rsidR="004161F4">
            <w:pPr>
              <w:tabs>
                <w:tab w:val="left" w:pos="720"/>
              </w:tabs>
              <w:ind w:firstLine="200"/>
              <w:rPr>
                <w:rFonts w:ascii="宋体" w:eastAsia="宋体" w:hAnsi="宋体" w:cs="宋体"/>
                <w:szCs w:val="21"/>
              </w:rPr>
            </w:pPr>
            <w:r>
              <w:rPr>
                <w:rFonts w:ascii="宋体" w:eastAsia="宋体" w:hAnsi="宋体" w:cs="宋体" w:hint="eastAsia"/>
                <w:szCs w:val="21"/>
              </w:rPr>
              <w:t>账号：</w:t>
            </w:r>
          </w:p>
        </w:tc>
      </w:tr>
    </w:tbl>
    <w:p w:rsidR="004161F4" w:rsidP="00BC3598">
      <w:pPr>
        <w:numPr>
          <w:ilvl w:val="0"/>
          <w:numId w:val="44"/>
        </w:numPr>
        <w:tabs>
          <w:tab w:val="left" w:pos="720"/>
        </w:tabs>
        <w:spacing w:line="360" w:lineRule="auto"/>
        <w:ind w:left="0" w:firstLine="420" w:firstLineChars="200"/>
        <w:rPr>
          <w:rFonts w:ascii="宋体" w:eastAsia="宋体" w:hAnsi="宋体" w:cs="宋体"/>
          <w:szCs w:val="21"/>
        </w:rPr>
      </w:pPr>
      <w:r>
        <w:rPr>
          <w:rFonts w:ascii="宋体" w:eastAsia="宋体" w:hAnsi="宋体" w:cs="宋体" w:hint="eastAsia"/>
          <w:szCs w:val="21"/>
        </w:rPr>
        <w:t>拒付条件</w:t>
      </w:r>
    </w:p>
    <w:p w:rsidR="004161F4">
      <w:pPr>
        <w:tabs>
          <w:tab w:val="left" w:pos="720"/>
        </w:tabs>
        <w:ind w:firstLine="420" w:firstLineChars="200"/>
        <w:rPr>
          <w:rFonts w:ascii="宋体" w:eastAsia="宋体" w:hAnsi="宋体" w:cs="宋体"/>
          <w:szCs w:val="21"/>
        </w:rPr>
      </w:pPr>
      <w:r>
        <w:rPr>
          <w:rFonts w:ascii="宋体" w:eastAsia="宋体" w:hAnsi="宋体" w:cs="宋体" w:hint="eastAsia"/>
          <w:szCs w:val="21"/>
        </w:rPr>
        <w:t>凡构成下列条件之一，甲方均有权拒付相应后续服务报酬：</w:t>
      </w:r>
    </w:p>
    <w:p w:rsidR="004161F4" w:rsidP="00BC3598">
      <w:pPr>
        <w:numPr>
          <w:ilvl w:val="0"/>
          <w:numId w:val="47"/>
        </w:numPr>
        <w:tabs>
          <w:tab w:val="left" w:pos="720"/>
        </w:tabs>
        <w:spacing w:line="360" w:lineRule="auto"/>
        <w:ind w:left="0" w:firstLine="420"/>
        <w:rPr>
          <w:rFonts w:ascii="宋体" w:eastAsia="宋体" w:hAnsi="宋体" w:cs="宋体"/>
          <w:szCs w:val="21"/>
        </w:rPr>
      </w:pPr>
      <w:r>
        <w:rPr>
          <w:rFonts w:ascii="宋体" w:eastAsia="宋体" w:hAnsi="宋体" w:cs="宋体" w:hint="eastAsia"/>
          <w:szCs w:val="21"/>
        </w:rPr>
        <w:t>乙方丧失继续完成本合同的基本条件或能力时；</w:t>
      </w:r>
    </w:p>
    <w:p w:rsidR="004161F4" w:rsidP="00BC3598">
      <w:pPr>
        <w:numPr>
          <w:ilvl w:val="0"/>
          <w:numId w:val="47"/>
        </w:numPr>
        <w:tabs>
          <w:tab w:val="left" w:pos="720"/>
        </w:tabs>
        <w:spacing w:line="360" w:lineRule="auto"/>
        <w:ind w:left="0" w:firstLine="420"/>
        <w:rPr>
          <w:rFonts w:ascii="宋体" w:eastAsia="宋体" w:hAnsi="宋体" w:cs="宋体"/>
          <w:szCs w:val="21"/>
        </w:rPr>
      </w:pPr>
      <w:r>
        <w:rPr>
          <w:rFonts w:ascii="宋体" w:eastAsia="宋体" w:hAnsi="宋体" w:cs="宋体" w:hint="eastAsia"/>
          <w:szCs w:val="21"/>
        </w:rPr>
        <w:t>乙方开展技术服务的进度严重后拖，已使合同规定的总进度及对应的条款失去执行意义时；</w:t>
      </w:r>
    </w:p>
    <w:p w:rsidR="004161F4" w:rsidP="00BC3598">
      <w:pPr>
        <w:numPr>
          <w:ilvl w:val="0"/>
          <w:numId w:val="47"/>
        </w:numPr>
        <w:tabs>
          <w:tab w:val="left" w:pos="720"/>
        </w:tabs>
        <w:spacing w:line="360" w:lineRule="auto"/>
        <w:ind w:left="0" w:firstLine="420"/>
        <w:rPr>
          <w:rFonts w:ascii="宋体" w:eastAsia="宋体" w:hAnsi="宋体" w:cs="宋体"/>
          <w:szCs w:val="21"/>
        </w:rPr>
      </w:pPr>
      <w:r>
        <w:rPr>
          <w:rFonts w:ascii="宋体" w:eastAsia="宋体" w:hAnsi="宋体" w:cs="宋体" w:hint="eastAsia"/>
          <w:szCs w:val="21"/>
        </w:rPr>
        <w:t>乙方出现严重违约行为时（如擅自更改甲方所规定的技术要求等）；</w:t>
      </w:r>
    </w:p>
    <w:p w:rsidR="004161F4" w:rsidP="00BC3598">
      <w:pPr>
        <w:numPr>
          <w:ilvl w:val="0"/>
          <w:numId w:val="47"/>
        </w:numPr>
        <w:tabs>
          <w:tab w:val="left" w:pos="720"/>
        </w:tabs>
        <w:spacing w:line="360" w:lineRule="auto"/>
        <w:ind w:left="0" w:firstLine="420"/>
        <w:rPr>
          <w:rFonts w:ascii="宋体" w:eastAsia="宋体" w:hAnsi="宋体" w:cs="宋体"/>
          <w:szCs w:val="21"/>
        </w:rPr>
      </w:pPr>
      <w:r>
        <w:rPr>
          <w:rFonts w:ascii="宋体" w:eastAsia="宋体" w:hAnsi="宋体" w:cs="宋体" w:hint="eastAsia"/>
          <w:szCs w:val="21"/>
        </w:rPr>
        <w:t>如乙方因自身原因未按节点完成任务或存在重大技术服务质量问题，甲方有权暂缓下期应付款项，待问题解决后再进行支付。</w:t>
      </w:r>
    </w:p>
    <w:p w:rsidR="004161F4" w:rsidP="00BC3598">
      <w:pPr>
        <w:keepNext/>
        <w:keepLines/>
        <w:numPr>
          <w:ilvl w:val="0"/>
          <w:numId w:val="19"/>
        </w:numPr>
        <w:spacing w:before="60" w:after="60" w:line="360" w:lineRule="auto"/>
        <w:outlineLvl w:val="1"/>
        <w:rPr>
          <w:rFonts w:ascii="宋体" w:eastAsia="宋体" w:hAnsi="宋体" w:cs="宋体"/>
          <w:b/>
          <w:bCs/>
          <w:szCs w:val="21"/>
        </w:rPr>
      </w:pPr>
      <w:r>
        <w:rPr>
          <w:rFonts w:ascii="宋体" w:eastAsia="宋体" w:hAnsi="宋体" w:cs="宋体"/>
          <w:b/>
          <w:bCs/>
          <w:szCs w:val="21"/>
        </w:rPr>
        <w:t>税务条款</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本合同所列价款为含税价，乙方应当按照国家税收法规提供合法税票。在合同履行过程中乙方应承担其未按中华人民共和国相关税务法规足额缴纳税款而产生的全部责任。在合同履行过程中，如遇国家税率政策变更，本合同所列含税价款不予调整。</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0" w:name="_Toc150439569"/>
      <w:r>
        <w:rPr>
          <w:rFonts w:ascii="宋体" w:eastAsia="宋体" w:hAnsi="宋体" w:cs="宋体" w:hint="eastAsia"/>
          <w:b/>
          <w:bCs/>
          <w:szCs w:val="21"/>
        </w:rPr>
        <w:t>项目验收</w:t>
      </w:r>
      <w:bookmarkEnd w:id="80"/>
    </w:p>
    <w:p w:rsidR="004161F4">
      <w:pPr>
        <w:ind w:firstLine="420" w:firstLineChars="200"/>
        <w:rPr>
          <w:rFonts w:ascii="宋体" w:eastAsia="宋体" w:hAnsi="宋体" w:cs="宋体"/>
          <w:szCs w:val="21"/>
        </w:rPr>
      </w:pPr>
      <w:r>
        <w:rPr>
          <w:rFonts w:ascii="宋体" w:eastAsia="宋体" w:hAnsi="宋体" w:cs="宋体" w:hint="eastAsia"/>
          <w:szCs w:val="21"/>
        </w:rPr>
        <w:t>1.系统测试</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乙方应在完成</w:t>
      </w:r>
      <w:r>
        <w:rPr>
          <w:rFonts w:ascii="宋体" w:eastAsia="宋体" w:hAnsi="宋体" w:cs="宋体" w:hint="eastAsia"/>
          <w:szCs w:val="21"/>
          <w:u w:val="single"/>
        </w:rPr>
        <w:t>全部软件模块的开发、安装、集成</w:t>
      </w:r>
      <w:r>
        <w:rPr>
          <w:rFonts w:ascii="宋体" w:eastAsia="宋体" w:hAnsi="宋体" w:cs="宋体" w:hint="eastAsia"/>
          <w:szCs w:val="21"/>
        </w:rPr>
        <w:t>后，以书面形式向甲方递交测试申请，同时提交包括但不限于以下材料：</w:t>
      </w:r>
    </w:p>
    <w:p w:rsidR="004161F4" w:rsidP="00BC3598">
      <w:pPr>
        <w:numPr>
          <w:ilvl w:val="0"/>
          <w:numId w:val="48"/>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需求</w:t>
      </w:r>
      <w:r w:rsidR="00816B07">
        <w:rPr>
          <w:rFonts w:ascii="宋体" w:eastAsia="宋体" w:hAnsi="宋体" w:cs="宋体" w:hint="eastAsia"/>
          <w:szCs w:val="21"/>
          <w:u w:val="single"/>
        </w:rPr>
        <w:t>设计</w:t>
      </w:r>
      <w:r>
        <w:rPr>
          <w:rFonts w:ascii="宋体" w:eastAsia="宋体" w:hAnsi="宋体" w:cs="宋体" w:hint="eastAsia"/>
          <w:szCs w:val="21"/>
          <w:u w:val="single"/>
        </w:rPr>
        <w:t>说明书</w:t>
      </w:r>
      <w:r w:rsidRPr="00DA1C3C" w:rsidR="00DA1C3C">
        <w:rPr>
          <w:rFonts w:ascii="宋体" w:eastAsia="宋体" w:hAnsi="宋体" w:cs="宋体" w:hint="eastAsia"/>
          <w:szCs w:val="21"/>
          <w:u w:val="single"/>
        </w:rPr>
        <w:t>、设计开发计划、设计方案</w:t>
      </w:r>
      <w:r>
        <w:rPr>
          <w:rFonts w:ascii="宋体" w:eastAsia="宋体" w:hAnsi="宋体" w:cs="宋体" w:hint="eastAsia"/>
          <w:szCs w:val="21"/>
          <w:u w:val="single"/>
        </w:rPr>
        <w:t>、概要设计说明书、详细设计说明书、数据库设计说明书、测试</w:t>
      </w:r>
      <w:r w:rsidR="00DA1C3C">
        <w:rPr>
          <w:rFonts w:ascii="宋体" w:eastAsia="宋体" w:hAnsi="宋体" w:cs="宋体" w:hint="eastAsia"/>
          <w:szCs w:val="21"/>
          <w:u w:val="single"/>
        </w:rPr>
        <w:t>方案</w:t>
      </w:r>
      <w:r>
        <w:rPr>
          <w:rFonts w:ascii="宋体" w:eastAsia="宋体" w:hAnsi="宋体" w:cs="宋体" w:hint="eastAsia"/>
          <w:szCs w:val="21"/>
          <w:u w:val="single"/>
        </w:rPr>
        <w:t>、测试报告、用户手册、项目计划书、用户培训计划、会议记录和开发</w:t>
      </w:r>
      <w:r>
        <w:rPr>
          <w:rFonts w:ascii="宋体" w:eastAsia="宋体" w:hAnsi="宋体" w:cs="宋体" w:hint="eastAsia"/>
          <w:szCs w:val="21"/>
          <w:u w:val="single"/>
        </w:rPr>
        <w:t xml:space="preserve">进度月报等；       </w:t>
      </w:r>
    </w:p>
    <w:p w:rsidR="004161F4" w:rsidP="00BC3598">
      <w:pPr>
        <w:numPr>
          <w:ilvl w:val="0"/>
          <w:numId w:val="48"/>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 xml:space="preserve">按照合同和招标文件中所标明的软件系统及相关的技术维护文档、培训教材、使用说明书等；                                                                     </w:t>
      </w:r>
    </w:p>
    <w:p w:rsidR="004161F4" w:rsidP="00BC3598">
      <w:pPr>
        <w:numPr>
          <w:ilvl w:val="0"/>
          <w:numId w:val="48"/>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全部源代码（电子版）</w:t>
      </w:r>
      <w:r w:rsidRPr="00DA1C3C" w:rsidR="00DA1C3C">
        <w:rPr>
          <w:rFonts w:ascii="宋体" w:eastAsia="宋体" w:hAnsi="宋体" w:cs="宋体" w:hint="eastAsia"/>
          <w:szCs w:val="21"/>
          <w:u w:val="single"/>
        </w:rPr>
        <w:t>及说明</w:t>
      </w:r>
      <w:r>
        <w:rPr>
          <w:rFonts w:ascii="宋体" w:eastAsia="宋体" w:hAnsi="宋体" w:cs="宋体" w:hint="eastAsia"/>
          <w:szCs w:val="21"/>
          <w:u w:val="single"/>
        </w:rPr>
        <w:t xml:space="preserve">；                                            </w:t>
      </w:r>
    </w:p>
    <w:p w:rsidR="0004124E" w:rsidP="00BC3598">
      <w:pPr>
        <w:numPr>
          <w:ilvl w:val="0"/>
          <w:numId w:val="48"/>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软件系统安装部署手册</w:t>
      </w:r>
      <w:r w:rsidR="00D41474">
        <w:rPr>
          <w:rFonts w:ascii="宋体" w:eastAsia="宋体" w:hAnsi="宋体" w:cs="宋体" w:hint="eastAsia"/>
          <w:szCs w:val="21"/>
          <w:u w:val="single"/>
        </w:rPr>
        <w:t>，运行维护方案</w:t>
      </w:r>
      <w:r>
        <w:rPr>
          <w:rFonts w:ascii="宋体" w:eastAsia="宋体" w:hAnsi="宋体" w:cs="宋体" w:hint="eastAsia"/>
          <w:szCs w:val="21"/>
          <w:u w:val="single"/>
        </w:rPr>
        <w:t>。</w:t>
      </w:r>
      <w:r w:rsidR="00296BC8">
        <w:rPr>
          <w:rFonts w:ascii="宋体" w:eastAsia="宋体" w:hAnsi="宋体" w:cs="宋体" w:hint="eastAsia"/>
          <w:szCs w:val="21"/>
          <w:u w:val="single"/>
        </w:rPr>
        <w:t xml:space="preserve">                                    </w:t>
      </w:r>
    </w:p>
    <w:p w:rsidR="004161F4" w:rsidP="00BC3598">
      <w:pPr>
        <w:numPr>
          <w:ilvl w:val="0"/>
          <w:numId w:val="48"/>
        </w:numPr>
        <w:spacing w:line="360" w:lineRule="auto"/>
        <w:ind w:left="0" w:firstLine="420"/>
        <w:rPr>
          <w:rFonts w:ascii="宋体" w:eastAsia="宋体" w:hAnsi="宋体" w:cs="宋体"/>
          <w:szCs w:val="21"/>
          <w:u w:val="single"/>
        </w:rPr>
      </w:pPr>
      <w:r w:rsidRPr="0004124E">
        <w:rPr>
          <w:rFonts w:ascii="宋体" w:eastAsia="宋体" w:hAnsi="宋体" w:cs="宋体" w:hint="eastAsia"/>
          <w:szCs w:val="21"/>
          <w:u w:val="single"/>
        </w:rPr>
        <w:t>试运行方案、记录、报告、试运行改进报告</w:t>
      </w:r>
      <w:r w:rsidR="00296BC8">
        <w:rPr>
          <w:rFonts w:ascii="宋体" w:eastAsia="宋体" w:hAnsi="宋体" w:cs="宋体" w:hint="eastAsia"/>
          <w:szCs w:val="21"/>
          <w:u w:val="single"/>
        </w:rPr>
        <w:t xml:space="preserve">                               </w:t>
      </w:r>
      <w:r>
        <w:rPr>
          <w:rFonts w:ascii="宋体" w:eastAsia="宋体" w:hAnsi="宋体" w:cs="宋体"/>
          <w:szCs w:val="21"/>
          <w:u w:val="single"/>
        </w:rPr>
        <w:t xml:space="preserve">   </w:t>
      </w:r>
    </w:p>
    <w:p w:rsidR="003A3F96" w:rsidP="00BC3598">
      <w:pPr>
        <w:numPr>
          <w:ilvl w:val="0"/>
          <w:numId w:val="48"/>
        </w:numPr>
        <w:spacing w:line="360" w:lineRule="auto"/>
        <w:ind w:left="0" w:firstLine="420"/>
        <w:rPr>
          <w:rFonts w:ascii="宋体" w:eastAsia="宋体" w:hAnsi="宋体" w:cs="宋体"/>
          <w:szCs w:val="21"/>
          <w:u w:val="single"/>
        </w:rPr>
      </w:pPr>
      <w:r w:rsidRPr="003A3F96">
        <w:rPr>
          <w:rFonts w:ascii="宋体" w:eastAsia="宋体" w:hAnsi="宋体" w:cs="宋体" w:hint="eastAsia"/>
          <w:szCs w:val="21"/>
          <w:u w:val="single"/>
        </w:rPr>
        <w:t>合同验收文件、开发总结报告、交接清单</w:t>
      </w:r>
      <w:r w:rsidR="0004124E">
        <w:rPr>
          <w:rFonts w:ascii="宋体" w:eastAsia="宋体" w:hAnsi="宋体" w:cs="宋体"/>
          <w:szCs w:val="21"/>
          <w:u w:val="single"/>
        </w:rPr>
        <w:t xml:space="preserve">                                    </w:t>
      </w:r>
    </w:p>
    <w:p w:rsidR="0004124E" w:rsidP="00BC3598">
      <w:pPr>
        <w:numPr>
          <w:ilvl w:val="0"/>
          <w:numId w:val="48"/>
        </w:numPr>
        <w:spacing w:line="360" w:lineRule="auto"/>
        <w:ind w:left="0" w:firstLine="420"/>
        <w:rPr>
          <w:rFonts w:ascii="宋体" w:eastAsia="宋体" w:hAnsi="宋体" w:cs="宋体"/>
          <w:szCs w:val="21"/>
          <w:u w:val="single"/>
        </w:rPr>
      </w:pPr>
      <w:r>
        <w:rPr>
          <w:rFonts w:ascii="宋体" w:eastAsia="宋体" w:hAnsi="宋体" w:cs="宋体"/>
          <w:szCs w:val="21"/>
          <w:u w:val="single"/>
        </w:rPr>
        <w:t xml:space="preserve">                           </w:t>
      </w:r>
      <w:r w:rsidR="003A3F96">
        <w:rPr>
          <w:rFonts w:ascii="宋体" w:eastAsia="宋体" w:hAnsi="宋体" w:cs="宋体"/>
          <w:szCs w:val="21"/>
          <w:u w:val="single"/>
        </w:rPr>
        <w:t xml:space="preserve">                                            </w:t>
      </w:r>
      <w:r>
        <w:rPr>
          <w:rFonts w:ascii="宋体" w:eastAsia="宋体" w:hAnsi="宋体" w:cs="宋体"/>
          <w:szCs w:val="21"/>
          <w:u w:val="single"/>
        </w:rPr>
        <w:t xml:space="preserve">  </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在本项目开发的软件如归属于已有的完成网络安全等级保护定级的系统，应按照相应的等级保护要求完成测评；如不归属于已有的完成网络安全等级保护定级的系统，需对所开发的软件完成网络安全等级保护定级和备案。</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甲方应在审核通过测试申请后的</w:t>
      </w:r>
      <w:r w:rsidRPr="00A82D80" w:rsidR="00A82D80">
        <w:rPr>
          <w:rFonts w:ascii="宋体" w:eastAsia="宋体" w:hAnsi="宋体" w:cs="宋体"/>
          <w:szCs w:val="21"/>
          <w:u w:val="single"/>
        </w:rPr>
        <w:t xml:space="preserve">    </w:t>
      </w:r>
      <w:r>
        <w:rPr>
          <w:rFonts w:ascii="宋体" w:eastAsia="宋体" w:hAnsi="宋体" w:cs="宋体" w:hint="eastAsia"/>
          <w:szCs w:val="21"/>
        </w:rPr>
        <w:t>个</w:t>
      </w:r>
      <w:r>
        <w:rPr>
          <w:rFonts w:ascii="宋体" w:eastAsia="宋体" w:hAnsi="宋体" w:cs="宋体" w:hint="eastAsia"/>
          <w:szCs w:val="21"/>
        </w:rPr>
        <w:t>工作日内组织由甲方或甲方委托的第三方主持的软件测试，乙方参加，对软件进行测试。测试时应有甲方现场确认交付的全部源代码通过编译获得可执行程序的环节。</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确认其符合甲方要求的测试标准后，甲方签字确认。</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2.项目初验</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乙方开发的软件通过测试，并达到了系统初验的条件后，应以书面形式向甲方递交初步验收申请。甲方审核通过后，组织系统初验，并在验收通过后签署初验报告。</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3.系统试运行</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自甲方出具初验报告日起，</w:t>
      </w:r>
      <w:r w:rsidRPr="00BD6DF2">
        <w:rPr>
          <w:rFonts w:ascii="宋体" w:eastAsia="宋体" w:hAnsi="宋体" w:cs="宋体" w:hint="eastAsia"/>
          <w:szCs w:val="21"/>
        </w:rPr>
        <w:t>甲方拥有</w:t>
      </w:r>
      <w:r w:rsidRPr="00BD6DF2">
        <w:rPr>
          <w:rFonts w:ascii="宋体" w:eastAsia="宋体" w:hAnsi="宋体" w:cs="宋体"/>
          <w:szCs w:val="21"/>
          <w:u w:val="single"/>
        </w:rPr>
        <w:t xml:space="preserve">  </w:t>
      </w:r>
      <w:r w:rsidR="003C2CCC">
        <w:rPr>
          <w:rFonts w:ascii="宋体" w:eastAsia="宋体" w:hAnsi="宋体" w:cs="宋体"/>
          <w:szCs w:val="21"/>
          <w:u w:val="single"/>
        </w:rPr>
        <w:t>1</w:t>
      </w:r>
      <w:r w:rsidRPr="00BD6DF2">
        <w:rPr>
          <w:rFonts w:ascii="宋体" w:eastAsia="宋体" w:hAnsi="宋体" w:cs="宋体"/>
          <w:szCs w:val="21"/>
          <w:u w:val="single"/>
        </w:rPr>
        <w:t xml:space="preserve">  </w:t>
      </w:r>
      <w:r w:rsidRPr="00BD6DF2">
        <w:rPr>
          <w:rFonts w:ascii="宋体" w:eastAsia="宋体" w:hAnsi="宋体" w:cs="宋体" w:hint="eastAsia"/>
          <w:szCs w:val="21"/>
        </w:rPr>
        <w:t>个</w:t>
      </w:r>
      <w:r w:rsidRPr="00BD6DF2">
        <w:rPr>
          <w:rFonts w:ascii="宋体" w:eastAsia="宋体" w:hAnsi="宋体" w:cs="宋体" w:hint="eastAsia"/>
          <w:szCs w:val="21"/>
        </w:rPr>
        <w:t>月的试运行权利</w:t>
      </w:r>
      <w:r>
        <w:rPr>
          <w:rFonts w:ascii="宋体" w:eastAsia="宋体" w:hAnsi="宋体" w:cs="宋体" w:hint="eastAsia"/>
          <w:szCs w:val="21"/>
        </w:rPr>
        <w:t xml:space="preserve">。试运行期间，乙方应进行全程跟踪，提供全面技术支持服务，及时修改、完善、补充系统功能，确保试运行的顺利进行。   </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乙方在试运行期间，必须保证开发队伍的稳定，根据甲方要求，不断修改和完善软件的功能和性能，直至甲方满意。乙方在试运行期间，应在</w:t>
      </w:r>
      <w:r>
        <w:rPr>
          <w:rFonts w:ascii="宋体" w:eastAsia="宋体" w:hAnsi="宋体" w:cs="宋体" w:hint="eastAsia"/>
          <w:szCs w:val="21"/>
          <w:u w:val="single"/>
        </w:rPr>
        <w:t xml:space="preserve">     </w:t>
      </w:r>
      <w:r>
        <w:rPr>
          <w:rFonts w:ascii="宋体" w:eastAsia="宋体" w:hAnsi="宋体" w:cs="宋体" w:hint="eastAsia"/>
          <w:szCs w:val="21"/>
        </w:rPr>
        <w:t>时间内响应故障处理，排除故障的时间一般不超过</w:t>
      </w:r>
      <w:r>
        <w:rPr>
          <w:rFonts w:ascii="宋体" w:eastAsia="宋体" w:hAnsi="宋体" w:cs="宋体" w:hint="eastAsia"/>
          <w:szCs w:val="21"/>
          <w:u w:val="single"/>
        </w:rPr>
        <w:t xml:space="preserve">     </w:t>
      </w:r>
      <w:r>
        <w:rPr>
          <w:rFonts w:ascii="宋体" w:eastAsia="宋体" w:hAnsi="宋体" w:cs="宋体" w:hint="eastAsia"/>
          <w:szCs w:val="21"/>
        </w:rPr>
        <w:t>。如由于乙方原因，发生影响甲方业务工作的重大故障，试运行期从故障排除后重新计算。</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4.项目终验</w:t>
      </w:r>
    </w:p>
    <w:p w:rsidR="004161F4" w:rsidP="00E67FAF">
      <w:pPr>
        <w:tabs>
          <w:tab w:val="left" w:pos="720"/>
        </w:tabs>
        <w:spacing w:line="360" w:lineRule="auto"/>
        <w:ind w:firstLine="420" w:firstLineChars="200"/>
        <w:rPr>
          <w:rFonts w:ascii="宋体" w:eastAsia="宋体" w:hAnsi="宋体" w:cs="宋体"/>
          <w:szCs w:val="21"/>
        </w:rPr>
      </w:pPr>
      <w:r>
        <w:rPr>
          <w:rFonts w:ascii="宋体" w:eastAsia="宋体" w:hAnsi="宋体" w:cs="宋体" w:hint="eastAsia"/>
          <w:szCs w:val="21"/>
        </w:rPr>
        <w:t>软件试运行期满合格后，乙方应以书面形式向甲方递交最终验收申请，并更新提交全部相关文档，甲方审核通过后，组织系统终验，并在终</w:t>
      </w:r>
      <w:r>
        <w:rPr>
          <w:rFonts w:ascii="宋体" w:eastAsia="宋体" w:hAnsi="宋体" w:cs="宋体" w:hint="eastAsia"/>
          <w:szCs w:val="21"/>
        </w:rPr>
        <w:t>验通过</w:t>
      </w:r>
      <w:r>
        <w:rPr>
          <w:rFonts w:ascii="宋体" w:eastAsia="宋体" w:hAnsi="宋体" w:cs="宋体" w:hint="eastAsia"/>
          <w:szCs w:val="21"/>
        </w:rPr>
        <w:t>后签署终验报告。</w:t>
      </w:r>
    </w:p>
    <w:p w:rsidR="004161F4" w:rsidP="00E67FAF">
      <w:pPr>
        <w:spacing w:line="360" w:lineRule="auto"/>
        <w:ind w:firstLine="420" w:firstLineChars="200"/>
        <w:rPr>
          <w:rFonts w:ascii="宋体" w:eastAsia="宋体" w:hAnsi="宋体" w:cs="宋体"/>
          <w:szCs w:val="21"/>
        </w:rPr>
      </w:pPr>
      <w:r w:rsidRPr="003A3F96">
        <w:rPr>
          <w:rFonts w:ascii="宋体" w:eastAsia="宋体" w:hAnsi="宋体" w:cs="宋体" w:hint="eastAsia"/>
          <w:szCs w:val="21"/>
        </w:rPr>
        <w:t>如果系统在试运行和验收工作进行期间发现未能满足合同和招标文件中列举的全部要求、未能实现合同和招标文件中列举的全部功能和非功能要求、未能达到合同和招标文件中列举的全部</w:t>
      </w:r>
      <w:r w:rsidRPr="003A3F96">
        <w:rPr>
          <w:rFonts w:ascii="宋体" w:eastAsia="宋体" w:hAnsi="宋体" w:cs="宋体" w:hint="eastAsia"/>
          <w:szCs w:val="21"/>
        </w:rPr>
        <w:t>指标、文档不齐全或者与甲方其他要求的内容不符，甲方有权推迟系统验收时间并要求乙方在甲方规定的期间内整改至符合本项目要求，乙方承担因此导致的项目系统迟延交付的责任。系统通过终验后，所有文档资料、软件和资产由甲方统一归档保管</w:t>
      </w:r>
      <w:r w:rsidR="00296BC8">
        <w:rPr>
          <w:rFonts w:ascii="宋体" w:eastAsia="宋体" w:hAnsi="宋体" w:cs="宋体"/>
          <w:szCs w:val="21"/>
        </w:rPr>
        <w:t>。</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1" w:name="_Toc150439566"/>
      <w:r>
        <w:rPr>
          <w:rFonts w:ascii="宋体" w:eastAsia="宋体" w:hAnsi="宋体" w:cs="宋体" w:hint="eastAsia"/>
          <w:b/>
          <w:bCs/>
          <w:szCs w:val="21"/>
        </w:rPr>
        <w:t>质量保证</w:t>
      </w:r>
      <w:bookmarkEnd w:id="81"/>
    </w:p>
    <w:p w:rsidR="004161F4">
      <w:pPr>
        <w:ind w:firstLine="420" w:firstLineChars="200"/>
        <w:rPr>
          <w:rFonts w:ascii="宋体" w:eastAsia="宋体" w:hAnsi="宋体" w:cs="宋体"/>
          <w:szCs w:val="21"/>
        </w:rPr>
      </w:pPr>
      <w:r>
        <w:rPr>
          <w:rFonts w:ascii="宋体" w:eastAsia="宋体" w:hAnsi="宋体" w:cs="宋体" w:hint="eastAsia"/>
          <w:szCs w:val="21"/>
        </w:rPr>
        <w:t>项目通过终验后，软件进入质量保证期。软件质量标准按照国标的软件工程化和质量保证要求执行。</w:t>
      </w:r>
    </w:p>
    <w:p w:rsidR="004161F4" w:rsidP="00BC3598">
      <w:pPr>
        <w:numPr>
          <w:ilvl w:val="0"/>
          <w:numId w:val="49"/>
        </w:numPr>
        <w:spacing w:line="360" w:lineRule="auto"/>
        <w:ind w:left="0" w:firstLine="420" w:firstLineChars="200"/>
        <w:rPr>
          <w:rFonts w:ascii="宋体" w:eastAsia="宋体" w:hAnsi="宋体" w:cs="宋体"/>
          <w:szCs w:val="21"/>
        </w:rPr>
      </w:pPr>
      <w:r>
        <w:rPr>
          <w:rFonts w:ascii="宋体" w:eastAsia="宋体" w:hAnsi="宋体" w:cs="宋体" w:hint="eastAsia"/>
          <w:szCs w:val="21"/>
        </w:rPr>
        <w:t>乙方应对提交的软件产品提供为期</w:t>
      </w:r>
      <w:r>
        <w:rPr>
          <w:rFonts w:ascii="宋体" w:eastAsia="宋体" w:hAnsi="宋体" w:cs="宋体" w:hint="eastAsia"/>
          <w:szCs w:val="21"/>
          <w:u w:val="single"/>
        </w:rPr>
        <w:t xml:space="preserve"> </w:t>
      </w:r>
      <w:r w:rsidR="00CC79EC">
        <w:rPr>
          <w:rFonts w:ascii="宋体" w:eastAsia="宋体" w:hAnsi="宋体" w:cs="宋体"/>
          <w:szCs w:val="21"/>
          <w:u w:val="single"/>
        </w:rPr>
        <w:t xml:space="preserve">  </w:t>
      </w:r>
      <w:r w:rsidR="00E67FAF">
        <w:rPr>
          <w:rFonts w:ascii="宋体" w:eastAsia="宋体" w:hAnsi="宋体" w:cs="宋体"/>
          <w:szCs w:val="21"/>
          <w:u w:val="single"/>
        </w:rPr>
        <w:t xml:space="preserve">  </w:t>
      </w:r>
      <w:r w:rsidR="00050696">
        <w:rPr>
          <w:rFonts w:ascii="宋体" w:eastAsia="宋体" w:hAnsi="宋体" w:cs="宋体" w:hint="eastAsia"/>
          <w:szCs w:val="21"/>
          <w:u w:val="single"/>
        </w:rPr>
        <w:t>年</w:t>
      </w:r>
      <w:r>
        <w:rPr>
          <w:rFonts w:ascii="宋体" w:eastAsia="宋体" w:hAnsi="宋体" w:cs="宋体" w:hint="eastAsia"/>
          <w:szCs w:val="21"/>
          <w:u w:val="single"/>
        </w:rPr>
        <w:t xml:space="preserve"> </w:t>
      </w:r>
      <w:r>
        <w:rPr>
          <w:rFonts w:ascii="宋体" w:eastAsia="宋体" w:hAnsi="宋体" w:cs="宋体" w:hint="eastAsia"/>
          <w:szCs w:val="21"/>
        </w:rPr>
        <w:t>的质量保证期。</w:t>
      </w:r>
    </w:p>
    <w:p w:rsidR="004161F4" w:rsidP="00BC3598">
      <w:pPr>
        <w:numPr>
          <w:ilvl w:val="0"/>
          <w:numId w:val="49"/>
        </w:numPr>
        <w:spacing w:line="360" w:lineRule="auto"/>
        <w:ind w:left="0" w:firstLine="420" w:firstLineChars="200"/>
        <w:rPr>
          <w:rFonts w:ascii="宋体" w:eastAsia="宋体" w:hAnsi="宋体" w:cs="宋体"/>
          <w:szCs w:val="21"/>
        </w:rPr>
      </w:pPr>
      <w:r>
        <w:rPr>
          <w:rFonts w:ascii="宋体" w:eastAsia="宋体" w:hAnsi="宋体" w:cs="宋体" w:hint="eastAsia"/>
          <w:szCs w:val="21"/>
        </w:rPr>
        <w:t>在质量保证期内</w:t>
      </w:r>
      <w:r w:rsidRPr="003841BF">
        <w:rPr>
          <w:rFonts w:ascii="宋体" w:eastAsia="宋体" w:hAnsi="宋体" w:cs="宋体" w:hint="eastAsia"/>
          <w:szCs w:val="21"/>
        </w:rPr>
        <w:t>，乙方应提供</w:t>
      </w:r>
      <w:r w:rsidRPr="003841BF">
        <w:rPr>
          <w:rFonts w:ascii="宋体" w:eastAsia="宋体" w:hAnsi="宋体" w:cs="宋体" w:hint="eastAsia"/>
          <w:szCs w:val="21"/>
          <w:u w:val="single"/>
        </w:rPr>
        <w:t xml:space="preserve">  不间断</w:t>
      </w:r>
      <w:r w:rsidR="00A82D80">
        <w:rPr>
          <w:rFonts w:ascii="宋体" w:eastAsia="宋体" w:hAnsi="宋体" w:cs="宋体" w:hint="eastAsia"/>
          <w:szCs w:val="21"/>
          <w:u w:val="single"/>
        </w:rPr>
        <w:t xml:space="preserve"> </w:t>
      </w:r>
      <w:r w:rsidR="00A82D80">
        <w:rPr>
          <w:rFonts w:ascii="宋体" w:eastAsia="宋体" w:hAnsi="宋体" w:cs="宋体"/>
          <w:szCs w:val="21"/>
          <w:u w:val="single"/>
        </w:rPr>
        <w:t xml:space="preserve"> </w:t>
      </w:r>
      <w:r w:rsidRPr="003841BF">
        <w:rPr>
          <w:rFonts w:ascii="宋体" w:eastAsia="宋体" w:hAnsi="宋体" w:cs="宋体" w:hint="eastAsia"/>
          <w:szCs w:val="21"/>
        </w:rPr>
        <w:t>的无偿服务响应，至少保留</w:t>
      </w:r>
      <w:r w:rsidRPr="003841BF">
        <w:rPr>
          <w:rFonts w:ascii="宋体" w:eastAsia="宋体" w:hAnsi="宋体" w:cs="宋体" w:hint="eastAsia"/>
          <w:szCs w:val="21"/>
          <w:u w:val="single"/>
        </w:rPr>
        <w:t xml:space="preserve">    </w:t>
      </w:r>
      <w:r w:rsidRPr="003841BF">
        <w:rPr>
          <w:rFonts w:ascii="宋体" w:eastAsia="宋体" w:hAnsi="宋体" w:cs="宋体" w:hint="eastAsia"/>
          <w:szCs w:val="21"/>
        </w:rPr>
        <w:t>名工程师常驻甲方现场或随叫随到且要在</w:t>
      </w:r>
      <w:r w:rsidRPr="003841BF">
        <w:rPr>
          <w:rFonts w:ascii="宋体" w:eastAsia="宋体" w:hAnsi="宋体" w:cs="宋体" w:hint="eastAsia"/>
          <w:szCs w:val="21"/>
          <w:u w:val="single"/>
        </w:rPr>
        <w:t xml:space="preserve">     </w:t>
      </w:r>
      <w:r w:rsidRPr="003841BF">
        <w:rPr>
          <w:rFonts w:ascii="宋体" w:eastAsia="宋体" w:hAnsi="宋体" w:cs="宋体" w:hint="eastAsia"/>
          <w:szCs w:val="21"/>
        </w:rPr>
        <w:t>小时之内赶到现</w:t>
      </w:r>
      <w:r>
        <w:rPr>
          <w:rFonts w:ascii="宋体" w:eastAsia="宋体" w:hAnsi="宋体" w:cs="宋体" w:hint="eastAsia"/>
          <w:szCs w:val="21"/>
        </w:rPr>
        <w:t>场，予以技术支持。</w:t>
      </w:r>
    </w:p>
    <w:p w:rsidR="003A3F96" w:rsidP="00BC3598">
      <w:pPr>
        <w:numPr>
          <w:ilvl w:val="0"/>
          <w:numId w:val="49"/>
        </w:numPr>
        <w:spacing w:line="360" w:lineRule="auto"/>
        <w:ind w:left="0" w:firstLine="420" w:firstLineChars="200"/>
        <w:rPr>
          <w:rFonts w:ascii="宋体" w:eastAsia="宋体" w:hAnsi="宋体" w:cs="宋体"/>
          <w:szCs w:val="21"/>
        </w:rPr>
      </w:pPr>
      <w:r w:rsidRPr="002B5392">
        <w:rPr>
          <w:rFonts w:ascii="宋体" w:eastAsia="宋体" w:hAnsi="宋体" w:cs="宋体" w:hint="eastAsia"/>
          <w:szCs w:val="21"/>
        </w:rPr>
        <w:t>乙方在质量保证期内提供技术支持的内容包括但不限于：</w:t>
      </w:r>
      <w:r w:rsidRPr="002B5392">
        <w:rPr>
          <w:rFonts w:ascii="宋体" w:eastAsia="宋体" w:hAnsi="宋体" w:cs="宋体" w:hint="eastAsia"/>
          <w:szCs w:val="21"/>
          <w:u w:val="single"/>
        </w:rPr>
        <w:t>故障（事件）诊断与排除、系统运行安全支持、软件修改完善与升级、基础数据管理与维护等</w:t>
      </w:r>
      <w:r w:rsidRPr="002B5392">
        <w:rPr>
          <w:rFonts w:ascii="宋体" w:eastAsia="宋体" w:hAnsi="宋体" w:cs="宋体" w:hint="eastAsia"/>
          <w:szCs w:val="21"/>
        </w:rPr>
        <w:t>；乙方应提供时间间隔为</w:t>
      </w:r>
    </w:p>
    <w:p w:rsidR="004161F4" w:rsidRPr="002B5392" w:rsidP="00BC3598">
      <w:pPr>
        <w:spacing w:line="360" w:lineRule="auto"/>
        <w:rPr>
          <w:rFonts w:ascii="宋体" w:eastAsia="宋体" w:hAnsi="宋体" w:cs="宋体"/>
          <w:szCs w:val="21"/>
        </w:rPr>
      </w:pPr>
      <w:r w:rsidRPr="002B5392">
        <w:rPr>
          <w:rFonts w:ascii="宋体" w:eastAsia="宋体" w:hAnsi="宋体" w:cs="宋体" w:hint="eastAsia"/>
          <w:szCs w:val="21"/>
          <w:u w:val="single"/>
        </w:rPr>
        <w:t xml:space="preserve">       </w:t>
      </w:r>
      <w:r w:rsidRPr="002B5392">
        <w:rPr>
          <w:rFonts w:ascii="宋体" w:eastAsia="宋体" w:hAnsi="宋体" w:cs="宋体" w:hint="eastAsia"/>
          <w:szCs w:val="21"/>
        </w:rPr>
        <w:t>的定期走访甲方或时间间隔为</w:t>
      </w:r>
      <w:r w:rsidRPr="002B5392">
        <w:rPr>
          <w:rFonts w:ascii="宋体" w:eastAsia="宋体" w:hAnsi="宋体" w:cs="宋体" w:hint="eastAsia"/>
          <w:szCs w:val="21"/>
          <w:u w:val="single"/>
        </w:rPr>
        <w:t xml:space="preserve">     </w:t>
      </w:r>
      <w:r w:rsidRPr="002B5392">
        <w:rPr>
          <w:rFonts w:ascii="宋体" w:eastAsia="宋体" w:hAnsi="宋体" w:cs="宋体" w:hint="eastAsia"/>
          <w:szCs w:val="21"/>
        </w:rPr>
        <w:t>的定期巡检服务。</w:t>
      </w:r>
    </w:p>
    <w:p w:rsidR="004161F4" w:rsidP="00BC3598">
      <w:pPr>
        <w:numPr>
          <w:ilvl w:val="0"/>
          <w:numId w:val="49"/>
        </w:numPr>
        <w:spacing w:line="360" w:lineRule="auto"/>
        <w:ind w:left="0" w:firstLine="420" w:firstLineChars="200"/>
        <w:rPr>
          <w:rFonts w:ascii="宋体" w:eastAsia="宋体" w:hAnsi="宋体" w:cs="宋体"/>
          <w:szCs w:val="21"/>
        </w:rPr>
      </w:pPr>
      <w:r>
        <w:rPr>
          <w:rFonts w:ascii="宋体" w:eastAsia="宋体" w:hAnsi="宋体" w:cs="宋体" w:hint="eastAsia"/>
          <w:szCs w:val="21"/>
        </w:rPr>
        <w:t>质量保证</w:t>
      </w:r>
      <w:r w:rsidR="00296BC8">
        <w:rPr>
          <w:rFonts w:ascii="宋体" w:eastAsia="宋体" w:hAnsi="宋体" w:cs="宋体" w:hint="eastAsia"/>
          <w:szCs w:val="21"/>
        </w:rPr>
        <w:t>期内</w:t>
      </w:r>
      <w:r>
        <w:rPr>
          <w:rFonts w:ascii="宋体" w:eastAsia="宋体" w:hAnsi="宋体" w:cs="宋体" w:hint="eastAsia"/>
          <w:szCs w:val="21"/>
        </w:rPr>
        <w:t>，</w:t>
      </w:r>
      <w:r w:rsidR="00296BC8">
        <w:rPr>
          <w:rFonts w:ascii="宋体" w:eastAsia="宋体" w:hAnsi="宋体" w:cs="宋体" w:hint="eastAsia"/>
          <w:szCs w:val="21"/>
        </w:rPr>
        <w:t>乙方对由于设计、开发、配置、部署等缺陷而发生的任何不足负责，并提供免费的必要的升级和缺陷修改，直至甲方满意。对由此造成甲方业务连续性中断</w:t>
      </w:r>
      <w:r>
        <w:rPr>
          <w:rFonts w:ascii="宋体" w:eastAsia="宋体" w:hAnsi="宋体" w:cs="宋体" w:hint="eastAsia"/>
          <w:szCs w:val="21"/>
        </w:rPr>
        <w:t>超过</w:t>
      </w:r>
      <w:r w:rsidRPr="00BD6DF2">
        <w:rPr>
          <w:rFonts w:ascii="宋体" w:eastAsia="宋体" w:hAnsi="宋体" w:cs="宋体" w:hint="eastAsia"/>
          <w:szCs w:val="21"/>
          <w:u w:val="single"/>
        </w:rPr>
        <w:t xml:space="preserve">  </w:t>
      </w:r>
      <w:r w:rsidRPr="00BD6DF2" w:rsidR="00257329">
        <w:rPr>
          <w:rFonts w:ascii="宋体" w:eastAsia="宋体" w:hAnsi="宋体" w:cs="宋体" w:hint="eastAsia"/>
          <w:szCs w:val="21"/>
          <w:u w:val="single"/>
        </w:rPr>
        <w:t>1</w:t>
      </w:r>
      <w:r w:rsidRPr="00BD6DF2" w:rsidR="00257329">
        <w:rPr>
          <w:rFonts w:ascii="宋体" w:eastAsia="宋体" w:hAnsi="宋体" w:cs="宋体"/>
          <w:szCs w:val="21"/>
          <w:u w:val="single"/>
        </w:rPr>
        <w:t>2</w:t>
      </w:r>
      <w:r w:rsidRPr="00BD6DF2">
        <w:rPr>
          <w:rFonts w:ascii="宋体" w:eastAsia="宋体" w:hAnsi="宋体" w:cs="宋体" w:hint="eastAsia"/>
          <w:szCs w:val="21"/>
          <w:u w:val="single"/>
        </w:rPr>
        <w:t xml:space="preserve">  </w:t>
      </w:r>
      <w:r>
        <w:rPr>
          <w:rFonts w:ascii="宋体" w:eastAsia="宋体" w:hAnsi="宋体" w:cs="宋体" w:hint="eastAsia"/>
          <w:szCs w:val="21"/>
        </w:rPr>
        <w:t>小时</w:t>
      </w:r>
      <w:r w:rsidR="00296BC8">
        <w:rPr>
          <w:rFonts w:ascii="宋体" w:eastAsia="宋体" w:hAnsi="宋体" w:cs="宋体" w:hint="eastAsia"/>
          <w:szCs w:val="21"/>
        </w:rPr>
        <w:t>或其他损失，乙方应当根据甲方核定的情况</w:t>
      </w:r>
      <w:r>
        <w:rPr>
          <w:rFonts w:ascii="宋体" w:eastAsia="宋体" w:hAnsi="宋体" w:cs="宋体" w:hint="eastAsia"/>
          <w:szCs w:val="21"/>
        </w:rPr>
        <w:t>承担责任并赔偿全部损失</w:t>
      </w:r>
      <w:r w:rsidR="00296BC8">
        <w:rPr>
          <w:rFonts w:ascii="宋体" w:eastAsia="宋体" w:hAnsi="宋体" w:cs="宋体" w:hint="eastAsia"/>
          <w:szCs w:val="21"/>
        </w:rPr>
        <w:t>。</w:t>
      </w:r>
    </w:p>
    <w:p w:rsidR="004161F4" w:rsidP="00BC3598">
      <w:pPr>
        <w:numPr>
          <w:ilvl w:val="0"/>
          <w:numId w:val="49"/>
        </w:numPr>
        <w:spacing w:line="360" w:lineRule="auto"/>
        <w:ind w:left="0" w:firstLine="420" w:firstLineChars="200"/>
        <w:rPr>
          <w:rFonts w:ascii="宋体" w:eastAsia="宋体" w:hAnsi="宋体" w:cs="宋体"/>
          <w:szCs w:val="21"/>
        </w:rPr>
      </w:pPr>
      <w:r>
        <w:rPr>
          <w:rFonts w:ascii="宋体" w:eastAsia="宋体" w:hAnsi="宋体" w:cs="宋体" w:hint="eastAsia"/>
          <w:szCs w:val="21"/>
        </w:rPr>
        <w:t>超出质量保证期后，乙方应向甲方提供响应时间在</w:t>
      </w:r>
      <w:r>
        <w:rPr>
          <w:rFonts w:ascii="宋体" w:eastAsia="宋体" w:hAnsi="宋体" w:cs="宋体" w:hint="eastAsia"/>
          <w:szCs w:val="21"/>
          <w:u w:val="single"/>
        </w:rPr>
        <w:t xml:space="preserve">     </w:t>
      </w:r>
      <w:r>
        <w:rPr>
          <w:rFonts w:ascii="宋体" w:eastAsia="宋体" w:hAnsi="宋体" w:cs="宋体" w:hint="eastAsia"/>
          <w:szCs w:val="21"/>
        </w:rPr>
        <w:t>内的技术支持服务，保证甲方可以随时找到相应的技术人员，如有必要，要在</w:t>
      </w:r>
      <w:r>
        <w:rPr>
          <w:rFonts w:ascii="宋体" w:eastAsia="宋体" w:hAnsi="宋体" w:cs="宋体" w:hint="eastAsia"/>
          <w:szCs w:val="21"/>
          <w:u w:val="single"/>
        </w:rPr>
        <w:t xml:space="preserve">     </w:t>
      </w:r>
      <w:r>
        <w:rPr>
          <w:rFonts w:ascii="宋体" w:eastAsia="宋体" w:hAnsi="宋体" w:cs="宋体" w:hint="eastAsia"/>
          <w:szCs w:val="21"/>
        </w:rPr>
        <w:t>小时之内赶到现场予以技术支持。若发生实质性需求变更，或需要乙方提供技术维护和指导的，乙方承诺以材料及人工的成本价格向甲方提供系统修改、升级及其他运维服务。</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2" w:name="_Toc150439612"/>
      <w:r>
        <w:rPr>
          <w:rFonts w:ascii="宋体" w:eastAsia="宋体" w:hAnsi="宋体" w:cs="宋体" w:hint="eastAsia"/>
          <w:b/>
          <w:bCs/>
          <w:szCs w:val="21"/>
        </w:rPr>
        <w:t>保密条款（保密协议）</w:t>
      </w:r>
      <w:bookmarkEnd w:id="82"/>
    </w:p>
    <w:p w:rsidR="004161F4">
      <w:pPr>
        <w:ind w:firstLine="420" w:firstLineChars="200"/>
        <w:rPr>
          <w:rFonts w:ascii="宋体" w:eastAsia="宋体" w:hAnsi="宋体" w:cs="宋体"/>
          <w:szCs w:val="21"/>
        </w:rPr>
      </w:pPr>
      <w:r>
        <w:rPr>
          <w:rFonts w:ascii="宋体" w:eastAsia="宋体" w:hAnsi="宋体" w:cs="宋体" w:hint="eastAsia"/>
          <w:szCs w:val="21"/>
        </w:rPr>
        <w:t>甲方因履行本合同应遵守的保密义务如下：</w:t>
      </w:r>
    </w:p>
    <w:p w:rsidR="004161F4" w:rsidP="00117494">
      <w:pPr>
        <w:numPr>
          <w:ilvl w:val="0"/>
          <w:numId w:val="50"/>
        </w:numPr>
        <w:spacing w:line="360" w:lineRule="auto"/>
        <w:ind w:left="0" w:firstLine="420" w:firstLineChars="200"/>
        <w:rPr>
          <w:rFonts w:ascii="宋体" w:eastAsia="宋体" w:hAnsi="宋体" w:cs="宋体"/>
          <w:szCs w:val="21"/>
        </w:rPr>
      </w:pPr>
      <w:bookmarkStart w:id="83" w:name="_Hlk150343297"/>
      <w:r>
        <w:rPr>
          <w:rFonts w:ascii="宋体" w:eastAsia="宋体" w:hAnsi="宋体" w:cs="宋体" w:hint="eastAsia"/>
          <w:szCs w:val="21"/>
        </w:rPr>
        <w:t xml:space="preserve">保密内容（包括技术信息和经营信息）: </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w:t>
      </w:r>
    </w:p>
    <w:p w:rsidR="004161F4" w:rsidP="00117494">
      <w:pPr>
        <w:numPr>
          <w:ilvl w:val="0"/>
          <w:numId w:val="50"/>
        </w:numPr>
        <w:spacing w:line="360" w:lineRule="auto"/>
        <w:ind w:left="0"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                                              ；</w:t>
      </w:r>
    </w:p>
    <w:p w:rsidR="004161F4" w:rsidP="00117494">
      <w:pPr>
        <w:numPr>
          <w:ilvl w:val="0"/>
          <w:numId w:val="50"/>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rPr>
        <w:t>保密期限：</w:t>
      </w:r>
      <w:r>
        <w:rPr>
          <w:rFonts w:ascii="宋体" w:eastAsia="宋体" w:hAnsi="宋体" w:cs="宋体" w:hint="eastAsia"/>
          <w:szCs w:val="21"/>
          <w:u w:val="single"/>
        </w:rPr>
        <w:t xml:space="preserve">                                                 ；</w:t>
      </w:r>
    </w:p>
    <w:p w:rsidR="004161F4" w:rsidP="00117494">
      <w:pPr>
        <w:numPr>
          <w:ilvl w:val="0"/>
          <w:numId w:val="50"/>
        </w:numPr>
        <w:spacing w:line="360" w:lineRule="auto"/>
        <w:ind w:left="0" w:firstLine="420" w:firstLineChars="200"/>
        <w:rPr>
          <w:rFonts w:ascii="宋体" w:eastAsia="宋体" w:hAnsi="宋体" w:cs="宋体"/>
          <w:szCs w:val="21"/>
        </w:rPr>
      </w:pPr>
      <w:r>
        <w:rPr>
          <w:rFonts w:ascii="宋体" w:eastAsia="宋体" w:hAnsi="宋体" w:cs="宋体" w:hint="eastAsia"/>
          <w:szCs w:val="21"/>
        </w:rPr>
        <w:t>泄密责任：</w:t>
      </w:r>
      <w:r>
        <w:rPr>
          <w:rFonts w:ascii="宋体" w:eastAsia="宋体" w:hAnsi="宋体" w:cs="宋体" w:hint="eastAsia"/>
          <w:szCs w:val="21"/>
          <w:u w:val="single"/>
        </w:rPr>
        <w:t xml:space="preserve">                                                 。</w:t>
      </w:r>
    </w:p>
    <w:bookmarkEnd w:id="83"/>
    <w:p w:rsidR="004161F4">
      <w:pPr>
        <w:ind w:firstLine="420" w:firstLineChars="200"/>
        <w:rPr>
          <w:rFonts w:ascii="宋体" w:eastAsia="宋体" w:hAnsi="宋体" w:cs="宋体"/>
          <w:szCs w:val="21"/>
        </w:rPr>
      </w:pPr>
      <w:r>
        <w:rPr>
          <w:rFonts w:ascii="宋体" w:eastAsia="宋体" w:hAnsi="宋体" w:cs="宋体" w:hint="eastAsia"/>
          <w:szCs w:val="21"/>
        </w:rPr>
        <w:t>乙方因履行本合同应遵守的保密义务如下：</w:t>
      </w:r>
    </w:p>
    <w:p w:rsidR="004161F4" w:rsidP="00451896">
      <w:pPr>
        <w:numPr>
          <w:ilvl w:val="0"/>
          <w:numId w:val="51"/>
        </w:numPr>
        <w:spacing w:line="360" w:lineRule="auto"/>
        <w:ind w:left="0" w:firstLine="420" w:firstLineChars="200"/>
        <w:rPr>
          <w:rFonts w:ascii="宋体" w:eastAsia="宋体" w:hAnsi="宋体" w:cs="宋体"/>
          <w:szCs w:val="21"/>
        </w:rPr>
      </w:pPr>
      <w:r>
        <w:rPr>
          <w:rFonts w:ascii="宋体" w:eastAsia="宋体" w:hAnsi="宋体" w:cs="宋体" w:hint="eastAsia"/>
          <w:szCs w:val="21"/>
        </w:rPr>
        <w:t>保密内容（包括技术信息和经营信息）：</w:t>
      </w:r>
    </w:p>
    <w:p w:rsidR="004161F4" w:rsidP="00451896">
      <w:pPr>
        <w:numPr>
          <w:ilvl w:val="0"/>
          <w:numId w:val="52"/>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 xml:space="preserve">乙方必须实施防止数据泄露的措施。乙方在对甲方进行系统实施服务过程中，对所取得的甲方资料、数据等应严格保密，不得外泄。                                                                     </w:t>
      </w:r>
    </w:p>
    <w:p w:rsidR="004161F4" w:rsidP="00451896">
      <w:pPr>
        <w:numPr>
          <w:ilvl w:val="0"/>
          <w:numId w:val="52"/>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乙方按照投标承诺严格执行内控、保密管理制度。在本项目实施过程中产生的任何文档</w:t>
      </w:r>
      <w:r>
        <w:rPr>
          <w:rFonts w:ascii="宋体" w:eastAsia="宋体" w:hAnsi="宋体" w:cs="宋体" w:hint="eastAsia"/>
          <w:szCs w:val="21"/>
          <w:u w:val="single"/>
        </w:rPr>
        <w:t>资料，包括但不限于</w:t>
      </w:r>
      <w:r w:rsidR="00096999">
        <w:rPr>
          <w:rFonts w:ascii="宋体" w:eastAsia="宋体" w:hAnsi="宋体" w:cs="宋体" w:hint="eastAsia"/>
          <w:szCs w:val="21"/>
          <w:u w:val="single"/>
        </w:rPr>
        <w:t>本合同内容、</w:t>
      </w:r>
      <w:r>
        <w:rPr>
          <w:rFonts w:ascii="宋体" w:eastAsia="宋体" w:hAnsi="宋体" w:cs="宋体" w:hint="eastAsia"/>
          <w:szCs w:val="21"/>
          <w:u w:val="single"/>
        </w:rPr>
        <w:t>来往信函、邮件、产品信息</w:t>
      </w:r>
      <w:r w:rsidR="00096999">
        <w:rPr>
          <w:rFonts w:ascii="宋体" w:eastAsia="宋体" w:hAnsi="宋体" w:cs="宋体" w:hint="eastAsia"/>
          <w:szCs w:val="21"/>
          <w:u w:val="single"/>
        </w:rPr>
        <w:t>等</w:t>
      </w:r>
      <w:r>
        <w:rPr>
          <w:rFonts w:ascii="宋体" w:eastAsia="宋体" w:hAnsi="宋体" w:cs="宋体" w:hint="eastAsia"/>
          <w:szCs w:val="21"/>
          <w:u w:val="single"/>
        </w:rPr>
        <w:t xml:space="preserve">，均应保密，乙方应采取严格的保密措施，未经甲方书面许可，不得向第三方透露。                                         </w:t>
      </w:r>
    </w:p>
    <w:p w:rsidR="004161F4" w:rsidP="00451896">
      <w:pPr>
        <w:numPr>
          <w:ilvl w:val="0"/>
          <w:numId w:val="52"/>
        </w:numPr>
        <w:spacing w:line="360" w:lineRule="auto"/>
        <w:ind w:left="0" w:firstLine="420"/>
        <w:rPr>
          <w:rFonts w:ascii="宋体" w:eastAsia="宋体" w:hAnsi="宋体" w:cs="宋体"/>
          <w:szCs w:val="21"/>
          <w:u w:val="single"/>
        </w:rPr>
      </w:pPr>
      <w:r>
        <w:rPr>
          <w:rFonts w:ascii="宋体" w:eastAsia="宋体" w:hAnsi="宋体" w:cs="宋体" w:hint="eastAsia"/>
          <w:szCs w:val="21"/>
          <w:u w:val="single"/>
        </w:rPr>
        <w:t xml:space="preserve">涉及国家秘密和安全的 ，依照有关保密规定执行。                          </w:t>
      </w:r>
    </w:p>
    <w:p w:rsidR="004161F4" w:rsidP="00451896">
      <w:pPr>
        <w:numPr>
          <w:ilvl w:val="0"/>
          <w:numId w:val="51"/>
        </w:numPr>
        <w:spacing w:line="360" w:lineRule="auto"/>
        <w:ind w:left="0" w:firstLine="420" w:firstLineChars="200"/>
        <w:rPr>
          <w:rFonts w:ascii="宋体" w:eastAsia="宋体" w:hAnsi="宋体" w:cs="宋体"/>
          <w:szCs w:val="21"/>
        </w:rPr>
      </w:pPr>
      <w:r>
        <w:rPr>
          <w:rFonts w:ascii="宋体" w:eastAsia="宋体" w:hAnsi="宋体" w:cs="宋体" w:hint="eastAsia"/>
          <w:szCs w:val="21"/>
        </w:rPr>
        <w:t>涉密人员范围:</w:t>
      </w:r>
      <w:r>
        <w:rPr>
          <w:rFonts w:ascii="宋体" w:eastAsia="宋体" w:hAnsi="宋体" w:cs="宋体" w:hint="eastAsia"/>
          <w:szCs w:val="21"/>
          <w:u w:val="single"/>
        </w:rPr>
        <w:t xml:space="preserve">所有参与本项目人员。                                      </w:t>
      </w:r>
    </w:p>
    <w:p w:rsidR="004161F4" w:rsidP="00451896">
      <w:pPr>
        <w:numPr>
          <w:ilvl w:val="0"/>
          <w:numId w:val="51"/>
        </w:numPr>
        <w:spacing w:line="360" w:lineRule="auto"/>
        <w:ind w:left="0" w:firstLine="420" w:firstLineChars="200"/>
        <w:rPr>
          <w:rFonts w:ascii="宋体" w:eastAsia="宋体" w:hAnsi="宋体" w:cs="宋体"/>
          <w:szCs w:val="21"/>
        </w:rPr>
      </w:pPr>
      <w:r>
        <w:rPr>
          <w:rFonts w:ascii="宋体" w:eastAsia="宋体" w:hAnsi="宋体" w:cs="宋体" w:hint="eastAsia"/>
          <w:szCs w:val="21"/>
        </w:rPr>
        <w:t>保密期限：</w:t>
      </w:r>
      <w:bookmarkStart w:id="84" w:name="_Hlk150343509"/>
      <w:r>
        <w:rPr>
          <w:rFonts w:ascii="宋体" w:eastAsia="宋体" w:hAnsi="宋体" w:cs="宋体" w:hint="eastAsia"/>
          <w:szCs w:val="21"/>
          <w:u w:val="single"/>
        </w:rPr>
        <w:t xml:space="preserve">  </w:t>
      </w:r>
      <w:r w:rsidRPr="00A95F97" w:rsidR="00A95F97">
        <w:rPr>
          <w:rFonts w:ascii="宋体" w:eastAsia="宋体" w:hAnsi="宋体" w:cs="宋体" w:hint="eastAsia"/>
          <w:szCs w:val="21"/>
          <w:u w:val="single"/>
        </w:rPr>
        <w:t>本条规定持续有效，不因本合同终止或解除而失效</w:t>
      </w:r>
      <w:r>
        <w:rPr>
          <w:rFonts w:ascii="宋体" w:eastAsia="宋体" w:hAnsi="宋体" w:cs="宋体" w:hint="eastAsia"/>
          <w:szCs w:val="21"/>
          <w:u w:val="single"/>
        </w:rPr>
        <w:t xml:space="preserve">   </w:t>
      </w:r>
      <w:bookmarkEnd w:id="84"/>
      <w:r>
        <w:rPr>
          <w:rFonts w:ascii="宋体" w:eastAsia="宋体" w:hAnsi="宋体" w:cs="宋体" w:hint="eastAsia"/>
          <w:szCs w:val="21"/>
          <w:u w:val="single"/>
        </w:rPr>
        <w:t xml:space="preserve">            </w:t>
      </w:r>
    </w:p>
    <w:p w:rsidR="004161F4" w:rsidP="00451896">
      <w:pPr>
        <w:numPr>
          <w:ilvl w:val="0"/>
          <w:numId w:val="51"/>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rPr>
        <w:t>泄密责任：</w:t>
      </w:r>
      <w:r>
        <w:rPr>
          <w:rFonts w:ascii="宋体" w:eastAsia="宋体" w:hAnsi="宋体" w:cs="宋体" w:hint="eastAsia"/>
          <w:szCs w:val="21"/>
          <w:u w:val="single"/>
        </w:rPr>
        <w:t xml:space="preserve">由于乙方泄密给甲方造成损失的，甲方可依据我国法律相关规定，选择移送司法机关依法办理。乙方应赔偿甲方的全部损失并向甲方承担违约责任。           </w:t>
      </w:r>
    </w:p>
    <w:p w:rsidR="00A95F97" w:rsidRPr="00A95F97" w:rsidP="00451896">
      <w:pPr>
        <w:ind w:firstLine="420" w:firstLineChars="200"/>
        <w:rPr>
          <w:rFonts w:ascii="宋体" w:eastAsia="宋体" w:hAnsi="宋体" w:cs="宋体"/>
          <w:color w:val="000000"/>
          <w:szCs w:val="21"/>
        </w:rPr>
      </w:pPr>
      <w:r w:rsidRPr="00A95F97">
        <w:rPr>
          <w:rFonts w:ascii="宋体" w:eastAsia="宋体" w:hAnsi="宋体" w:cs="宋体" w:hint="eastAsia"/>
          <w:color w:val="000000"/>
          <w:szCs w:val="21"/>
        </w:rPr>
        <w:t>乙方应当采取相应的安全措施以遵守和履行上述条款所规定的保密义务。甲方有权随时检查乙方所采取的安全措施是否符合上述规定的义务</w:t>
      </w:r>
      <w:r>
        <w:rPr>
          <w:rFonts w:ascii="宋体" w:eastAsia="宋体" w:hAnsi="宋体" w:cs="宋体" w:hint="eastAsia"/>
          <w:color w:val="000000"/>
          <w:szCs w:val="21"/>
        </w:rPr>
        <w:t>。</w:t>
      </w:r>
    </w:p>
    <w:p w:rsidR="004161F4" w:rsidP="00451896">
      <w:pPr>
        <w:ind w:firstLine="420" w:firstLineChars="200"/>
        <w:rPr>
          <w:rFonts w:ascii="宋体" w:eastAsia="宋体" w:hAnsi="宋体" w:cs="宋体"/>
          <w:szCs w:val="21"/>
        </w:rPr>
      </w:pPr>
      <w:r w:rsidRPr="00A95F97">
        <w:rPr>
          <w:rFonts w:ascii="宋体" w:eastAsia="宋体" w:hAnsi="宋体" w:cs="宋体" w:hint="eastAsia"/>
          <w:color w:val="000000"/>
          <w:szCs w:val="21"/>
        </w:rPr>
        <w:t>本合同的解除或终止</w:t>
      </w:r>
      <w:r w:rsidRPr="00A95F97">
        <w:rPr>
          <w:rFonts w:ascii="宋体" w:eastAsia="宋体" w:hAnsi="宋体" w:cs="宋体" w:hint="eastAsia"/>
          <w:color w:val="000000"/>
          <w:szCs w:val="21"/>
        </w:rPr>
        <w:t>不</w:t>
      </w:r>
      <w:r w:rsidRPr="00A95F97">
        <w:rPr>
          <w:rFonts w:ascii="宋体" w:eastAsia="宋体" w:hAnsi="宋体" w:cs="宋体" w:hint="eastAsia"/>
          <w:color w:val="000000"/>
          <w:szCs w:val="21"/>
        </w:rPr>
        <w:t>免除乙方应承担的保密义务，未经过甲方书面同意，乙方不得向任何第三方透露。</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5" w:name="_Toc150439618"/>
      <w:r>
        <w:rPr>
          <w:rFonts w:ascii="宋体" w:eastAsia="宋体" w:hAnsi="宋体" w:cs="宋体" w:hint="eastAsia"/>
          <w:b/>
          <w:bCs/>
          <w:szCs w:val="21"/>
        </w:rPr>
        <w:t>违约</w:t>
      </w:r>
      <w:r>
        <w:rPr>
          <w:rFonts w:ascii="宋体" w:eastAsia="宋体" w:hAnsi="宋体" w:cs="宋体"/>
          <w:b/>
          <w:bCs/>
          <w:szCs w:val="21"/>
        </w:rPr>
        <w:t>责任及赔偿</w:t>
      </w:r>
      <w:bookmarkEnd w:id="85"/>
    </w:p>
    <w:p w:rsidR="007501C7" w:rsidRPr="007501C7" w:rsidP="00451896">
      <w:pPr>
        <w:ind w:firstLine="420" w:firstLineChars="200"/>
        <w:rPr>
          <w:rFonts w:ascii="宋体" w:eastAsia="宋体" w:hAnsi="宋体" w:cs="宋体"/>
          <w:szCs w:val="21"/>
        </w:rPr>
      </w:pPr>
      <w:r w:rsidRPr="007501C7">
        <w:rPr>
          <w:rFonts w:ascii="宋体" w:eastAsia="宋体" w:hAnsi="宋体" w:cs="宋体" w:hint="eastAsia"/>
          <w:szCs w:val="21"/>
        </w:rPr>
        <w:t>任何一方违反本合同约定，造成研究开发工作停滞、延误或失败的，按以下约定承担违约责任：</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如乙方未能按期交付符合本合同约定的开发成果（包括测试版本及正式版本）的，每逾期一日，乙方应支付本合同开发费用总额【  】%的违约金，并继续履行本合同规定的义务；逾期【  】日以上的，甲方有权单方解除本合同，且乙方全额返还甲方已付款，并按合同总额的【  】%向甲方承担违约责任。确属因甲方原因导致乙方不能按期完成的，经甲方书面确认后，乙方开发期限可以相应顺延。</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乙方未按确认的计划进度实施研究开发工作的，甲方有权要求其实施研究开发计划并采取补救措施。乙方逾期【  】</w:t>
      </w:r>
      <w:r w:rsidRPr="007501C7">
        <w:rPr>
          <w:rFonts w:ascii="宋体" w:eastAsia="宋体" w:hAnsi="宋体" w:cs="宋体" w:hint="eastAsia"/>
          <w:szCs w:val="21"/>
        </w:rPr>
        <w:t>个</w:t>
      </w:r>
      <w:r w:rsidRPr="007501C7">
        <w:rPr>
          <w:rFonts w:ascii="宋体" w:eastAsia="宋体" w:hAnsi="宋体" w:cs="宋体" w:hint="eastAsia"/>
          <w:szCs w:val="21"/>
        </w:rPr>
        <w:t>月不实施研究开发计划的，甲方有权解除本合同。乙方应当支付数额为本项目开发费用总额【  】％的违约金。</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本系统软件的研究开发成果经甲方或者甲方聘请的第三方验收确认为部分或者全部不符合本合同约定条件标准的，乙方应当返还部分或者全部研究开发经费，并支付数额为本项目开发费用总额【  】%的违约金。</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如乙方交付的软件系统，经甲方试运行【  】天内不能通过交工验收的，视为乙方不能交付符合本合同约定的技术成果，甲方有权单方解除本合同，乙方除全额返还甲方已付款外，并按合同金额的【  】%向甲方承担违约责任。</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因乙方原因导致合同解除或者合同终止的，乙方除需全部退还甲方已付款项外，还需向甲方支付本合同约定金额【】%违约金，且甲方有权要求乙方赔偿因此给甲方造成的全部损失。</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在执行本合同过程中，乙方违反本合同之约定，均为违约。除本合同另有约定外，经甲</w:t>
      </w:r>
      <w:r w:rsidRPr="007501C7">
        <w:rPr>
          <w:rFonts w:ascii="宋体" w:eastAsia="宋体" w:hAnsi="宋体" w:cs="宋体" w:hint="eastAsia"/>
          <w:szCs w:val="21"/>
        </w:rPr>
        <w:t>方书面催告后【  】日内仍拒绝履行或拒绝改正完毕的，甲方有权单方解除本合同，乙方除向甲方支付相当于合同金额的【  】%的违约金，还须承担甲方为取得此等赔偿而支出的所有费用损失，包括但不限于甲方直接的经济投入、甲方由此遭受第三方的处罚、因调查取证或提请仲裁而产生的仲裁费、诉讼费、律师费、差旅费等仲裁诉讼费用。</w:t>
      </w:r>
    </w:p>
    <w:p w:rsidR="007501C7" w:rsidRPr="007501C7"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乙方执行本合同过程中，由于自然因素、人为因素、技术漏洞或管理缺陷产生的对气象部门的伤害或损失，不包含资金风险，乙方承担相应的法律责任。</w:t>
      </w:r>
    </w:p>
    <w:p w:rsidR="004161F4" w:rsidP="00451896">
      <w:pPr>
        <w:numPr>
          <w:ilvl w:val="0"/>
          <w:numId w:val="53"/>
        </w:numPr>
        <w:adjustRightInd w:val="0"/>
        <w:spacing w:line="360" w:lineRule="auto"/>
        <w:ind w:left="0" w:firstLine="424" w:firstLineChars="202"/>
        <w:textAlignment w:val="baseline"/>
        <w:rPr>
          <w:rFonts w:ascii="宋体" w:eastAsia="宋体" w:hAnsi="宋体" w:cs="宋体"/>
          <w:szCs w:val="21"/>
        </w:rPr>
      </w:pPr>
      <w:r w:rsidRPr="007501C7">
        <w:rPr>
          <w:rFonts w:ascii="宋体" w:eastAsia="宋体" w:hAnsi="宋体" w:cs="宋体" w:hint="eastAsia"/>
          <w:szCs w:val="21"/>
        </w:rPr>
        <w:t>乙方有关资质在合同执行完毕之前到期的，应确保该资质有效期得到延长至合同执行完毕之后，或者取得有效期至执行合同完毕之后的更高等级的该资质，否则甲方有权中止合同，并追究乙方的责任</w:t>
      </w:r>
      <w:r w:rsidR="00296BC8">
        <w:rPr>
          <w:rFonts w:ascii="宋体" w:eastAsia="宋体" w:hAnsi="宋体" w:cs="宋体" w:hint="eastAsia"/>
          <w:szCs w:val="21"/>
        </w:rPr>
        <w:t>。</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6" w:name="_Toc150439619"/>
      <w:r>
        <w:rPr>
          <w:rFonts w:ascii="宋体" w:eastAsia="宋体" w:hAnsi="宋体" w:cs="宋体" w:hint="eastAsia"/>
          <w:b/>
          <w:bCs/>
          <w:szCs w:val="21"/>
        </w:rPr>
        <w:t>争议的解决</w:t>
      </w:r>
      <w:bookmarkEnd w:id="86"/>
    </w:p>
    <w:p w:rsidR="004161F4" w:rsidP="00451896">
      <w:pPr>
        <w:spacing w:line="360" w:lineRule="auto"/>
        <w:ind w:firstLine="424" w:firstLineChars="202"/>
        <w:rPr>
          <w:rFonts w:ascii="宋体" w:eastAsia="宋体" w:hAnsi="宋体" w:cs="宋体"/>
          <w:szCs w:val="21"/>
        </w:rPr>
      </w:pPr>
      <w:r w:rsidRPr="00241977">
        <w:rPr>
          <w:rFonts w:ascii="宋体" w:eastAsia="宋体" w:hAnsi="宋体" w:cs="宋体" w:hint="eastAsia"/>
          <w:szCs w:val="21"/>
        </w:rPr>
        <w:t>双方因履行本合同而发生的争议，应协商、调解解决。协商、调解不成的，均应提交北京仲裁委员会，依据该委现行有效的仲裁规则在北京提起仲裁，仲裁采用简易程序，独任仲裁员由仲裁委指定，仲裁裁决为终局的，对双方均有约束力</w:t>
      </w:r>
      <w:r w:rsidR="00296BC8">
        <w:rPr>
          <w:rFonts w:ascii="宋体" w:eastAsia="宋体" w:hAnsi="宋体" w:cs="宋体" w:hint="eastAsia"/>
          <w:szCs w:val="21"/>
        </w:rPr>
        <w:t>。</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7" w:name="_Toc150439621"/>
      <w:r>
        <w:rPr>
          <w:rFonts w:ascii="宋体" w:eastAsia="宋体" w:hAnsi="宋体" w:cs="宋体" w:hint="eastAsia"/>
          <w:b/>
          <w:bCs/>
          <w:szCs w:val="21"/>
        </w:rPr>
        <w:t>不可抗力</w:t>
      </w:r>
      <w:bookmarkEnd w:id="87"/>
    </w:p>
    <w:p w:rsidR="004161F4" w:rsidP="00451896">
      <w:pPr>
        <w:numPr>
          <w:ilvl w:val="0"/>
          <w:numId w:val="54"/>
        </w:numPr>
        <w:spacing w:line="360" w:lineRule="auto"/>
        <w:ind w:left="0" w:firstLine="420" w:firstLineChars="200"/>
        <w:rPr>
          <w:rFonts w:ascii="宋体" w:eastAsia="宋体" w:hAnsi="宋体" w:cs="宋体"/>
          <w:szCs w:val="21"/>
        </w:rPr>
      </w:pPr>
      <w:r>
        <w:rPr>
          <w:rFonts w:ascii="宋体" w:eastAsia="宋体" w:hAnsi="宋体" w:cs="宋体" w:hint="eastAsia"/>
          <w:szCs w:val="21"/>
        </w:rPr>
        <w:t>在本合同履行中，因出现在现有技术水平和条件下难以克服的技术困难，双方确定，本合同项目的技术风险按</w:t>
      </w:r>
      <w:r>
        <w:rPr>
          <w:rFonts w:ascii="宋体" w:eastAsia="宋体" w:hAnsi="宋体" w:cs="宋体" w:hint="eastAsia"/>
          <w:szCs w:val="21"/>
          <w:u w:val="single"/>
        </w:rPr>
        <w:t xml:space="preserve">               </w:t>
      </w:r>
      <w:r>
        <w:rPr>
          <w:rFonts w:ascii="宋体" w:eastAsia="宋体" w:hAnsi="宋体" w:cs="宋体" w:hint="eastAsia"/>
          <w:szCs w:val="21"/>
        </w:rPr>
        <w:t>的方式认定。认定技术风险的基本内容应当包括技术风险的存在、范围、程度及损失大小等。认定技术风险的基本条件是：</w:t>
      </w:r>
    </w:p>
    <w:p w:rsidR="004161F4" w:rsidP="00451896">
      <w:pPr>
        <w:numPr>
          <w:ilvl w:val="0"/>
          <w:numId w:val="55"/>
        </w:numPr>
        <w:spacing w:line="360" w:lineRule="auto"/>
        <w:ind w:left="0" w:firstLine="426"/>
        <w:rPr>
          <w:rFonts w:ascii="宋体" w:eastAsia="宋体" w:hAnsi="宋体" w:cs="宋体"/>
          <w:szCs w:val="21"/>
        </w:rPr>
      </w:pPr>
      <w:r>
        <w:rPr>
          <w:rFonts w:ascii="宋体" w:eastAsia="宋体" w:hAnsi="宋体" w:cs="宋体" w:hint="eastAsia"/>
          <w:szCs w:val="21"/>
        </w:rPr>
        <w:t>本合同项目在现有技术水平条件下具有足够的难度；</w:t>
      </w:r>
    </w:p>
    <w:p w:rsidR="004161F4" w:rsidP="00451896">
      <w:pPr>
        <w:numPr>
          <w:ilvl w:val="0"/>
          <w:numId w:val="55"/>
        </w:numPr>
        <w:spacing w:line="360" w:lineRule="auto"/>
        <w:ind w:left="0" w:firstLine="426"/>
        <w:rPr>
          <w:rFonts w:ascii="宋体" w:eastAsia="宋体" w:hAnsi="宋体" w:cs="宋体"/>
          <w:szCs w:val="21"/>
        </w:rPr>
      </w:pPr>
      <w:r>
        <w:rPr>
          <w:rFonts w:ascii="宋体" w:eastAsia="宋体" w:hAnsi="宋体" w:cs="宋体" w:hint="eastAsia"/>
          <w:szCs w:val="21"/>
        </w:rPr>
        <w:t>乙方在主观上无过错且经认定研究开发失败为合理的失败。</w:t>
      </w:r>
    </w:p>
    <w:p w:rsidR="004161F4" w:rsidP="00E67FAF">
      <w:pPr>
        <w:spacing w:line="360" w:lineRule="auto"/>
        <w:ind w:firstLine="420" w:firstLineChars="200"/>
        <w:rPr>
          <w:rFonts w:ascii="宋体" w:eastAsia="宋体" w:hAnsi="宋体" w:cs="宋体"/>
          <w:szCs w:val="21"/>
        </w:rPr>
      </w:pPr>
      <w:r>
        <w:rPr>
          <w:rFonts w:ascii="宋体" w:eastAsia="宋体" w:hAnsi="宋体" w:cs="宋体" w:hint="eastAsia"/>
          <w:szCs w:val="21"/>
        </w:rPr>
        <w:t>一方发现技术风险存在并有可能致使研究开发失败或部分失败的情形时，应当在</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u w:val="single"/>
        </w:rPr>
        <w:t xml:space="preserve">  </w:t>
      </w:r>
    </w:p>
    <w:p w:rsidR="004161F4" w:rsidP="00E67FAF">
      <w:pPr>
        <w:spacing w:line="360" w:lineRule="auto"/>
        <w:rPr>
          <w:rFonts w:ascii="宋体" w:eastAsia="宋体" w:hAnsi="宋体" w:cs="宋体"/>
          <w:szCs w:val="21"/>
        </w:rPr>
      </w:pPr>
      <w:r>
        <w:rPr>
          <w:rFonts w:ascii="宋体" w:eastAsia="宋体" w:hAnsi="宋体" w:cs="宋体" w:hint="eastAsia"/>
          <w:szCs w:val="21"/>
        </w:rPr>
        <w:t>日内通知另一方并采取适当措施减少损失。逾期未通知并未采取适当措施而致使损失扩大的，应当就扩大的损失承担赔偿责任。</w:t>
      </w:r>
    </w:p>
    <w:p w:rsidR="004161F4" w:rsidP="00451896">
      <w:pPr>
        <w:numPr>
          <w:ilvl w:val="0"/>
          <w:numId w:val="54"/>
        </w:numPr>
        <w:spacing w:line="360" w:lineRule="auto"/>
        <w:ind w:left="0" w:firstLine="420" w:firstLineChars="200"/>
        <w:rPr>
          <w:rFonts w:ascii="宋体" w:eastAsia="宋体" w:hAnsi="宋体" w:cs="宋体"/>
          <w:szCs w:val="21"/>
        </w:rPr>
      </w:pPr>
      <w:r>
        <w:rPr>
          <w:rFonts w:ascii="宋体" w:eastAsia="宋体" w:hAnsi="宋体" w:cs="宋体" w:hint="eastAsia"/>
          <w:szCs w:val="21"/>
        </w:rPr>
        <w:t>在本合同履行中，因作为研究开发标的技术已经由他人公开（包括以专利权方式公开），一方应在</w:t>
      </w:r>
      <w:r>
        <w:rPr>
          <w:rFonts w:ascii="宋体" w:eastAsia="宋体" w:hAnsi="宋体" w:cs="宋体" w:hint="eastAsia"/>
          <w:szCs w:val="21"/>
          <w:u w:val="single"/>
        </w:rPr>
        <w:t xml:space="preserve">      </w:t>
      </w:r>
      <w:r>
        <w:rPr>
          <w:rFonts w:ascii="宋体" w:eastAsia="宋体" w:hAnsi="宋体" w:cs="宋体" w:hint="eastAsia"/>
          <w:szCs w:val="21"/>
        </w:rPr>
        <w:t>日内通知另一方解除合同。逾期未通知并致使另一方产生损失的，另一方有权要求予以赔偿。</w:t>
      </w:r>
    </w:p>
    <w:p w:rsidR="004161F4" w:rsidP="00451896">
      <w:pPr>
        <w:numPr>
          <w:ilvl w:val="0"/>
          <w:numId w:val="54"/>
        </w:numPr>
        <w:spacing w:line="360" w:lineRule="auto"/>
        <w:ind w:left="0" w:firstLine="420" w:firstLineChars="200"/>
        <w:rPr>
          <w:rFonts w:ascii="宋体" w:eastAsia="宋体" w:hAnsi="宋体" w:cs="宋体"/>
          <w:szCs w:val="21"/>
        </w:rPr>
      </w:pPr>
      <w:r>
        <w:rPr>
          <w:rFonts w:ascii="宋体" w:eastAsia="宋体" w:hAnsi="宋体" w:cs="宋体" w:hint="eastAsia"/>
          <w:szCs w:val="21"/>
        </w:rPr>
        <w:t>双方确定出现下列情形，致使本合同的履行成为不必要或不可能的，一方可以通知另一方解除本合同；</w:t>
      </w:r>
    </w:p>
    <w:p w:rsidR="004161F4" w:rsidP="00451896">
      <w:pPr>
        <w:numPr>
          <w:ilvl w:val="0"/>
          <w:numId w:val="56"/>
        </w:numPr>
        <w:spacing w:line="360" w:lineRule="auto"/>
        <w:ind w:left="0" w:firstLine="424" w:firstLineChars="202"/>
        <w:rPr>
          <w:rFonts w:ascii="宋体" w:eastAsia="宋体" w:hAnsi="宋体" w:cs="宋体"/>
          <w:szCs w:val="21"/>
        </w:rPr>
      </w:pPr>
      <w:r>
        <w:rPr>
          <w:rFonts w:ascii="宋体" w:eastAsia="宋体" w:hAnsi="宋体" w:cs="宋体" w:hint="eastAsia"/>
          <w:szCs w:val="21"/>
        </w:rPr>
        <w:t>因发生不可抗力或技术风险；</w:t>
      </w:r>
    </w:p>
    <w:p w:rsidR="004161F4" w:rsidP="00451896">
      <w:pPr>
        <w:numPr>
          <w:ilvl w:val="0"/>
          <w:numId w:val="56"/>
        </w:numPr>
        <w:spacing w:line="360" w:lineRule="auto"/>
        <w:ind w:left="0" w:firstLine="424" w:firstLineChars="202"/>
        <w:rPr>
          <w:rFonts w:ascii="宋体" w:eastAsia="宋体" w:hAnsi="宋体" w:cs="宋体"/>
          <w:szCs w:val="21"/>
        </w:rPr>
      </w:pPr>
      <w:r>
        <w:rPr>
          <w:rFonts w:ascii="宋体" w:eastAsia="宋体" w:hAnsi="宋体" w:cs="宋体" w:hint="eastAsia"/>
          <w:szCs w:val="21"/>
        </w:rPr>
        <w:t>因一方未按约定履行合同义务支付款项的；</w:t>
      </w:r>
    </w:p>
    <w:p w:rsidR="004161F4" w:rsidP="00451896">
      <w:pPr>
        <w:numPr>
          <w:ilvl w:val="0"/>
          <w:numId w:val="56"/>
        </w:numPr>
        <w:spacing w:line="360" w:lineRule="auto"/>
        <w:ind w:left="0" w:firstLine="424" w:firstLineChars="202"/>
        <w:rPr>
          <w:rFonts w:ascii="宋体" w:eastAsia="宋体" w:hAnsi="宋体" w:cs="宋体"/>
          <w:szCs w:val="21"/>
        </w:rPr>
      </w:pPr>
      <w:r>
        <w:rPr>
          <w:rFonts w:ascii="宋体" w:eastAsia="宋体" w:hAnsi="宋体" w:cs="宋体" w:hint="eastAsia"/>
          <w:szCs w:val="21"/>
        </w:rPr>
        <w:t>因一方未按期完成合同约定的项目开发任务。</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8" w:name="_Toc150439624"/>
      <w:r>
        <w:rPr>
          <w:rFonts w:ascii="宋体" w:eastAsia="宋体" w:hAnsi="宋体" w:cs="宋体" w:hint="eastAsia"/>
          <w:b/>
          <w:bCs/>
          <w:szCs w:val="21"/>
        </w:rPr>
        <w:t>本合同的变更</w:t>
      </w:r>
      <w:bookmarkEnd w:id="88"/>
    </w:p>
    <w:p w:rsidR="004161F4" w:rsidP="00451896">
      <w:pPr>
        <w:numPr>
          <w:ilvl w:val="0"/>
          <w:numId w:val="57"/>
        </w:numPr>
        <w:spacing w:line="360" w:lineRule="auto"/>
        <w:ind w:left="0" w:firstLine="420" w:firstLineChars="200"/>
        <w:rPr>
          <w:rFonts w:ascii="宋体" w:eastAsia="宋体" w:hAnsi="宋体" w:cs="宋体"/>
          <w:szCs w:val="21"/>
        </w:rPr>
      </w:pPr>
      <w:r>
        <w:rPr>
          <w:rFonts w:ascii="宋体" w:eastAsia="宋体" w:hAnsi="宋体" w:cs="宋体" w:hint="eastAsia"/>
          <w:szCs w:val="21"/>
        </w:rPr>
        <w:t>合同一经签订，不得随意变更、调整、中止或终止。对确需变更、调整或者中止、终止合同的，应按规定履行相应的手续。</w:t>
      </w:r>
    </w:p>
    <w:p w:rsidR="004161F4" w:rsidP="00451896">
      <w:pPr>
        <w:numPr>
          <w:ilvl w:val="0"/>
          <w:numId w:val="57"/>
        </w:numPr>
        <w:spacing w:line="360" w:lineRule="auto"/>
        <w:ind w:left="0" w:firstLine="420" w:firstLineChars="200"/>
        <w:rPr>
          <w:rFonts w:ascii="宋体" w:eastAsia="宋体" w:hAnsi="宋体" w:cs="宋体"/>
          <w:szCs w:val="21"/>
          <w:u w:val="single"/>
        </w:rPr>
      </w:pPr>
      <w:r>
        <w:rPr>
          <w:rFonts w:ascii="宋体" w:eastAsia="宋体" w:hAnsi="宋体" w:cs="宋体" w:hint="eastAsia"/>
          <w:szCs w:val="21"/>
        </w:rPr>
        <w:t>本合同的变更必须由双方协商一致，并以书面形式确定。但有下列情形之一的，一方可以向另一方提出变更合同权利与义务的请求，另一方应当在</w:t>
      </w:r>
      <w:r>
        <w:rPr>
          <w:rFonts w:ascii="宋体" w:eastAsia="宋体" w:hAnsi="宋体" w:cs="宋体" w:hint="eastAsia"/>
          <w:szCs w:val="21"/>
          <w:u w:val="single"/>
        </w:rPr>
        <w:t xml:space="preserve">      </w:t>
      </w:r>
      <w:r>
        <w:rPr>
          <w:rFonts w:ascii="宋体" w:eastAsia="宋体" w:hAnsi="宋体" w:cs="宋体" w:hint="eastAsia"/>
          <w:szCs w:val="21"/>
        </w:rPr>
        <w:t>日内予以答复；逾期未予答复的，视为同意。</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89" w:name="_Toc150439623"/>
      <w:r>
        <w:rPr>
          <w:rFonts w:ascii="宋体" w:eastAsia="宋体" w:hAnsi="宋体" w:cs="宋体" w:hint="eastAsia"/>
          <w:b/>
          <w:bCs/>
          <w:szCs w:val="21"/>
        </w:rPr>
        <w:t>其它</w:t>
      </w:r>
      <w:bookmarkEnd w:id="89"/>
    </w:p>
    <w:p w:rsidR="004161F4" w:rsidP="00451896">
      <w:pPr>
        <w:ind w:firstLine="424" w:firstLineChars="202"/>
        <w:rPr>
          <w:rFonts w:ascii="宋体" w:eastAsia="宋体" w:hAnsi="宋体" w:cs="宋体"/>
          <w:szCs w:val="21"/>
        </w:rPr>
      </w:pPr>
      <w:r>
        <w:rPr>
          <w:rFonts w:ascii="宋体" w:eastAsia="宋体" w:hAnsi="宋体" w:cs="宋体" w:hint="eastAsia"/>
          <w:szCs w:val="21"/>
        </w:rPr>
        <w:t>本合同未尽事宜，由双方协商后按有关程序办理，并以书面形式进行确定。</w:t>
      </w:r>
    </w:p>
    <w:p w:rsidR="004161F4" w:rsidP="00BC3598">
      <w:pPr>
        <w:keepNext/>
        <w:keepLines/>
        <w:numPr>
          <w:ilvl w:val="0"/>
          <w:numId w:val="19"/>
        </w:numPr>
        <w:spacing w:before="60" w:after="60" w:line="360" w:lineRule="auto"/>
        <w:outlineLvl w:val="1"/>
        <w:rPr>
          <w:rFonts w:ascii="宋体" w:eastAsia="宋体" w:hAnsi="宋体" w:cs="宋体"/>
          <w:b/>
          <w:bCs/>
          <w:szCs w:val="21"/>
        </w:rPr>
      </w:pPr>
      <w:bookmarkStart w:id="90" w:name="_Toc150439626"/>
      <w:r>
        <w:rPr>
          <w:rFonts w:ascii="宋体" w:eastAsia="宋体" w:hAnsi="宋体" w:cs="宋体" w:hint="eastAsia"/>
          <w:b/>
          <w:bCs/>
          <w:szCs w:val="21"/>
        </w:rPr>
        <w:t>合同生效</w:t>
      </w:r>
      <w:bookmarkEnd w:id="90"/>
    </w:p>
    <w:p w:rsidR="004161F4" w:rsidP="00451896">
      <w:pPr>
        <w:numPr>
          <w:ilvl w:val="0"/>
          <w:numId w:val="58"/>
        </w:numPr>
        <w:spacing w:line="360" w:lineRule="auto"/>
        <w:ind w:left="0" w:firstLine="420" w:firstLineChars="200"/>
        <w:rPr>
          <w:rFonts w:ascii="宋体" w:eastAsia="宋体" w:hAnsi="宋体" w:cs="宋体"/>
          <w:szCs w:val="21"/>
        </w:rPr>
      </w:pPr>
      <w:r>
        <w:rPr>
          <w:rFonts w:ascii="宋体" w:eastAsia="宋体" w:hAnsi="宋体" w:cs="宋体" w:hint="eastAsia"/>
          <w:szCs w:val="21"/>
        </w:rPr>
        <w:t>本合同经双方法定代表人或授权代表签字盖章后生效，</w:t>
      </w:r>
      <w:r>
        <w:rPr>
          <w:rFonts w:ascii="宋体" w:eastAsia="宋体" w:hAnsi="宋体" w:cs="宋体" w:hint="eastAsia"/>
          <w:szCs w:val="21"/>
        </w:rPr>
        <w:t>至</w:t>
      </w:r>
      <w:r w:rsidRPr="00166FE2" w:rsidR="00EE3109">
        <w:rPr>
          <w:rFonts w:ascii="宋体" w:eastAsia="宋体" w:hAnsi="宋体" w:cs="宋体" w:hint="eastAsia"/>
          <w:szCs w:val="21"/>
          <w:u w:val="single"/>
        </w:rPr>
        <w:t>运行</w:t>
      </w:r>
      <w:r w:rsidRPr="00166FE2" w:rsidR="00EE3109">
        <w:rPr>
          <w:rFonts w:ascii="宋体" w:eastAsia="宋体" w:hAnsi="宋体" w:cs="宋体" w:hint="eastAsia"/>
          <w:szCs w:val="21"/>
          <w:u w:val="single"/>
        </w:rPr>
        <w:t>维护</w:t>
      </w:r>
      <w:r w:rsidR="00EE3109">
        <w:rPr>
          <w:rFonts w:ascii="宋体" w:eastAsia="宋体" w:hAnsi="宋体" w:cs="宋体" w:hint="eastAsia"/>
          <w:szCs w:val="21"/>
          <w:u w:val="single"/>
        </w:rPr>
        <w:t>期</w:t>
      </w:r>
      <w:r>
        <w:rPr>
          <w:rFonts w:ascii="宋体" w:eastAsia="宋体" w:hAnsi="宋体" w:cs="宋体" w:hint="eastAsia"/>
          <w:szCs w:val="21"/>
        </w:rPr>
        <w:t>结束终止。</w:t>
      </w:r>
    </w:p>
    <w:p w:rsidR="004161F4" w:rsidP="00451896">
      <w:pPr>
        <w:numPr>
          <w:ilvl w:val="0"/>
          <w:numId w:val="58"/>
        </w:numPr>
        <w:spacing w:line="360" w:lineRule="auto"/>
        <w:ind w:left="0" w:firstLine="420" w:firstLineChars="200"/>
        <w:rPr>
          <w:rFonts w:ascii="宋体" w:eastAsia="宋体" w:hAnsi="宋体" w:cs="宋体"/>
          <w:szCs w:val="21"/>
        </w:rPr>
      </w:pPr>
      <w:r>
        <w:rPr>
          <w:rFonts w:ascii="宋体" w:eastAsia="宋体" w:hAnsi="宋体" w:cs="宋体" w:hint="eastAsia"/>
          <w:szCs w:val="21"/>
        </w:rPr>
        <w:t>本合同一式</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份，双方各执</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份，具有同等法律效力。</w:t>
      </w:r>
    </w:p>
    <w:p w:rsidR="00451896" w:rsidP="00451896">
      <w:pPr>
        <w:spacing w:line="360" w:lineRule="auto"/>
        <w:ind w:firstLine="420" w:firstLineChars="200"/>
        <w:jc w:val="left"/>
        <w:rPr>
          <w:rFonts w:ascii="宋体" w:eastAsia="宋体" w:hAnsi="宋体" w:cs="宋体"/>
          <w:szCs w:val="21"/>
        </w:rPr>
      </w:pPr>
    </w:p>
    <w:p w:rsidR="00451896" w:rsidP="00451896">
      <w:pPr>
        <w:spacing w:line="360" w:lineRule="auto"/>
        <w:ind w:firstLine="420" w:firstLineChars="200"/>
        <w:jc w:val="left"/>
        <w:rPr>
          <w:rFonts w:ascii="宋体" w:eastAsia="宋体" w:hAnsi="宋体" w:cs="宋体"/>
          <w:szCs w:val="21"/>
        </w:rPr>
      </w:pPr>
    </w:p>
    <w:p w:rsidR="004161F4" w:rsidP="00451896">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甲方：</w:t>
      </w:r>
      <w:r>
        <w:rPr>
          <w:rFonts w:ascii="宋体" w:eastAsia="宋体" w:hAnsi="宋体" w:cs="宋体" w:hint="eastAsia"/>
          <w:szCs w:val="21"/>
          <w:u w:val="single"/>
        </w:rPr>
        <w:t xml:space="preserve">            </w:t>
      </w:r>
      <w:r>
        <w:rPr>
          <w:rFonts w:ascii="宋体" w:eastAsia="宋体" w:hAnsi="宋体" w:cs="宋体" w:hint="eastAsia"/>
          <w:szCs w:val="21"/>
        </w:rPr>
        <w:t xml:space="preserve"> (盖章） </w:t>
      </w:r>
    </w:p>
    <w:p w:rsidR="004161F4" w:rsidP="00451896">
      <w:pPr>
        <w:spacing w:line="360" w:lineRule="auto"/>
        <w:ind w:firstLine="420" w:firstLineChars="200"/>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rsidP="00451896">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w:t>
      </w:r>
      <w:r w:rsidR="00522B96">
        <w:rPr>
          <w:rFonts w:ascii="宋体" w:eastAsia="宋体" w:hAnsi="宋体" w:cs="宋体" w:hint="eastAsia"/>
          <w:szCs w:val="21"/>
        </w:rPr>
        <w:t>表</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451896">
      <w:pPr>
        <w:spacing w:line="360" w:lineRule="auto"/>
        <w:ind w:firstLine="420" w:firstLineChars="200"/>
        <w:jc w:val="left"/>
        <w:rPr>
          <w:rFonts w:ascii="宋体" w:eastAsia="宋体" w:hAnsi="宋体" w:cs="宋体"/>
          <w:szCs w:val="21"/>
        </w:rPr>
      </w:pPr>
    </w:p>
    <w:p w:rsidR="00451896">
      <w:pPr>
        <w:spacing w:line="360" w:lineRule="auto"/>
        <w:ind w:firstLine="420" w:firstLineChars="200"/>
        <w:jc w:val="left"/>
        <w:rPr>
          <w:rFonts w:ascii="宋体" w:eastAsia="宋体" w:hAnsi="宋体" w:cs="宋体"/>
          <w:szCs w:val="21"/>
        </w:rPr>
      </w:pPr>
    </w:p>
    <w:p w:rsidR="004161F4">
      <w:pPr>
        <w:spacing w:line="360" w:lineRule="auto"/>
        <w:ind w:firstLine="420" w:firstLineChars="200"/>
        <w:jc w:val="left"/>
        <w:rPr>
          <w:rFonts w:ascii="宋体" w:eastAsia="宋体" w:hAnsi="宋体" w:cs="宋体"/>
          <w:szCs w:val="21"/>
        </w:rPr>
      </w:pPr>
      <w:r>
        <w:rPr>
          <w:rFonts w:ascii="宋体" w:eastAsia="宋体" w:hAnsi="宋体" w:cs="宋体" w:hint="eastAsia"/>
          <w:szCs w:val="21"/>
        </w:rPr>
        <w:t>乙方：</w:t>
      </w:r>
      <w:r>
        <w:rPr>
          <w:rFonts w:ascii="宋体" w:eastAsia="宋体" w:hAnsi="宋体" w:cs="宋体" w:hint="eastAsia"/>
          <w:szCs w:val="21"/>
          <w:u w:val="single"/>
        </w:rPr>
        <w:t xml:space="preserve">             </w:t>
      </w:r>
      <w:r>
        <w:rPr>
          <w:rFonts w:ascii="宋体" w:eastAsia="宋体" w:hAnsi="宋体" w:cs="宋体" w:hint="eastAsia"/>
          <w:szCs w:val="21"/>
        </w:rPr>
        <w:t>（盖章）</w:t>
      </w:r>
    </w:p>
    <w:p w:rsidR="004161F4">
      <w:pPr>
        <w:spacing w:line="360" w:lineRule="auto"/>
        <w:ind w:firstLine="420" w:firstLineChars="200"/>
        <w:jc w:val="left"/>
        <w:rPr>
          <w:rFonts w:ascii="宋体" w:eastAsia="宋体" w:hAnsi="宋体" w:cs="宋体"/>
          <w:szCs w:val="21"/>
        </w:rPr>
      </w:pPr>
      <w:r>
        <w:rPr>
          <w:rFonts w:ascii="宋体" w:eastAsia="宋体" w:hAnsi="宋体" w:cs="宋体" w:hint="eastAsia"/>
          <w:szCs w:val="21"/>
        </w:rPr>
        <w:t>经办人：</w:t>
      </w:r>
      <w:r>
        <w:rPr>
          <w:rFonts w:ascii="宋体" w:eastAsia="宋体" w:hAnsi="宋体" w:cs="宋体" w:hint="eastAsia"/>
          <w:szCs w:val="21"/>
          <w:u w:val="single"/>
        </w:rPr>
        <w:t xml:space="preserve">         </w:t>
      </w:r>
      <w:r>
        <w:rPr>
          <w:rFonts w:ascii="宋体" w:eastAsia="宋体" w:hAnsi="宋体" w:cs="宋体"/>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法定代表人/授权代</w:t>
      </w:r>
      <w:r w:rsidR="00522B96">
        <w:rPr>
          <w:rFonts w:ascii="宋体" w:eastAsia="宋体" w:hAnsi="宋体" w:cs="宋体" w:hint="eastAsia"/>
          <w:szCs w:val="21"/>
        </w:rPr>
        <w:t>表</w:t>
      </w:r>
      <w:r>
        <w:rPr>
          <w:rFonts w:ascii="宋体" w:eastAsia="宋体" w:hAnsi="宋体" w:cs="宋体" w:hint="eastAsia"/>
          <w:szCs w:val="21"/>
        </w:rPr>
        <w:t>：</w:t>
      </w:r>
      <w:r>
        <w:rPr>
          <w:rFonts w:ascii="宋体" w:eastAsia="宋体" w:hAnsi="宋体" w:cs="宋体" w:hint="eastAsia"/>
          <w:szCs w:val="21"/>
          <w:u w:val="single"/>
        </w:rPr>
        <w:t xml:space="preserve">                            </w:t>
      </w:r>
      <w:r>
        <w:rPr>
          <w:rFonts w:ascii="宋体" w:eastAsia="宋体" w:hAnsi="宋体" w:cs="宋体" w:hint="eastAsia"/>
          <w:szCs w:val="21"/>
        </w:rPr>
        <w:t>（签名）</w:t>
      </w:r>
    </w:p>
    <w:p w:rsidR="004161F4">
      <w:pPr>
        <w:spacing w:line="360" w:lineRule="auto"/>
        <w:ind w:firstLine="420" w:firstLineChars="200"/>
        <w:rPr>
          <w:rFonts w:ascii="宋体" w:eastAsia="宋体" w:hAnsi="宋体" w:cs="宋体"/>
          <w:szCs w:val="21"/>
        </w:rPr>
      </w:pPr>
      <w:r>
        <w:rPr>
          <w:rFonts w:ascii="宋体" w:eastAsia="宋体" w:hAnsi="宋体" w:cs="宋体" w:hint="eastAsia"/>
          <w:szCs w:val="21"/>
        </w:rPr>
        <w:t xml:space="preserve">                                          年     月     日</w:t>
      </w:r>
    </w:p>
    <w:p w:rsidR="004161F4"/>
    <w:p w:rsidR="00A778B2"/>
    <w:p w:rsidR="00A778B2"/>
    <w:p w:rsidR="00A778B2"/>
    <w:p w:rsidR="00A778B2"/>
    <w:p w:rsidR="00A778B2"/>
    <w:p w:rsidR="00451896">
      <w:pPr>
        <w:widowControl/>
        <w:jc w:val="left"/>
        <w:rPr>
          <w:sz w:val="32"/>
          <w:szCs w:val="32"/>
        </w:rPr>
      </w:pPr>
      <w:r>
        <w:rPr>
          <w:sz w:val="32"/>
          <w:szCs w:val="32"/>
        </w:rPr>
        <w:br w:type="page"/>
      </w:r>
    </w:p>
    <w:p w:rsidR="00A778B2" w:rsidP="00A778B2">
      <w:pPr>
        <w:widowControl/>
        <w:jc w:val="left"/>
        <w:rPr>
          <w:sz w:val="32"/>
          <w:szCs w:val="32"/>
        </w:rPr>
      </w:pPr>
      <w:r>
        <w:rPr>
          <w:rFonts w:hint="eastAsia"/>
          <w:sz w:val="32"/>
          <w:szCs w:val="32"/>
        </w:rPr>
        <w:t>附件</w:t>
      </w:r>
      <w:r>
        <w:rPr>
          <w:rFonts w:hint="eastAsia"/>
          <w:sz w:val="32"/>
          <w:szCs w:val="32"/>
        </w:rPr>
        <w:t>1</w:t>
      </w:r>
    </w:p>
    <w:p w:rsidR="00A778B2" w:rsidP="00A778B2">
      <w:pPr>
        <w:widowControl/>
        <w:jc w:val="left"/>
        <w:rPr>
          <w:sz w:val="32"/>
          <w:szCs w:val="32"/>
        </w:rPr>
      </w:pPr>
    </w:p>
    <w:p w:rsidR="00A778B2" w:rsidP="00A778B2">
      <w:pPr>
        <w:widowControl/>
        <w:overflowPunct w:val="0"/>
        <w:autoSpaceDE w:val="0"/>
        <w:autoSpaceDN w:val="0"/>
        <w:adjustRightInd w:val="0"/>
        <w:spacing w:line="480" w:lineRule="exact"/>
        <w:jc w:val="center"/>
        <w:textAlignment w:val="baseline"/>
        <w:rPr>
          <w:b/>
          <w:kern w:val="0"/>
          <w:sz w:val="36"/>
          <w:szCs w:val="36"/>
        </w:rPr>
      </w:pPr>
      <w:r>
        <w:rPr>
          <w:rFonts w:hint="eastAsia"/>
          <w:b/>
          <w:kern w:val="0"/>
          <w:sz w:val="36"/>
          <w:szCs w:val="36"/>
        </w:rPr>
        <w:t>安</w:t>
      </w:r>
      <w:r>
        <w:rPr>
          <w:rFonts w:hint="eastAsia"/>
          <w:b/>
          <w:kern w:val="0"/>
          <w:sz w:val="36"/>
          <w:szCs w:val="36"/>
        </w:rPr>
        <w:t xml:space="preserve"> </w:t>
      </w:r>
      <w:r>
        <w:rPr>
          <w:rFonts w:hint="eastAsia"/>
          <w:b/>
          <w:kern w:val="0"/>
          <w:sz w:val="36"/>
          <w:szCs w:val="36"/>
        </w:rPr>
        <w:t>全</w:t>
      </w:r>
      <w:r>
        <w:rPr>
          <w:rFonts w:hint="eastAsia"/>
          <w:b/>
          <w:kern w:val="0"/>
          <w:sz w:val="36"/>
          <w:szCs w:val="36"/>
        </w:rPr>
        <w:t xml:space="preserve"> </w:t>
      </w:r>
      <w:r>
        <w:rPr>
          <w:rFonts w:hint="eastAsia"/>
          <w:b/>
          <w:kern w:val="0"/>
          <w:sz w:val="36"/>
          <w:szCs w:val="36"/>
        </w:rPr>
        <w:t>保</w:t>
      </w:r>
      <w:r>
        <w:rPr>
          <w:rFonts w:hint="eastAsia"/>
          <w:b/>
          <w:kern w:val="0"/>
          <w:sz w:val="36"/>
          <w:szCs w:val="36"/>
        </w:rPr>
        <w:t xml:space="preserve"> </w:t>
      </w:r>
      <w:r>
        <w:rPr>
          <w:rFonts w:hint="eastAsia"/>
          <w:b/>
          <w:kern w:val="0"/>
          <w:sz w:val="36"/>
          <w:szCs w:val="36"/>
        </w:rPr>
        <w:t>密</w:t>
      </w:r>
      <w:r>
        <w:rPr>
          <w:rFonts w:hint="eastAsia"/>
          <w:b/>
          <w:kern w:val="0"/>
          <w:sz w:val="36"/>
          <w:szCs w:val="36"/>
        </w:rPr>
        <w:t xml:space="preserve"> </w:t>
      </w:r>
      <w:r>
        <w:rPr>
          <w:rFonts w:hint="eastAsia"/>
          <w:b/>
          <w:kern w:val="0"/>
          <w:sz w:val="36"/>
          <w:szCs w:val="36"/>
        </w:rPr>
        <w:t>协</w:t>
      </w:r>
      <w:r>
        <w:rPr>
          <w:rFonts w:hint="eastAsia"/>
          <w:b/>
          <w:kern w:val="0"/>
          <w:sz w:val="36"/>
          <w:szCs w:val="36"/>
        </w:rPr>
        <w:t xml:space="preserve"> </w:t>
      </w:r>
      <w:r>
        <w:rPr>
          <w:rFonts w:hint="eastAsia"/>
          <w:b/>
          <w:kern w:val="0"/>
          <w:sz w:val="36"/>
          <w:szCs w:val="36"/>
        </w:rPr>
        <w:t>议</w:t>
      </w:r>
    </w:p>
    <w:p w:rsidR="00A778B2" w:rsidP="00A778B2">
      <w:pPr>
        <w:spacing w:line="480" w:lineRule="exact"/>
        <w:ind w:firstLine="600" w:firstLineChars="200"/>
        <w:rPr>
          <w:kern w:val="0"/>
          <w:sz w:val="30"/>
          <w:szCs w:val="30"/>
        </w:rPr>
      </w:pPr>
    </w:p>
    <w:p w:rsidR="00A778B2" w:rsidP="00A778B2">
      <w:pPr>
        <w:spacing w:line="480" w:lineRule="exact"/>
        <w:rPr>
          <w:kern w:val="0"/>
        </w:rPr>
      </w:pPr>
      <w:r>
        <w:rPr>
          <w:rFonts w:hint="eastAsia"/>
          <w:kern w:val="0"/>
          <w:sz w:val="24"/>
          <w:szCs w:val="24"/>
        </w:rPr>
        <w:t>甲方：</w:t>
      </w:r>
    </w:p>
    <w:p w:rsidR="00A778B2" w:rsidP="00A778B2">
      <w:pPr>
        <w:spacing w:line="480" w:lineRule="exact"/>
        <w:rPr>
          <w:kern w:val="0"/>
        </w:rPr>
      </w:pPr>
      <w:r>
        <w:rPr>
          <w:rFonts w:hint="eastAsia"/>
          <w:kern w:val="0"/>
          <w:sz w:val="24"/>
          <w:szCs w:val="24"/>
        </w:rPr>
        <w:t>乙方：</w:t>
      </w:r>
    </w:p>
    <w:p w:rsidR="00A778B2" w:rsidP="00A778B2">
      <w:pPr>
        <w:spacing w:line="480" w:lineRule="exact"/>
        <w:rPr>
          <w:kern w:val="0"/>
        </w:rPr>
      </w:pPr>
      <w:r>
        <w:rPr>
          <w:rFonts w:hint="eastAsia"/>
          <w:kern w:val="0"/>
          <w:sz w:val="24"/>
          <w:szCs w:val="24"/>
        </w:rPr>
        <w:t>签订地点：　　　　　　　</w:t>
      </w:r>
      <w:r>
        <w:rPr>
          <w:rFonts w:hint="eastAsia"/>
          <w:kern w:val="0"/>
          <w:sz w:val="24"/>
          <w:szCs w:val="24"/>
        </w:rPr>
        <w:t xml:space="preserve">     </w:t>
      </w:r>
    </w:p>
    <w:p w:rsidR="00A778B2" w:rsidP="00A778B2">
      <w:pPr>
        <w:spacing w:line="480" w:lineRule="exact"/>
        <w:rPr>
          <w:kern w:val="0"/>
        </w:rPr>
      </w:pPr>
      <w:r>
        <w:rPr>
          <w:rFonts w:hint="eastAsia"/>
          <w:kern w:val="0"/>
          <w:sz w:val="24"/>
          <w:szCs w:val="24"/>
        </w:rPr>
        <w:t>签订日期：　　年　月</w:t>
      </w:r>
      <w:r>
        <w:rPr>
          <w:rFonts w:hint="eastAsia"/>
          <w:kern w:val="0"/>
          <w:sz w:val="24"/>
          <w:szCs w:val="24"/>
        </w:rPr>
        <w:t xml:space="preserve">   </w:t>
      </w:r>
      <w:r>
        <w:rPr>
          <w:rFonts w:hint="eastAsia"/>
          <w:kern w:val="0"/>
          <w:sz w:val="24"/>
          <w:szCs w:val="24"/>
        </w:rPr>
        <w:t>日</w:t>
      </w:r>
    </w:p>
    <w:p w:rsidR="00A778B2" w:rsidP="00A778B2">
      <w:pPr>
        <w:spacing w:line="480" w:lineRule="exact"/>
        <w:rPr>
          <w:kern w:val="0"/>
        </w:rPr>
      </w:pPr>
    </w:p>
    <w:p w:rsidR="00A778B2" w:rsidP="00A778B2">
      <w:pPr>
        <w:spacing w:line="400" w:lineRule="exact"/>
        <w:ind w:firstLine="480" w:firstLineChars="200"/>
        <w:rPr>
          <w:kern w:val="0"/>
        </w:rPr>
      </w:pPr>
      <w:r>
        <w:rPr>
          <w:rFonts w:hint="eastAsia"/>
          <w:kern w:val="0"/>
          <w:sz w:val="24"/>
          <w:szCs w:val="24"/>
        </w:rPr>
        <w:t>为加强</w:t>
      </w:r>
      <w:r>
        <w:rPr>
          <w:rFonts w:hint="eastAsia"/>
          <w:kern w:val="0"/>
          <w:sz w:val="24"/>
          <w:szCs w:val="24"/>
        </w:rPr>
        <w:t xml:space="preserve">               </w:t>
      </w:r>
      <w:r>
        <w:rPr>
          <w:rFonts w:hint="eastAsia"/>
          <w:kern w:val="0"/>
          <w:sz w:val="24"/>
          <w:szCs w:val="24"/>
        </w:rPr>
        <w:t>技术资料和数据的保密管理，双方根据国家有关法律、法规，本着平等、自愿、协商一致、诚实信用的原则，就乙方为甲方提供系统集成、应用开发、数据处理、运维服务等技术支持服务（下称项目）等工作中的保密事宜达成如下协议：</w:t>
      </w:r>
    </w:p>
    <w:p w:rsidR="00A778B2" w:rsidP="00A778B2">
      <w:pPr>
        <w:spacing w:line="400" w:lineRule="exact"/>
        <w:ind w:firstLine="480" w:firstLineChars="200"/>
        <w:rPr>
          <w:kern w:val="0"/>
        </w:rPr>
      </w:pPr>
      <w:r>
        <w:rPr>
          <w:rFonts w:hint="eastAsia"/>
          <w:kern w:val="0"/>
          <w:sz w:val="24"/>
          <w:szCs w:val="24"/>
        </w:rPr>
        <w:t>一、保密信息</w:t>
      </w:r>
    </w:p>
    <w:p w:rsidR="00A778B2" w:rsidP="00A778B2">
      <w:pPr>
        <w:spacing w:line="400" w:lineRule="exact"/>
        <w:ind w:firstLine="480" w:firstLineChars="200"/>
        <w:rPr>
          <w:kern w:val="0"/>
        </w:rPr>
      </w:pPr>
      <w:r>
        <w:rPr>
          <w:rFonts w:hint="eastAsia"/>
          <w:kern w:val="0"/>
          <w:sz w:val="24"/>
          <w:szCs w:val="24"/>
        </w:rPr>
        <w:t>（一）甲乙双方在项目实施过程中产出的项目技术方案、数据产品、流程图、工程设计图、应用程序、开发工具、专利技术、知识产权、招标文件等内容。</w:t>
      </w:r>
    </w:p>
    <w:p w:rsidR="00A778B2" w:rsidP="00A778B2">
      <w:pPr>
        <w:spacing w:line="400" w:lineRule="exact"/>
        <w:ind w:firstLine="480" w:firstLineChars="200"/>
        <w:rPr>
          <w:kern w:val="0"/>
        </w:rPr>
      </w:pPr>
      <w:r>
        <w:rPr>
          <w:rFonts w:hint="eastAsia"/>
          <w:kern w:val="0"/>
          <w:sz w:val="24"/>
          <w:szCs w:val="24"/>
        </w:rPr>
        <w:t>（二）甲方在项目实施中为乙方提供必要的数据、程序、用户名、口令和资料等；</w:t>
      </w:r>
    </w:p>
    <w:p w:rsidR="00A778B2" w:rsidP="00A778B2">
      <w:pPr>
        <w:spacing w:line="400" w:lineRule="exact"/>
        <w:ind w:firstLine="480" w:firstLineChars="200"/>
        <w:rPr>
          <w:kern w:val="0"/>
        </w:rPr>
      </w:pPr>
      <w:r>
        <w:rPr>
          <w:rFonts w:hint="eastAsia"/>
          <w:kern w:val="0"/>
          <w:sz w:val="24"/>
          <w:szCs w:val="24"/>
        </w:rPr>
        <w:t>（三）甲方项目在方案调研、开发阶段中涉及的业务及技术文档，包括方案设计细节、程序文件、数据结构，以及相关业务系统的硬软件、文档、测试和测试产生的数据等；</w:t>
      </w:r>
    </w:p>
    <w:p w:rsidR="00A778B2" w:rsidP="00A778B2">
      <w:pPr>
        <w:spacing w:line="400" w:lineRule="exact"/>
        <w:ind w:left="600"/>
        <w:rPr>
          <w:kern w:val="0"/>
        </w:rPr>
      </w:pPr>
      <w:r>
        <w:rPr>
          <w:rFonts w:hint="eastAsia"/>
          <w:kern w:val="0"/>
          <w:sz w:val="24"/>
          <w:szCs w:val="24"/>
        </w:rPr>
        <w:t>（四）其他甲方合理认为，并告知乙方属于保密的内容。</w:t>
      </w:r>
    </w:p>
    <w:p w:rsidR="00A778B2" w:rsidP="00A778B2">
      <w:pPr>
        <w:spacing w:line="400" w:lineRule="exact"/>
        <w:ind w:firstLine="480" w:firstLineChars="200"/>
        <w:rPr>
          <w:kern w:val="0"/>
        </w:rPr>
      </w:pPr>
      <w:r>
        <w:rPr>
          <w:rFonts w:hint="eastAsia"/>
          <w:kern w:val="0"/>
          <w:sz w:val="24"/>
          <w:szCs w:val="24"/>
        </w:rPr>
        <w:t>二、保密条款</w:t>
      </w:r>
    </w:p>
    <w:p w:rsidR="00A778B2" w:rsidP="00A778B2">
      <w:pPr>
        <w:spacing w:line="400" w:lineRule="exact"/>
        <w:ind w:firstLine="480" w:firstLineChars="200"/>
        <w:rPr>
          <w:kern w:val="0"/>
        </w:rPr>
      </w:pPr>
      <w:r>
        <w:rPr>
          <w:rFonts w:hint="eastAsia"/>
          <w:kern w:val="0"/>
          <w:sz w:val="24"/>
          <w:szCs w:val="24"/>
        </w:rPr>
        <w:t>（一）乙方应严格保守甲方的有关保密信息，不得以其他任何手段谋取私利，损害甲方的利益。</w:t>
      </w:r>
    </w:p>
    <w:p w:rsidR="00A778B2" w:rsidP="00A778B2">
      <w:pPr>
        <w:spacing w:line="400" w:lineRule="exact"/>
        <w:ind w:firstLine="480" w:firstLineChars="200"/>
        <w:rPr>
          <w:kern w:val="0"/>
        </w:rPr>
      </w:pPr>
      <w:r>
        <w:rPr>
          <w:rFonts w:hint="eastAsia"/>
          <w:kern w:val="0"/>
          <w:sz w:val="24"/>
          <w:szCs w:val="24"/>
        </w:rPr>
        <w:t>（二）未经甲方书面许可，乙方不得以任何名义向有关单位或个人泄露甲方保密信息。</w:t>
      </w:r>
    </w:p>
    <w:p w:rsidR="00A778B2" w:rsidP="00A778B2">
      <w:pPr>
        <w:spacing w:line="400" w:lineRule="exact"/>
        <w:ind w:firstLine="480" w:firstLineChars="200"/>
        <w:rPr>
          <w:kern w:val="0"/>
        </w:rPr>
      </w:pPr>
      <w:r>
        <w:rPr>
          <w:rFonts w:hint="eastAsia"/>
          <w:kern w:val="0"/>
          <w:sz w:val="24"/>
          <w:szCs w:val="24"/>
        </w:rPr>
        <w:t>（三）未经甲方书面许可，乙方不得对有关保密信息进行修改、补充、复制。</w:t>
      </w:r>
    </w:p>
    <w:p w:rsidR="00A778B2" w:rsidP="00A778B2">
      <w:pPr>
        <w:spacing w:line="400" w:lineRule="exact"/>
        <w:ind w:firstLine="480" w:firstLineChars="200"/>
        <w:rPr>
          <w:kern w:val="0"/>
        </w:rPr>
      </w:pPr>
      <w:r>
        <w:rPr>
          <w:rFonts w:hint="eastAsia"/>
          <w:kern w:val="0"/>
          <w:sz w:val="24"/>
          <w:szCs w:val="24"/>
        </w:rPr>
        <w:t>（四）未经甲方书面许可，不得将保密信息以任何方式（如</w:t>
      </w:r>
      <w:r>
        <w:rPr>
          <w:rFonts w:hint="eastAsia"/>
          <w:kern w:val="0"/>
          <w:sz w:val="24"/>
          <w:szCs w:val="24"/>
        </w:rPr>
        <w:t>E-mail</w:t>
      </w:r>
      <w:r>
        <w:rPr>
          <w:rFonts w:hint="eastAsia"/>
          <w:kern w:val="0"/>
          <w:sz w:val="24"/>
          <w:szCs w:val="24"/>
        </w:rPr>
        <w:t>）携带出甲方场所。</w:t>
      </w:r>
    </w:p>
    <w:p w:rsidR="00A778B2" w:rsidP="00A778B2">
      <w:pPr>
        <w:spacing w:line="400" w:lineRule="exact"/>
        <w:ind w:firstLine="480" w:firstLineChars="200"/>
        <w:rPr>
          <w:kern w:val="0"/>
        </w:rPr>
      </w:pPr>
      <w:r>
        <w:rPr>
          <w:rFonts w:hint="eastAsia"/>
          <w:kern w:val="0"/>
          <w:sz w:val="24"/>
          <w:szCs w:val="24"/>
        </w:rPr>
        <w:t>（五）未经甲方书面许可，乙方不得在除甲方项目之外的任何地方使用与甲方相关的上述保密信息。</w:t>
      </w:r>
    </w:p>
    <w:p w:rsidR="00A778B2" w:rsidP="00A778B2">
      <w:pPr>
        <w:spacing w:line="400" w:lineRule="exact"/>
        <w:ind w:firstLine="480" w:firstLineChars="200"/>
        <w:rPr>
          <w:kern w:val="0"/>
        </w:rPr>
      </w:pPr>
      <w:r>
        <w:rPr>
          <w:rFonts w:hint="eastAsia"/>
          <w:kern w:val="0"/>
          <w:sz w:val="24"/>
          <w:szCs w:val="24"/>
        </w:rPr>
        <w:t>三、保密信息的所有权</w:t>
      </w:r>
      <w:r>
        <w:rPr>
          <w:rFonts w:hint="eastAsia"/>
          <w:kern w:val="0"/>
          <w:sz w:val="24"/>
          <w:szCs w:val="24"/>
        </w:rPr>
        <w:t xml:space="preserve"> </w:t>
      </w:r>
    </w:p>
    <w:p w:rsidR="00A778B2" w:rsidP="00A778B2">
      <w:pPr>
        <w:spacing w:line="400" w:lineRule="exact"/>
        <w:ind w:firstLine="480" w:firstLineChars="200"/>
        <w:rPr>
          <w:kern w:val="0"/>
        </w:rPr>
      </w:pPr>
      <w:r>
        <w:rPr>
          <w:rFonts w:hint="eastAsia"/>
          <w:kern w:val="0"/>
          <w:sz w:val="24"/>
          <w:szCs w:val="24"/>
        </w:rPr>
        <w:t>以上所提及的保密信息均为甲方所有。</w:t>
      </w:r>
      <w:r>
        <w:rPr>
          <w:rFonts w:hint="eastAsia"/>
          <w:kern w:val="0"/>
          <w:sz w:val="24"/>
          <w:szCs w:val="24"/>
        </w:rPr>
        <w:t xml:space="preserve"> </w:t>
      </w:r>
    </w:p>
    <w:p w:rsidR="00A778B2" w:rsidP="00A778B2">
      <w:pPr>
        <w:spacing w:line="400" w:lineRule="exact"/>
        <w:ind w:firstLine="480" w:firstLineChars="200"/>
        <w:rPr>
          <w:kern w:val="0"/>
        </w:rPr>
      </w:pPr>
      <w:r>
        <w:rPr>
          <w:rFonts w:hint="eastAsia"/>
          <w:kern w:val="0"/>
          <w:sz w:val="24"/>
          <w:szCs w:val="24"/>
        </w:rPr>
        <w:t>四、保密期限</w:t>
      </w:r>
    </w:p>
    <w:p w:rsidR="00A778B2" w:rsidP="00A778B2">
      <w:pPr>
        <w:spacing w:line="400" w:lineRule="exact"/>
        <w:ind w:firstLine="480" w:firstLineChars="200"/>
        <w:rPr>
          <w:kern w:val="0"/>
        </w:rPr>
      </w:pPr>
      <w:r>
        <w:rPr>
          <w:rFonts w:hint="eastAsia"/>
          <w:kern w:val="0"/>
          <w:sz w:val="24"/>
          <w:szCs w:val="24"/>
        </w:rPr>
        <w:t>（一）本协议的保密期限为</w:t>
      </w:r>
      <w:r>
        <w:rPr>
          <w:rFonts w:hint="eastAsia"/>
          <w:kern w:val="0"/>
          <w:sz w:val="24"/>
          <w:szCs w:val="24"/>
        </w:rPr>
        <w:t>5</w:t>
      </w:r>
      <w:r>
        <w:rPr>
          <w:rFonts w:hint="eastAsia"/>
          <w:kern w:val="0"/>
          <w:sz w:val="24"/>
          <w:szCs w:val="24"/>
        </w:rPr>
        <w:t>年。</w:t>
      </w:r>
    </w:p>
    <w:p w:rsidR="00A778B2" w:rsidP="00A778B2">
      <w:pPr>
        <w:spacing w:line="400" w:lineRule="exact"/>
        <w:ind w:firstLine="480" w:firstLineChars="200"/>
        <w:rPr>
          <w:kern w:val="0"/>
        </w:rPr>
      </w:pPr>
      <w:r>
        <w:rPr>
          <w:rFonts w:hint="eastAsia"/>
          <w:kern w:val="0"/>
          <w:sz w:val="24"/>
          <w:szCs w:val="24"/>
        </w:rPr>
        <w:t>（二）在本协议失效后，如果本协议中包括的某些保密信息并未失去保密性的，本协议仍对这些未失去保密性的信息发生效力，约束双方的行为。</w:t>
      </w:r>
    </w:p>
    <w:p w:rsidR="00A778B2" w:rsidP="00A778B2">
      <w:pPr>
        <w:spacing w:line="400" w:lineRule="exact"/>
        <w:ind w:firstLine="480" w:firstLineChars="200"/>
        <w:rPr>
          <w:kern w:val="0"/>
        </w:rPr>
      </w:pPr>
      <w:r>
        <w:rPr>
          <w:rFonts w:hint="eastAsia"/>
          <w:kern w:val="0"/>
          <w:sz w:val="24"/>
          <w:szCs w:val="24"/>
        </w:rPr>
        <w:t>（三）本协议是为防止甲方的保密信息在协议有效期发生泄漏而制定。因任何理由而导致甲、乙双方的合作项目终止时，乙方应归还甲方所有有关信息资料和文件，但并不免除乙方的保密义务。</w:t>
      </w:r>
    </w:p>
    <w:p w:rsidR="00A778B2" w:rsidP="00A778B2">
      <w:pPr>
        <w:spacing w:line="400" w:lineRule="exact"/>
        <w:ind w:firstLine="480" w:firstLineChars="200"/>
        <w:rPr>
          <w:kern w:val="0"/>
        </w:rPr>
      </w:pPr>
      <w:r>
        <w:rPr>
          <w:rFonts w:hint="eastAsia"/>
          <w:kern w:val="0"/>
          <w:sz w:val="24"/>
          <w:szCs w:val="24"/>
        </w:rPr>
        <w:t>五、关系限制</w:t>
      </w:r>
      <w:r>
        <w:rPr>
          <w:rFonts w:hint="eastAsia"/>
          <w:kern w:val="0"/>
          <w:sz w:val="24"/>
          <w:szCs w:val="24"/>
        </w:rPr>
        <w:t xml:space="preserve"> </w:t>
      </w:r>
    </w:p>
    <w:p w:rsidR="00A778B2" w:rsidP="00A778B2">
      <w:pPr>
        <w:spacing w:line="400" w:lineRule="exact"/>
        <w:ind w:firstLine="480" w:firstLineChars="200"/>
        <w:rPr>
          <w:kern w:val="0"/>
        </w:rPr>
      </w:pPr>
      <w:r>
        <w:rPr>
          <w:rFonts w:hint="eastAsia"/>
          <w:kern w:val="0"/>
          <w:sz w:val="24"/>
          <w:szCs w:val="24"/>
        </w:rPr>
        <w:t>本协议不作为双方建立任何合作关系或其他业务关系的依据。</w:t>
      </w:r>
      <w:r>
        <w:rPr>
          <w:rFonts w:hint="eastAsia"/>
          <w:kern w:val="0"/>
          <w:sz w:val="24"/>
          <w:szCs w:val="24"/>
        </w:rPr>
        <w:t xml:space="preserve"> </w:t>
      </w:r>
    </w:p>
    <w:p w:rsidR="00A778B2" w:rsidP="00A778B2">
      <w:pPr>
        <w:spacing w:line="400" w:lineRule="exact"/>
        <w:ind w:firstLine="480" w:firstLineChars="200"/>
        <w:rPr>
          <w:kern w:val="0"/>
        </w:rPr>
      </w:pPr>
      <w:r>
        <w:rPr>
          <w:rFonts w:hint="eastAsia"/>
          <w:kern w:val="0"/>
          <w:sz w:val="24"/>
          <w:szCs w:val="24"/>
        </w:rPr>
        <w:t>六、违约责任</w:t>
      </w:r>
    </w:p>
    <w:p w:rsidR="00A778B2" w:rsidP="00A778B2">
      <w:pPr>
        <w:spacing w:line="400" w:lineRule="exact"/>
        <w:ind w:firstLine="480" w:firstLineChars="200"/>
        <w:rPr>
          <w:kern w:val="0"/>
        </w:rPr>
      </w:pPr>
      <w:r>
        <w:rPr>
          <w:rFonts w:hint="eastAsia"/>
          <w:kern w:val="0"/>
          <w:sz w:val="24"/>
          <w:szCs w:val="24"/>
        </w:rPr>
        <w:t>乙方未遵守本协议的约定泄露或使用了保密信息甲方有权终止双方的合作项目，乙方应按合作项目金额作为违约金支付甲方，并按照有管辖权的人民法院认定的赔偿金额赔偿甲方遭到的其他损失，甲方有权进一步追究其一切相关法律责任。</w:t>
      </w:r>
    </w:p>
    <w:p w:rsidR="00A778B2" w:rsidP="00A778B2">
      <w:pPr>
        <w:spacing w:line="400" w:lineRule="exact"/>
        <w:ind w:firstLine="480" w:firstLineChars="200"/>
        <w:rPr>
          <w:kern w:val="0"/>
        </w:rPr>
      </w:pPr>
      <w:r>
        <w:rPr>
          <w:rFonts w:hint="eastAsia"/>
          <w:kern w:val="0"/>
          <w:sz w:val="24"/>
          <w:szCs w:val="24"/>
        </w:rPr>
        <w:t>七、其他事项</w:t>
      </w:r>
    </w:p>
    <w:p w:rsidR="00A778B2" w:rsidP="00A778B2">
      <w:pPr>
        <w:spacing w:line="400" w:lineRule="exact"/>
        <w:ind w:firstLine="480" w:firstLineChars="200"/>
        <w:rPr>
          <w:kern w:val="0"/>
        </w:rPr>
      </w:pPr>
      <w:r>
        <w:rPr>
          <w:rFonts w:hint="eastAsia"/>
          <w:kern w:val="0"/>
          <w:sz w:val="24"/>
          <w:szCs w:val="24"/>
        </w:rPr>
        <w:t>（一）本协议以中文做成，一式四份，甲方执两份，乙方执两份，各</w:t>
      </w:r>
      <w:r>
        <w:rPr>
          <w:rFonts w:hint="eastAsia"/>
          <w:kern w:val="0"/>
          <w:sz w:val="24"/>
          <w:szCs w:val="24"/>
        </w:rPr>
        <w:t>份协议</w:t>
      </w:r>
      <w:r>
        <w:rPr>
          <w:rFonts w:hint="eastAsia"/>
          <w:kern w:val="0"/>
          <w:sz w:val="24"/>
          <w:szCs w:val="24"/>
        </w:rPr>
        <w:t>具有同等法律效力。</w:t>
      </w:r>
    </w:p>
    <w:p w:rsidR="00A778B2" w:rsidP="00A778B2">
      <w:pPr>
        <w:spacing w:line="400" w:lineRule="exact"/>
        <w:ind w:firstLine="480" w:firstLineChars="200"/>
        <w:rPr>
          <w:kern w:val="0"/>
        </w:rPr>
      </w:pPr>
      <w:r>
        <w:rPr>
          <w:rFonts w:hint="eastAsia"/>
          <w:kern w:val="0"/>
          <w:sz w:val="24"/>
          <w:szCs w:val="24"/>
        </w:rPr>
        <w:t>（二）本协议未尽事宜，由甲乙双方协商解决。</w:t>
      </w:r>
    </w:p>
    <w:p w:rsidR="00A778B2" w:rsidP="00A778B2">
      <w:pPr>
        <w:spacing w:line="400" w:lineRule="exact"/>
        <w:ind w:firstLine="480" w:firstLineChars="200"/>
        <w:rPr>
          <w:kern w:val="0"/>
        </w:rPr>
      </w:pPr>
      <w:r>
        <w:rPr>
          <w:rFonts w:hint="eastAsia"/>
          <w:kern w:val="0"/>
          <w:sz w:val="24"/>
          <w:szCs w:val="24"/>
        </w:rPr>
        <w:t>（三）本协议自甲、乙双方签字之日起生效。</w:t>
      </w:r>
    </w:p>
    <w:p w:rsidR="00A778B2" w:rsidP="00A778B2"/>
    <w:p w:rsidR="00A778B2" w:rsidP="00A778B2">
      <w:pPr>
        <w:ind w:left="503" w:hanging="581" w:leftChars="-37" w:hangingChars="242"/>
      </w:pPr>
      <w:r>
        <w:rPr>
          <w:rFonts w:hint="eastAsia"/>
          <w:sz w:val="24"/>
          <w:szCs w:val="24"/>
        </w:rPr>
        <w:t>甲方：</w:t>
      </w:r>
      <w:r>
        <w:rPr>
          <w:rFonts w:hint="eastAsia"/>
          <w:sz w:val="24"/>
          <w:szCs w:val="24"/>
        </w:rPr>
        <w:t xml:space="preserve"> </w:t>
      </w:r>
      <w:r>
        <w:rPr>
          <w:rFonts w:hint="eastAsia"/>
          <w:sz w:val="24"/>
          <w:szCs w:val="24"/>
        </w:rPr>
        <w:t>（盖章）</w:t>
      </w:r>
    </w:p>
    <w:p w:rsidR="00A778B2" w:rsidP="00A778B2">
      <w:pPr>
        <w:ind w:left="503" w:hanging="581" w:leftChars="-37" w:hangingChars="242"/>
      </w:pPr>
      <w:r>
        <w:rPr>
          <w:rFonts w:hint="eastAsia"/>
          <w:sz w:val="24"/>
          <w:szCs w:val="24"/>
        </w:rPr>
        <w:t>责任单位负责人：（签字）</w:t>
      </w:r>
    </w:p>
    <w:p w:rsidR="00A778B2" w:rsidP="00A778B2">
      <w:pPr>
        <w:ind w:left="689" w:leftChars="328"/>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A778B2" w:rsidP="00A778B2">
      <w:pPr>
        <w:ind w:left="430" w:hanging="508" w:leftChars="-37" w:hangingChars="242"/>
      </w:pPr>
    </w:p>
    <w:p w:rsidR="00A778B2" w:rsidP="00A778B2"/>
    <w:p w:rsidR="00A778B2" w:rsidP="00A778B2"/>
    <w:p w:rsidR="00A778B2" w:rsidP="00A778B2">
      <w:r>
        <w:rPr>
          <w:rFonts w:hint="eastAsia"/>
          <w:sz w:val="24"/>
          <w:szCs w:val="24"/>
        </w:rPr>
        <w:t>乙方：</w:t>
      </w:r>
      <w:r>
        <w:rPr>
          <w:rFonts w:hint="eastAsia"/>
          <w:sz w:val="24"/>
          <w:szCs w:val="24"/>
        </w:rPr>
        <w:t xml:space="preserve">                </w:t>
      </w:r>
      <w:r>
        <w:rPr>
          <w:rFonts w:hint="eastAsia"/>
          <w:sz w:val="24"/>
          <w:szCs w:val="24"/>
        </w:rPr>
        <w:t>（盖章）</w:t>
      </w:r>
    </w:p>
    <w:p w:rsidR="00A778B2" w:rsidP="00A778B2">
      <w:r>
        <w:rPr>
          <w:rFonts w:hint="eastAsia"/>
          <w:sz w:val="24"/>
          <w:szCs w:val="24"/>
        </w:rPr>
        <w:t>法定代表人或授权委托人：（签字）</w:t>
      </w:r>
    </w:p>
    <w:p w:rsidR="00A778B2" w:rsidP="00A778B2">
      <w:pPr>
        <w:tabs>
          <w:tab w:val="left" w:pos="5365"/>
        </w:tabs>
        <w:ind w:firstLine="600" w:firstLineChars="250"/>
      </w:pPr>
      <w:r>
        <w:rPr>
          <w:rFonts w:hint="eastAsia"/>
          <w:sz w:val="24"/>
          <w:szCs w:val="24"/>
        </w:rPr>
        <w:t>年</w:t>
      </w:r>
      <w:r>
        <w:rPr>
          <w:rFonts w:hint="eastAsia"/>
          <w:sz w:val="24"/>
          <w:szCs w:val="24"/>
        </w:rPr>
        <w:t xml:space="preserve">   </w:t>
      </w:r>
      <w:r>
        <w:rPr>
          <w:rFonts w:hint="eastAsia"/>
          <w:sz w:val="24"/>
          <w:szCs w:val="24"/>
        </w:rPr>
        <w:t>月</w:t>
      </w:r>
      <w:r>
        <w:rPr>
          <w:rFonts w:hint="eastAsia"/>
          <w:sz w:val="24"/>
          <w:szCs w:val="24"/>
        </w:rPr>
        <w:t xml:space="preserve">   </w:t>
      </w:r>
      <w:r>
        <w:rPr>
          <w:rFonts w:hint="eastAsia"/>
          <w:sz w:val="24"/>
          <w:szCs w:val="24"/>
        </w:rPr>
        <w:t>日</w:t>
      </w:r>
    </w:p>
    <w:p w:rsidR="00A778B2" w:rsidP="00A778B2">
      <w:pPr>
        <w:widowControl/>
        <w:jc w:val="left"/>
        <w:rPr>
          <w:sz w:val="32"/>
          <w:szCs w:val="32"/>
        </w:rPr>
      </w:pPr>
      <w:r>
        <w:rPr>
          <w:rFonts w:hint="eastAsia"/>
          <w:sz w:val="32"/>
          <w:szCs w:val="32"/>
        </w:rPr>
        <w:br w:type="page"/>
      </w:r>
      <w:r>
        <w:rPr>
          <w:rFonts w:hint="eastAsia"/>
          <w:sz w:val="32"/>
          <w:szCs w:val="32"/>
        </w:rPr>
        <w:t>附件</w:t>
      </w:r>
      <w:r>
        <w:rPr>
          <w:rFonts w:hint="eastAsia"/>
          <w:sz w:val="32"/>
          <w:szCs w:val="32"/>
        </w:rPr>
        <w:t>2</w:t>
      </w:r>
    </w:p>
    <w:p w:rsidR="00A778B2" w:rsidP="00A778B2">
      <w:pPr>
        <w:jc w:val="center"/>
        <w:rPr>
          <w:spacing w:val="-16"/>
          <w:sz w:val="44"/>
          <w:szCs w:val="44"/>
        </w:rPr>
      </w:pPr>
      <w:bookmarkStart w:id="91" w:name="_Hlk99802248"/>
    </w:p>
    <w:p w:rsidR="00A778B2" w:rsidP="00A778B2">
      <w:pPr>
        <w:jc w:val="center"/>
        <w:rPr>
          <w:spacing w:val="-16"/>
          <w:sz w:val="44"/>
          <w:szCs w:val="44"/>
        </w:rPr>
      </w:pPr>
      <w:r>
        <w:rPr>
          <w:rFonts w:hint="eastAsia"/>
          <w:spacing w:val="-16"/>
          <w:sz w:val="44"/>
          <w:szCs w:val="44"/>
        </w:rPr>
        <w:t>安全保密承诺书</w:t>
      </w:r>
      <w:bookmarkEnd w:id="91"/>
    </w:p>
    <w:p w:rsidR="00A778B2" w:rsidP="00A778B2">
      <w:pPr>
        <w:jc w:val="center"/>
        <w:rPr>
          <w:b/>
          <w:spacing w:val="-16"/>
        </w:rPr>
      </w:pPr>
    </w:p>
    <w:p w:rsidR="00A778B2" w:rsidP="00A778B2">
      <w:pPr>
        <w:spacing w:line="560" w:lineRule="exact"/>
        <w:ind w:firstLine="480" w:firstLineChars="200"/>
      </w:pPr>
      <w:r>
        <w:rPr>
          <w:rFonts w:hint="eastAsia"/>
          <w:sz w:val="24"/>
          <w:szCs w:val="24"/>
        </w:rPr>
        <w:t>为确保本单位技术资料和数据的保密，信息网络、重要信息系统和网站安全、可靠、平稳地运行，本人郑重承诺遵守以下所列事项，对承诺书要求事项负责。若有违反，本人愿承担由此带来的相应责任。</w:t>
      </w:r>
    </w:p>
    <w:p w:rsidR="00A778B2" w:rsidP="00A778B2">
      <w:pPr>
        <w:spacing w:line="560" w:lineRule="exact"/>
        <w:ind w:firstLine="480" w:firstLineChars="200"/>
      </w:pPr>
      <w:r>
        <w:rPr>
          <w:rFonts w:hint="eastAsia"/>
          <w:sz w:val="24"/>
          <w:szCs w:val="24"/>
        </w:rPr>
        <w:t>一、本人已知悉，并承诺遵守《中华人民共和国网络安全法》、《中国气象局网络安全管理办法（试行）》等网络安全有关法律法规和行政规章制度。</w:t>
      </w:r>
    </w:p>
    <w:p w:rsidR="00A778B2" w:rsidP="00A778B2">
      <w:pPr>
        <w:spacing w:line="560" w:lineRule="exact"/>
        <w:ind w:firstLine="480" w:firstLineChars="200"/>
      </w:pPr>
      <w:r>
        <w:rPr>
          <w:rFonts w:hint="eastAsia"/>
          <w:sz w:val="24"/>
          <w:szCs w:val="24"/>
        </w:rPr>
        <w:t>二、本人承诺不利用本单位办公网络和无线网络危害国家安全、泄露国家秘密，不侵犯国家、社会、集体利益和第三方的合法权益，不从事违法犯罪活动。</w:t>
      </w:r>
    </w:p>
    <w:p w:rsidR="00A778B2" w:rsidP="00A778B2">
      <w:pPr>
        <w:spacing w:line="560" w:lineRule="exact"/>
        <w:ind w:firstLine="480" w:firstLineChars="200"/>
      </w:pPr>
      <w:r>
        <w:rPr>
          <w:rFonts w:hint="eastAsia"/>
          <w:sz w:val="24"/>
          <w:szCs w:val="24"/>
        </w:rPr>
        <w:t>三、本人承诺不从事危害互联网及办公网网络安全的活动，发现网络安全异常情况或违规使用网络情况及时</w:t>
      </w:r>
      <w:r>
        <w:rPr>
          <w:rFonts w:hint="eastAsia"/>
          <w:sz w:val="24"/>
          <w:szCs w:val="24"/>
        </w:rPr>
        <w:t>报告部</w:t>
      </w:r>
      <w:r>
        <w:rPr>
          <w:rFonts w:hint="eastAsia"/>
          <w:sz w:val="24"/>
          <w:szCs w:val="24"/>
        </w:rPr>
        <w:t>室领导。</w:t>
      </w:r>
    </w:p>
    <w:p w:rsidR="00A778B2" w:rsidP="00A778B2">
      <w:pPr>
        <w:spacing w:line="560" w:lineRule="exact"/>
        <w:ind w:firstLine="480" w:firstLineChars="200"/>
      </w:pPr>
      <w:r>
        <w:rPr>
          <w:rFonts w:hint="eastAsia"/>
          <w:sz w:val="24"/>
          <w:szCs w:val="24"/>
        </w:rPr>
        <w:t>四、本人承诺按规定使用办公网络、无线网络、</w:t>
      </w:r>
      <w:r>
        <w:rPr>
          <w:rFonts w:hint="eastAsia"/>
          <w:sz w:val="24"/>
          <w:szCs w:val="24"/>
        </w:rPr>
        <w:t>VPN</w:t>
      </w:r>
      <w:r>
        <w:rPr>
          <w:rFonts w:hint="eastAsia"/>
          <w:sz w:val="24"/>
          <w:szCs w:val="24"/>
        </w:rPr>
        <w:t>等。工作终端仅允许使用办公网络访问，坚决杜绝将工作终端接入无线网络或个人网络，杜绝一机两网、内外网相连、私自搭建无线</w:t>
      </w:r>
      <w:r>
        <w:rPr>
          <w:rFonts w:hint="eastAsia"/>
          <w:sz w:val="24"/>
          <w:szCs w:val="24"/>
        </w:rPr>
        <w:t>/</w:t>
      </w:r>
      <w:r>
        <w:rPr>
          <w:rFonts w:hint="eastAsia"/>
          <w:sz w:val="24"/>
          <w:szCs w:val="24"/>
        </w:rPr>
        <w:t>有线网络等违规行为发生。无线网络仅限于个人手机、电脑等个人设备和单位提供的专用无线上网设备连接。</w:t>
      </w:r>
      <w:r>
        <w:rPr>
          <w:rFonts w:hint="eastAsia"/>
          <w:sz w:val="24"/>
          <w:szCs w:val="24"/>
        </w:rPr>
        <w:t>VPN</w:t>
      </w:r>
      <w:r>
        <w:rPr>
          <w:rFonts w:hint="eastAsia"/>
          <w:sz w:val="24"/>
          <w:szCs w:val="24"/>
        </w:rPr>
        <w:t>仅限居家办公时对工作系统进行访问。</w:t>
      </w:r>
    </w:p>
    <w:p w:rsidR="00A778B2" w:rsidP="00A778B2">
      <w:pPr>
        <w:spacing w:line="560" w:lineRule="exact"/>
        <w:ind w:firstLine="480" w:firstLineChars="200"/>
      </w:pPr>
      <w:r>
        <w:rPr>
          <w:rFonts w:hint="eastAsia"/>
          <w:sz w:val="24"/>
          <w:szCs w:val="24"/>
        </w:rPr>
        <w:t>五、本人承诺按规定使用办公电脑等终端设备，不在工作终端上做与工作无关的事情，不随意更改网络终端设备软硬件配置，按要求安装终端安全管理软件，不安装盗版软件，不对终端设备设置弱密码。</w:t>
      </w:r>
    </w:p>
    <w:p w:rsidR="00A778B2" w:rsidP="00A778B2">
      <w:pPr>
        <w:spacing w:line="560" w:lineRule="exact"/>
        <w:ind w:firstLine="480" w:firstLineChars="200"/>
      </w:pPr>
      <w:r>
        <w:rPr>
          <w:rFonts w:hint="eastAsia"/>
          <w:sz w:val="24"/>
          <w:szCs w:val="24"/>
        </w:rPr>
        <w:t>六、本人承诺做好信息隐私保护工作，</w:t>
      </w:r>
      <w:r>
        <w:rPr>
          <w:rFonts w:hint="eastAsia"/>
          <w:sz w:val="24"/>
          <w:szCs w:val="24"/>
        </w:rPr>
        <w:t>不</w:t>
      </w:r>
      <w:r>
        <w:rPr>
          <w:rFonts w:hint="eastAsia"/>
          <w:sz w:val="24"/>
          <w:szCs w:val="24"/>
        </w:rPr>
        <w:t>私自给外部人员透露工作终端、工作系统、存储设备、无线网络等相关信息。未经允许不给外来人员使用无线网络。</w:t>
      </w:r>
    </w:p>
    <w:p w:rsidR="00A778B2" w:rsidP="00A778B2">
      <w:pPr>
        <w:spacing w:line="560" w:lineRule="exact"/>
        <w:ind w:firstLine="480" w:firstLineChars="200"/>
      </w:pPr>
      <w:r>
        <w:rPr>
          <w:rFonts w:hint="eastAsia"/>
          <w:sz w:val="24"/>
          <w:szCs w:val="24"/>
        </w:rPr>
        <w:t>七、本人承诺严格保守甲方的有关保密信息，不得以其他任何手段谋取私利，损害甲方的利益。</w:t>
      </w:r>
    </w:p>
    <w:p w:rsidR="00A778B2" w:rsidP="00A778B2">
      <w:pPr>
        <w:spacing w:line="560" w:lineRule="exact"/>
        <w:ind w:firstLine="480" w:firstLineChars="200"/>
      </w:pPr>
      <w:r>
        <w:rPr>
          <w:rFonts w:hint="eastAsia"/>
          <w:sz w:val="24"/>
          <w:szCs w:val="24"/>
        </w:rPr>
        <w:t>八、本人承诺未经甲方书面许可，不以任何名义向任何单位或个人泄露甲方保密信息。</w:t>
      </w:r>
    </w:p>
    <w:p w:rsidR="00A778B2" w:rsidP="00A778B2">
      <w:pPr>
        <w:spacing w:line="560" w:lineRule="exact"/>
        <w:ind w:firstLine="480" w:firstLineChars="200"/>
      </w:pPr>
      <w:r>
        <w:rPr>
          <w:rFonts w:hint="eastAsia"/>
          <w:sz w:val="24"/>
          <w:szCs w:val="24"/>
        </w:rPr>
        <w:t>九、本人承诺未经甲方书面许可，不对有关保密信息进行修改、补充、复制。</w:t>
      </w:r>
    </w:p>
    <w:p w:rsidR="00A778B2" w:rsidP="00A778B2">
      <w:pPr>
        <w:spacing w:line="560" w:lineRule="exact"/>
        <w:ind w:firstLine="480" w:firstLineChars="200"/>
      </w:pPr>
      <w:r>
        <w:rPr>
          <w:rFonts w:hint="eastAsia"/>
          <w:sz w:val="24"/>
          <w:szCs w:val="24"/>
        </w:rPr>
        <w:t>十、本人承诺未经甲方书面许可，不将保密信息以任何方式携带出甲方场所。</w:t>
      </w:r>
    </w:p>
    <w:p w:rsidR="00A778B2" w:rsidP="00A778B2">
      <w:pPr>
        <w:spacing w:line="560" w:lineRule="exact"/>
        <w:ind w:firstLine="480" w:firstLineChars="200"/>
      </w:pPr>
      <w:r>
        <w:rPr>
          <w:rFonts w:hint="eastAsia"/>
          <w:sz w:val="24"/>
          <w:szCs w:val="24"/>
        </w:rPr>
        <w:t>十一、本人承诺未经甲方书面许可，</w:t>
      </w:r>
      <w:r>
        <w:rPr>
          <w:rFonts w:hint="eastAsia"/>
          <w:sz w:val="24"/>
          <w:szCs w:val="24"/>
        </w:rPr>
        <w:t>不在除</w:t>
      </w:r>
      <w:r>
        <w:rPr>
          <w:rFonts w:hint="eastAsia"/>
          <w:sz w:val="24"/>
          <w:szCs w:val="24"/>
        </w:rPr>
        <w:t>甲方项目之外的任何地方使用与甲方相关的保密信息。</w:t>
      </w:r>
    </w:p>
    <w:p w:rsidR="00A778B2" w:rsidP="00A778B2">
      <w:pPr>
        <w:spacing w:line="560" w:lineRule="exact"/>
        <w:ind w:firstLine="420" w:firstLineChars="200"/>
      </w:pPr>
    </w:p>
    <w:p w:rsidR="00A778B2" w:rsidP="00A778B2">
      <w:pPr>
        <w:spacing w:line="560" w:lineRule="exact"/>
        <w:ind w:firstLine="480" w:firstLineChars="200"/>
      </w:pPr>
      <w:r>
        <w:rPr>
          <w:rFonts w:hint="eastAsia"/>
          <w:sz w:val="24"/>
          <w:szCs w:val="24"/>
        </w:rPr>
        <w:t>本承诺</w:t>
      </w:r>
      <w:r>
        <w:rPr>
          <w:rFonts w:hint="eastAsia"/>
          <w:sz w:val="24"/>
          <w:szCs w:val="24"/>
        </w:rPr>
        <w:t>书自签署之日起生效。</w:t>
      </w:r>
    </w:p>
    <w:p w:rsidR="00A778B2" w:rsidP="00A778B2">
      <w:pPr>
        <w:spacing w:line="560" w:lineRule="exact"/>
        <w:ind w:firstLine="420" w:firstLineChars="200"/>
      </w:pPr>
    </w:p>
    <w:p w:rsidR="00A778B2" w:rsidP="00A778B2">
      <w:pPr>
        <w:spacing w:line="560" w:lineRule="exact"/>
        <w:ind w:left="4620" w:firstLine="480" w:leftChars="2200" w:firstLineChars="200"/>
      </w:pPr>
      <w:r>
        <w:rPr>
          <w:rFonts w:hint="eastAsia"/>
          <w:sz w:val="24"/>
          <w:szCs w:val="24"/>
        </w:rPr>
        <w:t>承诺人：</w:t>
      </w:r>
    </w:p>
    <w:p w:rsidR="00A778B2" w:rsidP="00A778B2">
      <w:pPr>
        <w:spacing w:line="560" w:lineRule="exact"/>
        <w:ind w:left="4620" w:firstLine="480" w:leftChars="2200" w:firstLineChars="200"/>
      </w:pPr>
      <w:r>
        <w:rPr>
          <w:rFonts w:hint="eastAsia"/>
          <w:sz w:val="24"/>
          <w:szCs w:val="24"/>
        </w:rPr>
        <w:t>日期：</w:t>
      </w:r>
      <w:r>
        <w:rPr>
          <w:rFonts w:hint="eastAsia"/>
          <w:sz w:val="24"/>
          <w:szCs w:val="24"/>
        </w:rPr>
        <w:t xml:space="preserve"> </w:t>
      </w:r>
    </w:p>
    <w:p w:rsidR="00A778B2" w:rsidP="00A778B2">
      <w:pPr>
        <w:rPr>
          <w:sz w:val="32"/>
          <w:szCs w:val="32"/>
        </w:rPr>
      </w:pPr>
      <w:r>
        <w:rPr>
          <w:rFonts w:hint="eastAsia"/>
        </w:rPr>
        <w:br w:type="page"/>
      </w:r>
      <w:r>
        <w:rPr>
          <w:rFonts w:hint="eastAsia"/>
          <w:sz w:val="32"/>
          <w:szCs w:val="32"/>
        </w:rPr>
        <w:t>附件</w:t>
      </w:r>
      <w:r>
        <w:rPr>
          <w:rFonts w:hint="eastAsia"/>
          <w:sz w:val="32"/>
          <w:szCs w:val="32"/>
        </w:rPr>
        <w:t>3</w:t>
      </w:r>
    </w:p>
    <w:p w:rsidR="00A778B2" w:rsidP="00A778B2">
      <w:pPr>
        <w:jc w:val="center"/>
        <w:rPr>
          <w:spacing w:val="-16"/>
          <w:sz w:val="44"/>
          <w:szCs w:val="44"/>
        </w:rPr>
      </w:pPr>
    </w:p>
    <w:p w:rsidR="00A778B2" w:rsidP="00A778B2">
      <w:pPr>
        <w:jc w:val="center"/>
        <w:rPr>
          <w:spacing w:val="-16"/>
          <w:sz w:val="44"/>
          <w:szCs w:val="44"/>
        </w:rPr>
      </w:pPr>
      <w:r>
        <w:rPr>
          <w:rFonts w:hint="eastAsia"/>
          <w:spacing w:val="-16"/>
          <w:sz w:val="44"/>
          <w:szCs w:val="44"/>
        </w:rPr>
        <w:t>统筹集约承诺书</w:t>
      </w:r>
    </w:p>
    <w:p w:rsidR="00A778B2" w:rsidP="00A778B2">
      <w:pPr>
        <w:jc w:val="center"/>
        <w:rPr>
          <w:b/>
          <w:spacing w:val="-16"/>
        </w:rPr>
      </w:pPr>
    </w:p>
    <w:p w:rsidR="00A778B2" w:rsidP="00A778B2">
      <w:pPr>
        <w:spacing w:line="560" w:lineRule="exact"/>
        <w:ind w:firstLine="480" w:firstLineChars="200"/>
      </w:pPr>
      <w:r>
        <w:rPr>
          <w:rFonts w:hint="eastAsia"/>
          <w:sz w:val="24"/>
          <w:szCs w:val="24"/>
        </w:rPr>
        <w:t>为规范气象业务系统统筹集约建设，确保业务系统按照中国气象局有关业务软件组件</w:t>
      </w:r>
      <w:r>
        <w:rPr>
          <w:rFonts w:hint="eastAsia"/>
          <w:sz w:val="24"/>
          <w:szCs w:val="24"/>
        </w:rPr>
        <w:t>化开发</w:t>
      </w:r>
      <w:r>
        <w:rPr>
          <w:rFonts w:hint="eastAsia"/>
          <w:sz w:val="24"/>
          <w:szCs w:val="24"/>
        </w:rPr>
        <w:t>的相关管理规定和标准规范要求开发，在硬件、数据、流程、标准化和监控等</w:t>
      </w:r>
      <w:r>
        <w:rPr>
          <w:rFonts w:hint="eastAsia"/>
          <w:sz w:val="24"/>
          <w:szCs w:val="24"/>
        </w:rPr>
        <w:t>5</w:t>
      </w:r>
      <w:r>
        <w:rPr>
          <w:rFonts w:hint="eastAsia"/>
          <w:sz w:val="24"/>
          <w:szCs w:val="24"/>
        </w:rPr>
        <w:t>方面满足集约要求，本人郑重承诺遵守以下所列事项，对承诺书要求事项负责。若有违反，本人愿承担由此带来的相应责任。</w:t>
      </w:r>
    </w:p>
    <w:p w:rsidR="00A778B2" w:rsidP="00A778B2">
      <w:pPr>
        <w:spacing w:line="560" w:lineRule="exact"/>
        <w:ind w:firstLine="480" w:firstLineChars="200"/>
      </w:pPr>
      <w:r>
        <w:rPr>
          <w:rFonts w:hint="eastAsia"/>
          <w:sz w:val="24"/>
          <w:szCs w:val="24"/>
        </w:rPr>
        <w:t>一、本人已知悉，并承诺遵守中国气象局印发的《气象信息系统集约化管理办法》以及中国气象局和国家发展改革委引发的《关于统筹集约建设气象业务软件的指导意见》等行政规章制度。</w:t>
      </w:r>
    </w:p>
    <w:p w:rsidR="00A778B2" w:rsidP="00A778B2">
      <w:pPr>
        <w:spacing w:line="560" w:lineRule="exact"/>
        <w:ind w:firstLine="480" w:firstLineChars="200"/>
      </w:pPr>
      <w:r>
        <w:rPr>
          <w:rFonts w:hint="eastAsia"/>
          <w:sz w:val="24"/>
          <w:szCs w:val="24"/>
        </w:rPr>
        <w:t>二、本人承诺系统运行统一使用气象基础设施云平台的计算、存储、网络等硬件设备，新建硬件设备符合气象基础设施云平台技术标准规范，并纳入气象基础设施云平台统筹管理。</w:t>
      </w:r>
    </w:p>
    <w:p w:rsidR="00A778B2" w:rsidP="00A778B2">
      <w:pPr>
        <w:spacing w:line="560" w:lineRule="exact"/>
        <w:ind w:firstLine="480" w:firstLineChars="200"/>
      </w:pPr>
      <w:r>
        <w:rPr>
          <w:rFonts w:hint="eastAsia"/>
          <w:sz w:val="24"/>
          <w:szCs w:val="24"/>
        </w:rPr>
        <w:t>三、本人承诺系统输入数据及输出产品（包含中间数据）在气象大数据云平台统一存储管理。数据、产品的命名、格式符合气象数据统一技术标准规范，输出产品的分级分类、知识产权归属、共享使用范围按照气象数据管理要求设置和报告。</w:t>
      </w:r>
    </w:p>
    <w:p w:rsidR="00A778B2" w:rsidP="00A778B2">
      <w:pPr>
        <w:spacing w:line="560" w:lineRule="exact"/>
        <w:ind w:firstLine="480" w:firstLineChars="200"/>
      </w:pPr>
      <w:r>
        <w:rPr>
          <w:rFonts w:hint="eastAsia"/>
          <w:sz w:val="24"/>
          <w:szCs w:val="24"/>
        </w:rPr>
        <w:t>四、本人承诺系统输入数据的采（收）集、传输、处理流程统一基于气象通信系统实现，产品算法由气象大数据云平台加工流水线统一调度运行，交互分析等服务接口</w:t>
      </w:r>
      <w:r>
        <w:rPr>
          <w:rFonts w:hint="eastAsia"/>
          <w:sz w:val="24"/>
          <w:szCs w:val="24"/>
        </w:rPr>
        <w:t>采用众创接口</w:t>
      </w:r>
      <w:r>
        <w:rPr>
          <w:rFonts w:hint="eastAsia"/>
          <w:sz w:val="24"/>
          <w:szCs w:val="24"/>
        </w:rPr>
        <w:t>技术标准规范并进行统一注册管理。</w:t>
      </w:r>
    </w:p>
    <w:p w:rsidR="00A778B2" w:rsidP="00A778B2">
      <w:pPr>
        <w:spacing w:line="560" w:lineRule="exact"/>
        <w:ind w:firstLine="480" w:firstLineChars="200"/>
      </w:pPr>
      <w:r>
        <w:rPr>
          <w:rFonts w:hint="eastAsia"/>
          <w:sz w:val="24"/>
          <w:szCs w:val="24"/>
        </w:rPr>
        <w:t>五、本人承诺系统基于气象大数据云平台统一软件开发服务环境，采用“云</w:t>
      </w:r>
      <w:r>
        <w:rPr>
          <w:rFonts w:hint="eastAsia"/>
          <w:sz w:val="24"/>
          <w:szCs w:val="24"/>
        </w:rPr>
        <w:t>+</w:t>
      </w:r>
      <w:r>
        <w:rPr>
          <w:rFonts w:hint="eastAsia"/>
          <w:sz w:val="24"/>
          <w:szCs w:val="24"/>
        </w:rPr>
        <w:t>端”架构、组件化方式设计，应当最大程度使用已有组件，已有组件不能满足需求的，按照组件统一技术标准规范新建或升级改造已有组件后使用；新建或改造的组件应进行登记备案，并纳入中心统一的组件资产库管理。</w:t>
      </w:r>
    </w:p>
    <w:p w:rsidR="00A778B2" w:rsidP="00A778B2">
      <w:pPr>
        <w:spacing w:line="560" w:lineRule="exact"/>
        <w:ind w:firstLine="480" w:firstLineChars="200"/>
      </w:pPr>
      <w:r>
        <w:rPr>
          <w:rFonts w:hint="eastAsia"/>
          <w:sz w:val="24"/>
          <w:szCs w:val="24"/>
        </w:rPr>
        <w:t>六、系统运行状态、异常告警、数据流向流量、用户操作等监控信息按统一技术</w:t>
      </w:r>
      <w:r>
        <w:rPr>
          <w:rFonts w:hint="eastAsia"/>
          <w:sz w:val="24"/>
          <w:szCs w:val="24"/>
        </w:rPr>
        <w:t>标准规范向气象综合业务实时监控系统提供。</w:t>
      </w:r>
    </w:p>
    <w:p w:rsidR="00A778B2" w:rsidP="00A778B2">
      <w:pPr>
        <w:spacing w:line="560" w:lineRule="exact"/>
        <w:ind w:firstLine="420" w:firstLineChars="200"/>
      </w:pPr>
    </w:p>
    <w:p w:rsidR="00A778B2" w:rsidP="00A778B2">
      <w:pPr>
        <w:spacing w:line="560" w:lineRule="exact"/>
        <w:ind w:firstLine="480" w:firstLineChars="200"/>
      </w:pPr>
      <w:r>
        <w:rPr>
          <w:rFonts w:hint="eastAsia"/>
          <w:sz w:val="24"/>
          <w:szCs w:val="24"/>
        </w:rPr>
        <w:t>本承诺</w:t>
      </w:r>
      <w:r>
        <w:rPr>
          <w:rFonts w:hint="eastAsia"/>
          <w:sz w:val="24"/>
          <w:szCs w:val="24"/>
        </w:rPr>
        <w:t>书自签署之日起生效。</w:t>
      </w:r>
    </w:p>
    <w:p w:rsidR="00A778B2" w:rsidP="00A778B2">
      <w:pPr>
        <w:spacing w:line="560" w:lineRule="exact"/>
        <w:ind w:firstLine="420" w:firstLineChars="200"/>
      </w:pPr>
    </w:p>
    <w:p w:rsidR="00A778B2" w:rsidP="00A778B2">
      <w:pPr>
        <w:spacing w:line="560" w:lineRule="exact"/>
        <w:ind w:left="4620" w:firstLine="480" w:leftChars="2200" w:firstLineChars="200"/>
      </w:pPr>
      <w:r>
        <w:rPr>
          <w:rFonts w:hint="eastAsia"/>
          <w:sz w:val="24"/>
          <w:szCs w:val="24"/>
        </w:rPr>
        <w:t>承诺人：</w:t>
      </w:r>
    </w:p>
    <w:p w:rsidR="00A778B2" w:rsidP="00A778B2">
      <w:pPr>
        <w:spacing w:line="560" w:lineRule="exact"/>
        <w:ind w:left="4620" w:firstLine="480" w:leftChars="2200" w:firstLineChars="200"/>
      </w:pPr>
      <w:r>
        <w:rPr>
          <w:rFonts w:hint="eastAsia"/>
          <w:sz w:val="24"/>
          <w:szCs w:val="24"/>
        </w:rPr>
        <w:t>日期：</w:t>
      </w:r>
      <w:r>
        <w:rPr>
          <w:rFonts w:hint="eastAsia"/>
          <w:sz w:val="24"/>
          <w:szCs w:val="24"/>
        </w:rPr>
        <w:t xml:space="preserve"> </w:t>
      </w:r>
    </w:p>
    <w:p w:rsidR="00A778B2" w:rsidP="00A778B2">
      <w:pPr>
        <w:rPr>
          <w:rFonts w:ascii="黑体" w:eastAsia="黑体" w:hAnsi="黑体" w:cs="黑体"/>
          <w:sz w:val="32"/>
          <w:szCs w:val="32"/>
        </w:rPr>
      </w:pPr>
    </w:p>
    <w:p w:rsidR="00A778B2" w:rsidP="00A778B2">
      <w:pPr>
        <w:rPr>
          <w:rFonts w:ascii="黑体" w:eastAsia="黑体" w:hAnsi="黑体" w:cs="黑体"/>
          <w:sz w:val="32"/>
          <w:szCs w:val="32"/>
        </w:rPr>
      </w:pPr>
    </w:p>
    <w:p w:rsidR="00A778B2"/>
    <w:p w:rsidR="00A778B2"/>
    <w:p w:rsidR="00A778B2"/>
    <w:p w:rsidR="00A77B3E"/>
    <w:p>
      <w:pPr>
        <w:spacing w:line="360" w:lineRule="auto"/>
        <w:ind w:firstLine="3066" w:firstLineChars="1460"/>
        <w:jc w:val="left"/>
        <w:rPr>
          <w:b/>
          <w:bCs/>
          <w:szCs w:val="21"/>
          <w:highlight w:val="none"/>
        </w:rPr>
      </w:pPr>
      <w:bookmarkEnd w:id="71"/>
    </w:p>
    <w:p>
      <w:pPr>
        <w:rPr>
          <w:rFonts w:ascii="Calibri" w:hAnsi="Calibri"/>
          <w:szCs w:val="22"/>
          <w:highlight w:val="none"/>
        </w:rPr>
      </w:pPr>
    </w:p>
    <w:p>
      <w:pPr>
        <w:spacing w:line="360" w:lineRule="auto"/>
        <w:jc w:val="left"/>
        <w:rPr>
          <w:b/>
          <w:bCs/>
          <w:sz w:val="44"/>
          <w:szCs w:val="44"/>
          <w:highlight w:val="none"/>
        </w:rPr>
      </w:pPr>
    </w:p>
    <w:sectPr>
      <w:headerReference w:type="even" r:id="rId12"/>
      <w:headerReference w:type="default" r:id="rId13"/>
      <w:footerReference w:type="default" r:id="rId14"/>
      <w:headerReference w:type="first" r:id="rId15"/>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altName w:val="Times New Roman"/>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altName w:val="Noto Sans Syriac Eastern"/>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altName w:val="DejaVu Sans"/>
    <w:panose1 w:val="02070309020205020404"/>
    <w:charset w:val="01"/>
    <w:family w:val="modern"/>
    <w:pitch w:val="fixed"/>
    <w:sig w:usb0="E0002EFF" w:usb1="C0007843" w:usb2="00000009" w:usb3="00000000" w:csb0="400001FF" w:csb1="FFFF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fixed"/>
    <w:sig w:usb0="00000001" w:usb1="080E0000" w:usb2="00000010" w:usb3="00000000" w:csb0="00040001"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Calibri">
    <w:altName w:val="微软雅黑"/>
    <w:panose1 w:val="020F0502020204030204"/>
    <w:charset w:val="00"/>
    <w:family w:val="swiss"/>
    <w:pitch w:val="variable"/>
    <w:sig w:usb0="E4002EFF" w:usb1="C200247B" w:usb2="00000009" w:usb3="00000000" w:csb0="2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default"/>
    <w:sig w:usb0="00000000" w:usb1="00000000" w:usb2="00000000" w:usb3="00000000" w:csb0="80000001" w:csb1="00000000"/>
  </w:font>
  <w:font w:name="Wingdings 2">
    <w:panose1 w:val="05020102010507070707"/>
    <w:charset w:val="02"/>
    <w:family w:val="roman"/>
    <w:pitch w:val="default"/>
    <w:sig w:usb0="00000000" w:usb1="00000000" w:usb2="00000000" w:usb3="00000000" w:csb0="80000000" w:csb1="00000000"/>
  </w:font>
  <w:font w:name="等线 Light">
    <w:altName w:val="宋体"/>
    <w:panose1 w:val="02010600030101010101"/>
    <w:charset w:val="00"/>
    <w:family w:val="auto"/>
    <w:pitch w:val="default"/>
    <w:sig w:usb0="A00002BF" w:usb1="38CF7CFA" w:usb2="00000016" w:usb3="00000000" w:csb0="0004000F" w:csb1="00000000"/>
  </w:font>
  <w:font w:name="华文楷体">
    <w:altName w:val="方正楷体_GBK"/>
    <w:panose1 w:val="02010600040101010101"/>
    <w:charset w:val="86"/>
    <w:family w:val="auto"/>
    <w:pitch w:val="variable"/>
    <w:sig w:usb0="00000287" w:usb1="080F0000" w:usb2="00000010" w:usb3="00000000" w:csb0="0004009F" w:csb1="00000000"/>
  </w:font>
  <w:font w:name="Helvetica">
    <w:altName w:val="Liberation Sans"/>
    <w:panose1 w:val="020B0604020202020204"/>
    <w:charset w:val="00"/>
    <w:family w:val="swiss"/>
    <w:pitch w:val="default"/>
    <w:sig w:usb0="E0002EFF" w:usb1="C000785B" w:usb2="00000009" w:usb3="00000000" w:csb0="000001FF" w:csb1="00000000"/>
  </w:font>
  <w:font w:name="楷体">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fixed"/>
    <w:sig w:usb0="00000001" w:usb1="080E0000" w:usb2="00000010" w:usb3="00000000" w:csb0="00040000"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rPr>
        <w:rFonts w:ascii="宋体" w:hAnsi="宋体"/>
        <w:sz w:val="21"/>
        <w:szCs w:val="21"/>
      </w:rPr>
    </w:pPr>
    <w:r>
      <w:rPr>
        <w:rFonts w:ascii="宋体" w:hAnsi="宋体"/>
        <w:sz w:val="21"/>
        <w:szCs w:val="21"/>
      </w:rPr>
      <w:fldChar w:fldCharType="begin"/>
    </w:r>
    <w:r>
      <w:rPr>
        <w:rFonts w:ascii="宋体" w:hAnsi="宋体"/>
        <w:sz w:val="21"/>
        <w:szCs w:val="21"/>
      </w:rPr>
      <w:instrText>PAGE   \* MERGEFORMAT</w:instrText>
    </w:r>
    <w:r>
      <w:rPr>
        <w:rFonts w:ascii="宋体" w:hAnsi="宋体"/>
        <w:sz w:val="21"/>
        <w:szCs w:val="21"/>
      </w:rPr>
      <w:fldChar w:fldCharType="separate"/>
    </w:r>
    <w:r>
      <w:rPr>
        <w:rFonts w:ascii="宋体" w:hAnsi="宋体"/>
        <w:sz w:val="21"/>
        <w:szCs w:val="21"/>
        <w:lang w:val="zh-CN"/>
      </w:rPr>
      <w:t>71</w:t>
    </w:r>
    <w:r>
      <w:rPr>
        <w:rFonts w:ascii="宋体" w:hAnsi="宋体"/>
        <w:sz w:val="21"/>
        <w:szCs w:val="21"/>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napToGrid w:val="0"/>
      <w:jc w:val="center"/>
      <w:rPr>
        <w:sz w:val="18"/>
      </w:rPr>
    </w:pPr>
    <w:r>
      <w:rPr>
        <w:sz w:val="18"/>
      </w:rPr>
      <w:fldChar w:fldCharType="begin"/>
    </w:r>
    <w:r>
      <w:rPr>
        <w:sz w:val="18"/>
      </w:rPr>
      <w:instrText xml:space="preserve"> PAGE   \* MERGEFORMAT </w:instrText>
    </w:r>
    <w:r>
      <w:rPr>
        <w:sz w:val="18"/>
      </w:rPr>
      <w:fldChar w:fldCharType="separate"/>
    </w:r>
    <w:r>
      <w:rPr>
        <w:sz w:val="18"/>
        <w:lang w:val="zh-CN"/>
      </w:rPr>
      <w:t>72</w:t>
    </w:r>
    <w:r>
      <w:rPr>
        <w:sz w:val="18"/>
      </w:rPr>
      <w:fldChar w:fldCharType="end"/>
    </w:r>
  </w:p>
  <w:p>
    <w:pPr>
      <w:snapToGrid w:val="0"/>
      <w:jc w:val="left"/>
      <w:rPr>
        <w:sz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framePr w:wrap="around" w:vAnchor="text" w:hAnchor="margin" w:xAlign="right" w:y="1"/>
      <w:snapToGrid w:val="0"/>
      <w:jc w:val="left"/>
      <w:rPr>
        <w:rStyle w:val="PageNumber"/>
        <w:rFonts w:ascii="Times New Roman" w:eastAsia="宋体" w:hAnsi="Times New Roman" w:cs="Times New Roman"/>
        <w:sz w:val="18"/>
      </w:rPr>
    </w:pPr>
    <w:r>
      <w:rPr>
        <w:rFonts w:ascii="Times New Roman" w:eastAsia="宋体" w:hAnsi="Times New Roman" w:cs="Times New Roman"/>
        <w:sz w:val="18"/>
      </w:rPr>
      <w:fldChar w:fldCharType="begin"/>
    </w:r>
    <w:r>
      <w:rPr>
        <w:rStyle w:val="PageNumber"/>
        <w:rFonts w:ascii="Times New Roman" w:eastAsia="宋体" w:hAnsi="Times New Roman" w:cs="Times New Roman"/>
      </w:rPr>
      <w:instrText xml:space="preserve">PAGE  </w:instrText>
    </w:r>
    <w:r>
      <w:rPr>
        <w:rFonts w:ascii="Times New Roman" w:eastAsia="宋体" w:hAnsi="Times New Roman" w:cs="Times New Roman"/>
        <w:sz w:val="18"/>
      </w:rPr>
      <w:fldChar w:fldCharType="separate"/>
    </w:r>
    <w:r>
      <w:rPr>
        <w:rFonts w:ascii="Times New Roman" w:eastAsia="宋体" w:hAnsi="Times New Roman" w:cs="Times New Roman"/>
        <w:sz w:val="18"/>
      </w:rPr>
      <w:fldChar w:fldCharType="end"/>
    </w:r>
  </w:p>
  <w:p w:rsidR="004161F4">
    <w:pPr>
      <w:snapToGrid w:val="0"/>
      <w:ind w:right="360"/>
      <w:jc w:val="left"/>
      <w:rPr>
        <w:rFonts w:ascii="Times New Roman" w:eastAsia="宋体" w:hAnsi="Times New Roman" w:cs="Times New Roman"/>
        <w:sz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161F4">
    <w:pPr>
      <w:snapToGrid w:val="0"/>
      <w:jc w:val="center"/>
      <w:rPr>
        <w:rFonts w:ascii="宋体" w:eastAsia="宋体" w:hAnsi="宋体" w:cs="Times New Roman"/>
        <w:szCs w:val="21"/>
      </w:rPr>
    </w:pPr>
    <w:r>
      <w:rPr>
        <w:rFonts w:ascii="宋体" w:eastAsia="宋体" w:hAnsi="宋体" w:cs="Times New Roman"/>
        <w:szCs w:val="21"/>
      </w:rPr>
      <w:fldChar w:fldCharType="begin"/>
    </w:r>
    <w:r>
      <w:rPr>
        <w:rFonts w:ascii="宋体" w:eastAsia="宋体" w:hAnsi="宋体" w:cs="Times New Roman"/>
        <w:szCs w:val="21"/>
      </w:rPr>
      <w:instrText>PAGE   \* MERGEFORMAT</w:instrText>
    </w:r>
    <w:r>
      <w:rPr>
        <w:rFonts w:ascii="宋体" w:eastAsia="宋体" w:hAnsi="宋体" w:cs="Times New Roman"/>
        <w:szCs w:val="21"/>
      </w:rPr>
      <w:fldChar w:fldCharType="separate"/>
    </w:r>
    <w:r w:rsidRPr="00290E28" w:rsidR="00290E28">
      <w:rPr>
        <w:rFonts w:ascii="宋体" w:eastAsia="宋体" w:hAnsi="宋体" w:cs="Times New Roman"/>
        <w:noProof/>
        <w:szCs w:val="21"/>
        <w:lang w:val="zh-CN"/>
      </w:rPr>
      <w:t>3</w:t>
    </w:r>
    <w:r>
      <w:rPr>
        <w:rFonts w:ascii="宋体" w:eastAsia="宋体" w:hAnsi="宋体" w:cs="Times New Roman"/>
        <w:szCs w:val="21"/>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73</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Bdr>
        <w:top w:val="none" w:sz="0" w:space="1" w:color="auto"/>
        <w:left w:val="none" w:sz="0" w:space="4" w:color="auto"/>
        <w:bottom w:val="none" w:sz="0" w:space="1" w:color="auto"/>
        <w:right w:val="none" w:sz="0" w:space="4" w:color="auto"/>
      </w:pBdr>
      <w:snapToGrid w:val="0"/>
      <w:jc w:val="left"/>
      <w:rPr>
        <w:sz w:val="18"/>
      </w:rPr>
    </w:pPr>
    <w:r>
      <w:rPr>
        <w:sz w:val="18"/>
      </w:rP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4"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3FE6617"/>
    <w:multiLevelType w:val="singleLevel"/>
    <w:tmpl w:val="93FE6617"/>
    <w:lvl w:ilvl="0">
      <w:start w:val="1"/>
      <w:numFmt w:val="decimal"/>
      <w:lvlText w:val="%1."/>
      <w:lvlJc w:val="left"/>
      <w:pPr>
        <w:tabs>
          <w:tab w:val="left" w:pos="880"/>
        </w:tabs>
      </w:pPr>
    </w:lvl>
  </w:abstractNum>
  <w:abstractNum w:abstractNumId="1">
    <w:nsid w:val="A7BFD79F"/>
    <w:multiLevelType w:val="singleLevel"/>
    <w:tmpl w:val="A7BFD79F"/>
    <w:lvl w:ilvl="0">
      <w:start w:val="1"/>
      <w:numFmt w:val="decimal"/>
      <w:lvlText w:val="%1)"/>
      <w:lvlJc w:val="left"/>
      <w:pPr>
        <w:ind w:left="425" w:hanging="425"/>
      </w:pPr>
      <w:rPr>
        <w:rFonts w:hint="default"/>
      </w:rPr>
    </w:lvl>
  </w:abstractNum>
  <w:abstractNum w:abstractNumId="2">
    <w:nsid w:val="AF9F7ACF"/>
    <w:multiLevelType w:val="singleLevel"/>
    <w:tmpl w:val="AF9F7ACF"/>
    <w:lvl w:ilvl="0">
      <w:start w:val="1"/>
      <w:numFmt w:val="decimal"/>
      <w:lvlText w:val="%1)"/>
      <w:lvlJc w:val="left"/>
      <w:pPr>
        <w:ind w:left="425" w:hanging="425"/>
      </w:pPr>
      <w:rPr>
        <w:rFonts w:hint="default"/>
      </w:rPr>
    </w:lvl>
  </w:abstractNum>
  <w:abstractNum w:abstractNumId="3">
    <w:nsid w:val="DF7A974B"/>
    <w:multiLevelType w:val="singleLevel"/>
    <w:tmpl w:val="DF7A974B"/>
    <w:lvl w:ilvl="0">
      <w:start w:val="1"/>
      <w:numFmt w:val="decimal"/>
      <w:lvlText w:val="%1)"/>
      <w:lvlJc w:val="left"/>
      <w:pPr>
        <w:ind w:left="425" w:hanging="425"/>
      </w:pPr>
      <w:rPr>
        <w:rFonts w:hint="default"/>
      </w:rPr>
    </w:lvl>
  </w:abstractNum>
  <w:abstractNum w:abstractNumId="4">
    <w:nsid w:val="DFCE4441"/>
    <w:multiLevelType w:val="singleLevel"/>
    <w:tmpl w:val="DFCE4441"/>
    <w:lvl w:ilvl="0">
      <w:start w:val="1"/>
      <w:numFmt w:val="decimal"/>
      <w:lvlText w:val="%1)"/>
      <w:lvlJc w:val="left"/>
      <w:pPr>
        <w:ind w:left="425" w:hanging="425"/>
      </w:pPr>
      <w:rPr>
        <w:rFonts w:hint="default"/>
      </w:rPr>
    </w:lvl>
  </w:abstractNum>
  <w:abstractNum w:abstractNumId="5">
    <w:nsid w:val="E7F65004"/>
    <w:multiLevelType w:val="singleLevel"/>
    <w:tmpl w:val="E7F65004"/>
    <w:lvl w:ilvl="0">
      <w:start w:val="1"/>
      <w:numFmt w:val="decimal"/>
      <w:lvlText w:val="%1)"/>
      <w:lvlJc w:val="left"/>
      <w:pPr>
        <w:ind w:left="425" w:hanging="425"/>
      </w:pPr>
      <w:rPr>
        <w:rFonts w:hint="default"/>
      </w:rPr>
    </w:lvl>
  </w:abstractNum>
  <w:abstractNum w:abstractNumId="6">
    <w:nsid w:val="EDECB7AC"/>
    <w:multiLevelType w:val="singleLevel"/>
    <w:tmpl w:val="EDECB7AC"/>
    <w:lvl w:ilvl="0">
      <w:start w:val="1"/>
      <w:numFmt w:val="decimal"/>
      <w:lvlText w:val="%1)"/>
      <w:lvlJc w:val="left"/>
      <w:pPr>
        <w:ind w:left="425" w:hanging="425"/>
      </w:pPr>
      <w:rPr>
        <w:rFonts w:hint="default"/>
      </w:rPr>
    </w:lvl>
  </w:abstractNum>
  <w:abstractNum w:abstractNumId="7">
    <w:nsid w:val="EFF96211"/>
    <w:multiLevelType w:val="singleLevel"/>
    <w:tmpl w:val="EFF96211"/>
    <w:lvl w:ilvl="0">
      <w:start w:val="1"/>
      <w:numFmt w:val="decimal"/>
      <w:lvlText w:val="%1)"/>
      <w:lvlJc w:val="left"/>
      <w:pPr>
        <w:ind w:left="425" w:hanging="425"/>
      </w:pPr>
      <w:rPr>
        <w:rFonts w:hint="default"/>
      </w:rPr>
    </w:lvl>
  </w:abstractNum>
  <w:abstractNum w:abstractNumId="8">
    <w:nsid w:val="FCFBA019"/>
    <w:multiLevelType w:val="singleLevel"/>
    <w:tmpl w:val="FCFBA019"/>
    <w:lvl w:ilvl="0">
      <w:start w:val="1"/>
      <w:numFmt w:val="decimal"/>
      <w:lvlText w:val="%1)"/>
      <w:lvlJc w:val="left"/>
      <w:pPr>
        <w:ind w:left="425" w:hanging="425"/>
      </w:pPr>
      <w:rPr>
        <w:rFonts w:hint="default"/>
      </w:rPr>
    </w:lvl>
  </w:abstractNum>
  <w:abstractNum w:abstractNumId="9">
    <w:nsid w:val="FF3F1685"/>
    <w:multiLevelType w:val="singleLevel"/>
    <w:tmpl w:val="FF3F1685"/>
    <w:lvl w:ilvl="0">
      <w:start w:val="1"/>
      <w:numFmt w:val="decimal"/>
      <w:lvlText w:val="%1)"/>
      <w:lvlJc w:val="left"/>
      <w:pPr>
        <w:ind w:left="425" w:hanging="425"/>
      </w:pPr>
      <w:rPr>
        <w:rFonts w:hint="default"/>
      </w:rPr>
    </w:lvl>
  </w:abstractNum>
  <w:abstractNum w:abstractNumId="10">
    <w:nsid w:val="FFFEFF75"/>
    <w:multiLevelType w:val="singleLevel"/>
    <w:tmpl w:val="FFFEFF75"/>
    <w:lvl w:ilvl="0">
      <w:start w:val="1"/>
      <w:numFmt w:val="decimal"/>
      <w:lvlText w:val="%1)"/>
      <w:lvlJc w:val="left"/>
      <w:pPr>
        <w:ind w:left="425" w:hanging="425"/>
      </w:pPr>
      <w:rPr>
        <w:rFonts w:hint="default"/>
      </w:rPr>
    </w:lvl>
  </w:abstractNum>
  <w:abstractNum w:abstractNumId="11">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13">
    <w:nsid w:val="004212EC"/>
    <w:multiLevelType w:val="multilevel"/>
    <w:tmpl w:val="004212EC"/>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14">
    <w:nsid w:val="00ED354E"/>
    <w:multiLevelType w:val="multilevel"/>
    <w:tmpl w:val="00ED354E"/>
    <w:lvl w:ilvl="0">
      <w:start w:val="1"/>
      <w:numFmt w:val="bullet"/>
      <w:lvlText w:val=""/>
      <w:lvlJc w:val="left"/>
      <w:pPr>
        <w:ind w:left="840" w:hanging="420"/>
      </w:pPr>
      <w:rPr>
        <w:rFonts w:ascii="Wingdings" w:hAnsi="Wingdings" w:hint="default"/>
      </w:rPr>
    </w:lvl>
    <w:lvl w:ilvl="1">
      <w:start w:val="1"/>
      <w:numFmt w:val="bullet"/>
      <w:lvlText w:val=""/>
      <w:lvlJc w:val="left"/>
      <w:pPr>
        <w:ind w:left="1260" w:hanging="420"/>
      </w:pPr>
      <w:rPr>
        <w:rFonts w:ascii="Wingdings" w:hAnsi="Wingdings" w:hint="default"/>
      </w:rPr>
    </w:lvl>
    <w:lvl w:ilvl="2">
      <w:start w:val="1"/>
      <w:numFmt w:val="bullet"/>
      <w:lvlText w:val=""/>
      <w:lvlJc w:val="left"/>
      <w:pPr>
        <w:ind w:left="1680" w:hanging="420"/>
      </w:pPr>
      <w:rPr>
        <w:rFonts w:ascii="Wingdings" w:hAnsi="Wingdings" w:hint="default"/>
      </w:rPr>
    </w:lvl>
    <w:lvl w:ilvl="3">
      <w:start w:val="1"/>
      <w:numFmt w:val="bullet"/>
      <w:lvlText w:val=""/>
      <w:lvlJc w:val="left"/>
      <w:pPr>
        <w:ind w:left="2100" w:hanging="420"/>
      </w:pPr>
      <w:rPr>
        <w:rFonts w:ascii="Wingdings" w:hAnsi="Wingdings" w:hint="default"/>
      </w:rPr>
    </w:lvl>
    <w:lvl w:ilvl="4">
      <w:start w:val="1"/>
      <w:numFmt w:val="bullet"/>
      <w:lvlText w:val=""/>
      <w:lvlJc w:val="left"/>
      <w:pPr>
        <w:ind w:left="2520" w:hanging="420"/>
      </w:pPr>
      <w:rPr>
        <w:rFonts w:ascii="Wingdings" w:hAnsi="Wingdings" w:hint="default"/>
      </w:rPr>
    </w:lvl>
    <w:lvl w:ilvl="5">
      <w:start w:val="1"/>
      <w:numFmt w:val="bullet"/>
      <w:lvlText w:val=""/>
      <w:lvlJc w:val="left"/>
      <w:pPr>
        <w:ind w:left="2940" w:hanging="420"/>
      </w:pPr>
      <w:rPr>
        <w:rFonts w:ascii="Wingdings" w:hAnsi="Wingdings" w:hint="default"/>
      </w:rPr>
    </w:lvl>
    <w:lvl w:ilvl="6">
      <w:start w:val="1"/>
      <w:numFmt w:val="bullet"/>
      <w:lvlText w:val=""/>
      <w:lvlJc w:val="left"/>
      <w:pPr>
        <w:ind w:left="3360" w:hanging="420"/>
      </w:pPr>
      <w:rPr>
        <w:rFonts w:ascii="Wingdings" w:hAnsi="Wingdings" w:hint="default"/>
      </w:rPr>
    </w:lvl>
    <w:lvl w:ilvl="7">
      <w:start w:val="1"/>
      <w:numFmt w:val="bullet"/>
      <w:lvlText w:val=""/>
      <w:lvlJc w:val="left"/>
      <w:pPr>
        <w:ind w:left="3780" w:hanging="420"/>
      </w:pPr>
      <w:rPr>
        <w:rFonts w:ascii="Wingdings" w:hAnsi="Wingdings" w:hint="default"/>
      </w:rPr>
    </w:lvl>
    <w:lvl w:ilvl="8">
      <w:start w:val="1"/>
      <w:numFmt w:val="bullet"/>
      <w:lvlText w:val=""/>
      <w:lvlJc w:val="left"/>
      <w:pPr>
        <w:ind w:left="4200" w:hanging="420"/>
      </w:pPr>
      <w:rPr>
        <w:rFonts w:ascii="Wingdings" w:hAnsi="Wingdings" w:hint="default"/>
      </w:rPr>
    </w:lvl>
  </w:abstractNum>
  <w:abstractNum w:abstractNumId="15">
    <w:nsid w:val="05DD26C2"/>
    <w:multiLevelType w:val="multilevel"/>
    <w:tmpl w:val="05DD26C2"/>
    <w:lvl w:ilvl="0">
      <w:start w:val="1"/>
      <w:numFmt w:val="decimal"/>
      <w:lvlText w:val="%1"/>
      <w:lvlJc w:val="left"/>
      <w:pPr>
        <w:ind w:left="420" w:hanging="420"/>
      </w:pPr>
      <w:rPr>
        <w:rFonts w:hint="eastAsia"/>
      </w:rPr>
    </w:lvl>
    <w:lvl w:ilvl="1">
      <w:start w:val="4"/>
      <w:numFmt w:val="decimal"/>
      <w:isLgl/>
      <w:lvlText w:val="%1.%2"/>
      <w:lvlJc w:val="left"/>
      <w:pPr>
        <w:ind w:left="915" w:hanging="495"/>
      </w:pPr>
      <w:rPr>
        <w:rFonts w:hint="default"/>
      </w:rPr>
    </w:lvl>
    <w:lvl w:ilvl="2">
      <w:start w:val="1"/>
      <w:numFmt w:val="decimal"/>
      <w:isLgl/>
      <w:lvlText w:val="%1.%2.%3"/>
      <w:lvlJc w:val="left"/>
      <w:pPr>
        <w:ind w:left="1560" w:hanging="720"/>
      </w:pPr>
      <w:rPr>
        <w:rFonts w:hint="default"/>
      </w:rPr>
    </w:lvl>
    <w:lvl w:ilvl="3">
      <w:start w:val="1"/>
      <w:numFmt w:val="decimal"/>
      <w:isLgl/>
      <w:lvlText w:val="%1.%2.%3.%4"/>
      <w:lvlJc w:val="left"/>
      <w:pPr>
        <w:ind w:left="1980" w:hanging="720"/>
      </w:pPr>
      <w:rPr>
        <w:rFonts w:hint="default"/>
      </w:rPr>
    </w:lvl>
    <w:lvl w:ilvl="4">
      <w:start w:val="1"/>
      <w:numFmt w:val="decimal"/>
      <w:isLgl/>
      <w:lvlText w:val="%1.%2.%3.%4.%5"/>
      <w:lvlJc w:val="left"/>
      <w:pPr>
        <w:ind w:left="2760" w:hanging="1080"/>
      </w:pPr>
      <w:rPr>
        <w:rFonts w:hint="default"/>
      </w:rPr>
    </w:lvl>
    <w:lvl w:ilvl="5">
      <w:start w:val="1"/>
      <w:numFmt w:val="decimal"/>
      <w:isLgl/>
      <w:lvlText w:val="%1.%2.%3.%4.%5.%6"/>
      <w:lvlJc w:val="left"/>
      <w:pPr>
        <w:ind w:left="3180" w:hanging="1080"/>
      </w:pPr>
      <w:rPr>
        <w:rFonts w:hint="default"/>
      </w:rPr>
    </w:lvl>
    <w:lvl w:ilvl="6">
      <w:start w:val="1"/>
      <w:numFmt w:val="decimal"/>
      <w:isLgl/>
      <w:lvlText w:val="%1.%2.%3.%4.%5.%6.%7"/>
      <w:lvlJc w:val="left"/>
      <w:pPr>
        <w:ind w:left="3600" w:hanging="1080"/>
      </w:pPr>
      <w:rPr>
        <w:rFonts w:hint="default"/>
      </w:rPr>
    </w:lvl>
    <w:lvl w:ilvl="7">
      <w:start w:val="1"/>
      <w:numFmt w:val="decimal"/>
      <w:isLgl/>
      <w:lvlText w:val="%1.%2.%3.%4.%5.%6.%7.%8"/>
      <w:lvlJc w:val="left"/>
      <w:pPr>
        <w:ind w:left="4380" w:hanging="1440"/>
      </w:pPr>
      <w:rPr>
        <w:rFonts w:hint="default"/>
      </w:rPr>
    </w:lvl>
    <w:lvl w:ilvl="8">
      <w:start w:val="1"/>
      <w:numFmt w:val="decimal"/>
      <w:isLgl/>
      <w:lvlText w:val="%1.%2.%3.%4.%5.%6.%7.%8.%9"/>
      <w:lvlJc w:val="left"/>
      <w:pPr>
        <w:ind w:left="4800" w:hanging="1440"/>
      </w:pPr>
      <w:rPr>
        <w:rFonts w:hint="default"/>
      </w:rPr>
    </w:lvl>
  </w:abstractNum>
  <w:abstractNum w:abstractNumId="16">
    <w:nsid w:val="06231922"/>
    <w:multiLevelType w:val="multilevel"/>
    <w:tmpl w:val="06231922"/>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7">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8">
    <w:nsid w:val="110A56FF"/>
    <w:multiLevelType w:val="multilevel"/>
    <w:tmpl w:val="110A56F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nsid w:val="11A63F7B"/>
    <w:multiLevelType w:val="multilevel"/>
    <w:tmpl w:val="11A63F7B"/>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0">
    <w:nsid w:val="11EC4059"/>
    <w:multiLevelType w:val="multilevel"/>
    <w:tmpl w:val="11EC4059"/>
    <w:lvl w:ilvl="0">
      <w:start w:val="1"/>
      <w:numFmt w:val="bullet"/>
      <w:lvlText w:val=""/>
      <w:lvlJc w:val="left"/>
      <w:pPr>
        <w:ind w:left="832" w:hanging="420"/>
      </w:pPr>
      <w:rPr>
        <w:rFonts w:ascii="Wingdings" w:hAnsi="Wingdings" w:hint="default"/>
      </w:rPr>
    </w:lvl>
    <w:lvl w:ilvl="1">
      <w:start w:val="1"/>
      <w:numFmt w:val="bullet"/>
      <w:lvlText w:val=""/>
      <w:lvlJc w:val="left"/>
      <w:pPr>
        <w:ind w:left="1252" w:hanging="420"/>
      </w:pPr>
      <w:rPr>
        <w:rFonts w:ascii="Wingdings" w:hAnsi="Wingdings" w:hint="default"/>
      </w:rPr>
    </w:lvl>
    <w:lvl w:ilvl="2">
      <w:start w:val="1"/>
      <w:numFmt w:val="bullet"/>
      <w:lvlText w:val=""/>
      <w:lvlJc w:val="left"/>
      <w:pPr>
        <w:ind w:left="1672" w:hanging="420"/>
      </w:pPr>
      <w:rPr>
        <w:rFonts w:ascii="Wingdings" w:hAnsi="Wingdings" w:hint="default"/>
      </w:rPr>
    </w:lvl>
    <w:lvl w:ilvl="3">
      <w:start w:val="1"/>
      <w:numFmt w:val="bullet"/>
      <w:lvlText w:val=""/>
      <w:lvlJc w:val="left"/>
      <w:pPr>
        <w:ind w:left="2092" w:hanging="420"/>
      </w:pPr>
      <w:rPr>
        <w:rFonts w:ascii="Wingdings" w:hAnsi="Wingdings" w:hint="default"/>
      </w:rPr>
    </w:lvl>
    <w:lvl w:ilvl="4">
      <w:start w:val="1"/>
      <w:numFmt w:val="bullet"/>
      <w:lvlText w:val=""/>
      <w:lvlJc w:val="left"/>
      <w:pPr>
        <w:ind w:left="2512" w:hanging="420"/>
      </w:pPr>
      <w:rPr>
        <w:rFonts w:ascii="Wingdings" w:hAnsi="Wingdings" w:hint="default"/>
      </w:rPr>
    </w:lvl>
    <w:lvl w:ilvl="5">
      <w:start w:val="1"/>
      <w:numFmt w:val="bullet"/>
      <w:lvlText w:val=""/>
      <w:lvlJc w:val="left"/>
      <w:pPr>
        <w:ind w:left="2932" w:hanging="420"/>
      </w:pPr>
      <w:rPr>
        <w:rFonts w:ascii="Wingdings" w:hAnsi="Wingdings" w:hint="default"/>
      </w:rPr>
    </w:lvl>
    <w:lvl w:ilvl="6">
      <w:start w:val="1"/>
      <w:numFmt w:val="bullet"/>
      <w:lvlText w:val=""/>
      <w:lvlJc w:val="left"/>
      <w:pPr>
        <w:ind w:left="3352" w:hanging="420"/>
      </w:pPr>
      <w:rPr>
        <w:rFonts w:ascii="Wingdings" w:hAnsi="Wingdings" w:hint="default"/>
      </w:rPr>
    </w:lvl>
    <w:lvl w:ilvl="7">
      <w:start w:val="1"/>
      <w:numFmt w:val="bullet"/>
      <w:lvlText w:val=""/>
      <w:lvlJc w:val="left"/>
      <w:pPr>
        <w:ind w:left="3772" w:hanging="420"/>
      </w:pPr>
      <w:rPr>
        <w:rFonts w:ascii="Wingdings" w:hAnsi="Wingdings" w:hint="default"/>
      </w:rPr>
    </w:lvl>
    <w:lvl w:ilvl="8">
      <w:start w:val="1"/>
      <w:numFmt w:val="bullet"/>
      <w:lvlText w:val=""/>
      <w:lvlJc w:val="left"/>
      <w:pPr>
        <w:ind w:left="4192" w:hanging="420"/>
      </w:pPr>
      <w:rPr>
        <w:rFonts w:ascii="Wingdings" w:hAnsi="Wingdings" w:hint="default"/>
      </w:rPr>
    </w:lvl>
  </w:abstractNum>
  <w:abstractNum w:abstractNumId="21">
    <w:nsid w:val="12086438"/>
    <w:multiLevelType w:val="multilevel"/>
    <w:tmpl w:val="1208643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nsid w:val="13DD946C"/>
    <w:multiLevelType w:val="singleLevel"/>
    <w:tmpl w:val="13DD946C"/>
    <w:lvl w:ilvl="0">
      <w:start w:val="9"/>
      <w:numFmt w:val="chineseCounting"/>
      <w:suff w:val="space"/>
      <w:lvlText w:val="第%1章"/>
      <w:lvlJc w:val="left"/>
      <w:rPr>
        <w:rFonts w:hint="eastAsia"/>
      </w:rPr>
    </w:lvl>
  </w:abstractNum>
  <w:abstractNum w:abstractNumId="23">
    <w:nsid w:val="1BCC2593"/>
    <w:multiLevelType w:val="multilevel"/>
    <w:tmpl w:val="1BCC2593"/>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4">
    <w:nsid w:val="20E06C64"/>
    <w:multiLevelType w:val="singleLevel"/>
    <w:tmpl w:val="DFCE4441"/>
    <w:lvl w:ilvl="0">
      <w:start w:val="1"/>
      <w:numFmt w:val="decimal"/>
      <w:lvlText w:val="%1)"/>
      <w:lvlJc w:val="left"/>
      <w:pPr>
        <w:ind w:left="425" w:hanging="425"/>
      </w:pPr>
      <w:rPr>
        <w:rFonts w:hint="default"/>
      </w:rPr>
    </w:lvl>
  </w:abstractNum>
  <w:abstractNum w:abstractNumId="25">
    <w:nsid w:val="210F6309"/>
    <w:multiLevelType w:val="multilevel"/>
    <w:tmpl w:val="210F6309"/>
    <w:lvl w:ilvl="0">
      <w:start w:val="1"/>
      <w:numFmt w:val="japaneseCounting"/>
      <w:lvlText w:val="第%1条"/>
      <w:lvlJc w:val="left"/>
      <w:pPr>
        <w:ind w:left="840" w:hanging="840"/>
      </w:pPr>
      <w:rPr>
        <w:rFonts w:hint="default"/>
      </w:rPr>
    </w:lvl>
    <w:lvl w:ilvl="1">
      <w:start w:val="1"/>
      <w:numFmt w:val="decimalEnclosedCircle"/>
      <w:lvlText w:val="%2"/>
      <w:lvlJc w:val="left"/>
      <w:pPr>
        <w:ind w:left="800" w:hanging="360"/>
      </w:pPr>
      <w:rPr>
        <w:rFonts w:hint="default"/>
      </w:rPr>
    </w:lvl>
    <w:lvl w:ilvl="2">
      <w:start w:val="1"/>
      <w:numFmt w:val="decimal"/>
      <w:lvlText w:val="%3．"/>
      <w:lvlJc w:val="left"/>
      <w:pPr>
        <w:ind w:left="1300" w:hanging="420"/>
      </w:pPr>
      <w:rPr>
        <w:rFonts w:hint="default"/>
        <w:u w:val="none"/>
      </w:r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26">
    <w:nsid w:val="24185EB1"/>
    <w:multiLevelType w:val="multilevel"/>
    <w:tmpl w:val="24185EB1"/>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27">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8">
    <w:nsid w:val="2F3249BD"/>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29">
    <w:nsid w:val="3182067B"/>
    <w:multiLevelType w:val="multilevel"/>
    <w:tmpl w:val="3182067B"/>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0">
    <w:nsid w:val="32B20463"/>
    <w:multiLevelType w:val="multilevel"/>
    <w:tmpl w:val="32B20463"/>
    <w:lvl w:ilvl="0">
      <w:start w:val="1"/>
      <w:numFmt w:val="decimal"/>
      <w:lvlText w:val="%1)"/>
      <w:lvlJc w:val="left"/>
      <w:pPr>
        <w:ind w:left="420" w:hanging="42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nsid w:val="398574C9"/>
    <w:multiLevelType w:val="multilevel"/>
    <w:tmpl w:val="2F3249BD"/>
    <w:lvl w:ilvl="0">
      <w:start w:val="1"/>
      <w:numFmt w:val="decimal"/>
      <w:lvlText w:val="%1."/>
      <w:lvlJc w:val="left"/>
      <w:pPr>
        <w:ind w:left="905" w:hanging="360"/>
      </w:pPr>
      <w:rPr>
        <w:rFonts w:hint="default"/>
      </w:rPr>
    </w:lvl>
    <w:lvl w:ilvl="1">
      <w:start w:val="1"/>
      <w:numFmt w:val="lowerLetter"/>
      <w:lvlText w:val="%2)"/>
      <w:lvlJc w:val="left"/>
      <w:pPr>
        <w:ind w:left="1425" w:hanging="440"/>
      </w:pPr>
    </w:lvl>
    <w:lvl w:ilvl="2">
      <w:start w:val="1"/>
      <w:numFmt w:val="lowerRoman"/>
      <w:lvlText w:val="%3."/>
      <w:lvlJc w:val="right"/>
      <w:pPr>
        <w:ind w:left="1865" w:hanging="440"/>
      </w:pPr>
    </w:lvl>
    <w:lvl w:ilvl="3">
      <w:start w:val="1"/>
      <w:numFmt w:val="decimal"/>
      <w:lvlText w:val="%4."/>
      <w:lvlJc w:val="left"/>
      <w:pPr>
        <w:ind w:left="2305" w:hanging="440"/>
      </w:pPr>
    </w:lvl>
    <w:lvl w:ilvl="4">
      <w:start w:val="1"/>
      <w:numFmt w:val="lowerLetter"/>
      <w:lvlText w:val="%5)"/>
      <w:lvlJc w:val="left"/>
      <w:pPr>
        <w:ind w:left="2745" w:hanging="440"/>
      </w:pPr>
    </w:lvl>
    <w:lvl w:ilvl="5">
      <w:start w:val="1"/>
      <w:numFmt w:val="lowerRoman"/>
      <w:lvlText w:val="%6."/>
      <w:lvlJc w:val="right"/>
      <w:pPr>
        <w:ind w:left="3185" w:hanging="440"/>
      </w:pPr>
    </w:lvl>
    <w:lvl w:ilvl="6">
      <w:start w:val="1"/>
      <w:numFmt w:val="decimal"/>
      <w:lvlText w:val="%7."/>
      <w:lvlJc w:val="left"/>
      <w:pPr>
        <w:ind w:left="3625" w:hanging="440"/>
      </w:pPr>
    </w:lvl>
    <w:lvl w:ilvl="7">
      <w:start w:val="1"/>
      <w:numFmt w:val="lowerLetter"/>
      <w:lvlText w:val="%8)"/>
      <w:lvlJc w:val="left"/>
      <w:pPr>
        <w:ind w:left="4065" w:hanging="440"/>
      </w:pPr>
    </w:lvl>
    <w:lvl w:ilvl="8">
      <w:start w:val="1"/>
      <w:numFmt w:val="lowerRoman"/>
      <w:lvlText w:val="%9."/>
      <w:lvlJc w:val="right"/>
      <w:pPr>
        <w:ind w:left="4505" w:hanging="440"/>
      </w:pPr>
    </w:lvl>
  </w:abstractNum>
  <w:abstractNum w:abstractNumId="32">
    <w:nsid w:val="42447417"/>
    <w:multiLevelType w:val="multilevel"/>
    <w:tmpl w:val="42447417"/>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3">
    <w:nsid w:val="436658FE"/>
    <w:multiLevelType w:val="multilevel"/>
    <w:tmpl w:val="436658FE"/>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nsid w:val="46BA149C"/>
    <w:multiLevelType w:val="multilevel"/>
    <w:tmpl w:val="46BA149C"/>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nsid w:val="491748C9"/>
    <w:multiLevelType w:val="multilevel"/>
    <w:tmpl w:val="491748C9"/>
    <w:lvl w:ilvl="0">
      <w:start w:val="1"/>
      <w:numFmt w:val="decimal"/>
      <w:lvlText w:val="（%1）"/>
      <w:lvlJc w:val="left"/>
      <w:pPr>
        <w:ind w:left="840" w:hanging="420"/>
      </w:pPr>
      <w:rPr>
        <w:rFonts w:hint="default"/>
      </w:r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6">
    <w:nsid w:val="4C7A993F"/>
    <w:multiLevelType w:val="singleLevel"/>
    <w:tmpl w:val="4C7A993F"/>
    <w:lvl w:ilvl="0">
      <w:start w:val="1"/>
      <w:numFmt w:val="decimal"/>
      <w:lvlText w:val="%1)"/>
      <w:lvlJc w:val="left"/>
      <w:pPr>
        <w:ind w:left="425" w:hanging="425"/>
      </w:pPr>
      <w:rPr>
        <w:rFonts w:hint="default"/>
      </w:rPr>
    </w:lvl>
  </w:abstractNum>
  <w:abstractNum w:abstractNumId="37">
    <w:nsid w:val="57FFC18B"/>
    <w:multiLevelType w:val="singleLevel"/>
    <w:tmpl w:val="57FFC18B"/>
    <w:lvl w:ilvl="0">
      <w:start w:val="1"/>
      <w:numFmt w:val="decimal"/>
      <w:lvlText w:val="%1)"/>
      <w:lvlJc w:val="left"/>
      <w:pPr>
        <w:ind w:left="425" w:hanging="425"/>
      </w:pPr>
      <w:rPr>
        <w:rFonts w:hint="default"/>
      </w:rPr>
    </w:lvl>
  </w:abstractNum>
  <w:abstractNum w:abstractNumId="38">
    <w:nsid w:val="5AA11C58"/>
    <w:multiLevelType w:val="multilevel"/>
    <w:tmpl w:val="5AA11C58"/>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9">
    <w:nsid w:val="5B0F16E4"/>
    <w:multiLevelType w:val="multilevel"/>
    <w:tmpl w:val="5B0F16E4"/>
    <w:lvl w:ilvl="0">
      <w:start w:val="1"/>
      <w:numFmt w:val="decimal"/>
      <w:lvlText w:val="%1."/>
      <w:lvlJc w:val="left"/>
      <w:pPr>
        <w:ind w:left="545" w:hanging="440"/>
      </w:pPr>
    </w:lvl>
    <w:lvl w:ilvl="1">
      <w:start w:val="1"/>
      <w:numFmt w:val="lowerLetter"/>
      <w:lvlText w:val="%2)"/>
      <w:lvlJc w:val="left"/>
      <w:pPr>
        <w:ind w:left="985" w:hanging="440"/>
      </w:pPr>
    </w:lvl>
    <w:lvl w:ilvl="2">
      <w:start w:val="1"/>
      <w:numFmt w:val="lowerRoman"/>
      <w:lvlText w:val="%3."/>
      <w:lvlJc w:val="right"/>
      <w:pPr>
        <w:ind w:left="1425" w:hanging="440"/>
      </w:pPr>
    </w:lvl>
    <w:lvl w:ilvl="3">
      <w:start w:val="1"/>
      <w:numFmt w:val="decimal"/>
      <w:lvlText w:val="%4."/>
      <w:lvlJc w:val="left"/>
      <w:pPr>
        <w:ind w:left="1865" w:hanging="440"/>
      </w:pPr>
    </w:lvl>
    <w:lvl w:ilvl="4">
      <w:start w:val="1"/>
      <w:numFmt w:val="lowerLetter"/>
      <w:lvlText w:val="%5)"/>
      <w:lvlJc w:val="left"/>
      <w:pPr>
        <w:ind w:left="2305" w:hanging="440"/>
      </w:pPr>
    </w:lvl>
    <w:lvl w:ilvl="5">
      <w:start w:val="1"/>
      <w:numFmt w:val="lowerRoman"/>
      <w:lvlText w:val="%6."/>
      <w:lvlJc w:val="right"/>
      <w:pPr>
        <w:ind w:left="2745" w:hanging="440"/>
      </w:pPr>
    </w:lvl>
    <w:lvl w:ilvl="6">
      <w:start w:val="1"/>
      <w:numFmt w:val="decimal"/>
      <w:lvlText w:val="%7."/>
      <w:lvlJc w:val="left"/>
      <w:pPr>
        <w:ind w:left="3185" w:hanging="440"/>
      </w:pPr>
    </w:lvl>
    <w:lvl w:ilvl="7">
      <w:start w:val="1"/>
      <w:numFmt w:val="lowerLetter"/>
      <w:lvlText w:val="%8)"/>
      <w:lvlJc w:val="left"/>
      <w:pPr>
        <w:ind w:left="3625" w:hanging="440"/>
      </w:pPr>
    </w:lvl>
    <w:lvl w:ilvl="8">
      <w:start w:val="1"/>
      <w:numFmt w:val="lowerRoman"/>
      <w:lvlText w:val="%9."/>
      <w:lvlJc w:val="right"/>
      <w:pPr>
        <w:ind w:left="4065" w:hanging="440"/>
      </w:pPr>
    </w:lvl>
  </w:abstractNum>
  <w:abstractNum w:abstractNumId="40">
    <w:nsid w:val="5B3C56B4"/>
    <w:multiLevelType w:val="singleLevel"/>
    <w:tmpl w:val="AF9F7ACF"/>
    <w:lvl w:ilvl="0">
      <w:start w:val="1"/>
      <w:numFmt w:val="decimal"/>
      <w:lvlText w:val="%1)"/>
      <w:lvlJc w:val="left"/>
      <w:pPr>
        <w:ind w:left="425" w:hanging="425"/>
      </w:pPr>
      <w:rPr>
        <w:rFonts w:hint="default"/>
      </w:rPr>
    </w:lvl>
  </w:abstractNum>
  <w:abstractNum w:abstractNumId="41">
    <w:nsid w:val="5CFC79EE"/>
    <w:multiLevelType w:val="multilevel"/>
    <w:tmpl w:val="5CFC79EE"/>
    <w:lvl w:ilvl="0">
      <w:start w:val="1"/>
      <w:numFmt w:val="decimal"/>
      <w:lvlText w:val="%1."/>
      <w:lvlJc w:val="left"/>
      <w:pPr>
        <w:ind w:left="840" w:hanging="420"/>
      </w:pPr>
    </w:lvl>
    <w:lvl w:ilvl="1">
      <w:start w:val="1"/>
      <w:numFmt w:val="lowerLetter"/>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42">
    <w:nsid w:val="63ED3BD5"/>
    <w:multiLevelType w:val="singleLevel"/>
    <w:tmpl w:val="DFBE2221"/>
    <w:lvl w:ilvl="0">
      <w:start w:val="1"/>
      <w:numFmt w:val="decimal"/>
      <w:lvlText w:val="%1)"/>
      <w:lvlJc w:val="left"/>
      <w:pPr>
        <w:ind w:left="425" w:hanging="425"/>
      </w:pPr>
      <w:rPr>
        <w:rFonts w:hint="default"/>
      </w:rPr>
    </w:lvl>
  </w:abstractNum>
  <w:abstractNum w:abstractNumId="43">
    <w:nsid w:val="66A52760"/>
    <w:multiLevelType w:val="multilevel"/>
    <w:tmpl w:val="66A5276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nsid w:val="6A197FB6"/>
    <w:multiLevelType w:val="multilevel"/>
    <w:tmpl w:val="6A197FB6"/>
    <w:lvl w:ilvl="0">
      <w:start w:val="1"/>
      <w:numFmt w:val="decimal"/>
      <w:lvlText w:val="%1."/>
      <w:lvlJc w:val="left"/>
      <w:pPr>
        <w:ind w:left="440" w:hanging="440"/>
      </w:pPr>
    </w:lvl>
    <w:lvl w:ilvl="1">
      <w:start w:val="1"/>
      <w:numFmt w:val="decimalEnclosedCircle"/>
      <w:lvlText w:val="%2"/>
      <w:lvlJc w:val="left"/>
      <w:pPr>
        <w:ind w:left="800" w:hanging="360"/>
      </w:pPr>
      <w:rPr>
        <w:rFonts w:hint="default"/>
      </w:r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5">
    <w:nsid w:val="6EBE4171"/>
    <w:multiLevelType w:val="multilevel"/>
    <w:tmpl w:val="6EBE4171"/>
    <w:lvl w:ilvl="0">
      <w:start w:val="1"/>
      <w:numFmt w:val="decimal"/>
      <w:lvlText w:val="%1."/>
      <w:lvlJc w:val="left"/>
      <w:pPr>
        <w:ind w:left="866" w:hanging="440"/>
      </w:pPr>
    </w:lvl>
    <w:lvl w:ilvl="1">
      <w:start w:val="1"/>
      <w:numFmt w:val="decimalEnclosedCircle"/>
      <w:lvlText w:val="%2"/>
      <w:lvlJc w:val="left"/>
      <w:pPr>
        <w:ind w:left="1226" w:hanging="360"/>
      </w:pPr>
      <w:rPr>
        <w:rFonts w:hint="default"/>
      </w:r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46">
    <w:nsid w:val="72D11179"/>
    <w:multiLevelType w:val="multilevel"/>
    <w:tmpl w:val="72D11179"/>
    <w:lvl w:ilvl="0">
      <w:start w:val="1"/>
      <w:numFmt w:val="decimal"/>
      <w:lvlText w:val="%1."/>
      <w:lvlJc w:val="left"/>
      <w:pPr>
        <w:ind w:left="440" w:hanging="440"/>
      </w:pPr>
      <w:rPr>
        <w:rFonts w:hint="eastAsia"/>
      </w:rPr>
    </w:lvl>
    <w:lvl w:ilvl="1">
      <w:start w:val="1"/>
      <w:numFmt w:val="lowerLetter"/>
      <w:lvlText w:val="%2)"/>
      <w:lvlJc w:val="left"/>
      <w:pPr>
        <w:ind w:left="880" w:hanging="440"/>
      </w:pPr>
    </w:lvl>
    <w:lvl w:ilvl="2">
      <w:start w:val="1"/>
      <w:numFmt w:val="lowerRoman"/>
      <w:lvlText w:val="%3."/>
      <w:lvlJc w:val="right"/>
      <w:pPr>
        <w:ind w:left="1320" w:hanging="440"/>
      </w:pPr>
    </w:lvl>
    <w:lvl w:ilvl="3">
      <w:start w:val="1"/>
      <w:numFmt w:val="decimal"/>
      <w:lvlText w:val="%4."/>
      <w:lvlJc w:val="left"/>
      <w:pPr>
        <w:ind w:left="1760" w:hanging="440"/>
      </w:pPr>
    </w:lvl>
    <w:lvl w:ilvl="4">
      <w:start w:val="1"/>
      <w:numFmt w:val="lowerLetter"/>
      <w:lvlText w:val="%5)"/>
      <w:lvlJc w:val="left"/>
      <w:pPr>
        <w:ind w:left="2200" w:hanging="440"/>
      </w:pPr>
    </w:lvl>
    <w:lvl w:ilvl="5">
      <w:start w:val="1"/>
      <w:numFmt w:val="lowerRoman"/>
      <w:lvlText w:val="%6."/>
      <w:lvlJc w:val="right"/>
      <w:pPr>
        <w:ind w:left="2640" w:hanging="440"/>
      </w:pPr>
    </w:lvl>
    <w:lvl w:ilvl="6">
      <w:start w:val="1"/>
      <w:numFmt w:val="decimal"/>
      <w:lvlText w:val="%7."/>
      <w:lvlJc w:val="left"/>
      <w:pPr>
        <w:ind w:left="3080" w:hanging="440"/>
      </w:pPr>
    </w:lvl>
    <w:lvl w:ilvl="7">
      <w:start w:val="1"/>
      <w:numFmt w:val="lowerLetter"/>
      <w:lvlText w:val="%8)"/>
      <w:lvlJc w:val="left"/>
      <w:pPr>
        <w:ind w:left="3520" w:hanging="440"/>
      </w:pPr>
    </w:lvl>
    <w:lvl w:ilvl="8">
      <w:start w:val="1"/>
      <w:numFmt w:val="lowerRoman"/>
      <w:lvlText w:val="%9."/>
      <w:lvlJc w:val="right"/>
      <w:pPr>
        <w:ind w:left="3960" w:hanging="440"/>
      </w:pPr>
    </w:lvl>
  </w:abstractNum>
  <w:abstractNum w:abstractNumId="47">
    <w:nsid w:val="744A19F0"/>
    <w:multiLevelType w:val="multilevel"/>
    <w:tmpl w:val="744A19F0"/>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8">
    <w:nsid w:val="79F8DDAB"/>
    <w:multiLevelType w:val="singleLevel"/>
    <w:tmpl w:val="79F8DDAB"/>
    <w:lvl w:ilvl="0">
      <w:start w:val="1"/>
      <w:numFmt w:val="decimal"/>
      <w:lvlText w:val="%1)"/>
      <w:lvlJc w:val="left"/>
      <w:pPr>
        <w:ind w:left="425" w:hanging="425"/>
      </w:pPr>
      <w:rPr>
        <w:rFonts w:hint="default"/>
      </w:rPr>
    </w:lvl>
  </w:abstractNum>
  <w:abstractNum w:abstractNumId="49">
    <w:nsid w:val="7BF79D3F"/>
    <w:multiLevelType w:val="singleLevel"/>
    <w:tmpl w:val="7BF79D3F"/>
    <w:lvl w:ilvl="0">
      <w:start w:val="1"/>
      <w:numFmt w:val="decimal"/>
      <w:lvlText w:val="%1)"/>
      <w:lvlJc w:val="left"/>
      <w:pPr>
        <w:ind w:left="425" w:hanging="425"/>
      </w:pPr>
      <w:rPr>
        <w:rFonts w:hint="default"/>
      </w:rPr>
    </w:lvl>
  </w:abstractNum>
  <w:abstractNum w:abstractNumId="50">
    <w:nsid w:val="7FAFA353"/>
    <w:multiLevelType w:val="singleLevel"/>
    <w:tmpl w:val="7FAFA353"/>
    <w:lvl w:ilvl="0">
      <w:start w:val="1"/>
      <w:numFmt w:val="decimal"/>
      <w:lvlText w:val="%1)"/>
      <w:lvlJc w:val="left"/>
      <w:pPr>
        <w:ind w:left="425" w:hanging="425"/>
      </w:pPr>
      <w:rPr>
        <w:rFonts w:hint="default"/>
      </w:rPr>
    </w:lvl>
  </w:abstractNum>
  <w:abstractNum w:abstractNumId="51">
    <w:nsid w:val="7FDAC479"/>
    <w:multiLevelType w:val="singleLevel"/>
    <w:tmpl w:val="7FDAC479"/>
    <w:lvl w:ilvl="0">
      <w:start w:val="1"/>
      <w:numFmt w:val="decimal"/>
      <w:lvlText w:val="%1)"/>
      <w:lvlJc w:val="left"/>
      <w:pPr>
        <w:ind w:left="425" w:hanging="425"/>
      </w:pPr>
      <w:rPr>
        <w:rFonts w:hint="default"/>
      </w:rPr>
    </w:lvl>
  </w:abstractNum>
  <w:abstractNum w:abstractNumId="52">
    <w:nsid w:val="7FFFA005"/>
    <w:multiLevelType w:val="singleLevel"/>
    <w:tmpl w:val="7FFFA005"/>
    <w:lvl w:ilvl="0">
      <w:start w:val="1"/>
      <w:numFmt w:val="decimal"/>
      <w:lvlText w:val="%1)"/>
      <w:lvlJc w:val="left"/>
      <w:pPr>
        <w:ind w:left="425" w:hanging="425"/>
      </w:pPr>
      <w:rPr>
        <w:rFonts w:hint="default"/>
      </w:rPr>
    </w:lvl>
  </w:abstractNum>
  <w:num w:numId="1">
    <w:abstractNumId w:val="12"/>
  </w:num>
  <w:num w:numId="2">
    <w:abstractNumId w:val="11"/>
  </w:num>
  <w:num w:numId="3">
    <w:abstractNumId w:val="17"/>
  </w:num>
  <w:num w:numId="4">
    <w:abstractNumId w:val="15"/>
  </w:num>
  <w:num w:numId="5">
    <w:abstractNumId w:val="15"/>
    <w:lvlOverride w:ilvl="0">
      <w:startOverride w:val="1"/>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num>
  <w:num w:numId="7">
    <w:abstractNumId w:val="26"/>
  </w:num>
  <w:num w:numId="8">
    <w:abstractNumId w:val="35"/>
  </w:num>
  <w:num w:numId="9">
    <w:abstractNumId w:val="29"/>
  </w:num>
  <w:num w:numId="10">
    <w:abstractNumId w:val="20"/>
  </w:num>
  <w:num w:numId="11">
    <w:abstractNumId w:val="15"/>
    <w:lvlOverride w:ilvl="0">
      <w:startOverride w:val="1"/>
    </w:lvlOverride>
  </w:num>
  <w:num w:numId="12">
    <w:abstractNumId w:val="14"/>
  </w:num>
  <w:num w:numId="13">
    <w:abstractNumId w:val="15"/>
    <w:lvlOverride w:ilvl="0">
      <w:startOverride w:val="1"/>
    </w:lvlOverride>
  </w:num>
  <w:num w:numId="14">
    <w:abstractNumId w:val="15"/>
    <w:lvlOverride w:ilvl="0">
      <w:startOverride w:val="1"/>
    </w:lvlOverride>
  </w:num>
  <w:num w:numId="15">
    <w:abstractNumId w:val="15"/>
    <w:lvlOverride w:ilvl="0">
      <w:startOverride w:val="1"/>
    </w:lvlOverride>
  </w:num>
  <w:num w:numId="16">
    <w:abstractNumId w:val="30"/>
    <w:lvlOverride w:ilvl="0">
      <w:startOverride w:val="1"/>
    </w:lvlOverride>
  </w:num>
  <w:num w:numId="17">
    <w:abstractNumId w:val="22"/>
  </w:num>
  <w:num w:numId="18">
    <w:abstractNumId w:val="0"/>
  </w:num>
  <w:num w:numId="19">
    <w:abstractNumId w:val="25"/>
  </w:num>
  <w:num w:numId="20">
    <w:abstractNumId w:val="45"/>
  </w:num>
  <w:num w:numId="21">
    <w:abstractNumId w:val="23"/>
  </w:num>
  <w:num w:numId="22">
    <w:abstractNumId w:val="2"/>
  </w:num>
  <w:num w:numId="23">
    <w:abstractNumId w:val="40"/>
  </w:num>
  <w:num w:numId="24">
    <w:abstractNumId w:val="4"/>
  </w:num>
  <w:num w:numId="25">
    <w:abstractNumId w:val="44"/>
  </w:num>
  <w:num w:numId="26">
    <w:abstractNumId w:val="24"/>
  </w:num>
  <w:num w:numId="27">
    <w:abstractNumId w:val="43"/>
  </w:num>
  <w:num w:numId="28">
    <w:abstractNumId w:val="41"/>
  </w:num>
  <w:num w:numId="29">
    <w:abstractNumId w:val="16"/>
  </w:num>
  <w:num w:numId="30">
    <w:abstractNumId w:val="47"/>
  </w:num>
  <w:num w:numId="31">
    <w:abstractNumId w:val="1"/>
  </w:num>
  <w:num w:numId="32">
    <w:abstractNumId w:val="48"/>
  </w:num>
  <w:num w:numId="33">
    <w:abstractNumId w:val="49"/>
  </w:num>
  <w:num w:numId="34">
    <w:abstractNumId w:val="37"/>
  </w:num>
  <w:num w:numId="35">
    <w:abstractNumId w:val="28"/>
  </w:num>
  <w:num w:numId="36">
    <w:abstractNumId w:val="6"/>
  </w:num>
  <w:num w:numId="37">
    <w:abstractNumId w:val="31"/>
  </w:num>
  <w:num w:numId="38">
    <w:abstractNumId w:val="19"/>
  </w:num>
  <w:num w:numId="39">
    <w:abstractNumId w:val="50"/>
  </w:num>
  <w:num w:numId="40">
    <w:abstractNumId w:val="36"/>
  </w:num>
  <w:num w:numId="41">
    <w:abstractNumId w:val="32"/>
  </w:num>
  <w:num w:numId="42">
    <w:abstractNumId w:val="51"/>
  </w:num>
  <w:num w:numId="43">
    <w:abstractNumId w:val="5"/>
  </w:num>
  <w:num w:numId="44">
    <w:abstractNumId w:val="46"/>
  </w:num>
  <w:num w:numId="45">
    <w:abstractNumId w:val="7"/>
  </w:num>
  <w:num w:numId="46">
    <w:abstractNumId w:val="42"/>
  </w:num>
  <w:num w:numId="47">
    <w:abstractNumId w:val="52"/>
  </w:num>
  <w:num w:numId="48">
    <w:abstractNumId w:val="9"/>
  </w:num>
  <w:num w:numId="49">
    <w:abstractNumId w:val="34"/>
  </w:num>
  <w:num w:numId="50">
    <w:abstractNumId w:val="38"/>
  </w:num>
  <w:num w:numId="51">
    <w:abstractNumId w:val="18"/>
  </w:num>
  <w:num w:numId="52">
    <w:abstractNumId w:val="10"/>
  </w:num>
  <w:num w:numId="53">
    <w:abstractNumId w:val="21"/>
  </w:num>
  <w:num w:numId="54">
    <w:abstractNumId w:val="39"/>
  </w:num>
  <w:num w:numId="55">
    <w:abstractNumId w:val="3"/>
  </w:num>
  <w:num w:numId="56">
    <w:abstractNumId w:val="8"/>
  </w:num>
  <w:num w:numId="57">
    <w:abstractNumId w:val="13"/>
  </w:num>
  <w:num w:numId="58">
    <w:abstractNumId w:val="33"/>
  </w:num>
  <w:num w:numId="59">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BEC"/>
    <w:rsid w:val="00004BDF"/>
    <w:rsid w:val="00006928"/>
    <w:rsid w:val="00007B85"/>
    <w:rsid w:val="000117CF"/>
    <w:rsid w:val="00012E11"/>
    <w:rsid w:val="00013C5A"/>
    <w:rsid w:val="00014327"/>
    <w:rsid w:val="00015560"/>
    <w:rsid w:val="00017515"/>
    <w:rsid w:val="00023804"/>
    <w:rsid w:val="000259A3"/>
    <w:rsid w:val="00025F7F"/>
    <w:rsid w:val="0002730D"/>
    <w:rsid w:val="00027E31"/>
    <w:rsid w:val="00030872"/>
    <w:rsid w:val="00035D1E"/>
    <w:rsid w:val="00037AB2"/>
    <w:rsid w:val="00037F60"/>
    <w:rsid w:val="000400B8"/>
    <w:rsid w:val="00040393"/>
    <w:rsid w:val="000410F1"/>
    <w:rsid w:val="00041187"/>
    <w:rsid w:val="00041207"/>
    <w:rsid w:val="00041238"/>
    <w:rsid w:val="0004124E"/>
    <w:rsid w:val="00041AED"/>
    <w:rsid w:val="0004234F"/>
    <w:rsid w:val="00043FC9"/>
    <w:rsid w:val="00044ACA"/>
    <w:rsid w:val="00046983"/>
    <w:rsid w:val="00047C9E"/>
    <w:rsid w:val="000501CD"/>
    <w:rsid w:val="00050696"/>
    <w:rsid w:val="00050E8F"/>
    <w:rsid w:val="000514F7"/>
    <w:rsid w:val="0005190B"/>
    <w:rsid w:val="00051C61"/>
    <w:rsid w:val="00052E5B"/>
    <w:rsid w:val="00052FCE"/>
    <w:rsid w:val="000535E9"/>
    <w:rsid w:val="00057D9E"/>
    <w:rsid w:val="00062949"/>
    <w:rsid w:val="00064564"/>
    <w:rsid w:val="0006495D"/>
    <w:rsid w:val="00066022"/>
    <w:rsid w:val="00066DC2"/>
    <w:rsid w:val="00066FDA"/>
    <w:rsid w:val="00070389"/>
    <w:rsid w:val="0007158E"/>
    <w:rsid w:val="00071F38"/>
    <w:rsid w:val="00072B31"/>
    <w:rsid w:val="0007427D"/>
    <w:rsid w:val="00074B9A"/>
    <w:rsid w:val="00074BB7"/>
    <w:rsid w:val="00075A77"/>
    <w:rsid w:val="00077A69"/>
    <w:rsid w:val="0008172E"/>
    <w:rsid w:val="00083280"/>
    <w:rsid w:val="00084233"/>
    <w:rsid w:val="000868CE"/>
    <w:rsid w:val="00087892"/>
    <w:rsid w:val="00087F70"/>
    <w:rsid w:val="00091254"/>
    <w:rsid w:val="000921EB"/>
    <w:rsid w:val="00092756"/>
    <w:rsid w:val="00093FB7"/>
    <w:rsid w:val="0009416F"/>
    <w:rsid w:val="00096999"/>
    <w:rsid w:val="000A184C"/>
    <w:rsid w:val="000A2D1B"/>
    <w:rsid w:val="000A33F0"/>
    <w:rsid w:val="000A402C"/>
    <w:rsid w:val="000A565D"/>
    <w:rsid w:val="000A63F4"/>
    <w:rsid w:val="000B06DC"/>
    <w:rsid w:val="000B1286"/>
    <w:rsid w:val="000B1C09"/>
    <w:rsid w:val="000B35F1"/>
    <w:rsid w:val="000B38B5"/>
    <w:rsid w:val="000B3D4F"/>
    <w:rsid w:val="000B5C61"/>
    <w:rsid w:val="000B5D49"/>
    <w:rsid w:val="000B6095"/>
    <w:rsid w:val="000B6C38"/>
    <w:rsid w:val="000B7510"/>
    <w:rsid w:val="000B79AB"/>
    <w:rsid w:val="000C0778"/>
    <w:rsid w:val="000C107D"/>
    <w:rsid w:val="000C13B1"/>
    <w:rsid w:val="000C1D5A"/>
    <w:rsid w:val="000C21AB"/>
    <w:rsid w:val="000C641B"/>
    <w:rsid w:val="000C6538"/>
    <w:rsid w:val="000C65E0"/>
    <w:rsid w:val="000D00CE"/>
    <w:rsid w:val="000D09ED"/>
    <w:rsid w:val="000D144C"/>
    <w:rsid w:val="000D2A80"/>
    <w:rsid w:val="000D564F"/>
    <w:rsid w:val="000D5E72"/>
    <w:rsid w:val="000D636C"/>
    <w:rsid w:val="000D6464"/>
    <w:rsid w:val="000D7329"/>
    <w:rsid w:val="000D78B2"/>
    <w:rsid w:val="000E0175"/>
    <w:rsid w:val="000E022A"/>
    <w:rsid w:val="000E3AF7"/>
    <w:rsid w:val="000E6D58"/>
    <w:rsid w:val="000E72D7"/>
    <w:rsid w:val="000F1BC9"/>
    <w:rsid w:val="000F1DF5"/>
    <w:rsid w:val="000F5717"/>
    <w:rsid w:val="000F6345"/>
    <w:rsid w:val="000F646B"/>
    <w:rsid w:val="000F750E"/>
    <w:rsid w:val="000F75E8"/>
    <w:rsid w:val="000F7A12"/>
    <w:rsid w:val="00100624"/>
    <w:rsid w:val="001010DF"/>
    <w:rsid w:val="001026BF"/>
    <w:rsid w:val="00105108"/>
    <w:rsid w:val="00105728"/>
    <w:rsid w:val="00106412"/>
    <w:rsid w:val="00106838"/>
    <w:rsid w:val="00110637"/>
    <w:rsid w:val="00110D05"/>
    <w:rsid w:val="00110FD6"/>
    <w:rsid w:val="00112147"/>
    <w:rsid w:val="001121DC"/>
    <w:rsid w:val="001125B5"/>
    <w:rsid w:val="0011281B"/>
    <w:rsid w:val="00112919"/>
    <w:rsid w:val="00112977"/>
    <w:rsid w:val="00113A52"/>
    <w:rsid w:val="00113A5C"/>
    <w:rsid w:val="00113AF1"/>
    <w:rsid w:val="00114489"/>
    <w:rsid w:val="001144EA"/>
    <w:rsid w:val="001147F2"/>
    <w:rsid w:val="00114ACA"/>
    <w:rsid w:val="001155D5"/>
    <w:rsid w:val="0011580C"/>
    <w:rsid w:val="001164D1"/>
    <w:rsid w:val="00116547"/>
    <w:rsid w:val="00116D52"/>
    <w:rsid w:val="00117062"/>
    <w:rsid w:val="00117494"/>
    <w:rsid w:val="00117AC2"/>
    <w:rsid w:val="001206E4"/>
    <w:rsid w:val="00121962"/>
    <w:rsid w:val="00122027"/>
    <w:rsid w:val="001223E2"/>
    <w:rsid w:val="001229A1"/>
    <w:rsid w:val="001234AA"/>
    <w:rsid w:val="0012363A"/>
    <w:rsid w:val="00124424"/>
    <w:rsid w:val="00124CC2"/>
    <w:rsid w:val="00125DE6"/>
    <w:rsid w:val="001264E0"/>
    <w:rsid w:val="00126E8B"/>
    <w:rsid w:val="00127129"/>
    <w:rsid w:val="001306FB"/>
    <w:rsid w:val="00130D3D"/>
    <w:rsid w:val="00131B4E"/>
    <w:rsid w:val="00132E52"/>
    <w:rsid w:val="00133834"/>
    <w:rsid w:val="001459A1"/>
    <w:rsid w:val="00146475"/>
    <w:rsid w:val="001465EB"/>
    <w:rsid w:val="00146E29"/>
    <w:rsid w:val="00147122"/>
    <w:rsid w:val="001471B1"/>
    <w:rsid w:val="00147ABC"/>
    <w:rsid w:val="00151022"/>
    <w:rsid w:val="0015119F"/>
    <w:rsid w:val="0015178A"/>
    <w:rsid w:val="001517DA"/>
    <w:rsid w:val="001521E4"/>
    <w:rsid w:val="00152CC6"/>
    <w:rsid w:val="001541F5"/>
    <w:rsid w:val="00154D1C"/>
    <w:rsid w:val="001550E5"/>
    <w:rsid w:val="001555BF"/>
    <w:rsid w:val="00160055"/>
    <w:rsid w:val="001601FC"/>
    <w:rsid w:val="00160B5C"/>
    <w:rsid w:val="00160FB7"/>
    <w:rsid w:val="00163306"/>
    <w:rsid w:val="001654AF"/>
    <w:rsid w:val="00165DCF"/>
    <w:rsid w:val="001666E1"/>
    <w:rsid w:val="00166FE0"/>
    <w:rsid w:val="00166FE2"/>
    <w:rsid w:val="00167730"/>
    <w:rsid w:val="00170164"/>
    <w:rsid w:val="001705C0"/>
    <w:rsid w:val="00170CAE"/>
    <w:rsid w:val="00171F6F"/>
    <w:rsid w:val="00171FAB"/>
    <w:rsid w:val="00172A27"/>
    <w:rsid w:val="00173C95"/>
    <w:rsid w:val="0017412A"/>
    <w:rsid w:val="00174751"/>
    <w:rsid w:val="001760EC"/>
    <w:rsid w:val="00177D5E"/>
    <w:rsid w:val="0018106A"/>
    <w:rsid w:val="00181482"/>
    <w:rsid w:val="001814EA"/>
    <w:rsid w:val="00182442"/>
    <w:rsid w:val="00184A52"/>
    <w:rsid w:val="001873F2"/>
    <w:rsid w:val="00191879"/>
    <w:rsid w:val="00192921"/>
    <w:rsid w:val="00194F97"/>
    <w:rsid w:val="001955FF"/>
    <w:rsid w:val="001958F4"/>
    <w:rsid w:val="00197203"/>
    <w:rsid w:val="00197E22"/>
    <w:rsid w:val="001A10C3"/>
    <w:rsid w:val="001A14C0"/>
    <w:rsid w:val="001A14D4"/>
    <w:rsid w:val="001A175E"/>
    <w:rsid w:val="001A1941"/>
    <w:rsid w:val="001A68F2"/>
    <w:rsid w:val="001B0500"/>
    <w:rsid w:val="001B0FCC"/>
    <w:rsid w:val="001B31D1"/>
    <w:rsid w:val="001B47AA"/>
    <w:rsid w:val="001B66AE"/>
    <w:rsid w:val="001C0E16"/>
    <w:rsid w:val="001C0FC7"/>
    <w:rsid w:val="001C2D00"/>
    <w:rsid w:val="001C3E92"/>
    <w:rsid w:val="001C422B"/>
    <w:rsid w:val="001C4622"/>
    <w:rsid w:val="001C5467"/>
    <w:rsid w:val="001C567C"/>
    <w:rsid w:val="001C5E86"/>
    <w:rsid w:val="001D04D6"/>
    <w:rsid w:val="001D3AE5"/>
    <w:rsid w:val="001D4479"/>
    <w:rsid w:val="001D449B"/>
    <w:rsid w:val="001D51D1"/>
    <w:rsid w:val="001D62A9"/>
    <w:rsid w:val="001D6BB1"/>
    <w:rsid w:val="001D6EFF"/>
    <w:rsid w:val="001D757B"/>
    <w:rsid w:val="001E02B4"/>
    <w:rsid w:val="001E146B"/>
    <w:rsid w:val="001E278E"/>
    <w:rsid w:val="001E2B59"/>
    <w:rsid w:val="001E3022"/>
    <w:rsid w:val="001E4C1A"/>
    <w:rsid w:val="001E4C68"/>
    <w:rsid w:val="001E4F86"/>
    <w:rsid w:val="001E5C5B"/>
    <w:rsid w:val="001E69D1"/>
    <w:rsid w:val="001E767B"/>
    <w:rsid w:val="001F066A"/>
    <w:rsid w:val="001F357A"/>
    <w:rsid w:val="001F459E"/>
    <w:rsid w:val="001F50EE"/>
    <w:rsid w:val="001F7408"/>
    <w:rsid w:val="001F778B"/>
    <w:rsid w:val="00201E82"/>
    <w:rsid w:val="0020256A"/>
    <w:rsid w:val="002025CF"/>
    <w:rsid w:val="00203B17"/>
    <w:rsid w:val="00205AEA"/>
    <w:rsid w:val="0020675D"/>
    <w:rsid w:val="0020700E"/>
    <w:rsid w:val="00211191"/>
    <w:rsid w:val="00211BAB"/>
    <w:rsid w:val="00212C35"/>
    <w:rsid w:val="002139CC"/>
    <w:rsid w:val="00213F8E"/>
    <w:rsid w:val="00214CCA"/>
    <w:rsid w:val="00215AB5"/>
    <w:rsid w:val="00216BDA"/>
    <w:rsid w:val="00217D52"/>
    <w:rsid w:val="00221D24"/>
    <w:rsid w:val="00223413"/>
    <w:rsid w:val="00223EA7"/>
    <w:rsid w:val="002255B4"/>
    <w:rsid w:val="0022674B"/>
    <w:rsid w:val="002267A7"/>
    <w:rsid w:val="00230D95"/>
    <w:rsid w:val="002311D0"/>
    <w:rsid w:val="00231EF6"/>
    <w:rsid w:val="00233646"/>
    <w:rsid w:val="00233E72"/>
    <w:rsid w:val="00234A0E"/>
    <w:rsid w:val="002367D2"/>
    <w:rsid w:val="00236CEF"/>
    <w:rsid w:val="00240213"/>
    <w:rsid w:val="00241977"/>
    <w:rsid w:val="002420E3"/>
    <w:rsid w:val="0024276F"/>
    <w:rsid w:val="002435A1"/>
    <w:rsid w:val="00244B6B"/>
    <w:rsid w:val="00244E24"/>
    <w:rsid w:val="00244FFE"/>
    <w:rsid w:val="00246AD2"/>
    <w:rsid w:val="00246B88"/>
    <w:rsid w:val="00250541"/>
    <w:rsid w:val="002515CA"/>
    <w:rsid w:val="00251C6B"/>
    <w:rsid w:val="00252714"/>
    <w:rsid w:val="00255D12"/>
    <w:rsid w:val="00256110"/>
    <w:rsid w:val="00257329"/>
    <w:rsid w:val="00257963"/>
    <w:rsid w:val="00257CD4"/>
    <w:rsid w:val="0026025A"/>
    <w:rsid w:val="00261F79"/>
    <w:rsid w:val="0026257E"/>
    <w:rsid w:val="00265573"/>
    <w:rsid w:val="00267220"/>
    <w:rsid w:val="00267429"/>
    <w:rsid w:val="0027386F"/>
    <w:rsid w:val="002746D6"/>
    <w:rsid w:val="00274906"/>
    <w:rsid w:val="00274D1F"/>
    <w:rsid w:val="002758FB"/>
    <w:rsid w:val="00275B5D"/>
    <w:rsid w:val="00276781"/>
    <w:rsid w:val="002816DD"/>
    <w:rsid w:val="00285A93"/>
    <w:rsid w:val="0029011E"/>
    <w:rsid w:val="002905EE"/>
    <w:rsid w:val="00290E23"/>
    <w:rsid w:val="00290E28"/>
    <w:rsid w:val="002921DC"/>
    <w:rsid w:val="002930E3"/>
    <w:rsid w:val="00293227"/>
    <w:rsid w:val="002945BB"/>
    <w:rsid w:val="00295225"/>
    <w:rsid w:val="0029629F"/>
    <w:rsid w:val="00296BC8"/>
    <w:rsid w:val="00297198"/>
    <w:rsid w:val="00297ADF"/>
    <w:rsid w:val="00297AE4"/>
    <w:rsid w:val="002A0C63"/>
    <w:rsid w:val="002A1C12"/>
    <w:rsid w:val="002A2D26"/>
    <w:rsid w:val="002A48ED"/>
    <w:rsid w:val="002A4C61"/>
    <w:rsid w:val="002A5D00"/>
    <w:rsid w:val="002B099F"/>
    <w:rsid w:val="002B15DF"/>
    <w:rsid w:val="002B1B22"/>
    <w:rsid w:val="002B2385"/>
    <w:rsid w:val="002B41FC"/>
    <w:rsid w:val="002B49BC"/>
    <w:rsid w:val="002B4BBB"/>
    <w:rsid w:val="002B5392"/>
    <w:rsid w:val="002B5B71"/>
    <w:rsid w:val="002B61E5"/>
    <w:rsid w:val="002B71B4"/>
    <w:rsid w:val="002B72BC"/>
    <w:rsid w:val="002C0552"/>
    <w:rsid w:val="002C05B2"/>
    <w:rsid w:val="002C0DEA"/>
    <w:rsid w:val="002C160C"/>
    <w:rsid w:val="002C5F3F"/>
    <w:rsid w:val="002C6012"/>
    <w:rsid w:val="002C6A8D"/>
    <w:rsid w:val="002C729D"/>
    <w:rsid w:val="002C7429"/>
    <w:rsid w:val="002C7708"/>
    <w:rsid w:val="002D01BD"/>
    <w:rsid w:val="002D0303"/>
    <w:rsid w:val="002D0B28"/>
    <w:rsid w:val="002D0C96"/>
    <w:rsid w:val="002D1340"/>
    <w:rsid w:val="002D4502"/>
    <w:rsid w:val="002D60C2"/>
    <w:rsid w:val="002E0BDF"/>
    <w:rsid w:val="002E183F"/>
    <w:rsid w:val="002E2238"/>
    <w:rsid w:val="002E2F72"/>
    <w:rsid w:val="002E3A13"/>
    <w:rsid w:val="002E5428"/>
    <w:rsid w:val="002E57D6"/>
    <w:rsid w:val="002E677C"/>
    <w:rsid w:val="002E776D"/>
    <w:rsid w:val="002F0E73"/>
    <w:rsid w:val="002F325A"/>
    <w:rsid w:val="002F3E2B"/>
    <w:rsid w:val="002F452B"/>
    <w:rsid w:val="002F50C6"/>
    <w:rsid w:val="002F770C"/>
    <w:rsid w:val="002F77A6"/>
    <w:rsid w:val="002F7B63"/>
    <w:rsid w:val="002F7C8A"/>
    <w:rsid w:val="002F7E2E"/>
    <w:rsid w:val="003009F4"/>
    <w:rsid w:val="00301941"/>
    <w:rsid w:val="003025E4"/>
    <w:rsid w:val="00302948"/>
    <w:rsid w:val="00304E48"/>
    <w:rsid w:val="0030606D"/>
    <w:rsid w:val="00310A06"/>
    <w:rsid w:val="00311663"/>
    <w:rsid w:val="0031243A"/>
    <w:rsid w:val="0031359D"/>
    <w:rsid w:val="00316867"/>
    <w:rsid w:val="00320185"/>
    <w:rsid w:val="003226E8"/>
    <w:rsid w:val="00327470"/>
    <w:rsid w:val="00327FF7"/>
    <w:rsid w:val="0033587F"/>
    <w:rsid w:val="003358BD"/>
    <w:rsid w:val="003372D2"/>
    <w:rsid w:val="00337666"/>
    <w:rsid w:val="00337F11"/>
    <w:rsid w:val="0034156A"/>
    <w:rsid w:val="00344A3D"/>
    <w:rsid w:val="0034514F"/>
    <w:rsid w:val="0034628F"/>
    <w:rsid w:val="00350A59"/>
    <w:rsid w:val="00351EF1"/>
    <w:rsid w:val="003521F9"/>
    <w:rsid w:val="00352FB4"/>
    <w:rsid w:val="003537FC"/>
    <w:rsid w:val="00353CA0"/>
    <w:rsid w:val="00353F83"/>
    <w:rsid w:val="0035468C"/>
    <w:rsid w:val="00354943"/>
    <w:rsid w:val="00354F94"/>
    <w:rsid w:val="00355CE3"/>
    <w:rsid w:val="003568AD"/>
    <w:rsid w:val="0035798A"/>
    <w:rsid w:val="00360252"/>
    <w:rsid w:val="00360577"/>
    <w:rsid w:val="00361DBD"/>
    <w:rsid w:val="003624BE"/>
    <w:rsid w:val="00362B7F"/>
    <w:rsid w:val="0036376B"/>
    <w:rsid w:val="003637AF"/>
    <w:rsid w:val="0036384D"/>
    <w:rsid w:val="00366679"/>
    <w:rsid w:val="00367D8F"/>
    <w:rsid w:val="003702A0"/>
    <w:rsid w:val="00370D9E"/>
    <w:rsid w:val="00371C65"/>
    <w:rsid w:val="00374ACB"/>
    <w:rsid w:val="00375BE2"/>
    <w:rsid w:val="003772EF"/>
    <w:rsid w:val="0037762A"/>
    <w:rsid w:val="003776A3"/>
    <w:rsid w:val="00377710"/>
    <w:rsid w:val="00377CA2"/>
    <w:rsid w:val="00377D03"/>
    <w:rsid w:val="00380531"/>
    <w:rsid w:val="003819B8"/>
    <w:rsid w:val="00382002"/>
    <w:rsid w:val="00382BF1"/>
    <w:rsid w:val="003841BF"/>
    <w:rsid w:val="003850D0"/>
    <w:rsid w:val="0038761B"/>
    <w:rsid w:val="003919BC"/>
    <w:rsid w:val="00391F25"/>
    <w:rsid w:val="003931DC"/>
    <w:rsid w:val="003955E2"/>
    <w:rsid w:val="00396088"/>
    <w:rsid w:val="0039748A"/>
    <w:rsid w:val="00397C86"/>
    <w:rsid w:val="003A0036"/>
    <w:rsid w:val="003A30B5"/>
    <w:rsid w:val="003A3F96"/>
    <w:rsid w:val="003A4338"/>
    <w:rsid w:val="003A4FAE"/>
    <w:rsid w:val="003A54E6"/>
    <w:rsid w:val="003A5FFE"/>
    <w:rsid w:val="003A661F"/>
    <w:rsid w:val="003A718A"/>
    <w:rsid w:val="003A7A2D"/>
    <w:rsid w:val="003B175C"/>
    <w:rsid w:val="003B2A16"/>
    <w:rsid w:val="003B489F"/>
    <w:rsid w:val="003B6D1E"/>
    <w:rsid w:val="003B6F16"/>
    <w:rsid w:val="003B73FF"/>
    <w:rsid w:val="003C10BC"/>
    <w:rsid w:val="003C119F"/>
    <w:rsid w:val="003C1C24"/>
    <w:rsid w:val="003C2CCC"/>
    <w:rsid w:val="003C2F03"/>
    <w:rsid w:val="003C36D6"/>
    <w:rsid w:val="003C49DD"/>
    <w:rsid w:val="003C550F"/>
    <w:rsid w:val="003C5FB5"/>
    <w:rsid w:val="003C67B5"/>
    <w:rsid w:val="003C7FC8"/>
    <w:rsid w:val="003D0F8D"/>
    <w:rsid w:val="003D1D6E"/>
    <w:rsid w:val="003D31B2"/>
    <w:rsid w:val="003D4D4D"/>
    <w:rsid w:val="003D5FB0"/>
    <w:rsid w:val="003D606B"/>
    <w:rsid w:val="003D63D8"/>
    <w:rsid w:val="003D6453"/>
    <w:rsid w:val="003D6A37"/>
    <w:rsid w:val="003E03AD"/>
    <w:rsid w:val="003E21C6"/>
    <w:rsid w:val="003E2806"/>
    <w:rsid w:val="003E3578"/>
    <w:rsid w:val="003E3AEC"/>
    <w:rsid w:val="003E4700"/>
    <w:rsid w:val="003E474F"/>
    <w:rsid w:val="003E4AD0"/>
    <w:rsid w:val="003E5042"/>
    <w:rsid w:val="003E579F"/>
    <w:rsid w:val="003F0027"/>
    <w:rsid w:val="003F124D"/>
    <w:rsid w:val="003F2123"/>
    <w:rsid w:val="003F3B21"/>
    <w:rsid w:val="003F4F83"/>
    <w:rsid w:val="003F7497"/>
    <w:rsid w:val="003F7D42"/>
    <w:rsid w:val="003F7D55"/>
    <w:rsid w:val="00400934"/>
    <w:rsid w:val="00400EC6"/>
    <w:rsid w:val="00403479"/>
    <w:rsid w:val="00403547"/>
    <w:rsid w:val="004036CC"/>
    <w:rsid w:val="0040430E"/>
    <w:rsid w:val="00404D00"/>
    <w:rsid w:val="0040769F"/>
    <w:rsid w:val="00411C90"/>
    <w:rsid w:val="0041228B"/>
    <w:rsid w:val="00412C66"/>
    <w:rsid w:val="00413174"/>
    <w:rsid w:val="0041320D"/>
    <w:rsid w:val="0041455B"/>
    <w:rsid w:val="00414602"/>
    <w:rsid w:val="004159D8"/>
    <w:rsid w:val="004161F4"/>
    <w:rsid w:val="004173F5"/>
    <w:rsid w:val="004200C4"/>
    <w:rsid w:val="0042011A"/>
    <w:rsid w:val="00422399"/>
    <w:rsid w:val="00422630"/>
    <w:rsid w:val="00423DE8"/>
    <w:rsid w:val="00424688"/>
    <w:rsid w:val="00424D52"/>
    <w:rsid w:val="0042562F"/>
    <w:rsid w:val="004274CB"/>
    <w:rsid w:val="00430227"/>
    <w:rsid w:val="0043054A"/>
    <w:rsid w:val="00431168"/>
    <w:rsid w:val="004320FB"/>
    <w:rsid w:val="00432283"/>
    <w:rsid w:val="00432ECA"/>
    <w:rsid w:val="00436324"/>
    <w:rsid w:val="00437997"/>
    <w:rsid w:val="00440156"/>
    <w:rsid w:val="0044165A"/>
    <w:rsid w:val="0044281E"/>
    <w:rsid w:val="0044314C"/>
    <w:rsid w:val="004432CC"/>
    <w:rsid w:val="0044395C"/>
    <w:rsid w:val="004439CA"/>
    <w:rsid w:val="00444CEF"/>
    <w:rsid w:val="00444E14"/>
    <w:rsid w:val="00445D8B"/>
    <w:rsid w:val="0045096D"/>
    <w:rsid w:val="0045101E"/>
    <w:rsid w:val="00451896"/>
    <w:rsid w:val="00452432"/>
    <w:rsid w:val="00452440"/>
    <w:rsid w:val="00453059"/>
    <w:rsid w:val="004539D9"/>
    <w:rsid w:val="00453D42"/>
    <w:rsid w:val="004552C2"/>
    <w:rsid w:val="00455B18"/>
    <w:rsid w:val="004579F1"/>
    <w:rsid w:val="00457B7E"/>
    <w:rsid w:val="004619DE"/>
    <w:rsid w:val="004622C5"/>
    <w:rsid w:val="00462B14"/>
    <w:rsid w:val="00466764"/>
    <w:rsid w:val="00466B27"/>
    <w:rsid w:val="00467BDF"/>
    <w:rsid w:val="0047193A"/>
    <w:rsid w:val="004765ED"/>
    <w:rsid w:val="004768CE"/>
    <w:rsid w:val="00480B5E"/>
    <w:rsid w:val="00480C81"/>
    <w:rsid w:val="00480E76"/>
    <w:rsid w:val="00482FA5"/>
    <w:rsid w:val="004859C9"/>
    <w:rsid w:val="00485E75"/>
    <w:rsid w:val="0048692A"/>
    <w:rsid w:val="00486B2F"/>
    <w:rsid w:val="004870B2"/>
    <w:rsid w:val="004913CE"/>
    <w:rsid w:val="00491895"/>
    <w:rsid w:val="00492043"/>
    <w:rsid w:val="0049254D"/>
    <w:rsid w:val="0049370E"/>
    <w:rsid w:val="00494BBB"/>
    <w:rsid w:val="00496871"/>
    <w:rsid w:val="00497908"/>
    <w:rsid w:val="00497C48"/>
    <w:rsid w:val="00497EE8"/>
    <w:rsid w:val="004A04EF"/>
    <w:rsid w:val="004A1C64"/>
    <w:rsid w:val="004A241E"/>
    <w:rsid w:val="004A354D"/>
    <w:rsid w:val="004A44A7"/>
    <w:rsid w:val="004A4A90"/>
    <w:rsid w:val="004A5895"/>
    <w:rsid w:val="004A59C0"/>
    <w:rsid w:val="004A6892"/>
    <w:rsid w:val="004A6BD2"/>
    <w:rsid w:val="004B129F"/>
    <w:rsid w:val="004B2660"/>
    <w:rsid w:val="004B28BA"/>
    <w:rsid w:val="004B56BB"/>
    <w:rsid w:val="004B695E"/>
    <w:rsid w:val="004B6A6E"/>
    <w:rsid w:val="004B6EE0"/>
    <w:rsid w:val="004B7FB0"/>
    <w:rsid w:val="004C006C"/>
    <w:rsid w:val="004C054B"/>
    <w:rsid w:val="004C30A6"/>
    <w:rsid w:val="004C3CC3"/>
    <w:rsid w:val="004C449E"/>
    <w:rsid w:val="004C5407"/>
    <w:rsid w:val="004C65EB"/>
    <w:rsid w:val="004D0479"/>
    <w:rsid w:val="004D0645"/>
    <w:rsid w:val="004D25A4"/>
    <w:rsid w:val="004D2FBE"/>
    <w:rsid w:val="004D3C99"/>
    <w:rsid w:val="004D4D86"/>
    <w:rsid w:val="004D5387"/>
    <w:rsid w:val="004D59A9"/>
    <w:rsid w:val="004D6D3B"/>
    <w:rsid w:val="004E07BA"/>
    <w:rsid w:val="004E2545"/>
    <w:rsid w:val="004E2BD3"/>
    <w:rsid w:val="004E3683"/>
    <w:rsid w:val="004E3A2F"/>
    <w:rsid w:val="004F0237"/>
    <w:rsid w:val="004F14D3"/>
    <w:rsid w:val="004F1C42"/>
    <w:rsid w:val="004F331D"/>
    <w:rsid w:val="004F3AC6"/>
    <w:rsid w:val="004F3B4F"/>
    <w:rsid w:val="004F4357"/>
    <w:rsid w:val="0050052D"/>
    <w:rsid w:val="00500EBB"/>
    <w:rsid w:val="00503A5C"/>
    <w:rsid w:val="00503CBF"/>
    <w:rsid w:val="00504EF6"/>
    <w:rsid w:val="00506AD1"/>
    <w:rsid w:val="00507748"/>
    <w:rsid w:val="00507E7D"/>
    <w:rsid w:val="0051053E"/>
    <w:rsid w:val="005117FA"/>
    <w:rsid w:val="005132DC"/>
    <w:rsid w:val="00514553"/>
    <w:rsid w:val="00515742"/>
    <w:rsid w:val="00515CE4"/>
    <w:rsid w:val="00516000"/>
    <w:rsid w:val="00517D62"/>
    <w:rsid w:val="0052138C"/>
    <w:rsid w:val="0052139C"/>
    <w:rsid w:val="00521878"/>
    <w:rsid w:val="00522B96"/>
    <w:rsid w:val="00523063"/>
    <w:rsid w:val="0052492E"/>
    <w:rsid w:val="00524ED9"/>
    <w:rsid w:val="00526A71"/>
    <w:rsid w:val="00526CA1"/>
    <w:rsid w:val="00527753"/>
    <w:rsid w:val="005277A2"/>
    <w:rsid w:val="005302F5"/>
    <w:rsid w:val="00530718"/>
    <w:rsid w:val="00530BC2"/>
    <w:rsid w:val="00531C9B"/>
    <w:rsid w:val="005325B4"/>
    <w:rsid w:val="00536561"/>
    <w:rsid w:val="00536909"/>
    <w:rsid w:val="00540056"/>
    <w:rsid w:val="00540483"/>
    <w:rsid w:val="00540EE2"/>
    <w:rsid w:val="005428B5"/>
    <w:rsid w:val="00542A08"/>
    <w:rsid w:val="0054365B"/>
    <w:rsid w:val="00543D29"/>
    <w:rsid w:val="0054594F"/>
    <w:rsid w:val="00545BE3"/>
    <w:rsid w:val="00546596"/>
    <w:rsid w:val="00547A46"/>
    <w:rsid w:val="005511D3"/>
    <w:rsid w:val="005512F7"/>
    <w:rsid w:val="00551E9F"/>
    <w:rsid w:val="00552395"/>
    <w:rsid w:val="00552D50"/>
    <w:rsid w:val="005560DC"/>
    <w:rsid w:val="005567CC"/>
    <w:rsid w:val="00556AF3"/>
    <w:rsid w:val="0055711F"/>
    <w:rsid w:val="00560135"/>
    <w:rsid w:val="00560F1E"/>
    <w:rsid w:val="0056446E"/>
    <w:rsid w:val="0056479F"/>
    <w:rsid w:val="00570E15"/>
    <w:rsid w:val="00571B56"/>
    <w:rsid w:val="00573E51"/>
    <w:rsid w:val="005740E0"/>
    <w:rsid w:val="00574DF0"/>
    <w:rsid w:val="00574EB7"/>
    <w:rsid w:val="00575266"/>
    <w:rsid w:val="00575F6A"/>
    <w:rsid w:val="005769FC"/>
    <w:rsid w:val="00580D99"/>
    <w:rsid w:val="00581712"/>
    <w:rsid w:val="0058680B"/>
    <w:rsid w:val="005877E3"/>
    <w:rsid w:val="0058799B"/>
    <w:rsid w:val="0059015D"/>
    <w:rsid w:val="005902D6"/>
    <w:rsid w:val="00591A71"/>
    <w:rsid w:val="00592087"/>
    <w:rsid w:val="005921B8"/>
    <w:rsid w:val="0059279E"/>
    <w:rsid w:val="0059331C"/>
    <w:rsid w:val="00594353"/>
    <w:rsid w:val="0059435D"/>
    <w:rsid w:val="0059476B"/>
    <w:rsid w:val="005949A8"/>
    <w:rsid w:val="0059554C"/>
    <w:rsid w:val="00596885"/>
    <w:rsid w:val="00596E1E"/>
    <w:rsid w:val="005A0079"/>
    <w:rsid w:val="005A6834"/>
    <w:rsid w:val="005A7311"/>
    <w:rsid w:val="005A7D7F"/>
    <w:rsid w:val="005B16CB"/>
    <w:rsid w:val="005B36A9"/>
    <w:rsid w:val="005B4AE0"/>
    <w:rsid w:val="005B4C0E"/>
    <w:rsid w:val="005B6517"/>
    <w:rsid w:val="005B660A"/>
    <w:rsid w:val="005C026B"/>
    <w:rsid w:val="005C0AA8"/>
    <w:rsid w:val="005C1832"/>
    <w:rsid w:val="005C241B"/>
    <w:rsid w:val="005C310D"/>
    <w:rsid w:val="005C34D5"/>
    <w:rsid w:val="005C419D"/>
    <w:rsid w:val="005C5A30"/>
    <w:rsid w:val="005D1D6D"/>
    <w:rsid w:val="005D2178"/>
    <w:rsid w:val="005D48CE"/>
    <w:rsid w:val="005D5B37"/>
    <w:rsid w:val="005D6684"/>
    <w:rsid w:val="005E139D"/>
    <w:rsid w:val="005E18A2"/>
    <w:rsid w:val="005E2BFF"/>
    <w:rsid w:val="005E42B6"/>
    <w:rsid w:val="005F008A"/>
    <w:rsid w:val="005F17C9"/>
    <w:rsid w:val="005F1907"/>
    <w:rsid w:val="005F1925"/>
    <w:rsid w:val="005F32A4"/>
    <w:rsid w:val="005F4194"/>
    <w:rsid w:val="005F4A03"/>
    <w:rsid w:val="005F4E48"/>
    <w:rsid w:val="005F5B4C"/>
    <w:rsid w:val="005F6416"/>
    <w:rsid w:val="00600F9B"/>
    <w:rsid w:val="006015A1"/>
    <w:rsid w:val="00601EE5"/>
    <w:rsid w:val="00602F8F"/>
    <w:rsid w:val="00603008"/>
    <w:rsid w:val="00603919"/>
    <w:rsid w:val="00604394"/>
    <w:rsid w:val="00606731"/>
    <w:rsid w:val="006067CE"/>
    <w:rsid w:val="006104BF"/>
    <w:rsid w:val="006109C1"/>
    <w:rsid w:val="00610DC7"/>
    <w:rsid w:val="00611AD3"/>
    <w:rsid w:val="0061303E"/>
    <w:rsid w:val="00613444"/>
    <w:rsid w:val="00614891"/>
    <w:rsid w:val="006179F1"/>
    <w:rsid w:val="00617B0E"/>
    <w:rsid w:val="00622203"/>
    <w:rsid w:val="00622272"/>
    <w:rsid w:val="00624816"/>
    <w:rsid w:val="00624B73"/>
    <w:rsid w:val="006306F0"/>
    <w:rsid w:val="00632EE5"/>
    <w:rsid w:val="00634E54"/>
    <w:rsid w:val="00640409"/>
    <w:rsid w:val="00640E3B"/>
    <w:rsid w:val="00641387"/>
    <w:rsid w:val="00642D25"/>
    <w:rsid w:val="00643FF6"/>
    <w:rsid w:val="0064443D"/>
    <w:rsid w:val="00644497"/>
    <w:rsid w:val="00644F52"/>
    <w:rsid w:val="00645735"/>
    <w:rsid w:val="0064683C"/>
    <w:rsid w:val="00647897"/>
    <w:rsid w:val="00650AFB"/>
    <w:rsid w:val="00651993"/>
    <w:rsid w:val="00652549"/>
    <w:rsid w:val="00652C5F"/>
    <w:rsid w:val="00652EBD"/>
    <w:rsid w:val="006535DA"/>
    <w:rsid w:val="00656B46"/>
    <w:rsid w:val="00663788"/>
    <w:rsid w:val="00665215"/>
    <w:rsid w:val="0066689A"/>
    <w:rsid w:val="006675B8"/>
    <w:rsid w:val="00670C3A"/>
    <w:rsid w:val="0067132F"/>
    <w:rsid w:val="006716C6"/>
    <w:rsid w:val="006725B7"/>
    <w:rsid w:val="0067421A"/>
    <w:rsid w:val="00675155"/>
    <w:rsid w:val="00676887"/>
    <w:rsid w:val="006808B9"/>
    <w:rsid w:val="0068090B"/>
    <w:rsid w:val="00680DB0"/>
    <w:rsid w:val="00681995"/>
    <w:rsid w:val="006821AD"/>
    <w:rsid w:val="00683962"/>
    <w:rsid w:val="00684032"/>
    <w:rsid w:val="00684696"/>
    <w:rsid w:val="00684B1C"/>
    <w:rsid w:val="00686982"/>
    <w:rsid w:val="00686D66"/>
    <w:rsid w:val="0068754E"/>
    <w:rsid w:val="006904AE"/>
    <w:rsid w:val="00691B74"/>
    <w:rsid w:val="006922B7"/>
    <w:rsid w:val="0069241E"/>
    <w:rsid w:val="006924F7"/>
    <w:rsid w:val="00695D8C"/>
    <w:rsid w:val="00696938"/>
    <w:rsid w:val="006973FA"/>
    <w:rsid w:val="00697B81"/>
    <w:rsid w:val="006A08B1"/>
    <w:rsid w:val="006A0AB1"/>
    <w:rsid w:val="006A1BC7"/>
    <w:rsid w:val="006A1C8F"/>
    <w:rsid w:val="006A2C18"/>
    <w:rsid w:val="006A3804"/>
    <w:rsid w:val="006A4E2B"/>
    <w:rsid w:val="006A5528"/>
    <w:rsid w:val="006A72C6"/>
    <w:rsid w:val="006A7B1F"/>
    <w:rsid w:val="006A7D0B"/>
    <w:rsid w:val="006B058C"/>
    <w:rsid w:val="006B1B92"/>
    <w:rsid w:val="006B4961"/>
    <w:rsid w:val="006B6041"/>
    <w:rsid w:val="006B731A"/>
    <w:rsid w:val="006B7BF1"/>
    <w:rsid w:val="006C0C12"/>
    <w:rsid w:val="006C0C73"/>
    <w:rsid w:val="006C1C04"/>
    <w:rsid w:val="006C46BB"/>
    <w:rsid w:val="006C4F28"/>
    <w:rsid w:val="006C5AE9"/>
    <w:rsid w:val="006C5D99"/>
    <w:rsid w:val="006C6D4E"/>
    <w:rsid w:val="006C7835"/>
    <w:rsid w:val="006D111D"/>
    <w:rsid w:val="006D122A"/>
    <w:rsid w:val="006D2DE3"/>
    <w:rsid w:val="006D3E00"/>
    <w:rsid w:val="006D5E7E"/>
    <w:rsid w:val="006D67E8"/>
    <w:rsid w:val="006E0965"/>
    <w:rsid w:val="006E27FD"/>
    <w:rsid w:val="006E7057"/>
    <w:rsid w:val="006E7CC0"/>
    <w:rsid w:val="006F0783"/>
    <w:rsid w:val="006F07B1"/>
    <w:rsid w:val="006F0FDD"/>
    <w:rsid w:val="006F1827"/>
    <w:rsid w:val="006F1923"/>
    <w:rsid w:val="006F1E00"/>
    <w:rsid w:val="006F3BDD"/>
    <w:rsid w:val="006F4261"/>
    <w:rsid w:val="006F4570"/>
    <w:rsid w:val="007001E3"/>
    <w:rsid w:val="007018A9"/>
    <w:rsid w:val="00702EE2"/>
    <w:rsid w:val="00703317"/>
    <w:rsid w:val="00704E50"/>
    <w:rsid w:val="007060C7"/>
    <w:rsid w:val="00706F91"/>
    <w:rsid w:val="00707132"/>
    <w:rsid w:val="00710193"/>
    <w:rsid w:val="0071019B"/>
    <w:rsid w:val="00710E04"/>
    <w:rsid w:val="00713436"/>
    <w:rsid w:val="00714594"/>
    <w:rsid w:val="00714A45"/>
    <w:rsid w:val="00714E37"/>
    <w:rsid w:val="00715AC4"/>
    <w:rsid w:val="00716C89"/>
    <w:rsid w:val="007178C5"/>
    <w:rsid w:val="0072135C"/>
    <w:rsid w:val="00722CC5"/>
    <w:rsid w:val="00723F7E"/>
    <w:rsid w:val="00723FAE"/>
    <w:rsid w:val="00724D95"/>
    <w:rsid w:val="00724E9F"/>
    <w:rsid w:val="00726E3A"/>
    <w:rsid w:val="00727A1D"/>
    <w:rsid w:val="007318BD"/>
    <w:rsid w:val="0073370F"/>
    <w:rsid w:val="00733C06"/>
    <w:rsid w:val="00734CAF"/>
    <w:rsid w:val="00735061"/>
    <w:rsid w:val="00735503"/>
    <w:rsid w:val="00735C31"/>
    <w:rsid w:val="007371C5"/>
    <w:rsid w:val="0074010F"/>
    <w:rsid w:val="00740D25"/>
    <w:rsid w:val="007416CB"/>
    <w:rsid w:val="007420B7"/>
    <w:rsid w:val="00743B25"/>
    <w:rsid w:val="007458A7"/>
    <w:rsid w:val="007462F2"/>
    <w:rsid w:val="007464CE"/>
    <w:rsid w:val="00746748"/>
    <w:rsid w:val="00746859"/>
    <w:rsid w:val="00746DF5"/>
    <w:rsid w:val="00747A4A"/>
    <w:rsid w:val="00747D27"/>
    <w:rsid w:val="007501C7"/>
    <w:rsid w:val="007501D8"/>
    <w:rsid w:val="00752015"/>
    <w:rsid w:val="00752B22"/>
    <w:rsid w:val="0075321E"/>
    <w:rsid w:val="007533F9"/>
    <w:rsid w:val="0075472F"/>
    <w:rsid w:val="00754CF2"/>
    <w:rsid w:val="007551AB"/>
    <w:rsid w:val="00757B72"/>
    <w:rsid w:val="00760C8D"/>
    <w:rsid w:val="0076138D"/>
    <w:rsid w:val="00761D31"/>
    <w:rsid w:val="00762765"/>
    <w:rsid w:val="00762B65"/>
    <w:rsid w:val="00762D23"/>
    <w:rsid w:val="00763B2E"/>
    <w:rsid w:val="00764198"/>
    <w:rsid w:val="0076448E"/>
    <w:rsid w:val="0076467B"/>
    <w:rsid w:val="00764DC9"/>
    <w:rsid w:val="00764F2C"/>
    <w:rsid w:val="00764FD2"/>
    <w:rsid w:val="00766477"/>
    <w:rsid w:val="00766651"/>
    <w:rsid w:val="0076674D"/>
    <w:rsid w:val="00772A14"/>
    <w:rsid w:val="0077346A"/>
    <w:rsid w:val="00773627"/>
    <w:rsid w:val="007751E9"/>
    <w:rsid w:val="00776BBB"/>
    <w:rsid w:val="00780140"/>
    <w:rsid w:val="0078152A"/>
    <w:rsid w:val="007828AD"/>
    <w:rsid w:val="00782A58"/>
    <w:rsid w:val="00783749"/>
    <w:rsid w:val="00784100"/>
    <w:rsid w:val="0078474B"/>
    <w:rsid w:val="007856A9"/>
    <w:rsid w:val="00786AB2"/>
    <w:rsid w:val="007913C4"/>
    <w:rsid w:val="007913ED"/>
    <w:rsid w:val="00791750"/>
    <w:rsid w:val="00791D4B"/>
    <w:rsid w:val="00792011"/>
    <w:rsid w:val="00792D88"/>
    <w:rsid w:val="00793175"/>
    <w:rsid w:val="007951D2"/>
    <w:rsid w:val="00796253"/>
    <w:rsid w:val="00796304"/>
    <w:rsid w:val="00797088"/>
    <w:rsid w:val="007A0221"/>
    <w:rsid w:val="007A0429"/>
    <w:rsid w:val="007A0451"/>
    <w:rsid w:val="007A048E"/>
    <w:rsid w:val="007A0943"/>
    <w:rsid w:val="007A4100"/>
    <w:rsid w:val="007A70F0"/>
    <w:rsid w:val="007A7166"/>
    <w:rsid w:val="007A74A3"/>
    <w:rsid w:val="007B28EA"/>
    <w:rsid w:val="007B420E"/>
    <w:rsid w:val="007B6E13"/>
    <w:rsid w:val="007B75A3"/>
    <w:rsid w:val="007B798F"/>
    <w:rsid w:val="007B7E2A"/>
    <w:rsid w:val="007C036B"/>
    <w:rsid w:val="007C19C1"/>
    <w:rsid w:val="007C349D"/>
    <w:rsid w:val="007C381D"/>
    <w:rsid w:val="007C49BA"/>
    <w:rsid w:val="007C56FB"/>
    <w:rsid w:val="007C6127"/>
    <w:rsid w:val="007C78C9"/>
    <w:rsid w:val="007C7C49"/>
    <w:rsid w:val="007C7D9B"/>
    <w:rsid w:val="007D1574"/>
    <w:rsid w:val="007D174D"/>
    <w:rsid w:val="007D18A9"/>
    <w:rsid w:val="007D2903"/>
    <w:rsid w:val="007D30EC"/>
    <w:rsid w:val="007D3865"/>
    <w:rsid w:val="007D4585"/>
    <w:rsid w:val="007D503A"/>
    <w:rsid w:val="007D5FA4"/>
    <w:rsid w:val="007D73CC"/>
    <w:rsid w:val="007D7AE3"/>
    <w:rsid w:val="007E0895"/>
    <w:rsid w:val="007E1E43"/>
    <w:rsid w:val="007E283D"/>
    <w:rsid w:val="007E2DB0"/>
    <w:rsid w:val="007E30C9"/>
    <w:rsid w:val="007E3521"/>
    <w:rsid w:val="007E478E"/>
    <w:rsid w:val="007E48D9"/>
    <w:rsid w:val="007E4F54"/>
    <w:rsid w:val="007E53E8"/>
    <w:rsid w:val="007E6A46"/>
    <w:rsid w:val="007E6B1D"/>
    <w:rsid w:val="007F043B"/>
    <w:rsid w:val="007F273F"/>
    <w:rsid w:val="007F289B"/>
    <w:rsid w:val="007F33AD"/>
    <w:rsid w:val="007F3805"/>
    <w:rsid w:val="007F4135"/>
    <w:rsid w:val="007F4BE4"/>
    <w:rsid w:val="007F5E9F"/>
    <w:rsid w:val="007F6665"/>
    <w:rsid w:val="007F6E2E"/>
    <w:rsid w:val="007F7AC8"/>
    <w:rsid w:val="00800551"/>
    <w:rsid w:val="00810223"/>
    <w:rsid w:val="00811B69"/>
    <w:rsid w:val="00812DB4"/>
    <w:rsid w:val="00813A9C"/>
    <w:rsid w:val="00813B62"/>
    <w:rsid w:val="00813BF8"/>
    <w:rsid w:val="00814BA5"/>
    <w:rsid w:val="0081551C"/>
    <w:rsid w:val="00815B15"/>
    <w:rsid w:val="00816B07"/>
    <w:rsid w:val="0081774B"/>
    <w:rsid w:val="00820E3E"/>
    <w:rsid w:val="00821BDB"/>
    <w:rsid w:val="00821D8A"/>
    <w:rsid w:val="008227E7"/>
    <w:rsid w:val="00822A75"/>
    <w:rsid w:val="00822EF7"/>
    <w:rsid w:val="00824139"/>
    <w:rsid w:val="00825C33"/>
    <w:rsid w:val="00826927"/>
    <w:rsid w:val="00830C9A"/>
    <w:rsid w:val="00832070"/>
    <w:rsid w:val="008323F5"/>
    <w:rsid w:val="00832451"/>
    <w:rsid w:val="0083383B"/>
    <w:rsid w:val="008341C1"/>
    <w:rsid w:val="00834B54"/>
    <w:rsid w:val="008356EB"/>
    <w:rsid w:val="00835B82"/>
    <w:rsid w:val="008403F4"/>
    <w:rsid w:val="008423F1"/>
    <w:rsid w:val="008435C0"/>
    <w:rsid w:val="008467AA"/>
    <w:rsid w:val="0085043D"/>
    <w:rsid w:val="00850CCE"/>
    <w:rsid w:val="008531B9"/>
    <w:rsid w:val="008535FF"/>
    <w:rsid w:val="008542A6"/>
    <w:rsid w:val="008545F0"/>
    <w:rsid w:val="008558F5"/>
    <w:rsid w:val="008563CD"/>
    <w:rsid w:val="0085645C"/>
    <w:rsid w:val="0085722F"/>
    <w:rsid w:val="0085755B"/>
    <w:rsid w:val="008579AC"/>
    <w:rsid w:val="00860149"/>
    <w:rsid w:val="00860257"/>
    <w:rsid w:val="008605E7"/>
    <w:rsid w:val="00864D38"/>
    <w:rsid w:val="008659E9"/>
    <w:rsid w:val="00865C95"/>
    <w:rsid w:val="00866156"/>
    <w:rsid w:val="00867AE4"/>
    <w:rsid w:val="008701D4"/>
    <w:rsid w:val="008728D7"/>
    <w:rsid w:val="008732A8"/>
    <w:rsid w:val="00874BD5"/>
    <w:rsid w:val="00876AE1"/>
    <w:rsid w:val="00877EB5"/>
    <w:rsid w:val="00881FA2"/>
    <w:rsid w:val="008831A9"/>
    <w:rsid w:val="00883620"/>
    <w:rsid w:val="00884A2D"/>
    <w:rsid w:val="00885E4F"/>
    <w:rsid w:val="0088618B"/>
    <w:rsid w:val="008866F8"/>
    <w:rsid w:val="00890AE7"/>
    <w:rsid w:val="008923A1"/>
    <w:rsid w:val="0089269E"/>
    <w:rsid w:val="00895F08"/>
    <w:rsid w:val="00896A96"/>
    <w:rsid w:val="008A06FA"/>
    <w:rsid w:val="008A0AB2"/>
    <w:rsid w:val="008A0F55"/>
    <w:rsid w:val="008A11DA"/>
    <w:rsid w:val="008A21E1"/>
    <w:rsid w:val="008A3AF5"/>
    <w:rsid w:val="008A3C1B"/>
    <w:rsid w:val="008A4F6C"/>
    <w:rsid w:val="008A5924"/>
    <w:rsid w:val="008A78B6"/>
    <w:rsid w:val="008B0B4F"/>
    <w:rsid w:val="008B0ED4"/>
    <w:rsid w:val="008B16B2"/>
    <w:rsid w:val="008B2C10"/>
    <w:rsid w:val="008B4AF8"/>
    <w:rsid w:val="008B510E"/>
    <w:rsid w:val="008B78C6"/>
    <w:rsid w:val="008B7D86"/>
    <w:rsid w:val="008B7FBB"/>
    <w:rsid w:val="008C3032"/>
    <w:rsid w:val="008C3218"/>
    <w:rsid w:val="008C3454"/>
    <w:rsid w:val="008C3CDA"/>
    <w:rsid w:val="008C3D80"/>
    <w:rsid w:val="008C4CF2"/>
    <w:rsid w:val="008C4DC7"/>
    <w:rsid w:val="008C5CE5"/>
    <w:rsid w:val="008D2129"/>
    <w:rsid w:val="008D396E"/>
    <w:rsid w:val="008D42BD"/>
    <w:rsid w:val="008D43BA"/>
    <w:rsid w:val="008D4E7E"/>
    <w:rsid w:val="008D66FB"/>
    <w:rsid w:val="008E0768"/>
    <w:rsid w:val="008E114C"/>
    <w:rsid w:val="008E268D"/>
    <w:rsid w:val="008E462A"/>
    <w:rsid w:val="008E4B07"/>
    <w:rsid w:val="008E5891"/>
    <w:rsid w:val="008E6491"/>
    <w:rsid w:val="008F2626"/>
    <w:rsid w:val="008F3FDE"/>
    <w:rsid w:val="008F4BB1"/>
    <w:rsid w:val="008F55BE"/>
    <w:rsid w:val="008F58F5"/>
    <w:rsid w:val="008F59BA"/>
    <w:rsid w:val="008F61CD"/>
    <w:rsid w:val="008F6FDA"/>
    <w:rsid w:val="008F71C8"/>
    <w:rsid w:val="00900D18"/>
    <w:rsid w:val="00901757"/>
    <w:rsid w:val="00901F45"/>
    <w:rsid w:val="009069F8"/>
    <w:rsid w:val="0091255C"/>
    <w:rsid w:val="00912955"/>
    <w:rsid w:val="00915024"/>
    <w:rsid w:val="00915F1C"/>
    <w:rsid w:val="009223A1"/>
    <w:rsid w:val="00922C10"/>
    <w:rsid w:val="00922D8C"/>
    <w:rsid w:val="00923497"/>
    <w:rsid w:val="009235D9"/>
    <w:rsid w:val="009241D3"/>
    <w:rsid w:val="0092487A"/>
    <w:rsid w:val="0092642D"/>
    <w:rsid w:val="00926996"/>
    <w:rsid w:val="00926D8E"/>
    <w:rsid w:val="009300BA"/>
    <w:rsid w:val="00931119"/>
    <w:rsid w:val="00931B02"/>
    <w:rsid w:val="00931BDF"/>
    <w:rsid w:val="00933035"/>
    <w:rsid w:val="009340D3"/>
    <w:rsid w:val="009343E8"/>
    <w:rsid w:val="00934BBB"/>
    <w:rsid w:val="00934EAF"/>
    <w:rsid w:val="0093513C"/>
    <w:rsid w:val="00935564"/>
    <w:rsid w:val="00936FA6"/>
    <w:rsid w:val="00937407"/>
    <w:rsid w:val="00943594"/>
    <w:rsid w:val="00947A10"/>
    <w:rsid w:val="00947DB8"/>
    <w:rsid w:val="00951883"/>
    <w:rsid w:val="00952D47"/>
    <w:rsid w:val="009542EA"/>
    <w:rsid w:val="0095488F"/>
    <w:rsid w:val="00954A8E"/>
    <w:rsid w:val="00955040"/>
    <w:rsid w:val="00955F83"/>
    <w:rsid w:val="009569EB"/>
    <w:rsid w:val="009604DD"/>
    <w:rsid w:val="00960522"/>
    <w:rsid w:val="0096067E"/>
    <w:rsid w:val="00960C8E"/>
    <w:rsid w:val="00960EB6"/>
    <w:rsid w:val="0096183C"/>
    <w:rsid w:val="0096287A"/>
    <w:rsid w:val="00962E59"/>
    <w:rsid w:val="00963946"/>
    <w:rsid w:val="00964A9F"/>
    <w:rsid w:val="009655C0"/>
    <w:rsid w:val="00966267"/>
    <w:rsid w:val="00971029"/>
    <w:rsid w:val="0097127D"/>
    <w:rsid w:val="00972801"/>
    <w:rsid w:val="009731A1"/>
    <w:rsid w:val="0097491B"/>
    <w:rsid w:val="00974A6F"/>
    <w:rsid w:val="00974FF5"/>
    <w:rsid w:val="00975848"/>
    <w:rsid w:val="00976D1B"/>
    <w:rsid w:val="00977517"/>
    <w:rsid w:val="0098150E"/>
    <w:rsid w:val="0098150F"/>
    <w:rsid w:val="0098367D"/>
    <w:rsid w:val="00983B70"/>
    <w:rsid w:val="009864C6"/>
    <w:rsid w:val="009872C2"/>
    <w:rsid w:val="00987562"/>
    <w:rsid w:val="00990175"/>
    <w:rsid w:val="00990D2A"/>
    <w:rsid w:val="00990D5E"/>
    <w:rsid w:val="009916CB"/>
    <w:rsid w:val="0099254B"/>
    <w:rsid w:val="00992CC6"/>
    <w:rsid w:val="00994973"/>
    <w:rsid w:val="009950BE"/>
    <w:rsid w:val="009954A2"/>
    <w:rsid w:val="00996230"/>
    <w:rsid w:val="00996329"/>
    <w:rsid w:val="009963D6"/>
    <w:rsid w:val="00996541"/>
    <w:rsid w:val="0099753F"/>
    <w:rsid w:val="00997623"/>
    <w:rsid w:val="00997BAC"/>
    <w:rsid w:val="009A084C"/>
    <w:rsid w:val="009A25E6"/>
    <w:rsid w:val="009A2FE7"/>
    <w:rsid w:val="009A3D2F"/>
    <w:rsid w:val="009A3EC5"/>
    <w:rsid w:val="009A4C60"/>
    <w:rsid w:val="009A5DA3"/>
    <w:rsid w:val="009B02B0"/>
    <w:rsid w:val="009B0AAE"/>
    <w:rsid w:val="009B1FAD"/>
    <w:rsid w:val="009B22F2"/>
    <w:rsid w:val="009B2C9D"/>
    <w:rsid w:val="009B2CC7"/>
    <w:rsid w:val="009B4434"/>
    <w:rsid w:val="009B4C3D"/>
    <w:rsid w:val="009B589E"/>
    <w:rsid w:val="009B59D4"/>
    <w:rsid w:val="009B6683"/>
    <w:rsid w:val="009B74B1"/>
    <w:rsid w:val="009C2C92"/>
    <w:rsid w:val="009C3258"/>
    <w:rsid w:val="009C36F6"/>
    <w:rsid w:val="009C607E"/>
    <w:rsid w:val="009C63E6"/>
    <w:rsid w:val="009C66A8"/>
    <w:rsid w:val="009C66D3"/>
    <w:rsid w:val="009C7280"/>
    <w:rsid w:val="009D1F60"/>
    <w:rsid w:val="009D3EF5"/>
    <w:rsid w:val="009D4CA7"/>
    <w:rsid w:val="009D5263"/>
    <w:rsid w:val="009D57B1"/>
    <w:rsid w:val="009D5920"/>
    <w:rsid w:val="009E0E87"/>
    <w:rsid w:val="009E1598"/>
    <w:rsid w:val="009E2D4A"/>
    <w:rsid w:val="009E3518"/>
    <w:rsid w:val="009E5095"/>
    <w:rsid w:val="009E5147"/>
    <w:rsid w:val="009E52EB"/>
    <w:rsid w:val="009F0D4E"/>
    <w:rsid w:val="009F3B4C"/>
    <w:rsid w:val="009F4633"/>
    <w:rsid w:val="009F52C5"/>
    <w:rsid w:val="009F6CE0"/>
    <w:rsid w:val="00A0080E"/>
    <w:rsid w:val="00A012F7"/>
    <w:rsid w:val="00A0159D"/>
    <w:rsid w:val="00A01EEE"/>
    <w:rsid w:val="00A03505"/>
    <w:rsid w:val="00A0358D"/>
    <w:rsid w:val="00A03DD4"/>
    <w:rsid w:val="00A0415F"/>
    <w:rsid w:val="00A055DB"/>
    <w:rsid w:val="00A05F0E"/>
    <w:rsid w:val="00A06255"/>
    <w:rsid w:val="00A06B1F"/>
    <w:rsid w:val="00A07012"/>
    <w:rsid w:val="00A0774E"/>
    <w:rsid w:val="00A07D1B"/>
    <w:rsid w:val="00A10255"/>
    <w:rsid w:val="00A1187E"/>
    <w:rsid w:val="00A11B12"/>
    <w:rsid w:val="00A13A0A"/>
    <w:rsid w:val="00A13C73"/>
    <w:rsid w:val="00A14BF2"/>
    <w:rsid w:val="00A1629B"/>
    <w:rsid w:val="00A16CA3"/>
    <w:rsid w:val="00A1758A"/>
    <w:rsid w:val="00A21F28"/>
    <w:rsid w:val="00A22D65"/>
    <w:rsid w:val="00A22FAA"/>
    <w:rsid w:val="00A26469"/>
    <w:rsid w:val="00A306E2"/>
    <w:rsid w:val="00A30E42"/>
    <w:rsid w:val="00A31149"/>
    <w:rsid w:val="00A31DDF"/>
    <w:rsid w:val="00A32D0F"/>
    <w:rsid w:val="00A36E6B"/>
    <w:rsid w:val="00A373BC"/>
    <w:rsid w:val="00A3775E"/>
    <w:rsid w:val="00A404C9"/>
    <w:rsid w:val="00A443E9"/>
    <w:rsid w:val="00A51B54"/>
    <w:rsid w:val="00A5453E"/>
    <w:rsid w:val="00A55188"/>
    <w:rsid w:val="00A554A2"/>
    <w:rsid w:val="00A566E1"/>
    <w:rsid w:val="00A56E09"/>
    <w:rsid w:val="00A61158"/>
    <w:rsid w:val="00A6284D"/>
    <w:rsid w:val="00A6314D"/>
    <w:rsid w:val="00A635C3"/>
    <w:rsid w:val="00A65A18"/>
    <w:rsid w:val="00A66B89"/>
    <w:rsid w:val="00A66EAB"/>
    <w:rsid w:val="00A678FE"/>
    <w:rsid w:val="00A70492"/>
    <w:rsid w:val="00A71E82"/>
    <w:rsid w:val="00A7233E"/>
    <w:rsid w:val="00A73439"/>
    <w:rsid w:val="00A74C47"/>
    <w:rsid w:val="00A778B2"/>
    <w:rsid w:val="00A77B3E"/>
    <w:rsid w:val="00A805F8"/>
    <w:rsid w:val="00A82BA5"/>
    <w:rsid w:val="00A82D6A"/>
    <w:rsid w:val="00A82D80"/>
    <w:rsid w:val="00A83BF4"/>
    <w:rsid w:val="00A846E4"/>
    <w:rsid w:val="00A84966"/>
    <w:rsid w:val="00A910E7"/>
    <w:rsid w:val="00A95729"/>
    <w:rsid w:val="00A95F97"/>
    <w:rsid w:val="00A96395"/>
    <w:rsid w:val="00AA1282"/>
    <w:rsid w:val="00AA2238"/>
    <w:rsid w:val="00AA25DA"/>
    <w:rsid w:val="00AA3160"/>
    <w:rsid w:val="00AA4670"/>
    <w:rsid w:val="00AA493B"/>
    <w:rsid w:val="00AB079C"/>
    <w:rsid w:val="00AB0B0A"/>
    <w:rsid w:val="00AB3FC3"/>
    <w:rsid w:val="00AB6EAB"/>
    <w:rsid w:val="00AB7D25"/>
    <w:rsid w:val="00AC0C39"/>
    <w:rsid w:val="00AC2034"/>
    <w:rsid w:val="00AC33CC"/>
    <w:rsid w:val="00AC345A"/>
    <w:rsid w:val="00AC4B03"/>
    <w:rsid w:val="00AC4B5C"/>
    <w:rsid w:val="00AC4C4C"/>
    <w:rsid w:val="00AC7373"/>
    <w:rsid w:val="00AC78A4"/>
    <w:rsid w:val="00AD01AF"/>
    <w:rsid w:val="00AD0326"/>
    <w:rsid w:val="00AD2218"/>
    <w:rsid w:val="00AD382E"/>
    <w:rsid w:val="00AD3C8D"/>
    <w:rsid w:val="00AD6F48"/>
    <w:rsid w:val="00AD71C8"/>
    <w:rsid w:val="00AE04AE"/>
    <w:rsid w:val="00AE165B"/>
    <w:rsid w:val="00AE2C60"/>
    <w:rsid w:val="00AE32AB"/>
    <w:rsid w:val="00AE3F24"/>
    <w:rsid w:val="00AE3F91"/>
    <w:rsid w:val="00AE54F6"/>
    <w:rsid w:val="00AE5742"/>
    <w:rsid w:val="00AE588B"/>
    <w:rsid w:val="00AE5A45"/>
    <w:rsid w:val="00AF00F0"/>
    <w:rsid w:val="00AF13BD"/>
    <w:rsid w:val="00AF2656"/>
    <w:rsid w:val="00AF2D30"/>
    <w:rsid w:val="00AF4FF3"/>
    <w:rsid w:val="00AF588F"/>
    <w:rsid w:val="00AF6C93"/>
    <w:rsid w:val="00AF7FCA"/>
    <w:rsid w:val="00B002F3"/>
    <w:rsid w:val="00B00AA7"/>
    <w:rsid w:val="00B00EA4"/>
    <w:rsid w:val="00B0160A"/>
    <w:rsid w:val="00B01F0A"/>
    <w:rsid w:val="00B02BB6"/>
    <w:rsid w:val="00B04762"/>
    <w:rsid w:val="00B04976"/>
    <w:rsid w:val="00B04FA9"/>
    <w:rsid w:val="00B06427"/>
    <w:rsid w:val="00B06CC5"/>
    <w:rsid w:val="00B11087"/>
    <w:rsid w:val="00B117B7"/>
    <w:rsid w:val="00B11C19"/>
    <w:rsid w:val="00B11E03"/>
    <w:rsid w:val="00B13A6C"/>
    <w:rsid w:val="00B13CAD"/>
    <w:rsid w:val="00B14C7F"/>
    <w:rsid w:val="00B15EB9"/>
    <w:rsid w:val="00B167DE"/>
    <w:rsid w:val="00B16817"/>
    <w:rsid w:val="00B17887"/>
    <w:rsid w:val="00B17931"/>
    <w:rsid w:val="00B17ACD"/>
    <w:rsid w:val="00B22D06"/>
    <w:rsid w:val="00B24FAA"/>
    <w:rsid w:val="00B2539F"/>
    <w:rsid w:val="00B310E8"/>
    <w:rsid w:val="00B3144B"/>
    <w:rsid w:val="00B324DC"/>
    <w:rsid w:val="00B33309"/>
    <w:rsid w:val="00B33DCB"/>
    <w:rsid w:val="00B353FA"/>
    <w:rsid w:val="00B367EA"/>
    <w:rsid w:val="00B36AA6"/>
    <w:rsid w:val="00B37C5B"/>
    <w:rsid w:val="00B40981"/>
    <w:rsid w:val="00B42857"/>
    <w:rsid w:val="00B432B5"/>
    <w:rsid w:val="00B43E6E"/>
    <w:rsid w:val="00B4422F"/>
    <w:rsid w:val="00B4468F"/>
    <w:rsid w:val="00B45673"/>
    <w:rsid w:val="00B500AC"/>
    <w:rsid w:val="00B52495"/>
    <w:rsid w:val="00B528E4"/>
    <w:rsid w:val="00B530D4"/>
    <w:rsid w:val="00B56675"/>
    <w:rsid w:val="00B568F8"/>
    <w:rsid w:val="00B56C48"/>
    <w:rsid w:val="00B5722F"/>
    <w:rsid w:val="00B574C1"/>
    <w:rsid w:val="00B57AD6"/>
    <w:rsid w:val="00B603B3"/>
    <w:rsid w:val="00B605D8"/>
    <w:rsid w:val="00B60783"/>
    <w:rsid w:val="00B61CEF"/>
    <w:rsid w:val="00B61F48"/>
    <w:rsid w:val="00B626B0"/>
    <w:rsid w:val="00B641FD"/>
    <w:rsid w:val="00B6445E"/>
    <w:rsid w:val="00B66472"/>
    <w:rsid w:val="00B66CAB"/>
    <w:rsid w:val="00B67883"/>
    <w:rsid w:val="00B67C4A"/>
    <w:rsid w:val="00B711A5"/>
    <w:rsid w:val="00B71E1C"/>
    <w:rsid w:val="00B723EA"/>
    <w:rsid w:val="00B7554B"/>
    <w:rsid w:val="00B77648"/>
    <w:rsid w:val="00B77A18"/>
    <w:rsid w:val="00B80661"/>
    <w:rsid w:val="00B80DCE"/>
    <w:rsid w:val="00B812E0"/>
    <w:rsid w:val="00B817DB"/>
    <w:rsid w:val="00B82A15"/>
    <w:rsid w:val="00B847FF"/>
    <w:rsid w:val="00B8502E"/>
    <w:rsid w:val="00B85D5B"/>
    <w:rsid w:val="00B868FD"/>
    <w:rsid w:val="00B87DF6"/>
    <w:rsid w:val="00B90828"/>
    <w:rsid w:val="00B95948"/>
    <w:rsid w:val="00B95DE2"/>
    <w:rsid w:val="00B97055"/>
    <w:rsid w:val="00BA21A2"/>
    <w:rsid w:val="00BA6416"/>
    <w:rsid w:val="00BA7DB7"/>
    <w:rsid w:val="00BB16AE"/>
    <w:rsid w:val="00BB42FE"/>
    <w:rsid w:val="00BB51CA"/>
    <w:rsid w:val="00BB62D6"/>
    <w:rsid w:val="00BB63FB"/>
    <w:rsid w:val="00BB776F"/>
    <w:rsid w:val="00BC1527"/>
    <w:rsid w:val="00BC3598"/>
    <w:rsid w:val="00BC37ED"/>
    <w:rsid w:val="00BC49B9"/>
    <w:rsid w:val="00BC49CB"/>
    <w:rsid w:val="00BC4EF0"/>
    <w:rsid w:val="00BC4F48"/>
    <w:rsid w:val="00BC51DC"/>
    <w:rsid w:val="00BC5E6C"/>
    <w:rsid w:val="00BD05A0"/>
    <w:rsid w:val="00BD0DBE"/>
    <w:rsid w:val="00BD2169"/>
    <w:rsid w:val="00BD2D4E"/>
    <w:rsid w:val="00BD5498"/>
    <w:rsid w:val="00BD6DF2"/>
    <w:rsid w:val="00BD76A1"/>
    <w:rsid w:val="00BD7D0E"/>
    <w:rsid w:val="00BE0907"/>
    <w:rsid w:val="00BE27FA"/>
    <w:rsid w:val="00BE500B"/>
    <w:rsid w:val="00BE58BA"/>
    <w:rsid w:val="00BE6FF3"/>
    <w:rsid w:val="00BE7DCB"/>
    <w:rsid w:val="00BF0758"/>
    <w:rsid w:val="00BF0811"/>
    <w:rsid w:val="00BF1386"/>
    <w:rsid w:val="00BF4B8F"/>
    <w:rsid w:val="00BF4BBB"/>
    <w:rsid w:val="00BF4C2C"/>
    <w:rsid w:val="00BF66DD"/>
    <w:rsid w:val="00BF6FE8"/>
    <w:rsid w:val="00BF795A"/>
    <w:rsid w:val="00BF7D35"/>
    <w:rsid w:val="00C001EA"/>
    <w:rsid w:val="00C00779"/>
    <w:rsid w:val="00C0149F"/>
    <w:rsid w:val="00C0313C"/>
    <w:rsid w:val="00C031A0"/>
    <w:rsid w:val="00C03D2F"/>
    <w:rsid w:val="00C03FEE"/>
    <w:rsid w:val="00C0454F"/>
    <w:rsid w:val="00C07F89"/>
    <w:rsid w:val="00C117E2"/>
    <w:rsid w:val="00C119A6"/>
    <w:rsid w:val="00C13C17"/>
    <w:rsid w:val="00C16233"/>
    <w:rsid w:val="00C1630F"/>
    <w:rsid w:val="00C173E0"/>
    <w:rsid w:val="00C20A23"/>
    <w:rsid w:val="00C21111"/>
    <w:rsid w:val="00C217D1"/>
    <w:rsid w:val="00C27FEC"/>
    <w:rsid w:val="00C300CF"/>
    <w:rsid w:val="00C30332"/>
    <w:rsid w:val="00C30E21"/>
    <w:rsid w:val="00C34E6B"/>
    <w:rsid w:val="00C355C7"/>
    <w:rsid w:val="00C3594C"/>
    <w:rsid w:val="00C3637F"/>
    <w:rsid w:val="00C36B3B"/>
    <w:rsid w:val="00C3737E"/>
    <w:rsid w:val="00C40F91"/>
    <w:rsid w:val="00C40FF3"/>
    <w:rsid w:val="00C411AD"/>
    <w:rsid w:val="00C417C6"/>
    <w:rsid w:val="00C419C3"/>
    <w:rsid w:val="00C43D93"/>
    <w:rsid w:val="00C45223"/>
    <w:rsid w:val="00C46165"/>
    <w:rsid w:val="00C464CC"/>
    <w:rsid w:val="00C470E0"/>
    <w:rsid w:val="00C4746A"/>
    <w:rsid w:val="00C509B8"/>
    <w:rsid w:val="00C52345"/>
    <w:rsid w:val="00C5329B"/>
    <w:rsid w:val="00C548B6"/>
    <w:rsid w:val="00C5698D"/>
    <w:rsid w:val="00C56E03"/>
    <w:rsid w:val="00C5706D"/>
    <w:rsid w:val="00C5738D"/>
    <w:rsid w:val="00C57AE9"/>
    <w:rsid w:val="00C601CC"/>
    <w:rsid w:val="00C605E5"/>
    <w:rsid w:val="00C62626"/>
    <w:rsid w:val="00C63230"/>
    <w:rsid w:val="00C6351C"/>
    <w:rsid w:val="00C640EA"/>
    <w:rsid w:val="00C6441F"/>
    <w:rsid w:val="00C656D8"/>
    <w:rsid w:val="00C65875"/>
    <w:rsid w:val="00C66260"/>
    <w:rsid w:val="00C6677A"/>
    <w:rsid w:val="00C70673"/>
    <w:rsid w:val="00C706F9"/>
    <w:rsid w:val="00C70C7E"/>
    <w:rsid w:val="00C70E2C"/>
    <w:rsid w:val="00C7158A"/>
    <w:rsid w:val="00C71726"/>
    <w:rsid w:val="00C71F25"/>
    <w:rsid w:val="00C73898"/>
    <w:rsid w:val="00C7484E"/>
    <w:rsid w:val="00C75A6E"/>
    <w:rsid w:val="00C7632B"/>
    <w:rsid w:val="00C80272"/>
    <w:rsid w:val="00C81CD5"/>
    <w:rsid w:val="00C825D9"/>
    <w:rsid w:val="00C837E5"/>
    <w:rsid w:val="00C8385D"/>
    <w:rsid w:val="00C85514"/>
    <w:rsid w:val="00C869CE"/>
    <w:rsid w:val="00C8722A"/>
    <w:rsid w:val="00C909C1"/>
    <w:rsid w:val="00C94C23"/>
    <w:rsid w:val="00C94E7A"/>
    <w:rsid w:val="00C9619F"/>
    <w:rsid w:val="00C9790E"/>
    <w:rsid w:val="00C97D85"/>
    <w:rsid w:val="00CA1268"/>
    <w:rsid w:val="00CA18C9"/>
    <w:rsid w:val="00CA446C"/>
    <w:rsid w:val="00CA46FC"/>
    <w:rsid w:val="00CA4972"/>
    <w:rsid w:val="00CA725C"/>
    <w:rsid w:val="00CA74D8"/>
    <w:rsid w:val="00CB0102"/>
    <w:rsid w:val="00CB080F"/>
    <w:rsid w:val="00CB24FC"/>
    <w:rsid w:val="00CB3516"/>
    <w:rsid w:val="00CB58FD"/>
    <w:rsid w:val="00CB5925"/>
    <w:rsid w:val="00CB6176"/>
    <w:rsid w:val="00CB66BB"/>
    <w:rsid w:val="00CB6767"/>
    <w:rsid w:val="00CB7157"/>
    <w:rsid w:val="00CB777F"/>
    <w:rsid w:val="00CC437F"/>
    <w:rsid w:val="00CC6077"/>
    <w:rsid w:val="00CC60E2"/>
    <w:rsid w:val="00CC79EC"/>
    <w:rsid w:val="00CD1AF8"/>
    <w:rsid w:val="00CD1B4C"/>
    <w:rsid w:val="00CD505A"/>
    <w:rsid w:val="00CD5A19"/>
    <w:rsid w:val="00CD5E80"/>
    <w:rsid w:val="00CD6154"/>
    <w:rsid w:val="00CD688D"/>
    <w:rsid w:val="00CD78A7"/>
    <w:rsid w:val="00CE20FB"/>
    <w:rsid w:val="00CE2EA9"/>
    <w:rsid w:val="00CE370A"/>
    <w:rsid w:val="00CE4056"/>
    <w:rsid w:val="00CE4F70"/>
    <w:rsid w:val="00CF167D"/>
    <w:rsid w:val="00CF1A40"/>
    <w:rsid w:val="00CF21F6"/>
    <w:rsid w:val="00CF2E83"/>
    <w:rsid w:val="00CF2EA5"/>
    <w:rsid w:val="00CF382C"/>
    <w:rsid w:val="00CF44AD"/>
    <w:rsid w:val="00CF4EA8"/>
    <w:rsid w:val="00CF63A1"/>
    <w:rsid w:val="00CF65CF"/>
    <w:rsid w:val="00CF69C7"/>
    <w:rsid w:val="00CF75DD"/>
    <w:rsid w:val="00D00337"/>
    <w:rsid w:val="00D01242"/>
    <w:rsid w:val="00D0142C"/>
    <w:rsid w:val="00D017A1"/>
    <w:rsid w:val="00D0299D"/>
    <w:rsid w:val="00D0324A"/>
    <w:rsid w:val="00D05808"/>
    <w:rsid w:val="00D067F2"/>
    <w:rsid w:val="00D071E3"/>
    <w:rsid w:val="00D12199"/>
    <w:rsid w:val="00D13F96"/>
    <w:rsid w:val="00D14B8E"/>
    <w:rsid w:val="00D157FC"/>
    <w:rsid w:val="00D15E34"/>
    <w:rsid w:val="00D176E3"/>
    <w:rsid w:val="00D20885"/>
    <w:rsid w:val="00D20C25"/>
    <w:rsid w:val="00D20E2A"/>
    <w:rsid w:val="00D21986"/>
    <w:rsid w:val="00D22B69"/>
    <w:rsid w:val="00D23C42"/>
    <w:rsid w:val="00D2463C"/>
    <w:rsid w:val="00D25F48"/>
    <w:rsid w:val="00D26084"/>
    <w:rsid w:val="00D27A89"/>
    <w:rsid w:val="00D31106"/>
    <w:rsid w:val="00D31467"/>
    <w:rsid w:val="00D32700"/>
    <w:rsid w:val="00D34AEE"/>
    <w:rsid w:val="00D354F0"/>
    <w:rsid w:val="00D36069"/>
    <w:rsid w:val="00D36EE6"/>
    <w:rsid w:val="00D40796"/>
    <w:rsid w:val="00D40903"/>
    <w:rsid w:val="00D4115F"/>
    <w:rsid w:val="00D41474"/>
    <w:rsid w:val="00D441A5"/>
    <w:rsid w:val="00D44AF4"/>
    <w:rsid w:val="00D50F12"/>
    <w:rsid w:val="00D517D5"/>
    <w:rsid w:val="00D525DD"/>
    <w:rsid w:val="00D530BF"/>
    <w:rsid w:val="00D547CC"/>
    <w:rsid w:val="00D556A2"/>
    <w:rsid w:val="00D55F02"/>
    <w:rsid w:val="00D6052D"/>
    <w:rsid w:val="00D60B02"/>
    <w:rsid w:val="00D6111B"/>
    <w:rsid w:val="00D61DCA"/>
    <w:rsid w:val="00D6251E"/>
    <w:rsid w:val="00D642A1"/>
    <w:rsid w:val="00D643AE"/>
    <w:rsid w:val="00D6462C"/>
    <w:rsid w:val="00D66ED5"/>
    <w:rsid w:val="00D674B3"/>
    <w:rsid w:val="00D70123"/>
    <w:rsid w:val="00D70EF5"/>
    <w:rsid w:val="00D72B01"/>
    <w:rsid w:val="00D72C63"/>
    <w:rsid w:val="00D752F4"/>
    <w:rsid w:val="00D7615F"/>
    <w:rsid w:val="00D77133"/>
    <w:rsid w:val="00D77A30"/>
    <w:rsid w:val="00D80DA8"/>
    <w:rsid w:val="00D81FB1"/>
    <w:rsid w:val="00D82AD9"/>
    <w:rsid w:val="00D861AD"/>
    <w:rsid w:val="00D86626"/>
    <w:rsid w:val="00D907D9"/>
    <w:rsid w:val="00D918D2"/>
    <w:rsid w:val="00D919C3"/>
    <w:rsid w:val="00D92E1E"/>
    <w:rsid w:val="00D93AAE"/>
    <w:rsid w:val="00D93BC5"/>
    <w:rsid w:val="00D93DFC"/>
    <w:rsid w:val="00D940A9"/>
    <w:rsid w:val="00D942DD"/>
    <w:rsid w:val="00DA0C72"/>
    <w:rsid w:val="00DA0FCD"/>
    <w:rsid w:val="00DA16E7"/>
    <w:rsid w:val="00DA1C3C"/>
    <w:rsid w:val="00DA2420"/>
    <w:rsid w:val="00DA2442"/>
    <w:rsid w:val="00DA382C"/>
    <w:rsid w:val="00DA5850"/>
    <w:rsid w:val="00DA6BC7"/>
    <w:rsid w:val="00DB0B04"/>
    <w:rsid w:val="00DB0F7D"/>
    <w:rsid w:val="00DB27C1"/>
    <w:rsid w:val="00DB2898"/>
    <w:rsid w:val="00DB3858"/>
    <w:rsid w:val="00DB5448"/>
    <w:rsid w:val="00DB5592"/>
    <w:rsid w:val="00DB5BC6"/>
    <w:rsid w:val="00DB5F04"/>
    <w:rsid w:val="00DC09D4"/>
    <w:rsid w:val="00DC11B9"/>
    <w:rsid w:val="00DC2446"/>
    <w:rsid w:val="00DC4277"/>
    <w:rsid w:val="00DC5CB6"/>
    <w:rsid w:val="00DC7C8E"/>
    <w:rsid w:val="00DD026C"/>
    <w:rsid w:val="00DD02D6"/>
    <w:rsid w:val="00DD0803"/>
    <w:rsid w:val="00DD1D9B"/>
    <w:rsid w:val="00DD29FC"/>
    <w:rsid w:val="00DD4076"/>
    <w:rsid w:val="00DE2312"/>
    <w:rsid w:val="00DE2C08"/>
    <w:rsid w:val="00DE4E3C"/>
    <w:rsid w:val="00DE6997"/>
    <w:rsid w:val="00DE7C7A"/>
    <w:rsid w:val="00DF039B"/>
    <w:rsid w:val="00DF67FE"/>
    <w:rsid w:val="00DF6DFE"/>
    <w:rsid w:val="00DF6E18"/>
    <w:rsid w:val="00DF703C"/>
    <w:rsid w:val="00DF72CF"/>
    <w:rsid w:val="00E00513"/>
    <w:rsid w:val="00E034F7"/>
    <w:rsid w:val="00E0413E"/>
    <w:rsid w:val="00E06AA3"/>
    <w:rsid w:val="00E07541"/>
    <w:rsid w:val="00E0783A"/>
    <w:rsid w:val="00E10352"/>
    <w:rsid w:val="00E105B8"/>
    <w:rsid w:val="00E10CE0"/>
    <w:rsid w:val="00E10E35"/>
    <w:rsid w:val="00E114DB"/>
    <w:rsid w:val="00E12D13"/>
    <w:rsid w:val="00E12E96"/>
    <w:rsid w:val="00E137B1"/>
    <w:rsid w:val="00E140A3"/>
    <w:rsid w:val="00E20134"/>
    <w:rsid w:val="00E2058C"/>
    <w:rsid w:val="00E21519"/>
    <w:rsid w:val="00E2156C"/>
    <w:rsid w:val="00E223C9"/>
    <w:rsid w:val="00E228EE"/>
    <w:rsid w:val="00E23457"/>
    <w:rsid w:val="00E269E0"/>
    <w:rsid w:val="00E26F47"/>
    <w:rsid w:val="00E273CC"/>
    <w:rsid w:val="00E301D6"/>
    <w:rsid w:val="00E30BC2"/>
    <w:rsid w:val="00E30CCB"/>
    <w:rsid w:val="00E32DA9"/>
    <w:rsid w:val="00E33252"/>
    <w:rsid w:val="00E346D4"/>
    <w:rsid w:val="00E349E3"/>
    <w:rsid w:val="00E3583D"/>
    <w:rsid w:val="00E35BF4"/>
    <w:rsid w:val="00E35FFE"/>
    <w:rsid w:val="00E36E49"/>
    <w:rsid w:val="00E37500"/>
    <w:rsid w:val="00E37FCD"/>
    <w:rsid w:val="00E40123"/>
    <w:rsid w:val="00E40172"/>
    <w:rsid w:val="00E401E9"/>
    <w:rsid w:val="00E40772"/>
    <w:rsid w:val="00E42CC1"/>
    <w:rsid w:val="00E4365E"/>
    <w:rsid w:val="00E456D8"/>
    <w:rsid w:val="00E5003E"/>
    <w:rsid w:val="00E5054D"/>
    <w:rsid w:val="00E5088E"/>
    <w:rsid w:val="00E518A3"/>
    <w:rsid w:val="00E52801"/>
    <w:rsid w:val="00E55C6F"/>
    <w:rsid w:val="00E6178A"/>
    <w:rsid w:val="00E61E56"/>
    <w:rsid w:val="00E632BD"/>
    <w:rsid w:val="00E634A5"/>
    <w:rsid w:val="00E65F55"/>
    <w:rsid w:val="00E66025"/>
    <w:rsid w:val="00E66E01"/>
    <w:rsid w:val="00E67D00"/>
    <w:rsid w:val="00E67FAF"/>
    <w:rsid w:val="00E70B47"/>
    <w:rsid w:val="00E7172A"/>
    <w:rsid w:val="00E73293"/>
    <w:rsid w:val="00E73620"/>
    <w:rsid w:val="00E74E32"/>
    <w:rsid w:val="00E754DE"/>
    <w:rsid w:val="00E7682F"/>
    <w:rsid w:val="00E76BC9"/>
    <w:rsid w:val="00E77E6A"/>
    <w:rsid w:val="00E807E8"/>
    <w:rsid w:val="00E80912"/>
    <w:rsid w:val="00E80A8F"/>
    <w:rsid w:val="00E80B9E"/>
    <w:rsid w:val="00E80C5C"/>
    <w:rsid w:val="00E827B0"/>
    <w:rsid w:val="00E83689"/>
    <w:rsid w:val="00E84035"/>
    <w:rsid w:val="00E8492B"/>
    <w:rsid w:val="00E84A05"/>
    <w:rsid w:val="00E850BD"/>
    <w:rsid w:val="00E86017"/>
    <w:rsid w:val="00E86082"/>
    <w:rsid w:val="00E87B8A"/>
    <w:rsid w:val="00E90CB8"/>
    <w:rsid w:val="00E9127A"/>
    <w:rsid w:val="00E91379"/>
    <w:rsid w:val="00E92E43"/>
    <w:rsid w:val="00E95123"/>
    <w:rsid w:val="00E95693"/>
    <w:rsid w:val="00E95878"/>
    <w:rsid w:val="00E96DD3"/>
    <w:rsid w:val="00E97A23"/>
    <w:rsid w:val="00EA1111"/>
    <w:rsid w:val="00EA123B"/>
    <w:rsid w:val="00EA1573"/>
    <w:rsid w:val="00EA2AE9"/>
    <w:rsid w:val="00EA42BE"/>
    <w:rsid w:val="00EA7104"/>
    <w:rsid w:val="00EA79E6"/>
    <w:rsid w:val="00EB0C0A"/>
    <w:rsid w:val="00EB0E71"/>
    <w:rsid w:val="00EB1C97"/>
    <w:rsid w:val="00EB24D7"/>
    <w:rsid w:val="00EB2F72"/>
    <w:rsid w:val="00EB38D0"/>
    <w:rsid w:val="00EB41D2"/>
    <w:rsid w:val="00EB4277"/>
    <w:rsid w:val="00EB5175"/>
    <w:rsid w:val="00EB6A1B"/>
    <w:rsid w:val="00EB771B"/>
    <w:rsid w:val="00EB7E96"/>
    <w:rsid w:val="00EC013A"/>
    <w:rsid w:val="00EC01FF"/>
    <w:rsid w:val="00EC0720"/>
    <w:rsid w:val="00EC0C9D"/>
    <w:rsid w:val="00EC0CED"/>
    <w:rsid w:val="00EC2CAE"/>
    <w:rsid w:val="00EC2E4B"/>
    <w:rsid w:val="00EC3D42"/>
    <w:rsid w:val="00EC45FA"/>
    <w:rsid w:val="00EC493B"/>
    <w:rsid w:val="00EC5DD1"/>
    <w:rsid w:val="00ED10A4"/>
    <w:rsid w:val="00ED2D44"/>
    <w:rsid w:val="00ED303E"/>
    <w:rsid w:val="00ED327A"/>
    <w:rsid w:val="00ED3D7D"/>
    <w:rsid w:val="00ED4E3B"/>
    <w:rsid w:val="00ED643F"/>
    <w:rsid w:val="00EE0084"/>
    <w:rsid w:val="00EE2725"/>
    <w:rsid w:val="00EE3109"/>
    <w:rsid w:val="00EE3389"/>
    <w:rsid w:val="00EE5177"/>
    <w:rsid w:val="00EE6139"/>
    <w:rsid w:val="00EE6266"/>
    <w:rsid w:val="00EE73FB"/>
    <w:rsid w:val="00EF08F6"/>
    <w:rsid w:val="00EF20BF"/>
    <w:rsid w:val="00EF5E1A"/>
    <w:rsid w:val="00EF60A7"/>
    <w:rsid w:val="00F0002B"/>
    <w:rsid w:val="00F01E99"/>
    <w:rsid w:val="00F028B2"/>
    <w:rsid w:val="00F02D7F"/>
    <w:rsid w:val="00F03E21"/>
    <w:rsid w:val="00F051C3"/>
    <w:rsid w:val="00F06E18"/>
    <w:rsid w:val="00F105BE"/>
    <w:rsid w:val="00F1089D"/>
    <w:rsid w:val="00F10C4B"/>
    <w:rsid w:val="00F1545A"/>
    <w:rsid w:val="00F15851"/>
    <w:rsid w:val="00F15CC8"/>
    <w:rsid w:val="00F1745F"/>
    <w:rsid w:val="00F1755A"/>
    <w:rsid w:val="00F22AC7"/>
    <w:rsid w:val="00F22C47"/>
    <w:rsid w:val="00F230E3"/>
    <w:rsid w:val="00F233F0"/>
    <w:rsid w:val="00F2405D"/>
    <w:rsid w:val="00F2463D"/>
    <w:rsid w:val="00F250A6"/>
    <w:rsid w:val="00F26C53"/>
    <w:rsid w:val="00F26F75"/>
    <w:rsid w:val="00F305F9"/>
    <w:rsid w:val="00F30C15"/>
    <w:rsid w:val="00F336B2"/>
    <w:rsid w:val="00F34477"/>
    <w:rsid w:val="00F34F76"/>
    <w:rsid w:val="00F3670A"/>
    <w:rsid w:val="00F3750B"/>
    <w:rsid w:val="00F401C7"/>
    <w:rsid w:val="00F40F76"/>
    <w:rsid w:val="00F4220E"/>
    <w:rsid w:val="00F42F16"/>
    <w:rsid w:val="00F43319"/>
    <w:rsid w:val="00F4395D"/>
    <w:rsid w:val="00F43BBF"/>
    <w:rsid w:val="00F450C8"/>
    <w:rsid w:val="00F45A8A"/>
    <w:rsid w:val="00F4757C"/>
    <w:rsid w:val="00F47803"/>
    <w:rsid w:val="00F5059C"/>
    <w:rsid w:val="00F5093E"/>
    <w:rsid w:val="00F53CDC"/>
    <w:rsid w:val="00F53EDD"/>
    <w:rsid w:val="00F5473A"/>
    <w:rsid w:val="00F54A09"/>
    <w:rsid w:val="00F54B0C"/>
    <w:rsid w:val="00F54C4C"/>
    <w:rsid w:val="00F55C27"/>
    <w:rsid w:val="00F5745D"/>
    <w:rsid w:val="00F57B3C"/>
    <w:rsid w:val="00F57EF9"/>
    <w:rsid w:val="00F61222"/>
    <w:rsid w:val="00F63596"/>
    <w:rsid w:val="00F66AB3"/>
    <w:rsid w:val="00F674C0"/>
    <w:rsid w:val="00F67ECC"/>
    <w:rsid w:val="00F7492E"/>
    <w:rsid w:val="00F75730"/>
    <w:rsid w:val="00F761D5"/>
    <w:rsid w:val="00F77080"/>
    <w:rsid w:val="00F80262"/>
    <w:rsid w:val="00F81809"/>
    <w:rsid w:val="00F818FB"/>
    <w:rsid w:val="00F82E49"/>
    <w:rsid w:val="00F83203"/>
    <w:rsid w:val="00F83D88"/>
    <w:rsid w:val="00F86793"/>
    <w:rsid w:val="00F90331"/>
    <w:rsid w:val="00F91688"/>
    <w:rsid w:val="00F924B8"/>
    <w:rsid w:val="00F937D3"/>
    <w:rsid w:val="00F949B8"/>
    <w:rsid w:val="00F9528A"/>
    <w:rsid w:val="00F95866"/>
    <w:rsid w:val="00F97389"/>
    <w:rsid w:val="00FA0F55"/>
    <w:rsid w:val="00FA138A"/>
    <w:rsid w:val="00FA237E"/>
    <w:rsid w:val="00FA26A6"/>
    <w:rsid w:val="00FA3C3D"/>
    <w:rsid w:val="00FA4761"/>
    <w:rsid w:val="00FA5CA0"/>
    <w:rsid w:val="00FA7AA3"/>
    <w:rsid w:val="00FA7DA7"/>
    <w:rsid w:val="00FB3A27"/>
    <w:rsid w:val="00FB47E1"/>
    <w:rsid w:val="00FB7E7D"/>
    <w:rsid w:val="00FC03B5"/>
    <w:rsid w:val="00FC19B1"/>
    <w:rsid w:val="00FC2956"/>
    <w:rsid w:val="00FC4105"/>
    <w:rsid w:val="00FC42D8"/>
    <w:rsid w:val="00FC5864"/>
    <w:rsid w:val="00FC5F03"/>
    <w:rsid w:val="00FC6FB3"/>
    <w:rsid w:val="00FD0069"/>
    <w:rsid w:val="00FD0413"/>
    <w:rsid w:val="00FD065B"/>
    <w:rsid w:val="00FD0FCE"/>
    <w:rsid w:val="00FD152E"/>
    <w:rsid w:val="00FD1DC8"/>
    <w:rsid w:val="00FD4F15"/>
    <w:rsid w:val="00FD51D0"/>
    <w:rsid w:val="00FD6F90"/>
    <w:rsid w:val="00FE022E"/>
    <w:rsid w:val="00FE1190"/>
    <w:rsid w:val="00FE1893"/>
    <w:rsid w:val="00FE3225"/>
    <w:rsid w:val="00FE3FA2"/>
    <w:rsid w:val="00FE419B"/>
    <w:rsid w:val="00FE5593"/>
    <w:rsid w:val="00FE7654"/>
    <w:rsid w:val="00FF02CC"/>
    <w:rsid w:val="00FF0FE5"/>
    <w:rsid w:val="00FF19A7"/>
    <w:rsid w:val="00FF1D50"/>
    <w:rsid w:val="00FF219C"/>
    <w:rsid w:val="00FF260D"/>
    <w:rsid w:val="00FF39F3"/>
    <w:rsid w:val="00FF3FD4"/>
    <w:rsid w:val="00FF41E9"/>
    <w:rsid w:val="00FF5342"/>
    <w:rsid w:val="00FF6C98"/>
    <w:rsid w:val="0980339D"/>
    <w:rsid w:val="1B1668AF"/>
    <w:rsid w:val="2DD27016"/>
    <w:rsid w:val="3E5E12A1"/>
    <w:rsid w:val="42781119"/>
    <w:rsid w:val="436667A6"/>
    <w:rsid w:val="497A4294"/>
    <w:rsid w:val="4A936B87"/>
    <w:rsid w:val="4EBD5EAD"/>
    <w:rsid w:val="54A30F88"/>
    <w:rsid w:val="60BB7BEF"/>
    <w:rsid w:val="66C40F62"/>
    <w:rsid w:val="7FDF2FFF"/>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nhideWhenUsed="0"/>
    <w:lsdException w:name="footer" w:semiHidden="0" w:unhideWhenUsed="0"/>
    <w:lsdException w:name="caption" w:uiPriority="35" w:qFormat="1"/>
    <w:lsdException w:name="annotation reference" w:semiHidden="0" w:unhideWhenUsed="0"/>
    <w:lsdException w:name="page number" w:semiHidden="0" w:uiPriority="0" w:unhideWhenUsed="0"/>
    <w:lsdException w:name="Title" w:semiHidden="0" w:uiPriority="0" w:unhideWhenUsed="0" w:qFormat="1"/>
    <w:lsdException w:name="Default Paragraph Font" w:semiHidden="0" w:uiPriority="1"/>
    <w:lsdException w:name="Body Text" w:semiHidden="0" w:qFormat="1"/>
    <w:lsdException w:name="Subtitle" w:semiHidden="0" w:uiPriority="11" w:unhideWhenUsed="0" w:qFormat="1"/>
    <w:lsdException w:name="Date" w:semiHidden="0" w:uiPriority="0" w:unhideWhenUsed="0"/>
    <w:lsdException w:name="Hyperlink" w:semiHidden="0"/>
    <w:lsdException w:name="Strong" w:semiHidden="0" w:uiPriority="22" w:unhideWhenUsed="0" w:qFormat="1"/>
    <w:lsdException w:name="Emphasis" w:semiHidden="0" w:uiPriority="20" w:unhideWhenUsed="0" w:qFormat="1"/>
    <w:lsdException w:name="Document Map" w:semiHidden="0"/>
    <w:lsdException w:name="Plain Text" w:semiHidden="0" w:uiPriority="0" w:unhideWhenUsed="0"/>
    <w:lsdException w:name="Normal (Web)" w:semiHidden="0" w:uiPriority="0" w:unhideWhenUsed="0"/>
    <w:lsdException w:name="Normal Table" w:semiHidden="0"/>
    <w:lsdException w:name="annotation subject" w:semiHidden="0" w:uiPriority="0" w:unhideWhenUsed="0"/>
    <w:lsdException w:name="Balloon Text" w:semiHidden="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iPriority w:val="99"/>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PlainText">
    <w:name w:val="Plain Text"/>
    <w:basedOn w:val="Normal"/>
    <w:link w:val="Char2"/>
    <w:rPr>
      <w:rFonts w:ascii="宋体" w:hAnsi="Courier New"/>
      <w:szCs w:val="21"/>
    </w:rPr>
  </w:style>
  <w:style w:type="character" w:customStyle="1" w:styleId="Char2">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3"/>
    <w:uiPriority w:val="99"/>
    <w:rPr>
      <w:sz w:val="18"/>
      <w:szCs w:val="18"/>
    </w:rPr>
  </w:style>
  <w:style w:type="character" w:customStyle="1" w:styleId="Char3">
    <w:name w:val="批注框文本 Char"/>
    <w:link w:val="BalloonText"/>
    <w:uiPriority w:val="99"/>
    <w:rPr>
      <w:kern w:val="2"/>
      <w:sz w:val="18"/>
      <w:szCs w:val="18"/>
    </w:rPr>
  </w:style>
  <w:style w:type="paragraph" w:styleId="Footer">
    <w:name w:val="footer"/>
    <w:basedOn w:val="Normal"/>
    <w:link w:val="Char4"/>
    <w:uiPriority w:val="99"/>
    <w:pPr>
      <w:tabs>
        <w:tab w:val="center" w:pos="4153"/>
        <w:tab w:val="right" w:pos="8306"/>
      </w:tabs>
      <w:snapToGrid w:val="0"/>
      <w:jc w:val="left"/>
    </w:pPr>
    <w:rPr>
      <w:sz w:val="18"/>
    </w:rPr>
  </w:style>
  <w:style w:type="character" w:customStyle="1" w:styleId="Char4">
    <w:name w:val="页脚 Char"/>
    <w:link w:val="Footer"/>
    <w:uiPriority w:val="99"/>
    <w:rPr>
      <w:kern w:val="2"/>
      <w:sz w:val="18"/>
    </w:rPr>
  </w:style>
  <w:style w:type="paragraph" w:styleId="Header">
    <w:name w:val="header"/>
    <w:basedOn w:val="Normal"/>
    <w:link w:val="Char5"/>
    <w:uiPriority w:val="99"/>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character" w:customStyle="1" w:styleId="Char5">
    <w:name w:val="页眉 Char"/>
    <w:link w:val="Header"/>
    <w:uiPriority w:val="99"/>
    <w:rPr>
      <w:kern w:val="2"/>
      <w:sz w:val="18"/>
    </w:rPr>
  </w:style>
  <w:style w:type="paragraph" w:styleId="TOC1">
    <w:name w:val="toc 1"/>
    <w:basedOn w:val="Normal"/>
    <w:next w:val="Normal"/>
    <w:rPr>
      <w:szCs w:val="24"/>
    </w:rPr>
  </w:style>
  <w:style w:type="paragraph" w:styleId="NormalWeb">
    <w:name w:val="Normal (Web)"/>
    <w:basedOn w:val="Normal"/>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uiPriority w:val="99"/>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34"/>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character" w:customStyle="1" w:styleId="Char11">
    <w:name w:val="批注文字 Char1"/>
    <w:uiPriority w:val="99"/>
    <w:semiHidden/>
  </w:style>
  <w:style w:type="paragraph" w:styleId="Caption">
    <w:name w:val="caption"/>
    <w:basedOn w:val="Normal"/>
    <w:next w:val="Normal"/>
    <w:link w:val="13"/>
    <w:uiPriority w:val="35"/>
    <w:qFormat/>
    <w:pPr>
      <w:spacing w:line="360" w:lineRule="auto"/>
      <w:jc w:val="center"/>
    </w:pPr>
    <w:rPr>
      <w:rFonts w:cs="Arial"/>
      <w:sz w:val="24"/>
      <w:szCs w:val="24"/>
    </w:rPr>
  </w:style>
  <w:style w:type="character" w:customStyle="1" w:styleId="13">
    <w:name w:val="题注 字符1"/>
    <w:link w:val="Caption"/>
    <w:uiPriority w:val="35"/>
    <w:qFormat/>
    <w:rPr>
      <w:rFonts w:cs="Arial"/>
      <w:kern w:val="2"/>
      <w:sz w:val="24"/>
      <w:szCs w:val="24"/>
    </w:rPr>
  </w:style>
  <w:style w:type="paragraph" w:customStyle="1" w:styleId="B">
    <w:name w:val="B表头样式"/>
    <w:next w:val="Normal"/>
    <w:qFormat/>
    <w:pPr>
      <w:jc w:val="center"/>
    </w:pPr>
    <w:rPr>
      <w:rFonts w:ascii="Calibri" w:eastAsia="黑体" w:hAnsi="Calibri" w:cs="Calibri"/>
      <w:b/>
      <w:kern w:val="2"/>
      <w:sz w:val="21"/>
      <w:szCs w:val="21"/>
      <w:lang w:eastAsia="zh-CN"/>
    </w:rPr>
  </w:style>
  <w:style w:type="paragraph" w:styleId="NormalIndent">
    <w:name w:val="Normal Indent"/>
    <w:basedOn w:val="Normal"/>
    <w:link w:val="a2"/>
    <w:uiPriority w:val="99"/>
    <w:unhideWhenUsed/>
    <w:qFormat/>
    <w:pPr>
      <w:ind w:firstLine="420" w:firstLineChars="200"/>
    </w:pPr>
    <w:rPr>
      <w:rFonts w:ascii="Calibri" w:hAnsi="Calibri"/>
      <w:szCs w:val="22"/>
    </w:rPr>
  </w:style>
  <w:style w:type="character" w:customStyle="1" w:styleId="a2">
    <w:name w:val="正文缩进 字符"/>
    <w:link w:val="NormalIndent"/>
    <w:uiPriority w:val="99"/>
    <w:qFormat/>
    <w:rPr>
      <w:rFonts w:ascii="Calibri" w:hAnsi="Calibri"/>
      <w:kern w:val="2"/>
      <w:sz w:val="21"/>
      <w:szCs w:val="22"/>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4.xml" /><Relationship Id="rId11" Type="http://schemas.openxmlformats.org/officeDocument/2006/relationships/footer" Target="footer5.xml" /><Relationship Id="rId12" Type="http://schemas.openxmlformats.org/officeDocument/2006/relationships/header" Target="header3.xml" /><Relationship Id="rId13" Type="http://schemas.openxmlformats.org/officeDocument/2006/relationships/header" Target="header4.xml" /><Relationship Id="rId14" Type="http://schemas.openxmlformats.org/officeDocument/2006/relationships/footer" Target="footer6.xml" /><Relationship Id="rId15" Type="http://schemas.openxmlformats.org/officeDocument/2006/relationships/header" Target="header5.xml" /><Relationship Id="rId16" Type="http://schemas.openxmlformats.org/officeDocument/2006/relationships/theme" Target="theme/theme1.xml" /><Relationship Id="rId17" Type="http://schemas.openxmlformats.org/officeDocument/2006/relationships/numbering" Target="numbering.xml" /><Relationship Id="rId18"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image" Target="media/image1.png" /><Relationship Id="rId7" Type="http://schemas.openxmlformats.org/officeDocument/2006/relationships/footer" Target="footer2.xml" /><Relationship Id="rId8" Type="http://schemas.openxmlformats.org/officeDocument/2006/relationships/header" Target="header2.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40</Pages>
  <Words>28593</Words>
  <Characters>30183</Characters>
  <Application>Microsoft Office Word</Application>
  <DocSecurity>0</DocSecurity>
  <Lines>231</Lines>
  <Paragraphs>65</Paragraphs>
  <ScaleCrop>false</ScaleCrop>
  <Company>中国气象局</Company>
  <LinksUpToDate>false</LinksUpToDate>
  <CharactersWithSpaces>30368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2023-11-27T08:51:00Z</dcterms:created>
  <dcterms:modified xsi:type="dcterms:W3CDTF">2025-08-12T01:57:20Z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ED89200AD26740078270829E1A82948C_13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