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2025年新疆升级完善省级计量自动化信息化能力建设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ZQCD-25305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新疆维吾尔自治区气象技术装备保障中心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2025年新疆升级完善省级计量自动化信息化能力建设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ZQCD-25305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 120天内完成供货、安装调试并具备验收条件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乌鲁木齐市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2025年10月09日 00:00:00</w:t>
      </w:r>
      <w:bookmarkEnd w:id="26"/>
      <w:r>
        <w:rPr>
          <w:rFonts w:ascii="宋体" w:hint="eastAsia"/>
          <w:szCs w:val="21"/>
          <w:highlight w:val="none"/>
        </w:rPr>
        <w:t>至</w:t>
      </w:r>
      <w:bookmarkStart w:id="27" w:name="项目公告_signUpLastTime"/>
      <w:r>
        <w:rPr>
          <w:rFonts w:ascii="宋体" w:hint="eastAsia"/>
          <w:szCs w:val="21"/>
          <w:highlight w:val="none"/>
        </w:rPr>
        <w:t>2025年10月17日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2025年10月22日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新疆维吾尔自治区气象技术装备保障中心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郭凤娟</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0991-3631560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乌鲁木齐市天津南路215号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新疆维吾尔自治区气象技术装备保障中心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允许（仅针对以下产品：1、湿度自动计量系统，2、辐射日照自动计量系统，3、风向自动计量系统，4、压力示值检定装置允许代理商投标）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设有，核心产品为风向自动计量系统</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（1）标的：新疆计量自动化能力升级完善，湿度自动计量系统、辐射日照自动计量系统、风向自动计量系统、压力示值检定装置，属于工业行业；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593.000000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593.000000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cr/>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1、投标人具有 ISO9001 质量管理体系或GJB9001B质量管理认证证书，得 1 分，未提供不得分；</w:t>
              <w:cr/>
              <w:t xml:space="preserve"> 2、投标人具有 ISO14001 环境管理体系认证证书，得 1 分，未提供不得分；</w:t>
              <w:cr/>
              <w:t xml:space="preserve"> 3、投标人具有 ISO45001 职业健康安全管理认证证书， 得 1 分，未提供不得分。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1、销售合同必须包括与本项目同类产品（辐射计量自动化或计量自动化相关信息），每提供1份合同得1分，最多得3分。否则不得分。</w:t>
              <w:cr/>
              <w:t>2、销售合同必须包括与本项目同类产品（风洞系统全套，风洞、机械手、传送带整体等），每提供1份合同得1分，最多得2分。否则不得分。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针对本项目采购的湿度自动计量系统1套、辐射日照自动计量系统1套、风向自动计量系统1套和压力示值检定装置1套。</w:t>
              <w:cr/>
              <w:t>承诺每提前5天交货的得0.5分，最多得1分。否则不得分。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(4)</w:t>
            </w:r>
          </w:p>
        </w:tc>
        <w:tc>
          <w:tcPr/>
          <w:p>
            <w:r>
              <w:t>评审标准：</w:t>
            </w:r>
          </w:p>
          <w:p>
            <w:r>
              <w:t>针对湿度自动计量系统、辐射日照自动计量系统、风向自动计量系统和压力示值检定装置设备，每提供 1份用户证明材料得0.5分，每类设备最多提供2份，最多得4分。否则不得分。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2、除项目经理外至少4人具有2年及以上相关工作经验的，得2分；为本项目派出的技术人员至少2人具有1年及以上相关工作经验的，得1分；其他不得分。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投标产品软件兼容性（客观分）</w:t>
            </w:r>
          </w:p>
        </w:tc>
        <w:tc>
          <w:tcPr/>
          <w:p>
            <w:r>
              <w:t>勾选打分</w:t>
            </w:r>
            <w:r>
              <w:t>(2)</w:t>
            </w:r>
          </w:p>
        </w:tc>
        <w:tc>
          <w:tcPr/>
          <w:p>
            <w:r>
              <w:t>评审标准：</w:t>
            </w:r>
          </w:p>
          <w:p>
            <w:r>
              <w:t>投标产品软件兼容性强，计量数据能接入采购人现有气象计量检定系统业务平台，按如下要求评分：</w:t>
              <w:cr/>
              <w:t xml:space="preserve"> 1、投标产品系统能接入计量检定系统业务平台，提供接入应用证明或可提供详细可行的技术方案，得 1分；否则不得分。</w:t>
              <w:cr/>
              <w:t xml:space="preserve"> 2、投标产品系统能与天元系统数据互通，提供接入应用证明或可提供详细可行的技术方案，得 1分；否则不得分。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hint="eastAsia"/>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outlineLvl w:val="2"/>
        <w:rPr>
          <w:rFonts w:ascii="宋体" w:hAnsi="宋体" w:hint="eastAsia"/>
          <w:b/>
          <w:bCs/>
          <w:szCs w:val="21"/>
        </w:rPr>
      </w:pPr>
      <w:r>
        <w:rPr>
          <w:rFonts w:ascii="宋体" w:hAnsi="宋体" w:hint="eastAsia"/>
          <w:b/>
          <w:bCs/>
          <w:szCs w:val="21"/>
        </w:rPr>
        <w:t>一、项目概况及总体要求</w:t>
      </w:r>
    </w:p>
    <w:p>
      <w:pPr>
        <w:spacing w:line="360" w:lineRule="auto"/>
        <w:ind w:firstLine="420" w:firstLineChars="200"/>
        <w:outlineLvl w:val="3"/>
        <w:rPr>
          <w:rFonts w:ascii="Times New Roman" w:hAnsi="Times New Roman"/>
          <w:szCs w:val="21"/>
        </w:rPr>
      </w:pPr>
      <w:r>
        <w:rPr>
          <w:rFonts w:ascii="Times New Roman" w:hAnsi="Times New Roman" w:hint="eastAsia"/>
          <w:szCs w:val="21"/>
        </w:rPr>
        <w:t>（1）新疆计量自动化能力升级完善。在新疆建设湿度自动计量系统、辐射日照自动计量系统、风向自动计量系统各1套，同时购置1套压力示值检定装置。</w:t>
      </w:r>
    </w:p>
    <w:p>
      <w:pPr>
        <w:spacing w:line="360" w:lineRule="auto"/>
        <w:ind w:firstLine="420" w:firstLineChars="200"/>
        <w:outlineLvl w:val="4"/>
        <w:rPr>
          <w:rFonts w:ascii="Times New Roman" w:hAnsi="Times New Roman"/>
          <w:szCs w:val="21"/>
        </w:rPr>
      </w:pPr>
      <w:r>
        <w:rPr>
          <w:rFonts w:ascii="Times New Roman" w:hAnsi="Times New Roman" w:hint="eastAsia"/>
          <w:szCs w:val="21"/>
        </w:rPr>
        <w:t>1）湿度自动计量系统</w:t>
      </w:r>
    </w:p>
    <w:p>
      <w:pPr>
        <w:spacing w:line="360" w:lineRule="auto"/>
        <w:ind w:firstLine="420" w:firstLineChars="200"/>
        <w:rPr>
          <w:rFonts w:ascii="Times New Roman" w:hAnsi="Times New Roman"/>
          <w:szCs w:val="21"/>
        </w:rPr>
      </w:pPr>
      <w:r>
        <w:rPr>
          <w:rFonts w:ascii="Times New Roman" w:hAnsi="Times New Roman" w:hint="eastAsia"/>
          <w:szCs w:val="21"/>
        </w:rPr>
        <w:t>湿度自动计量系统应严格按照《JJG（气象） 003-2011自动气象站湿度传感器检定规程》进行，可自动生成满足规程要求的excel原始记录文件，采用《省级气象计量信息标准数据格式》规定的方式实现与省级计量管理系统的数据同步，原始记录文件可以按照用户自定义方式进行打印，并在本地进行存储。</w:t>
      </w:r>
    </w:p>
    <w:p>
      <w:pPr>
        <w:spacing w:line="360" w:lineRule="auto"/>
        <w:ind w:firstLine="420" w:firstLineChars="200"/>
        <w:outlineLvl w:val="4"/>
        <w:rPr>
          <w:rFonts w:ascii="Times New Roman" w:hAnsi="Times New Roman"/>
          <w:szCs w:val="21"/>
        </w:rPr>
      </w:pPr>
      <w:r>
        <w:rPr>
          <w:rFonts w:ascii="Times New Roman" w:hAnsi="Times New Roman" w:hint="eastAsia"/>
          <w:szCs w:val="21"/>
        </w:rPr>
        <w:t>2）辐射日照自动计量系统</w:t>
      </w:r>
    </w:p>
    <w:p>
      <w:pPr>
        <w:spacing w:line="360" w:lineRule="auto"/>
        <w:ind w:firstLine="420" w:firstLineChars="200"/>
        <w:rPr>
          <w:rFonts w:ascii="Times New Roman" w:hAnsi="Times New Roman"/>
          <w:szCs w:val="21"/>
        </w:rPr>
      </w:pPr>
      <w:r>
        <w:rPr>
          <w:rFonts w:ascii="Times New Roman" w:hAnsi="Times New Roman" w:hint="eastAsia"/>
          <w:szCs w:val="21"/>
        </w:rPr>
        <w:t>辐射日照自动计量系统应严格按照《JJG 458-1996总辐射表检定规程》、《光电式数字日照计校准规范》进行，可自动生成满足上述检定规程要求的excel原始记录文件，采用《省级气象计量信息标准数据格式》规定的数据方式实现与省级计量管理系统的数据同步，原始记录文件可以按照用户自定义方式进行打印，并在本地进行存储。</w:t>
      </w:r>
    </w:p>
    <w:p>
      <w:pPr>
        <w:spacing w:line="360" w:lineRule="auto"/>
        <w:ind w:firstLine="420" w:firstLineChars="200"/>
        <w:outlineLvl w:val="4"/>
        <w:rPr>
          <w:rFonts w:ascii="Times New Roman" w:hAnsi="Times New Roman"/>
          <w:szCs w:val="21"/>
        </w:rPr>
      </w:pPr>
      <w:r>
        <w:rPr>
          <w:rFonts w:ascii="Times New Roman" w:hAnsi="Times New Roman" w:hint="eastAsia"/>
          <w:szCs w:val="21"/>
        </w:rPr>
        <w:t>3）风向自动计量系统</w:t>
      </w:r>
    </w:p>
    <w:p>
      <w:pPr>
        <w:spacing w:line="360" w:lineRule="auto"/>
        <w:ind w:firstLine="420" w:firstLineChars="200"/>
        <w:rPr>
          <w:rFonts w:ascii="仿宋_GB2312" w:hAnsi="仿宋_GB2312" w:cs="仿宋_GB2312" w:hint="eastAsia"/>
          <w:szCs w:val="32"/>
        </w:rPr>
      </w:pPr>
      <w:r>
        <w:rPr>
          <w:rFonts w:ascii="Times New Roman" w:hAnsi="Times New Roman" w:hint="eastAsia"/>
          <w:szCs w:val="21"/>
        </w:rPr>
        <w:t>风向自动计量系统应严格按照《JJG（气象） 004-2011自动气象站风传感器检定规程》进行，可自动生成满足上述检定规程要求的excel原始记录文件，采用《省级气象计量信息标准数据格式》规定的数据方式实现与省级计量管理系统的数据同步，原始记录文件可以按照用户自定义方式进行打印，并在本地进行存储。</w:t>
      </w:r>
    </w:p>
    <w:p>
      <w:pPr>
        <w:spacing w:line="360" w:lineRule="auto"/>
        <w:ind w:firstLine="420" w:firstLineChars="200"/>
        <w:outlineLvl w:val="4"/>
        <w:rPr>
          <w:rFonts w:ascii="Times New Roman" w:hAnsi="Times New Roman"/>
          <w:szCs w:val="21"/>
        </w:rPr>
      </w:pPr>
      <w:r>
        <w:rPr>
          <w:rFonts w:ascii="Times New Roman" w:hAnsi="Times New Roman" w:hint="eastAsia"/>
          <w:szCs w:val="21"/>
        </w:rPr>
        <w:t>4）压力示值检定装置</w:t>
      </w:r>
    </w:p>
    <w:p>
      <w:pPr>
        <w:spacing w:line="360" w:lineRule="auto"/>
        <w:ind w:firstLine="420" w:firstLineChars="200"/>
        <w:rPr>
          <w:rFonts w:ascii="Times New Roman" w:hAnsi="Times New Roman"/>
          <w:szCs w:val="21"/>
        </w:rPr>
      </w:pPr>
      <w:r>
        <w:rPr>
          <w:rFonts w:ascii="Times New Roman" w:hAnsi="Times New Roman" w:hint="eastAsia"/>
          <w:szCs w:val="21"/>
        </w:rPr>
        <w:t>压力示值检定装置应适用于空盒气压表（计）的示值检定，密封舱应带震动、照明功能，并至少能同时容纳8台空盒气压表（计）。</w:t>
      </w:r>
    </w:p>
    <w:p>
      <w:pPr>
        <w:spacing w:line="360" w:lineRule="auto"/>
        <w:ind w:firstLine="420" w:firstLineChars="200"/>
        <w:rPr>
          <w:rFonts w:ascii="Times New Roman" w:hAnsi="Times New Roman"/>
          <w:szCs w:val="21"/>
        </w:rPr>
      </w:pPr>
      <w:r>
        <w:rPr>
          <w:rFonts w:ascii="Times New Roman" w:hAnsi="Times New Roman" w:hint="eastAsia"/>
          <w:szCs w:val="21"/>
        </w:rPr>
        <w:t>对于压力示值检定装置，要求测量范围：300hPa～1100hPa，压力控制精度：±0.020%FS，压力控制分辨力：0.001hPa，控制稳定性：0.002%FS，控制速度：5hPa/min～100hPa/min可调，接口：预留航空接口，电源：内部预留电源排插。数字压力计主要指标包括：测量范围：500hPa～1100hPa；测量精度：±0.01%FS。</w:t>
      </w:r>
    </w:p>
    <w:p>
      <w:pPr>
        <w:spacing w:line="360" w:lineRule="auto"/>
        <w:ind w:firstLine="420" w:firstLineChars="200"/>
        <w:outlineLvl w:val="3"/>
        <w:rPr>
          <w:rFonts w:ascii="Times New Roman" w:hAnsi="Times New Roman"/>
          <w:szCs w:val="21"/>
        </w:rPr>
      </w:pPr>
      <w:r>
        <w:rPr>
          <w:rFonts w:ascii="Times New Roman" w:hAnsi="Times New Roman" w:hint="eastAsia"/>
          <w:szCs w:val="21"/>
        </w:rPr>
        <w:t>（2）提升新疆计量保障综合能力</w:t>
      </w:r>
    </w:p>
    <w:p>
      <w:pPr>
        <w:spacing w:line="360" w:lineRule="auto"/>
        <w:ind w:firstLine="420" w:firstLineChars="200"/>
        <w:rPr>
          <w:rFonts w:ascii="Times New Roman" w:hAnsi="Times New Roman"/>
          <w:szCs w:val="21"/>
        </w:rPr>
      </w:pPr>
      <w:r>
        <w:rPr>
          <w:rFonts w:ascii="Times New Roman" w:hAnsi="Times New Roman" w:hint="eastAsia"/>
          <w:szCs w:val="21"/>
        </w:rPr>
        <w:t>新疆气象计量实验室检定系统的建设，可以有效提升新疆的地面气象观测设备校准业务覆盖能力和气象计量业务现代化水平，同时扩展了计量业务的覆盖范围。</w:t>
      </w:r>
    </w:p>
    <w:p>
      <w:pPr>
        <w:spacing w:line="360" w:lineRule="auto"/>
        <w:ind w:firstLine="420" w:firstLineChars="200"/>
        <w:outlineLvl w:val="2"/>
        <w:rPr>
          <w:rFonts w:ascii="宋体" w:hAnsi="宋体" w:hint="eastAsia"/>
          <w:b/>
          <w:bCs/>
          <w:szCs w:val="21"/>
        </w:rPr>
      </w:pPr>
      <w:r>
        <w:rPr>
          <w:rFonts w:ascii="宋体" w:hAnsi="宋体" w:hint="eastAsia"/>
          <w:b/>
          <w:bCs/>
          <w:szCs w:val="21"/>
        </w:rPr>
        <w:t>二、设备需求一览表（见第七章 采购需求 附表）</w:t>
      </w:r>
    </w:p>
    <w:p>
      <w:pPr>
        <w:spacing w:line="360" w:lineRule="auto"/>
        <w:ind w:firstLine="420" w:firstLineChars="200"/>
        <w:rPr>
          <w:rFonts w:ascii="Times New Roman" w:hAnsi="Times New Roman"/>
          <w:szCs w:val="21"/>
        </w:rPr>
      </w:pPr>
      <w:r>
        <w:rPr>
          <w:rFonts w:ascii="Times New Roman" w:hAnsi="Times New Roman" w:hint="eastAsia"/>
          <w:color w:val="7030A0"/>
          <w:szCs w:val="21"/>
        </w:rPr>
        <w:t xml:space="preserve"> </w:t>
      </w:r>
      <w:r>
        <w:rPr>
          <w:rFonts w:ascii="Times New Roman" w:hAnsi="Times New Roman" w:hint="eastAsia"/>
          <w:szCs w:val="21"/>
        </w:rPr>
        <w:t>新疆计量自动化能力升级完善：在新疆建设湿度自动计量系统、辐射日照自动计量系统、风向自动计量系统各1套，同时购置1套压力示值检定装置。</w:t>
      </w:r>
    </w:p>
    <w:p>
      <w:pPr>
        <w:spacing w:line="360" w:lineRule="auto"/>
        <w:ind w:firstLine="420" w:firstLineChars="200"/>
        <w:outlineLvl w:val="2"/>
        <w:rPr>
          <w:rFonts w:ascii="宋体" w:hAnsi="宋体" w:hint="eastAsia"/>
          <w:b/>
          <w:bCs/>
          <w:szCs w:val="21"/>
        </w:rPr>
      </w:pPr>
      <w:r>
        <w:rPr>
          <w:rFonts w:ascii="宋体" w:hAnsi="宋体" w:hint="eastAsia"/>
          <w:b/>
          <w:bCs/>
          <w:szCs w:val="21"/>
        </w:rPr>
        <w:t>三、技术性能指标</w:t>
      </w:r>
    </w:p>
    <w:p>
      <w:pPr>
        <w:pStyle w:val="Default"/>
        <w:spacing w:line="560" w:lineRule="exact"/>
        <w:jc w:val="left"/>
        <w:outlineLvl w:val="3"/>
        <w:rPr>
          <w:rFonts w:ascii="Times New Roman"/>
          <w:color w:val="auto"/>
          <w:szCs w:val="21"/>
        </w:rPr>
      </w:pPr>
      <w:r>
        <w:rPr>
          <w:rFonts w:ascii="Times New Roman" w:eastAsiaTheme="minorEastAsia" w:cstheme="minorBidi" w:hint="eastAsia"/>
          <w:color w:val="auto"/>
          <w:kern w:val="2"/>
          <w:sz w:val="21"/>
          <w:szCs w:val="21"/>
        </w:rPr>
        <w:t>（1）湿度自动计量系统</w:t>
      </w:r>
    </w:p>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 xml:space="preserve">      湿度自动计量系统设备主要包括标准器、配套设备和辅助设备，设备技术性能指标见表1。</w:t>
      </w:r>
    </w:p>
    <w:p>
      <w:pPr>
        <w:pStyle w:val="Default"/>
        <w:spacing w:line="560" w:lineRule="exact"/>
        <w:jc w:val="center"/>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表1 湿度自动计量系统技术性能要求</w:t>
      </w:r>
    </w:p>
    <w:tbl>
      <w:tblPr>
        <w:tblStyle w:val="TableNormal"/>
        <w:tblW w:w="7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75"/>
        <w:gridCol w:w="1417"/>
        <w:gridCol w:w="3969"/>
        <w:gridCol w:w="724"/>
        <w:gridCol w:w="718"/>
      </w:tblGrid>
      <w:tr>
        <w:tblPrEx>
          <w:tblW w:w="7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975" w:type="dxa"/>
            <w:vAlign w:val="center"/>
          </w:tcPr>
          <w:p>
            <w:pPr>
              <w:spacing w:line="300" w:lineRule="exact"/>
              <w:jc w:val="center"/>
              <w:rPr>
                <w:rFonts w:ascii="Times New Roman" w:hAnsi="Times New Roman"/>
                <w:szCs w:val="21"/>
              </w:rPr>
            </w:pPr>
            <w:r>
              <w:rPr>
                <w:rFonts w:ascii="Times New Roman" w:hAnsi="Times New Roman" w:hint="eastAsia"/>
                <w:szCs w:val="21"/>
              </w:rPr>
              <w:t>类别</w:t>
            </w:r>
          </w:p>
        </w:tc>
        <w:tc>
          <w:tcPr>
            <w:tcW w:w="1417" w:type="dxa"/>
            <w:vAlign w:val="center"/>
          </w:tcPr>
          <w:p>
            <w:pPr>
              <w:spacing w:line="300" w:lineRule="exact"/>
              <w:jc w:val="center"/>
              <w:rPr>
                <w:rFonts w:ascii="Times New Roman" w:hAnsi="Times New Roman"/>
                <w:szCs w:val="21"/>
              </w:rPr>
            </w:pPr>
            <w:r>
              <w:rPr>
                <w:rFonts w:ascii="Times New Roman" w:hAnsi="Times New Roman" w:hint="eastAsia"/>
                <w:szCs w:val="21"/>
              </w:rPr>
              <w:t>设备名称</w:t>
            </w:r>
          </w:p>
        </w:tc>
        <w:tc>
          <w:tcPr>
            <w:tcW w:w="3969" w:type="dxa"/>
            <w:vAlign w:val="center"/>
          </w:tcPr>
          <w:p>
            <w:pPr>
              <w:spacing w:line="300" w:lineRule="exact"/>
              <w:jc w:val="center"/>
              <w:rPr>
                <w:rFonts w:ascii="Times New Roman" w:hAnsi="Times New Roman"/>
                <w:szCs w:val="21"/>
              </w:rPr>
            </w:pPr>
            <w:r>
              <w:rPr>
                <w:rFonts w:ascii="Times New Roman" w:hAnsi="Times New Roman" w:hint="eastAsia"/>
                <w:szCs w:val="21"/>
              </w:rPr>
              <w:t>主要技术指标</w:t>
            </w:r>
          </w:p>
        </w:tc>
        <w:tc>
          <w:tcPr>
            <w:tcW w:w="724" w:type="dxa"/>
            <w:vAlign w:val="center"/>
          </w:tcPr>
          <w:p>
            <w:pPr>
              <w:spacing w:line="300" w:lineRule="exact"/>
              <w:jc w:val="center"/>
              <w:rPr>
                <w:rFonts w:ascii="Times New Roman" w:hAnsi="Times New Roman"/>
                <w:szCs w:val="21"/>
              </w:rPr>
            </w:pPr>
            <w:r>
              <w:rPr>
                <w:rFonts w:ascii="Times New Roman" w:hAnsi="Times New Roman" w:hint="eastAsia"/>
                <w:szCs w:val="21"/>
              </w:rPr>
              <w:t>单位</w:t>
            </w:r>
          </w:p>
        </w:tc>
        <w:tc>
          <w:tcPr>
            <w:tcW w:w="718" w:type="dxa"/>
            <w:vAlign w:val="center"/>
          </w:tcPr>
          <w:p>
            <w:pPr>
              <w:spacing w:line="300" w:lineRule="exact"/>
              <w:jc w:val="center"/>
              <w:rPr>
                <w:rFonts w:ascii="Times New Roman" w:hAnsi="Times New Roman"/>
                <w:szCs w:val="21"/>
              </w:rPr>
            </w:pPr>
            <w:r>
              <w:rPr>
                <w:rFonts w:ascii="Times New Roman" w:hAnsi="Times New Roman" w:hint="eastAsia"/>
                <w:szCs w:val="21"/>
              </w:rPr>
              <w:t>数量</w:t>
            </w:r>
          </w:p>
        </w:tc>
      </w:tr>
      <w:tr>
        <w:tblPrEx>
          <w:tblW w:w="7803" w:type="dxa"/>
          <w:jc w:val="center"/>
          <w:tblLayout w:type="fixed"/>
          <w:tblCellMar>
            <w:top w:w="0" w:type="dxa"/>
            <w:left w:w="108" w:type="dxa"/>
            <w:bottom w:w="0" w:type="dxa"/>
            <w:right w:w="108" w:type="dxa"/>
          </w:tblCellMar>
        </w:tblPrEx>
        <w:trPr>
          <w:jc w:val="center"/>
        </w:trPr>
        <w:tc>
          <w:tcPr>
            <w:tcW w:w="975" w:type="dxa"/>
            <w:vMerge w:val="restart"/>
            <w:vAlign w:val="center"/>
          </w:tcPr>
          <w:p>
            <w:pPr>
              <w:spacing w:line="300" w:lineRule="exact"/>
              <w:jc w:val="center"/>
              <w:rPr>
                <w:rFonts w:ascii="Times New Roman" w:hAnsi="Times New Roman"/>
                <w:szCs w:val="21"/>
              </w:rPr>
            </w:pPr>
            <w:r>
              <w:rPr>
                <w:rFonts w:ascii="Times New Roman" w:hAnsi="Times New Roman" w:hint="eastAsia"/>
                <w:szCs w:val="21"/>
              </w:rPr>
              <w:t>标准器</w:t>
            </w:r>
          </w:p>
        </w:tc>
        <w:tc>
          <w:tcPr>
            <w:tcW w:w="1417" w:type="dxa"/>
            <w:vAlign w:val="center"/>
          </w:tcPr>
          <w:p>
            <w:pPr>
              <w:spacing w:line="300" w:lineRule="exact"/>
              <w:jc w:val="left"/>
              <w:rPr>
                <w:rFonts w:ascii="Times New Roman" w:hAnsi="Times New Roman"/>
                <w:szCs w:val="21"/>
              </w:rPr>
            </w:pPr>
            <w:r>
              <w:rPr>
                <w:rFonts w:ascii="Times New Roman" w:hAnsi="Times New Roman" w:hint="eastAsia"/>
                <w:szCs w:val="21"/>
              </w:rPr>
              <w:t>湿度发生器（双压法）</w:t>
            </w:r>
          </w:p>
        </w:tc>
        <w:tc>
          <w:tcPr>
            <w:tcW w:w="3969" w:type="dxa"/>
            <w:vAlign w:val="center"/>
          </w:tcPr>
          <w:p>
            <w:pPr>
              <w:spacing w:line="300" w:lineRule="exact"/>
              <w:jc w:val="left"/>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湿度范围：（10～95）%RH；</w:t>
            </w:r>
          </w:p>
          <w:p>
            <w:pPr>
              <w:spacing w:line="300" w:lineRule="exact"/>
              <w:jc w:val="left"/>
              <w:rPr>
                <w:rFonts w:ascii="Times New Roman" w:hAnsi="Times New Roman"/>
                <w:szCs w:val="21"/>
              </w:rPr>
            </w:pPr>
            <w:r>
              <w:rPr>
                <w:rFonts w:ascii="Times New Roman" w:hAnsi="Times New Roman" w:hint="eastAsia"/>
                <w:szCs w:val="21"/>
              </w:rPr>
              <w:t>湿度波动度：±0.2 %RH /10 min；</w:t>
            </w:r>
          </w:p>
          <w:p>
            <w:pPr>
              <w:spacing w:line="300" w:lineRule="exact"/>
              <w:jc w:val="left"/>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湿度最大允许误差：±1.0 %RH；</w:t>
            </w:r>
          </w:p>
          <w:p>
            <w:pPr>
              <w:spacing w:line="300" w:lineRule="exact"/>
              <w:jc w:val="left"/>
              <w:rPr>
                <w:rFonts w:ascii="Times New Roman" w:hAnsi="Times New Roman"/>
                <w:szCs w:val="21"/>
              </w:rPr>
            </w:pPr>
            <w:r>
              <w:rPr>
                <w:rFonts w:ascii="Times New Roman" w:hAnsi="Times New Roman" w:hint="eastAsia"/>
                <w:szCs w:val="21"/>
              </w:rPr>
              <w:t>流量范围：＞80%RH时，（5～15）L/min；≤80%RH时（15～25）L/min；</w:t>
            </w:r>
          </w:p>
          <w:p>
            <w:pPr>
              <w:spacing w:line="300" w:lineRule="exact"/>
              <w:jc w:val="left"/>
              <w:rPr>
                <w:rFonts w:ascii="Times New Roman" w:hAnsi="Times New Roman"/>
                <w:szCs w:val="21"/>
              </w:rPr>
            </w:pPr>
            <w:r>
              <w:rPr>
                <w:rFonts w:ascii="Times New Roman" w:hAnsi="Times New Roman" w:hint="eastAsia"/>
                <w:szCs w:val="21"/>
              </w:rPr>
              <w:t>测试室尺寸：不低于φ100mm×400 mm；</w:t>
            </w:r>
          </w:p>
          <w:p>
            <w:pPr>
              <w:spacing w:line="300" w:lineRule="exact"/>
              <w:jc w:val="left"/>
              <w:rPr>
                <w:rFonts w:ascii="Times New Roman" w:hAnsi="Times New Roman"/>
                <w:szCs w:val="21"/>
              </w:rPr>
            </w:pPr>
            <w:r>
              <w:rPr>
                <w:rFonts w:ascii="Times New Roman" w:hAnsi="Times New Roman" w:hint="eastAsia"/>
                <w:szCs w:val="21"/>
              </w:rPr>
              <w:t>温度范围：（5～50）℃；</w:t>
            </w:r>
          </w:p>
          <w:p>
            <w:pPr>
              <w:spacing w:line="300" w:lineRule="exact"/>
              <w:jc w:val="left"/>
              <w:rPr>
                <w:rFonts w:ascii="Times New Roman" w:hAnsi="Times New Roman"/>
                <w:szCs w:val="21"/>
              </w:rPr>
            </w:pPr>
            <w:r>
              <w:rPr>
                <w:rFonts w:ascii="Times New Roman" w:hAnsi="Times New Roman" w:hint="eastAsia"/>
                <w:szCs w:val="21"/>
              </w:rPr>
              <w:t>温度最大允许误差：±0.1 ℃。</w:t>
            </w:r>
          </w:p>
        </w:tc>
        <w:tc>
          <w:tcPr>
            <w:tcW w:w="724" w:type="dxa"/>
            <w:vAlign w:val="center"/>
          </w:tcPr>
          <w:p>
            <w:pPr>
              <w:widowControl/>
              <w:spacing w:line="300" w:lineRule="exact"/>
              <w:jc w:val="center"/>
              <w:rPr>
                <w:rFonts w:ascii="Times New Roman" w:hAnsi="Times New Roman"/>
                <w:szCs w:val="21"/>
              </w:rPr>
            </w:pPr>
            <w:r>
              <w:rPr>
                <w:rFonts w:ascii="Times New Roman" w:hAnsi="Times New Roman" w:hint="eastAsia"/>
                <w:szCs w:val="21"/>
              </w:rPr>
              <w:t>台</w:t>
            </w:r>
          </w:p>
        </w:tc>
        <w:tc>
          <w:tcPr>
            <w:tcW w:w="718" w:type="dxa"/>
            <w:vAlign w:val="center"/>
          </w:tcPr>
          <w:p>
            <w:pPr>
              <w:widowControl/>
              <w:spacing w:line="300" w:lineRule="exact"/>
              <w:jc w:val="center"/>
              <w:rPr>
                <w:rFonts w:ascii="Times New Roman" w:hAnsi="Times New Roman"/>
                <w:szCs w:val="21"/>
              </w:rPr>
            </w:pPr>
            <w:r>
              <w:rPr>
                <w:rFonts w:ascii="Times New Roman" w:hAnsi="Times New Roman" w:hint="eastAsia"/>
                <w:szCs w:val="21"/>
              </w:rPr>
              <w:t>2</w:t>
            </w:r>
          </w:p>
        </w:tc>
      </w:tr>
      <w:tr>
        <w:tblPrEx>
          <w:tblW w:w="7803" w:type="dxa"/>
          <w:jc w:val="center"/>
          <w:tblLayout w:type="fixed"/>
          <w:tblCellMar>
            <w:top w:w="0" w:type="dxa"/>
            <w:left w:w="108" w:type="dxa"/>
            <w:bottom w:w="0" w:type="dxa"/>
            <w:right w:w="108" w:type="dxa"/>
          </w:tblCellMar>
        </w:tblPrEx>
        <w:trPr>
          <w:jc w:val="center"/>
        </w:trPr>
        <w:tc>
          <w:tcPr>
            <w:tcW w:w="975" w:type="dxa"/>
            <w:vMerge/>
            <w:vAlign w:val="center"/>
          </w:tcPr>
          <w:p>
            <w:pPr>
              <w:spacing w:line="300" w:lineRule="exact"/>
              <w:jc w:val="center"/>
              <w:rPr>
                <w:rFonts w:ascii="Times New Roman" w:hAnsi="Times New Roman"/>
                <w:szCs w:val="21"/>
              </w:rPr>
            </w:pPr>
          </w:p>
        </w:tc>
        <w:tc>
          <w:tcPr>
            <w:tcW w:w="1417" w:type="dxa"/>
            <w:vAlign w:val="center"/>
          </w:tcPr>
          <w:p>
            <w:pPr>
              <w:spacing w:line="300" w:lineRule="exact"/>
              <w:jc w:val="left"/>
              <w:rPr>
                <w:rFonts w:ascii="Times New Roman" w:hAnsi="Times New Roman"/>
                <w:szCs w:val="21"/>
              </w:rPr>
            </w:pPr>
            <w:r>
              <w:rPr>
                <w:rFonts w:ascii="Times New Roman" w:hAnsi="Times New Roman" w:hint="eastAsia"/>
                <w:szCs w:val="21"/>
              </w:rPr>
              <w:t>精密露点仪</w:t>
            </w:r>
          </w:p>
        </w:tc>
        <w:tc>
          <w:tcPr>
            <w:tcW w:w="3969" w:type="dxa"/>
            <w:vAlign w:val="center"/>
          </w:tcPr>
          <w:p>
            <w:pPr>
              <w:spacing w:line="300" w:lineRule="exact"/>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露点测量范围：-20℃DP～40℃DP；</w:t>
            </w:r>
          </w:p>
          <w:p>
            <w:pPr>
              <w:spacing w:line="300" w:lineRule="exact"/>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露点最大允许误差：≤±0.2℃DP；</w:t>
            </w:r>
          </w:p>
          <w:p>
            <w:pPr>
              <w:spacing w:line="300" w:lineRule="exact"/>
              <w:rPr>
                <w:rFonts w:ascii="Times New Roman" w:hAnsi="Times New Roman"/>
                <w:szCs w:val="21"/>
              </w:rPr>
            </w:pPr>
            <w:r>
              <w:rPr>
                <w:rFonts w:ascii="Times New Roman" w:hAnsi="Times New Roman" w:hint="eastAsia"/>
                <w:szCs w:val="21"/>
              </w:rPr>
              <w:t>湿度最大允许误差：≤±1.0%RH。</w:t>
            </w:r>
          </w:p>
        </w:tc>
        <w:tc>
          <w:tcPr>
            <w:tcW w:w="724" w:type="dxa"/>
            <w:vAlign w:val="center"/>
          </w:tcPr>
          <w:p>
            <w:pPr>
              <w:widowControl/>
              <w:spacing w:line="300" w:lineRule="exact"/>
              <w:jc w:val="center"/>
              <w:rPr>
                <w:rFonts w:ascii="Times New Roman" w:hAnsi="Times New Roman"/>
                <w:szCs w:val="21"/>
              </w:rPr>
            </w:pPr>
            <w:r>
              <w:rPr>
                <w:rFonts w:ascii="Times New Roman" w:hAnsi="Times New Roman" w:hint="eastAsia"/>
                <w:szCs w:val="21"/>
              </w:rPr>
              <w:t>台</w:t>
            </w:r>
          </w:p>
        </w:tc>
        <w:tc>
          <w:tcPr>
            <w:tcW w:w="718" w:type="dxa"/>
            <w:vAlign w:val="center"/>
          </w:tcPr>
          <w:p>
            <w:pPr>
              <w:widowControl/>
              <w:spacing w:line="300" w:lineRule="exact"/>
              <w:jc w:val="center"/>
              <w:rPr>
                <w:rFonts w:ascii="Times New Roman" w:hAnsi="Times New Roman"/>
                <w:szCs w:val="21"/>
              </w:rPr>
            </w:pPr>
            <w:r>
              <w:rPr>
                <w:rFonts w:ascii="Times New Roman" w:hAnsi="Times New Roman" w:hint="eastAsia"/>
                <w:szCs w:val="21"/>
              </w:rPr>
              <w:t>2</w:t>
            </w:r>
          </w:p>
        </w:tc>
      </w:tr>
      <w:tr>
        <w:tblPrEx>
          <w:tblW w:w="7803" w:type="dxa"/>
          <w:jc w:val="center"/>
          <w:tblLayout w:type="fixed"/>
          <w:tblCellMar>
            <w:top w:w="0" w:type="dxa"/>
            <w:left w:w="108" w:type="dxa"/>
            <w:bottom w:w="0" w:type="dxa"/>
            <w:right w:w="108" w:type="dxa"/>
          </w:tblCellMar>
        </w:tblPrEx>
        <w:trPr>
          <w:trHeight w:val="1068"/>
          <w:jc w:val="center"/>
        </w:trPr>
        <w:tc>
          <w:tcPr>
            <w:tcW w:w="975" w:type="dxa"/>
            <w:vMerge w:val="restart"/>
            <w:vAlign w:val="center"/>
          </w:tcPr>
          <w:p>
            <w:pPr>
              <w:spacing w:line="300" w:lineRule="exact"/>
              <w:jc w:val="center"/>
              <w:rPr>
                <w:rFonts w:ascii="Times New Roman" w:hAnsi="Times New Roman"/>
                <w:szCs w:val="21"/>
              </w:rPr>
            </w:pPr>
            <w:r>
              <w:rPr>
                <w:rFonts w:ascii="Times New Roman" w:hAnsi="Times New Roman" w:hint="eastAsia"/>
                <w:szCs w:val="21"/>
              </w:rPr>
              <w:t>配套</w:t>
            </w:r>
          </w:p>
          <w:p>
            <w:pPr>
              <w:spacing w:line="300" w:lineRule="exact"/>
              <w:jc w:val="center"/>
              <w:rPr>
                <w:rFonts w:ascii="Times New Roman" w:hAnsi="Times New Roman"/>
                <w:szCs w:val="21"/>
              </w:rPr>
            </w:pPr>
            <w:r>
              <w:rPr>
                <w:rFonts w:ascii="Times New Roman" w:hAnsi="Times New Roman" w:hint="eastAsia"/>
                <w:szCs w:val="21"/>
              </w:rPr>
              <w:t>设备</w:t>
            </w:r>
          </w:p>
        </w:tc>
        <w:tc>
          <w:tcPr>
            <w:tcW w:w="1417" w:type="dxa"/>
            <w:vAlign w:val="center"/>
          </w:tcPr>
          <w:p>
            <w:pPr>
              <w:spacing w:line="300" w:lineRule="exact"/>
              <w:jc w:val="left"/>
              <w:rPr>
                <w:rFonts w:ascii="Times New Roman" w:hAnsi="Times New Roman"/>
                <w:szCs w:val="21"/>
              </w:rPr>
            </w:pPr>
            <w:r>
              <w:rPr>
                <w:rFonts w:ascii="Times New Roman" w:hAnsi="Times New Roman" w:hint="eastAsia"/>
                <w:szCs w:val="21"/>
              </w:rPr>
              <w:t>电源控制</w:t>
            </w:r>
          </w:p>
          <w:p>
            <w:pPr>
              <w:spacing w:line="300" w:lineRule="exact"/>
              <w:jc w:val="left"/>
              <w:rPr>
                <w:rFonts w:ascii="Times New Roman" w:hAnsi="Times New Roman"/>
                <w:szCs w:val="21"/>
              </w:rPr>
            </w:pPr>
            <w:r>
              <w:rPr>
                <w:rFonts w:ascii="Times New Roman" w:hAnsi="Times New Roman" w:hint="eastAsia"/>
                <w:szCs w:val="21"/>
              </w:rPr>
              <w:t>模块</w:t>
            </w:r>
          </w:p>
        </w:tc>
        <w:tc>
          <w:tcPr>
            <w:tcW w:w="3969" w:type="dxa"/>
            <w:vAlign w:val="center"/>
          </w:tcPr>
          <w:p>
            <w:pPr>
              <w:spacing w:line="300" w:lineRule="exact"/>
              <w:jc w:val="left"/>
              <w:rPr>
                <w:rFonts w:ascii="Times New Roman" w:hAnsi="Times New Roman"/>
                <w:szCs w:val="21"/>
              </w:rPr>
            </w:pPr>
            <w:r>
              <w:rPr>
                <w:rFonts w:ascii="Times New Roman" w:hAnsi="Times New Roman" w:hint="eastAsia"/>
                <w:szCs w:val="21"/>
              </w:rPr>
              <w:t>输出电压范围：（0～24）VDC；</w:t>
            </w:r>
          </w:p>
          <w:p>
            <w:pPr>
              <w:spacing w:line="300" w:lineRule="exact"/>
              <w:jc w:val="left"/>
              <w:rPr>
                <w:rFonts w:ascii="Times New Roman" w:hAnsi="Times New Roman"/>
                <w:szCs w:val="21"/>
              </w:rPr>
            </w:pPr>
            <w:r>
              <w:rPr>
                <w:rFonts w:ascii="Times New Roman" w:hAnsi="Times New Roman" w:hint="eastAsia"/>
                <w:szCs w:val="21"/>
              </w:rPr>
              <w:t>输出数量：不低于5个。</w:t>
            </w:r>
          </w:p>
          <w:p>
            <w:pPr>
              <w:spacing w:line="300" w:lineRule="exact"/>
              <w:jc w:val="left"/>
              <w:rPr>
                <w:rFonts w:ascii="Times New Roman" w:hAnsi="Times New Roman"/>
                <w:szCs w:val="21"/>
              </w:rPr>
            </w:pPr>
            <w:r>
              <w:rPr>
                <w:rFonts w:ascii="Times New Roman" w:hAnsi="Times New Roman" w:hint="eastAsia"/>
                <w:szCs w:val="21"/>
              </w:rPr>
              <w:t>输出精度：±0.1V；</w:t>
            </w:r>
          </w:p>
          <w:p>
            <w:pPr>
              <w:spacing w:line="300" w:lineRule="exact"/>
              <w:jc w:val="left"/>
              <w:rPr>
                <w:rFonts w:ascii="Times New Roman" w:hAnsi="Times New Roman"/>
                <w:szCs w:val="21"/>
              </w:rPr>
            </w:pPr>
            <w:r>
              <w:rPr>
                <w:rFonts w:ascii="Times New Roman" w:hAnsi="Times New Roman" w:hint="eastAsia"/>
                <w:szCs w:val="21"/>
              </w:rPr>
              <w:t>内置电池：支持不低于连续8小时供电。</w:t>
            </w:r>
          </w:p>
        </w:tc>
        <w:tc>
          <w:tcPr>
            <w:tcW w:w="724" w:type="dxa"/>
            <w:vAlign w:val="center"/>
          </w:tcPr>
          <w:p>
            <w:pPr>
              <w:widowControl/>
              <w:spacing w:line="300" w:lineRule="exact"/>
              <w:jc w:val="center"/>
              <w:rPr>
                <w:rFonts w:ascii="Times New Roman" w:hAnsi="Times New Roman"/>
                <w:szCs w:val="21"/>
              </w:rPr>
            </w:pPr>
            <w:r>
              <w:rPr>
                <w:rFonts w:ascii="Times New Roman" w:hAnsi="Times New Roman" w:hint="eastAsia"/>
                <w:szCs w:val="21"/>
              </w:rPr>
              <w:t>套</w:t>
            </w:r>
          </w:p>
        </w:tc>
        <w:tc>
          <w:tcPr>
            <w:tcW w:w="718" w:type="dxa"/>
            <w:vAlign w:val="center"/>
          </w:tcPr>
          <w:p>
            <w:pPr>
              <w:widowControl/>
              <w:spacing w:line="300" w:lineRule="exact"/>
              <w:jc w:val="center"/>
              <w:rPr>
                <w:rFonts w:ascii="Times New Roman" w:hAnsi="Times New Roman"/>
                <w:szCs w:val="21"/>
              </w:rPr>
            </w:pPr>
            <w:r>
              <w:rPr>
                <w:rFonts w:ascii="Times New Roman" w:hAnsi="Times New Roman" w:hint="eastAsia"/>
                <w:szCs w:val="21"/>
              </w:rPr>
              <w:t>2</w:t>
            </w:r>
          </w:p>
        </w:tc>
      </w:tr>
      <w:tr>
        <w:tblPrEx>
          <w:tblW w:w="7803" w:type="dxa"/>
          <w:jc w:val="center"/>
          <w:tblLayout w:type="fixed"/>
          <w:tblCellMar>
            <w:top w:w="0" w:type="dxa"/>
            <w:left w:w="108" w:type="dxa"/>
            <w:bottom w:w="0" w:type="dxa"/>
            <w:right w:w="108" w:type="dxa"/>
          </w:tblCellMar>
        </w:tblPrEx>
        <w:trPr>
          <w:trHeight w:val="274"/>
          <w:jc w:val="center"/>
        </w:trPr>
        <w:tc>
          <w:tcPr>
            <w:tcW w:w="975" w:type="dxa"/>
            <w:vMerge/>
            <w:vAlign w:val="center"/>
          </w:tcPr>
          <w:p>
            <w:pPr>
              <w:spacing w:line="300" w:lineRule="exact"/>
              <w:jc w:val="center"/>
              <w:rPr>
                <w:rFonts w:ascii="Times New Roman" w:hAnsi="Times New Roman"/>
                <w:szCs w:val="21"/>
              </w:rPr>
            </w:pPr>
          </w:p>
        </w:tc>
        <w:tc>
          <w:tcPr>
            <w:tcW w:w="1417" w:type="dxa"/>
            <w:vAlign w:val="center"/>
          </w:tcPr>
          <w:p>
            <w:pPr>
              <w:spacing w:line="300" w:lineRule="exact"/>
              <w:jc w:val="left"/>
              <w:rPr>
                <w:rFonts w:ascii="Times New Roman" w:hAnsi="Times New Roman"/>
                <w:szCs w:val="21"/>
              </w:rPr>
            </w:pPr>
            <w:r>
              <w:rPr>
                <w:rFonts w:ascii="Times New Roman" w:hAnsi="Times New Roman" w:hint="eastAsia"/>
                <w:szCs w:val="21"/>
              </w:rPr>
              <w:t>环境监测</w:t>
            </w:r>
          </w:p>
          <w:p>
            <w:pPr>
              <w:spacing w:line="300" w:lineRule="exact"/>
              <w:jc w:val="left"/>
              <w:rPr>
                <w:rFonts w:ascii="Times New Roman" w:hAnsi="Times New Roman"/>
                <w:szCs w:val="21"/>
              </w:rPr>
            </w:pPr>
            <w:r>
              <w:rPr>
                <w:rFonts w:ascii="Times New Roman" w:hAnsi="Times New Roman" w:hint="eastAsia"/>
                <w:szCs w:val="21"/>
              </w:rPr>
              <w:t>设备</w:t>
            </w:r>
          </w:p>
        </w:tc>
        <w:tc>
          <w:tcPr>
            <w:tcW w:w="3969" w:type="dxa"/>
            <w:vAlign w:val="center"/>
          </w:tcPr>
          <w:p>
            <w:pPr>
              <w:spacing w:line="300" w:lineRule="exact"/>
              <w:jc w:val="left"/>
              <w:rPr>
                <w:rFonts w:ascii="Times New Roman" w:hAnsi="Times New Roman"/>
                <w:szCs w:val="21"/>
              </w:rPr>
            </w:pPr>
            <w:r>
              <w:rPr>
                <w:rFonts w:ascii="Times New Roman" w:hAnsi="Times New Roman" w:hint="eastAsia"/>
                <w:szCs w:val="21"/>
              </w:rPr>
              <w:t>温度测量范围：（0～50）℃，最大允许误差：±0.5℃；</w:t>
            </w:r>
          </w:p>
          <w:p>
            <w:pPr>
              <w:spacing w:line="300" w:lineRule="exact"/>
              <w:jc w:val="left"/>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湿度测量范围：（10～90）%RH，最大允许误差：±5 %RH；</w:t>
            </w:r>
          </w:p>
          <w:p>
            <w:pPr>
              <w:spacing w:line="300" w:lineRule="exact"/>
              <w:jc w:val="left"/>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气压测量范围：（500～1100）hPa，最大允许误差：±2.5hPa。</w:t>
            </w:r>
          </w:p>
        </w:tc>
        <w:tc>
          <w:tcPr>
            <w:tcW w:w="724" w:type="dxa"/>
            <w:vAlign w:val="center"/>
          </w:tcPr>
          <w:p>
            <w:pPr>
              <w:widowControl/>
              <w:spacing w:line="300" w:lineRule="exact"/>
              <w:jc w:val="center"/>
              <w:rPr>
                <w:rFonts w:ascii="Times New Roman" w:hAnsi="Times New Roman"/>
                <w:szCs w:val="21"/>
              </w:rPr>
            </w:pPr>
            <w:r>
              <w:rPr>
                <w:rFonts w:ascii="Times New Roman" w:hAnsi="Times New Roman" w:hint="eastAsia"/>
                <w:szCs w:val="21"/>
              </w:rPr>
              <w:t>套</w:t>
            </w:r>
          </w:p>
        </w:tc>
        <w:tc>
          <w:tcPr>
            <w:tcW w:w="718" w:type="dxa"/>
            <w:vAlign w:val="center"/>
          </w:tcPr>
          <w:p>
            <w:pPr>
              <w:widowControl/>
              <w:spacing w:line="300" w:lineRule="exact"/>
              <w:jc w:val="center"/>
              <w:rPr>
                <w:rFonts w:ascii="Times New Roman" w:hAnsi="Times New Roman"/>
                <w:szCs w:val="21"/>
              </w:rPr>
            </w:pPr>
            <w:r>
              <w:rPr>
                <w:rFonts w:ascii="Times New Roman" w:hAnsi="Times New Roman" w:hint="eastAsia"/>
                <w:szCs w:val="21"/>
              </w:rPr>
              <w:t>1</w:t>
            </w:r>
          </w:p>
        </w:tc>
      </w:tr>
      <w:tr>
        <w:tblPrEx>
          <w:tblW w:w="7803" w:type="dxa"/>
          <w:jc w:val="center"/>
          <w:tblLayout w:type="fixed"/>
          <w:tblCellMar>
            <w:top w:w="0" w:type="dxa"/>
            <w:left w:w="108" w:type="dxa"/>
            <w:bottom w:w="0" w:type="dxa"/>
            <w:right w:w="108" w:type="dxa"/>
          </w:tblCellMar>
        </w:tblPrEx>
        <w:trPr>
          <w:trHeight w:val="1068"/>
          <w:jc w:val="center"/>
        </w:trPr>
        <w:tc>
          <w:tcPr>
            <w:tcW w:w="975" w:type="dxa"/>
            <w:vMerge/>
            <w:vAlign w:val="center"/>
          </w:tcPr>
          <w:p>
            <w:pPr>
              <w:spacing w:line="300" w:lineRule="exact"/>
              <w:jc w:val="center"/>
              <w:rPr>
                <w:rFonts w:ascii="Times New Roman" w:hAnsi="Times New Roman"/>
                <w:szCs w:val="21"/>
              </w:rPr>
            </w:pPr>
          </w:p>
        </w:tc>
        <w:tc>
          <w:tcPr>
            <w:tcW w:w="1417" w:type="dxa"/>
            <w:vAlign w:val="center"/>
          </w:tcPr>
          <w:p>
            <w:pPr>
              <w:spacing w:line="300" w:lineRule="exact"/>
              <w:jc w:val="left"/>
              <w:rPr>
                <w:rFonts w:ascii="Times New Roman" w:hAnsi="Times New Roman"/>
                <w:szCs w:val="21"/>
              </w:rPr>
            </w:pPr>
            <w:r>
              <w:rPr>
                <w:rFonts w:ascii="Times New Roman" w:hAnsi="Times New Roman" w:hint="eastAsia"/>
                <w:szCs w:val="21"/>
              </w:rPr>
              <w:t>设备信息采集和智能识别模块</w:t>
            </w:r>
          </w:p>
        </w:tc>
        <w:tc>
          <w:tcPr>
            <w:tcW w:w="3969" w:type="dxa"/>
            <w:vAlign w:val="center"/>
          </w:tcPr>
          <w:p>
            <w:pPr>
              <w:spacing w:line="300" w:lineRule="exact"/>
              <w:jc w:val="left"/>
              <w:rPr>
                <w:rFonts w:ascii="Times New Roman" w:hAnsi="Times New Roman"/>
                <w:szCs w:val="21"/>
              </w:rPr>
            </w:pPr>
            <w:r>
              <w:rPr>
                <w:rFonts w:ascii="Times New Roman" w:hAnsi="Times New Roman" w:hint="eastAsia"/>
                <w:szCs w:val="21"/>
              </w:rPr>
              <w:t>支持线路盲接和智能识别功能，具备二维码扫描，自动在计量业务系统中匹配智能湿度测量仪基础数据信息，实现二维码、被检传感器和采集通道自动匹配。</w:t>
            </w:r>
          </w:p>
        </w:tc>
        <w:tc>
          <w:tcPr>
            <w:tcW w:w="724" w:type="dxa"/>
            <w:vAlign w:val="center"/>
          </w:tcPr>
          <w:p>
            <w:pPr>
              <w:widowControl/>
              <w:spacing w:line="300" w:lineRule="exact"/>
              <w:jc w:val="center"/>
              <w:rPr>
                <w:rFonts w:ascii="Times New Roman" w:hAnsi="Times New Roman"/>
                <w:szCs w:val="21"/>
              </w:rPr>
            </w:pPr>
            <w:r>
              <w:rPr>
                <w:rFonts w:ascii="Times New Roman" w:hAnsi="Times New Roman" w:hint="eastAsia"/>
                <w:szCs w:val="21"/>
              </w:rPr>
              <w:t>套</w:t>
            </w:r>
          </w:p>
        </w:tc>
        <w:tc>
          <w:tcPr>
            <w:tcW w:w="718" w:type="dxa"/>
            <w:vAlign w:val="center"/>
          </w:tcPr>
          <w:p>
            <w:pPr>
              <w:widowControl/>
              <w:spacing w:line="300" w:lineRule="exact"/>
              <w:jc w:val="center"/>
              <w:rPr>
                <w:rFonts w:ascii="Times New Roman" w:hAnsi="Times New Roman"/>
                <w:szCs w:val="21"/>
              </w:rPr>
            </w:pPr>
            <w:r>
              <w:rPr>
                <w:rFonts w:ascii="Times New Roman" w:hAnsi="Times New Roman" w:hint="eastAsia"/>
                <w:szCs w:val="21"/>
              </w:rPr>
              <w:t>2</w:t>
            </w:r>
          </w:p>
        </w:tc>
      </w:tr>
      <w:tr>
        <w:tblPrEx>
          <w:tblW w:w="7803" w:type="dxa"/>
          <w:jc w:val="center"/>
          <w:tblLayout w:type="fixed"/>
          <w:tblCellMar>
            <w:top w:w="0" w:type="dxa"/>
            <w:left w:w="108" w:type="dxa"/>
            <w:bottom w:w="0" w:type="dxa"/>
            <w:right w:w="108" w:type="dxa"/>
          </w:tblCellMar>
        </w:tblPrEx>
        <w:trPr>
          <w:trHeight w:val="743"/>
          <w:jc w:val="center"/>
        </w:trPr>
        <w:tc>
          <w:tcPr>
            <w:tcW w:w="975" w:type="dxa"/>
            <w:vMerge/>
            <w:vAlign w:val="center"/>
          </w:tcPr>
          <w:p>
            <w:pPr>
              <w:spacing w:line="300" w:lineRule="exact"/>
              <w:jc w:val="center"/>
              <w:rPr>
                <w:rFonts w:ascii="Times New Roman" w:hAnsi="Times New Roman"/>
                <w:szCs w:val="21"/>
              </w:rPr>
            </w:pPr>
          </w:p>
        </w:tc>
        <w:tc>
          <w:tcPr>
            <w:tcW w:w="1417" w:type="dxa"/>
            <w:vAlign w:val="center"/>
          </w:tcPr>
          <w:p>
            <w:pPr>
              <w:spacing w:line="300" w:lineRule="exact"/>
              <w:jc w:val="left"/>
              <w:rPr>
                <w:rFonts w:ascii="Times New Roman" w:hAnsi="Times New Roman"/>
                <w:szCs w:val="21"/>
              </w:rPr>
            </w:pPr>
            <w:r>
              <w:rPr>
                <w:rFonts w:ascii="Times New Roman" w:hAnsi="Times New Roman" w:hint="eastAsia"/>
                <w:szCs w:val="21"/>
              </w:rPr>
              <w:t>通信传输</w:t>
            </w:r>
          </w:p>
          <w:p>
            <w:pPr>
              <w:spacing w:line="300" w:lineRule="exact"/>
              <w:jc w:val="left"/>
              <w:rPr>
                <w:rFonts w:ascii="Times New Roman" w:hAnsi="Times New Roman"/>
                <w:szCs w:val="21"/>
              </w:rPr>
            </w:pPr>
            <w:r>
              <w:rPr>
                <w:rFonts w:ascii="Times New Roman" w:hAnsi="Times New Roman" w:hint="eastAsia"/>
                <w:szCs w:val="21"/>
              </w:rPr>
              <w:t>模块</w:t>
            </w:r>
          </w:p>
        </w:tc>
        <w:tc>
          <w:tcPr>
            <w:tcW w:w="3969" w:type="dxa"/>
            <w:vAlign w:val="center"/>
          </w:tcPr>
          <w:p>
            <w:pPr>
              <w:spacing w:line="300" w:lineRule="exact"/>
              <w:jc w:val="left"/>
              <w:rPr>
                <w:rFonts w:ascii="Times New Roman" w:hAnsi="Times New Roman"/>
                <w:szCs w:val="21"/>
              </w:rPr>
            </w:pPr>
            <w:r>
              <w:rPr>
                <w:rFonts w:ascii="Times New Roman" w:hAnsi="Times New Roman" w:hint="eastAsia"/>
                <w:szCs w:val="21"/>
              </w:rPr>
              <w:t>通信接口支持WIFI、USB、LAN或RS232等方式。</w:t>
            </w:r>
          </w:p>
        </w:tc>
        <w:tc>
          <w:tcPr>
            <w:tcW w:w="724" w:type="dxa"/>
            <w:vAlign w:val="center"/>
          </w:tcPr>
          <w:p>
            <w:pPr>
              <w:widowControl/>
              <w:spacing w:line="300" w:lineRule="exact"/>
              <w:jc w:val="center"/>
              <w:rPr>
                <w:rFonts w:ascii="Times New Roman" w:hAnsi="Times New Roman"/>
                <w:szCs w:val="21"/>
              </w:rPr>
            </w:pPr>
            <w:r>
              <w:rPr>
                <w:rFonts w:ascii="Times New Roman" w:hAnsi="Times New Roman" w:hint="eastAsia"/>
                <w:szCs w:val="21"/>
              </w:rPr>
              <w:t>套</w:t>
            </w:r>
          </w:p>
        </w:tc>
        <w:tc>
          <w:tcPr>
            <w:tcW w:w="718" w:type="dxa"/>
            <w:vAlign w:val="center"/>
          </w:tcPr>
          <w:p>
            <w:pPr>
              <w:widowControl/>
              <w:spacing w:line="300" w:lineRule="exact"/>
              <w:jc w:val="center"/>
              <w:rPr>
                <w:rFonts w:ascii="Times New Roman" w:hAnsi="Times New Roman"/>
                <w:szCs w:val="21"/>
              </w:rPr>
            </w:pPr>
            <w:r>
              <w:rPr>
                <w:rFonts w:ascii="Times New Roman" w:hAnsi="Times New Roman" w:hint="eastAsia"/>
                <w:szCs w:val="21"/>
              </w:rPr>
              <w:t>2</w:t>
            </w:r>
          </w:p>
        </w:tc>
      </w:tr>
      <w:tr>
        <w:tblPrEx>
          <w:tblW w:w="7803" w:type="dxa"/>
          <w:jc w:val="center"/>
          <w:tblLayout w:type="fixed"/>
          <w:tblCellMar>
            <w:top w:w="0" w:type="dxa"/>
            <w:left w:w="108" w:type="dxa"/>
            <w:bottom w:w="0" w:type="dxa"/>
            <w:right w:w="108" w:type="dxa"/>
          </w:tblCellMar>
        </w:tblPrEx>
        <w:trPr>
          <w:jc w:val="center"/>
        </w:trPr>
        <w:tc>
          <w:tcPr>
            <w:tcW w:w="975" w:type="dxa"/>
            <w:vMerge/>
            <w:vAlign w:val="center"/>
          </w:tcPr>
          <w:p>
            <w:pPr>
              <w:spacing w:line="300" w:lineRule="exact"/>
              <w:jc w:val="center"/>
              <w:rPr>
                <w:rFonts w:ascii="Times New Roman" w:hAnsi="Times New Roman"/>
                <w:szCs w:val="21"/>
              </w:rPr>
            </w:pPr>
          </w:p>
        </w:tc>
        <w:tc>
          <w:tcPr>
            <w:tcW w:w="1417" w:type="dxa"/>
            <w:vAlign w:val="center"/>
          </w:tcPr>
          <w:p>
            <w:pPr>
              <w:spacing w:line="300" w:lineRule="exact"/>
              <w:jc w:val="left"/>
              <w:rPr>
                <w:rFonts w:ascii="Times New Roman" w:hAnsi="Times New Roman"/>
                <w:szCs w:val="21"/>
              </w:rPr>
            </w:pPr>
            <w:r>
              <w:rPr>
                <w:rFonts w:ascii="Times New Roman" w:hAnsi="Times New Roman" w:hint="eastAsia"/>
                <w:szCs w:val="21"/>
              </w:rPr>
              <w:t>自动传输</w:t>
            </w:r>
          </w:p>
          <w:p>
            <w:pPr>
              <w:spacing w:line="300" w:lineRule="exact"/>
              <w:jc w:val="left"/>
              <w:rPr>
                <w:rFonts w:ascii="Times New Roman" w:hAnsi="Times New Roman"/>
                <w:szCs w:val="21"/>
              </w:rPr>
            </w:pPr>
            <w:r>
              <w:rPr>
                <w:rFonts w:ascii="Times New Roman" w:hAnsi="Times New Roman" w:hint="eastAsia"/>
                <w:szCs w:val="21"/>
              </w:rPr>
              <w:t>模块</w:t>
            </w:r>
          </w:p>
        </w:tc>
        <w:tc>
          <w:tcPr>
            <w:tcW w:w="3969" w:type="dxa"/>
            <w:vAlign w:val="center"/>
          </w:tcPr>
          <w:p>
            <w:pPr>
              <w:spacing w:line="300" w:lineRule="exact"/>
              <w:jc w:val="left"/>
              <w:rPr>
                <w:rFonts w:ascii="Times New Roman" w:hAnsi="Times New Roman"/>
                <w:szCs w:val="21"/>
              </w:rPr>
            </w:pPr>
            <w:r>
              <w:rPr>
                <w:rFonts w:ascii="Times New Roman" w:hAnsi="Times New Roman" w:hint="eastAsia"/>
                <w:szCs w:val="21"/>
              </w:rPr>
              <w:t>负重能力需满足传感器工装及负荷重量要求，在加载智能湿度测量仪工装下具有防震动/抖动设计。</w:t>
            </w:r>
          </w:p>
        </w:tc>
        <w:tc>
          <w:tcPr>
            <w:tcW w:w="724" w:type="dxa"/>
            <w:vAlign w:val="center"/>
          </w:tcPr>
          <w:p>
            <w:pPr>
              <w:widowControl/>
              <w:spacing w:line="300" w:lineRule="exact"/>
              <w:jc w:val="center"/>
              <w:rPr>
                <w:rFonts w:ascii="Times New Roman" w:hAnsi="Times New Roman"/>
                <w:szCs w:val="21"/>
              </w:rPr>
            </w:pPr>
            <w:r>
              <w:rPr>
                <w:rFonts w:ascii="Times New Roman" w:hAnsi="Times New Roman" w:hint="eastAsia"/>
                <w:szCs w:val="21"/>
              </w:rPr>
              <w:t>套</w:t>
            </w:r>
          </w:p>
        </w:tc>
        <w:tc>
          <w:tcPr>
            <w:tcW w:w="718" w:type="dxa"/>
            <w:vAlign w:val="center"/>
          </w:tcPr>
          <w:p>
            <w:pPr>
              <w:widowControl/>
              <w:spacing w:line="300" w:lineRule="exact"/>
              <w:jc w:val="center"/>
              <w:rPr>
                <w:rFonts w:ascii="Times New Roman" w:hAnsi="Times New Roman"/>
                <w:szCs w:val="21"/>
              </w:rPr>
            </w:pPr>
            <w:r>
              <w:rPr>
                <w:rFonts w:ascii="Times New Roman" w:hAnsi="Times New Roman" w:hint="eastAsia"/>
                <w:szCs w:val="21"/>
              </w:rPr>
              <w:t>1</w:t>
            </w:r>
          </w:p>
        </w:tc>
      </w:tr>
    </w:tbl>
    <w:p>
      <w:pPr>
        <w:pStyle w:val="Default"/>
        <w:spacing w:line="560" w:lineRule="exact"/>
        <w:jc w:val="left"/>
        <w:outlineLvl w:val="3"/>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（2）辐射日照自动计量系统</w:t>
      </w:r>
    </w:p>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辐射日照自动计量系统设备指标见表2。</w:t>
      </w:r>
    </w:p>
    <w:p>
      <w:pPr>
        <w:pStyle w:val="Default"/>
        <w:spacing w:line="560" w:lineRule="exact"/>
        <w:jc w:val="center"/>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表2 辐射日照自动计量系统技术性能要求</w:t>
      </w:r>
    </w:p>
    <w:tbl>
      <w:tblPr>
        <w:tblStyle w:val="TableNormal"/>
        <w:tblW w:w="67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41"/>
        <w:gridCol w:w="1341"/>
        <w:gridCol w:w="3225"/>
        <w:gridCol w:w="625"/>
        <w:gridCol w:w="795"/>
      </w:tblGrid>
      <w:tr>
        <w:tblPrEx>
          <w:tblW w:w="67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00"/>
          <w:jc w:val="center"/>
        </w:trPr>
        <w:tc>
          <w:tcPr>
            <w:tcW w:w="741" w:type="dxa"/>
            <w:noWrap/>
            <w:vAlign w:val="center"/>
          </w:tcPr>
          <w:p>
            <w:pPr>
              <w:spacing w:line="300" w:lineRule="exact"/>
              <w:jc w:val="center"/>
              <w:rPr>
                <w:rFonts w:ascii="Times New Roman" w:hAnsi="Times New Roman"/>
                <w:szCs w:val="21"/>
              </w:rPr>
            </w:pPr>
            <w:r>
              <w:rPr>
                <w:rFonts w:ascii="Times New Roman" w:hAnsi="Times New Roman" w:hint="eastAsia"/>
                <w:szCs w:val="21"/>
              </w:rPr>
              <w:t>序号</w:t>
            </w:r>
          </w:p>
        </w:tc>
        <w:tc>
          <w:tcPr>
            <w:tcW w:w="1341" w:type="dxa"/>
            <w:noWrap/>
            <w:vAlign w:val="center"/>
          </w:tcPr>
          <w:p>
            <w:pPr>
              <w:spacing w:line="300" w:lineRule="exact"/>
              <w:jc w:val="center"/>
              <w:rPr>
                <w:rFonts w:ascii="Times New Roman" w:hAnsi="Times New Roman"/>
                <w:szCs w:val="21"/>
              </w:rPr>
            </w:pPr>
            <w:r>
              <w:rPr>
                <w:rFonts w:ascii="Times New Roman" w:hAnsi="Times New Roman" w:hint="eastAsia"/>
                <w:szCs w:val="21"/>
              </w:rPr>
              <w:t>名称</w:t>
            </w:r>
          </w:p>
        </w:tc>
        <w:tc>
          <w:tcPr>
            <w:tcW w:w="3225" w:type="dxa"/>
            <w:noWrap/>
            <w:vAlign w:val="center"/>
          </w:tcPr>
          <w:p>
            <w:pPr>
              <w:spacing w:line="300" w:lineRule="exact"/>
              <w:jc w:val="center"/>
              <w:rPr>
                <w:rFonts w:ascii="Times New Roman" w:hAnsi="Times New Roman"/>
                <w:szCs w:val="21"/>
              </w:rPr>
            </w:pPr>
            <w:r>
              <w:rPr>
                <w:rFonts w:ascii="Times New Roman" w:hAnsi="Times New Roman" w:hint="eastAsia"/>
                <w:szCs w:val="21"/>
              </w:rPr>
              <w:t>主要技术指标</w:t>
            </w:r>
          </w:p>
        </w:tc>
        <w:tc>
          <w:tcPr>
            <w:tcW w:w="625" w:type="dxa"/>
            <w:noWrap/>
            <w:vAlign w:val="center"/>
          </w:tcPr>
          <w:p>
            <w:pPr>
              <w:spacing w:line="300" w:lineRule="exact"/>
              <w:jc w:val="center"/>
              <w:rPr>
                <w:rFonts w:ascii="Times New Roman" w:hAnsi="Times New Roman"/>
                <w:szCs w:val="21"/>
              </w:rPr>
            </w:pPr>
            <w:r>
              <w:rPr>
                <w:rFonts w:ascii="Times New Roman" w:hAnsi="Times New Roman" w:hint="eastAsia"/>
                <w:szCs w:val="21"/>
              </w:rPr>
              <w:t>单位</w:t>
            </w:r>
          </w:p>
        </w:tc>
        <w:tc>
          <w:tcPr>
            <w:tcW w:w="795" w:type="dxa"/>
            <w:noWrap/>
            <w:vAlign w:val="center"/>
          </w:tcPr>
          <w:p>
            <w:pPr>
              <w:spacing w:line="300" w:lineRule="exact"/>
              <w:jc w:val="center"/>
              <w:rPr>
                <w:rFonts w:ascii="Times New Roman" w:hAnsi="Times New Roman"/>
                <w:szCs w:val="21"/>
              </w:rPr>
            </w:pPr>
            <w:r>
              <w:rPr>
                <w:rFonts w:ascii="Times New Roman" w:hAnsi="Times New Roman" w:hint="eastAsia"/>
                <w:szCs w:val="21"/>
              </w:rPr>
              <w:t>数量</w:t>
            </w:r>
          </w:p>
        </w:tc>
      </w:tr>
      <w:tr>
        <w:tblPrEx>
          <w:tblW w:w="6727" w:type="dxa"/>
          <w:jc w:val="center"/>
          <w:tblLayout w:type="fixed"/>
          <w:tblCellMar>
            <w:top w:w="0" w:type="dxa"/>
            <w:left w:w="108" w:type="dxa"/>
            <w:bottom w:w="0" w:type="dxa"/>
            <w:right w:w="108" w:type="dxa"/>
          </w:tblCellMar>
        </w:tblPrEx>
        <w:trPr>
          <w:trHeight w:val="1140"/>
          <w:jc w:val="center"/>
        </w:trPr>
        <w:tc>
          <w:tcPr>
            <w:tcW w:w="741" w:type="dxa"/>
            <w:noWrap/>
            <w:vAlign w:val="center"/>
          </w:tcPr>
          <w:p>
            <w:pPr>
              <w:spacing w:line="300" w:lineRule="exact"/>
              <w:jc w:val="center"/>
              <w:rPr>
                <w:rFonts w:ascii="Times New Roman" w:hAnsi="Times New Roman"/>
                <w:szCs w:val="21"/>
              </w:rPr>
            </w:pPr>
            <w:r>
              <w:rPr>
                <w:rFonts w:ascii="Times New Roman" w:hAnsi="Times New Roman" w:hint="eastAsia"/>
                <w:szCs w:val="21"/>
              </w:rPr>
              <w:t>1</w:t>
            </w:r>
          </w:p>
        </w:tc>
        <w:tc>
          <w:tcPr>
            <w:tcW w:w="1341" w:type="dxa"/>
            <w:noWrap/>
            <w:vAlign w:val="center"/>
          </w:tcPr>
          <w:p>
            <w:pPr>
              <w:spacing w:line="300" w:lineRule="exact"/>
              <w:jc w:val="center"/>
              <w:rPr>
                <w:rFonts w:ascii="Times New Roman" w:hAnsi="Times New Roman"/>
                <w:szCs w:val="21"/>
              </w:rPr>
            </w:pPr>
            <w:r>
              <w:rPr>
                <w:rFonts w:ascii="Times New Roman" w:hAnsi="Times New Roman" w:hint="eastAsia"/>
                <w:szCs w:val="21"/>
              </w:rPr>
              <w:t>室内辐射系统</w:t>
            </w:r>
          </w:p>
        </w:tc>
        <w:tc>
          <w:tcPr>
            <w:tcW w:w="3225" w:type="dxa"/>
            <w:vAlign w:val="center"/>
          </w:tcPr>
          <w:p>
            <w:pPr>
              <w:pStyle w:val="ListParagraph"/>
              <w:numPr>
                <w:ilvl w:val="0"/>
                <w:numId w:val="4"/>
              </w:numPr>
              <w:spacing w:line="300" w:lineRule="exact"/>
              <w:ind w:firstLineChars="0"/>
              <w:jc w:val="left"/>
              <w:rPr>
                <w:rFonts w:ascii="Times New Roman" w:hAnsi="Times New Roman"/>
                <w:szCs w:val="21"/>
              </w:rPr>
            </w:pPr>
            <w:r>
              <w:rPr>
                <w:rFonts w:ascii="Times New Roman" w:hAnsi="Times New Roman" w:hint="eastAsia"/>
                <w:szCs w:val="21"/>
              </w:rPr>
              <w:t>辐射功率（50～1100）W·m</w:t>
            </w:r>
            <w:r>
              <w:rPr>
                <w:rFonts w:ascii="Times New Roman" w:hAnsi="Times New Roman" w:hint="eastAsia"/>
                <w:szCs w:val="21"/>
                <w:vertAlign w:val="superscript"/>
              </w:rPr>
              <w:t>-2</w:t>
            </w:r>
            <w:r>
              <w:rPr>
                <w:rFonts w:ascii="Times New Roman" w:hAnsi="Times New Roman" w:hint="eastAsia"/>
                <w:szCs w:val="21"/>
              </w:rPr>
              <w:t>；</w:t>
            </w:r>
          </w:p>
          <w:p>
            <w:pPr>
              <w:pStyle w:val="ListParagraph"/>
              <w:numPr>
                <w:ilvl w:val="0"/>
                <w:numId w:val="4"/>
              </w:numPr>
              <w:spacing w:line="300" w:lineRule="exact"/>
              <w:ind w:firstLineChars="0"/>
              <w:jc w:val="left"/>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有效面积直径：≥150 mm；</w:t>
            </w:r>
          </w:p>
          <w:p>
            <w:pPr>
              <w:pStyle w:val="ListParagraph"/>
              <w:numPr>
                <w:ilvl w:val="0"/>
                <w:numId w:val="4"/>
              </w:numPr>
              <w:spacing w:line="300" w:lineRule="exact"/>
              <w:ind w:firstLineChars="0"/>
              <w:jc w:val="left"/>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辐照不均匀度：≤±1%（Φ60mm）；≤±3%（φ150mm）；</w:t>
            </w:r>
          </w:p>
          <w:p>
            <w:pPr>
              <w:pStyle w:val="ListParagraph"/>
              <w:numPr>
                <w:ilvl w:val="0"/>
                <w:numId w:val="4"/>
              </w:numPr>
              <w:spacing w:line="300" w:lineRule="exact"/>
              <w:ind w:firstLineChars="0"/>
              <w:jc w:val="left"/>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辐照稳定性：±1%；</w:t>
            </w:r>
          </w:p>
          <w:p>
            <w:pPr>
              <w:pStyle w:val="ListParagraph"/>
              <w:numPr>
                <w:ilvl w:val="0"/>
                <w:numId w:val="4"/>
              </w:numPr>
              <w:spacing w:line="300" w:lineRule="exact"/>
              <w:ind w:firstLineChars="0"/>
              <w:jc w:val="left"/>
              <w:rPr>
                <w:rFonts w:ascii="Times New Roman" w:hAnsi="Times New Roman"/>
                <w:szCs w:val="21"/>
              </w:rPr>
            </w:pPr>
            <w:r>
              <w:rPr>
                <w:rFonts w:ascii="Times New Roman" w:hAnsi="Times New Roman" w:hint="eastAsia"/>
                <w:szCs w:val="21"/>
              </w:rPr>
              <w:t>光束准直角误差：优于±2º；</w:t>
            </w:r>
          </w:p>
          <w:p>
            <w:pPr>
              <w:pStyle w:val="ListParagraph"/>
              <w:numPr>
                <w:ilvl w:val="0"/>
                <w:numId w:val="4"/>
              </w:numPr>
              <w:spacing w:line="300" w:lineRule="exact"/>
              <w:ind w:firstLineChars="0"/>
              <w:jc w:val="left"/>
              <w:rPr>
                <w:rFonts w:ascii="Times New Roman" w:hAnsi="Times New Roman"/>
                <w:szCs w:val="21"/>
              </w:rPr>
            </w:pPr>
            <w:r>
              <w:rPr>
                <w:rFonts w:ascii="Times New Roman" w:hAnsi="Times New Roman" w:hint="eastAsia"/>
                <w:szCs w:val="21"/>
              </w:rPr>
              <w:t>具备模拟辐射表和数字辐射表采集、处理和校准能力，能够兼容采购方指定的型号。</w:t>
            </w:r>
          </w:p>
        </w:tc>
        <w:tc>
          <w:tcPr>
            <w:tcW w:w="625" w:type="dxa"/>
            <w:noWrap/>
            <w:vAlign w:val="center"/>
          </w:tcPr>
          <w:p>
            <w:pPr>
              <w:spacing w:line="300" w:lineRule="exact"/>
              <w:jc w:val="center"/>
              <w:rPr>
                <w:rFonts w:ascii="Times New Roman" w:hAnsi="Times New Roman"/>
                <w:szCs w:val="21"/>
              </w:rPr>
            </w:pPr>
            <w:r>
              <w:rPr>
                <w:rFonts w:ascii="Times New Roman" w:hAnsi="Times New Roman" w:hint="eastAsia"/>
                <w:szCs w:val="21"/>
              </w:rPr>
              <w:t>套</w:t>
            </w:r>
          </w:p>
        </w:tc>
        <w:tc>
          <w:tcPr>
            <w:tcW w:w="795" w:type="dxa"/>
            <w:noWrap/>
            <w:vAlign w:val="center"/>
          </w:tcPr>
          <w:p>
            <w:pPr>
              <w:spacing w:line="300" w:lineRule="exact"/>
              <w:jc w:val="center"/>
              <w:rPr>
                <w:rFonts w:ascii="Times New Roman" w:hAnsi="Times New Roman"/>
                <w:szCs w:val="21"/>
              </w:rPr>
            </w:pPr>
            <w:r>
              <w:rPr>
                <w:rFonts w:ascii="Times New Roman" w:hAnsi="Times New Roman" w:hint="eastAsia"/>
                <w:szCs w:val="21"/>
              </w:rPr>
              <w:t>1</w:t>
            </w:r>
          </w:p>
        </w:tc>
      </w:tr>
      <w:tr>
        <w:tblPrEx>
          <w:tblW w:w="6727" w:type="dxa"/>
          <w:jc w:val="center"/>
          <w:tblLayout w:type="fixed"/>
          <w:tblCellMar>
            <w:top w:w="0" w:type="dxa"/>
            <w:left w:w="108" w:type="dxa"/>
            <w:bottom w:w="0" w:type="dxa"/>
            <w:right w:w="108" w:type="dxa"/>
          </w:tblCellMar>
        </w:tblPrEx>
        <w:trPr>
          <w:trHeight w:val="300"/>
          <w:jc w:val="center"/>
        </w:trPr>
        <w:tc>
          <w:tcPr>
            <w:tcW w:w="741" w:type="dxa"/>
            <w:noWrap/>
            <w:vAlign w:val="center"/>
          </w:tcPr>
          <w:p>
            <w:pPr>
              <w:spacing w:line="300" w:lineRule="exact"/>
              <w:jc w:val="center"/>
              <w:rPr>
                <w:rFonts w:ascii="Times New Roman" w:hAnsi="Times New Roman"/>
                <w:szCs w:val="21"/>
              </w:rPr>
            </w:pPr>
            <w:r>
              <w:rPr>
                <w:rFonts w:ascii="Times New Roman" w:hAnsi="Times New Roman" w:hint="eastAsia"/>
                <w:szCs w:val="21"/>
              </w:rPr>
              <w:t>2</w:t>
            </w:r>
          </w:p>
        </w:tc>
        <w:tc>
          <w:tcPr>
            <w:tcW w:w="1341" w:type="dxa"/>
            <w:noWrap/>
            <w:vAlign w:val="center"/>
          </w:tcPr>
          <w:p>
            <w:pPr>
              <w:spacing w:line="300" w:lineRule="exact"/>
              <w:jc w:val="center"/>
              <w:rPr>
                <w:rFonts w:ascii="Times New Roman" w:hAnsi="Times New Roman"/>
                <w:szCs w:val="21"/>
              </w:rPr>
            </w:pPr>
            <w:r>
              <w:rPr>
                <w:rFonts w:ascii="Times New Roman" w:hAnsi="Times New Roman" w:hint="eastAsia"/>
                <w:szCs w:val="21"/>
              </w:rPr>
              <w:t>标准直接辐射表（室外校准系统）</w:t>
            </w:r>
          </w:p>
        </w:tc>
        <w:tc>
          <w:tcPr>
            <w:tcW w:w="3225" w:type="dxa"/>
            <w:vAlign w:val="center"/>
          </w:tcPr>
          <w:p>
            <w:pPr>
              <w:spacing w:line="300" w:lineRule="exact"/>
              <w:jc w:val="left"/>
              <w:rPr>
                <w:rFonts w:ascii="Times New Roman" w:hAnsi="Times New Roman"/>
                <w:b/>
                <w:szCs w:val="21"/>
              </w:rPr>
            </w:pPr>
            <w:r>
              <w:rPr>
                <w:rFonts w:ascii="Times New Roman" w:hAnsi="Times New Roman" w:hint="eastAsia"/>
                <w:b/>
                <w:szCs w:val="21"/>
              </w:rPr>
              <w:t>标准直接辐射表：</w:t>
            </w:r>
          </w:p>
          <w:p>
            <w:pPr>
              <w:pStyle w:val="ListParagraph"/>
              <w:numPr>
                <w:ilvl w:val="0"/>
                <w:numId w:val="5"/>
              </w:numPr>
              <w:spacing w:line="300" w:lineRule="exact"/>
              <w:ind w:firstLineChars="0"/>
              <w:jc w:val="left"/>
              <w:rPr>
                <w:rFonts w:ascii="Times New Roman" w:hAnsi="Times New Roman"/>
                <w:szCs w:val="21"/>
              </w:rPr>
            </w:pPr>
            <w:r>
              <w:rPr>
                <w:rFonts w:ascii="Times New Roman" w:hAnsi="Times New Roman" w:hint="eastAsia"/>
                <w:szCs w:val="21"/>
              </w:rPr>
              <w:t>测量范围：0～1400W/㎡；</w:t>
            </w:r>
          </w:p>
          <w:p>
            <w:pPr>
              <w:pStyle w:val="ListParagraph"/>
              <w:numPr>
                <w:ilvl w:val="0"/>
                <w:numId w:val="5"/>
              </w:numPr>
              <w:spacing w:line="300" w:lineRule="exact"/>
              <w:ind w:firstLineChars="0"/>
              <w:jc w:val="left"/>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准确度等级2%；</w:t>
            </w:r>
          </w:p>
          <w:p>
            <w:pPr>
              <w:pStyle w:val="ListParagraph"/>
              <w:numPr>
                <w:ilvl w:val="0"/>
                <w:numId w:val="5"/>
              </w:numPr>
              <w:spacing w:line="300" w:lineRule="exact"/>
              <w:ind w:firstLineChars="0"/>
              <w:jc w:val="left"/>
              <w:rPr>
                <w:rFonts w:ascii="Times New Roman" w:hAnsi="Times New Roman"/>
                <w:szCs w:val="21"/>
              </w:rPr>
            </w:pPr>
            <w:r>
              <w:rPr>
                <w:rFonts w:ascii="Times New Roman" w:hAnsi="Times New Roman"/>
                <w:szCs w:val="21"/>
              </w:rPr>
              <w:t>3</w:t>
            </w:r>
            <w:r>
              <w:rPr>
                <w:rFonts w:ascii="Times New Roman" w:hAnsi="Times New Roman" w:hint="eastAsia"/>
                <w:szCs w:val="21"/>
              </w:rPr>
              <w:t>台。</w:t>
            </w:r>
          </w:p>
          <w:p>
            <w:pPr>
              <w:spacing w:line="300" w:lineRule="exact"/>
              <w:jc w:val="left"/>
              <w:rPr>
                <w:rFonts w:ascii="Times New Roman" w:hAnsi="Times New Roman"/>
                <w:b/>
                <w:szCs w:val="21"/>
              </w:rPr>
            </w:pPr>
            <w:r>
              <w:rPr>
                <w:rFonts w:ascii="Times New Roman" w:hAnsi="Times New Roman" w:hint="eastAsia"/>
                <w:b/>
                <w:szCs w:val="21"/>
              </w:rPr>
              <w:t>自动太阳跟踪器：</w:t>
            </w:r>
          </w:p>
          <w:p>
            <w:pPr>
              <w:spacing w:line="300" w:lineRule="exact"/>
              <w:jc w:val="left"/>
              <w:rPr>
                <w:rFonts w:ascii="Times New Roman" w:hAnsi="Times New Roman"/>
                <w:szCs w:val="21"/>
              </w:rPr>
            </w:pPr>
            <w:r>
              <w:rPr>
                <w:rFonts w:ascii="Times New Roman" w:hAnsi="Times New Roman" w:hint="eastAsia"/>
                <w:szCs w:val="21"/>
              </w:rPr>
              <w:t>1、</w:t>
            </w:r>
            <w:r>
              <w:rPr>
                <w:rFonts w:ascii="Times New Roman" w:hAnsi="Times New Roman"/>
                <w:szCs w:val="21"/>
              </w:rPr>
              <w:t>3</w:t>
            </w:r>
            <w:r>
              <w:rPr>
                <w:rFonts w:ascii="Times New Roman" w:hAnsi="Times New Roman" w:hint="eastAsia"/>
                <w:szCs w:val="21"/>
              </w:rPr>
              <w:t>台；</w:t>
            </w:r>
          </w:p>
          <w:p>
            <w:pPr>
              <w:spacing w:line="300" w:lineRule="exact"/>
              <w:jc w:val="left"/>
              <w:rPr>
                <w:rFonts w:ascii="Times New Roman" w:hAnsi="Times New Roman"/>
                <w:szCs w:val="21"/>
              </w:rPr>
            </w:pPr>
            <w:r>
              <w:rPr>
                <w:rFonts w:ascii="Times New Roman" w:hAnsi="Times New Roman" w:hint="eastAsia"/>
                <w:szCs w:val="21"/>
              </w:rPr>
              <w:t>2、可用于长期户外观测，稳定、可靠，保证测量直接辐射，单台应满足下列技术指标：（1）跟踪精度：＜0.2°；（2）载荷：20kg，挂接多型号直接辐射表不少于4台；（3）电压：220VAC/50Hz；（4）</w:t>
            </w:r>
            <w:r>
              <w:rPr>
                <w:rFonts w:ascii="仿宋_GB2312" w:eastAsia="仿宋_GB2312" w:hAnsi="仿宋_GB2312" w:cs="仿宋_GB2312" w:hint="eastAsia"/>
                <w:b/>
                <w:color w:val="FF0000"/>
                <w:kern w:val="0"/>
                <w:sz w:val="24"/>
                <w:szCs w:val="24"/>
              </w:rPr>
              <w:t>#</w:t>
            </w:r>
            <w:r>
              <w:rPr>
                <w:rFonts w:ascii="Times New Roman" w:hAnsi="Times New Roman" w:hint="eastAsia"/>
                <w:szCs w:val="21"/>
              </w:rPr>
              <w:t>跟踪方式：以传感器主动跟踪模式为主，程序跟踪模式为辅；（5）定位与时间校准：全自动卫星定位和授时；（6）防水要求：IP67；（7）复位要求：具有上电复位和夜间复位功能，避免线缆缠绕；（9）标识要求：具有正常/不正常工作指示灯，初始位置指示标记（正北或正东）；（10）瞄准调节机构：使用横、纵调节机构实现光点瞄准。</w:t>
            </w:r>
          </w:p>
          <w:p>
            <w:pPr>
              <w:spacing w:line="300" w:lineRule="exact"/>
              <w:jc w:val="left"/>
              <w:rPr>
                <w:rFonts w:ascii="Times New Roman" w:hAnsi="Times New Roman"/>
                <w:b/>
                <w:szCs w:val="21"/>
              </w:rPr>
            </w:pPr>
            <w:r>
              <w:rPr>
                <w:rFonts w:ascii="Times New Roman" w:hAnsi="Times New Roman" w:hint="eastAsia"/>
                <w:b/>
                <w:szCs w:val="21"/>
              </w:rPr>
              <w:t>数据采集控制系统：</w:t>
            </w:r>
          </w:p>
          <w:p>
            <w:pPr>
              <w:spacing w:line="300" w:lineRule="exact"/>
              <w:jc w:val="left"/>
              <w:rPr>
                <w:rFonts w:ascii="Times New Roman" w:hAnsi="Times New Roman"/>
                <w:szCs w:val="21"/>
              </w:rPr>
            </w:pPr>
            <w:r>
              <w:rPr>
                <w:rFonts w:ascii="Times New Roman" w:hAnsi="Times New Roman" w:hint="eastAsia"/>
                <w:szCs w:val="21"/>
              </w:rPr>
              <w:t>1、具备模拟辐射表和数字辐射表采集、处理和校准能力，能够兼容采购方指定的型号；</w:t>
            </w:r>
          </w:p>
          <w:p>
            <w:pPr>
              <w:spacing w:line="300" w:lineRule="exact"/>
              <w:jc w:val="left"/>
              <w:rPr>
                <w:rFonts w:ascii="Times New Roman" w:hAnsi="Times New Roman"/>
                <w:szCs w:val="21"/>
              </w:rPr>
            </w:pPr>
            <w:r>
              <w:rPr>
                <w:rFonts w:ascii="Times New Roman" w:hAnsi="Times New Roman" w:hint="eastAsia"/>
                <w:szCs w:val="21"/>
              </w:rPr>
              <w:t>2、具备可视化采集控制软件，能够同时接入标准器和待检辐射仪器；能够输出测量系统时间、标准辐射值或电信号、待检辐射值或电信号；能够随意设置通道号、可群发/单发设置参数，具有设置成功标识；便于通道数据查询、便于设置测量时间、便于测量系统、待检辐射仪器与标准辐射仪器统一对时；能够自动处理数据质控和数据处理，计算校准系数、标准差或灵敏度，计算不确定度，导入导出证书；性能稳健、界面友好、操作方便、灵活性强；</w:t>
            </w:r>
          </w:p>
          <w:p>
            <w:pPr>
              <w:spacing w:line="300" w:lineRule="exact"/>
              <w:jc w:val="left"/>
              <w:rPr>
                <w:rFonts w:ascii="Times New Roman" w:hAnsi="Times New Roman"/>
                <w:szCs w:val="21"/>
              </w:rPr>
            </w:pPr>
            <w:r>
              <w:rPr>
                <w:rFonts w:ascii="Times New Roman" w:hAnsi="Times New Roman" w:hint="eastAsia"/>
                <w:szCs w:val="21"/>
              </w:rPr>
              <w:t>3、系统标识清楚，维护维修方便，操作简便明晰；</w:t>
            </w:r>
          </w:p>
          <w:p>
            <w:pPr>
              <w:spacing w:line="300" w:lineRule="exact"/>
              <w:jc w:val="left"/>
              <w:rPr>
                <w:rFonts w:ascii="Times New Roman" w:hAnsi="Times New Roman"/>
                <w:szCs w:val="21"/>
              </w:rPr>
            </w:pPr>
            <w:r>
              <w:rPr>
                <w:rFonts w:ascii="Times New Roman" w:hAnsi="Times New Roman" w:hint="eastAsia"/>
                <w:szCs w:val="21"/>
              </w:rPr>
              <w:t>4、</w:t>
            </w:r>
            <w:r>
              <w:rPr>
                <w:rFonts w:ascii="仿宋_GB2312" w:eastAsia="仿宋_GB2312" w:hAnsi="仿宋_GB2312" w:cs="仿宋_GB2312" w:hint="eastAsia"/>
                <w:b/>
                <w:color w:val="FF0000"/>
                <w:kern w:val="0"/>
                <w:sz w:val="24"/>
                <w:szCs w:val="24"/>
              </w:rPr>
              <w:t>#</w:t>
            </w:r>
            <w:r>
              <w:rPr>
                <w:rFonts w:ascii="Times New Roman" w:hAnsi="Times New Roman" w:hint="eastAsia"/>
                <w:szCs w:val="21"/>
              </w:rPr>
              <w:t>批量校准直接辐射表不少于8台/次。</w:t>
            </w:r>
          </w:p>
        </w:tc>
        <w:tc>
          <w:tcPr>
            <w:tcW w:w="625" w:type="dxa"/>
            <w:noWrap/>
            <w:vAlign w:val="center"/>
          </w:tcPr>
          <w:p>
            <w:pPr>
              <w:spacing w:line="300" w:lineRule="exact"/>
              <w:jc w:val="center"/>
              <w:rPr>
                <w:rFonts w:ascii="Times New Roman" w:hAnsi="Times New Roman"/>
                <w:szCs w:val="21"/>
              </w:rPr>
            </w:pPr>
            <w:r>
              <w:rPr>
                <w:rFonts w:ascii="Times New Roman" w:hAnsi="Times New Roman" w:hint="eastAsia"/>
                <w:szCs w:val="21"/>
              </w:rPr>
              <w:t>套</w:t>
            </w:r>
          </w:p>
        </w:tc>
        <w:tc>
          <w:tcPr>
            <w:tcW w:w="795" w:type="dxa"/>
            <w:noWrap/>
            <w:vAlign w:val="center"/>
          </w:tcPr>
          <w:p>
            <w:pPr>
              <w:spacing w:line="300" w:lineRule="exact"/>
              <w:jc w:val="center"/>
              <w:rPr>
                <w:rFonts w:ascii="Times New Roman" w:hAnsi="Times New Roman"/>
                <w:szCs w:val="21"/>
              </w:rPr>
            </w:pPr>
            <w:r>
              <w:rPr>
                <w:rFonts w:ascii="Times New Roman" w:hAnsi="Times New Roman" w:hint="eastAsia"/>
                <w:szCs w:val="21"/>
              </w:rPr>
              <w:t>1</w:t>
            </w:r>
          </w:p>
        </w:tc>
      </w:tr>
      <w:tr>
        <w:tblPrEx>
          <w:tblW w:w="6727" w:type="dxa"/>
          <w:jc w:val="center"/>
          <w:tblLayout w:type="fixed"/>
          <w:tblCellMar>
            <w:top w:w="0" w:type="dxa"/>
            <w:left w:w="108" w:type="dxa"/>
            <w:bottom w:w="0" w:type="dxa"/>
            <w:right w:w="108" w:type="dxa"/>
          </w:tblCellMar>
        </w:tblPrEx>
        <w:trPr>
          <w:trHeight w:val="353"/>
          <w:jc w:val="center"/>
        </w:trPr>
        <w:tc>
          <w:tcPr>
            <w:tcW w:w="741" w:type="dxa"/>
            <w:noWrap/>
            <w:vAlign w:val="center"/>
          </w:tcPr>
          <w:p>
            <w:pPr>
              <w:spacing w:line="300" w:lineRule="exact"/>
              <w:jc w:val="center"/>
              <w:rPr>
                <w:rFonts w:ascii="Times New Roman" w:hAnsi="Times New Roman"/>
                <w:szCs w:val="21"/>
              </w:rPr>
            </w:pPr>
            <w:r>
              <w:rPr>
                <w:rFonts w:ascii="Times New Roman" w:hAnsi="Times New Roman" w:hint="eastAsia"/>
                <w:szCs w:val="21"/>
              </w:rPr>
              <w:t>3</w:t>
            </w:r>
          </w:p>
        </w:tc>
        <w:tc>
          <w:tcPr>
            <w:tcW w:w="1341" w:type="dxa"/>
            <w:noWrap/>
            <w:vAlign w:val="center"/>
          </w:tcPr>
          <w:p>
            <w:pPr>
              <w:spacing w:line="300" w:lineRule="exact"/>
              <w:jc w:val="center"/>
              <w:rPr>
                <w:rFonts w:ascii="Times New Roman" w:hAnsi="Times New Roman"/>
                <w:szCs w:val="21"/>
              </w:rPr>
            </w:pPr>
            <w:r>
              <w:rPr>
                <w:rFonts w:ascii="Times New Roman" w:hAnsi="Times New Roman" w:hint="eastAsia"/>
                <w:szCs w:val="21"/>
              </w:rPr>
              <w:t>传输系统</w:t>
            </w:r>
          </w:p>
        </w:tc>
        <w:tc>
          <w:tcPr>
            <w:tcW w:w="3225" w:type="dxa"/>
            <w:vAlign w:val="center"/>
          </w:tcPr>
          <w:p>
            <w:pPr>
              <w:spacing w:line="300" w:lineRule="exact"/>
              <w:jc w:val="left"/>
              <w:rPr>
                <w:rFonts w:ascii="Times New Roman" w:hAnsi="Times New Roman"/>
                <w:szCs w:val="21"/>
              </w:rPr>
            </w:pPr>
            <w:r>
              <w:rPr>
                <w:rFonts w:ascii="Times New Roman" w:hAnsi="Times New Roman" w:hint="eastAsia"/>
                <w:szCs w:val="21"/>
              </w:rPr>
              <w:t>输送托盘误差≤0.1mm</w:t>
            </w:r>
          </w:p>
        </w:tc>
        <w:tc>
          <w:tcPr>
            <w:tcW w:w="625" w:type="dxa"/>
            <w:noWrap/>
            <w:vAlign w:val="center"/>
          </w:tcPr>
          <w:p>
            <w:pPr>
              <w:spacing w:line="300" w:lineRule="exact"/>
              <w:jc w:val="center"/>
              <w:rPr>
                <w:rFonts w:ascii="Times New Roman" w:hAnsi="Times New Roman"/>
                <w:szCs w:val="21"/>
              </w:rPr>
            </w:pPr>
            <w:r>
              <w:rPr>
                <w:rFonts w:ascii="Times New Roman" w:hAnsi="Times New Roman" w:hint="eastAsia"/>
                <w:szCs w:val="21"/>
              </w:rPr>
              <w:t>套</w:t>
            </w:r>
          </w:p>
        </w:tc>
        <w:tc>
          <w:tcPr>
            <w:tcW w:w="795" w:type="dxa"/>
            <w:noWrap/>
            <w:vAlign w:val="center"/>
          </w:tcPr>
          <w:p>
            <w:pPr>
              <w:spacing w:line="300" w:lineRule="exact"/>
              <w:jc w:val="center"/>
              <w:rPr>
                <w:rFonts w:ascii="Times New Roman" w:hAnsi="Times New Roman"/>
                <w:szCs w:val="21"/>
              </w:rPr>
            </w:pPr>
            <w:r>
              <w:rPr>
                <w:rFonts w:ascii="Times New Roman" w:hAnsi="Times New Roman" w:hint="eastAsia"/>
                <w:szCs w:val="21"/>
              </w:rPr>
              <w:t>1</w:t>
            </w:r>
          </w:p>
        </w:tc>
      </w:tr>
      <w:tr>
        <w:tblPrEx>
          <w:tblW w:w="6727" w:type="dxa"/>
          <w:jc w:val="center"/>
          <w:tblLayout w:type="fixed"/>
          <w:tblCellMar>
            <w:top w:w="0" w:type="dxa"/>
            <w:left w:w="108" w:type="dxa"/>
            <w:bottom w:w="0" w:type="dxa"/>
            <w:right w:w="108" w:type="dxa"/>
          </w:tblCellMar>
        </w:tblPrEx>
        <w:trPr>
          <w:trHeight w:val="918"/>
          <w:jc w:val="center"/>
        </w:trPr>
        <w:tc>
          <w:tcPr>
            <w:tcW w:w="741" w:type="dxa"/>
            <w:noWrap/>
            <w:vAlign w:val="center"/>
          </w:tcPr>
          <w:p>
            <w:pPr>
              <w:spacing w:line="300" w:lineRule="exact"/>
              <w:jc w:val="center"/>
              <w:rPr>
                <w:rFonts w:ascii="Times New Roman" w:hAnsi="Times New Roman"/>
                <w:szCs w:val="21"/>
              </w:rPr>
            </w:pPr>
            <w:r>
              <w:rPr>
                <w:rFonts w:ascii="Times New Roman" w:hAnsi="Times New Roman" w:hint="eastAsia"/>
                <w:szCs w:val="21"/>
              </w:rPr>
              <w:t>4</w:t>
            </w:r>
          </w:p>
        </w:tc>
        <w:tc>
          <w:tcPr>
            <w:tcW w:w="1341" w:type="dxa"/>
            <w:noWrap/>
            <w:vAlign w:val="center"/>
          </w:tcPr>
          <w:p>
            <w:pPr>
              <w:spacing w:line="300" w:lineRule="exact"/>
              <w:jc w:val="center"/>
              <w:rPr>
                <w:rFonts w:ascii="Times New Roman" w:hAnsi="Times New Roman"/>
                <w:szCs w:val="21"/>
              </w:rPr>
            </w:pPr>
            <w:r>
              <w:rPr>
                <w:rFonts w:ascii="Times New Roman" w:hAnsi="Times New Roman" w:hint="eastAsia"/>
                <w:szCs w:val="21"/>
              </w:rPr>
              <w:t>托盘系统</w:t>
            </w:r>
          </w:p>
        </w:tc>
        <w:tc>
          <w:tcPr>
            <w:tcW w:w="3225" w:type="dxa"/>
            <w:vAlign w:val="center"/>
          </w:tcPr>
          <w:p>
            <w:pPr>
              <w:pStyle w:val="ListParagraph"/>
              <w:numPr>
                <w:ilvl w:val="0"/>
                <w:numId w:val="6"/>
              </w:numPr>
              <w:spacing w:line="300" w:lineRule="exact"/>
              <w:ind w:firstLineChars="0"/>
              <w:jc w:val="left"/>
              <w:rPr>
                <w:rFonts w:ascii="Times New Roman" w:hAnsi="Times New Roman"/>
                <w:szCs w:val="21"/>
              </w:rPr>
            </w:pPr>
            <w:r>
              <w:rPr>
                <w:rFonts w:ascii="Times New Roman" w:hAnsi="Times New Roman" w:hint="eastAsia"/>
                <w:szCs w:val="21"/>
              </w:rPr>
              <w:t>智能输送托盘转动角度：0～360º；</w:t>
            </w:r>
          </w:p>
          <w:p>
            <w:pPr>
              <w:pStyle w:val="ListParagraph"/>
              <w:numPr>
                <w:ilvl w:val="0"/>
                <w:numId w:val="6"/>
              </w:numPr>
              <w:spacing w:line="300" w:lineRule="exact"/>
              <w:ind w:firstLineChars="0"/>
              <w:jc w:val="left"/>
              <w:rPr>
                <w:rFonts w:ascii="Times New Roman" w:hAnsi="Times New Roman"/>
                <w:szCs w:val="21"/>
              </w:rPr>
            </w:pPr>
            <w:r>
              <w:rPr>
                <w:rFonts w:ascii="Times New Roman" w:hAnsi="Times New Roman" w:hint="eastAsia"/>
                <w:szCs w:val="21"/>
              </w:rPr>
              <w:t>智能输送托盘角度误差：≤0.1º；</w:t>
            </w:r>
          </w:p>
          <w:p>
            <w:pPr>
              <w:pStyle w:val="ListParagraph"/>
              <w:numPr>
                <w:ilvl w:val="0"/>
                <w:numId w:val="6"/>
              </w:numPr>
              <w:spacing w:line="300" w:lineRule="exact"/>
              <w:ind w:firstLineChars="0"/>
              <w:jc w:val="left"/>
              <w:rPr>
                <w:rFonts w:ascii="Times New Roman" w:hAnsi="Times New Roman"/>
                <w:szCs w:val="21"/>
              </w:rPr>
            </w:pPr>
            <w:r>
              <w:rPr>
                <w:rFonts w:ascii="Times New Roman" w:hAnsi="Times New Roman" w:hint="eastAsia"/>
                <w:szCs w:val="21"/>
              </w:rPr>
              <w:t>智能输送托盘误差≤0.1mm。</w:t>
            </w:r>
          </w:p>
        </w:tc>
        <w:tc>
          <w:tcPr>
            <w:tcW w:w="625" w:type="dxa"/>
            <w:noWrap/>
            <w:vAlign w:val="center"/>
          </w:tcPr>
          <w:p>
            <w:pPr>
              <w:spacing w:line="300" w:lineRule="exact"/>
              <w:jc w:val="center"/>
              <w:rPr>
                <w:rFonts w:ascii="Times New Roman" w:hAnsi="Times New Roman"/>
                <w:szCs w:val="21"/>
              </w:rPr>
            </w:pPr>
            <w:r>
              <w:rPr>
                <w:rFonts w:ascii="Times New Roman" w:hAnsi="Times New Roman" w:hint="eastAsia"/>
                <w:szCs w:val="21"/>
              </w:rPr>
              <w:t>套</w:t>
            </w:r>
          </w:p>
        </w:tc>
        <w:tc>
          <w:tcPr>
            <w:tcW w:w="795" w:type="dxa"/>
            <w:noWrap/>
            <w:vAlign w:val="center"/>
          </w:tcPr>
          <w:p>
            <w:pPr>
              <w:spacing w:line="300" w:lineRule="exact"/>
              <w:jc w:val="center"/>
              <w:rPr>
                <w:rFonts w:ascii="Times New Roman" w:hAnsi="Times New Roman"/>
                <w:szCs w:val="21"/>
              </w:rPr>
            </w:pPr>
            <w:r>
              <w:rPr>
                <w:rFonts w:ascii="Times New Roman" w:hAnsi="Times New Roman" w:hint="eastAsia"/>
                <w:szCs w:val="21"/>
              </w:rPr>
              <w:t>1</w:t>
            </w:r>
          </w:p>
        </w:tc>
      </w:tr>
      <w:tr>
        <w:tblPrEx>
          <w:tblW w:w="6727" w:type="dxa"/>
          <w:jc w:val="center"/>
          <w:tblLayout w:type="fixed"/>
          <w:tblCellMar>
            <w:top w:w="0" w:type="dxa"/>
            <w:left w:w="108" w:type="dxa"/>
            <w:bottom w:w="0" w:type="dxa"/>
            <w:right w:w="108" w:type="dxa"/>
          </w:tblCellMar>
        </w:tblPrEx>
        <w:trPr>
          <w:trHeight w:val="300"/>
          <w:jc w:val="center"/>
        </w:trPr>
        <w:tc>
          <w:tcPr>
            <w:tcW w:w="741" w:type="dxa"/>
            <w:noWrap/>
            <w:vAlign w:val="center"/>
          </w:tcPr>
          <w:p>
            <w:pPr>
              <w:spacing w:line="300" w:lineRule="exact"/>
              <w:jc w:val="center"/>
              <w:rPr>
                <w:rFonts w:ascii="Times New Roman" w:hAnsi="Times New Roman"/>
                <w:szCs w:val="21"/>
              </w:rPr>
            </w:pPr>
            <w:r>
              <w:rPr>
                <w:rFonts w:ascii="Times New Roman" w:hAnsi="Times New Roman" w:hint="eastAsia"/>
                <w:szCs w:val="21"/>
              </w:rPr>
              <w:t>5</w:t>
            </w:r>
          </w:p>
        </w:tc>
        <w:tc>
          <w:tcPr>
            <w:tcW w:w="1341" w:type="dxa"/>
            <w:noWrap/>
            <w:vAlign w:val="center"/>
          </w:tcPr>
          <w:p>
            <w:pPr>
              <w:spacing w:line="300" w:lineRule="exact"/>
              <w:jc w:val="center"/>
              <w:rPr>
                <w:rFonts w:ascii="Times New Roman" w:hAnsi="Times New Roman"/>
                <w:szCs w:val="21"/>
              </w:rPr>
            </w:pPr>
            <w:r>
              <w:rPr>
                <w:rFonts w:ascii="Times New Roman" w:hAnsi="Times New Roman" w:hint="eastAsia"/>
                <w:szCs w:val="21"/>
              </w:rPr>
              <w:t>控制系统</w:t>
            </w:r>
          </w:p>
        </w:tc>
        <w:tc>
          <w:tcPr>
            <w:tcW w:w="3225" w:type="dxa"/>
            <w:noWrap/>
            <w:vAlign w:val="center"/>
          </w:tcPr>
          <w:p>
            <w:pPr>
              <w:spacing w:line="300" w:lineRule="exact"/>
              <w:jc w:val="left"/>
              <w:rPr>
                <w:rFonts w:ascii="Times New Roman" w:hAnsi="Times New Roman"/>
                <w:szCs w:val="21"/>
              </w:rPr>
            </w:pPr>
            <w:r>
              <w:rPr>
                <w:rFonts w:ascii="Times New Roman" w:hAnsi="Times New Roman" w:hint="eastAsia"/>
                <w:szCs w:val="21"/>
              </w:rPr>
              <w:t>控制整套监测系统。</w:t>
            </w:r>
          </w:p>
        </w:tc>
        <w:tc>
          <w:tcPr>
            <w:tcW w:w="625" w:type="dxa"/>
            <w:noWrap/>
            <w:vAlign w:val="center"/>
          </w:tcPr>
          <w:p>
            <w:pPr>
              <w:spacing w:line="300" w:lineRule="exact"/>
              <w:jc w:val="center"/>
              <w:rPr>
                <w:rFonts w:ascii="Times New Roman" w:hAnsi="Times New Roman"/>
                <w:szCs w:val="21"/>
              </w:rPr>
            </w:pPr>
            <w:r>
              <w:rPr>
                <w:rFonts w:ascii="Times New Roman" w:hAnsi="Times New Roman" w:hint="eastAsia"/>
                <w:szCs w:val="21"/>
              </w:rPr>
              <w:t>套</w:t>
            </w:r>
          </w:p>
        </w:tc>
        <w:tc>
          <w:tcPr>
            <w:tcW w:w="795" w:type="dxa"/>
            <w:noWrap/>
            <w:vAlign w:val="center"/>
          </w:tcPr>
          <w:p>
            <w:pPr>
              <w:spacing w:line="300" w:lineRule="exact"/>
              <w:jc w:val="center"/>
              <w:rPr>
                <w:rFonts w:ascii="Times New Roman" w:hAnsi="Times New Roman"/>
                <w:szCs w:val="21"/>
              </w:rPr>
            </w:pPr>
            <w:r>
              <w:rPr>
                <w:rFonts w:ascii="Times New Roman" w:hAnsi="Times New Roman" w:hint="eastAsia"/>
                <w:szCs w:val="21"/>
              </w:rPr>
              <w:t>1</w:t>
            </w:r>
          </w:p>
        </w:tc>
      </w:tr>
      <w:tr>
        <w:tblPrEx>
          <w:tblW w:w="6727" w:type="dxa"/>
          <w:jc w:val="center"/>
          <w:tblLayout w:type="fixed"/>
          <w:tblCellMar>
            <w:top w:w="0" w:type="dxa"/>
            <w:left w:w="108" w:type="dxa"/>
            <w:bottom w:w="0" w:type="dxa"/>
            <w:right w:w="108" w:type="dxa"/>
          </w:tblCellMar>
        </w:tblPrEx>
        <w:trPr>
          <w:trHeight w:val="300"/>
          <w:jc w:val="center"/>
        </w:trPr>
        <w:tc>
          <w:tcPr>
            <w:tcW w:w="741" w:type="dxa"/>
            <w:noWrap/>
            <w:vAlign w:val="center"/>
          </w:tcPr>
          <w:p>
            <w:pPr>
              <w:spacing w:line="300" w:lineRule="exact"/>
              <w:jc w:val="center"/>
              <w:rPr>
                <w:rFonts w:ascii="Times New Roman" w:hAnsi="Times New Roman"/>
                <w:szCs w:val="21"/>
              </w:rPr>
            </w:pPr>
            <w:r>
              <w:rPr>
                <w:rFonts w:ascii="Times New Roman" w:hAnsi="Times New Roman" w:hint="eastAsia"/>
                <w:szCs w:val="21"/>
              </w:rPr>
              <w:t>6</w:t>
            </w:r>
          </w:p>
        </w:tc>
        <w:tc>
          <w:tcPr>
            <w:tcW w:w="1341" w:type="dxa"/>
            <w:noWrap/>
            <w:vAlign w:val="center"/>
          </w:tcPr>
          <w:p>
            <w:pPr>
              <w:spacing w:line="300" w:lineRule="exact"/>
              <w:jc w:val="center"/>
              <w:rPr>
                <w:rFonts w:ascii="Times New Roman" w:hAnsi="Times New Roman"/>
                <w:szCs w:val="21"/>
              </w:rPr>
            </w:pPr>
            <w:r>
              <w:rPr>
                <w:rFonts w:ascii="Times New Roman" w:hAnsi="Times New Roman" w:hint="eastAsia"/>
                <w:szCs w:val="21"/>
              </w:rPr>
              <w:t>日照室外计量系统</w:t>
            </w:r>
          </w:p>
        </w:tc>
        <w:tc>
          <w:tcPr>
            <w:tcW w:w="3225" w:type="dxa"/>
            <w:vAlign w:val="center"/>
          </w:tcPr>
          <w:p>
            <w:pPr>
              <w:spacing w:line="300" w:lineRule="exact"/>
              <w:jc w:val="left"/>
              <w:rPr>
                <w:rFonts w:ascii="Times New Roman" w:hAnsi="Times New Roman"/>
                <w:szCs w:val="21"/>
              </w:rPr>
            </w:pPr>
            <w:r>
              <w:rPr>
                <w:rFonts w:ascii="Times New Roman" w:hAnsi="Times New Roman" w:hint="eastAsia"/>
                <w:szCs w:val="21"/>
              </w:rPr>
              <w:t>实现室外至少8只日照计的计量需求。</w:t>
            </w:r>
          </w:p>
        </w:tc>
        <w:tc>
          <w:tcPr>
            <w:tcW w:w="625" w:type="dxa"/>
            <w:noWrap/>
            <w:vAlign w:val="center"/>
          </w:tcPr>
          <w:p>
            <w:pPr>
              <w:spacing w:line="300" w:lineRule="exact"/>
              <w:jc w:val="center"/>
              <w:rPr>
                <w:rFonts w:ascii="Times New Roman" w:hAnsi="Times New Roman"/>
                <w:szCs w:val="21"/>
              </w:rPr>
            </w:pPr>
            <w:r>
              <w:rPr>
                <w:rFonts w:ascii="Times New Roman" w:hAnsi="Times New Roman" w:hint="eastAsia"/>
                <w:szCs w:val="21"/>
              </w:rPr>
              <w:t>套</w:t>
            </w:r>
          </w:p>
        </w:tc>
        <w:tc>
          <w:tcPr>
            <w:tcW w:w="795" w:type="dxa"/>
            <w:noWrap/>
            <w:vAlign w:val="center"/>
          </w:tcPr>
          <w:p>
            <w:pPr>
              <w:spacing w:line="300" w:lineRule="exact"/>
              <w:jc w:val="center"/>
              <w:rPr>
                <w:rFonts w:ascii="Times New Roman" w:hAnsi="Times New Roman"/>
                <w:szCs w:val="21"/>
              </w:rPr>
            </w:pPr>
            <w:r>
              <w:rPr>
                <w:rFonts w:ascii="Times New Roman" w:hAnsi="Times New Roman" w:hint="eastAsia"/>
                <w:szCs w:val="21"/>
              </w:rPr>
              <w:t>1</w:t>
            </w:r>
          </w:p>
        </w:tc>
      </w:tr>
      <w:tr>
        <w:tblPrEx>
          <w:tblW w:w="6727" w:type="dxa"/>
          <w:jc w:val="center"/>
          <w:tblLayout w:type="fixed"/>
          <w:tblCellMar>
            <w:top w:w="0" w:type="dxa"/>
            <w:left w:w="108" w:type="dxa"/>
            <w:bottom w:w="0" w:type="dxa"/>
            <w:right w:w="108" w:type="dxa"/>
          </w:tblCellMar>
        </w:tblPrEx>
        <w:trPr>
          <w:trHeight w:val="300"/>
          <w:jc w:val="center"/>
        </w:trPr>
        <w:tc>
          <w:tcPr>
            <w:tcW w:w="741" w:type="dxa"/>
            <w:noWrap/>
            <w:vAlign w:val="center"/>
          </w:tcPr>
          <w:p>
            <w:pPr>
              <w:spacing w:line="300" w:lineRule="exact"/>
              <w:jc w:val="center"/>
              <w:rPr>
                <w:rFonts w:ascii="Times New Roman" w:hAnsi="Times New Roman"/>
                <w:szCs w:val="21"/>
              </w:rPr>
            </w:pPr>
            <w:r>
              <w:rPr>
                <w:rFonts w:ascii="Times New Roman" w:hAnsi="Times New Roman" w:hint="eastAsia"/>
                <w:szCs w:val="21"/>
              </w:rPr>
              <w:t>7</w:t>
            </w:r>
          </w:p>
        </w:tc>
        <w:tc>
          <w:tcPr>
            <w:tcW w:w="1341" w:type="dxa"/>
            <w:noWrap/>
            <w:vAlign w:val="center"/>
          </w:tcPr>
          <w:p>
            <w:pPr>
              <w:spacing w:line="300" w:lineRule="exact"/>
              <w:jc w:val="center"/>
              <w:rPr>
                <w:rFonts w:ascii="Times New Roman" w:hAnsi="Times New Roman"/>
                <w:szCs w:val="21"/>
              </w:rPr>
            </w:pPr>
            <w:r>
              <w:rPr>
                <w:rFonts w:ascii="Times New Roman" w:hAnsi="Times New Roman" w:hint="eastAsia"/>
                <w:szCs w:val="21"/>
              </w:rPr>
              <w:t>标准总辐射表（室外校准系统）</w:t>
            </w:r>
          </w:p>
        </w:tc>
        <w:tc>
          <w:tcPr>
            <w:tcW w:w="3225" w:type="dxa"/>
            <w:vAlign w:val="center"/>
          </w:tcPr>
          <w:p>
            <w:pPr>
              <w:pStyle w:val="ListParagraph"/>
              <w:numPr>
                <w:ilvl w:val="0"/>
                <w:numId w:val="7"/>
              </w:numPr>
              <w:spacing w:line="300" w:lineRule="exact"/>
              <w:ind w:firstLineChars="0"/>
              <w:jc w:val="left"/>
              <w:rPr>
                <w:rFonts w:ascii="Times New Roman" w:hAnsi="Times New Roman"/>
                <w:szCs w:val="21"/>
              </w:rPr>
            </w:pPr>
            <w:r>
              <w:rPr>
                <w:rFonts w:ascii="Times New Roman" w:hAnsi="Times New Roman" w:hint="eastAsia"/>
                <w:szCs w:val="21"/>
              </w:rPr>
              <w:t>测量范围：0～1600W/㎡；</w:t>
            </w:r>
          </w:p>
          <w:p>
            <w:pPr>
              <w:pStyle w:val="ListParagraph"/>
              <w:numPr>
                <w:ilvl w:val="0"/>
                <w:numId w:val="7"/>
              </w:numPr>
              <w:spacing w:line="300" w:lineRule="exact"/>
              <w:ind w:firstLineChars="0"/>
              <w:jc w:val="left"/>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准确度等级：2%；</w:t>
            </w:r>
          </w:p>
          <w:p>
            <w:pPr>
              <w:pStyle w:val="ListParagraph"/>
              <w:numPr>
                <w:ilvl w:val="0"/>
                <w:numId w:val="7"/>
              </w:numPr>
              <w:spacing w:line="300" w:lineRule="exact"/>
              <w:ind w:firstLineChars="0"/>
              <w:jc w:val="left"/>
              <w:rPr>
                <w:rFonts w:ascii="Times New Roman" w:hAnsi="Times New Roman"/>
                <w:szCs w:val="21"/>
              </w:rPr>
            </w:pPr>
            <w:r>
              <w:rPr>
                <w:rFonts w:ascii="Times New Roman" w:hAnsi="Times New Roman" w:hint="eastAsia"/>
                <w:szCs w:val="21"/>
              </w:rPr>
              <w:t>3台标准总辐射表；</w:t>
            </w:r>
          </w:p>
          <w:p>
            <w:pPr>
              <w:pStyle w:val="ListParagraph"/>
              <w:numPr>
                <w:ilvl w:val="0"/>
                <w:numId w:val="7"/>
              </w:numPr>
              <w:spacing w:line="300" w:lineRule="exact"/>
              <w:ind w:firstLineChars="0"/>
              <w:jc w:val="left"/>
              <w:rPr>
                <w:rFonts w:ascii="Times New Roman" w:hAnsi="Times New Roman"/>
                <w:szCs w:val="21"/>
              </w:rPr>
            </w:pPr>
            <w:r>
              <w:rPr>
                <w:rFonts w:ascii="Times New Roman" w:hAnsi="Times New Roman" w:hint="eastAsia"/>
                <w:szCs w:val="21"/>
              </w:rPr>
              <w:t>具备模拟辐射表和数字辐射表采集、处理和校准能力，能够兼容采购方指定的型号；</w:t>
            </w:r>
          </w:p>
          <w:p>
            <w:pPr>
              <w:pStyle w:val="ListParagraph"/>
              <w:numPr>
                <w:ilvl w:val="0"/>
                <w:numId w:val="7"/>
              </w:numPr>
              <w:spacing w:line="300" w:lineRule="exact"/>
              <w:ind w:firstLineChars="0"/>
              <w:jc w:val="left"/>
              <w:rPr>
                <w:rFonts w:ascii="Times New Roman" w:hAnsi="Times New Roman"/>
                <w:szCs w:val="21"/>
              </w:rPr>
            </w:pPr>
            <w:r>
              <w:rPr>
                <w:rFonts w:ascii="Times New Roman" w:hAnsi="Times New Roman" w:hint="eastAsia"/>
                <w:szCs w:val="21"/>
              </w:rPr>
              <w:t>具备可视化采集控制软件，能够同时接入标准器和待检辐射仪器；能够输出测量系统时间、标准辐射值或电信号、待检辐射值或电信号；能够随意设置通道号、可群发/单发设置参数，具有设置成功标识；便于通道数据查询、便于设置测量时间、便于测量系统、待检辐射仪器与标准辐射仪器统一对时；能够自动处理数据质控和数据处理，计算校准系数、标准差或灵敏度，计算不确定度，导入导出证书；性能稳健、界面友好、操作方便、灵活性强；</w:t>
            </w:r>
          </w:p>
          <w:p>
            <w:pPr>
              <w:pStyle w:val="ListParagraph"/>
              <w:numPr>
                <w:ilvl w:val="0"/>
                <w:numId w:val="7"/>
              </w:numPr>
              <w:spacing w:line="300" w:lineRule="exact"/>
              <w:ind w:firstLineChars="0"/>
              <w:jc w:val="left"/>
              <w:rPr>
                <w:rFonts w:ascii="Times New Roman" w:hAnsi="Times New Roman"/>
                <w:szCs w:val="21"/>
              </w:rPr>
            </w:pPr>
            <w:r>
              <w:rPr>
                <w:rFonts w:ascii="Times New Roman" w:hAnsi="Times New Roman" w:hint="eastAsia"/>
                <w:szCs w:val="21"/>
              </w:rPr>
              <w:t>系统标识清楚，维护维修方便，操作简便明晰；</w:t>
            </w:r>
          </w:p>
          <w:p>
            <w:pPr>
              <w:pStyle w:val="ListParagraph"/>
              <w:numPr>
                <w:ilvl w:val="0"/>
                <w:numId w:val="7"/>
              </w:numPr>
              <w:spacing w:line="300" w:lineRule="exact"/>
              <w:ind w:firstLineChars="0"/>
              <w:jc w:val="left"/>
              <w:rPr>
                <w:rFonts w:ascii="Times New Roman" w:hAnsi="Times New Roman"/>
                <w:szCs w:val="21"/>
              </w:rPr>
            </w:pPr>
            <w:r>
              <w:rPr>
                <w:rFonts w:ascii="Times New Roman" w:hAnsi="Times New Roman" w:hint="eastAsia"/>
                <w:szCs w:val="21"/>
              </w:rPr>
              <w:t>批量校准总辐射表不少于</w:t>
            </w:r>
            <w:r>
              <w:rPr>
                <w:rFonts w:ascii="Times New Roman" w:hAnsi="Times New Roman"/>
                <w:szCs w:val="21"/>
              </w:rPr>
              <w:t>16</w:t>
            </w:r>
            <w:r>
              <w:rPr>
                <w:rFonts w:ascii="Times New Roman" w:hAnsi="Times New Roman" w:hint="eastAsia"/>
                <w:szCs w:val="21"/>
              </w:rPr>
              <w:t>台/次。</w:t>
            </w:r>
          </w:p>
        </w:tc>
        <w:tc>
          <w:tcPr>
            <w:tcW w:w="625" w:type="dxa"/>
            <w:noWrap/>
            <w:vAlign w:val="center"/>
          </w:tcPr>
          <w:p>
            <w:pPr>
              <w:spacing w:line="300" w:lineRule="exact"/>
              <w:jc w:val="center"/>
              <w:rPr>
                <w:rFonts w:ascii="Times New Roman" w:hAnsi="Times New Roman"/>
                <w:szCs w:val="21"/>
              </w:rPr>
            </w:pPr>
            <w:r>
              <w:rPr>
                <w:rFonts w:ascii="Times New Roman" w:hAnsi="Times New Roman" w:hint="eastAsia"/>
                <w:szCs w:val="21"/>
              </w:rPr>
              <w:t>套</w:t>
            </w:r>
          </w:p>
        </w:tc>
        <w:tc>
          <w:tcPr>
            <w:tcW w:w="795" w:type="dxa"/>
            <w:noWrap/>
            <w:vAlign w:val="center"/>
          </w:tcPr>
          <w:p>
            <w:pPr>
              <w:spacing w:line="300" w:lineRule="exact"/>
              <w:jc w:val="center"/>
              <w:rPr>
                <w:rFonts w:ascii="Times New Roman" w:hAnsi="Times New Roman"/>
                <w:szCs w:val="21"/>
              </w:rPr>
            </w:pPr>
            <w:r>
              <w:rPr>
                <w:rFonts w:ascii="Times New Roman" w:hAnsi="Times New Roman" w:hint="eastAsia"/>
                <w:szCs w:val="21"/>
              </w:rPr>
              <w:t>1</w:t>
            </w:r>
          </w:p>
        </w:tc>
      </w:tr>
    </w:tbl>
    <w:p>
      <w:pPr>
        <w:spacing w:line="360" w:lineRule="auto"/>
        <w:ind w:firstLine="420" w:firstLineChars="200"/>
        <w:rPr>
          <w:rFonts w:ascii="宋体" w:hAnsi="宋体" w:hint="eastAsia"/>
          <w:szCs w:val="21"/>
        </w:rPr>
      </w:pPr>
    </w:p>
    <w:p>
      <w:pPr>
        <w:pStyle w:val="Default"/>
        <w:spacing w:line="560" w:lineRule="exact"/>
        <w:jc w:val="left"/>
        <w:outlineLvl w:val="3"/>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（3）风向自动计量系统</w:t>
      </w:r>
    </w:p>
    <w:p>
      <w:pPr>
        <w:spacing w:line="360" w:lineRule="auto"/>
        <w:ind w:firstLine="420" w:firstLineChars="200"/>
        <w:jc w:val="left"/>
        <w:rPr>
          <w:rFonts w:ascii="Times New Roman" w:hAnsi="Times New Roman"/>
          <w:szCs w:val="21"/>
        </w:rPr>
      </w:pPr>
      <w:r>
        <w:rPr>
          <w:rFonts w:ascii="Times New Roman" w:hAnsi="Times New Roman" w:hint="eastAsia"/>
          <w:szCs w:val="21"/>
        </w:rPr>
        <w:t>风向自动计量系统设备指标见表3。</w:t>
      </w:r>
    </w:p>
    <w:p>
      <w:pPr>
        <w:pStyle w:val="Default"/>
        <w:spacing w:line="560" w:lineRule="exact"/>
        <w:jc w:val="center"/>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表3 风向自动计量系统技术性能要求</w:t>
      </w:r>
    </w:p>
    <w:tbl>
      <w:tblPr>
        <w:tblStyle w:val="TableNormal"/>
        <w:tblW w:w="6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34"/>
        <w:gridCol w:w="1482"/>
        <w:gridCol w:w="3203"/>
        <w:gridCol w:w="750"/>
        <w:gridCol w:w="754"/>
      </w:tblGrid>
      <w:tr>
        <w:tblPrEx>
          <w:tblW w:w="6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04"/>
          <w:jc w:val="center"/>
        </w:trPr>
        <w:tc>
          <w:tcPr>
            <w:tcW w:w="73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序号</w:t>
            </w:r>
          </w:p>
        </w:tc>
        <w:tc>
          <w:tcPr>
            <w:tcW w:w="1482"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设备名称</w:t>
            </w:r>
          </w:p>
        </w:tc>
        <w:tc>
          <w:tcPr>
            <w:tcW w:w="3203"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主要技术指标</w:t>
            </w:r>
          </w:p>
        </w:tc>
        <w:tc>
          <w:tcPr>
            <w:tcW w:w="750"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单位</w:t>
            </w:r>
          </w:p>
        </w:tc>
        <w:tc>
          <w:tcPr>
            <w:tcW w:w="75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数量</w:t>
            </w:r>
          </w:p>
        </w:tc>
      </w:tr>
      <w:tr>
        <w:tblPrEx>
          <w:tblW w:w="6923" w:type="dxa"/>
          <w:jc w:val="center"/>
          <w:tblLayout w:type="fixed"/>
          <w:tblCellMar>
            <w:top w:w="0" w:type="dxa"/>
            <w:left w:w="108" w:type="dxa"/>
            <w:bottom w:w="0" w:type="dxa"/>
            <w:right w:w="108" w:type="dxa"/>
          </w:tblCellMar>
        </w:tblPrEx>
        <w:trPr>
          <w:trHeight w:val="1945"/>
          <w:jc w:val="center"/>
        </w:trPr>
        <w:tc>
          <w:tcPr>
            <w:tcW w:w="73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w:t>
            </w:r>
          </w:p>
        </w:tc>
        <w:tc>
          <w:tcPr>
            <w:tcW w:w="1482"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风向风洞主体（含风机，含高性能变频器含安装调试）</w:t>
            </w:r>
          </w:p>
        </w:tc>
        <w:tc>
          <w:tcPr>
            <w:tcW w:w="3203" w:type="dxa"/>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工作段直径：≥600mm；</w:t>
            </w:r>
          </w:p>
          <w:p>
            <w:pPr>
              <w:widowControl/>
              <w:spacing w:line="320" w:lineRule="exact"/>
              <w:jc w:val="center"/>
              <w:textAlignment w:val="center"/>
              <w:rPr>
                <w:rFonts w:ascii="Times New Roman" w:hAnsi="Times New Roman"/>
                <w:szCs w:val="21"/>
              </w:rPr>
            </w:pPr>
            <w:r>
              <w:rPr>
                <w:rFonts w:ascii="Times New Roman" w:hAnsi="Times New Roman" w:hint="eastAsia"/>
                <w:szCs w:val="21"/>
              </w:rPr>
              <w:t>工作段长度：≥800mm；</w:t>
            </w:r>
          </w:p>
          <w:p>
            <w:pPr>
              <w:widowControl/>
              <w:spacing w:line="320" w:lineRule="exact"/>
              <w:jc w:val="center"/>
              <w:textAlignment w:val="center"/>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风速范围：0.5m/s～20m/s；</w:t>
            </w:r>
          </w:p>
          <w:p>
            <w:pPr>
              <w:widowControl/>
              <w:spacing w:line="320" w:lineRule="exact"/>
              <w:jc w:val="center"/>
              <w:textAlignment w:val="center"/>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流速稳定性：≤0.5%；</w:t>
            </w:r>
          </w:p>
          <w:p>
            <w:pPr>
              <w:widowControl/>
              <w:spacing w:line="320" w:lineRule="exact"/>
              <w:jc w:val="center"/>
              <w:textAlignment w:val="center"/>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流速均匀性：≤1%；</w:t>
            </w:r>
          </w:p>
          <w:p>
            <w:pPr>
              <w:widowControl/>
              <w:spacing w:line="320" w:lineRule="exact"/>
              <w:jc w:val="center"/>
              <w:textAlignment w:val="center"/>
              <w:rPr>
                <w:rFonts w:ascii="Times New Roman" w:hAnsi="Times New Roman"/>
                <w:szCs w:val="21"/>
              </w:rPr>
            </w:pPr>
            <w:r>
              <w:rPr>
                <w:rFonts w:ascii="Times New Roman" w:hAnsi="Times New Roman" w:hint="eastAsia"/>
                <w:szCs w:val="21"/>
              </w:rPr>
              <w:t>气流偏角：≤1º；</w:t>
            </w:r>
          </w:p>
        </w:tc>
        <w:tc>
          <w:tcPr>
            <w:tcW w:w="750"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部</w:t>
            </w:r>
          </w:p>
        </w:tc>
        <w:tc>
          <w:tcPr>
            <w:tcW w:w="75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w:t>
            </w:r>
          </w:p>
        </w:tc>
      </w:tr>
      <w:tr>
        <w:tblPrEx>
          <w:tblW w:w="6923" w:type="dxa"/>
          <w:jc w:val="center"/>
          <w:tblLayout w:type="fixed"/>
          <w:tblCellMar>
            <w:top w:w="0" w:type="dxa"/>
            <w:left w:w="108" w:type="dxa"/>
            <w:bottom w:w="0" w:type="dxa"/>
            <w:right w:w="108" w:type="dxa"/>
          </w:tblCellMar>
        </w:tblPrEx>
        <w:trPr>
          <w:trHeight w:val="925"/>
          <w:jc w:val="center"/>
        </w:trPr>
        <w:tc>
          <w:tcPr>
            <w:tcW w:w="73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2</w:t>
            </w:r>
          </w:p>
        </w:tc>
        <w:tc>
          <w:tcPr>
            <w:tcW w:w="1482"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智能风洞控制器（含软件）</w:t>
            </w:r>
          </w:p>
        </w:tc>
        <w:tc>
          <w:tcPr>
            <w:tcW w:w="3203" w:type="dxa"/>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风速PID全自动控制及显示等，外置彩色风速显示屏</w:t>
            </w:r>
          </w:p>
        </w:tc>
        <w:tc>
          <w:tcPr>
            <w:tcW w:w="750"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套</w:t>
            </w:r>
          </w:p>
        </w:tc>
        <w:tc>
          <w:tcPr>
            <w:tcW w:w="75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w:t>
            </w:r>
          </w:p>
        </w:tc>
      </w:tr>
      <w:tr>
        <w:tblPrEx>
          <w:tblW w:w="6923" w:type="dxa"/>
          <w:jc w:val="center"/>
          <w:tblLayout w:type="fixed"/>
          <w:tblCellMar>
            <w:top w:w="0" w:type="dxa"/>
            <w:left w:w="108" w:type="dxa"/>
            <w:bottom w:w="0" w:type="dxa"/>
            <w:right w:w="108" w:type="dxa"/>
          </w:tblCellMar>
        </w:tblPrEx>
        <w:trPr>
          <w:trHeight w:val="304"/>
          <w:jc w:val="center"/>
        </w:trPr>
        <w:tc>
          <w:tcPr>
            <w:tcW w:w="73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3</w:t>
            </w:r>
          </w:p>
        </w:tc>
        <w:tc>
          <w:tcPr>
            <w:tcW w:w="1482"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数字微压计</w:t>
            </w:r>
          </w:p>
        </w:tc>
        <w:tc>
          <w:tcPr>
            <w:tcW w:w="3203"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测量范围：0～4000Pa；分辨力：0.01Pa；</w:t>
            </w:r>
            <w:r>
              <w:rPr>
                <w:rFonts w:ascii="仿宋_GB2312" w:eastAsia="仿宋_GB2312" w:hAnsi="仿宋_GB2312" w:cs="仿宋_GB2312" w:hint="eastAsia"/>
                <w:b/>
                <w:color w:val="FF0000"/>
                <w:kern w:val="0"/>
                <w:sz w:val="24"/>
                <w:szCs w:val="24"/>
              </w:rPr>
              <w:t>#</w:t>
            </w:r>
            <w:r>
              <w:rPr>
                <w:rFonts w:ascii="Times New Roman" w:hAnsi="Times New Roman" w:hint="eastAsia"/>
                <w:szCs w:val="21"/>
              </w:rPr>
              <w:t>差压测量精度：0.01%FS；差压传感器校准间隔：1年</w:t>
            </w:r>
          </w:p>
        </w:tc>
        <w:tc>
          <w:tcPr>
            <w:tcW w:w="750"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套</w:t>
            </w:r>
          </w:p>
        </w:tc>
        <w:tc>
          <w:tcPr>
            <w:tcW w:w="75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w:t>
            </w:r>
          </w:p>
        </w:tc>
      </w:tr>
      <w:tr>
        <w:tblPrEx>
          <w:tblW w:w="6923" w:type="dxa"/>
          <w:jc w:val="center"/>
          <w:tblLayout w:type="fixed"/>
          <w:tblCellMar>
            <w:top w:w="0" w:type="dxa"/>
            <w:left w:w="108" w:type="dxa"/>
            <w:bottom w:w="0" w:type="dxa"/>
            <w:right w:w="108" w:type="dxa"/>
          </w:tblCellMar>
        </w:tblPrEx>
        <w:trPr>
          <w:trHeight w:val="304"/>
          <w:jc w:val="center"/>
        </w:trPr>
        <w:tc>
          <w:tcPr>
            <w:tcW w:w="73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4</w:t>
            </w:r>
          </w:p>
        </w:tc>
        <w:tc>
          <w:tcPr>
            <w:tcW w:w="1482"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皮托管及固定工装</w:t>
            </w:r>
          </w:p>
        </w:tc>
        <w:tc>
          <w:tcPr>
            <w:tcW w:w="3203" w:type="dxa"/>
            <w:noWrap/>
            <w:vAlign w:val="center"/>
          </w:tcPr>
          <w:p>
            <w:pPr>
              <w:widowControl/>
              <w:spacing w:line="320" w:lineRule="exact"/>
              <w:jc w:val="center"/>
              <w:textAlignment w:val="center"/>
              <w:rPr>
                <w:rFonts w:ascii="Times New Roman" w:hAnsi="Times New Roman"/>
                <w:szCs w:val="21"/>
              </w:rPr>
            </w:pPr>
            <w:r>
              <w:rPr>
                <w:rFonts w:ascii="仿宋_GB2312" w:eastAsia="仿宋_GB2312" w:hAnsi="仿宋_GB2312" w:cs="仿宋_GB2312" w:hint="eastAsia"/>
                <w:b/>
                <w:color w:val="FF0000"/>
                <w:kern w:val="0"/>
                <w:sz w:val="24"/>
                <w:szCs w:val="24"/>
              </w:rPr>
              <w:t>#</w:t>
            </w:r>
            <w:r>
              <w:rPr>
                <w:rFonts w:ascii="Times New Roman" w:hAnsi="Times New Roman" w:hint="eastAsia"/>
                <w:szCs w:val="21"/>
              </w:rPr>
              <w:t>校正系数：0.997～1.003；</w:t>
            </w:r>
          </w:p>
          <w:p>
            <w:pPr>
              <w:widowControl/>
              <w:spacing w:line="320" w:lineRule="exact"/>
              <w:jc w:val="center"/>
              <w:textAlignment w:val="center"/>
              <w:rPr>
                <w:rFonts w:ascii="Times New Roman" w:hAnsi="Times New Roman"/>
                <w:szCs w:val="21"/>
              </w:rPr>
            </w:pPr>
            <w:r>
              <w:rPr>
                <w:rFonts w:ascii="Times New Roman" w:hAnsi="Times New Roman" w:hint="eastAsia"/>
                <w:szCs w:val="21"/>
              </w:rPr>
              <w:t>重复性：≤0.3%</w:t>
            </w:r>
          </w:p>
        </w:tc>
        <w:tc>
          <w:tcPr>
            <w:tcW w:w="750"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套</w:t>
            </w:r>
          </w:p>
        </w:tc>
        <w:tc>
          <w:tcPr>
            <w:tcW w:w="75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w:t>
            </w:r>
          </w:p>
        </w:tc>
      </w:tr>
      <w:tr>
        <w:tblPrEx>
          <w:tblW w:w="6923" w:type="dxa"/>
          <w:jc w:val="center"/>
          <w:tblLayout w:type="fixed"/>
          <w:tblCellMar>
            <w:top w:w="0" w:type="dxa"/>
            <w:left w:w="108" w:type="dxa"/>
            <w:bottom w:w="0" w:type="dxa"/>
            <w:right w:w="108" w:type="dxa"/>
          </w:tblCellMar>
        </w:tblPrEx>
        <w:trPr>
          <w:trHeight w:val="1774"/>
          <w:jc w:val="center"/>
        </w:trPr>
        <w:tc>
          <w:tcPr>
            <w:tcW w:w="73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5</w:t>
            </w:r>
          </w:p>
        </w:tc>
        <w:tc>
          <w:tcPr>
            <w:tcW w:w="1482"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环境温湿压变送器</w:t>
            </w:r>
          </w:p>
        </w:tc>
        <w:tc>
          <w:tcPr>
            <w:tcW w:w="3203" w:type="dxa"/>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温度量程：-30～70℃</w:t>
            </w:r>
          </w:p>
          <w:p>
            <w:pPr>
              <w:widowControl/>
              <w:spacing w:line="320" w:lineRule="exact"/>
              <w:jc w:val="center"/>
              <w:textAlignment w:val="center"/>
              <w:rPr>
                <w:rFonts w:ascii="Times New Roman" w:hAnsi="Times New Roman"/>
                <w:szCs w:val="21"/>
              </w:rPr>
            </w:pPr>
            <w:r>
              <w:rPr>
                <w:rFonts w:ascii="Times New Roman" w:hAnsi="Times New Roman" w:hint="eastAsia"/>
                <w:szCs w:val="21"/>
              </w:rPr>
              <w:t>温度精度：±0.5℃</w:t>
            </w:r>
          </w:p>
          <w:p>
            <w:pPr>
              <w:widowControl/>
              <w:spacing w:line="320" w:lineRule="exact"/>
              <w:jc w:val="center"/>
              <w:textAlignment w:val="center"/>
              <w:rPr>
                <w:rFonts w:ascii="Times New Roman" w:hAnsi="Times New Roman"/>
                <w:szCs w:val="21"/>
              </w:rPr>
            </w:pPr>
            <w:r>
              <w:rPr>
                <w:rFonts w:ascii="Times New Roman" w:hAnsi="Times New Roman" w:hint="eastAsia"/>
                <w:szCs w:val="21"/>
              </w:rPr>
              <w:t>湿度量程：0～100%RH</w:t>
            </w:r>
          </w:p>
          <w:p>
            <w:pPr>
              <w:widowControl/>
              <w:spacing w:line="320" w:lineRule="exact"/>
              <w:jc w:val="center"/>
              <w:textAlignment w:val="center"/>
              <w:rPr>
                <w:rFonts w:ascii="Times New Roman" w:hAnsi="Times New Roman"/>
                <w:szCs w:val="21"/>
              </w:rPr>
            </w:pPr>
            <w:r>
              <w:rPr>
                <w:rFonts w:ascii="Times New Roman" w:hAnsi="Times New Roman" w:hint="eastAsia"/>
                <w:szCs w:val="21"/>
              </w:rPr>
              <w:t>湿度精度：±3%RH</w:t>
            </w:r>
          </w:p>
          <w:p>
            <w:pPr>
              <w:widowControl/>
              <w:spacing w:line="320" w:lineRule="exact"/>
              <w:jc w:val="center"/>
              <w:textAlignment w:val="center"/>
              <w:rPr>
                <w:rFonts w:ascii="Times New Roman" w:hAnsi="Times New Roman"/>
                <w:szCs w:val="21"/>
              </w:rPr>
            </w:pPr>
            <w:r>
              <w:rPr>
                <w:rFonts w:ascii="Times New Roman" w:hAnsi="Times New Roman" w:hint="eastAsia"/>
                <w:szCs w:val="21"/>
              </w:rPr>
              <w:t>气压量程：500～1100hPa</w:t>
            </w:r>
          </w:p>
          <w:p>
            <w:pPr>
              <w:widowControl/>
              <w:spacing w:line="320" w:lineRule="exact"/>
              <w:jc w:val="center"/>
              <w:textAlignment w:val="center"/>
              <w:rPr>
                <w:rFonts w:ascii="Times New Roman" w:hAnsi="Times New Roman"/>
                <w:szCs w:val="21"/>
              </w:rPr>
            </w:pPr>
            <w:r>
              <w:rPr>
                <w:rFonts w:ascii="Times New Roman" w:hAnsi="Times New Roman" w:hint="eastAsia"/>
                <w:szCs w:val="21"/>
              </w:rPr>
              <w:t>气压精度：±1hPa</w:t>
            </w:r>
          </w:p>
        </w:tc>
        <w:tc>
          <w:tcPr>
            <w:tcW w:w="750"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套</w:t>
            </w:r>
          </w:p>
        </w:tc>
        <w:tc>
          <w:tcPr>
            <w:tcW w:w="75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w:t>
            </w:r>
          </w:p>
        </w:tc>
      </w:tr>
      <w:tr>
        <w:tblPrEx>
          <w:tblW w:w="6923" w:type="dxa"/>
          <w:jc w:val="center"/>
          <w:tblLayout w:type="fixed"/>
          <w:tblCellMar>
            <w:top w:w="0" w:type="dxa"/>
            <w:left w:w="108" w:type="dxa"/>
            <w:bottom w:w="0" w:type="dxa"/>
            <w:right w:w="108" w:type="dxa"/>
          </w:tblCellMar>
        </w:tblPrEx>
        <w:trPr>
          <w:trHeight w:val="1186"/>
          <w:jc w:val="center"/>
        </w:trPr>
        <w:tc>
          <w:tcPr>
            <w:tcW w:w="73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6</w:t>
            </w:r>
          </w:p>
        </w:tc>
        <w:tc>
          <w:tcPr>
            <w:tcW w:w="1482"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传感器测试工装</w:t>
            </w:r>
          </w:p>
        </w:tc>
        <w:tc>
          <w:tcPr>
            <w:tcW w:w="3203" w:type="dxa"/>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包含工装（适检传感器类型）：</w:t>
            </w:r>
          </w:p>
          <w:p>
            <w:pPr>
              <w:widowControl/>
              <w:spacing w:line="320" w:lineRule="exact"/>
              <w:jc w:val="center"/>
              <w:textAlignment w:val="center"/>
              <w:rPr>
                <w:rFonts w:ascii="Times New Roman" w:hAnsi="Times New Roman"/>
                <w:szCs w:val="21"/>
              </w:rPr>
            </w:pPr>
            <w:r>
              <w:rPr>
                <w:rFonts w:ascii="Times New Roman" w:hAnsi="Times New Roman" w:hint="eastAsia"/>
                <w:szCs w:val="21"/>
              </w:rPr>
              <w:t>1.机械风向传感器</w:t>
            </w:r>
          </w:p>
          <w:p>
            <w:pPr>
              <w:widowControl/>
              <w:spacing w:line="320" w:lineRule="exact"/>
              <w:jc w:val="center"/>
              <w:textAlignment w:val="center"/>
              <w:rPr>
                <w:rFonts w:ascii="Times New Roman" w:hAnsi="Times New Roman"/>
                <w:szCs w:val="21"/>
              </w:rPr>
            </w:pPr>
            <w:r>
              <w:rPr>
                <w:rFonts w:ascii="Times New Roman" w:hAnsi="Times New Roman" w:hint="eastAsia"/>
                <w:szCs w:val="21"/>
              </w:rPr>
              <w:t>2.超声风向传感器</w:t>
            </w:r>
          </w:p>
          <w:p>
            <w:pPr>
              <w:widowControl/>
              <w:spacing w:line="320" w:lineRule="exact"/>
              <w:jc w:val="center"/>
              <w:textAlignment w:val="center"/>
              <w:rPr>
                <w:rFonts w:ascii="Times New Roman" w:hAnsi="Times New Roman"/>
                <w:szCs w:val="21"/>
              </w:rPr>
            </w:pPr>
            <w:r>
              <w:rPr>
                <w:rFonts w:ascii="Times New Roman" w:hAnsi="Times New Roman" w:hint="eastAsia"/>
                <w:szCs w:val="21"/>
              </w:rPr>
              <w:t>3.螺旋桨风向传感器</w:t>
            </w:r>
          </w:p>
        </w:tc>
        <w:tc>
          <w:tcPr>
            <w:tcW w:w="750"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套</w:t>
            </w:r>
          </w:p>
        </w:tc>
        <w:tc>
          <w:tcPr>
            <w:tcW w:w="75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w:t>
            </w:r>
          </w:p>
        </w:tc>
      </w:tr>
      <w:tr>
        <w:tblPrEx>
          <w:tblW w:w="6923" w:type="dxa"/>
          <w:jc w:val="center"/>
          <w:tblLayout w:type="fixed"/>
          <w:tblCellMar>
            <w:top w:w="0" w:type="dxa"/>
            <w:left w:w="108" w:type="dxa"/>
            <w:bottom w:w="0" w:type="dxa"/>
            <w:right w:w="108" w:type="dxa"/>
          </w:tblCellMar>
        </w:tblPrEx>
        <w:trPr>
          <w:trHeight w:val="304"/>
          <w:jc w:val="center"/>
        </w:trPr>
        <w:tc>
          <w:tcPr>
            <w:tcW w:w="73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7</w:t>
            </w:r>
          </w:p>
        </w:tc>
        <w:tc>
          <w:tcPr>
            <w:tcW w:w="1482"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传送装置</w:t>
            </w:r>
          </w:p>
        </w:tc>
        <w:tc>
          <w:tcPr>
            <w:tcW w:w="3203"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自动传送装置，用于分向传感器的传送。</w:t>
            </w:r>
          </w:p>
        </w:tc>
        <w:tc>
          <w:tcPr>
            <w:tcW w:w="750"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套</w:t>
            </w:r>
          </w:p>
        </w:tc>
        <w:tc>
          <w:tcPr>
            <w:tcW w:w="75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w:t>
            </w:r>
          </w:p>
        </w:tc>
      </w:tr>
      <w:tr>
        <w:tblPrEx>
          <w:tblW w:w="6923" w:type="dxa"/>
          <w:jc w:val="center"/>
          <w:tblLayout w:type="fixed"/>
          <w:tblCellMar>
            <w:top w:w="0" w:type="dxa"/>
            <w:left w:w="108" w:type="dxa"/>
            <w:bottom w:w="0" w:type="dxa"/>
            <w:right w:w="108" w:type="dxa"/>
          </w:tblCellMar>
        </w:tblPrEx>
        <w:trPr>
          <w:trHeight w:val="304"/>
          <w:jc w:val="center"/>
        </w:trPr>
        <w:tc>
          <w:tcPr>
            <w:tcW w:w="73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8</w:t>
            </w:r>
          </w:p>
        </w:tc>
        <w:tc>
          <w:tcPr>
            <w:tcW w:w="1482"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风向传感器智能托盘</w:t>
            </w:r>
          </w:p>
        </w:tc>
        <w:tc>
          <w:tcPr>
            <w:tcW w:w="3203"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智能托盘，集成无线充电座</w:t>
            </w:r>
          </w:p>
        </w:tc>
        <w:tc>
          <w:tcPr>
            <w:tcW w:w="750"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套</w:t>
            </w:r>
          </w:p>
        </w:tc>
        <w:tc>
          <w:tcPr>
            <w:tcW w:w="75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w:t>
            </w:r>
          </w:p>
        </w:tc>
      </w:tr>
      <w:tr>
        <w:tblPrEx>
          <w:tblW w:w="6923" w:type="dxa"/>
          <w:jc w:val="center"/>
          <w:tblLayout w:type="fixed"/>
          <w:tblCellMar>
            <w:top w:w="0" w:type="dxa"/>
            <w:left w:w="108" w:type="dxa"/>
            <w:bottom w:w="0" w:type="dxa"/>
            <w:right w:w="108" w:type="dxa"/>
          </w:tblCellMar>
        </w:tblPrEx>
        <w:trPr>
          <w:trHeight w:val="598"/>
          <w:jc w:val="center"/>
        </w:trPr>
        <w:tc>
          <w:tcPr>
            <w:tcW w:w="73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9</w:t>
            </w:r>
          </w:p>
        </w:tc>
        <w:tc>
          <w:tcPr>
            <w:tcW w:w="1482"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风向传感器无线工装</w:t>
            </w:r>
          </w:p>
        </w:tc>
        <w:tc>
          <w:tcPr>
            <w:tcW w:w="3203" w:type="dxa"/>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支持风向传感器信号  频率、电压、格雷码、RS485数字接口</w:t>
            </w:r>
          </w:p>
          <w:p>
            <w:pPr>
              <w:widowControl/>
              <w:spacing w:line="320" w:lineRule="exact"/>
              <w:jc w:val="center"/>
              <w:textAlignment w:val="center"/>
              <w:rPr>
                <w:rFonts w:ascii="Times New Roman" w:hAnsi="Times New Roman"/>
                <w:szCs w:val="21"/>
              </w:rPr>
            </w:pPr>
            <w:r>
              <w:rPr>
                <w:rFonts w:ascii="Times New Roman" w:hAnsi="Times New Roman" w:hint="eastAsia"/>
                <w:szCs w:val="21"/>
              </w:rPr>
              <w:t>通讯接口WiFi（802.11b/g/n），USB</w:t>
            </w:r>
          </w:p>
        </w:tc>
        <w:tc>
          <w:tcPr>
            <w:tcW w:w="750"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套</w:t>
            </w:r>
          </w:p>
        </w:tc>
        <w:tc>
          <w:tcPr>
            <w:tcW w:w="75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w:t>
            </w:r>
          </w:p>
        </w:tc>
      </w:tr>
      <w:tr>
        <w:tblPrEx>
          <w:tblW w:w="6923" w:type="dxa"/>
          <w:jc w:val="center"/>
          <w:tblLayout w:type="fixed"/>
          <w:tblCellMar>
            <w:top w:w="0" w:type="dxa"/>
            <w:left w:w="108" w:type="dxa"/>
            <w:bottom w:w="0" w:type="dxa"/>
            <w:right w:w="108" w:type="dxa"/>
          </w:tblCellMar>
        </w:tblPrEx>
        <w:trPr>
          <w:trHeight w:val="304"/>
          <w:jc w:val="center"/>
        </w:trPr>
        <w:tc>
          <w:tcPr>
            <w:tcW w:w="73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10</w:t>
            </w:r>
          </w:p>
        </w:tc>
        <w:tc>
          <w:tcPr>
            <w:tcW w:w="1482"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风向传感器固定工装</w:t>
            </w:r>
          </w:p>
        </w:tc>
        <w:tc>
          <w:tcPr>
            <w:tcW w:w="3203"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被检风传感器柱室内固定工装</w:t>
            </w:r>
          </w:p>
        </w:tc>
        <w:tc>
          <w:tcPr>
            <w:tcW w:w="750"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套</w:t>
            </w:r>
          </w:p>
        </w:tc>
        <w:tc>
          <w:tcPr>
            <w:tcW w:w="75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w:t>
            </w:r>
          </w:p>
        </w:tc>
      </w:tr>
      <w:tr>
        <w:tblPrEx>
          <w:tblW w:w="6923" w:type="dxa"/>
          <w:jc w:val="center"/>
          <w:tblLayout w:type="fixed"/>
          <w:tblCellMar>
            <w:top w:w="0" w:type="dxa"/>
            <w:left w:w="108" w:type="dxa"/>
            <w:bottom w:w="0" w:type="dxa"/>
            <w:right w:w="108" w:type="dxa"/>
          </w:tblCellMar>
        </w:tblPrEx>
        <w:trPr>
          <w:trHeight w:val="304"/>
          <w:jc w:val="center"/>
        </w:trPr>
        <w:tc>
          <w:tcPr>
            <w:tcW w:w="73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11</w:t>
            </w:r>
          </w:p>
        </w:tc>
        <w:tc>
          <w:tcPr>
            <w:tcW w:w="1482"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风向标准装置</w:t>
            </w:r>
          </w:p>
        </w:tc>
        <w:tc>
          <w:tcPr>
            <w:tcW w:w="3203" w:type="dxa"/>
            <w:noWrap/>
            <w:vAlign w:val="center"/>
          </w:tcPr>
          <w:p>
            <w:pPr>
              <w:widowControl/>
              <w:spacing w:line="320" w:lineRule="exact"/>
              <w:jc w:val="center"/>
              <w:textAlignment w:val="center"/>
              <w:rPr>
                <w:rFonts w:ascii="Times New Roman" w:hAnsi="Times New Roman" w:hint="eastAsia"/>
                <w:szCs w:val="21"/>
              </w:rPr>
            </w:pPr>
            <w:r>
              <w:rPr>
                <w:rFonts w:ascii="Times New Roman" w:hAnsi="Times New Roman" w:hint="eastAsia"/>
                <w:szCs w:val="21"/>
              </w:rPr>
              <w:t>嵌入式风向传感器检定工装，适检机械风传感器、超声风传感器、螺旋桨风传感器</w:t>
            </w:r>
          </w:p>
        </w:tc>
        <w:tc>
          <w:tcPr>
            <w:tcW w:w="750"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套</w:t>
            </w:r>
          </w:p>
        </w:tc>
        <w:tc>
          <w:tcPr>
            <w:tcW w:w="75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w:t>
            </w:r>
          </w:p>
        </w:tc>
      </w:tr>
      <w:tr>
        <w:tblPrEx>
          <w:tblW w:w="6923" w:type="dxa"/>
          <w:jc w:val="center"/>
          <w:tblLayout w:type="fixed"/>
          <w:tblCellMar>
            <w:top w:w="0" w:type="dxa"/>
            <w:left w:w="108" w:type="dxa"/>
            <w:bottom w:w="0" w:type="dxa"/>
            <w:right w:w="108" w:type="dxa"/>
          </w:tblCellMar>
        </w:tblPrEx>
        <w:trPr>
          <w:trHeight w:val="1388"/>
          <w:jc w:val="center"/>
        </w:trPr>
        <w:tc>
          <w:tcPr>
            <w:tcW w:w="73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12</w:t>
            </w:r>
          </w:p>
        </w:tc>
        <w:tc>
          <w:tcPr>
            <w:tcW w:w="1482"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控制台</w:t>
            </w:r>
          </w:p>
        </w:tc>
        <w:tc>
          <w:tcPr>
            <w:tcW w:w="3203" w:type="dxa"/>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1）标准控制台，符合人体工程设计；</w:t>
            </w:r>
          </w:p>
          <w:p>
            <w:pPr>
              <w:widowControl/>
              <w:spacing w:line="320" w:lineRule="exact"/>
              <w:jc w:val="center"/>
              <w:textAlignment w:val="center"/>
              <w:rPr>
                <w:rFonts w:ascii="Times New Roman" w:hAnsi="Times New Roman"/>
                <w:szCs w:val="21"/>
              </w:rPr>
            </w:pPr>
            <w:r>
              <w:rPr>
                <w:rFonts w:ascii="Times New Roman" w:hAnsi="Times New Roman" w:hint="eastAsia"/>
                <w:szCs w:val="21"/>
              </w:rPr>
              <w:t>2）集成触控电脑，I5处理器，8GRAM，1T*2 硬盘，raid备份，23寸触控屏，集成多种通信接口和显示接口；</w:t>
            </w:r>
          </w:p>
          <w:p>
            <w:pPr>
              <w:widowControl/>
              <w:spacing w:line="320" w:lineRule="exact"/>
              <w:jc w:val="center"/>
              <w:textAlignment w:val="center"/>
              <w:rPr>
                <w:rFonts w:ascii="Times New Roman" w:hAnsi="Times New Roman"/>
                <w:szCs w:val="21"/>
              </w:rPr>
            </w:pPr>
            <w:r>
              <w:rPr>
                <w:rFonts w:ascii="Times New Roman" w:hAnsi="Times New Roman" w:hint="eastAsia"/>
                <w:szCs w:val="21"/>
              </w:rPr>
              <w:t>3）集成文件扫描功能，实现连续80页双面扫描；</w:t>
            </w:r>
          </w:p>
          <w:p>
            <w:pPr>
              <w:widowControl/>
              <w:spacing w:line="320" w:lineRule="exact"/>
              <w:jc w:val="center"/>
              <w:textAlignment w:val="center"/>
              <w:rPr>
                <w:rFonts w:ascii="Times New Roman" w:hAnsi="Times New Roman"/>
                <w:szCs w:val="21"/>
              </w:rPr>
            </w:pPr>
            <w:r>
              <w:rPr>
                <w:rFonts w:ascii="Times New Roman" w:hAnsi="Times New Roman" w:hint="eastAsia"/>
                <w:szCs w:val="21"/>
              </w:rPr>
              <w:t>4）大屏高清显示</w:t>
            </w:r>
          </w:p>
        </w:tc>
        <w:tc>
          <w:tcPr>
            <w:tcW w:w="750"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套</w:t>
            </w:r>
          </w:p>
        </w:tc>
        <w:tc>
          <w:tcPr>
            <w:tcW w:w="754" w:type="dxa"/>
            <w:noWrap/>
            <w:vAlign w:val="center"/>
          </w:tcPr>
          <w:p>
            <w:pPr>
              <w:widowControl/>
              <w:spacing w:line="320" w:lineRule="exact"/>
              <w:jc w:val="center"/>
              <w:textAlignment w:val="center"/>
              <w:rPr>
                <w:rFonts w:ascii="Times New Roman" w:hAnsi="Times New Roman"/>
                <w:szCs w:val="21"/>
              </w:rPr>
            </w:pPr>
            <w:r>
              <w:rPr>
                <w:rFonts w:ascii="Times New Roman" w:hAnsi="Times New Roman" w:hint="eastAsia"/>
                <w:szCs w:val="21"/>
              </w:rPr>
              <w:t>1</w:t>
            </w:r>
          </w:p>
        </w:tc>
      </w:tr>
    </w:tbl>
    <w:p>
      <w:pPr>
        <w:pStyle w:val="Default"/>
        <w:spacing w:line="560" w:lineRule="exact"/>
        <w:jc w:val="left"/>
        <w:outlineLvl w:val="3"/>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（4）压力示值检定装置</w:t>
      </w:r>
    </w:p>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压力示值检定装置性能指标见表4。</w:t>
      </w:r>
    </w:p>
    <w:p>
      <w:pPr>
        <w:pStyle w:val="Default"/>
        <w:spacing w:line="560" w:lineRule="exact"/>
        <w:jc w:val="center"/>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表4 压力示值检定装置技术性能要求</w:t>
      </w:r>
    </w:p>
    <w:tbl>
      <w:tblPr>
        <w:tblStyle w:val="TableNormal"/>
        <w:tblW w:w="6675" w:type="dxa"/>
        <w:jc w:val="center"/>
        <w:tblCellMar>
          <w:top w:w="0" w:type="dxa"/>
          <w:left w:w="0" w:type="dxa"/>
          <w:bottom w:w="0" w:type="dxa"/>
          <w:right w:w="0" w:type="dxa"/>
        </w:tblCellMar>
      </w:tblPr>
      <w:tblGrid>
        <w:gridCol w:w="705"/>
        <w:gridCol w:w="1236"/>
        <w:gridCol w:w="3219"/>
        <w:gridCol w:w="750"/>
        <w:gridCol w:w="765"/>
      </w:tblGrid>
      <w:tr>
        <w:tblPrEx>
          <w:tblW w:w="6675" w:type="dxa"/>
          <w:jc w:val="center"/>
          <w:tblCellMar>
            <w:top w:w="0" w:type="dxa"/>
            <w:left w:w="0" w:type="dxa"/>
            <w:bottom w:w="0" w:type="dxa"/>
            <w:right w:w="0" w:type="dxa"/>
          </w:tblCellMar>
        </w:tblPrEx>
        <w:trPr>
          <w:trHeight w:val="422"/>
          <w:jc w:val="center"/>
        </w:trPr>
        <w:tc>
          <w:tcPr>
            <w:tcW w:w="705" w:type="dxa"/>
            <w:tcBorders>
              <w:top w:val="single" w:sz="6" w:space="0" w:color="000008"/>
              <w:left w:val="single" w:sz="6" w:space="0" w:color="000008"/>
              <w:bottom w:val="single" w:sz="6" w:space="0" w:color="000008"/>
              <w:right w:val="single" w:sz="6" w:space="0" w:color="000008"/>
            </w:tcBorders>
            <w:tcMar>
              <w:left w:w="108" w:type="dxa"/>
              <w:right w:w="108" w:type="dxa"/>
            </w:tcMar>
            <w:vAlign w:val="center"/>
          </w:tcPr>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序号</w:t>
            </w:r>
          </w:p>
        </w:tc>
        <w:tc>
          <w:tcPr>
            <w:tcW w:w="1236" w:type="dxa"/>
            <w:tcBorders>
              <w:top w:val="single" w:sz="6" w:space="0" w:color="000008"/>
              <w:left w:val="single" w:sz="6" w:space="0" w:color="000008"/>
              <w:bottom w:val="single" w:sz="6" w:space="0" w:color="000008"/>
              <w:right w:val="single" w:sz="6" w:space="0" w:color="000008"/>
            </w:tcBorders>
            <w:tcMar>
              <w:left w:w="108" w:type="dxa"/>
              <w:right w:w="108" w:type="dxa"/>
            </w:tcMar>
            <w:vAlign w:val="center"/>
          </w:tcPr>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设备名称</w:t>
            </w:r>
          </w:p>
        </w:tc>
        <w:tc>
          <w:tcPr>
            <w:tcW w:w="3219" w:type="dxa"/>
            <w:tcBorders>
              <w:top w:val="single" w:sz="6" w:space="0" w:color="000008"/>
              <w:left w:val="single" w:sz="6" w:space="0" w:color="000008"/>
              <w:bottom w:val="single" w:sz="6" w:space="0" w:color="000008"/>
              <w:right w:val="single" w:sz="6" w:space="0" w:color="000008"/>
            </w:tcBorders>
            <w:tcMar>
              <w:left w:w="108" w:type="dxa"/>
              <w:right w:w="108" w:type="dxa"/>
            </w:tcMar>
            <w:vAlign w:val="center"/>
          </w:tcPr>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主要技术指标</w:t>
            </w:r>
          </w:p>
        </w:tc>
        <w:tc>
          <w:tcPr>
            <w:tcW w:w="750" w:type="dxa"/>
            <w:tcBorders>
              <w:top w:val="single" w:sz="6" w:space="0" w:color="000008"/>
              <w:left w:val="single" w:sz="6" w:space="0" w:color="000008"/>
              <w:bottom w:val="single" w:sz="6" w:space="0" w:color="000008"/>
              <w:right w:val="single" w:sz="6" w:space="0" w:color="000008"/>
            </w:tcBorders>
            <w:tcMar>
              <w:left w:w="108" w:type="dxa"/>
              <w:right w:w="108" w:type="dxa"/>
            </w:tcMar>
            <w:vAlign w:val="center"/>
          </w:tcPr>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单位</w:t>
            </w:r>
          </w:p>
        </w:tc>
        <w:tc>
          <w:tcPr>
            <w:tcW w:w="765" w:type="dxa"/>
            <w:tcBorders>
              <w:top w:val="single" w:sz="6" w:space="0" w:color="000008"/>
              <w:left w:val="single" w:sz="6" w:space="0" w:color="000008"/>
              <w:bottom w:val="single" w:sz="6" w:space="0" w:color="000008"/>
              <w:right w:val="single" w:sz="6" w:space="0" w:color="000008"/>
            </w:tcBorders>
            <w:tcMar>
              <w:left w:w="108" w:type="dxa"/>
              <w:right w:w="108" w:type="dxa"/>
            </w:tcMar>
            <w:vAlign w:val="center"/>
          </w:tcPr>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数量</w:t>
            </w:r>
          </w:p>
        </w:tc>
      </w:tr>
      <w:tr>
        <w:tblPrEx>
          <w:tblW w:w="6675" w:type="dxa"/>
          <w:jc w:val="center"/>
          <w:tblCellMar>
            <w:top w:w="0" w:type="dxa"/>
            <w:left w:w="0" w:type="dxa"/>
            <w:bottom w:w="0" w:type="dxa"/>
            <w:right w:w="0" w:type="dxa"/>
          </w:tblCellMar>
        </w:tblPrEx>
        <w:trPr>
          <w:trHeight w:val="23"/>
          <w:jc w:val="center"/>
        </w:trPr>
        <w:tc>
          <w:tcPr>
            <w:tcW w:w="705" w:type="dxa"/>
            <w:tcBorders>
              <w:top w:val="single" w:sz="6" w:space="0" w:color="000008"/>
              <w:left w:val="single" w:sz="6" w:space="0" w:color="000008"/>
              <w:bottom w:val="single" w:sz="6" w:space="0" w:color="000008"/>
              <w:right w:val="single" w:sz="6" w:space="0" w:color="000008"/>
            </w:tcBorders>
            <w:tcMar>
              <w:left w:w="108" w:type="dxa"/>
              <w:right w:w="108" w:type="dxa"/>
            </w:tcMar>
            <w:vAlign w:val="center"/>
          </w:tcPr>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1</w:t>
            </w:r>
          </w:p>
        </w:tc>
        <w:tc>
          <w:tcPr>
            <w:tcW w:w="1236" w:type="dxa"/>
            <w:tcBorders>
              <w:top w:val="single" w:sz="6" w:space="0" w:color="000008"/>
              <w:left w:val="single" w:sz="6" w:space="0" w:color="000008"/>
              <w:bottom w:val="single" w:sz="6" w:space="0" w:color="000008"/>
              <w:right w:val="single" w:sz="6" w:space="0" w:color="000008"/>
            </w:tcBorders>
            <w:tcMar>
              <w:left w:w="108" w:type="dxa"/>
              <w:right w:w="108" w:type="dxa"/>
            </w:tcMar>
            <w:vAlign w:val="center"/>
          </w:tcPr>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压力示值检定装置</w:t>
            </w:r>
          </w:p>
        </w:tc>
        <w:tc>
          <w:tcPr>
            <w:tcW w:w="3219" w:type="dxa"/>
            <w:tcBorders>
              <w:top w:val="single" w:sz="6" w:space="0" w:color="000008"/>
              <w:left w:val="single" w:sz="6" w:space="0" w:color="000008"/>
              <w:bottom w:val="single" w:sz="6" w:space="0" w:color="000008"/>
              <w:right w:val="single" w:sz="6" w:space="0" w:color="000008"/>
            </w:tcBorders>
            <w:tcMar>
              <w:left w:w="108" w:type="dxa"/>
              <w:right w:w="108" w:type="dxa"/>
            </w:tcMar>
            <w:vAlign w:val="center"/>
          </w:tcPr>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测量范围：300hPa～1100hPa；</w:t>
            </w:r>
          </w:p>
          <w:p>
            <w:pPr>
              <w:pStyle w:val="Default"/>
              <w:spacing w:line="560" w:lineRule="exact"/>
              <w:jc w:val="left"/>
              <w:rPr>
                <w:rFonts w:ascii="Times New Roman" w:eastAsiaTheme="minorEastAsia" w:cstheme="minorBidi"/>
                <w:color w:val="auto"/>
                <w:kern w:val="2"/>
                <w:sz w:val="21"/>
                <w:szCs w:val="21"/>
              </w:rPr>
            </w:pPr>
            <w:r>
              <w:rPr>
                <w:rFonts w:ascii="仿宋_GB2312" w:eastAsia="仿宋_GB2312" w:hAnsi="仿宋_GB2312" w:cs="仿宋_GB2312" w:hint="eastAsia"/>
                <w:b/>
                <w:color w:val="FF0000"/>
              </w:rPr>
              <w:t>#</w:t>
            </w:r>
            <w:r>
              <w:rPr>
                <w:rFonts w:ascii="Times New Roman" w:eastAsiaTheme="minorEastAsia" w:cstheme="minorBidi" w:hint="eastAsia"/>
                <w:color w:val="auto"/>
                <w:kern w:val="2"/>
                <w:sz w:val="21"/>
                <w:szCs w:val="21"/>
              </w:rPr>
              <w:t>压力控制精度：±0.020%FS；</w:t>
            </w:r>
          </w:p>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压力控制分辨力：0.001hPa；</w:t>
            </w:r>
          </w:p>
          <w:p>
            <w:pPr>
              <w:pStyle w:val="Default"/>
              <w:spacing w:line="560" w:lineRule="exact"/>
              <w:jc w:val="left"/>
              <w:rPr>
                <w:rFonts w:ascii="Times New Roman" w:eastAsiaTheme="minorEastAsia" w:cstheme="minorBidi"/>
                <w:color w:val="auto"/>
                <w:kern w:val="2"/>
                <w:sz w:val="21"/>
                <w:szCs w:val="21"/>
              </w:rPr>
            </w:pPr>
            <w:r>
              <w:rPr>
                <w:rFonts w:ascii="仿宋_GB2312" w:eastAsia="仿宋_GB2312" w:hAnsi="仿宋_GB2312" w:cs="仿宋_GB2312" w:hint="eastAsia"/>
                <w:b/>
                <w:color w:val="FF0000"/>
              </w:rPr>
              <w:t>#</w:t>
            </w:r>
            <w:r>
              <w:rPr>
                <w:rFonts w:ascii="Times New Roman" w:eastAsiaTheme="minorEastAsia" w:cstheme="minorBidi" w:hint="eastAsia"/>
                <w:color w:val="auto"/>
                <w:kern w:val="2"/>
                <w:sz w:val="21"/>
                <w:szCs w:val="21"/>
              </w:rPr>
              <w:t>控制稳定性：0.002%FS；</w:t>
            </w:r>
          </w:p>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控制速度：5hPa/min～100hPa/min可调；</w:t>
            </w:r>
          </w:p>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接口：预留航空接口，测试舱体内部预留通信串口或网口；</w:t>
            </w:r>
          </w:p>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电源：内部预留电源排插。</w:t>
            </w:r>
          </w:p>
        </w:tc>
        <w:tc>
          <w:tcPr>
            <w:tcW w:w="750" w:type="dxa"/>
            <w:tcBorders>
              <w:top w:val="single" w:sz="6" w:space="0" w:color="000008"/>
              <w:left w:val="single" w:sz="6" w:space="0" w:color="000008"/>
              <w:bottom w:val="single" w:sz="6" w:space="0" w:color="000008"/>
              <w:right w:val="single" w:sz="6" w:space="0" w:color="000008"/>
            </w:tcBorders>
            <w:tcMar>
              <w:left w:w="108" w:type="dxa"/>
              <w:right w:w="108" w:type="dxa"/>
            </w:tcMar>
            <w:vAlign w:val="center"/>
          </w:tcPr>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套</w:t>
            </w:r>
          </w:p>
        </w:tc>
        <w:tc>
          <w:tcPr>
            <w:tcW w:w="765" w:type="dxa"/>
            <w:tcBorders>
              <w:top w:val="single" w:sz="6" w:space="0" w:color="000008"/>
              <w:left w:val="single" w:sz="6" w:space="0" w:color="000008"/>
              <w:bottom w:val="single" w:sz="6" w:space="0" w:color="000008"/>
              <w:right w:val="single" w:sz="6" w:space="0" w:color="000008"/>
            </w:tcBorders>
            <w:tcMar>
              <w:left w:w="108" w:type="dxa"/>
              <w:right w:w="108" w:type="dxa"/>
            </w:tcMar>
            <w:vAlign w:val="center"/>
          </w:tcPr>
          <w:p>
            <w:pPr>
              <w:pStyle w:val="Default"/>
              <w:spacing w:line="560" w:lineRule="exact"/>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1</w:t>
            </w:r>
          </w:p>
        </w:tc>
      </w:tr>
    </w:tbl>
    <w:p>
      <w:pPr>
        <w:spacing w:line="360" w:lineRule="auto"/>
        <w:ind w:firstLine="420" w:firstLineChars="200"/>
        <w:rPr>
          <w:rFonts w:ascii="宋体" w:hAnsi="宋体" w:hint="eastAsia"/>
          <w:b/>
          <w:bCs/>
          <w:szCs w:val="21"/>
        </w:rPr>
      </w:pPr>
    </w:p>
    <w:p>
      <w:pPr>
        <w:spacing w:line="360" w:lineRule="auto"/>
        <w:ind w:firstLine="420" w:firstLineChars="200"/>
        <w:outlineLvl w:val="2"/>
        <w:rPr>
          <w:rFonts w:ascii="宋体" w:hAnsi="宋体" w:hint="eastAsia"/>
          <w:b/>
          <w:bCs/>
          <w:szCs w:val="21"/>
        </w:rPr>
      </w:pPr>
      <w:r>
        <w:rPr>
          <w:rFonts w:ascii="宋体" w:hAnsi="宋体" w:hint="eastAsia"/>
          <w:b/>
          <w:bCs/>
          <w:szCs w:val="21"/>
        </w:rPr>
        <w:t>四、检验考核要求</w:t>
      </w:r>
    </w:p>
    <w:p>
      <w:pPr>
        <w:pStyle w:val="Default"/>
        <w:spacing w:line="560" w:lineRule="exact"/>
        <w:jc w:val="left"/>
        <w:outlineLvl w:val="3"/>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（1）设备技术要求</w:t>
      </w:r>
    </w:p>
    <w:p>
      <w:pPr>
        <w:spacing w:line="360" w:lineRule="auto"/>
        <w:ind w:firstLine="420" w:firstLineChars="200"/>
        <w:rPr>
          <w:rFonts w:ascii="Times New Roman" w:hAnsi="Times New Roman"/>
          <w:szCs w:val="21"/>
        </w:rPr>
      </w:pPr>
      <w:r>
        <w:rPr>
          <w:rFonts w:ascii="Times New Roman" w:hAnsi="Times New Roman" w:hint="eastAsia"/>
          <w:szCs w:val="21"/>
        </w:rPr>
        <w:t>1）湿度自动计量系统</w:t>
      </w:r>
    </w:p>
    <w:p>
      <w:pPr>
        <w:spacing w:line="360" w:lineRule="auto"/>
        <w:ind w:firstLine="420" w:firstLineChars="200"/>
        <w:rPr>
          <w:rFonts w:ascii="Times New Roman" w:hAnsi="Times New Roman"/>
          <w:szCs w:val="21"/>
        </w:rPr>
      </w:pPr>
      <w:r>
        <w:rPr>
          <w:rFonts w:ascii="Times New Roman" w:hAnsi="Times New Roman" w:hint="eastAsia"/>
          <w:szCs w:val="21"/>
        </w:rPr>
        <w:t>对于湿度自动计量系统，应适用于自动气象站湿度传感器和智能湿度测量仪自动计量业务。湿度自动计量系统设计采用湿度发生器计量模式。湿度发生器计量模式下，湿度发生器提供稳定的湿度环境，精密露点仪提供标准数值，智能工装模块用于采集被检湿度传感器的电信号及供电，自动传输模块用于传感器自动搬运，上位机检定系统软件可以控制湿度发生器、精密露点仪和自动传输模块等设备，按照相关计量技术规范要求实现湿度传感器的自动计量工作。湿度发生器计量模式具有单机单批次不低于5支计量能力。支持超差传感器的自动调整和重检。</w:t>
      </w:r>
    </w:p>
    <w:p>
      <w:pPr>
        <w:spacing w:line="360" w:lineRule="auto"/>
        <w:ind w:firstLine="420" w:firstLineChars="200"/>
        <w:rPr>
          <w:rFonts w:ascii="Times New Roman" w:hAnsi="Times New Roman"/>
          <w:szCs w:val="21"/>
        </w:rPr>
      </w:pPr>
      <w:r>
        <w:rPr>
          <w:rFonts w:ascii="Times New Roman" w:hAnsi="Times New Roman" w:hint="eastAsia"/>
          <w:szCs w:val="21"/>
        </w:rPr>
        <w:t>2）辐射日照自动计量系统</w:t>
      </w:r>
    </w:p>
    <w:p>
      <w:pPr>
        <w:spacing w:line="360" w:lineRule="auto"/>
        <w:ind w:firstLine="420" w:firstLineChars="200"/>
        <w:rPr>
          <w:rFonts w:ascii="Times New Roman" w:hAnsi="Times New Roman"/>
          <w:szCs w:val="21"/>
        </w:rPr>
      </w:pPr>
      <w:r>
        <w:rPr>
          <w:rFonts w:ascii="Times New Roman" w:hAnsi="Times New Roman" w:hint="eastAsia"/>
          <w:szCs w:val="21"/>
        </w:rPr>
        <w:t>对于辐射日照自动计量系统，应适用于自动气象站辐射日照传感器自动计量业务。辐射日照自动计量系统设计整套系统由主体舱室、光源系统、控制系统、自动输送装置、人机交互系统组成。主体舱室主体由表面喷涂吸光涂层的电木板组成。左右两边为自动输送装置的进出通道口，并设计有自动移门装置。内部设计光源系统的安装结构，可实现光源系统的安装及调整。内部检测位置设计遮光罩，可通过远程实现对遮光罩的控制。光源系统主要由镝灯及配套辅助结构组成。控制系统主要由主控系统、反馈系统、气源辅助系统及配套线缆管路等组成，主控系统通过相应的命令集，驱动各个子系统运行、驱动灯光等外设，可实现与PC机通讯，并接受PC机软件的相关指令；反馈系统通过接近开关、对射开关、限位开关等传感器实时向主控系统反馈当前运行监控信息，辅助主控系统快速响应并判别状态；气源辅助系统主要是通过气泵产生的高压气体作为动力源，通过气管连接到相应控制部件上，用于驱动运行的作用；配套线缆管路用于各个子系统连接，用于提供动力或通信的作用。自动输送装置由传输带、电机及其配件组成，用于传输辐射表进出测量室。人机交互系统主要由软件系统、控制平台和人机，是系统运行控制中心。同时购置室外日照检定系统，实现至少8个日照计的同步检定需求。</w:t>
      </w:r>
    </w:p>
    <w:p>
      <w:pPr>
        <w:spacing w:line="360" w:lineRule="auto"/>
        <w:ind w:firstLine="420" w:firstLineChars="200"/>
        <w:rPr>
          <w:rFonts w:ascii="Times New Roman" w:hAnsi="Times New Roman"/>
          <w:szCs w:val="21"/>
        </w:rPr>
      </w:pPr>
      <w:r>
        <w:rPr>
          <w:rFonts w:ascii="Times New Roman" w:hAnsi="Times New Roman" w:hint="eastAsia"/>
          <w:szCs w:val="21"/>
        </w:rPr>
        <w:t>3）风向自动计量系统</w:t>
      </w:r>
    </w:p>
    <w:p>
      <w:pPr>
        <w:spacing w:line="360" w:lineRule="auto"/>
        <w:ind w:firstLine="420" w:firstLineChars="200"/>
        <w:rPr>
          <w:rFonts w:ascii="Times New Roman" w:hAnsi="Times New Roman"/>
          <w:szCs w:val="21"/>
        </w:rPr>
      </w:pPr>
      <w:r>
        <w:rPr>
          <w:rFonts w:ascii="Times New Roman" w:hAnsi="Times New Roman" w:hint="eastAsia"/>
          <w:szCs w:val="21"/>
        </w:rPr>
        <w:t>对于风向自动计量系统，定向设计直吹式风向风洞，产生固定的10m/s的风速，并结合风向控制及标准器，通过电机用于风向检定过程中全自动运行，设计控制和自动检软件实现对风向标准器和被检风向传感器示值同步采集，同时配套传送装置，按照检定流程，同步控制系统和自动检定运行，实现风向传感器的批量检定的需求。</w:t>
      </w:r>
    </w:p>
    <w:p>
      <w:pPr>
        <w:spacing w:line="360" w:lineRule="auto"/>
        <w:ind w:firstLine="420" w:firstLineChars="200"/>
        <w:rPr>
          <w:rFonts w:ascii="Times New Roman" w:hAnsi="Times New Roman"/>
          <w:szCs w:val="21"/>
        </w:rPr>
      </w:pPr>
      <w:r>
        <w:rPr>
          <w:rFonts w:ascii="Times New Roman" w:hAnsi="Times New Roman" w:hint="eastAsia"/>
          <w:szCs w:val="21"/>
        </w:rPr>
        <w:t>4）压力示值检定装置</w:t>
      </w:r>
    </w:p>
    <w:p>
      <w:pPr>
        <w:spacing w:line="360" w:lineRule="auto"/>
        <w:ind w:firstLine="420" w:firstLineChars="200"/>
        <w:rPr>
          <w:rFonts w:ascii="Times New Roman" w:hAnsi="Times New Roman"/>
          <w:szCs w:val="21"/>
        </w:rPr>
      </w:pPr>
      <w:r>
        <w:rPr>
          <w:rFonts w:ascii="Times New Roman" w:hAnsi="Times New Roman" w:hint="eastAsia"/>
          <w:szCs w:val="21"/>
        </w:rPr>
        <w:t>对于压力示值检定装置，要求测量范围：300hPa～1100hPa，压力控制精度：±0.020%FS，压力控制分辨力：0.001hPa，控制稳定性：0.002%FS，控制速度：5hPa/min～100hPa/min可调，接口：预留航空接口，电源：内部预留电源排插。数字压力计主要指标包括：测量范围：500hPa～1100hPa；测量精度：±0.01%FS。应适用于空盒气压表（计）的示值检定，密封舱应带震动、照明功能，并至少能同时容纳8台空盒气压表（计）。</w:t>
      </w:r>
    </w:p>
    <w:p>
      <w:pPr>
        <w:pStyle w:val="Default"/>
        <w:spacing w:line="360" w:lineRule="auto"/>
        <w:jc w:val="left"/>
        <w:outlineLvl w:val="3"/>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（2）设备出厂及现场测试要求</w:t>
      </w:r>
    </w:p>
    <w:p>
      <w:pPr>
        <w:spacing w:line="360" w:lineRule="auto"/>
        <w:ind w:firstLine="420" w:firstLineChars="200"/>
        <w:rPr>
          <w:rFonts w:ascii="Times New Roman" w:hAnsi="Times New Roman"/>
          <w:szCs w:val="21"/>
        </w:rPr>
      </w:pPr>
      <w:r>
        <w:rPr>
          <w:rFonts w:ascii="Times New Roman" w:hAnsi="Times New Roman" w:hint="eastAsia"/>
          <w:szCs w:val="21"/>
        </w:rPr>
        <w:t>出厂测试：设备在出厂前，由供应商和建设单位技术人员进行严格的测试和检验，确保设备性能符合技术要求。测试内容包括设备的外观检查、功能测试、精度测试等。测试结果应记录在出厂检验报告中，并随设备一同交付。</w:t>
      </w:r>
    </w:p>
    <w:p>
      <w:pPr>
        <w:spacing w:line="360" w:lineRule="auto"/>
        <w:ind w:firstLine="420" w:firstLineChars="200"/>
        <w:rPr>
          <w:rFonts w:ascii="Times New Roman" w:hAnsi="Times New Roman"/>
          <w:szCs w:val="21"/>
        </w:rPr>
      </w:pPr>
      <w:r>
        <w:rPr>
          <w:rFonts w:ascii="Times New Roman" w:hAnsi="Times New Roman" w:hint="eastAsia"/>
          <w:szCs w:val="21"/>
        </w:rPr>
        <w:t>现场测试：设备到达现场后，由各建设单位组织技术人员和供应商代表进行现场测试。测试内容包括设备的安装调试、功能验证、精度校准等。测试过程中，应严格按照相关技术规范和标准进行操作，确保测试结果的准确性和可靠性。</w:t>
      </w:r>
    </w:p>
    <w:p>
      <w:pPr>
        <w:spacing w:line="360" w:lineRule="auto"/>
        <w:ind w:firstLine="420" w:firstLineChars="200"/>
        <w:rPr>
          <w:rFonts w:ascii="Times New Roman" w:hAnsi="Times New Roman"/>
          <w:szCs w:val="21"/>
        </w:rPr>
      </w:pPr>
      <w:r>
        <w:rPr>
          <w:rFonts w:ascii="Times New Roman" w:hAnsi="Times New Roman" w:hint="eastAsia"/>
          <w:szCs w:val="21"/>
        </w:rPr>
        <w:t>测试结果评估：现场测试结束后，各建设单位技术人员将对测试结果进行评估，确认设备是否满足项目要求。如设备存在质量问题或性能不符合要求，将要求供应商进行整改或更换。</w:t>
      </w:r>
    </w:p>
    <w:p>
      <w:pPr>
        <w:pStyle w:val="Default"/>
        <w:spacing w:line="360" w:lineRule="auto"/>
        <w:jc w:val="left"/>
        <w:outlineLvl w:val="3"/>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（3）设备试运行评估要求</w:t>
      </w:r>
    </w:p>
    <w:p>
      <w:pPr>
        <w:spacing w:line="360" w:lineRule="auto"/>
        <w:ind w:firstLine="420" w:firstLineChars="200"/>
        <w:rPr>
          <w:rFonts w:ascii="Times New Roman" w:hAnsi="Times New Roman"/>
          <w:szCs w:val="21"/>
        </w:rPr>
      </w:pPr>
      <w:r>
        <w:rPr>
          <w:rFonts w:ascii="Times New Roman" w:hAnsi="Times New Roman" w:hint="eastAsia"/>
          <w:szCs w:val="21"/>
        </w:rPr>
        <w:t>试运行期：设备通过现场测试后，进入试运行阶段，试运行期为3个月。在试运行期间，设备将按照正常工作模式进行运行，以检验其稳定性和可靠性。</w:t>
      </w:r>
    </w:p>
    <w:p>
      <w:pPr>
        <w:spacing w:line="360" w:lineRule="auto"/>
        <w:ind w:firstLine="420" w:firstLineChars="200"/>
        <w:rPr>
          <w:rFonts w:ascii="Times New Roman" w:hAnsi="Times New Roman"/>
          <w:szCs w:val="21"/>
        </w:rPr>
      </w:pPr>
      <w:r>
        <w:rPr>
          <w:rFonts w:ascii="Times New Roman" w:hAnsi="Times New Roman" w:hint="eastAsia"/>
          <w:szCs w:val="21"/>
        </w:rPr>
        <w:t>评估内容：试运行期间，将对设备的运行稳定性、数据准确性、故障率等进行评估。同时，还将对设备的操作便捷性、维护保养便利性等进行评估。</w:t>
      </w:r>
    </w:p>
    <w:p>
      <w:pPr>
        <w:spacing w:line="360" w:lineRule="auto"/>
        <w:ind w:firstLine="420" w:firstLineChars="200"/>
        <w:rPr>
          <w:rFonts w:ascii="Times New Roman" w:hAnsi="Times New Roman"/>
          <w:szCs w:val="21"/>
        </w:rPr>
      </w:pPr>
      <w:r>
        <w:rPr>
          <w:rFonts w:ascii="Times New Roman" w:hAnsi="Times New Roman" w:hint="eastAsia"/>
          <w:szCs w:val="21"/>
        </w:rPr>
        <w:t>评估方法：各建设单位技术人员将定期对设备进行检查和维护，记录设备的运行情况和出现的问题。试运行结束后，将对记录的数据进行分析，形成试运行评估报告。</w:t>
      </w:r>
    </w:p>
    <w:p>
      <w:pPr>
        <w:spacing w:line="360" w:lineRule="auto"/>
        <w:ind w:firstLine="420" w:firstLineChars="200"/>
        <w:rPr>
          <w:rFonts w:ascii="Times New Roman" w:hAnsi="Times New Roman"/>
          <w:szCs w:val="21"/>
        </w:rPr>
      </w:pPr>
      <w:r>
        <w:rPr>
          <w:rFonts w:ascii="Times New Roman" w:hAnsi="Times New Roman" w:hint="eastAsia"/>
          <w:szCs w:val="21"/>
        </w:rPr>
        <w:t>评估结果处理：根据试运行评估报告，如设备运行稳定、性能符合要求，将办理正式验收手续，投入正式运行。如设备存在需要改进的问题，将与供应商协商，制定整改方案，确保设备达到预期性能。</w:t>
      </w:r>
    </w:p>
    <w:p>
      <w:pPr>
        <w:spacing w:line="360" w:lineRule="auto"/>
        <w:outlineLvl w:val="2"/>
        <w:rPr>
          <w:rFonts w:ascii="宋体" w:hAnsi="宋体" w:hint="eastAsia"/>
          <w:b/>
          <w:bCs/>
          <w:szCs w:val="21"/>
        </w:rPr>
      </w:pPr>
      <w:r>
        <w:rPr>
          <w:rFonts w:ascii="宋体" w:hAnsi="宋体" w:hint="eastAsia"/>
          <w:b/>
          <w:bCs/>
          <w:szCs w:val="21"/>
        </w:rPr>
        <w:t>五、技术服务和质保期服务要求</w:t>
      </w:r>
    </w:p>
    <w:p>
      <w:pPr>
        <w:pStyle w:val="Default"/>
        <w:spacing w:line="360" w:lineRule="auto"/>
        <w:jc w:val="left"/>
        <w:outlineLvl w:val="3"/>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 xml:space="preserve">（1）质量保证 </w:t>
      </w:r>
    </w:p>
    <w:p>
      <w:pPr>
        <w:pStyle w:val="Default"/>
        <w:spacing w:line="360" w:lineRule="auto"/>
        <w:ind w:firstLine="420" w:firstLineChars="200"/>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 xml:space="preserve">采购的硬件、附件等必须是全新的未使用过的产品，投标产品必须是符合仪器自身需求和质量标准的合格产品，满足采购人的使用需求，并具有可靠的售后服务体系，质量可靠、使用安全；中标方必须提供仪器的现场安装调试并达到招标书要求的技术性能，并同时在现场对采购方进行操作培训。 </w:t>
      </w:r>
    </w:p>
    <w:p>
      <w:pPr>
        <w:pStyle w:val="Default"/>
        <w:spacing w:line="360" w:lineRule="auto"/>
        <w:jc w:val="left"/>
        <w:outlineLvl w:val="3"/>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 xml:space="preserve">（2）质保要求 </w:t>
      </w:r>
    </w:p>
    <w:p>
      <w:pPr>
        <w:pStyle w:val="Default"/>
        <w:spacing w:line="360" w:lineRule="auto"/>
        <w:ind w:firstLine="420" w:firstLineChars="200"/>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 xml:space="preserve">中标供货商提供的所有设备的免费质保期为8年，设备出现故障响应及时，响应时间不大于24小时；平均故障维修时间不大于72小时；中标供货商应提供质保期内履约保证承诺。 </w:t>
      </w:r>
    </w:p>
    <w:p>
      <w:pPr>
        <w:pStyle w:val="Default"/>
        <w:spacing w:line="360" w:lineRule="auto"/>
        <w:jc w:val="left"/>
        <w:outlineLvl w:val="3"/>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 xml:space="preserve">（3）服务标准 </w:t>
      </w:r>
    </w:p>
    <w:p>
      <w:pPr>
        <w:pStyle w:val="Default"/>
        <w:spacing w:line="360" w:lineRule="auto"/>
        <w:ind w:firstLine="420" w:firstLineChars="200"/>
        <w:jc w:val="left"/>
        <w:rPr>
          <w:rFonts w:ascii="Times New Roman" w:eastAsiaTheme="minorEastAsia" w:cstheme="minorBidi"/>
          <w:color w:val="auto"/>
          <w:kern w:val="2"/>
          <w:sz w:val="21"/>
          <w:szCs w:val="21"/>
        </w:rPr>
      </w:pPr>
      <w:r>
        <w:rPr>
          <w:rFonts w:ascii="Times New Roman" w:eastAsiaTheme="minorEastAsia" w:cstheme="minorBidi" w:hint="eastAsia"/>
          <w:color w:val="auto"/>
          <w:kern w:val="2"/>
          <w:sz w:val="21"/>
          <w:szCs w:val="21"/>
        </w:rPr>
        <w:t xml:space="preserve">投标人应明确说明此次投标的服务策略，提供此次投标货物的服务计划（售后服务 内容、等级、相关服务指标、售后服务组织机构及人员安排情况及其联络信息）。 </w:t>
      </w:r>
    </w:p>
    <w:p>
      <w:pPr>
        <w:spacing w:line="360" w:lineRule="auto"/>
        <w:outlineLvl w:val="2"/>
        <w:rPr>
          <w:rFonts w:ascii="宋体" w:hAnsi="宋体" w:hint="eastAsia"/>
          <w:b/>
          <w:bCs/>
          <w:szCs w:val="21"/>
        </w:rPr>
      </w:pPr>
      <w:r>
        <w:rPr>
          <w:rFonts w:ascii="宋体" w:hAnsi="宋体" w:hint="eastAsia"/>
          <w:b/>
          <w:bCs/>
          <w:szCs w:val="21"/>
        </w:rPr>
        <w:t>六、培训要求</w:t>
      </w:r>
    </w:p>
    <w:p>
      <w:pPr>
        <w:spacing w:line="360" w:lineRule="auto"/>
        <w:ind w:firstLine="420" w:firstLineChars="200"/>
        <w:rPr>
          <w:rFonts w:ascii="Times New Roman" w:hAnsi="Times New Roman"/>
          <w:szCs w:val="21"/>
        </w:rPr>
      </w:pPr>
      <w:r>
        <w:rPr>
          <w:rFonts w:ascii="Times New Roman" w:hAnsi="Times New Roman"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spacing w:line="360" w:lineRule="auto"/>
        <w:ind w:firstLine="420" w:firstLineChars="200"/>
        <w:rPr>
          <w:rFonts w:ascii="Times New Roman" w:hAnsi="Times New Roman"/>
          <w:szCs w:val="21"/>
        </w:rPr>
      </w:pPr>
      <w:r>
        <w:rPr>
          <w:rFonts w:ascii="Times New Roman" w:hAnsi="Times New Roman" w:hint="eastAsia"/>
          <w:szCs w:val="21"/>
        </w:rPr>
        <w:t>设备供应商对每套投标产品提供至少2次技术培训，培训课时不少于24个课时，培训人数不少于10人。培训内容包括设备安装、使用、日常维护、观测原理及产品应用，培训时间及地点双方协商确定。</w:t>
      </w:r>
    </w:p>
    <w:p>
      <w:pPr>
        <w:spacing w:line="360" w:lineRule="auto"/>
        <w:outlineLvl w:val="2"/>
        <w:rPr>
          <w:rFonts w:ascii="宋体" w:hAnsi="宋体" w:hint="eastAsia"/>
          <w:b/>
          <w:bCs/>
          <w:szCs w:val="21"/>
        </w:rPr>
      </w:pPr>
      <w:r>
        <w:rPr>
          <w:rFonts w:ascii="宋体" w:hAnsi="宋体" w:hint="eastAsia"/>
          <w:b/>
          <w:bCs/>
          <w:szCs w:val="21"/>
        </w:rPr>
        <w:t>七、交货要求及履约地点</w:t>
      </w:r>
    </w:p>
    <w:p>
      <w:pPr>
        <w:spacing w:line="360" w:lineRule="auto"/>
        <w:ind w:firstLine="420" w:firstLineChars="200"/>
        <w:rPr>
          <w:rFonts w:ascii="Times New Roman" w:hAnsi="Times New Roman"/>
          <w:color w:val="000000" w:themeColor="text1"/>
          <w:szCs w:val="21"/>
        </w:rPr>
      </w:pPr>
      <w:r>
        <w:rPr>
          <w:rFonts w:ascii="Times New Roman" w:hAnsi="Times New Roman" w:hint="eastAsia"/>
          <w:color w:val="000000" w:themeColor="text1"/>
          <w:szCs w:val="21"/>
        </w:rPr>
        <w:t>中标供应商将所有设备运送至乌鲁木齐市（运输相关费用由供应商负责），并负责安装调试。合同签订后120天内完成供货、安装调试并具备验收条件。</w:t>
      </w:r>
    </w:p>
    <w:p>
      <w:pPr>
        <w:spacing w:line="360" w:lineRule="auto"/>
        <w:outlineLvl w:val="2"/>
        <w:rPr>
          <w:rFonts w:ascii="宋体" w:hAnsi="宋体" w:hint="eastAsia"/>
          <w:szCs w:val="21"/>
        </w:rPr>
      </w:pPr>
      <w:r>
        <w:rPr>
          <w:rFonts w:ascii="宋体" w:hAnsi="宋体" w:hint="eastAsia"/>
          <w:b/>
          <w:bCs/>
          <w:szCs w:val="21"/>
        </w:rPr>
        <w:t>八、服务团队要求</w:t>
      </w:r>
    </w:p>
    <w:p>
      <w:pPr>
        <w:spacing w:line="360" w:lineRule="auto"/>
        <w:ind w:firstLine="420" w:firstLineChars="200"/>
        <w:rPr>
          <w:rFonts w:ascii="Times New Roman" w:hAnsi="Times New Roman"/>
          <w:szCs w:val="21"/>
        </w:rPr>
      </w:pPr>
      <w:r>
        <w:rPr>
          <w:rFonts w:ascii="Times New Roman" w:hAnsi="Times New Roman" w:hint="eastAsia"/>
          <w:szCs w:val="21"/>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spacing w:line="360" w:lineRule="auto"/>
        <w:outlineLvl w:val="2"/>
        <w:rPr>
          <w:rFonts w:ascii="宋体" w:hAnsi="宋体" w:hint="eastAsia"/>
          <w:b/>
          <w:bCs/>
          <w:szCs w:val="21"/>
        </w:rPr>
      </w:pPr>
      <w:r>
        <w:rPr>
          <w:rFonts w:ascii="宋体" w:hAnsi="宋体" w:hint="eastAsia"/>
          <w:b/>
          <w:bCs/>
          <w:szCs w:val="21"/>
        </w:rPr>
        <w:t>九、投标产品软件兼容性要求</w:t>
      </w:r>
    </w:p>
    <w:p>
      <w:pPr>
        <w:spacing w:line="360" w:lineRule="auto"/>
        <w:ind w:firstLine="420" w:firstLineChars="200"/>
        <w:rPr>
          <w:rFonts w:ascii="宋体" w:eastAsia="宋体" w:hAnsi="宋体" w:cs="Times New Roman" w:hint="eastAsia"/>
          <w:szCs w:val="21"/>
        </w:rPr>
      </w:pPr>
      <w:r>
        <w:rPr>
          <w:rFonts w:ascii="Times New Roman" w:hAnsi="Times New Roman" w:hint="eastAsia"/>
          <w:szCs w:val="21"/>
        </w:rPr>
        <w:t>设备软件兼容性强，设备数据传输模式、数据格式、数据通讯协议满足中国气象局探测中心计量管理规范，可无缝接入气象业务内网网络系统，实现与气象业务内网网络系统、天元省级业务平台无缝接入，完全符合甲方相关要求和规范，保证其系统的兼容性和功能的完整性。</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25"/>
        <w:gridCol w:w="2227"/>
        <w:gridCol w:w="1026"/>
        <w:gridCol w:w="1426"/>
        <w:gridCol w:w="1626"/>
        <w:gridCol w:w="1026"/>
        <w:gridCol w:w="60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湿度自动计量系统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1,875,000.00</w:t>
            </w:r>
          </w:p>
        </w:tc>
        <w:tc>
          <w:tcPr/>
          <w:p>
            <w:pPr>
              <w:autoSpaceDE w:val="0"/>
              <w:jc w:val="center"/>
              <w:rPr>
                <w:rFonts w:asciiTheme="minorEastAsia" w:hAnsiTheme="minorEastAsia" w:cstheme="minorEastAsia" w:hint="eastAsia"/>
                <w:kern w:val="0"/>
                <w:szCs w:val="21"/>
              </w:rPr>
            </w:pPr>
            <w:r>
              <w:t>120天</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辐射日照自动计量系统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1,355,000.00</w:t>
            </w:r>
          </w:p>
        </w:tc>
        <w:tc>
          <w:tcPr/>
          <w:p>
            <w:pPr>
              <w:autoSpaceDE w:val="0"/>
              <w:jc w:val="center"/>
              <w:rPr>
                <w:rFonts w:asciiTheme="minorEastAsia" w:hAnsiTheme="minorEastAsia" w:cstheme="minorEastAsia" w:hint="eastAsia"/>
                <w:kern w:val="0"/>
                <w:szCs w:val="21"/>
              </w:rPr>
            </w:pPr>
            <w:r>
              <w:t>120天</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风向自动计量系统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2,400,000.00</w:t>
            </w:r>
          </w:p>
        </w:tc>
        <w:tc>
          <w:tcPr/>
          <w:p>
            <w:pPr>
              <w:autoSpaceDE w:val="0"/>
              <w:jc w:val="center"/>
              <w:rPr>
                <w:rFonts w:asciiTheme="minorEastAsia" w:hAnsiTheme="minorEastAsia" w:cstheme="minorEastAsia" w:hint="eastAsia"/>
                <w:kern w:val="0"/>
                <w:szCs w:val="21"/>
              </w:rPr>
            </w:pPr>
            <w:r>
              <w:t>120天</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压力示值检定装置</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300,000.00</w:t>
            </w:r>
          </w:p>
        </w:tc>
        <w:tc>
          <w:tcPr/>
          <w:p>
            <w:pPr>
              <w:autoSpaceDE w:val="0"/>
              <w:jc w:val="center"/>
              <w:rPr>
                <w:rFonts w:asciiTheme="minorEastAsia" w:hAnsiTheme="minorEastAsia" w:cstheme="minorEastAsia" w:hint="eastAsia"/>
                <w:kern w:val="0"/>
                <w:szCs w:val="21"/>
              </w:rPr>
            </w:pPr>
            <w:r>
              <w:t>120天</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5,930,000.00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56"/>
        <w:gridCol w:w="1438"/>
        <w:gridCol w:w="1267"/>
        <w:gridCol w:w="356"/>
        <w:gridCol w:w="812"/>
        <w:gridCol w:w="676"/>
        <w:gridCol w:w="925"/>
        <w:gridCol w:w="269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装备保障中心(001059019)</w:t>
            </w:r>
          </w:p>
        </w:tc>
        <w:tc>
          <w:tcPr/>
          <w:p>
            <w:r>
              <w:t>压力示值检定装置</w:t>
            </w:r>
          </w:p>
        </w:tc>
        <w:tc>
          <w:tcPr/>
          <w:p>
            <w:r>
              <w:t>1</w:t>
            </w:r>
          </w:p>
        </w:tc>
        <w:tc>
          <w:tcPr/>
          <w:p>
            <w:r>
              <w:t>300000.00</w:t>
            </w:r>
          </w:p>
        </w:tc>
        <w:tc>
          <w:tcPr>
            <w:vMerge w:val="restart"/>
          </w:tcPr>
          <w:p>
            <w:r>
              <w:t xml:space="preserve">5930000.00  </w:t>
            </w:r>
          </w:p>
        </w:tc>
        <w:tc>
          <w:tcPr/>
          <w:p>
            <w:r>
              <w:t>新疆乌鲁木齐市</w:t>
            </w:r>
          </w:p>
        </w:tc>
        <w:tc>
          <w:tcPr/>
          <w:p>
            <w:r>
              <w:t>新疆气象技术装备保障中心郭凤娟（15099341934）</w:t>
            </w:r>
          </w:p>
        </w:tc>
      </w:tr>
      <w:tr>
        <w:tblPrEx>
          <w:tblW w:w="5000" w:type="pct"/>
          <w:tblCellMar>
            <w:left w:w="108" w:type="dxa"/>
            <w:right w:w="108" w:type="dxa"/>
          </w:tblCellMar>
        </w:tblPrEx>
        <w:tc>
          <w:tcPr/>
          <w:p>
            <w:r>
              <w:t>2</w:t>
            </w:r>
          </w:p>
        </w:tc>
        <w:tc>
          <w:tcPr>
            <w:vMerge/>
          </w:tcPr>
          <w:p>
            <w:r>
              <w:t>装备保障中心(001059019)</w:t>
            </w:r>
          </w:p>
        </w:tc>
        <w:tc>
          <w:tcPr/>
          <w:p>
            <w:r>
              <w:t>湿度自动计量系统</w:t>
            </w:r>
          </w:p>
        </w:tc>
        <w:tc>
          <w:tcPr/>
          <w:p>
            <w:r>
              <w:t>1</w:t>
            </w:r>
          </w:p>
        </w:tc>
        <w:tc>
          <w:tcPr/>
          <w:p>
            <w:r>
              <w:t>1875000.00</w:t>
            </w:r>
          </w:p>
        </w:tc>
        <w:tc>
          <w:tcPr>
            <w:vMerge/>
          </w:tcPr>
          <w:p>
            <w:r>
              <w:t xml:space="preserve">5930000.00  </w:t>
            </w:r>
          </w:p>
        </w:tc>
        <w:tc>
          <w:tcPr/>
          <w:p>
            <w:r>
              <w:t>新疆乌鲁木齐市</w:t>
            </w:r>
          </w:p>
        </w:tc>
        <w:tc>
          <w:tcPr/>
          <w:p>
            <w:r>
              <w:t>新疆气象技术装备保障中心郭凤娟（15099341934）</w:t>
            </w:r>
          </w:p>
        </w:tc>
      </w:tr>
      <w:tr>
        <w:tblPrEx>
          <w:tblW w:w="5000" w:type="pct"/>
          <w:tblCellMar>
            <w:left w:w="108" w:type="dxa"/>
            <w:right w:w="108" w:type="dxa"/>
          </w:tblCellMar>
        </w:tblPrEx>
        <w:tc>
          <w:tcPr/>
          <w:p>
            <w:r>
              <w:t>3</w:t>
            </w:r>
          </w:p>
        </w:tc>
        <w:tc>
          <w:tcPr>
            <w:vMerge/>
          </w:tcPr>
          <w:p>
            <w:r>
              <w:t>装备保障中心(001059019)</w:t>
            </w:r>
          </w:p>
        </w:tc>
        <w:tc>
          <w:tcPr/>
          <w:p>
            <w:r>
              <w:t>辐射日照自动计量系统</w:t>
            </w:r>
          </w:p>
        </w:tc>
        <w:tc>
          <w:tcPr/>
          <w:p>
            <w:r>
              <w:t>1</w:t>
            </w:r>
          </w:p>
        </w:tc>
        <w:tc>
          <w:tcPr/>
          <w:p>
            <w:r>
              <w:t>1355000.00</w:t>
            </w:r>
          </w:p>
        </w:tc>
        <w:tc>
          <w:tcPr>
            <w:vMerge/>
          </w:tcPr>
          <w:p>
            <w:r>
              <w:t xml:space="preserve">5930000.00  </w:t>
            </w:r>
          </w:p>
        </w:tc>
        <w:tc>
          <w:tcPr/>
          <w:p>
            <w:r>
              <w:t>新疆乌鲁木齐市</w:t>
            </w:r>
          </w:p>
        </w:tc>
        <w:tc>
          <w:tcPr/>
          <w:p>
            <w:r>
              <w:t>新疆气象技术装备保障中心郭凤娟（15099341934）</w:t>
            </w:r>
          </w:p>
        </w:tc>
      </w:tr>
      <w:tr>
        <w:tblPrEx>
          <w:tblW w:w="5000" w:type="pct"/>
          <w:tblCellMar>
            <w:left w:w="108" w:type="dxa"/>
            <w:right w:w="108" w:type="dxa"/>
          </w:tblCellMar>
        </w:tblPrEx>
        <w:tc>
          <w:tcPr/>
          <w:p>
            <w:r>
              <w:t>4</w:t>
            </w:r>
          </w:p>
        </w:tc>
        <w:tc>
          <w:tcPr>
            <w:vMerge/>
          </w:tcPr>
          <w:p>
            <w:r>
              <w:t>装备保障中心(001059019)</w:t>
            </w:r>
          </w:p>
        </w:tc>
        <w:tc>
          <w:tcPr/>
          <w:p>
            <w:r>
              <w:t>风向自动计量系统</w:t>
            </w:r>
          </w:p>
        </w:tc>
        <w:tc>
          <w:tcPr/>
          <w:p>
            <w:r>
              <w:t>1</w:t>
            </w:r>
          </w:p>
        </w:tc>
        <w:tc>
          <w:tcPr/>
          <w:p>
            <w:r>
              <w:t>2400000.00</w:t>
            </w:r>
          </w:p>
        </w:tc>
        <w:tc>
          <w:tcPr>
            <w:vMerge/>
          </w:tcPr>
          <w:p>
            <w:r>
              <w:t xml:space="preserve">5930000.00  </w:t>
            </w:r>
          </w:p>
        </w:tc>
        <w:tc>
          <w:tcPr/>
          <w:p>
            <w:r>
              <w:t>新疆乌鲁木齐市</w:t>
            </w:r>
          </w:p>
        </w:tc>
        <w:tc>
          <w:tcPr/>
          <w:p>
            <w:r>
              <w:t>新疆气象技术装备保障中心郭凤娟（15099341934）</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88271C">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88271C">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7803F1">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88271C">
            <w:pPr>
              <w:rPr>
                <w:sz w:val="18"/>
                <w:szCs w:val="18"/>
              </w:rPr>
            </w:pPr>
            <w:r>
              <w:rPr>
                <w:rFonts w:hint="eastAsia"/>
                <w:sz w:val="18"/>
                <w:szCs w:val="18"/>
              </w:rPr>
              <w:t>序号</w:t>
            </w:r>
          </w:p>
        </w:tc>
        <w:tc>
          <w:tcPr>
            <w:tcW w:w="898" w:type="dxa"/>
            <w:vAlign w:val="center"/>
          </w:tcPr>
          <w:p w:rsidR="0088271C">
            <w:pPr>
              <w:jc w:val="center"/>
              <w:rPr>
                <w:sz w:val="18"/>
                <w:szCs w:val="18"/>
              </w:rPr>
            </w:pPr>
            <w:r>
              <w:rPr>
                <w:rFonts w:hint="eastAsia"/>
                <w:sz w:val="18"/>
                <w:szCs w:val="18"/>
              </w:rPr>
              <w:t>对应</w:t>
            </w:r>
          </w:p>
          <w:p w:rsidR="0088271C">
            <w:pPr>
              <w:jc w:val="center"/>
              <w:rPr>
                <w:sz w:val="18"/>
                <w:szCs w:val="18"/>
              </w:rPr>
            </w:pPr>
            <w:r>
              <w:rPr>
                <w:rFonts w:hint="eastAsia"/>
                <w:sz w:val="18"/>
                <w:szCs w:val="18"/>
              </w:rPr>
              <w:t>条款号</w:t>
            </w:r>
          </w:p>
        </w:tc>
        <w:tc>
          <w:tcPr>
            <w:tcW w:w="7347" w:type="dxa"/>
            <w:vAlign w:val="center"/>
          </w:tcPr>
          <w:p w:rsidR="0088271C">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7803F1">
        <w:tblPrEx>
          <w:tblW w:w="8789" w:type="dxa"/>
          <w:tblLayout w:type="fixed"/>
          <w:tblLook w:val="04A0"/>
        </w:tblPrEx>
        <w:trPr>
          <w:cantSplit/>
        </w:trPr>
        <w:tc>
          <w:tcPr>
            <w:tcW w:w="8789" w:type="dxa"/>
            <w:gridSpan w:val="3"/>
            <w:vAlign w:val="center"/>
          </w:tcPr>
          <w:p w:rsidR="0088271C">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7803F1">
        <w:tblPrEx>
          <w:tblW w:w="8789" w:type="dxa"/>
          <w:tblLayout w:type="fixed"/>
          <w:tblLook w:val="04A0"/>
        </w:tblPrEx>
        <w:trPr>
          <w:cantSplit/>
        </w:trPr>
        <w:tc>
          <w:tcPr>
            <w:tcW w:w="544" w:type="dxa"/>
            <w:vAlign w:val="center"/>
          </w:tcPr>
          <w:p w:rsidR="0088271C">
            <w:pPr>
              <w:numPr>
                <w:ilvl w:val="0"/>
                <w:numId w:val="17"/>
              </w:numPr>
              <w:rPr>
                <w:rFonts w:ascii="宋体" w:hAnsi="宋体"/>
                <w:sz w:val="18"/>
                <w:szCs w:val="18"/>
              </w:rPr>
            </w:pPr>
          </w:p>
        </w:tc>
        <w:tc>
          <w:tcPr>
            <w:tcW w:w="898" w:type="dxa"/>
            <w:vAlign w:val="center"/>
          </w:tcPr>
          <w:p w:rsidR="0088271C">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88271C">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无</w:t>
            </w:r>
          </w:p>
        </w:tc>
      </w:tr>
      <w:tr w:rsidTr="007803F1">
        <w:tblPrEx>
          <w:tblW w:w="8789" w:type="dxa"/>
          <w:tblLayout w:type="fixed"/>
          <w:tblLook w:val="04A0"/>
        </w:tblPrEx>
        <w:trPr>
          <w:cantSplit/>
        </w:trPr>
        <w:tc>
          <w:tcPr>
            <w:tcW w:w="8789" w:type="dxa"/>
            <w:gridSpan w:val="3"/>
            <w:vAlign w:val="center"/>
          </w:tcPr>
          <w:p w:rsidR="0088271C">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7803F1">
        <w:tblPrEx>
          <w:tblW w:w="8789" w:type="dxa"/>
          <w:tblLayout w:type="fixed"/>
          <w:tblLook w:val="04A0"/>
        </w:tblPrEx>
        <w:trPr>
          <w:cantSplit/>
        </w:trPr>
        <w:tc>
          <w:tcPr>
            <w:tcW w:w="544" w:type="dxa"/>
            <w:vAlign w:val="center"/>
          </w:tcPr>
          <w:p w:rsidR="0088271C">
            <w:pPr>
              <w:numPr>
                <w:ilvl w:val="0"/>
                <w:numId w:val="17"/>
              </w:numPr>
              <w:rPr>
                <w:rFonts w:ascii="宋体" w:hAnsi="宋体"/>
                <w:sz w:val="18"/>
                <w:szCs w:val="18"/>
              </w:rPr>
            </w:pPr>
          </w:p>
        </w:tc>
        <w:tc>
          <w:tcPr>
            <w:tcW w:w="898" w:type="dxa"/>
            <w:vAlign w:val="center"/>
          </w:tcPr>
          <w:p w:rsidR="0088271C">
            <w:pPr>
              <w:jc w:val="center"/>
              <w:rPr>
                <w:rFonts w:ascii="宋体" w:hAnsi="宋体"/>
                <w:sz w:val="18"/>
                <w:szCs w:val="18"/>
              </w:rPr>
            </w:pPr>
            <w:r>
              <w:rPr>
                <w:rFonts w:ascii="宋体" w:hAnsi="宋体"/>
                <w:sz w:val="18"/>
                <w:szCs w:val="18"/>
              </w:rPr>
              <w:t>……</w:t>
            </w:r>
          </w:p>
        </w:tc>
        <w:tc>
          <w:tcPr>
            <w:tcW w:w="7347" w:type="dxa"/>
            <w:vAlign w:val="center"/>
          </w:tcPr>
          <w:p w:rsidR="0088271C">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88271C">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8"/>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10"/>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双方签署合同后7个工作日内，甲方向乙方支付合同总金额的85%，到货、检验后甲方向乙方支付合同总金额的15 %</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9"/>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1"/>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3"/>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4"/>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5"/>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6"/>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6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方正书宋_GBK"/>
    <w:panose1 w:val="02010600030101010101"/>
    <w:charset w:val="86"/>
    <w:family w:val="auto"/>
    <w:pitch w:val="variable"/>
    <w:sig w:usb0="00000203" w:usb1="288F0000" w:usb2="00000006" w:usb3="00000000" w:csb0="00040001" w:csb1="00000000"/>
  </w:font>
  <w:font w:name="Arial">
    <w:altName w:val="DejaVu Sans"/>
    <w:panose1 w:val="020B0604020202020204"/>
    <w:charset w:val="CC"/>
    <w:family w:val="swiss"/>
    <w:pitch w:val="variable"/>
    <w:sig w:usb0="E0002EFF" w:usb1="C000785B" w:usb2="00000009" w:usb3="00000000" w:csb0="400001FF" w:csb1="FFFF0000"/>
  </w:font>
  <w:font w:name="黑体">
    <w:altName w:val="方正黑体_GBK"/>
    <w:panose1 w:val="02010609060101010101"/>
    <w:charset w:val="86"/>
    <w:family w:val="modern"/>
    <w:pitch w:val="fixed"/>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altName w:val="方正黑体_GBK"/>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DejaVu Sans"/>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Math TeX Gyre">
    <w:panose1 w:val="02000503000000000000"/>
    <w:charset w:val="00"/>
    <w:family w:val="auto"/>
    <w:pitch w:val="default"/>
    <w:sig w:usb0="A10000EF" w:usb1="4201F9EE" w:usb2="02000000" w:usb3="00000000" w:csb0="60000193" w:csb1="0DD4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0F4F7992"/>
    <w:multiLevelType w:val="multilevel"/>
    <w:tmpl w:val="0F4F7992"/>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B8C66C1"/>
    <w:multiLevelType w:val="multilevel"/>
    <w:tmpl w:val="2B8C66C1"/>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3DF054D6"/>
    <w:multiLevelType w:val="multilevel"/>
    <w:tmpl w:val="3DF054D6"/>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4F732AE1"/>
    <w:multiLevelType w:val="multilevel"/>
    <w:tmpl w:val="4F732AE1"/>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53A08313"/>
    <w:multiLevelType w:val="singleLevel"/>
    <w:tmpl w:val="53A08313"/>
    <w:lvl w:ilvl="0">
      <w:start w:val="9"/>
      <w:numFmt w:val="chineseCounting"/>
      <w:suff w:val="space"/>
      <w:lvlText w:val="第%1章"/>
      <w:lvlJc w:val="left"/>
      <w:rPr>
        <w:rFonts w:hint="eastAsia"/>
      </w:rPr>
    </w:lvl>
  </w:abstractNum>
  <w:abstractNum w:abstractNumId="16">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3"/>
  </w:num>
  <w:num w:numId="5">
    <w:abstractNumId w:val="10"/>
  </w:num>
  <w:num w:numId="6">
    <w:abstractNumId w:val="9"/>
  </w:num>
  <w:num w:numId="7">
    <w:abstractNumId w:val="14"/>
  </w:num>
  <w:num w:numId="8">
    <w:abstractNumId w:val="15"/>
  </w:num>
  <w:num w:numId="9">
    <w:abstractNumId w:val="16"/>
  </w:num>
  <w:num w:numId="10">
    <w:abstractNumId w:val="1"/>
  </w:num>
  <w:num w:numId="11">
    <w:abstractNumId w:val="5"/>
  </w:num>
  <w:num w:numId="12">
    <w:abstractNumId w:val="3"/>
  </w:num>
  <w:num w:numId="13">
    <w:abstractNumId w:val="2"/>
  </w:num>
  <w:num w:numId="14">
    <w:abstractNumId w:val="12"/>
  </w:num>
  <w:num w:numId="15">
    <w:abstractNumId w:val="0"/>
  </w:num>
  <w:num w:numId="16">
    <w:abstractNumId w:val="4"/>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271C"/>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