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2025年站网雷达工程卢氏地基遥感垂直观测系统微波辐射计采购项目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ZQCD-25102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三门峡市气象局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2025年站网雷达工程卢氏地基遥感垂直观测系统微波辐射计采购项目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ZQCD-25102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三门峡卢氏</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2025年08月07日 00:00:00</w:t>
      </w:r>
      <w:bookmarkEnd w:id="26"/>
      <w:r>
        <w:rPr>
          <w:rFonts w:ascii="宋体" w:hint="eastAsia"/>
          <w:szCs w:val="21"/>
          <w:highlight w:val="none"/>
        </w:rPr>
        <w:t>至</w:t>
      </w:r>
      <w:bookmarkStart w:id="27" w:name="项目公告_signUpLastTime"/>
      <w:r>
        <w:rPr>
          <w:rFonts w:ascii="宋体" w:hint="eastAsia"/>
          <w:szCs w:val="21"/>
          <w:highlight w:val="none"/>
        </w:rPr>
        <w:t>2025年08月14日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2025年09月09日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北京市海淀区中关村南大街46号中国气象局北区7号楼2层小会议室（科技大楼前草坪西侧），届时请投标人的法定代表人或其授权的投标人授权代表准时参加。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三门峡市气象局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杨奇</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0371-65921273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河南省郑州市金水区金水路5号院</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三门峡市气象局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取得微波辐射计气象专用技术装备使用许可证。</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不允许（仅针对以下产品：1、微波辐射计不允许代理商投标）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不允许</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设有，核心产品为微波辐射计</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必须，以下产品需要提供至投标截止日仍有效的《气象专用技术装备使用许可证》：1、微波辐射计</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（1）标的：微波辐射计，属于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是，中标服务费：2.1万元。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170.000000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170.000000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销售合同必须包括微波辐射计，每提供1份合同得1分，最多得5分。否则不得分。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针对本项目采购的微波辐射计，承诺每提前10天交货的得0.5分，最多得1分。否则不得分。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针对微波辐射计，每提供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针对微波辐射计，测试报告应涵盖工作环境、气候环境、电磁环境等内容，每包含一项得1分，最多得3分。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729"/>
        <w:gridCol w:w="993"/>
        <w:gridCol w:w="1784"/>
        <w:gridCol w:w="2967"/>
        <w:gridCol w:w="2530"/>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cantSplit/>
          <w:trHeight w:val="90"/>
          <w:jc w:val="center"/>
        </w:trPr>
        <w:tc>
          <w:tcPr>
            <w:tcW w:w="405" w:type="pct"/>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序号</w:t>
            </w:r>
          </w:p>
        </w:tc>
        <w:tc>
          <w:tcPr>
            <w:tcW w:w="1542" w:type="pct"/>
            <w:gridSpan w:val="2"/>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项目</w:t>
            </w:r>
          </w:p>
        </w:tc>
        <w:tc>
          <w:tcPr>
            <w:tcW w:w="3052" w:type="pct"/>
            <w:gridSpan w:val="2"/>
            <w:vAlign w:val="center"/>
          </w:tcPr>
          <w:p>
            <w:pPr>
              <w:pStyle w:val="NormalIndent"/>
              <w:tabs>
                <w:tab w:val="left" w:pos="3119"/>
              </w:tabs>
              <w:ind w:firstLine="0"/>
              <w:jc w:val="center"/>
              <w:rPr>
                <w:rFonts w:ascii="仿宋" w:eastAsia="仿宋" w:hAnsi="仿宋" w:cs="仿宋" w:hint="eastAsia"/>
                <w:b/>
                <w:kern w:val="0"/>
                <w:sz w:val="24"/>
                <w:szCs w:val="24"/>
              </w:rPr>
            </w:pPr>
            <w:r>
              <w:rPr>
                <w:rFonts w:ascii="仿宋" w:eastAsia="仿宋" w:hAnsi="仿宋" w:cs="仿宋" w:hint="eastAsia"/>
                <w:b/>
                <w:kern w:val="0"/>
                <w:sz w:val="24"/>
                <w:szCs w:val="24"/>
              </w:rPr>
              <w:t>技术指标</w:t>
            </w:r>
          </w:p>
        </w:tc>
      </w:tr>
      <w:tr>
        <w:tblPrEx>
          <w:tblW w:w="5000" w:type="pct"/>
          <w:jc w:val="center"/>
          <w:tblCellMar>
            <w:top w:w="0" w:type="dxa"/>
            <w:left w:w="108" w:type="dxa"/>
            <w:bottom w:w="0" w:type="dxa"/>
            <w:right w:w="108" w:type="dxa"/>
          </w:tblCellMar>
          <w:tblLook w:val="0000"/>
        </w:tblPrEx>
        <w:trPr>
          <w:cantSplit/>
          <w:trHeight w:val="1226"/>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主要功能</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通过实时测量大气微波辐射信号，综合实现大气温度、湿度、云水辐射信号的多通道探测，全中文界面，终端可显示实时温湿廓线图、时间剖面图，运行状态实时监控、自动记录、自动报警，远程控制，具有断电自动恢复能力及历史数据回放功能。</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2</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基本数据产品</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大气辐射亮温，大气温度廓线，边界层温度廓线，水汽密度廓线，相对湿度廓线，液态水廓线，积分水汽，积分液态水，降雨标志，云底温度和云底高度等。</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3</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数据质控</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具有亮温、地面辅助观测数据和气象产品数据质量的自动检测和质量控制功能。</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4</w:t>
            </w:r>
          </w:p>
        </w:tc>
        <w:tc>
          <w:tcPr>
            <w:tcW w:w="1542" w:type="pct"/>
            <w:gridSpan w:val="2"/>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廓线采样速率</w:t>
            </w:r>
          </w:p>
        </w:tc>
        <w:tc>
          <w:tcPr>
            <w:tcW w:w="3052" w:type="pct"/>
            <w:gridSpan w:val="2"/>
            <w:vAlign w:val="center"/>
          </w:tcPr>
          <w:p>
            <w:pPr>
              <w:pStyle w:val="NormalIndent"/>
              <w:tabs>
                <w:tab w:val="left" w:pos="3119"/>
              </w:tabs>
              <w:ind w:firstLine="0"/>
              <w:rPr>
                <w:rFonts w:ascii="仿宋" w:eastAsia="仿宋" w:hAnsi="仿宋" w:cs="仿宋" w:hint="eastAsia"/>
                <w:bCs/>
                <w:kern w:val="0"/>
                <w:sz w:val="24"/>
                <w:szCs w:val="24"/>
              </w:rPr>
            </w:pPr>
            <w:r>
              <w:rPr>
                <w:rFonts w:ascii="仿宋" w:eastAsia="仿宋" w:hAnsi="仿宋" w:cs="仿宋" w:hint="eastAsia"/>
                <w:bCs/>
                <w:kern w:val="0"/>
                <w:sz w:val="24"/>
                <w:szCs w:val="24"/>
              </w:rPr>
              <w:t>≤</w:t>
            </w:r>
            <w:r>
              <w:rPr>
                <w:rFonts w:ascii="仿宋" w:eastAsia="仿宋" w:hAnsi="仿宋" w:cs="仿宋" w:hint="eastAsia"/>
                <w:bCs/>
                <w:kern w:val="0"/>
                <w:sz w:val="24"/>
                <w:szCs w:val="24"/>
              </w:rPr>
              <w:t>2min</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5</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探测高度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10km</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6</w:t>
            </w:r>
          </w:p>
        </w:tc>
        <w:tc>
          <w:tcPr>
            <w:tcW w:w="551" w:type="pct"/>
            <w:vMerge w:val="restart"/>
            <w:vAlign w:val="center"/>
          </w:tcPr>
          <w:p>
            <w:pPr>
              <w:pStyle w:val="NormalIndent"/>
              <w:tabs>
                <w:tab w:val="left" w:pos="3119"/>
              </w:tabs>
              <w:ind w:firstLine="0"/>
              <w:jc w:val="center"/>
              <w:rPr>
                <w:rFonts w:ascii="仿宋" w:eastAsia="仿宋" w:hAnsi="仿宋" w:cs="仿宋" w:hint="eastAsia"/>
                <w:bCs/>
                <w:kern w:val="0"/>
                <w:sz w:val="24"/>
                <w:szCs w:val="24"/>
              </w:rPr>
            </w:pPr>
            <w:r>
              <w:rPr>
                <w:rFonts w:ascii="仿宋" w:eastAsia="仿宋" w:hAnsi="仿宋" w:cs="仿宋" w:hint="eastAsia"/>
                <w:bCs/>
                <w:kern w:val="0"/>
                <w:sz w:val="24"/>
                <w:szCs w:val="24"/>
              </w:rPr>
              <w:t>温度廓线垂直分辨力</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#天线半功率波束宽度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5</w:t>
            </w:r>
            <w:r>
              <w:rPr>
                <w:rFonts w:ascii="仿宋" w:eastAsia="仿宋" w:hAnsi="仿宋" w:cs="仿宋" w:hint="eastAsia"/>
                <w:bCs/>
                <w:kern w:val="0"/>
                <w:sz w:val="24"/>
              </w:rPr>
              <w:t>°</w:t>
            </w:r>
            <w:r>
              <w:rPr>
                <w:rFonts w:ascii="仿宋" w:eastAsia="仿宋" w:hAnsi="仿宋" w:cs="仿宋" w:hint="eastAsia"/>
                <w:bCs/>
                <w:kern w:val="0"/>
                <w:sz w:val="24"/>
              </w:rPr>
              <w:t>，温度通道</w:t>
            </w:r>
            <w:r>
              <w:rPr>
                <w:rFonts w:ascii="仿宋" w:eastAsia="仿宋" w:hAnsi="仿宋" w:cs="仿宋" w:hint="eastAsia"/>
                <w:bCs/>
                <w:kern w:val="0"/>
                <w:sz w:val="24"/>
              </w:rPr>
              <w:t>≤</w:t>
            </w:r>
            <w:r>
              <w:rPr>
                <w:rFonts w:ascii="仿宋" w:eastAsia="仿宋" w:hAnsi="仿宋" w:cs="仿宋" w:hint="eastAsia"/>
                <w:bCs/>
                <w:kern w:val="0"/>
                <w:sz w:val="24"/>
              </w:rPr>
              <w:t>3</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#天线旁瓣电平</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水汽通道＜-25 dB，温度通道＜-28dB</w:t>
            </w:r>
          </w:p>
        </w:tc>
      </w:tr>
      <w:tr>
        <w:tblPrEx>
          <w:tblW w:w="5000" w:type="pct"/>
          <w:jc w:val="center"/>
          <w:tblCellMar>
            <w:top w:w="0" w:type="dxa"/>
            <w:left w:w="108" w:type="dxa"/>
            <w:bottom w:w="0" w:type="dxa"/>
            <w:right w:w="108" w:type="dxa"/>
          </w:tblCellMar>
          <w:tblLook w:val="0000"/>
        </w:tblPrEx>
        <w:trPr>
          <w:cantSplit/>
          <w:trHeight w:val="308"/>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天线罩损耗</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0.1dB</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7</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接收单元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技术体制</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直接检波或混频检波</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工作频率</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 22～32GHz ，温度通道 51～59GHz</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通道数量</w:t>
            </w:r>
          </w:p>
        </w:tc>
        <w:tc>
          <w:tcPr>
            <w:tcW w:w="3052" w:type="pct"/>
            <w:gridSpan w:val="2"/>
            <w:vAlign w:val="center"/>
          </w:tcPr>
          <w:p>
            <w:pPr>
              <w:widowControl/>
              <w:jc w:val="left"/>
              <w:rPr>
                <w:rFonts w:hint="eastAsia"/>
              </w:rPr>
            </w:pPr>
            <w:r>
              <w:rPr>
                <w:rFonts w:ascii="仿宋" w:eastAsia="仿宋" w:hAnsi="仿宋" w:cs="仿宋" w:hint="eastAsia"/>
                <w:bCs/>
                <w:kern w:val="0"/>
                <w:sz w:val="24"/>
              </w:rPr>
              <w:t>温度通道</w:t>
            </w:r>
            <w:r>
              <w:rPr>
                <w:rFonts w:ascii="仿宋" w:eastAsia="仿宋" w:hAnsi="仿宋" w:cs="仿宋" w:hint="eastAsia"/>
                <w:bCs/>
                <w:kern w:val="0"/>
                <w:sz w:val="24"/>
              </w:rPr>
              <w:t>≥</w:t>
            </w:r>
            <w:r>
              <w:rPr>
                <w:rFonts w:ascii="仿宋" w:eastAsia="仿宋" w:hAnsi="仿宋" w:cs="仿宋" w:hint="eastAsia"/>
                <w:bCs/>
                <w:kern w:val="0"/>
                <w:sz w:val="24"/>
              </w:rPr>
              <w:t>7个</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Merge/>
            <w:vAlign w:val="center"/>
          </w:tcPr>
          <w:p>
            <w:pPr>
              <w:widowControl/>
              <w:jc w:val="center"/>
              <w:rPr>
                <w:rFonts w:ascii="仿宋" w:eastAsia="仿宋" w:hAnsi="仿宋" w:cs="仿宋" w:hint="eastAsia"/>
                <w:bCs/>
                <w:kern w:val="0"/>
              </w:rPr>
            </w:pP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7个</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highlight w:val="yellow"/>
              </w:rPr>
              <w:t>#噪声系数</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4dB，温度通道</w:t>
            </w:r>
            <w:r>
              <w:rPr>
                <w:rFonts w:ascii="仿宋" w:eastAsia="仿宋" w:hAnsi="仿宋" w:cs="仿宋" w:hint="eastAsia"/>
                <w:bCs/>
                <w:kern w:val="0"/>
                <w:sz w:val="24"/>
              </w:rPr>
              <w:t>≤</w:t>
            </w:r>
            <w:r>
              <w:rPr>
                <w:rFonts w:ascii="仿宋" w:eastAsia="仿宋" w:hAnsi="仿宋" w:cs="仿宋" w:hint="eastAsia"/>
                <w:bCs/>
                <w:kern w:val="0"/>
                <w:sz w:val="24"/>
              </w:rPr>
              <w:t>6dB</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亮温测量范围</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0K～400K</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亮温灵敏度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水汽通道</w:t>
            </w:r>
            <w:r>
              <w:rPr>
                <w:rFonts w:ascii="仿宋" w:eastAsia="仿宋" w:hAnsi="仿宋" w:cs="仿宋" w:hint="eastAsia"/>
                <w:bCs/>
                <w:kern w:val="0"/>
                <w:sz w:val="24"/>
              </w:rPr>
              <w:t>≤</w:t>
            </w:r>
            <w:r>
              <w:rPr>
                <w:rFonts w:ascii="仿宋" w:eastAsia="仿宋" w:hAnsi="仿宋" w:cs="仿宋" w:hint="eastAsia"/>
                <w:bCs/>
                <w:kern w:val="0"/>
                <w:sz w:val="24"/>
              </w:rPr>
              <w:t>0.2K（1s 积分时间）</w:t>
            </w:r>
          </w:p>
          <w:p>
            <w:pPr>
              <w:widowControl/>
              <w:jc w:val="left"/>
              <w:rPr>
                <w:rFonts w:ascii="仿宋" w:eastAsia="仿宋" w:hAnsi="仿宋" w:cs="仿宋" w:hint="eastAsia"/>
                <w:bCs/>
                <w:kern w:val="0"/>
              </w:rPr>
            </w:pPr>
            <w:r>
              <w:rPr>
                <w:rFonts w:ascii="仿宋" w:eastAsia="仿宋" w:hAnsi="仿宋" w:cs="仿宋" w:hint="eastAsia"/>
                <w:bCs/>
                <w:kern w:val="0"/>
                <w:sz w:val="24"/>
              </w:rPr>
              <w:t>氧气通道</w:t>
            </w:r>
            <w:r>
              <w:rPr>
                <w:rFonts w:ascii="仿宋" w:eastAsia="仿宋" w:hAnsi="仿宋" w:cs="仿宋" w:hint="eastAsia"/>
                <w:bCs/>
                <w:kern w:val="0"/>
                <w:sz w:val="24"/>
              </w:rPr>
              <w:t>≤</w:t>
            </w:r>
            <w:r>
              <w:rPr>
                <w:rFonts w:ascii="仿宋" w:eastAsia="仿宋" w:hAnsi="仿宋" w:cs="仿宋" w:hint="eastAsia"/>
                <w:bCs/>
                <w:kern w:val="0"/>
                <w:sz w:val="24"/>
              </w:rPr>
              <w:t>0.3K（1s 积分时间）</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#亮温测量误差</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1K RMS</w:t>
            </w:r>
          </w:p>
        </w:tc>
      </w:tr>
      <w:tr>
        <w:tblPrEx>
          <w:tblW w:w="5000" w:type="pct"/>
          <w:jc w:val="center"/>
          <w:tblCellMar>
            <w:top w:w="0" w:type="dxa"/>
            <w:left w:w="108" w:type="dxa"/>
            <w:bottom w:w="0" w:type="dxa"/>
            <w:right w:w="108" w:type="dxa"/>
          </w:tblCellMar>
          <w:tblLook w:val="0000"/>
        </w:tblPrEx>
        <w:trPr>
          <w:cantSplit/>
          <w:trHeight w:val="68"/>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#检波器线性度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0.9999</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8</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定标单元</w:t>
            </w: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#内置黑体温度均匀性</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0.5K</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黑体内置温度传感器误差</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0.2K</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9</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地面参数测量单元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地面温度传感器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测量范围：-50</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0.2</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地面湿度传感器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测量范围：5%～100%RH；</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3%（</w:t>
            </w:r>
            <w:r>
              <w:rPr>
                <w:rFonts w:ascii="仿宋" w:eastAsia="仿宋" w:hAnsi="仿宋" w:cs="仿宋" w:hint="eastAsia"/>
                <w:bCs/>
                <w:kern w:val="0"/>
                <w:sz w:val="24"/>
              </w:rPr>
              <w:t>≤</w:t>
            </w:r>
            <w:r>
              <w:rPr>
                <w:rFonts w:ascii="仿宋" w:eastAsia="仿宋" w:hAnsi="仿宋" w:cs="仿宋" w:hint="eastAsia"/>
                <w:bCs/>
                <w:kern w:val="0"/>
                <w:sz w:val="24"/>
              </w:rPr>
              <w:t>80%）；</w:t>
            </w:r>
            <w:r>
              <w:rPr>
                <w:rFonts w:ascii="仿宋" w:eastAsia="仿宋" w:hAnsi="仿宋" w:cs="仿宋" w:hint="eastAsia"/>
                <w:bCs/>
                <w:kern w:val="0"/>
                <w:sz w:val="24"/>
              </w:rPr>
              <w:t>≤</w:t>
            </w:r>
            <w:r>
              <w:rPr>
                <w:rFonts w:ascii="仿宋" w:eastAsia="仿宋" w:hAnsi="仿宋" w:cs="仿宋" w:hint="eastAsia"/>
                <w:bCs/>
                <w:kern w:val="0"/>
                <w:sz w:val="24"/>
              </w:rPr>
              <w:t>5%（＞80%）</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地面气压传感器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测量范围：500hPa～1060hPa；</w:t>
            </w:r>
          </w:p>
          <w:p>
            <w:pPr>
              <w:widowControl/>
              <w:jc w:val="left"/>
              <w:rPr>
                <w:rFonts w:ascii="仿宋" w:eastAsia="仿宋" w:hAnsi="仿宋" w:cs="仿宋" w:hint="eastAsia"/>
                <w:bCs/>
                <w:kern w:val="0"/>
              </w:rPr>
            </w:pPr>
            <w:r>
              <w:rPr>
                <w:rFonts w:ascii="仿宋" w:eastAsia="仿宋" w:hAnsi="仿宋" w:cs="仿宋" w:hint="eastAsia"/>
                <w:bCs/>
                <w:kern w:val="0"/>
                <w:sz w:val="24"/>
              </w:rPr>
              <w:t>允许误差：</w:t>
            </w:r>
            <w:r>
              <w:rPr>
                <w:rFonts w:ascii="仿宋" w:eastAsia="仿宋" w:hAnsi="仿宋" w:cs="仿宋" w:hint="eastAsia"/>
                <w:bCs/>
                <w:kern w:val="0"/>
                <w:sz w:val="24"/>
              </w:rPr>
              <w:t>≤</w:t>
            </w:r>
            <w:r>
              <w:rPr>
                <w:rFonts w:ascii="仿宋" w:eastAsia="仿宋" w:hAnsi="仿宋" w:cs="仿宋" w:hint="eastAsia"/>
                <w:bCs/>
                <w:kern w:val="0"/>
                <w:sz w:val="24"/>
              </w:rPr>
              <w:t>0.3hPa</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10</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采集与控制单元</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存储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满足 1 年以上基数据和产品等数据存储要求</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11</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观测性能</w:t>
            </w: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#相对湿度廓线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15%RH</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#水汽密度廓线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100m（500m～2000m）；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0.8g/m3</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#温度廓线</w:t>
            </w:r>
          </w:p>
        </w:tc>
        <w:tc>
          <w:tcPr>
            <w:tcW w:w="1647"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垂直分辨率：</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25m（0m～500m）；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50m（500m～2000m）；</w:t>
            </w:r>
          </w:p>
          <w:p>
            <w:pPr>
              <w:widowControl/>
              <w:jc w:val="left"/>
              <w:rPr>
                <w:rFonts w:ascii="仿宋" w:eastAsia="仿宋" w:hAnsi="仿宋" w:cs="仿宋" w:hint="eastAsia"/>
                <w:bCs/>
                <w:kern w:val="0"/>
              </w:rPr>
            </w:pPr>
            <w:r>
              <w:rPr>
                <w:rFonts w:ascii="仿宋" w:eastAsia="仿宋" w:hAnsi="仿宋" w:cs="仿宋" w:hint="eastAsia"/>
                <w:bCs/>
                <w:kern w:val="0"/>
                <w:sz w:val="24"/>
              </w:rPr>
              <w:t>≤</w:t>
            </w:r>
            <w:r>
              <w:rPr>
                <w:rFonts w:ascii="仿宋" w:eastAsia="仿宋" w:hAnsi="仿宋" w:cs="仿宋" w:hint="eastAsia"/>
                <w:bCs/>
                <w:kern w:val="0"/>
                <w:sz w:val="24"/>
              </w:rPr>
              <w:t>250m（2km～10km）</w:t>
            </w:r>
          </w:p>
        </w:tc>
        <w:tc>
          <w:tcPr>
            <w:tcW w:w="1404" w:type="pc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当高度＞2000m时，均方根误差：</w:t>
            </w:r>
            <w:r>
              <w:rPr>
                <w:rFonts w:ascii="仿宋" w:eastAsia="仿宋" w:hAnsi="仿宋" w:cs="仿宋" w:hint="eastAsia"/>
                <w:bCs/>
                <w:kern w:val="0"/>
                <w:sz w:val="24"/>
              </w:rPr>
              <w:t>≤</w:t>
            </w:r>
            <w:r>
              <w:rPr>
                <w:rFonts w:ascii="仿宋" w:eastAsia="仿宋" w:hAnsi="仿宋" w:cs="仿宋" w:hint="eastAsia"/>
                <w:bCs/>
                <w:kern w:val="0"/>
                <w:sz w:val="24"/>
              </w:rPr>
              <w:t>1.8K；</w:t>
            </w:r>
          </w:p>
          <w:p>
            <w:pPr>
              <w:widowControl/>
              <w:jc w:val="left"/>
              <w:rPr>
                <w:rFonts w:ascii="仿宋" w:eastAsia="仿宋" w:hAnsi="仿宋" w:cs="仿宋" w:hint="eastAsia"/>
                <w:bCs/>
                <w:kern w:val="0"/>
              </w:rPr>
            </w:pPr>
            <w:r>
              <w:rPr>
                <w:rFonts w:ascii="仿宋" w:eastAsia="仿宋" w:hAnsi="仿宋" w:cs="仿宋" w:hint="eastAsia"/>
                <w:bCs/>
                <w:kern w:val="0"/>
                <w:sz w:val="24"/>
              </w:rPr>
              <w:t>当高度</w:t>
            </w:r>
            <w:r>
              <w:rPr>
                <w:rFonts w:ascii="仿宋" w:eastAsia="仿宋" w:hAnsi="仿宋" w:cs="仿宋" w:hint="eastAsia"/>
                <w:bCs/>
                <w:kern w:val="0"/>
                <w:sz w:val="24"/>
              </w:rPr>
              <w:t>≤</w:t>
            </w:r>
            <w:r>
              <w:rPr>
                <w:rFonts w:ascii="仿宋" w:eastAsia="仿宋" w:hAnsi="仿宋" w:cs="仿宋" w:hint="eastAsia"/>
                <w:bCs/>
                <w:kern w:val="0"/>
                <w:sz w:val="24"/>
              </w:rPr>
              <w:t>2000m时，均方根误差：</w:t>
            </w:r>
            <w:r>
              <w:rPr>
                <w:rFonts w:ascii="仿宋" w:eastAsia="仿宋" w:hAnsi="仿宋" w:cs="仿宋" w:hint="eastAsia"/>
                <w:bCs/>
                <w:kern w:val="0"/>
                <w:sz w:val="24"/>
              </w:rPr>
              <w:t>≤</w:t>
            </w:r>
            <w:r>
              <w:rPr>
                <w:rFonts w:ascii="仿宋" w:eastAsia="仿宋" w:hAnsi="仿宋" w:cs="仿宋" w:hint="eastAsia"/>
                <w:bCs/>
                <w:kern w:val="0"/>
                <w:sz w:val="24"/>
              </w:rPr>
              <w:t>1K</w:t>
            </w:r>
          </w:p>
        </w:tc>
      </w:tr>
      <w:tr>
        <w:tblPrEx>
          <w:tblW w:w="5000" w:type="pct"/>
          <w:jc w:val="center"/>
          <w:tblCellMar>
            <w:top w:w="0" w:type="dxa"/>
            <w:left w:w="108" w:type="dxa"/>
            <w:bottom w:w="0" w:type="dxa"/>
            <w:right w:w="108" w:type="dxa"/>
          </w:tblCellMar>
          <w:tblLook w:val="0000"/>
        </w:tblPrEx>
        <w:trPr>
          <w:cantSplit/>
          <w:trHeight w:val="75"/>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highlight w:val="yellow"/>
              </w:rPr>
            </w:pPr>
            <w:r>
              <w:rPr>
                <w:rFonts w:ascii="仿宋" w:eastAsia="仿宋" w:hAnsi="仿宋" w:cs="仿宋" w:hint="eastAsia"/>
                <w:bCs/>
                <w:kern w:val="0"/>
                <w:sz w:val="24"/>
                <w:highlight w:val="yellow"/>
              </w:rPr>
              <w:t>#积分水汽含量</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均方根误差</w:t>
            </w:r>
            <w:r>
              <w:rPr>
                <w:rFonts w:ascii="仿宋" w:eastAsia="仿宋" w:hAnsi="仿宋" w:cs="仿宋" w:hint="eastAsia"/>
                <w:bCs/>
                <w:kern w:val="0"/>
                <w:sz w:val="24"/>
              </w:rPr>
              <w:t>≤</w:t>
            </w:r>
            <w:r>
              <w:rPr>
                <w:rFonts w:ascii="仿宋" w:eastAsia="仿宋" w:hAnsi="仿宋" w:cs="仿宋" w:hint="eastAsia"/>
                <w:bCs/>
                <w:kern w:val="0"/>
                <w:sz w:val="24"/>
              </w:rPr>
              <w:t>4mm</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12</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供电</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供电</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220V、50Hz，电压变化－15％～10％，频率变化</w:t>
            </w:r>
            <w:r>
              <w:rPr>
                <w:rFonts w:ascii="仿宋" w:eastAsia="仿宋" w:hAnsi="仿宋" w:cs="仿宋" w:hint="eastAsia"/>
                <w:bCs/>
                <w:kern w:val="0"/>
                <w:sz w:val="24"/>
              </w:rPr>
              <w:t>±</w:t>
            </w:r>
            <w:r>
              <w:rPr>
                <w:rFonts w:ascii="仿宋" w:eastAsia="仿宋" w:hAnsi="仿宋" w:cs="仿宋" w:hint="eastAsia"/>
                <w:bCs/>
                <w:kern w:val="0"/>
                <w:sz w:val="24"/>
              </w:rPr>
              <w:t>3％时，系统能正常工作</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551" w:type="pct"/>
            <w:vMerge/>
            <w:vAlign w:val="center"/>
          </w:tcPr>
          <w:p>
            <w:pPr>
              <w:pStyle w:val="NormalIndent"/>
              <w:tabs>
                <w:tab w:val="left" w:pos="3119"/>
              </w:tabs>
              <w:ind w:firstLine="0"/>
              <w:jc w:val="center"/>
              <w:rPr>
                <w:rFonts w:ascii="仿宋" w:eastAsia="仿宋" w:hAnsi="仿宋" w:cs="仿宋" w:hint="eastAsia"/>
                <w:bCs/>
                <w:kern w:val="0"/>
                <w:sz w:val="24"/>
                <w:szCs w:val="24"/>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功耗</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未开启防雾干燥系统加热模块时，整机功耗应</w:t>
            </w:r>
            <w:r>
              <w:rPr>
                <w:rFonts w:ascii="仿宋" w:eastAsia="仿宋" w:hAnsi="仿宋" w:cs="仿宋" w:hint="eastAsia"/>
                <w:bCs/>
                <w:kern w:val="0"/>
                <w:sz w:val="24"/>
              </w:rPr>
              <w:t>≤</w:t>
            </w:r>
            <w:r>
              <w:rPr>
                <w:rFonts w:ascii="仿宋" w:eastAsia="仿宋" w:hAnsi="仿宋" w:cs="仿宋" w:hint="eastAsia"/>
                <w:bCs/>
                <w:kern w:val="0"/>
                <w:sz w:val="24"/>
              </w:rPr>
              <w:t>600W；</w:t>
            </w:r>
          </w:p>
          <w:p>
            <w:pPr>
              <w:widowControl/>
              <w:jc w:val="left"/>
              <w:rPr>
                <w:rFonts w:ascii="仿宋" w:eastAsia="仿宋" w:hAnsi="仿宋" w:cs="仿宋" w:hint="eastAsia"/>
                <w:bCs/>
                <w:kern w:val="0"/>
              </w:rPr>
            </w:pPr>
            <w:r>
              <w:rPr>
                <w:rFonts w:ascii="仿宋" w:eastAsia="仿宋" w:hAnsi="仿宋" w:cs="仿宋" w:hint="eastAsia"/>
                <w:bCs/>
                <w:kern w:val="0"/>
                <w:sz w:val="24"/>
              </w:rPr>
              <w:t>最大允许功耗应</w:t>
            </w:r>
            <w:r>
              <w:rPr>
                <w:rFonts w:ascii="仿宋" w:eastAsia="仿宋" w:hAnsi="仿宋" w:cs="仿宋" w:hint="eastAsia"/>
                <w:bCs/>
                <w:kern w:val="0"/>
                <w:sz w:val="24"/>
              </w:rPr>
              <w:t>≤</w:t>
            </w:r>
            <w:r>
              <w:rPr>
                <w:rFonts w:ascii="仿宋" w:eastAsia="仿宋" w:hAnsi="仿宋" w:cs="仿宋" w:hint="eastAsia"/>
                <w:bCs/>
                <w:kern w:val="0"/>
                <w:sz w:val="24"/>
              </w:rPr>
              <w:t>2100W</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13</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环境适应性</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温度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工作温度：</w:t>
            </w:r>
            <w:r>
              <w:rPr>
                <w:rFonts w:ascii="仿宋" w:eastAsia="仿宋" w:hAnsi="仿宋" w:cs="仿宋" w:hint="eastAsia"/>
                <w:bCs/>
                <w:kern w:val="0"/>
                <w:sz w:val="24"/>
              </w:rPr>
              <w:t>−</w:t>
            </w:r>
            <w:r>
              <w:rPr>
                <w:rFonts w:ascii="仿宋" w:eastAsia="仿宋" w:hAnsi="仿宋" w:cs="仿宋" w:hint="eastAsia"/>
                <w:bCs/>
                <w:kern w:val="0"/>
                <w:sz w:val="24"/>
              </w:rPr>
              <w:t>40</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（室外设备），0</w:t>
            </w:r>
            <w:r>
              <w:rPr>
                <w:rFonts w:ascii="仿宋" w:eastAsia="仿宋" w:hAnsi="仿宋" w:cs="仿宋" w:hint="eastAsia"/>
                <w:bCs/>
                <w:kern w:val="0"/>
                <w:sz w:val="24"/>
              </w:rPr>
              <w:t>℃</w:t>
            </w:r>
            <w:r>
              <w:rPr>
                <w:rFonts w:ascii="仿宋" w:eastAsia="仿宋" w:hAnsi="仿宋" w:cs="仿宋" w:hint="eastAsia"/>
                <w:bCs/>
                <w:kern w:val="0"/>
                <w:sz w:val="24"/>
              </w:rPr>
              <w:t>～40</w:t>
            </w:r>
            <w:r>
              <w:rPr>
                <w:rFonts w:ascii="仿宋" w:eastAsia="仿宋" w:hAnsi="仿宋" w:cs="仿宋" w:hint="eastAsia"/>
                <w:bCs/>
                <w:kern w:val="0"/>
                <w:sz w:val="24"/>
              </w:rPr>
              <w:t>℃</w:t>
            </w:r>
            <w:r>
              <w:rPr>
                <w:rFonts w:ascii="仿宋" w:eastAsia="仿宋" w:hAnsi="仿宋" w:cs="仿宋" w:hint="eastAsia"/>
                <w:bCs/>
                <w:kern w:val="0"/>
                <w:sz w:val="24"/>
              </w:rPr>
              <w:t>（室内设备）；</w:t>
            </w:r>
          </w:p>
          <w:p>
            <w:pPr>
              <w:widowControl/>
              <w:jc w:val="left"/>
              <w:rPr>
                <w:rFonts w:ascii="仿宋" w:eastAsia="仿宋" w:hAnsi="仿宋" w:cs="仿宋" w:hint="eastAsia"/>
                <w:bCs/>
                <w:kern w:val="0"/>
              </w:rPr>
            </w:pPr>
            <w:r>
              <w:rPr>
                <w:rFonts w:ascii="仿宋" w:eastAsia="仿宋" w:hAnsi="仿宋" w:cs="仿宋" w:hint="eastAsia"/>
                <w:bCs/>
                <w:kern w:val="0"/>
                <w:sz w:val="24"/>
              </w:rPr>
              <w:t>贮存温度：</w:t>
            </w:r>
            <w:r>
              <w:rPr>
                <w:rFonts w:ascii="仿宋" w:eastAsia="仿宋" w:hAnsi="仿宋" w:cs="仿宋" w:hint="eastAsia"/>
                <w:bCs/>
                <w:kern w:val="0"/>
                <w:sz w:val="24"/>
              </w:rPr>
              <w:t>−</w:t>
            </w:r>
            <w:r>
              <w:rPr>
                <w:rFonts w:ascii="仿宋" w:eastAsia="仿宋" w:hAnsi="仿宋" w:cs="仿宋" w:hint="eastAsia"/>
                <w:bCs/>
                <w:kern w:val="0"/>
                <w:sz w:val="24"/>
              </w:rPr>
              <w:t>50</w:t>
            </w:r>
            <w:r>
              <w:rPr>
                <w:rFonts w:ascii="仿宋" w:eastAsia="仿宋" w:hAnsi="仿宋" w:cs="仿宋" w:hint="eastAsia"/>
                <w:bCs/>
                <w:kern w:val="0"/>
                <w:sz w:val="24"/>
              </w:rPr>
              <w:t>℃</w:t>
            </w:r>
            <w:r>
              <w:rPr>
                <w:rFonts w:ascii="仿宋" w:eastAsia="仿宋" w:hAnsi="仿宋" w:cs="仿宋" w:hint="eastAsia"/>
                <w:bCs/>
                <w:kern w:val="0"/>
                <w:sz w:val="24"/>
              </w:rPr>
              <w:t>～55</w:t>
            </w:r>
            <w:r>
              <w:rPr>
                <w:rFonts w:ascii="仿宋" w:eastAsia="仿宋" w:hAnsi="仿宋" w:cs="仿宋" w:hint="eastAsia"/>
                <w:bCs/>
                <w:kern w:val="0"/>
                <w:sz w:val="24"/>
              </w:rPr>
              <w:t>℃</w:t>
            </w:r>
            <w:r>
              <w:rPr>
                <w:rFonts w:ascii="仿宋" w:eastAsia="仿宋" w:hAnsi="仿宋" w:cs="仿宋" w:hint="eastAsia"/>
                <w:bCs/>
                <w:kern w:val="0"/>
                <w:sz w:val="24"/>
              </w:rPr>
              <w:t>。</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恒定湿热</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室外设备相对湿度95%，环境温度35</w:t>
            </w:r>
            <w:r>
              <w:rPr>
                <w:rFonts w:ascii="仿宋" w:eastAsia="仿宋" w:hAnsi="仿宋" w:cs="仿宋" w:hint="eastAsia"/>
                <w:bCs/>
                <w:kern w:val="0"/>
                <w:sz w:val="24"/>
              </w:rPr>
              <w:t>℃</w:t>
            </w:r>
            <w:r>
              <w:rPr>
                <w:rFonts w:ascii="仿宋" w:eastAsia="仿宋" w:hAnsi="仿宋" w:cs="仿宋" w:hint="eastAsia"/>
                <w:bCs/>
                <w:kern w:val="0"/>
                <w:sz w:val="24"/>
              </w:rPr>
              <w:t>，试验时间48h</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气压</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500～1060hPa。</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外壳防护</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室外设备外壳防护等级应达到IP55。</w:t>
            </w:r>
          </w:p>
        </w:tc>
      </w:tr>
      <w:tr>
        <w:tblPrEx>
          <w:tblW w:w="5000" w:type="pct"/>
          <w:jc w:val="center"/>
          <w:tblCellMar>
            <w:top w:w="0" w:type="dxa"/>
            <w:left w:w="108" w:type="dxa"/>
            <w:bottom w:w="0" w:type="dxa"/>
            <w:right w:w="108" w:type="dxa"/>
          </w:tblCellMar>
          <w:tblLook w:val="0000"/>
        </w:tblPrEx>
        <w:trPr>
          <w:cantSplit/>
          <w:trHeight w:val="122"/>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抗盐雾腐</w:t>
            </w:r>
          </w:p>
          <w:p>
            <w:pPr>
              <w:widowControl/>
              <w:jc w:val="center"/>
              <w:rPr>
                <w:rFonts w:ascii="仿宋" w:eastAsia="仿宋" w:hAnsi="仿宋" w:cs="仿宋" w:hint="eastAsia"/>
                <w:bCs/>
                <w:kern w:val="0"/>
              </w:rPr>
            </w:pPr>
            <w:r>
              <w:rPr>
                <w:rFonts w:ascii="仿宋" w:eastAsia="仿宋" w:hAnsi="仿宋" w:cs="仿宋" w:hint="eastAsia"/>
                <w:bCs/>
                <w:kern w:val="0"/>
                <w:sz w:val="24"/>
              </w:rPr>
              <w:t>蚀</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外露零件镀层耐48小时盐雾沉降试验。</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14</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机械</w:t>
            </w:r>
          </w:p>
          <w:p>
            <w:pPr>
              <w:widowControl/>
              <w:jc w:val="center"/>
              <w:rPr>
                <w:rFonts w:ascii="仿宋" w:eastAsia="仿宋" w:hAnsi="仿宋" w:cs="仿宋" w:hint="eastAsia"/>
                <w:bCs/>
                <w:kern w:val="0"/>
              </w:rPr>
            </w:pPr>
            <w:r>
              <w:rPr>
                <w:rFonts w:ascii="仿宋" w:eastAsia="仿宋" w:hAnsi="仿宋" w:cs="仿宋" w:hint="eastAsia"/>
                <w:bCs/>
                <w:kern w:val="0"/>
                <w:sz w:val="24"/>
              </w:rPr>
              <w:t>条件</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冲击振动</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在产品规定包装条件下，宽带随机振动试验应达到2M3等级（参考标准GB/T 4798.2-2008）。</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15</w:t>
            </w:r>
          </w:p>
        </w:tc>
        <w:tc>
          <w:tcPr>
            <w:tcW w:w="55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电磁兼容性</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电磁抗扰度</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满足GB/T17626.2-2018 静电放电抗扰度要求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满足GB/T17626.4-2018 电快速瞬变脉冲群抗扰度要求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满足GB/T17626.5-2018 浪涌（冲击）抗扰度要求</w:t>
            </w:r>
          </w:p>
          <w:p>
            <w:pPr>
              <w:widowControl/>
              <w:jc w:val="left"/>
              <w:rPr>
                <w:rFonts w:ascii="仿宋" w:eastAsia="仿宋" w:hAnsi="仿宋" w:cs="仿宋" w:hint="eastAsia"/>
                <w:bCs/>
                <w:kern w:val="0"/>
              </w:rPr>
            </w:pPr>
            <w:r>
              <w:rPr>
                <w:rFonts w:ascii="仿宋" w:eastAsia="仿宋" w:hAnsi="仿宋" w:cs="仿宋" w:hint="eastAsia"/>
                <w:bCs/>
                <w:kern w:val="0"/>
                <w:sz w:val="24"/>
              </w:rPr>
              <w:t>提供投标产品的电磁兼容检测报告</w:t>
            </w:r>
          </w:p>
        </w:tc>
      </w:tr>
      <w:tr>
        <w:tblPrEx>
          <w:tblW w:w="5000" w:type="pct"/>
          <w:jc w:val="center"/>
          <w:tblCellMar>
            <w:top w:w="0" w:type="dxa"/>
            <w:left w:w="108" w:type="dxa"/>
            <w:bottom w:w="0" w:type="dxa"/>
            <w:right w:w="108" w:type="dxa"/>
          </w:tblCellMar>
          <w:tblLook w:val="0000"/>
        </w:tblPrEx>
        <w:trPr>
          <w:cantSplit/>
          <w:trHeight w:val="307"/>
          <w:jc w:val="center"/>
        </w:trPr>
        <w:tc>
          <w:tcPr>
            <w:tcW w:w="405" w:type="pct"/>
            <w:vMerge w:val="restar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16</w:t>
            </w:r>
          </w:p>
        </w:tc>
        <w:tc>
          <w:tcPr>
            <w:tcW w:w="551" w:type="pct"/>
            <w:vMerge w:val="restar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其他</w:t>
            </w: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天线罩性能</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微波天线罩具有雨、雪、尘土等防护作用</w:t>
            </w:r>
          </w:p>
        </w:tc>
      </w:tr>
      <w:tr>
        <w:tblPrEx>
          <w:tblW w:w="5000" w:type="pct"/>
          <w:jc w:val="center"/>
          <w:tblCellMar>
            <w:top w:w="0" w:type="dxa"/>
            <w:left w:w="108" w:type="dxa"/>
            <w:bottom w:w="0" w:type="dxa"/>
            <w:right w:w="108" w:type="dxa"/>
          </w:tblCellMar>
          <w:tblLook w:val="0000"/>
        </w:tblPrEx>
        <w:trPr>
          <w:cantSplit/>
          <w:trHeight w:val="441"/>
          <w:jc w:val="center"/>
        </w:trPr>
        <w:tc>
          <w:tcPr>
            <w:tcW w:w="405" w:type="pct"/>
            <w:vMerge/>
            <w:vAlign w:val="center"/>
          </w:tcPr>
          <w:p>
            <w:pPr>
              <w:widowControl/>
              <w:jc w:val="center"/>
              <w:rPr>
                <w:rFonts w:ascii="仿宋" w:eastAsia="仿宋" w:hAnsi="仿宋" w:cs="仿宋" w:hint="eastAsia"/>
                <w:bCs/>
                <w:kern w:val="0"/>
              </w:rPr>
            </w:pPr>
          </w:p>
        </w:tc>
        <w:tc>
          <w:tcPr>
            <w:tcW w:w="551" w:type="pct"/>
            <w:vMerge/>
            <w:vAlign w:val="center"/>
          </w:tcPr>
          <w:p>
            <w:pPr>
              <w:widowControl/>
              <w:jc w:val="center"/>
              <w:rPr>
                <w:rFonts w:ascii="仿宋" w:eastAsia="仿宋" w:hAnsi="仿宋" w:cs="仿宋" w:hint="eastAsia"/>
                <w:bCs/>
                <w:kern w:val="0"/>
              </w:rPr>
            </w:pPr>
          </w:p>
        </w:tc>
        <w:tc>
          <w:tcPr>
            <w:tcW w:w="991" w:type="pct"/>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自动观测</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投标产品具备无人值守观测方式，要求投标产品具备内定标技术，实现自动定标观测能力</w:t>
            </w:r>
          </w:p>
        </w:tc>
      </w:tr>
      <w:tr>
        <w:tblPrEx>
          <w:tblW w:w="5000" w:type="pct"/>
          <w:jc w:val="center"/>
          <w:tblCellMar>
            <w:top w:w="0" w:type="dxa"/>
            <w:left w:w="108" w:type="dxa"/>
            <w:bottom w:w="0" w:type="dxa"/>
            <w:right w:w="108" w:type="dxa"/>
          </w:tblCellMar>
          <w:tblLook w:val="0000"/>
        </w:tblPrEx>
        <w:trPr>
          <w:cantSplit/>
          <w:jc w:val="center"/>
        </w:trPr>
        <w:tc>
          <w:tcPr>
            <w:tcW w:w="405" w:type="pct"/>
            <w:vAlign w:val="center"/>
          </w:tcPr>
          <w:p>
            <w:pPr>
              <w:pStyle w:val="NormalIndent"/>
              <w:tabs>
                <w:tab w:val="left" w:pos="3119"/>
              </w:tabs>
              <w:ind w:firstLine="0"/>
              <w:jc w:val="center"/>
              <w:rPr>
                <w:rFonts w:ascii="仿宋" w:eastAsia="仿宋" w:hAnsi="仿宋" w:cs="仿宋"/>
                <w:bCs/>
                <w:kern w:val="0"/>
                <w:sz w:val="24"/>
                <w:szCs w:val="24"/>
              </w:rPr>
            </w:pPr>
            <w:r>
              <w:rPr>
                <w:rFonts w:ascii="仿宋" w:eastAsia="仿宋" w:hAnsi="仿宋" w:cs="仿宋" w:hint="eastAsia"/>
                <w:bCs/>
                <w:kern w:val="0"/>
                <w:sz w:val="24"/>
                <w:szCs w:val="24"/>
              </w:rPr>
              <w:t>17</w:t>
            </w:r>
          </w:p>
        </w:tc>
        <w:tc>
          <w:tcPr>
            <w:tcW w:w="1542" w:type="pct"/>
            <w:gridSpan w:val="2"/>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标准输出控制单元</w:t>
            </w:r>
          </w:p>
        </w:tc>
        <w:tc>
          <w:tcPr>
            <w:tcW w:w="3052" w:type="pct"/>
            <w:gridSpan w:val="2"/>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具备数据采集、处理、存储、通讯，以及产品显示、质量控制、业务过程、状态监控等功能（满足中国局《气象监测预警补短板工程建设技术指南（修订）》要求）</w:t>
            </w:r>
          </w:p>
        </w:tc>
      </w:tr>
    </w:tbl>
    <w:p>
      <w:pPr>
        <w:spacing w:line="560" w:lineRule="exact"/>
        <w:jc w:val="center"/>
        <w:rPr>
          <w:rFonts w:ascii="仿宋_GB2312" w:eastAsia="仿宋_GB2312" w:hAnsi="仿宋_GB2312" w:cs="仿宋_GB2312" w:hint="eastAsia"/>
          <w:b/>
          <w:bCs/>
          <w:szCs w:val="21"/>
        </w:rPr>
      </w:pPr>
      <w:r>
        <w:rPr>
          <w:rFonts w:ascii="仿宋_GB2312" w:eastAsia="仿宋_GB2312" w:hAnsi="仿宋_GB2312" w:cs="仿宋_GB2312" w:hint="eastAsia"/>
          <w:b/>
          <w:bCs/>
          <w:szCs w:val="21"/>
        </w:rPr>
        <w:t>配置要求</w:t>
      </w:r>
    </w:p>
    <w:tbl>
      <w:tblPr>
        <w:tblStyle w:val="TableNormal"/>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Look w:val="0000"/>
      </w:tblPr>
      <w:tblGrid>
        <w:gridCol w:w="558"/>
        <w:gridCol w:w="1846"/>
        <w:gridCol w:w="709"/>
        <w:gridCol w:w="709"/>
        <w:gridCol w:w="3823"/>
        <w:gridCol w:w="1452"/>
      </w:tblGrid>
      <w:tr>
        <w:tblPrEx>
          <w:tblW w:w="909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 w:type="dxa"/>
            <w:bottom w:w="0" w:type="dxa"/>
            <w:right w:w="10" w:type="dxa"/>
          </w:tblCellMar>
          <w:tblLook w:val="0000"/>
        </w:tblPrEx>
        <w:trPr>
          <w:trHeight w:val="503"/>
          <w:jc w:val="center"/>
        </w:trPr>
        <w:tc>
          <w:tcPr>
            <w:tcW w:w="558"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序号</w:t>
            </w:r>
          </w:p>
        </w:tc>
        <w:tc>
          <w:tcPr>
            <w:tcW w:w="1846"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设备名称</w:t>
            </w:r>
          </w:p>
        </w:tc>
        <w:tc>
          <w:tcPr>
            <w:tcW w:w="709"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单位</w:t>
            </w:r>
          </w:p>
        </w:tc>
        <w:tc>
          <w:tcPr>
            <w:tcW w:w="709"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数量</w:t>
            </w:r>
          </w:p>
        </w:tc>
        <w:tc>
          <w:tcPr>
            <w:tcW w:w="3823"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主要功能</w:t>
            </w:r>
          </w:p>
        </w:tc>
        <w:tc>
          <w:tcPr>
            <w:tcW w:w="1452" w:type="dxa"/>
            <w:vAlign w:val="center"/>
          </w:tcPr>
          <w:p>
            <w:pPr>
              <w:widowControl/>
              <w:jc w:val="center"/>
              <w:rPr>
                <w:rFonts w:ascii="仿宋" w:eastAsia="仿宋" w:hAnsi="仿宋" w:cs="仿宋" w:hint="eastAsia"/>
                <w:b/>
                <w:kern w:val="0"/>
              </w:rPr>
            </w:pPr>
            <w:r>
              <w:rPr>
                <w:rFonts w:ascii="仿宋" w:eastAsia="仿宋" w:hAnsi="仿宋" w:cs="仿宋" w:hint="eastAsia"/>
                <w:b/>
                <w:kern w:val="0"/>
                <w:sz w:val="24"/>
              </w:rPr>
              <w:t>备注</w:t>
            </w:r>
          </w:p>
        </w:tc>
      </w:tr>
      <w:tr>
        <w:tblPrEx>
          <w:tblW w:w="9097" w:type="dxa"/>
          <w:jc w:val="center"/>
          <w:tblLayout w:type="fixed"/>
          <w:tblCellMar>
            <w:top w:w="0" w:type="dxa"/>
            <w:left w:w="10" w:type="dxa"/>
            <w:bottom w:w="0" w:type="dxa"/>
            <w:right w:w="10" w:type="dxa"/>
          </w:tblCellMar>
          <w:tblLook w:val="0000"/>
        </w:tblPrEx>
        <w:trPr>
          <w:trHeight w:val="1260"/>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微波辐射计室外主机</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台</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具备温度、水汽多通道复合大气微波辐射及云红外辐射接收能力，同时还能监测工作现场的温度、湿度、气压、降水等气象要素以及设备工作状态信息。</w:t>
            </w:r>
          </w:p>
        </w:tc>
        <w:tc>
          <w:tcPr>
            <w:tcW w:w="1452" w:type="dxa"/>
            <w:vMerge w:val="restart"/>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包含设备运输、安装、调试、验收等。</w:t>
            </w: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2</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辅助单元</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外部液氮标定组件、防雨雾干燥组件、加热组件、地面气象观测要素观测组件。</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3</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辐射计管理应用软件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运算生成大气温湿度廓线等多种气象产品，控制和监测辐射计主机及附属设备的工作状态。</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27"/>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4</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标准输出控制单元</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辐射计数据质量监测单元。</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27"/>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5</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室外支架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台</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室外主机安装。</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638"/>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6</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产品技术手册</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产品技术说明书、软件使用操作说明书、产品维护说明书。</w:t>
            </w:r>
          </w:p>
        </w:tc>
        <w:tc>
          <w:tcPr>
            <w:tcW w:w="1452" w:type="dxa"/>
            <w:vMerge/>
            <w:vAlign w:val="center"/>
          </w:tcPr>
          <w:p>
            <w:pPr>
              <w:widowControl/>
              <w:jc w:val="left"/>
              <w:rPr>
                <w:rFonts w:ascii="仿宋" w:eastAsia="仿宋" w:hAnsi="仿宋" w:cs="仿宋" w:hint="eastAsia"/>
                <w:bCs/>
                <w:kern w:val="0"/>
              </w:rPr>
            </w:pPr>
          </w:p>
        </w:tc>
      </w:tr>
      <w:tr>
        <w:tblPrEx>
          <w:tblW w:w="9097" w:type="dxa"/>
          <w:jc w:val="center"/>
          <w:tblLayout w:type="fixed"/>
          <w:tblCellMar>
            <w:top w:w="0" w:type="dxa"/>
            <w:left w:w="10" w:type="dxa"/>
            <w:bottom w:w="0" w:type="dxa"/>
            <w:right w:w="10" w:type="dxa"/>
          </w:tblCellMar>
          <w:tblLook w:val="0000"/>
        </w:tblPrEx>
        <w:trPr>
          <w:trHeight w:val="342"/>
          <w:jc w:val="center"/>
        </w:trPr>
        <w:tc>
          <w:tcPr>
            <w:tcW w:w="558"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7</w:t>
            </w:r>
          </w:p>
        </w:tc>
        <w:tc>
          <w:tcPr>
            <w:tcW w:w="1846"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随机附件备件</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套</w:t>
            </w:r>
          </w:p>
        </w:tc>
        <w:tc>
          <w:tcPr>
            <w:tcW w:w="709" w:type="dxa"/>
            <w:vAlign w:val="center"/>
          </w:tcPr>
          <w:p>
            <w:pPr>
              <w:widowControl/>
              <w:jc w:val="center"/>
              <w:rPr>
                <w:rFonts w:ascii="仿宋" w:eastAsia="仿宋" w:hAnsi="仿宋" w:cs="仿宋" w:hint="eastAsia"/>
                <w:bCs/>
                <w:kern w:val="0"/>
              </w:rPr>
            </w:pPr>
            <w:r>
              <w:rPr>
                <w:rFonts w:ascii="仿宋" w:eastAsia="仿宋" w:hAnsi="仿宋" w:cs="仿宋" w:hint="eastAsia"/>
                <w:bCs/>
                <w:kern w:val="0"/>
                <w:sz w:val="24"/>
              </w:rPr>
              <w:t>1</w:t>
            </w:r>
          </w:p>
        </w:tc>
        <w:tc>
          <w:tcPr>
            <w:tcW w:w="3823"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随机备件一套。</w:t>
            </w:r>
          </w:p>
        </w:tc>
        <w:tc>
          <w:tcPr>
            <w:tcW w:w="1452" w:type="dxa"/>
            <w:vAlign w:val="center"/>
          </w:tcPr>
          <w:p>
            <w:pPr>
              <w:widowControl/>
              <w:jc w:val="left"/>
              <w:rPr>
                <w:rFonts w:ascii="仿宋" w:eastAsia="仿宋" w:hAnsi="仿宋" w:cs="仿宋" w:hint="eastAsia"/>
                <w:bCs/>
                <w:kern w:val="0"/>
              </w:rPr>
            </w:pPr>
            <w:r>
              <w:rPr>
                <w:rFonts w:ascii="仿宋" w:eastAsia="仿宋" w:hAnsi="仿宋" w:cs="仿宋" w:hint="eastAsia"/>
                <w:bCs/>
                <w:kern w:val="0"/>
                <w:sz w:val="24"/>
              </w:rPr>
              <w:t>随机免费提供</w:t>
            </w:r>
          </w:p>
        </w:tc>
      </w:tr>
    </w:tbl>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4.1 设备建设</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投标产品技术指标要求、采购人质量服务要求及项目建设特点应有全面、深入的理解。设备供应商需提供详细项目建设方案，包括但不限于：产品质量检测方案、设备安装建设方案、建设工期安排、工期保证措施等。由设备供应商负责设备安装、调试等工作，用户方负责提供安装场地、供电及通讯，设备安装调试、验收等相关工作,费用由设备供应商负责。设备不合格或不符合质量要求，供应商除无条件退货、返工外，还应承担采购人的一切损失。</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4.2技术服务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（1）设备供应商需提供详细技术服务方案，包括但不限于：设备安装建设规范、设备工作原理、设备部件结构组成、设备操作手册、设备运行维护手册、设备软件使用手册、相关产品算法说明文档等。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（2）设备供应商需提供详细售后服务方案，包括设备售后服务组织机构、人员组成、技术支持文档等。其中，售后服务组织机构设置合理，人员技术能力强，技术文档内容全面。</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（3）设备供应商对每套投标产品提供至少2次技术培训，培训内容包括设备安装、使用、日常维护、观测原理及产品应用，培训时间及地点双方协商确定。</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4.3 质保期服务</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（1）</w:t>
      </w:r>
      <w:r>
        <w:rPr>
          <w:rFonts w:ascii="仿宋" w:eastAsia="仿宋" w:hAnsi="仿宋" w:cs="仿宋" w:hint="eastAsia"/>
          <w:sz w:val="28"/>
          <w:szCs w:val="20"/>
          <w:highlight w:val="yellow"/>
        </w:rPr>
        <w:t>设备供应商对所有设备提供自验收合格后8年的免费维护维修服务*，</w:t>
      </w:r>
      <w:r>
        <w:rPr>
          <w:rFonts w:ascii="仿宋" w:eastAsia="仿宋" w:hAnsi="仿宋" w:cs="仿宋" w:hint="eastAsia"/>
          <w:sz w:val="28"/>
          <w:szCs w:val="20"/>
        </w:rPr>
        <w:t>并提供相关承诺函。按照业务运行规范要求执行，确保设备可稳定运行，主要工作包括：汛前巡检、周维护、月维护、年维护等巡检巡查工作，以及关键器件及系统故障的维修等。故障维修和巡检巡查等需按照《2022年度补短板工程新上设备建设及质保指导意见（地基遥感垂直观测系统）》要求执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 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24小时，当投标产品或软件遭到损坏或出现故障时，要在用户报修之时起4小时内做出响应，并在48小时内到达现场，开展维修维护工作，视情况双方协商设备恢复正常运行时限。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参照《地基微波辐射计功能规格需求书》《地基微波辐射计测试大纲》和《地基遥感垂直观测系统测试大纲》以及中国气象局最新业务管理规定等有关文件要求开展检验考核。</w:t>
      </w: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详见采购需求-其他技术及商务需求。</w:t>
      </w:r>
    </w:p>
    <w:p>
      <w:pPr>
        <w:spacing w:line="240" w:lineRule="auto"/>
        <w:outlineLvl w:val="9"/>
        <w:rPr>
          <w:rFonts w:ascii="Times New Roman" w:hAnsi="Times New Roman" w:hint="default"/>
          <w:bCs w:val="0"/>
          <w:snapToGrid/>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82"/>
        <w:gridCol w:w="1294"/>
        <w:gridCol w:w="1089"/>
        <w:gridCol w:w="1496"/>
        <w:gridCol w:w="1706"/>
        <w:gridCol w:w="1135"/>
        <w:gridCol w:w="92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微波辐射计</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1,700,000.00</w:t>
            </w:r>
          </w:p>
        </w:tc>
        <w:tc>
          <w:tcPr/>
          <w:p>
            <w:pPr>
              <w:autoSpaceDE w:val="0"/>
              <w:jc w:val="center"/>
              <w:rPr>
                <w:rFonts w:asciiTheme="minorEastAsia" w:hAnsiTheme="minorEastAsia" w:cstheme="minorEastAsia" w:hint="eastAsia"/>
                <w:kern w:val="0"/>
                <w:szCs w:val="21"/>
              </w:rPr>
            </w:pPr>
            <w:r>
              <w:t>120天</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1,700,000.00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22"/>
        <w:gridCol w:w="1617"/>
        <w:gridCol w:w="1219"/>
        <w:gridCol w:w="622"/>
        <w:gridCol w:w="1418"/>
        <w:gridCol w:w="1182"/>
        <w:gridCol w:w="1219"/>
        <w:gridCol w:w="62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三门峡市气象局</w:t>
            </w:r>
          </w:p>
        </w:tc>
        <w:tc>
          <w:tcPr/>
          <w:p>
            <w:r>
              <w:t>微波辐射计</w:t>
            </w:r>
          </w:p>
        </w:tc>
        <w:tc>
          <w:tcPr/>
          <w:p>
            <w:r>
              <w:t>1</w:t>
            </w:r>
          </w:p>
        </w:tc>
        <w:tc>
          <w:tcPr/>
          <w:p>
            <w:r>
              <w:t>1700000.00</w:t>
            </w:r>
          </w:p>
        </w:tc>
        <w:tc>
          <w:tcPr/>
          <w:p>
            <w:r>
              <w:t xml:space="preserve">1700000.00  </w:t>
            </w:r>
          </w:p>
        </w:tc>
        <w:tc>
          <w:tcPr/>
          <w:p>
            <w:r>
              <w:t>三门峡卢氏</w:t>
            </w:r>
          </w:p>
        </w:tc>
        <w:tc>
          <w:tcP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卢氏高空站目前已经建设P波段风廓线雷达，毫米波测云仪，GNSS/MET水汽监测系统和集成系统，根据中国气象局规划，将建成全套地基遥感垂直观测系统，采购微波辐射计，补齐观测设备。设备必须取得地基微波辐射计气象专用技术装备使用许可证。</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设备供应商对每套投标产品提供至少2次技术培训，培训课时不少于</w:t>
      </w:r>
      <w:r>
        <w:rPr>
          <w:rFonts w:ascii="仿宋" w:eastAsia="仿宋" w:hAnsi="仿宋" w:cs="仿宋" w:hint="eastAsia"/>
          <w:sz w:val="28"/>
          <w:szCs w:val="20"/>
          <w:lang w:val="en-US" w:eastAsia="zh-CN"/>
        </w:rPr>
        <w:t>6</w:t>
      </w:r>
      <w:r>
        <w:rPr>
          <w:rFonts w:ascii="仿宋" w:eastAsia="仿宋" w:hAnsi="仿宋" w:cs="仿宋" w:hint="eastAsia"/>
          <w:sz w:val="28"/>
          <w:szCs w:val="20"/>
        </w:rPr>
        <w:t>个课时，培训人数不少于</w:t>
      </w:r>
      <w:r>
        <w:rPr>
          <w:rFonts w:ascii="仿宋" w:eastAsia="仿宋" w:hAnsi="仿宋" w:cs="仿宋" w:hint="eastAsia"/>
          <w:sz w:val="28"/>
          <w:szCs w:val="20"/>
          <w:lang w:val="en-US" w:eastAsia="zh-CN"/>
        </w:rPr>
        <w:t>18</w:t>
      </w:r>
      <w:r>
        <w:rPr>
          <w:rFonts w:ascii="仿宋" w:eastAsia="仿宋" w:hAnsi="仿宋" w:cs="仿宋" w:hint="eastAsia"/>
          <w:sz w:val="28"/>
          <w:szCs w:val="20"/>
        </w:rPr>
        <w:t>人。</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三门峡卢氏县气象局</w:t>
      </w:r>
      <w:r>
        <w:rPr>
          <w:rFonts w:ascii="仿宋" w:eastAsia="仿宋" w:hAnsi="仿宋" w:cs="仿宋" w:hint="eastAsia"/>
          <w:sz w:val="28"/>
          <w:szCs w:val="20"/>
        </w:rPr>
        <w:t>（运输相关费用由供应商负责），并负责安装调试。</w:t>
      </w:r>
    </w:p>
    <w:p>
      <w:pPr>
        <w:ind w:firstLine="560" w:firstLineChars="200"/>
        <w:rPr>
          <w:rFonts w:ascii="仿宋" w:eastAsia="仿宋" w:hAnsi="仿宋" w:cs="仿宋"/>
          <w:b/>
          <w:bCs/>
          <w:sz w:val="28"/>
          <w:szCs w:val="20"/>
        </w:rPr>
      </w:pPr>
      <w:r>
        <w:rPr>
          <w:rFonts w:ascii="仿宋" w:eastAsia="仿宋" w:hAnsi="仿宋" w:cs="仿宋" w:hint="eastAsia"/>
          <w:sz w:val="28"/>
          <w:szCs w:val="20"/>
        </w:rPr>
        <w:t>合同签订后120天内完成供货、</w:t>
      </w:r>
      <w:r>
        <w:rPr>
          <w:rFonts w:ascii="仿宋" w:eastAsia="仿宋" w:hAnsi="仿宋" w:cs="仿宋" w:hint="eastAsia"/>
          <w:sz w:val="28"/>
          <w:szCs w:val="20"/>
          <w:lang w:val="en-US" w:eastAsia="zh-CN"/>
        </w:rPr>
        <w:t>30天内完成</w:t>
      </w:r>
      <w:r>
        <w:rPr>
          <w:rFonts w:ascii="仿宋" w:eastAsia="仿宋" w:hAnsi="仿宋" w:cs="仿宋" w:hint="eastAsia"/>
          <w:sz w:val="28"/>
          <w:szCs w:val="20"/>
        </w:rPr>
        <w:t>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lang w:val="en-US" w:eastAsia="zh-CN"/>
        </w:rPr>
        <w:t>设备软件兼容性强，设备数据传输模式、数据格式、数据通讯协议满足国家局下发的相关功能规格需求书要求，设备观测数据通过气象专网接入天擎平台，完全符合甲方相关要求和规范，保证其系统兼容性和功能的完整性</w:t>
      </w:r>
      <w:r>
        <w:rPr>
          <w:rFonts w:ascii="仿宋" w:eastAsia="仿宋" w:hAnsi="仿宋" w:cs="仿宋" w:hint="eastAsia"/>
          <w:sz w:val="28"/>
          <w:szCs w:val="20"/>
        </w:rPr>
        <w:t>。</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设备供应商对所有设备提供自验收合格后8年的免费维护维修服务*，并提供相关承诺函。</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 w:name="Microsoft YaHei">
    <w:panose1 w:val="020B0503020204020204"/>
    <w:charset w:val="86"/>
    <w:family w:val="auto"/>
    <w:pitch w:val="default"/>
    <w:sig w:usb0="80000287" w:usb1="280F3C52" w:usb2="00000016" w:usb3="00000000" w:csb0="0004001F" w:csb1="00000000"/>
  </w:font>
  <w:font w:name="DejaVu Sans">
    <w:panose1 w:val="020B0603030804020204"/>
    <w:charset w:val="00"/>
    <w:family w:val="auto"/>
    <w:pitch w:val="default"/>
    <w:sig w:usb0="E7006EFF" w:usb1="D200FDFF" w:usb2="0A246029" w:usb3="0400200C" w:csb0="600001FF" w:csb1="DFFF0000"/>
  </w:font>
  <w:font w:name="noto sans thai">
    <w:panose1 w:val="020B0502040504020204"/>
    <w:charset w:val="00"/>
    <w:family w:val="auto"/>
    <w:pitch w:val="default"/>
    <w:sig w:usb0="81000063" w:usb1="00002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NormalIndent">
    <w:name w:val="Normal Indent"/>
    <w:basedOn w:val="Normal"/>
    <w:pPr>
      <w:ind w:firstLine="420"/>
    </w:pPr>
    <w:rPr>
      <w:rFonts w:eastAsia="方正仿宋"/>
      <w:sz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