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2025年佳木斯市气象局植被及物候自动观测系统项目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ZQCD-25257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佳木斯市气象局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2025年佳木斯市气象局植被及物候自动观测系统项目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ZQCD-25257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黑龙江佳木斯</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2025年09月01日 00:00:00</w:t>
      </w:r>
      <w:bookmarkEnd w:id="26"/>
      <w:r>
        <w:rPr>
          <w:rFonts w:ascii="宋体" w:hint="eastAsia"/>
          <w:szCs w:val="21"/>
          <w:highlight w:val="none"/>
        </w:rPr>
        <w:t>至</w:t>
      </w:r>
      <w:bookmarkStart w:id="27" w:name="项目公告_signUpLastTime"/>
      <w:r>
        <w:rPr>
          <w:rFonts w:ascii="宋体" w:hint="eastAsia"/>
          <w:szCs w:val="21"/>
          <w:highlight w:val="none"/>
        </w:rPr>
        <w:t>2025年09月08日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佳木斯市气象局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于秀健</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0454-8587223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佳木斯市郊区长安西路790号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佳木斯市气象局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不允许（仅针对以下产品：植被及物候自动观测系统不允许代理商投标）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必须，以下产品需要提供至投标截止日仍有效的《气象专用技术装备使用许可证》：物候自动观测仪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标的：植被及物候自动观测系统，属于工业行业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79.000000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79.000000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销售合同必须包括植被及物候自动观测系统，每提供1份合同得1分，最多得5分。否则不得分。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针对本项目采购的植被及物候自动观测系统，承诺每提前10天交货的得0.5分，最多得1分。否则不得分。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针对植被及物候自动观测系统设备，每提供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针对植被及物候自动观测系统设备，测试报告应涵盖低温试验、高温试验、电磁环境测试等内容，每包含一项得1分，最多得3分。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72"/>
        <w:gridCol w:w="7750"/>
      </w:tblGrid>
      <w:tr>
        <w:tblPrEx>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
          <w:tblHeader/>
          <w:jc w:val="center"/>
        </w:trPr>
        <w:tc>
          <w:tcPr>
            <w:tcW w:w="843" w:type="pct"/>
            <w:vAlign w:val="center"/>
          </w:tcPr>
          <w:p>
            <w:pPr>
              <w:jc w:val="center"/>
              <w:rPr>
                <w:rFonts w:ascii="仿宋" w:eastAsia="仿宋" w:hAnsi="仿宋" w:cs="仿宋" w:hint="eastAsia"/>
              </w:rPr>
            </w:pPr>
            <w:r>
              <w:rPr>
                <w:rStyle w:val="font11"/>
                <w:rFonts w:ascii="仿宋" w:eastAsia="仿宋" w:hAnsi="仿宋" w:cs="仿宋" w:hint="default"/>
                <w:sz w:val="24"/>
                <w:szCs w:val="24"/>
              </w:rPr>
              <w:t>设备名称</w:t>
            </w:r>
          </w:p>
        </w:tc>
        <w:tc>
          <w:tcPr>
            <w:tcW w:w="4156" w:type="pct"/>
            <w:vAlign w:val="center"/>
          </w:tcPr>
          <w:p>
            <w:pPr>
              <w:jc w:val="center"/>
              <w:rPr>
                <w:rFonts w:ascii="仿宋" w:eastAsia="仿宋" w:hAnsi="仿宋" w:cs="仿宋" w:hint="eastAsia"/>
              </w:rPr>
            </w:pPr>
            <w:r>
              <w:rPr>
                <w:rStyle w:val="font11"/>
                <w:rFonts w:ascii="仿宋" w:eastAsia="仿宋" w:hAnsi="仿宋" w:cs="仿宋" w:hint="default"/>
                <w:sz w:val="24"/>
                <w:szCs w:val="24"/>
              </w:rPr>
              <w:t>指标参数</w:t>
            </w:r>
          </w:p>
        </w:tc>
      </w:tr>
      <w:tr>
        <w:tblPrEx>
          <w:tblW w:w="5144" w:type="pct"/>
          <w:jc w:val="center"/>
          <w:tblCellMar>
            <w:top w:w="0" w:type="dxa"/>
            <w:left w:w="108" w:type="dxa"/>
            <w:bottom w:w="0" w:type="dxa"/>
            <w:right w:w="108" w:type="dxa"/>
          </w:tblCellMar>
          <w:tblLook w:val="0000"/>
        </w:tblPrEx>
        <w:trPr>
          <w:trHeight w:val="23"/>
          <w:jc w:val="center"/>
        </w:trPr>
        <w:tc>
          <w:tcPr>
            <w:tcW w:w="843" w:type="pct"/>
            <w:vAlign w:val="center"/>
          </w:tcPr>
          <w:p>
            <w:pPr>
              <w:rPr>
                <w:rFonts w:ascii="仿宋" w:eastAsia="仿宋" w:hAnsi="仿宋" w:cs="仿宋" w:hint="eastAsia"/>
              </w:rPr>
            </w:pPr>
            <w:r>
              <w:rPr>
                <w:rFonts w:ascii="仿宋" w:eastAsia="仿宋" w:hAnsi="仿宋" w:cs="仿宋" w:hint="eastAsia"/>
                <w:sz w:val="24"/>
              </w:rPr>
              <w:t>物候自动观测仪</w:t>
            </w:r>
          </w:p>
        </w:tc>
        <w:tc>
          <w:tcPr>
            <w:tcW w:w="4156" w:type="pct"/>
            <w:vAlign w:val="center"/>
          </w:tcPr>
          <w:p>
            <w:pPr>
              <w:widowControl/>
              <w:rPr>
                <w:rFonts w:ascii="仿宋" w:eastAsia="仿宋" w:hAnsi="仿宋" w:cs="仿宋" w:hint="eastAsia"/>
                <w:kern w:val="0"/>
              </w:rPr>
            </w:pPr>
            <w:r>
              <w:rPr>
                <w:rFonts w:ascii="仿宋" w:eastAsia="仿宋" w:hAnsi="仿宋" w:cs="仿宋" w:hint="eastAsia"/>
                <w:color w:val="000000"/>
                <w:kern w:val="0"/>
                <w:sz w:val="24"/>
              </w:rPr>
              <w:t>（1）植物物候观测传感器</w:t>
            </w:r>
          </w:p>
          <w:p>
            <w:pPr>
              <w:widowControl/>
              <w:rPr>
                <w:rFonts w:ascii="仿宋" w:eastAsia="仿宋" w:hAnsi="仿宋" w:cs="仿宋" w:hint="eastAsia"/>
                <w:kern w:val="0"/>
              </w:rPr>
            </w:pPr>
            <w:r>
              <w:rPr>
                <w:rFonts w:ascii="仿宋" w:eastAsia="仿宋" w:hAnsi="仿宋" w:cs="仿宋" w:hint="eastAsia"/>
                <w:color w:val="000000"/>
                <w:kern w:val="0"/>
                <w:sz w:val="24"/>
              </w:rPr>
              <w:t>植物物候观测传感器的性能应符合下列要求：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有效像素：</w:t>
            </w:r>
            <w:r>
              <w:rPr>
                <w:rFonts w:ascii="仿宋" w:eastAsia="仿宋" w:hAnsi="仿宋" w:cs="仿宋" w:hint="eastAsia"/>
                <w:color w:val="000000"/>
                <w:kern w:val="0"/>
                <w:sz w:val="24"/>
              </w:rPr>
              <w:t>≥</w:t>
            </w:r>
            <w:r>
              <w:rPr>
                <w:rFonts w:ascii="仿宋" w:eastAsia="仿宋" w:hAnsi="仿宋" w:cs="仿宋" w:hint="eastAsia"/>
                <w:color w:val="000000"/>
                <w:kern w:val="0"/>
                <w:sz w:val="24"/>
              </w:rPr>
              <w:t>400万像素</w:t>
            </w:r>
          </w:p>
          <w:p>
            <w:pPr>
              <w:widowControl/>
              <w:rPr>
                <w:rFonts w:ascii="仿宋" w:eastAsia="仿宋" w:hAnsi="仿宋" w:cs="仿宋" w:hint="eastAsia"/>
                <w:kern w:val="0"/>
              </w:rPr>
            </w:pPr>
            <w:r>
              <w:rPr>
                <w:rFonts w:ascii="仿宋" w:eastAsia="仿宋" w:hAnsi="仿宋" w:cs="仿宋" w:hint="eastAsia"/>
                <w:color w:val="000000"/>
                <w:kern w:val="0"/>
                <w:sz w:val="24"/>
              </w:rPr>
              <w:t>图像预处理：自动对焦、自动曝光、自动白平衡等</w:t>
            </w:r>
          </w:p>
          <w:p>
            <w:pPr>
              <w:widowControl/>
              <w:rPr>
                <w:rFonts w:ascii="仿宋" w:eastAsia="仿宋" w:hAnsi="仿宋" w:cs="仿宋" w:hint="eastAsia"/>
                <w:kern w:val="0"/>
              </w:rPr>
            </w:pPr>
            <w:r>
              <w:rPr>
                <w:rFonts w:ascii="仿宋" w:eastAsia="仿宋" w:hAnsi="仿宋" w:cs="仿宋" w:hint="eastAsia"/>
                <w:color w:val="000000"/>
                <w:kern w:val="0"/>
                <w:sz w:val="24"/>
              </w:rPr>
              <w:t>文件格式：支持JPEG或TIFF格式</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电源：DC，9V～12V</w:t>
            </w:r>
          </w:p>
          <w:p>
            <w:pPr>
              <w:widowControl/>
              <w:rPr>
                <w:rFonts w:ascii="仿宋" w:eastAsia="仿宋" w:hAnsi="仿宋" w:cs="仿宋" w:hint="eastAsia"/>
                <w:kern w:val="0"/>
              </w:rPr>
            </w:pPr>
            <w:r>
              <w:rPr>
                <w:rFonts w:ascii="仿宋" w:eastAsia="仿宋" w:hAnsi="仿宋" w:cs="仿宋" w:hint="eastAsia"/>
                <w:color w:val="000000"/>
                <w:kern w:val="0"/>
                <w:sz w:val="24"/>
              </w:rPr>
              <w:t>（2）冠层高度传感器</w:t>
            </w:r>
          </w:p>
          <w:p>
            <w:pPr>
              <w:widowControl/>
              <w:rPr>
                <w:rFonts w:ascii="仿宋" w:eastAsia="仿宋" w:hAnsi="仿宋" w:cs="仿宋" w:hint="eastAsia"/>
                <w:kern w:val="0"/>
              </w:rPr>
            </w:pPr>
            <w:r>
              <w:rPr>
                <w:rFonts w:ascii="仿宋" w:eastAsia="仿宋" w:hAnsi="仿宋" w:cs="仿宋" w:hint="eastAsia"/>
                <w:color w:val="000000"/>
                <w:kern w:val="0"/>
                <w:sz w:val="24"/>
              </w:rPr>
              <w:t>冠层高度传感器的性能应符合下列要求：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测量范围：0cm～5000cm</w:t>
            </w:r>
          </w:p>
          <w:p>
            <w:pPr>
              <w:widowControl/>
              <w:rPr>
                <w:rFonts w:ascii="仿宋" w:eastAsia="仿宋" w:hAnsi="仿宋" w:cs="仿宋" w:hint="eastAsia"/>
                <w:kern w:val="0"/>
                <w:highlight w:val="yellow"/>
              </w:rPr>
            </w:pPr>
            <w:r>
              <w:rPr>
                <w:rFonts w:ascii="仿宋" w:eastAsia="仿宋" w:hAnsi="仿宋" w:cs="仿宋" w:hint="eastAsia"/>
                <w:color w:val="000000"/>
                <w:kern w:val="0"/>
                <w:sz w:val="24"/>
                <w:highlight w:val="yellow"/>
              </w:rPr>
              <w:t>#分辨力：0.1cm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3cm</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（3）群落结构传感器</w:t>
            </w:r>
          </w:p>
          <w:p>
            <w:pPr>
              <w:widowControl/>
              <w:rPr>
                <w:rFonts w:ascii="仿宋" w:eastAsia="仿宋" w:hAnsi="仿宋" w:cs="仿宋" w:hint="eastAsia"/>
                <w:kern w:val="0"/>
              </w:rPr>
            </w:pPr>
            <w:r>
              <w:rPr>
                <w:rFonts w:ascii="仿宋" w:eastAsia="仿宋" w:hAnsi="仿宋" w:cs="仿宋" w:hint="eastAsia"/>
                <w:color w:val="000000"/>
                <w:kern w:val="0"/>
                <w:sz w:val="24"/>
              </w:rPr>
              <w:t>群落结构传感器的性能应符合下列要求：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#测量范围：0cm～5000cm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#高度最大允许误差：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8cm</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电源：DC，12V～15V</w:t>
            </w:r>
          </w:p>
          <w:p>
            <w:pPr>
              <w:widowControl/>
              <w:rPr>
                <w:rFonts w:ascii="仿宋" w:eastAsia="仿宋" w:hAnsi="仿宋" w:cs="仿宋" w:hint="eastAsia"/>
                <w:kern w:val="0"/>
              </w:rPr>
            </w:pPr>
            <w:r>
              <w:rPr>
                <w:rFonts w:ascii="仿宋" w:eastAsia="仿宋" w:hAnsi="仿宋" w:cs="仿宋" w:hint="eastAsia"/>
                <w:color w:val="000000"/>
                <w:kern w:val="0"/>
                <w:sz w:val="24"/>
              </w:rPr>
              <w:t>（4）植被光合作用子系统</w:t>
            </w:r>
          </w:p>
          <w:p>
            <w:pPr>
              <w:widowControl/>
              <w:rPr>
                <w:rFonts w:ascii="仿宋" w:eastAsia="仿宋" w:hAnsi="仿宋" w:cs="仿宋" w:hint="eastAsia"/>
                <w:kern w:val="0"/>
              </w:rPr>
            </w:pPr>
            <w:r>
              <w:rPr>
                <w:rFonts w:ascii="仿宋" w:eastAsia="仿宋" w:hAnsi="仿宋" w:cs="仿宋" w:hint="eastAsia"/>
                <w:color w:val="000000"/>
                <w:kern w:val="0"/>
                <w:sz w:val="24"/>
              </w:rPr>
              <w:t>植被光合作用子系统的性能应符合下列要求：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光谱范围：650nm～800nm</w:t>
            </w:r>
          </w:p>
          <w:p>
            <w:pPr>
              <w:widowControl/>
              <w:rPr>
                <w:rFonts w:ascii="仿宋" w:eastAsia="仿宋" w:hAnsi="仿宋" w:cs="仿宋" w:hint="eastAsia"/>
                <w:kern w:val="0"/>
              </w:rPr>
            </w:pPr>
            <w:r>
              <w:rPr>
                <w:rFonts w:ascii="仿宋" w:eastAsia="仿宋" w:hAnsi="仿宋" w:cs="仿宋" w:hint="eastAsia"/>
                <w:color w:val="000000"/>
                <w:kern w:val="0"/>
                <w:sz w:val="24"/>
              </w:rPr>
              <w:t>光谱分辨率：0.3</w:t>
            </w:r>
            <w:r>
              <w:rPr>
                <w:rFonts w:ascii="仿宋" w:eastAsia="仿宋" w:hAnsi="仿宋" w:cs="仿宋" w:hint="eastAsia"/>
                <w:color w:val="000000"/>
                <w:kern w:val="0"/>
                <w:sz w:val="24"/>
              </w:rPr>
              <w:t>±</w:t>
            </w:r>
            <w:r>
              <w:rPr>
                <w:rFonts w:ascii="仿宋" w:eastAsia="仿宋" w:hAnsi="仿宋" w:cs="仿宋" w:hint="eastAsia"/>
                <w:color w:val="000000"/>
                <w:kern w:val="0"/>
                <w:sz w:val="24"/>
              </w:rPr>
              <w:t>0.1nm</w:t>
            </w:r>
          </w:p>
          <w:p>
            <w:pPr>
              <w:widowControl/>
              <w:rPr>
                <w:rFonts w:ascii="仿宋" w:eastAsia="仿宋" w:hAnsi="仿宋" w:cs="仿宋" w:hint="eastAsia"/>
                <w:kern w:val="0"/>
              </w:rPr>
            </w:pPr>
            <w:r>
              <w:rPr>
                <w:rFonts w:ascii="仿宋" w:eastAsia="仿宋" w:hAnsi="仿宋" w:cs="仿宋" w:hint="eastAsia"/>
                <w:color w:val="000000"/>
                <w:kern w:val="0"/>
                <w:sz w:val="24"/>
              </w:rPr>
              <w:t>信噪比指标：</w:t>
            </w:r>
            <w:r>
              <w:rPr>
                <w:rFonts w:ascii="仿宋" w:eastAsia="仿宋" w:hAnsi="仿宋" w:cs="仿宋" w:hint="eastAsia"/>
                <w:color w:val="000000"/>
                <w:kern w:val="0"/>
                <w:sz w:val="24"/>
              </w:rPr>
              <w:t>≥</w:t>
            </w:r>
            <w:r>
              <w:rPr>
                <w:rFonts w:ascii="仿宋" w:eastAsia="仿宋" w:hAnsi="仿宋" w:cs="仿宋" w:hint="eastAsia"/>
                <w:color w:val="000000"/>
                <w:kern w:val="0"/>
                <w:sz w:val="24"/>
              </w:rPr>
              <w:t>1000:1</w:t>
            </w:r>
          </w:p>
          <w:p>
            <w:pPr>
              <w:widowControl/>
              <w:rPr>
                <w:rFonts w:ascii="仿宋" w:eastAsia="仿宋" w:hAnsi="仿宋" w:cs="仿宋" w:hint="eastAsia"/>
                <w:kern w:val="0"/>
              </w:rPr>
            </w:pPr>
            <w:r>
              <w:rPr>
                <w:rFonts w:ascii="仿宋" w:eastAsia="仿宋" w:hAnsi="仿宋" w:cs="仿宋" w:hint="eastAsia"/>
                <w:color w:val="000000"/>
                <w:kern w:val="0"/>
                <w:sz w:val="24"/>
              </w:rPr>
              <w:t>光谱采样间隔：0.17</w:t>
            </w:r>
            <w:r>
              <w:rPr>
                <w:rFonts w:ascii="仿宋" w:eastAsia="仿宋" w:hAnsi="仿宋" w:cs="仿宋" w:hint="eastAsia"/>
                <w:color w:val="000000"/>
                <w:kern w:val="0"/>
                <w:sz w:val="24"/>
              </w:rPr>
              <w:t>±</w:t>
            </w:r>
            <w:r>
              <w:rPr>
                <w:rFonts w:ascii="仿宋" w:eastAsia="仿宋" w:hAnsi="仿宋" w:cs="仿宋" w:hint="eastAsia"/>
                <w:color w:val="000000"/>
                <w:kern w:val="0"/>
                <w:sz w:val="24"/>
              </w:rPr>
              <w:t>0.05nm</w:t>
            </w:r>
          </w:p>
          <w:p>
            <w:pPr>
              <w:widowControl/>
              <w:rPr>
                <w:rFonts w:ascii="仿宋" w:eastAsia="仿宋" w:hAnsi="仿宋" w:cs="仿宋" w:hint="eastAsia"/>
                <w:kern w:val="0"/>
              </w:rPr>
            </w:pPr>
            <w:r>
              <w:rPr>
                <w:rFonts w:ascii="仿宋" w:eastAsia="仿宋" w:hAnsi="仿宋" w:cs="仿宋" w:hint="eastAsia"/>
                <w:color w:val="000000"/>
                <w:kern w:val="0"/>
                <w:sz w:val="24"/>
              </w:rPr>
              <w:t>光谱仪量程：＞180000</w:t>
            </w:r>
          </w:p>
          <w:p>
            <w:pPr>
              <w:widowControl/>
              <w:rPr>
                <w:rFonts w:ascii="仿宋" w:eastAsia="仿宋" w:hAnsi="仿宋" w:cs="仿宋" w:hint="eastAsia"/>
                <w:kern w:val="0"/>
              </w:rPr>
            </w:pPr>
            <w:r>
              <w:rPr>
                <w:rFonts w:ascii="仿宋" w:eastAsia="仿宋" w:hAnsi="仿宋" w:cs="仿宋" w:hint="eastAsia"/>
                <w:color w:val="000000"/>
                <w:kern w:val="0"/>
                <w:sz w:val="24"/>
              </w:rPr>
              <w:t>光谱仪CCD工作温度与控温室温度的温差不小于38</w:t>
            </w:r>
            <w:r>
              <w:rPr>
                <w:rFonts w:ascii="仿宋" w:eastAsia="仿宋" w:hAnsi="仿宋" w:cs="仿宋" w:hint="eastAsia"/>
                <w:color w:val="000000"/>
                <w:kern w:val="0"/>
                <w:sz w:val="24"/>
              </w:rPr>
              <w:t>℃</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采集电路积分时间：晴天太阳下行辐射采集积分时间优于1s，作物冠层上行辐射采集积分时间优于2s。</w:t>
            </w:r>
          </w:p>
          <w:p>
            <w:pPr>
              <w:widowControl/>
              <w:rPr>
                <w:rFonts w:ascii="仿宋" w:eastAsia="仿宋" w:hAnsi="仿宋" w:cs="仿宋" w:hint="eastAsia"/>
                <w:kern w:val="0"/>
              </w:rPr>
            </w:pPr>
            <w:r>
              <w:rPr>
                <w:rFonts w:ascii="仿宋" w:eastAsia="仿宋" w:hAnsi="仿宋" w:cs="仿宋" w:hint="eastAsia"/>
                <w:color w:val="000000"/>
                <w:kern w:val="0"/>
                <w:sz w:val="24"/>
              </w:rPr>
              <w:t>采集通道：双光路设计</w:t>
            </w:r>
          </w:p>
          <w:p>
            <w:pPr>
              <w:widowControl/>
              <w:rPr>
                <w:rFonts w:ascii="仿宋" w:eastAsia="仿宋" w:hAnsi="仿宋" w:cs="仿宋" w:hint="eastAsia"/>
                <w:kern w:val="0"/>
              </w:rPr>
            </w:pPr>
            <w:r>
              <w:rPr>
                <w:rFonts w:ascii="仿宋" w:eastAsia="仿宋" w:hAnsi="仿宋" w:cs="仿宋" w:hint="eastAsia"/>
                <w:color w:val="000000"/>
                <w:kern w:val="0"/>
                <w:sz w:val="24"/>
              </w:rPr>
              <w:t>控温室具有控温功能：低于环境温度10度</w:t>
            </w:r>
          </w:p>
          <w:p>
            <w:pPr>
              <w:widowControl/>
              <w:rPr>
                <w:rFonts w:ascii="仿宋" w:eastAsia="仿宋" w:hAnsi="仿宋" w:cs="仿宋" w:hint="eastAsia"/>
                <w:kern w:val="0"/>
              </w:rPr>
            </w:pPr>
            <w:r>
              <w:rPr>
                <w:rFonts w:ascii="仿宋" w:eastAsia="仿宋" w:hAnsi="仿宋" w:cs="仿宋" w:hint="eastAsia"/>
                <w:color w:val="000000"/>
                <w:kern w:val="0"/>
                <w:sz w:val="24"/>
              </w:rPr>
              <w:t>系统平均功耗：</w:t>
            </w:r>
            <w:r>
              <w:rPr>
                <w:rFonts w:ascii="仿宋" w:eastAsia="仿宋" w:hAnsi="仿宋" w:cs="仿宋" w:hint="eastAsia"/>
                <w:color w:val="000000"/>
                <w:kern w:val="0"/>
                <w:sz w:val="24"/>
              </w:rPr>
              <w:t>≤</w:t>
            </w:r>
            <w:r>
              <w:rPr>
                <w:rFonts w:ascii="仿宋" w:eastAsia="仿宋" w:hAnsi="仿宋" w:cs="仿宋" w:hint="eastAsia"/>
                <w:color w:val="000000"/>
                <w:kern w:val="0"/>
                <w:sz w:val="24"/>
              </w:rPr>
              <w:t>45W</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（5）植被指数传感器</w:t>
            </w:r>
          </w:p>
          <w:p>
            <w:pPr>
              <w:widowControl/>
              <w:rPr>
                <w:rFonts w:ascii="仿宋" w:eastAsia="仿宋" w:hAnsi="仿宋" w:cs="仿宋" w:hint="eastAsia"/>
                <w:kern w:val="0"/>
              </w:rPr>
            </w:pPr>
            <w:r>
              <w:rPr>
                <w:rFonts w:ascii="仿宋" w:eastAsia="仿宋" w:hAnsi="仿宋" w:cs="仿宋" w:hint="eastAsia"/>
                <w:color w:val="000000"/>
                <w:kern w:val="0"/>
                <w:sz w:val="24"/>
              </w:rPr>
              <w:t>植被指数传感器的性能应符合下列要求：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光谱范围：红光（RED）：650nm</w:t>
            </w:r>
            <w:r>
              <w:rPr>
                <w:rFonts w:ascii="仿宋" w:eastAsia="仿宋" w:hAnsi="仿宋" w:cs="仿宋" w:hint="eastAsia"/>
                <w:color w:val="000000"/>
                <w:kern w:val="0"/>
                <w:sz w:val="24"/>
              </w:rPr>
              <w:t>±</w:t>
            </w:r>
            <w:r>
              <w:rPr>
                <w:rFonts w:ascii="仿宋" w:eastAsia="仿宋" w:hAnsi="仿宋" w:cs="仿宋" w:hint="eastAsia"/>
                <w:color w:val="000000"/>
                <w:kern w:val="0"/>
                <w:sz w:val="24"/>
              </w:rPr>
              <w:t>5nm，半峰宽（FWHM）20nm；近红外（NIR）：810nm</w:t>
            </w:r>
            <w:r>
              <w:rPr>
                <w:rFonts w:ascii="仿宋" w:eastAsia="仿宋" w:hAnsi="仿宋" w:cs="仿宋" w:hint="eastAsia"/>
                <w:color w:val="000000"/>
                <w:kern w:val="0"/>
                <w:sz w:val="24"/>
              </w:rPr>
              <w:t>±</w:t>
            </w:r>
            <w:r>
              <w:rPr>
                <w:rFonts w:ascii="仿宋" w:eastAsia="仿宋" w:hAnsi="仿宋" w:cs="仿宋" w:hint="eastAsia"/>
                <w:color w:val="000000"/>
                <w:kern w:val="0"/>
                <w:sz w:val="24"/>
              </w:rPr>
              <w:t>5nm；半峰宽（FWHM）20nm。</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光谱辐照度：测量范围：0W/m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5%FS</w:t>
            </w:r>
            <w:r>
              <w:rPr>
                <w:rFonts w:ascii="仿宋" w:eastAsia="仿宋" w:hAnsi="仿宋" w:cs="仿宋" w:hint="eastAsia"/>
                <w:color w:val="000000"/>
                <w:kern w:val="0"/>
                <w:sz w:val="24"/>
              </w:rPr>
              <w:t>。</w:t>
            </w:r>
          </w:p>
          <w:p>
            <w:pPr>
              <w:jc w:val="left"/>
              <w:rPr>
                <w:rFonts w:ascii="仿宋" w:eastAsia="仿宋" w:hAnsi="仿宋" w:cs="仿宋" w:hint="eastAsia"/>
                <w:color w:val="000000"/>
                <w:kern w:val="0"/>
              </w:rPr>
            </w:pPr>
            <w:r>
              <w:rPr>
                <w:rFonts w:ascii="仿宋" w:eastAsia="仿宋" w:hAnsi="仿宋" w:cs="仿宋" w:hint="eastAsia"/>
                <w:color w:val="000000"/>
                <w:kern w:val="0"/>
                <w:sz w:val="24"/>
              </w:rPr>
              <w:t>光谱幅亮度：测量范围：0W/m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pPr>
              <w:jc w:val="left"/>
              <w:rPr>
                <w:rFonts w:ascii="仿宋" w:eastAsia="仿宋" w:hAnsi="仿宋" w:cs="仿宋" w:hint="eastAsia"/>
                <w:color w:val="000000"/>
                <w:kern w:val="0"/>
              </w:rPr>
            </w:pPr>
            <w:r>
              <w:rPr>
                <w:rFonts w:ascii="仿宋" w:eastAsia="仿宋" w:hAnsi="仿宋" w:cs="仿宋" w:hint="eastAsia"/>
                <w:color w:val="000000"/>
                <w:kern w:val="0"/>
                <w:sz w:val="24"/>
              </w:rPr>
              <w:t>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pPr>
              <w:jc w:val="left"/>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5%FS</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（6）全景图像传感器</w:t>
            </w:r>
          </w:p>
          <w:p>
            <w:pPr>
              <w:widowControl/>
              <w:rPr>
                <w:rFonts w:ascii="仿宋" w:eastAsia="仿宋" w:hAnsi="仿宋" w:cs="仿宋" w:hint="eastAsia"/>
                <w:kern w:val="0"/>
              </w:rPr>
            </w:pPr>
            <w:r>
              <w:rPr>
                <w:rFonts w:ascii="仿宋" w:eastAsia="仿宋" w:hAnsi="仿宋" w:cs="仿宋" w:hint="eastAsia"/>
                <w:color w:val="000000"/>
                <w:kern w:val="0"/>
                <w:sz w:val="24"/>
              </w:rPr>
              <w:t>全景图像传感器的性能应符合下列要求：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像素：</w:t>
            </w:r>
            <w:r>
              <w:rPr>
                <w:rFonts w:ascii="仿宋" w:eastAsia="仿宋" w:hAnsi="仿宋" w:cs="仿宋" w:hint="eastAsia"/>
                <w:color w:val="000000"/>
                <w:kern w:val="0"/>
                <w:sz w:val="24"/>
              </w:rPr>
              <w:t>≥</w:t>
            </w:r>
            <w:r>
              <w:rPr>
                <w:rFonts w:ascii="仿宋" w:eastAsia="仿宋" w:hAnsi="仿宋" w:cs="仿宋" w:hint="eastAsia"/>
                <w:color w:val="000000"/>
                <w:kern w:val="0"/>
                <w:sz w:val="24"/>
              </w:rPr>
              <w:t>500万</w:t>
            </w:r>
          </w:p>
          <w:p>
            <w:pPr>
              <w:widowControl/>
              <w:rPr>
                <w:rFonts w:ascii="仿宋" w:eastAsia="仿宋" w:hAnsi="仿宋" w:cs="仿宋" w:hint="eastAsia"/>
                <w:kern w:val="0"/>
              </w:rPr>
            </w:pPr>
            <w:r>
              <w:rPr>
                <w:rFonts w:ascii="仿宋" w:eastAsia="仿宋" w:hAnsi="仿宋" w:cs="仿宋" w:hint="eastAsia"/>
                <w:color w:val="000000"/>
                <w:kern w:val="0"/>
                <w:sz w:val="24"/>
              </w:rPr>
              <w:t>视角：180</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（7）动物物候观测传感器</w:t>
            </w:r>
          </w:p>
          <w:p>
            <w:pPr>
              <w:widowControl/>
              <w:rPr>
                <w:rFonts w:ascii="仿宋" w:eastAsia="仿宋" w:hAnsi="仿宋" w:cs="仿宋" w:hint="eastAsia"/>
                <w:kern w:val="0"/>
              </w:rPr>
            </w:pPr>
            <w:r>
              <w:rPr>
                <w:rFonts w:ascii="仿宋" w:eastAsia="仿宋" w:hAnsi="仿宋" w:cs="仿宋" w:hint="eastAsia"/>
                <w:color w:val="000000"/>
                <w:kern w:val="0"/>
                <w:sz w:val="24"/>
              </w:rPr>
              <w:t>动物物候观测传感器的性能应符合下列要求：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监测范围：</w:t>
            </w:r>
            <w:r>
              <w:rPr>
                <w:rFonts w:ascii="仿宋" w:eastAsia="仿宋" w:hAnsi="仿宋" w:cs="仿宋" w:hint="eastAsia"/>
                <w:color w:val="000000"/>
                <w:kern w:val="0"/>
                <w:sz w:val="24"/>
              </w:rPr>
              <w:t>≥</w:t>
            </w:r>
            <w:r>
              <w:rPr>
                <w:rFonts w:ascii="仿宋" w:eastAsia="仿宋" w:hAnsi="仿宋" w:cs="仿宋" w:hint="eastAsia"/>
                <w:color w:val="000000"/>
                <w:kern w:val="0"/>
                <w:sz w:val="24"/>
              </w:rPr>
              <w:t>100m</w:t>
            </w:r>
            <w:r>
              <w:rPr>
                <w:rFonts w:ascii="仿宋" w:eastAsia="仿宋" w:hAnsi="仿宋" w:cs="仿宋" w:hint="eastAsia"/>
                <w:color w:val="000000"/>
                <w:kern w:val="0"/>
                <w:sz w:val="24"/>
                <w:vertAlign w:val="superscript"/>
              </w:rPr>
              <w:t>2</w:t>
            </w:r>
          </w:p>
          <w:p>
            <w:pPr>
              <w:widowControl/>
              <w:rPr>
                <w:rFonts w:ascii="仿宋" w:eastAsia="仿宋" w:hAnsi="仿宋" w:cs="仿宋" w:hint="eastAsia"/>
                <w:kern w:val="0"/>
              </w:rPr>
            </w:pPr>
            <w:r>
              <w:rPr>
                <w:rFonts w:ascii="仿宋" w:eastAsia="仿宋" w:hAnsi="仿宋" w:cs="仿宋" w:hint="eastAsia"/>
                <w:color w:val="000000"/>
                <w:kern w:val="0"/>
                <w:sz w:val="24"/>
              </w:rPr>
              <w:t>通信接口：LINE_IN</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（8）冠层温度传感器</w:t>
            </w:r>
          </w:p>
          <w:p>
            <w:pPr>
              <w:widowControl/>
              <w:rPr>
                <w:rFonts w:ascii="仿宋" w:eastAsia="仿宋" w:hAnsi="仿宋" w:cs="仿宋" w:hint="eastAsia"/>
                <w:kern w:val="0"/>
              </w:rPr>
            </w:pPr>
            <w:r>
              <w:rPr>
                <w:rFonts w:ascii="仿宋" w:eastAsia="仿宋" w:hAnsi="仿宋" w:cs="仿宋" w:hint="eastAsia"/>
                <w:color w:val="000000"/>
                <w:kern w:val="0"/>
                <w:sz w:val="24"/>
              </w:rPr>
              <w:t>冠层温度传感器的性能应符合下列要求：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测量范围：-10</w:t>
            </w:r>
            <w:r>
              <w:rPr>
                <w:rFonts w:ascii="仿宋" w:eastAsia="仿宋" w:hAnsi="仿宋" w:cs="仿宋" w:hint="eastAsia"/>
                <w:color w:val="000000"/>
                <w:kern w:val="0"/>
                <w:sz w:val="24"/>
              </w:rPr>
              <w:t>℃</w:t>
            </w:r>
            <w:r>
              <w:rPr>
                <w:rFonts w:ascii="仿宋" w:eastAsia="仿宋" w:hAnsi="仿宋" w:cs="仿宋" w:hint="eastAsia"/>
                <w:color w:val="000000"/>
                <w:kern w:val="0"/>
                <w:sz w:val="24"/>
              </w:rPr>
              <w:t>～+60</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分辨力：0.1</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0.5</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1</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（9）土壤温湿度廓线传感器</w:t>
            </w:r>
          </w:p>
          <w:p>
            <w:pPr>
              <w:widowControl/>
              <w:rPr>
                <w:rFonts w:ascii="仿宋" w:eastAsia="仿宋" w:hAnsi="仿宋" w:cs="仿宋" w:hint="eastAsia"/>
                <w:kern w:val="0"/>
              </w:rPr>
            </w:pPr>
            <w:r>
              <w:rPr>
                <w:rFonts w:ascii="仿宋" w:eastAsia="仿宋" w:hAnsi="仿宋" w:cs="仿宋" w:hint="eastAsia"/>
                <w:color w:val="000000"/>
                <w:kern w:val="0"/>
                <w:sz w:val="24"/>
              </w:rPr>
              <w:t>土壤温湿度廓线传感器的性能应符合下列要求：</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测量范围：0cm～100cm</w:t>
            </w:r>
          </w:p>
          <w:p>
            <w:pPr>
              <w:widowControl/>
              <w:rPr>
                <w:rFonts w:ascii="仿宋" w:eastAsia="仿宋" w:hAnsi="仿宋" w:cs="仿宋" w:hint="eastAsia"/>
                <w:kern w:val="0"/>
              </w:rPr>
            </w:pPr>
            <w:r>
              <w:rPr>
                <w:rFonts w:ascii="仿宋" w:eastAsia="仿宋" w:hAnsi="仿宋" w:cs="仿宋" w:hint="eastAsia"/>
                <w:color w:val="000000"/>
                <w:kern w:val="0"/>
                <w:sz w:val="24"/>
              </w:rPr>
              <w:t>观测层次：0-10、10-20、20-30、30-40、40-50、50-60、70-80、90-100cm</w:t>
            </w:r>
          </w:p>
          <w:p>
            <w:pPr>
              <w:rPr>
                <w:rFonts w:ascii="仿宋" w:eastAsia="仿宋" w:hAnsi="仿宋" w:cs="仿宋" w:hint="eastAsia"/>
                <w:color w:val="000000"/>
                <w:kern w:val="0"/>
              </w:rPr>
            </w:pPr>
            <w:r>
              <w:rPr>
                <w:rFonts w:ascii="仿宋" w:eastAsia="仿宋" w:hAnsi="仿宋" w:cs="仿宋" w:hint="eastAsia"/>
                <w:color w:val="000000"/>
                <w:kern w:val="0"/>
                <w:sz w:val="24"/>
              </w:rPr>
              <w:t>土壤湿度（TDR）：</w:t>
            </w:r>
          </w:p>
          <w:p>
            <w:pPr>
              <w:rPr>
                <w:rFonts w:ascii="仿宋" w:eastAsia="仿宋" w:hAnsi="仿宋" w:cs="仿宋" w:hint="eastAsia"/>
                <w:color w:val="000000"/>
                <w:kern w:val="0"/>
              </w:rPr>
            </w:pPr>
            <w:r>
              <w:rPr>
                <w:rFonts w:ascii="仿宋" w:eastAsia="仿宋" w:hAnsi="仿宋" w:cs="仿宋" w:hint="eastAsia"/>
                <w:color w:val="000000"/>
                <w:kern w:val="0"/>
                <w:sz w:val="24"/>
              </w:rPr>
              <w:t>1）测量范围：0～100%</w:t>
            </w:r>
          </w:p>
          <w:p>
            <w:pPr>
              <w:rPr>
                <w:rFonts w:ascii="仿宋" w:eastAsia="仿宋" w:hAnsi="仿宋" w:cs="仿宋" w:hint="eastAsia"/>
                <w:color w:val="000000"/>
                <w:kern w:val="0"/>
              </w:rPr>
            </w:pPr>
            <w:r>
              <w:rPr>
                <w:rFonts w:ascii="仿宋" w:eastAsia="仿宋" w:hAnsi="仿宋" w:cs="仿宋" w:hint="eastAsia"/>
                <w:color w:val="000000"/>
                <w:kern w:val="0"/>
                <w:sz w:val="24"/>
              </w:rPr>
              <w:t>2）分辨力：0.1%</w:t>
            </w:r>
          </w:p>
          <w:p>
            <w:pPr>
              <w:rPr>
                <w:rFonts w:ascii="仿宋" w:eastAsia="仿宋" w:hAnsi="仿宋" w:cs="仿宋" w:hint="eastAsia"/>
                <w:kern w:val="0"/>
              </w:rPr>
            </w:pPr>
            <w:r>
              <w:rPr>
                <w:rFonts w:ascii="仿宋" w:eastAsia="仿宋" w:hAnsi="仿宋" w:cs="仿宋" w:hint="eastAsia"/>
                <w:color w:val="000000"/>
                <w:kern w:val="0"/>
                <w:sz w:val="24"/>
                <w:highlight w:val="yellow"/>
              </w:rPr>
              <w:t>3）#最大允许误差：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2%</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土壤温度：</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1）测量范围：-40</w:t>
            </w:r>
            <w:r>
              <w:rPr>
                <w:rFonts w:ascii="仿宋" w:eastAsia="仿宋" w:hAnsi="仿宋" w:cs="仿宋" w:hint="eastAsia"/>
                <w:color w:val="000000"/>
                <w:kern w:val="0"/>
                <w:sz w:val="24"/>
              </w:rPr>
              <w:t>℃</w:t>
            </w:r>
            <w:r>
              <w:rPr>
                <w:rFonts w:ascii="仿宋" w:eastAsia="仿宋" w:hAnsi="仿宋" w:cs="仿宋" w:hint="eastAsia"/>
                <w:color w:val="000000"/>
                <w:kern w:val="0"/>
                <w:sz w:val="24"/>
              </w:rPr>
              <w:t>～+50</w:t>
            </w:r>
            <w:r>
              <w:rPr>
                <w:rFonts w:ascii="仿宋" w:eastAsia="仿宋" w:hAnsi="仿宋" w:cs="仿宋" w:hint="eastAsia"/>
                <w:color w:val="000000"/>
                <w:kern w:val="0"/>
                <w:sz w:val="24"/>
              </w:rPr>
              <w:t>℃</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2）分辨力：0.1</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3）#最大允许误差：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0.5</w:t>
            </w:r>
            <w:r>
              <w:rPr>
                <w:rFonts w:ascii="仿宋" w:eastAsia="仿宋" w:hAnsi="仿宋" w:cs="仿宋" w:hint="eastAsia"/>
                <w:color w:val="000000"/>
                <w:kern w:val="0"/>
                <w:sz w:val="24"/>
                <w:highlight w:val="yellow"/>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rPr>
                <w:rFonts w:ascii="仿宋" w:eastAsia="仿宋" w:hAnsi="仿宋" w:cs="仿宋" w:hint="eastAsia"/>
                <w:color w:val="000000"/>
                <w:kern w:val="0"/>
              </w:rPr>
            </w:pPr>
            <w:r>
              <w:rPr>
                <w:rFonts w:ascii="仿宋" w:eastAsia="仿宋" w:hAnsi="仿宋" w:cs="仿宋" w:hint="eastAsia"/>
                <w:color w:val="000000"/>
                <w:kern w:val="0"/>
                <w:sz w:val="24"/>
              </w:rPr>
              <w:t>（10）数据采集器</w:t>
            </w:r>
          </w:p>
          <w:p>
            <w:pPr>
              <w:rPr>
                <w:rFonts w:ascii="仿宋" w:eastAsia="仿宋" w:hAnsi="仿宋" w:cs="仿宋" w:hint="eastAsia"/>
                <w:color w:val="000000"/>
                <w:kern w:val="0"/>
              </w:rPr>
            </w:pPr>
            <w:r>
              <w:rPr>
                <w:rFonts w:ascii="仿宋" w:eastAsia="仿宋" w:hAnsi="仿宋" w:cs="仿宋" w:hint="eastAsia"/>
                <w:color w:val="000000"/>
                <w:sz w:val="24"/>
                <w:highlight w:val="yellow"/>
              </w:rPr>
              <w:t>#采集器功耗不大于10W</w:t>
            </w:r>
            <w:r>
              <w:rPr>
                <w:rFonts w:ascii="仿宋" w:eastAsia="仿宋" w:hAnsi="仿宋" w:cs="仿宋" w:hint="eastAsia"/>
                <w:color w:val="000000"/>
                <w:sz w:val="24"/>
              </w:rPr>
              <w:t>。</w:t>
            </w:r>
          </w:p>
          <w:p>
            <w:pPr>
              <w:rPr>
                <w:rFonts w:ascii="仿宋" w:eastAsia="仿宋" w:hAnsi="仿宋" w:cs="仿宋" w:hint="eastAsia"/>
                <w:color w:val="000000"/>
                <w:kern w:val="0"/>
              </w:rPr>
            </w:pPr>
            <w:r>
              <w:rPr>
                <w:rFonts w:ascii="仿宋" w:eastAsia="仿宋" w:hAnsi="仿宋" w:cs="仿宋" w:hint="eastAsia"/>
                <w:color w:val="000000"/>
                <w:kern w:val="0"/>
                <w:sz w:val="24"/>
              </w:rPr>
              <w:t>（11）供电系统</w:t>
            </w:r>
          </w:p>
          <w:p>
            <w:pPr>
              <w:rPr>
                <w:rFonts w:ascii="仿宋" w:eastAsia="仿宋" w:hAnsi="仿宋" w:cs="仿宋" w:hint="eastAsia"/>
                <w:color w:val="000000"/>
              </w:rPr>
            </w:pPr>
            <w:r>
              <w:rPr>
                <w:rFonts w:ascii="仿宋" w:eastAsia="仿宋" w:hAnsi="仿宋" w:cs="仿宋" w:hint="eastAsia"/>
                <w:color w:val="000000"/>
                <w:sz w:val="24"/>
              </w:rPr>
              <w:t>供电电源为12V蓄电池，其容量必须保证设备能在脱离辅助电源的条件下连续工作15天。</w:t>
            </w:r>
          </w:p>
          <w:p>
            <w:pPr>
              <w:rPr>
                <w:rFonts w:ascii="仿宋" w:eastAsia="仿宋" w:hAnsi="仿宋" w:cs="仿宋" w:hint="eastAsia"/>
                <w:color w:val="000000"/>
                <w:kern w:val="0"/>
              </w:rPr>
            </w:pPr>
            <w:r>
              <w:rPr>
                <w:rFonts w:ascii="仿宋" w:eastAsia="仿宋" w:hAnsi="仿宋" w:cs="仿宋" w:hint="eastAsia"/>
                <w:color w:val="000000"/>
                <w:kern w:val="0"/>
                <w:sz w:val="24"/>
              </w:rPr>
              <w:t>（12）通信系统</w:t>
            </w:r>
          </w:p>
          <w:p>
            <w:pPr>
              <w:rPr>
                <w:rFonts w:ascii="仿宋" w:eastAsia="仿宋" w:hAnsi="仿宋" w:cs="仿宋" w:hint="eastAsia"/>
                <w:color w:val="000000"/>
              </w:rPr>
            </w:pPr>
            <w:r>
              <w:rPr>
                <w:rFonts w:ascii="仿宋" w:eastAsia="仿宋" w:hAnsi="仿宋" w:cs="仿宋" w:hint="eastAsia"/>
                <w:color w:val="000000"/>
                <w:sz w:val="24"/>
              </w:rPr>
              <w:t>由通讯模块和天线组成。通过采集器RJ45或RS232通信接口与通信模块连接，实现与中心站的数据通信。</w:t>
            </w:r>
          </w:p>
          <w:p>
            <w:pPr>
              <w:rPr>
                <w:rFonts w:ascii="仿宋" w:eastAsia="仿宋" w:hAnsi="仿宋" w:cs="仿宋" w:hint="eastAsia"/>
                <w:color w:val="000000"/>
                <w:kern w:val="0"/>
              </w:rPr>
            </w:pPr>
            <w:r>
              <w:rPr>
                <w:rFonts w:ascii="仿宋" w:eastAsia="仿宋" w:hAnsi="仿宋" w:cs="仿宋" w:hint="eastAsia"/>
                <w:color w:val="000000"/>
                <w:kern w:val="0"/>
                <w:sz w:val="24"/>
              </w:rPr>
              <w:t>（13）配套设施</w:t>
            </w:r>
          </w:p>
          <w:p>
            <w:pPr>
              <w:rPr>
                <w:rFonts w:ascii="仿宋" w:eastAsia="仿宋" w:hAnsi="仿宋" w:cs="仿宋" w:hint="eastAsia"/>
              </w:rPr>
            </w:pPr>
            <w:r>
              <w:rPr>
                <w:rFonts w:ascii="仿宋" w:eastAsia="仿宋" w:hAnsi="仿宋" w:cs="仿宋" w:hint="eastAsia"/>
                <w:color w:val="000000"/>
                <w:sz w:val="24"/>
              </w:rPr>
              <w:t>由防雷装置、机箱、铁塔（10米或30米）、支架、横臂和安装附件等组成。</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p>
    <w:p>
      <w:pPr>
        <w:spacing w:line="560" w:lineRule="exact"/>
        <w:jc w:val="both"/>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6"/>
        <w:gridCol w:w="1615"/>
        <w:gridCol w:w="682"/>
        <w:gridCol w:w="949"/>
        <w:gridCol w:w="1082"/>
        <w:gridCol w:w="3413"/>
        <w:gridCol w:w="40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植被及物候自动观测系统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790,000.00</w:t>
            </w:r>
          </w:p>
        </w:tc>
        <w:tc>
          <w:tcPr/>
          <w:p>
            <w:pPr>
              <w:autoSpaceDE w:val="0"/>
              <w:jc w:val="center"/>
              <w:rPr>
                <w:rFonts w:asciiTheme="minorEastAsia" w:hAnsiTheme="minorEastAsia" w:cstheme="minorEastAsia" w:hint="eastAsia"/>
                <w:kern w:val="0"/>
                <w:szCs w:val="21"/>
              </w:rPr>
            </w:pPr>
            <w:r>
              <w:t>合同签订后120天内完成交货、安装调试并具备验收条件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790,000.00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73"/>
        <w:gridCol w:w="2062"/>
        <w:gridCol w:w="1835"/>
        <w:gridCol w:w="473"/>
        <w:gridCol w:w="1078"/>
        <w:gridCol w:w="822"/>
        <w:gridCol w:w="1078"/>
        <w:gridCol w:w="7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佳木斯市气象局(001038028)</w:t>
            </w:r>
          </w:p>
        </w:tc>
        <w:tc>
          <w:tcPr/>
          <w:p>
            <w:r>
              <w:t>植被及物候自动观测系统</w:t>
            </w:r>
          </w:p>
        </w:tc>
        <w:tc>
          <w:tcPr/>
          <w:p>
            <w:r>
              <w:t>1</w:t>
            </w:r>
          </w:p>
        </w:tc>
        <w:tc>
          <w:tcPr/>
          <w:p>
            <w:r>
              <w:t>790000.00</w:t>
            </w:r>
          </w:p>
        </w:tc>
        <w:tc>
          <w:tcPr/>
          <w:p>
            <w:r>
              <w:t xml:space="preserve">790000.00  </w:t>
            </w:r>
          </w:p>
        </w:tc>
        <w:tc>
          <w:tcPr/>
          <w:p>
            <w:r>
              <w:t>黑龙江佳木斯</w:t>
            </w:r>
          </w:p>
        </w:tc>
        <w:tc>
          <w:tcPr/>
          <w:p>
            <w:r>
              <w:t>于秀健 0454-8587223</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lang w:eastAsia="zh-CN"/>
        </w:rPr>
        <w:t>在黑龙江佳木斯国家农业高新技术产业示范区建设一套植被及物候观测系统设备</w:t>
      </w:r>
      <w:r>
        <w:rPr>
          <w:rFonts w:ascii="仿宋" w:eastAsia="仿宋" w:hAnsi="仿宋" w:cs="仿宋" w:hint="eastAsia"/>
          <w:sz w:val="28"/>
          <w:szCs w:val="20"/>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eastAsia="zh-CN"/>
        </w:rPr>
        <w:t>佳木斯国家农业高新技术产业示范区</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334FF8">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334FF8">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8C141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334FF8">
            <w:pPr>
              <w:rPr>
                <w:sz w:val="18"/>
                <w:szCs w:val="18"/>
              </w:rPr>
            </w:pPr>
            <w:r>
              <w:rPr>
                <w:rFonts w:hint="eastAsia"/>
                <w:sz w:val="18"/>
                <w:szCs w:val="18"/>
              </w:rPr>
              <w:t>序号</w:t>
            </w:r>
          </w:p>
        </w:tc>
        <w:tc>
          <w:tcPr>
            <w:tcW w:w="898" w:type="dxa"/>
            <w:vAlign w:val="center"/>
          </w:tcPr>
          <w:p w:rsidR="00334FF8">
            <w:pPr>
              <w:jc w:val="center"/>
              <w:rPr>
                <w:sz w:val="18"/>
                <w:szCs w:val="18"/>
              </w:rPr>
            </w:pPr>
            <w:r>
              <w:rPr>
                <w:rFonts w:hint="eastAsia"/>
                <w:sz w:val="18"/>
                <w:szCs w:val="18"/>
              </w:rPr>
              <w:t>对应</w:t>
            </w:r>
          </w:p>
          <w:p w:rsidR="00334FF8">
            <w:pPr>
              <w:jc w:val="center"/>
              <w:rPr>
                <w:sz w:val="18"/>
                <w:szCs w:val="18"/>
              </w:rPr>
            </w:pPr>
            <w:r>
              <w:rPr>
                <w:rFonts w:hint="eastAsia"/>
                <w:sz w:val="18"/>
                <w:szCs w:val="18"/>
              </w:rPr>
              <w:t>条款号</w:t>
            </w:r>
          </w:p>
        </w:tc>
        <w:tc>
          <w:tcPr>
            <w:tcW w:w="7347" w:type="dxa"/>
            <w:vAlign w:val="center"/>
          </w:tcPr>
          <w:p w:rsidR="00334FF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C1417">
        <w:tblPrEx>
          <w:tblW w:w="8789" w:type="dxa"/>
          <w:tblLayout w:type="fixed"/>
          <w:tblLook w:val="04A0"/>
        </w:tblPrEx>
        <w:trPr>
          <w:cantSplit/>
        </w:trPr>
        <w:tc>
          <w:tcPr>
            <w:tcW w:w="8789" w:type="dxa"/>
            <w:gridSpan w:val="3"/>
            <w:vAlign w:val="center"/>
          </w:tcPr>
          <w:p w:rsidR="00334FF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C1417">
        <w:tblPrEx>
          <w:tblW w:w="8789" w:type="dxa"/>
          <w:tblLayout w:type="fixed"/>
          <w:tblLook w:val="04A0"/>
        </w:tblPrEx>
        <w:trPr>
          <w:cantSplit/>
        </w:trPr>
        <w:tc>
          <w:tcPr>
            <w:tcW w:w="544" w:type="dxa"/>
            <w:vAlign w:val="center"/>
          </w:tcPr>
          <w:p w:rsidR="00334FF8">
            <w:pPr>
              <w:numPr>
                <w:ilvl w:val="0"/>
                <w:numId w:val="13"/>
              </w:numPr>
              <w:rPr>
                <w:rFonts w:ascii="宋体" w:hAnsi="宋体"/>
                <w:sz w:val="18"/>
                <w:szCs w:val="18"/>
              </w:rPr>
            </w:pPr>
          </w:p>
        </w:tc>
        <w:tc>
          <w:tcPr>
            <w:tcW w:w="898" w:type="dxa"/>
            <w:vAlign w:val="center"/>
          </w:tcPr>
          <w:p w:rsidR="00334FF8">
            <w:pPr>
              <w:jc w:val="center"/>
              <w:rPr>
                <w:rFonts w:ascii="宋体" w:hAnsi="宋体"/>
                <w:sz w:val="18"/>
                <w:szCs w:val="18"/>
              </w:rPr>
            </w:pPr>
            <w:r>
              <w:rPr>
                <w:rFonts w:ascii="宋体" w:hAnsi="宋体" w:hint="eastAsia"/>
                <w:sz w:val="18"/>
                <w:szCs w:val="18"/>
              </w:rPr>
              <w:t>5</w:t>
            </w:r>
            <w:r w:rsidR="008C1417">
              <w:rPr>
                <w:rFonts w:ascii="宋体" w:hAnsi="宋体"/>
                <w:sz w:val="18"/>
                <w:szCs w:val="18"/>
              </w:rPr>
              <w:t>.</w:t>
            </w:r>
            <w:r w:rsidR="008C1417">
              <w:rPr>
                <w:rFonts w:ascii="宋体" w:hAnsi="宋体" w:hint="eastAsia"/>
                <w:sz w:val="18"/>
                <w:szCs w:val="18"/>
              </w:rPr>
              <w:t>7</w:t>
            </w:r>
          </w:p>
        </w:tc>
        <w:tc>
          <w:tcPr>
            <w:tcW w:w="7347" w:type="dxa"/>
          </w:tcPr>
          <w:p w:rsidR="00334FF8">
            <w:pPr>
              <w:tabs>
                <w:tab w:val="left" w:pos="709"/>
              </w:tabs>
              <w:spacing w:line="360" w:lineRule="auto"/>
              <w:jc w:val="left"/>
              <w:rPr>
                <w:rFonts w:ascii="宋体" w:hAnsi="宋体" w:cs="微软雅黑"/>
                <w:b/>
                <w:color w:val="0000FF"/>
                <w:kern w:val="0"/>
                <w:sz w:val="18"/>
                <w:szCs w:val="18"/>
              </w:rPr>
            </w:pPr>
            <w:r w:rsidRPr="008C1417">
              <w:rPr>
                <w:rFonts w:ascii="宋体" w:hAnsi="宋体" w:cs="微软雅黑" w:hint="eastAsia"/>
                <w:b/>
                <w:color w:val="0000FF"/>
                <w:kern w:val="0"/>
                <w:sz w:val="18"/>
                <w:szCs w:val="18"/>
              </w:rPr>
              <w:t>以下产品需要提供至投标截止日仍有效的《气象专用技术装备使用许可证》：物候自动观测仪</w:t>
            </w:r>
          </w:p>
        </w:tc>
      </w:tr>
      <w:tr w:rsidTr="008C1417">
        <w:tblPrEx>
          <w:tblW w:w="8789" w:type="dxa"/>
          <w:tblLayout w:type="fixed"/>
          <w:tblLook w:val="04A0"/>
        </w:tblPrEx>
        <w:trPr>
          <w:cantSplit/>
        </w:trPr>
        <w:tc>
          <w:tcPr>
            <w:tcW w:w="8789" w:type="dxa"/>
            <w:gridSpan w:val="3"/>
            <w:vAlign w:val="center"/>
          </w:tcPr>
          <w:p w:rsidR="00334FF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8C1417">
        <w:tblPrEx>
          <w:tblW w:w="8789" w:type="dxa"/>
          <w:tblLayout w:type="fixed"/>
          <w:tblLook w:val="04A0"/>
        </w:tblPrEx>
        <w:trPr>
          <w:cantSplit/>
        </w:trPr>
        <w:tc>
          <w:tcPr>
            <w:tcW w:w="544" w:type="dxa"/>
            <w:vAlign w:val="center"/>
          </w:tcPr>
          <w:p w:rsidR="00334FF8">
            <w:pPr>
              <w:numPr>
                <w:ilvl w:val="0"/>
                <w:numId w:val="13"/>
              </w:numPr>
              <w:rPr>
                <w:rFonts w:ascii="宋体" w:hAnsi="宋体"/>
                <w:sz w:val="18"/>
                <w:szCs w:val="18"/>
              </w:rPr>
            </w:pPr>
          </w:p>
        </w:tc>
        <w:tc>
          <w:tcPr>
            <w:tcW w:w="898" w:type="dxa"/>
            <w:vAlign w:val="center"/>
          </w:tcPr>
          <w:p w:rsidR="00334FF8">
            <w:pPr>
              <w:jc w:val="center"/>
              <w:rPr>
                <w:rFonts w:ascii="宋体" w:hAnsi="宋体"/>
                <w:sz w:val="18"/>
                <w:szCs w:val="18"/>
              </w:rPr>
            </w:pPr>
            <w:r w:rsidRPr="008C1417">
              <w:rPr>
                <w:rFonts w:ascii="宋体" w:hAnsi="宋体" w:hint="eastAsia"/>
                <w:sz w:val="18"/>
                <w:szCs w:val="18"/>
              </w:rPr>
              <w:t>四、质保服务要求</w:t>
            </w:r>
          </w:p>
        </w:tc>
        <w:tc>
          <w:tcPr>
            <w:tcW w:w="7347" w:type="dxa"/>
            <w:vAlign w:val="center"/>
          </w:tcPr>
          <w:p w:rsidR="00334FF8">
            <w:pPr>
              <w:tabs>
                <w:tab w:val="left" w:pos="709"/>
              </w:tabs>
              <w:spacing w:line="360" w:lineRule="auto"/>
              <w:jc w:val="left"/>
              <w:rPr>
                <w:rFonts w:ascii="宋体" w:hAnsi="宋体"/>
                <w:sz w:val="18"/>
                <w:szCs w:val="18"/>
              </w:rPr>
            </w:pPr>
            <w:r w:rsidRPr="008C1417">
              <w:rPr>
                <w:rFonts w:hint="eastAsia"/>
                <w:b/>
                <w:color w:val="0000FF"/>
                <w:kern w:val="0"/>
                <w:sz w:val="18"/>
                <w:szCs w:val="18"/>
              </w:rPr>
              <w:t>（</w:t>
            </w:r>
            <w:r w:rsidRPr="008C1417">
              <w:rPr>
                <w:rFonts w:hint="eastAsia"/>
                <w:b/>
                <w:color w:val="0000FF"/>
                <w:kern w:val="0"/>
                <w:sz w:val="18"/>
                <w:szCs w:val="18"/>
              </w:rPr>
              <w:t>1</w:t>
            </w:r>
            <w:r w:rsidRPr="008C1417">
              <w:rPr>
                <w:rFonts w:hint="eastAsia"/>
                <w:b/>
                <w:color w:val="0000FF"/>
                <w:kern w:val="0"/>
                <w:sz w:val="18"/>
                <w:szCs w:val="18"/>
              </w:rPr>
              <w:t>）设</w:t>
            </w:r>
            <w:r w:rsidRPr="008C1417">
              <w:rPr>
                <w:rFonts w:hint="eastAsia"/>
                <w:b/>
                <w:color w:val="0000FF"/>
                <w:kern w:val="0"/>
                <w:sz w:val="18"/>
                <w:szCs w:val="18"/>
              </w:rPr>
              <w:t>备供应商对所有设备提供自验收合格后</w:t>
            </w:r>
            <w:r w:rsidRPr="008C1417">
              <w:rPr>
                <w:rFonts w:hint="eastAsia"/>
                <w:b/>
                <w:color w:val="0000FF"/>
                <w:kern w:val="0"/>
                <w:sz w:val="18"/>
                <w:szCs w:val="18"/>
              </w:rPr>
              <w:t>8</w:t>
            </w:r>
            <w:r w:rsidRPr="008C1417">
              <w:rPr>
                <w:rFonts w:hint="eastAsia"/>
                <w:b/>
                <w:color w:val="0000FF"/>
                <w:kern w:val="0"/>
                <w:sz w:val="18"/>
                <w:szCs w:val="18"/>
              </w:rPr>
              <w:t>年的质保服务</w:t>
            </w:r>
            <w:r w:rsidRPr="008C1417">
              <w:rPr>
                <w:rFonts w:hint="eastAsia"/>
                <w:b/>
                <w:color w:val="0000FF"/>
                <w:kern w:val="0"/>
                <w:sz w:val="18"/>
                <w:szCs w:val="18"/>
              </w:rPr>
              <w:t>*</w:t>
            </w:r>
            <w:r w:rsidRPr="008C1417">
              <w:rPr>
                <w:rFonts w:hint="eastAsia"/>
                <w:b/>
                <w:color w:val="0000FF"/>
                <w:kern w:val="0"/>
                <w:sz w:val="18"/>
                <w:szCs w:val="18"/>
              </w:rPr>
              <w:t>，需提供设备质保承诺函原件（格式自拟）</w:t>
            </w:r>
          </w:p>
        </w:tc>
      </w:tr>
    </w:tbl>
    <w:p w:rsidR="00334FF8">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D45863" w:rsidP="002D52A7">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D45863">
      <w:pPr>
        <w:spacing w:line="360" w:lineRule="auto"/>
        <w:ind w:left="1680" w:firstLine="420"/>
        <w:jc w:val="left"/>
        <w:rPr>
          <w:b/>
          <w:bCs/>
          <w:szCs w:val="21"/>
        </w:rPr>
      </w:pPr>
      <w:r>
        <w:rPr>
          <w:rFonts w:hint="eastAsia"/>
          <w:b/>
          <w:bCs/>
          <w:szCs w:val="21"/>
        </w:rPr>
        <w:t>必须明确合同金额支付条件及支付比例</w:t>
      </w:r>
    </w:p>
    <w:p w:rsidR="00D45863">
      <w:pPr>
        <w:pStyle w:val="BodyText"/>
        <w:spacing w:after="0"/>
        <w:jc w:val="center"/>
        <w:rPr>
          <w:rFonts w:ascii="宋体" w:hAnsi="宋体" w:cs="宋体"/>
          <w:b/>
          <w:bCs/>
          <w:spacing w:val="-20"/>
          <w:kern w:val="44"/>
          <w:sz w:val="48"/>
          <w:szCs w:val="48"/>
        </w:rPr>
      </w:pPr>
      <w:r>
        <w:rPr>
          <w:b/>
          <w:bCs/>
          <w:szCs w:val="21"/>
        </w:rPr>
        <w:br w:type="page"/>
      </w:r>
      <w:bookmarkStart w:id="71" w:name="_Toc3995"/>
    </w:p>
    <w:p w:rsidR="00D45863">
      <w:pPr>
        <w:pStyle w:val="BodyText"/>
        <w:spacing w:after="0"/>
        <w:jc w:val="center"/>
        <w:rPr>
          <w:rFonts w:ascii="宋体" w:hAnsi="宋体" w:cs="宋体"/>
          <w:b/>
          <w:bCs/>
          <w:spacing w:val="-20"/>
          <w:kern w:val="44"/>
          <w:sz w:val="48"/>
          <w:szCs w:val="48"/>
        </w:rPr>
      </w:pPr>
    </w:p>
    <w:p w:rsidR="00D45863">
      <w:pPr>
        <w:pStyle w:val="BodyText"/>
        <w:spacing w:after="0"/>
        <w:jc w:val="center"/>
        <w:rPr>
          <w:rFonts w:ascii="宋体" w:hAnsi="宋体" w:cs="宋体"/>
          <w:b/>
          <w:bCs/>
          <w:spacing w:val="-20"/>
          <w:kern w:val="44"/>
          <w:sz w:val="48"/>
          <w:szCs w:val="48"/>
        </w:rPr>
      </w:pPr>
    </w:p>
    <w:p w:rsidR="00D45863">
      <w:pPr>
        <w:pStyle w:val="BodyText"/>
        <w:spacing w:after="0"/>
        <w:jc w:val="center"/>
        <w:rPr>
          <w:rFonts w:ascii="宋体" w:hAnsi="宋体" w:cs="宋体"/>
          <w:b/>
          <w:bCs/>
          <w:spacing w:val="-20"/>
          <w:kern w:val="44"/>
          <w:sz w:val="48"/>
          <w:szCs w:val="48"/>
        </w:rPr>
      </w:pPr>
    </w:p>
    <w:p w:rsidR="00D45863">
      <w:pPr>
        <w:pStyle w:val="BodyText"/>
        <w:spacing w:after="0"/>
        <w:jc w:val="center"/>
        <w:rPr>
          <w:rFonts w:ascii="宋体" w:hAnsi="宋体" w:cs="宋体"/>
          <w:b/>
          <w:bCs/>
          <w:spacing w:val="-20"/>
          <w:kern w:val="44"/>
          <w:sz w:val="48"/>
          <w:szCs w:val="48"/>
        </w:rPr>
      </w:pPr>
    </w:p>
    <w:p w:rsidR="00D4586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D4586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D45863">
      <w:pPr>
        <w:rPr>
          <w:rFonts w:ascii="宋体" w:hAnsi="宋体" w:cs="宋体"/>
          <w:b/>
          <w:bCs/>
          <w:spacing w:val="-20"/>
          <w:kern w:val="44"/>
          <w:sz w:val="40"/>
          <w:szCs w:val="40"/>
        </w:rPr>
      </w:pPr>
    </w:p>
    <w:p w:rsidR="00D45863">
      <w:pPr>
        <w:rPr>
          <w:rFonts w:ascii="宋体" w:hAnsi="宋体" w:cs="宋体"/>
          <w:b/>
          <w:bCs/>
          <w:spacing w:val="-20"/>
          <w:kern w:val="44"/>
          <w:sz w:val="40"/>
          <w:szCs w:val="40"/>
        </w:rPr>
      </w:pPr>
    </w:p>
    <w:p w:rsidR="00D45863">
      <w:pPr>
        <w:rPr>
          <w:rFonts w:ascii="宋体" w:hAnsi="宋体" w:cs="宋体"/>
          <w:b/>
          <w:bCs/>
          <w:spacing w:val="-20"/>
          <w:kern w:val="44"/>
          <w:sz w:val="40"/>
          <w:szCs w:val="40"/>
        </w:rPr>
      </w:pPr>
    </w:p>
    <w:p w:rsidR="00D45863">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D45863">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D45863">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D45863">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D45863">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D45863"/>
    <w:p w:rsidR="00D45863">
      <w:pPr>
        <w:rPr>
          <w:rFonts w:eastAsia="黑体"/>
          <w:sz w:val="44"/>
          <w:szCs w:val="44"/>
        </w:rPr>
      </w:pPr>
      <w:r>
        <w:rPr>
          <w:rFonts w:eastAsia="黑体"/>
          <w:sz w:val="44"/>
          <w:szCs w:val="44"/>
        </w:rPr>
        <w:br w:type="page"/>
      </w:r>
    </w:p>
    <w:p w:rsidR="00D45863">
      <w:pPr>
        <w:rPr>
          <w:rFonts w:eastAsia="黑体"/>
          <w:sz w:val="44"/>
          <w:szCs w:val="44"/>
        </w:rPr>
      </w:pPr>
    </w:p>
    <w:p w:rsidR="00D45863">
      <w:pPr>
        <w:rPr>
          <w:rFonts w:eastAsia="黑体"/>
          <w:sz w:val="44"/>
          <w:szCs w:val="44"/>
        </w:rPr>
      </w:pPr>
    </w:p>
    <w:p w:rsidR="00D45863">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D45863">
      <w:pPr>
        <w:ind w:firstLine="640" w:firstLineChars="200"/>
        <w:rPr>
          <w:rFonts w:ascii="仿宋_GB2312" w:eastAsia="仿宋_GB2312" w:hAnsi="仿宋_GB2312" w:cs="仿宋_GB2312"/>
          <w:sz w:val="32"/>
          <w:szCs w:val="32"/>
        </w:rPr>
      </w:pPr>
    </w:p>
    <w:p w:rsidR="00D4586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D45863">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D4586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D45863">
      <w:pPr>
        <w:rPr>
          <w:rFonts w:eastAsia="黑体"/>
          <w:sz w:val="44"/>
          <w:szCs w:val="44"/>
        </w:rPr>
        <w:sectPr>
          <w:pgSz w:w="11906" w:h="16838"/>
          <w:pgMar w:top="1440" w:right="1800" w:bottom="1440" w:left="1800" w:header="851" w:footer="992" w:gutter="0"/>
          <w:cols w:space="425"/>
          <w:docGrid w:type="lines" w:linePitch="312"/>
        </w:sectPr>
      </w:pPr>
    </w:p>
    <w:p w:rsidR="00D45863">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D45863">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D45863">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D45863">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D45863">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D45863">
      <w:pPr>
        <w:spacing w:line="400" w:lineRule="exact"/>
      </w:pPr>
    </w:p>
    <w:p w:rsidR="00D4586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D45863" w:rsidP="002D52A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D45863">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D45863">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D4586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D45863">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D45863">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D45863">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D45863">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D45863">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D4586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D4586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D4586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D4586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D4586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D4586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D4586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D45863">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D45863">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D45863">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D45863">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D45863">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45863">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45863">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45863">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4586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D4586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D4586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D4586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D45863">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D45863">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D45863">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D45863">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D4586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D45863">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D45863">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D4586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D4586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D45863">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D4586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D4586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D4586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D4586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D4586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D4586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D45863">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D45863">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D4586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D45863">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D4586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D45863">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D45863" w:rsidP="002D52A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D45863">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D4586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D45863">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D4586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D4586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w:t>
      </w:r>
      <w:r>
        <w:rPr>
          <w:rFonts w:ascii="宋体" w:hAnsi="宋体" w:hint="eastAsia"/>
          <w:szCs w:val="21"/>
        </w:rPr>
        <w:t>可以勾选多项</w:t>
      </w:r>
      <w:r>
        <w:rPr>
          <w:rFonts w:ascii="宋体" w:hAnsi="宋体" w:hint="eastAsia"/>
          <w:szCs w:val="21"/>
        </w:rPr>
        <w:t>）：</w:t>
      </w:r>
    </w:p>
    <w:p w:rsidR="00D45863">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D45863">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w:t>
      </w:r>
      <w:r>
        <w:rPr>
          <w:rFonts w:ascii="宋体" w:hAnsi="宋体" w:hint="eastAsia"/>
        </w:rPr>
        <w:t>实际勾选填写</w:t>
      </w:r>
      <w:r>
        <w:rPr>
          <w:rFonts w:ascii="宋体" w:hAnsi="宋体" w:hint="eastAsia"/>
        </w:rPr>
        <w:t>）：</w:t>
      </w:r>
    </w:p>
    <w:p w:rsidR="00D45863">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D45863">
      <w:pPr>
        <w:snapToGrid w:val="0"/>
        <w:spacing w:line="400" w:lineRule="exact"/>
        <w:ind w:firstLine="630" w:firstLineChars="300"/>
      </w:pPr>
      <w:r>
        <w:rPr>
          <w:rFonts w:ascii="Wingdings" w:hAnsi="Wingdings"/>
          <w:szCs w:val="21"/>
        </w:rPr>
        <w:sym w:font="Wingdings" w:char="F0FE"/>
      </w:r>
      <w:r>
        <w:rPr>
          <w:rFonts w:ascii="宋体" w:hAnsi="宋体" w:hint="eastAsia"/>
          <w:szCs w:val="21"/>
        </w:rPr>
        <w:t>分期付款：</w:t>
      </w:r>
      <w:r>
        <w:rPr>
          <w:rFonts w:ascii="宋体" w:hAnsi="宋体" w:hint="eastAsia"/>
          <w:color w:val="FF0000"/>
          <w:szCs w:val="21"/>
          <w:u w:val="single"/>
        </w:rPr>
        <w:t xml:space="preserve"> </w:t>
      </w:r>
      <w:r>
        <w:rPr>
          <w:rFonts w:ascii="宋体" w:hAnsi="宋体" w:hint="eastAsia"/>
          <w:szCs w:val="21"/>
          <w:u w:val="single"/>
        </w:rPr>
        <w:t>合同签订后10个工作日内，甲方向乙方支付合同总金额的90%；设备完成安装、调试，合同验收合格之日起10个工作日内，甲方向乙方支付合同总金额的10%</w:t>
      </w:r>
      <w:r>
        <w:rPr>
          <w:rFonts w:ascii="宋体" w:hAnsi="宋体" w:hint="eastAsia"/>
          <w:szCs w:val="21"/>
        </w:rPr>
        <w:t>。</w:t>
      </w:r>
    </w:p>
    <w:p w:rsidR="00D45863">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D45863">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D45863" w:rsidP="002D52A7">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D4586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D45863">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D45863">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D45863">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D4586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D45863">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D45863">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D45863">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D45863" w:rsidP="002D52A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D45863">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D45863">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D45863">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45863">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45863">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45863">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45863">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4586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D45863">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4586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D4586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D45863">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D45863">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D45863">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D4586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D4586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D45863">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D45863">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D45863" w:rsidP="002D52A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D45863">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D45863" w:rsidP="002D52A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D45863" w:rsidP="002D52A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D45863">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D45863">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D45863">
      <w:r>
        <w:rPr>
          <w:rFonts w:hint="eastAsia"/>
        </w:rPr>
        <w:br w:type="page"/>
      </w:r>
    </w:p>
    <w:p w:rsidR="00D45863">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D45863">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D45863">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法定代表人</w:t>
            </w:r>
          </w:p>
          <w:p w:rsidR="00D45863">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法定代表人</w:t>
            </w:r>
          </w:p>
          <w:p w:rsidR="00D4586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45863">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D45863">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D45863">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D45863">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D45863">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D4586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D45863">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D4586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D4586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D4586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D4586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D4586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D4586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D45863">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D45863">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D45863">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D4586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D45863">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D4586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D4586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D4586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D45863">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D45863">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D45863">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D4586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D4586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D45863">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D45863">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D45863">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D45863">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D45863">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D45863">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D4586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D4586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D4586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D45863">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D4586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D45863">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D45863">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D45863">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D4586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D4586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D45863">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D45863">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D45863">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D45863">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D45863">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D45863">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D45863">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D45863">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D45863">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D45863">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D45863">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D45863">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D45863">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D45863">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D45863">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D45863">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D4586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D4586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D4586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D45863">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D45863">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D45863">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D45863">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D45863">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D45863">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w:t>
      </w:r>
      <w:r>
        <w:rPr>
          <w:rFonts w:ascii="宋体" w:hAnsi="宋体" w:hint="eastAsia"/>
          <w:color w:val="auto"/>
          <w:szCs w:val="21"/>
        </w:rPr>
        <w:t>成部分。</w:t>
      </w:r>
    </w:p>
    <w:p w:rsidR="00D45863">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D45863">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D45863">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D45863">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D45863">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D45863">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D45863">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D45863">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D45863">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D45863">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D45863">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D45863">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D45863">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D45863"/>
        </w:tc>
      </w:tr>
      <w:tr>
        <w:tblPrEx>
          <w:tblW w:w="8519" w:type="dxa"/>
          <w:tblInd w:w="108" w:type="dxa"/>
          <w:tblLayout w:type="fixed"/>
          <w:tblLook w:val="04A0"/>
        </w:tblPrEx>
        <w:trPr>
          <w:trHeight w:val="667"/>
        </w:trPr>
        <w:tc>
          <w:tcPr>
            <w:tcW w:w="1607" w:type="dxa"/>
            <w:vMerge/>
            <w:vAlign w:val="center"/>
          </w:tcPr>
          <w:p w:rsidR="00D45863">
            <w:pPr>
              <w:adjustRightInd w:val="0"/>
              <w:snapToGrid w:val="0"/>
              <w:jc w:val="center"/>
              <w:rPr>
                <w:rFonts w:ascii="宋体" w:hAnsi="宋体"/>
                <w:szCs w:val="21"/>
              </w:rPr>
            </w:pPr>
          </w:p>
        </w:tc>
        <w:tc>
          <w:tcPr>
            <w:tcW w:w="1742" w:type="dxa"/>
            <w:vAlign w:val="center"/>
          </w:tcPr>
          <w:p w:rsidR="00D45863">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D45863"/>
        </w:tc>
      </w:tr>
      <w:tr>
        <w:tblPrEx>
          <w:tblW w:w="8519" w:type="dxa"/>
          <w:tblInd w:w="108" w:type="dxa"/>
          <w:tblLayout w:type="fixed"/>
          <w:tblLook w:val="04A0"/>
        </w:tblPrEx>
        <w:trPr>
          <w:trHeight w:val="772"/>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D45863"/>
        </w:tc>
      </w:tr>
      <w:tr>
        <w:tblPrEx>
          <w:tblW w:w="8519" w:type="dxa"/>
          <w:tblInd w:w="108" w:type="dxa"/>
          <w:tblLayout w:type="fixed"/>
          <w:tblLook w:val="04A0"/>
        </w:tblPrEx>
        <w:trPr>
          <w:trHeight w:val="667"/>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D45863"/>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D45863">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货物质量缺陷</w:t>
            </w:r>
          </w:p>
          <w:p w:rsidR="00D45863">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snapToGrid w:val="0"/>
              <w:jc w:val="center"/>
              <w:rPr>
                <w:rFonts w:ascii="宋体" w:hAnsi="宋体" w:cs="宋体"/>
                <w:szCs w:val="21"/>
              </w:rPr>
            </w:pPr>
            <w:r>
              <w:rPr>
                <w:rFonts w:ascii="宋体" w:hAnsi="宋体" w:cs="宋体" w:hint="eastAsia"/>
                <w:szCs w:val="21"/>
              </w:rPr>
              <w:t>第二节</w:t>
            </w:r>
          </w:p>
          <w:p w:rsidR="00D45863">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D45863">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D4586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D45863">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D45863">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D45863">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D45863">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D45863">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D4586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D4586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D45863">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D45863">
            <w:pPr>
              <w:adjustRightInd w:val="0"/>
              <w:snapToGrid w:val="0"/>
              <w:jc w:val="center"/>
              <w:rPr>
                <w:rFonts w:ascii="宋体" w:hAnsi="宋体"/>
                <w:szCs w:val="21"/>
              </w:rPr>
            </w:pPr>
            <w:r>
              <w:rPr>
                <w:rFonts w:ascii="宋体" w:hAnsi="宋体" w:hint="eastAsia"/>
                <w:szCs w:val="21"/>
              </w:rPr>
              <w:t>第二节</w:t>
            </w:r>
          </w:p>
          <w:p w:rsidR="00D4586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D45863">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D45863">
            <w:pPr>
              <w:adjustRightInd w:val="0"/>
              <w:snapToGrid w:val="0"/>
              <w:jc w:val="left"/>
              <w:rPr>
                <w:rFonts w:ascii="宋体" w:hAnsi="宋体"/>
                <w:szCs w:val="21"/>
              </w:rPr>
            </w:pPr>
          </w:p>
        </w:tc>
      </w:tr>
    </w:tbl>
    <w:p w:rsidR="00D45863"/>
    <w:p w:rsidR="00D45863">
      <w:pPr>
        <w:rPr>
          <w:b/>
          <w:bCs/>
          <w:sz w:val="44"/>
          <w:szCs w:val="44"/>
        </w:rPr>
      </w:pPr>
    </w:p>
    <w:p w:rsidR="00D45863"/>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2A7"/>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4FF8"/>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1417"/>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45863"/>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