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2025年森火工程内蒙古自治区可燃物气象环境监测仪采购项目（内蒙古自治区气象数据中心）</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ZQCD-25480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内蒙古自治区气象数据中心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2025年森火工程内蒙古自治区可燃物气象环境监测仪采购项目（内蒙古自治区气象数据中心）</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ZQCD-25480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内蒙古自治区境内指定地点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2025年12月11日 00:00:00</w:t>
      </w:r>
      <w:bookmarkEnd w:id="26"/>
      <w:r>
        <w:rPr>
          <w:rFonts w:ascii="宋体" w:hint="eastAsia"/>
          <w:szCs w:val="21"/>
          <w:highlight w:val="none"/>
        </w:rPr>
        <w:t>至</w:t>
      </w:r>
      <w:bookmarkStart w:id="27" w:name="项目公告_signUpLastTime"/>
      <w:r>
        <w:rPr>
          <w:rFonts w:ascii="宋体" w:hint="eastAsia"/>
          <w:szCs w:val="21"/>
          <w:highlight w:val="none"/>
        </w:rPr>
        <w:t>2025年12月18日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2026年01月06日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内蒙古自治区气象数据中心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赵建凯</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0471-3335547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内蒙古呼和浩特市新城区海东路气象小区</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内蒙古自治区气象数据中心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不允许（仅针对以下产品：可燃物气象环境监测仪不允许代理商投标）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设有，核心产品为可燃物气象环境监测仪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（1）标的：可燃物气象环境监测仪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639.860000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639.860000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销售合同必须包括地面气象环境监测类或森林草原防火监测类相关设备，每提供1份合同得1分，最多得5分。否则不得分。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针对本项目采购的可燃物气象环境监测仪，承诺每提前10天交货的得1分，最多得1分。否则不得分。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针对地面气象环境监测类或森林草原防火监测类相关设备，每提供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针对可燃物气象环境监测仪，测试报告应涵盖低温、 高温、 恒定湿热等内容，每包含一项得1分，最多得3分。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（一）系统组成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可燃物气象环境监测仪由感知单元、智能处理单元、供电单元、接口和外围组件等组成。感知单元由五要素气象传感器（温度、湿度、风速、风向、光照度）、凋落物及土壤含水率传感器、森林物候相机及接口电路组成。智能处理单元包括：存储器、时钟单元、微控制器、监测单元。接口包括：USB2.0/3.0接口、RJ45接口、RS485/RS232接口、4G模块接口等。外围组件包括：通讯模块、供电系统、杆体配套等。</w:t>
      </w:r>
    </w:p>
    <w:p>
      <w:pPr>
        <w:spacing w:line="560" w:lineRule="exact"/>
        <w:ind w:firstLine="560" w:firstLineChars="200"/>
        <w:rPr>
          <w:rFonts w:ascii="仿宋" w:eastAsia="仿宋" w:hAnsi="仿宋" w:cs="仿宋"/>
          <w:sz w:val="28"/>
          <w:szCs w:val="20"/>
        </w:rPr>
      </w:pPr>
      <w:bookmarkStart w:id="61" w:name="_Hlk211516166"/>
      <w:r>
        <w:rPr>
          <w:rFonts w:ascii="仿宋" w:eastAsia="仿宋" w:hAnsi="仿宋" w:cs="仿宋" w:hint="eastAsia"/>
          <w:sz w:val="28"/>
          <w:szCs w:val="20"/>
        </w:rPr>
        <w:t>(二) 技术性能要求</w:t>
      </w:r>
    </w:p>
    <w:p>
      <w:pPr>
        <w:spacing w:line="360" w:lineRule="auto"/>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rPr>
        <w:t>1.五要素气象传感器（温度、湿度、风速、风向、光照度）</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12"/>
        <w:gridCol w:w="1971"/>
        <w:gridCol w:w="622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3"/>
          <w:jc w:val="center"/>
        </w:trPr>
        <w:tc>
          <w:tcPr>
            <w:tcW w:w="451" w:type="pct"/>
            <w:vAlign w:val="center"/>
          </w:tcPr>
          <w:p>
            <w:pPr>
              <w:jc w:val="center"/>
              <w:rPr>
                <w:rFonts w:ascii="仿宋" w:eastAsia="仿宋" w:hAnsi="仿宋" w:cs="仿宋" w:hint="eastAsia"/>
                <w:b/>
              </w:rPr>
            </w:pPr>
            <w:r>
              <w:rPr>
                <w:rFonts w:ascii="仿宋" w:eastAsia="仿宋" w:hAnsi="仿宋" w:cs="仿宋" w:hint="eastAsia"/>
                <w:b/>
                <w:sz w:val="24"/>
              </w:rPr>
              <w:fldChar w:fldCharType="begin"/>
            </w:r>
            <w:r>
              <w:rPr>
                <w:rFonts w:ascii="仿宋" w:eastAsia="仿宋" w:hAnsi="仿宋" w:cs="仿宋" w:hint="eastAsia"/>
                <w:b/>
                <w:sz w:val="24"/>
              </w:rPr>
              <w:instrText>ADDIN CNKISM.UserStyle</w:instrText>
            </w:r>
            <w:r>
              <w:rPr>
                <w:rFonts w:ascii="仿宋" w:eastAsia="仿宋" w:hAnsi="仿宋" w:cs="仿宋" w:hint="eastAsia"/>
                <w:b/>
                <w:sz w:val="24"/>
              </w:rPr>
              <w:fldChar w:fldCharType="separate"/>
            </w:r>
            <w:r>
              <w:rPr>
                <w:rFonts w:ascii="仿宋" w:eastAsia="仿宋" w:hAnsi="仿宋" w:cs="仿宋" w:hint="eastAsia"/>
                <w:b/>
                <w:sz w:val="24"/>
              </w:rPr>
              <w:fldChar w:fldCharType="end"/>
            </w:r>
            <w:r>
              <w:rPr>
                <w:rFonts w:ascii="仿宋" w:eastAsia="仿宋" w:hAnsi="仿宋" w:cs="仿宋" w:hint="eastAsia"/>
                <w:b/>
                <w:sz w:val="24"/>
              </w:rPr>
              <w:t>序号</w:t>
            </w:r>
          </w:p>
        </w:tc>
        <w:tc>
          <w:tcPr>
            <w:tcW w:w="1095" w:type="pct"/>
            <w:vAlign w:val="center"/>
          </w:tcPr>
          <w:p>
            <w:pPr>
              <w:jc w:val="center"/>
              <w:rPr>
                <w:rFonts w:ascii="仿宋" w:eastAsia="仿宋" w:hAnsi="仿宋" w:cs="仿宋" w:hint="eastAsia"/>
                <w:b/>
              </w:rPr>
            </w:pPr>
            <w:r>
              <w:rPr>
                <w:rFonts w:ascii="仿宋" w:eastAsia="仿宋" w:hAnsi="仿宋" w:cs="仿宋" w:hint="eastAsia"/>
                <w:b/>
                <w:bCs/>
                <w:sz w:val="24"/>
              </w:rPr>
              <w:t>参数名称</w:t>
            </w:r>
          </w:p>
        </w:tc>
        <w:tc>
          <w:tcPr>
            <w:tcW w:w="3454" w:type="pct"/>
            <w:vAlign w:val="center"/>
          </w:tcPr>
          <w:p>
            <w:pPr>
              <w:jc w:val="center"/>
              <w:rPr>
                <w:rFonts w:ascii="仿宋" w:eastAsia="仿宋" w:hAnsi="仿宋" w:cs="仿宋" w:hint="eastAsia"/>
                <w:b/>
              </w:rPr>
            </w:pPr>
            <w:r>
              <w:rPr>
                <w:rFonts w:ascii="仿宋" w:eastAsia="仿宋" w:hAnsi="仿宋" w:cs="仿宋" w:hint="eastAsia"/>
                <w:b/>
                <w:bCs/>
                <w:sz w:val="24"/>
              </w:rPr>
              <w:t>功能与技术指标</w:t>
            </w:r>
          </w:p>
        </w:tc>
      </w:tr>
      <w:tr>
        <w:tblPrEx>
          <w:tblW w:w="5000" w:type="pct"/>
          <w:jc w:val="center"/>
          <w:tblCellMar>
            <w:top w:w="0" w:type="dxa"/>
            <w:left w:w="108" w:type="dxa"/>
            <w:bottom w:w="0" w:type="dxa"/>
            <w:right w:w="108" w:type="dxa"/>
          </w:tblCellMar>
          <w:tblLook w:val="0000"/>
        </w:tblPrEx>
        <w:trPr>
          <w:trHeight w:val="235"/>
          <w:jc w:val="center"/>
        </w:trPr>
        <w:tc>
          <w:tcPr>
            <w:tcW w:w="451" w:type="pct"/>
            <w:vMerge w:val="restart"/>
            <w:vAlign w:val="center"/>
          </w:tcPr>
          <w:p>
            <w:pPr>
              <w:jc w:val="center"/>
              <w:rPr>
                <w:rFonts w:ascii="仿宋" w:eastAsia="仿宋" w:hAnsi="仿宋" w:cs="仿宋" w:hint="eastAsia"/>
              </w:rPr>
            </w:pPr>
            <w:r>
              <w:rPr>
                <w:rFonts w:ascii="仿宋" w:eastAsia="仿宋" w:hAnsi="仿宋" w:cs="仿宋" w:hint="eastAsia"/>
                <w:sz w:val="24"/>
              </w:rPr>
              <w:t>1</w:t>
            </w:r>
          </w:p>
        </w:tc>
        <w:tc>
          <w:tcPr>
            <w:tcW w:w="1095" w:type="pct"/>
            <w:vMerge w:val="restart"/>
            <w:vAlign w:val="center"/>
          </w:tcPr>
          <w:p>
            <w:pPr>
              <w:jc w:val="center"/>
              <w:rPr>
                <w:rFonts w:ascii="仿宋" w:eastAsia="仿宋" w:hAnsi="仿宋" w:cs="仿宋" w:hint="eastAsia"/>
              </w:rPr>
            </w:pPr>
            <w:r>
              <w:rPr>
                <w:rFonts w:ascii="仿宋" w:eastAsia="仿宋" w:hAnsi="仿宋" w:cs="仿宋" w:hint="eastAsia"/>
                <w:sz w:val="24"/>
              </w:rPr>
              <w:t>温度</w:t>
            </w:r>
          </w:p>
        </w:tc>
        <w:tc>
          <w:tcPr>
            <w:tcW w:w="3454" w:type="pct"/>
            <w:vAlign w:val="center"/>
          </w:tcPr>
          <w:p>
            <w:pPr>
              <w:tabs>
                <w:tab w:val="center" w:pos="3022"/>
              </w:tabs>
              <w:rPr>
                <w:rFonts w:ascii="仿宋" w:eastAsia="仿宋" w:hAnsi="仿宋" w:cs="仿宋" w:hint="eastAsia"/>
              </w:rPr>
            </w:pPr>
            <w:r>
              <w:rPr>
                <w:rFonts w:ascii="仿宋" w:eastAsia="仿宋" w:hAnsi="仿宋" w:cs="仿宋" w:hint="eastAsia"/>
                <w:sz w:val="24"/>
              </w:rPr>
              <w:t>测量范围：</w:t>
            </w:r>
            <w:r>
              <w:rPr>
                <w:rFonts w:ascii="仿宋" w:eastAsia="仿宋" w:hAnsi="仿宋" w:cs="仿宋" w:hint="eastAsia"/>
                <w:sz w:val="24"/>
                <w:highlight w:val="none"/>
                <w:shd w:val="clear" w:color="auto" w:fill="auto"/>
              </w:rPr>
              <w:t>-40</w:t>
            </w:r>
            <w:r>
              <w:rPr>
                <w:rFonts w:ascii="仿宋" w:eastAsia="仿宋" w:hAnsi="仿宋" w:cs="仿宋" w:hint="eastAsia"/>
                <w:sz w:val="24"/>
                <w:highlight w:val="none"/>
                <w:shd w:val="clear" w:color="auto" w:fill="auto"/>
              </w:rPr>
              <w:t>℃</w:t>
            </w:r>
            <w:r>
              <w:rPr>
                <w:rFonts w:ascii="仿宋" w:eastAsia="仿宋" w:hAnsi="仿宋" w:cs="仿宋" w:hint="eastAsia"/>
                <w:sz w:val="24"/>
                <w:highlight w:val="none"/>
                <w:shd w:val="clear" w:color="auto" w:fill="auto"/>
              </w:rPr>
              <w:t>～+55</w:t>
            </w:r>
            <w:r>
              <w:rPr>
                <w:rFonts w:ascii="仿宋" w:eastAsia="仿宋" w:hAnsi="仿宋" w:cs="仿宋" w:hint="eastAsia"/>
                <w:sz w:val="24"/>
                <w:highlight w:val="none"/>
                <w:shd w:val="clear" w:color="auto" w:fill="auto"/>
              </w:rPr>
              <w:t>℃</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0.</w:t>
            </w:r>
            <w:r>
              <w:rPr>
                <w:rFonts w:ascii="仿宋" w:eastAsia="仿宋" w:hAnsi="仿宋" w:cs="仿宋" w:hint="eastAsia"/>
                <w:sz w:val="24"/>
                <w:highlight w:val="yellow"/>
                <w:lang w:val="en-US" w:eastAsia="zh-CN"/>
              </w:rPr>
              <w:t>5</w:t>
            </w:r>
            <w:r>
              <w:rPr>
                <w:rFonts w:ascii="仿宋" w:eastAsia="仿宋" w:hAnsi="仿宋" w:cs="仿宋" w:hint="eastAsia"/>
                <w:sz w:val="24"/>
                <w:highlight w:val="yellow"/>
              </w:rPr>
              <w:t>℃</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分辨力：0.1</w:t>
            </w:r>
            <w:r>
              <w:rPr>
                <w:rFonts w:ascii="仿宋" w:eastAsia="仿宋" w:hAnsi="仿宋" w:cs="仿宋" w:hint="eastAsia"/>
                <w:sz w:val="24"/>
                <w:highlight w:val="yellow"/>
              </w:rPr>
              <w:t>℃</w:t>
            </w:r>
          </w:p>
        </w:tc>
      </w:tr>
      <w:tr>
        <w:tblPrEx>
          <w:tblW w:w="5000" w:type="pct"/>
          <w:jc w:val="center"/>
          <w:tblCellMar>
            <w:top w:w="0" w:type="dxa"/>
            <w:left w:w="108" w:type="dxa"/>
            <w:bottom w:w="0" w:type="dxa"/>
            <w:right w:w="108" w:type="dxa"/>
          </w:tblCellMar>
          <w:tblLook w:val="0000"/>
        </w:tblPrEx>
        <w:trPr>
          <w:trHeight w:val="235"/>
          <w:jc w:val="center"/>
        </w:trPr>
        <w:tc>
          <w:tcPr>
            <w:tcW w:w="451" w:type="pct"/>
            <w:vMerge w:val="restart"/>
            <w:vAlign w:val="center"/>
          </w:tcPr>
          <w:p>
            <w:pPr>
              <w:jc w:val="center"/>
              <w:rPr>
                <w:rFonts w:ascii="仿宋" w:eastAsia="仿宋" w:hAnsi="仿宋" w:cs="仿宋" w:hint="eastAsia"/>
              </w:rPr>
            </w:pPr>
            <w:r>
              <w:rPr>
                <w:rFonts w:ascii="仿宋" w:eastAsia="仿宋" w:hAnsi="仿宋" w:cs="仿宋" w:hint="eastAsia"/>
                <w:sz w:val="24"/>
              </w:rPr>
              <w:t>2</w:t>
            </w:r>
          </w:p>
        </w:tc>
        <w:tc>
          <w:tcPr>
            <w:tcW w:w="1095" w:type="pct"/>
            <w:vMerge w:val="restart"/>
            <w:vAlign w:val="center"/>
          </w:tcPr>
          <w:p>
            <w:pPr>
              <w:jc w:val="center"/>
              <w:rPr>
                <w:rFonts w:ascii="仿宋" w:eastAsia="仿宋" w:hAnsi="仿宋" w:cs="仿宋" w:hint="eastAsia"/>
              </w:rPr>
            </w:pPr>
            <w:r>
              <w:rPr>
                <w:rFonts w:ascii="仿宋" w:eastAsia="仿宋" w:hAnsi="仿宋" w:cs="仿宋" w:hint="eastAsia"/>
                <w:sz w:val="24"/>
                <w:lang w:val="en-US" w:eastAsia="zh-CN"/>
              </w:rPr>
              <w:t>相对</w:t>
            </w:r>
            <w:r>
              <w:rPr>
                <w:rFonts w:ascii="仿宋" w:eastAsia="仿宋" w:hAnsi="仿宋" w:cs="仿宋" w:hint="eastAsia"/>
                <w:sz w:val="24"/>
              </w:rPr>
              <w:t>湿度</w:t>
            </w:r>
          </w:p>
        </w:tc>
        <w:tc>
          <w:tcPr>
            <w:tcW w:w="3454" w:type="pct"/>
            <w:vAlign w:val="center"/>
          </w:tcPr>
          <w:p>
            <w:pPr>
              <w:rPr>
                <w:rFonts w:ascii="仿宋" w:eastAsia="仿宋" w:hAnsi="仿宋" w:cs="仿宋" w:hint="eastAsia"/>
                <w:highlight w:val="yellow"/>
              </w:rPr>
            </w:pPr>
            <w:r>
              <w:rPr>
                <w:rFonts w:ascii="仿宋" w:eastAsia="仿宋" w:hAnsi="仿宋" w:cs="仿宋" w:hint="eastAsia"/>
                <w:sz w:val="24"/>
              </w:rPr>
              <w:t>测量范围：</w:t>
            </w:r>
            <w:r>
              <w:rPr>
                <w:rFonts w:ascii="仿宋" w:eastAsia="仿宋" w:hAnsi="仿宋" w:cs="仿宋" w:hint="eastAsia"/>
                <w:sz w:val="24"/>
                <w:lang w:val="en-US" w:eastAsia="zh-CN"/>
              </w:rPr>
              <w:t>10</w:t>
            </w:r>
            <w:r>
              <w:rPr>
                <w:rFonts w:ascii="仿宋" w:eastAsia="仿宋" w:hAnsi="仿宋" w:cs="仿宋" w:hint="eastAsia"/>
                <w:sz w:val="24"/>
              </w:rPr>
              <w:t>%-100%RH</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3%RH（</w:t>
            </w:r>
            <w:r>
              <w:rPr>
                <w:rFonts w:ascii="仿宋" w:eastAsia="仿宋" w:hAnsi="仿宋" w:cs="仿宋" w:hint="eastAsia"/>
                <w:sz w:val="24"/>
                <w:highlight w:val="yellow"/>
              </w:rPr>
              <w:t>≤</w:t>
            </w:r>
            <w:r>
              <w:rPr>
                <w:rFonts w:ascii="仿宋" w:eastAsia="仿宋" w:hAnsi="仿宋" w:cs="仿宋" w:hint="eastAsia"/>
                <w:sz w:val="24"/>
                <w:highlight w:val="yellow"/>
              </w:rPr>
              <w:t>80%RH），</w:t>
            </w:r>
            <w:r>
              <w:rPr>
                <w:rFonts w:ascii="仿宋" w:eastAsia="仿宋" w:hAnsi="仿宋" w:cs="仿宋" w:hint="eastAsia"/>
                <w:sz w:val="24"/>
                <w:highlight w:val="yellow"/>
              </w:rPr>
              <w:t>±</w:t>
            </w:r>
            <w:r>
              <w:rPr>
                <w:rFonts w:ascii="仿宋" w:eastAsia="仿宋" w:hAnsi="仿宋" w:cs="仿宋" w:hint="eastAsia"/>
                <w:sz w:val="24"/>
                <w:highlight w:val="yellow"/>
              </w:rPr>
              <w:t>5%RH（＞80%RH）</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分辨力：</w:t>
            </w:r>
            <w:r>
              <w:rPr>
                <w:rFonts w:ascii="仿宋" w:eastAsia="仿宋" w:hAnsi="仿宋" w:cs="仿宋" w:hint="eastAsia"/>
                <w:sz w:val="24"/>
                <w:highlight w:val="yellow"/>
                <w:lang w:val="en-US" w:eastAsia="zh-CN"/>
              </w:rPr>
              <w:t>0.</w:t>
            </w:r>
            <w:r>
              <w:rPr>
                <w:rFonts w:ascii="仿宋" w:eastAsia="仿宋" w:hAnsi="仿宋" w:cs="仿宋" w:hint="eastAsia"/>
                <w:sz w:val="24"/>
                <w:highlight w:val="yellow"/>
              </w:rPr>
              <w:t>1%RH</w:t>
            </w:r>
          </w:p>
        </w:tc>
      </w:tr>
      <w:tr>
        <w:tblPrEx>
          <w:tblW w:w="5000" w:type="pct"/>
          <w:jc w:val="center"/>
          <w:tblCellMar>
            <w:top w:w="0" w:type="dxa"/>
            <w:left w:w="108" w:type="dxa"/>
            <w:bottom w:w="0" w:type="dxa"/>
            <w:right w:w="108" w:type="dxa"/>
          </w:tblCellMar>
          <w:tblLook w:val="0000"/>
        </w:tblPrEx>
        <w:trPr>
          <w:trHeight w:val="235"/>
          <w:jc w:val="center"/>
        </w:trPr>
        <w:tc>
          <w:tcPr>
            <w:tcW w:w="451" w:type="pct"/>
            <w:vMerge w:val="restart"/>
            <w:vAlign w:val="center"/>
          </w:tcPr>
          <w:p>
            <w:pPr>
              <w:jc w:val="center"/>
              <w:rPr>
                <w:rFonts w:ascii="仿宋" w:eastAsia="仿宋" w:hAnsi="仿宋" w:cs="仿宋" w:hint="eastAsia"/>
              </w:rPr>
            </w:pPr>
            <w:r>
              <w:rPr>
                <w:rFonts w:ascii="仿宋" w:eastAsia="仿宋" w:hAnsi="仿宋" w:cs="仿宋" w:hint="eastAsia"/>
                <w:sz w:val="24"/>
              </w:rPr>
              <w:t>3</w:t>
            </w:r>
          </w:p>
        </w:tc>
        <w:tc>
          <w:tcPr>
            <w:tcW w:w="1095" w:type="pct"/>
            <w:vMerge w:val="restart"/>
            <w:vAlign w:val="center"/>
          </w:tcPr>
          <w:p>
            <w:pPr>
              <w:jc w:val="center"/>
              <w:rPr>
                <w:rFonts w:ascii="仿宋" w:eastAsia="仿宋" w:hAnsi="仿宋" w:cs="仿宋" w:hint="eastAsia"/>
              </w:rPr>
            </w:pPr>
            <w:r>
              <w:rPr>
                <w:rFonts w:ascii="仿宋" w:eastAsia="仿宋" w:hAnsi="仿宋" w:cs="仿宋" w:hint="eastAsia"/>
                <w:sz w:val="24"/>
              </w:rPr>
              <w:t>风速</w:t>
            </w:r>
          </w:p>
        </w:tc>
        <w:tc>
          <w:tcPr>
            <w:tcW w:w="3454" w:type="pct"/>
            <w:vAlign w:val="center"/>
          </w:tcPr>
          <w:p>
            <w:pPr>
              <w:rPr>
                <w:rFonts w:ascii="仿宋" w:eastAsia="仿宋" w:hAnsi="仿宋" w:cs="仿宋" w:hint="eastAsia"/>
                <w:highlight w:val="yellow"/>
              </w:rPr>
            </w:pPr>
            <w:r>
              <w:rPr>
                <w:rFonts w:ascii="仿宋" w:eastAsia="仿宋" w:hAnsi="仿宋" w:cs="仿宋" w:hint="eastAsia"/>
                <w:sz w:val="24"/>
              </w:rPr>
              <w:t xml:space="preserve">测量范围：0-60m/s； </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（0.5+0.03V）m/s ，V表示</w:t>
            </w:r>
            <w:r>
              <w:rPr>
                <w:rFonts w:ascii="仿宋" w:eastAsia="仿宋" w:hAnsi="仿宋" w:cs="仿宋" w:hint="eastAsia"/>
                <w:sz w:val="24"/>
                <w:highlight w:val="yellow"/>
                <w:lang w:val="en-US" w:eastAsia="zh-CN"/>
              </w:rPr>
              <w:t>当前</w:t>
            </w:r>
            <w:r>
              <w:rPr>
                <w:rFonts w:ascii="仿宋" w:eastAsia="仿宋" w:hAnsi="仿宋" w:cs="仿宋" w:hint="eastAsia"/>
                <w:sz w:val="24"/>
                <w:highlight w:val="yellow"/>
              </w:rPr>
              <w:t>风速</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hint="eastAsia"/>
                <w:sz w:val="24"/>
              </w:rPr>
              <w:t>分辨力：0.1m/s</w:t>
            </w:r>
          </w:p>
        </w:tc>
      </w:tr>
      <w:tr>
        <w:tblPrEx>
          <w:tblW w:w="5000" w:type="pct"/>
          <w:jc w:val="center"/>
          <w:tblCellMar>
            <w:top w:w="0" w:type="dxa"/>
            <w:left w:w="108" w:type="dxa"/>
            <w:bottom w:w="0" w:type="dxa"/>
            <w:right w:w="108" w:type="dxa"/>
          </w:tblCellMar>
          <w:tblLook w:val="0000"/>
        </w:tblPrEx>
        <w:trPr>
          <w:trHeight w:val="235"/>
          <w:jc w:val="center"/>
        </w:trPr>
        <w:tc>
          <w:tcPr>
            <w:tcW w:w="451" w:type="pct"/>
            <w:vMerge w:val="restart"/>
            <w:vAlign w:val="center"/>
          </w:tcPr>
          <w:p>
            <w:pPr>
              <w:jc w:val="center"/>
              <w:rPr>
                <w:rFonts w:ascii="仿宋" w:eastAsia="仿宋" w:hAnsi="仿宋" w:cs="仿宋" w:hint="eastAsia"/>
              </w:rPr>
            </w:pPr>
            <w:r>
              <w:rPr>
                <w:rFonts w:ascii="仿宋" w:eastAsia="仿宋" w:hAnsi="仿宋" w:cs="仿宋" w:hint="eastAsia"/>
                <w:sz w:val="24"/>
              </w:rPr>
              <w:t>4</w:t>
            </w:r>
          </w:p>
        </w:tc>
        <w:tc>
          <w:tcPr>
            <w:tcW w:w="1095" w:type="pct"/>
            <w:vMerge w:val="restart"/>
            <w:vAlign w:val="center"/>
          </w:tcPr>
          <w:p>
            <w:pPr>
              <w:jc w:val="center"/>
              <w:rPr>
                <w:rFonts w:ascii="仿宋" w:eastAsia="仿宋" w:hAnsi="仿宋" w:cs="仿宋" w:hint="eastAsia"/>
              </w:rPr>
            </w:pPr>
            <w:r>
              <w:rPr>
                <w:rFonts w:ascii="仿宋" w:eastAsia="仿宋" w:hAnsi="仿宋" w:cs="仿宋" w:hint="eastAsia"/>
                <w:sz w:val="24"/>
              </w:rPr>
              <w:t>风向</w:t>
            </w:r>
          </w:p>
        </w:tc>
        <w:tc>
          <w:tcPr>
            <w:tcW w:w="3454" w:type="pct"/>
            <w:vAlign w:val="center"/>
          </w:tcPr>
          <w:p>
            <w:pPr>
              <w:rPr>
                <w:rFonts w:ascii="仿宋" w:eastAsia="仿宋" w:hAnsi="仿宋" w:cs="仿宋" w:hint="eastAsia"/>
                <w:highlight w:val="yellow"/>
              </w:rPr>
            </w:pPr>
            <w:r>
              <w:rPr>
                <w:rFonts w:ascii="仿宋" w:eastAsia="仿宋" w:hAnsi="仿宋" w:cs="仿宋" w:hint="eastAsia"/>
                <w:sz w:val="24"/>
              </w:rPr>
              <w:t>测量范围：0-360</w:t>
            </w:r>
            <w:r>
              <w:rPr>
                <w:rFonts w:ascii="仿宋" w:eastAsia="仿宋" w:hAnsi="仿宋" w:cs="仿宋" w:hint="eastAsia"/>
                <w:sz w:val="24"/>
              </w:rPr>
              <w:t>°</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5</w:t>
            </w:r>
            <w:r>
              <w:rPr>
                <w:rFonts w:ascii="仿宋" w:eastAsia="仿宋" w:hAnsi="仿宋" w:cs="仿宋" w:hint="eastAsia"/>
                <w:sz w:val="24"/>
                <w:highlight w:val="yellow"/>
              </w:rPr>
              <w:t>°</w:t>
            </w:r>
            <w:r>
              <w:rPr>
                <w:rFonts w:ascii="仿宋" w:eastAsia="仿宋" w:hAnsi="仿宋" w:cs="仿宋"/>
                <w:sz w:val="24"/>
              </w:rPr>
              <w:t xml:space="preserve"> </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hint="eastAsia"/>
                <w:sz w:val="24"/>
              </w:rPr>
              <w:t>分辨力：</w:t>
            </w:r>
            <w:r>
              <w:rPr>
                <w:rFonts w:ascii="仿宋" w:eastAsia="仿宋" w:hAnsi="仿宋" w:cs="仿宋" w:hint="eastAsia"/>
                <w:sz w:val="24"/>
                <w:lang w:val="en-US" w:eastAsia="zh-CN"/>
              </w:rPr>
              <w:t>1</w:t>
            </w:r>
            <w:r>
              <w:rPr>
                <w:rFonts w:ascii="仿宋" w:eastAsia="仿宋" w:hAnsi="仿宋" w:cs="仿宋" w:hint="eastAsia"/>
                <w:sz w:val="24"/>
              </w:rPr>
              <w:t>°</w:t>
            </w:r>
          </w:p>
        </w:tc>
      </w:tr>
      <w:tr>
        <w:tblPrEx>
          <w:tblW w:w="5000" w:type="pct"/>
          <w:jc w:val="center"/>
          <w:tblCellMar>
            <w:top w:w="0" w:type="dxa"/>
            <w:left w:w="108" w:type="dxa"/>
            <w:bottom w:w="0" w:type="dxa"/>
            <w:right w:w="108" w:type="dxa"/>
          </w:tblCellMar>
          <w:tblLook w:val="0000"/>
        </w:tblPrEx>
        <w:trPr>
          <w:trHeight w:val="235"/>
          <w:jc w:val="center"/>
        </w:trPr>
        <w:tc>
          <w:tcPr>
            <w:tcW w:w="451" w:type="pct"/>
            <w:vMerge w:val="restart"/>
            <w:vAlign w:val="center"/>
          </w:tcPr>
          <w:p>
            <w:pPr>
              <w:jc w:val="center"/>
              <w:rPr>
                <w:rFonts w:ascii="仿宋" w:eastAsia="仿宋" w:hAnsi="仿宋" w:cs="仿宋" w:hint="eastAsia"/>
              </w:rPr>
            </w:pPr>
            <w:r>
              <w:rPr>
                <w:rFonts w:ascii="仿宋" w:eastAsia="仿宋" w:hAnsi="仿宋" w:cs="仿宋" w:hint="eastAsia"/>
                <w:sz w:val="24"/>
              </w:rPr>
              <w:t>5</w:t>
            </w:r>
          </w:p>
        </w:tc>
        <w:tc>
          <w:tcPr>
            <w:tcW w:w="1095" w:type="pct"/>
            <w:vMerge w:val="restart"/>
            <w:vAlign w:val="center"/>
          </w:tcPr>
          <w:p>
            <w:pPr>
              <w:jc w:val="center"/>
              <w:rPr>
                <w:rFonts w:ascii="仿宋" w:eastAsia="仿宋" w:hAnsi="仿宋" w:cs="仿宋" w:hint="eastAsia"/>
              </w:rPr>
            </w:pPr>
            <w:r>
              <w:rPr>
                <w:rFonts w:ascii="仿宋" w:eastAsia="仿宋" w:hAnsi="仿宋" w:cs="仿宋" w:hint="eastAsia"/>
                <w:sz w:val="24"/>
              </w:rPr>
              <w:t>光照度</w:t>
            </w:r>
          </w:p>
        </w:tc>
        <w:tc>
          <w:tcPr>
            <w:tcW w:w="3454" w:type="pct"/>
            <w:vAlign w:val="center"/>
          </w:tcPr>
          <w:p>
            <w:pPr>
              <w:rPr>
                <w:rFonts w:ascii="仿宋" w:eastAsia="仿宋" w:hAnsi="仿宋" w:cs="仿宋" w:hint="eastAsia"/>
                <w:highlight w:val="yellow"/>
              </w:rPr>
            </w:pPr>
            <w:r>
              <w:rPr>
                <w:rFonts w:ascii="仿宋" w:eastAsia="仿宋" w:hAnsi="仿宋" w:cs="仿宋" w:hint="eastAsia"/>
                <w:sz w:val="24"/>
              </w:rPr>
              <w:t xml:space="preserve">测量范围：0-200KLUX </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3%</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分辨力：10LUX</w:t>
            </w:r>
          </w:p>
        </w:tc>
      </w:tr>
    </w:tbl>
    <w:p>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2.凋落物及土壤含水率传感器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11"/>
        <w:gridCol w:w="1970"/>
        <w:gridCol w:w="622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3"/>
          <w:jc w:val="center"/>
        </w:trPr>
        <w:tc>
          <w:tcPr>
            <w:tcW w:w="450" w:type="pct"/>
            <w:vAlign w:val="center"/>
          </w:tcPr>
          <w:p>
            <w:pPr>
              <w:jc w:val="center"/>
              <w:rPr>
                <w:rFonts w:ascii="仿宋" w:eastAsia="仿宋" w:hAnsi="仿宋" w:cs="仿宋" w:hint="eastAsia"/>
                <w:b/>
              </w:rPr>
            </w:pPr>
            <w:r>
              <w:rPr>
                <w:rFonts w:ascii="仿宋" w:eastAsia="仿宋" w:hAnsi="仿宋" w:cs="仿宋" w:hint="eastAsia"/>
                <w:b/>
                <w:sz w:val="24"/>
              </w:rPr>
              <w:fldChar w:fldCharType="begin"/>
            </w:r>
            <w:r>
              <w:rPr>
                <w:rFonts w:ascii="仿宋" w:eastAsia="仿宋" w:hAnsi="仿宋" w:cs="仿宋" w:hint="eastAsia"/>
                <w:b/>
                <w:sz w:val="24"/>
              </w:rPr>
              <w:instrText>ADDIN CNKISM.UserStyle</w:instrText>
            </w:r>
            <w:r>
              <w:rPr>
                <w:rFonts w:ascii="仿宋" w:eastAsia="仿宋" w:hAnsi="仿宋" w:cs="仿宋" w:hint="eastAsia"/>
                <w:b/>
                <w:sz w:val="24"/>
              </w:rPr>
              <w:fldChar w:fldCharType="separate"/>
            </w:r>
            <w:r>
              <w:rPr>
                <w:rFonts w:ascii="仿宋" w:eastAsia="仿宋" w:hAnsi="仿宋" w:cs="仿宋" w:hint="eastAsia"/>
                <w:b/>
                <w:sz w:val="24"/>
              </w:rPr>
              <w:fldChar w:fldCharType="end"/>
            </w:r>
            <w:r>
              <w:rPr>
                <w:rFonts w:ascii="仿宋" w:eastAsia="仿宋" w:hAnsi="仿宋" w:cs="仿宋" w:hint="eastAsia"/>
                <w:b/>
                <w:sz w:val="24"/>
              </w:rPr>
              <w:t>序号</w:t>
            </w:r>
          </w:p>
        </w:tc>
        <w:tc>
          <w:tcPr>
            <w:tcW w:w="1094" w:type="pct"/>
            <w:vAlign w:val="center"/>
          </w:tcPr>
          <w:p>
            <w:pPr>
              <w:jc w:val="center"/>
              <w:rPr>
                <w:rFonts w:ascii="仿宋" w:eastAsia="仿宋" w:hAnsi="仿宋" w:cs="仿宋" w:hint="eastAsia"/>
                <w:b/>
              </w:rPr>
            </w:pPr>
            <w:r>
              <w:rPr>
                <w:rFonts w:ascii="仿宋" w:eastAsia="仿宋" w:hAnsi="仿宋" w:cs="仿宋" w:hint="eastAsia"/>
                <w:b/>
                <w:bCs/>
                <w:sz w:val="24"/>
              </w:rPr>
              <w:t>参数名称</w:t>
            </w:r>
          </w:p>
        </w:tc>
        <w:tc>
          <w:tcPr>
            <w:tcW w:w="3454" w:type="pct"/>
            <w:vAlign w:val="center"/>
          </w:tcPr>
          <w:p>
            <w:pPr>
              <w:jc w:val="center"/>
              <w:rPr>
                <w:rFonts w:ascii="仿宋" w:eastAsia="仿宋" w:hAnsi="仿宋" w:cs="仿宋" w:hint="eastAsia"/>
                <w:b/>
              </w:rPr>
            </w:pPr>
            <w:r>
              <w:rPr>
                <w:rFonts w:ascii="仿宋" w:eastAsia="仿宋" w:hAnsi="仿宋" w:cs="仿宋" w:hint="eastAsia"/>
                <w:b/>
                <w:bCs/>
                <w:sz w:val="24"/>
              </w:rPr>
              <w:t>功能与技术指标</w:t>
            </w:r>
          </w:p>
        </w:tc>
      </w:tr>
      <w:tr>
        <w:tblPrEx>
          <w:tblW w:w="5000" w:type="pct"/>
          <w:jc w:val="center"/>
          <w:tblCellMar>
            <w:top w:w="0" w:type="dxa"/>
            <w:left w:w="108" w:type="dxa"/>
            <w:bottom w:w="0" w:type="dxa"/>
            <w:right w:w="108" w:type="dxa"/>
          </w:tblCellMar>
          <w:tblLook w:val="0000"/>
        </w:tblPrEx>
        <w:trPr>
          <w:trHeight w:val="383"/>
          <w:jc w:val="center"/>
        </w:trPr>
        <w:tc>
          <w:tcPr>
            <w:tcW w:w="450" w:type="pct"/>
            <w:vMerge w:val="restart"/>
            <w:vAlign w:val="center"/>
          </w:tcPr>
          <w:p>
            <w:pPr>
              <w:jc w:val="center"/>
              <w:rPr>
                <w:rFonts w:ascii="仿宋" w:eastAsia="仿宋" w:hAnsi="仿宋" w:cs="仿宋" w:hint="eastAsia"/>
              </w:rPr>
            </w:pPr>
            <w:r>
              <w:rPr>
                <w:rFonts w:ascii="仿宋" w:eastAsia="仿宋" w:hAnsi="仿宋" w:cs="仿宋" w:hint="eastAsia"/>
                <w:sz w:val="24"/>
              </w:rPr>
              <w:t>6</w:t>
            </w:r>
          </w:p>
        </w:tc>
        <w:tc>
          <w:tcPr>
            <w:tcW w:w="1094" w:type="pct"/>
            <w:vMerge w:val="restart"/>
            <w:vAlign w:val="center"/>
          </w:tcPr>
          <w:p>
            <w:pPr>
              <w:jc w:val="center"/>
              <w:rPr>
                <w:rFonts w:ascii="仿宋" w:eastAsia="仿宋" w:hAnsi="仿宋" w:cs="仿宋" w:hint="eastAsia"/>
              </w:rPr>
            </w:pPr>
            <w:r>
              <w:rPr>
                <w:rFonts w:ascii="仿宋" w:eastAsia="仿宋" w:hAnsi="仿宋" w:cs="仿宋" w:hint="eastAsia"/>
                <w:sz w:val="24"/>
              </w:rPr>
              <w:t>凋落物含水率</w:t>
            </w:r>
          </w:p>
        </w:tc>
        <w:tc>
          <w:tcPr>
            <w:tcW w:w="3454" w:type="pct"/>
            <w:vAlign w:val="center"/>
          </w:tcPr>
          <w:p>
            <w:pPr>
              <w:rPr>
                <w:rFonts w:ascii="仿宋" w:eastAsia="仿宋" w:hAnsi="仿宋" w:cs="仿宋" w:hint="eastAsia"/>
              </w:rPr>
            </w:pPr>
            <w:r>
              <w:rPr>
                <w:rFonts w:ascii="仿宋" w:eastAsia="仿宋" w:hAnsi="仿宋" w:cs="仿宋"/>
                <w:sz w:val="24"/>
                <w:highlight w:val="yellow"/>
              </w:rPr>
              <w:t>#</w:t>
            </w:r>
            <w:r>
              <w:rPr>
                <w:rFonts w:ascii="仿宋" w:eastAsia="仿宋" w:hAnsi="仿宋" w:cs="仿宋" w:hint="eastAsia"/>
                <w:sz w:val="24"/>
                <w:highlight w:val="yellow"/>
              </w:rPr>
              <w:t>测量范围：0-100.0%</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 xml:space="preserve">测量误差: </w:t>
            </w:r>
            <w:r>
              <w:rPr>
                <w:rFonts w:ascii="仿宋" w:eastAsia="仿宋" w:hAnsi="仿宋" w:cs="仿宋" w:hint="eastAsia"/>
                <w:sz w:val="24"/>
                <w:highlight w:val="yellow"/>
              </w:rPr>
              <w:t>≤±</w:t>
            </w:r>
            <w:r>
              <w:rPr>
                <w:rFonts w:ascii="仿宋" w:eastAsia="仿宋" w:hAnsi="仿宋" w:cs="仿宋" w:hint="eastAsia"/>
                <w:sz w:val="24"/>
                <w:highlight w:val="yellow"/>
              </w:rPr>
              <w:t>5%（含水率</w:t>
            </w:r>
            <w:r>
              <w:rPr>
                <w:rFonts w:ascii="仿宋" w:eastAsia="仿宋" w:hAnsi="仿宋" w:cs="仿宋" w:hint="eastAsia"/>
                <w:sz w:val="24"/>
                <w:highlight w:val="yellow"/>
              </w:rPr>
              <w:t>≤</w:t>
            </w:r>
            <w:r>
              <w:rPr>
                <w:rFonts w:ascii="仿宋" w:eastAsia="仿宋" w:hAnsi="仿宋" w:cs="仿宋" w:hint="eastAsia"/>
                <w:sz w:val="24"/>
                <w:highlight w:val="yellow"/>
              </w:rPr>
              <w:t>35%时），</w:t>
            </w:r>
            <w:r>
              <w:rPr>
                <w:rFonts w:ascii="仿宋" w:eastAsia="仿宋" w:hAnsi="仿宋" w:cs="仿宋" w:hint="eastAsia"/>
                <w:sz w:val="24"/>
                <w:highlight w:val="yellow"/>
              </w:rPr>
              <w:t>≤±</w:t>
            </w:r>
            <w:r>
              <w:rPr>
                <w:rFonts w:ascii="仿宋" w:eastAsia="仿宋" w:hAnsi="仿宋" w:cs="仿宋" w:hint="eastAsia"/>
                <w:sz w:val="24"/>
                <w:highlight w:val="yellow"/>
              </w:rPr>
              <w:t>10%（35%＜含水率</w:t>
            </w:r>
            <w:r>
              <w:rPr>
                <w:rFonts w:ascii="仿宋" w:eastAsia="仿宋" w:hAnsi="仿宋" w:cs="仿宋" w:hint="eastAsia"/>
                <w:sz w:val="24"/>
                <w:highlight w:val="yellow"/>
              </w:rPr>
              <w:t>≤</w:t>
            </w:r>
            <w:r>
              <w:rPr>
                <w:rFonts w:ascii="仿宋" w:eastAsia="仿宋" w:hAnsi="仿宋" w:cs="仿宋" w:hint="eastAsia"/>
                <w:sz w:val="24"/>
                <w:highlight w:val="yellow"/>
              </w:rPr>
              <w:t>100%）</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分辨力：0.1%</w:t>
            </w:r>
          </w:p>
        </w:tc>
      </w:tr>
      <w:tr>
        <w:tblPrEx>
          <w:tblW w:w="5000" w:type="pct"/>
          <w:jc w:val="center"/>
          <w:tblCellMar>
            <w:top w:w="0" w:type="dxa"/>
            <w:left w:w="108" w:type="dxa"/>
            <w:bottom w:w="0" w:type="dxa"/>
            <w:right w:w="108" w:type="dxa"/>
          </w:tblCellMar>
          <w:tblLook w:val="0000"/>
        </w:tblPrEx>
        <w:trPr>
          <w:trHeight w:val="355"/>
          <w:jc w:val="center"/>
        </w:trPr>
        <w:tc>
          <w:tcPr>
            <w:tcW w:w="450" w:type="pct"/>
            <w:vMerge w:val="restart"/>
            <w:vAlign w:val="center"/>
          </w:tcPr>
          <w:p>
            <w:pPr>
              <w:jc w:val="center"/>
              <w:rPr>
                <w:rFonts w:ascii="仿宋" w:eastAsia="仿宋" w:hAnsi="仿宋" w:cs="仿宋" w:hint="eastAsia"/>
              </w:rPr>
            </w:pPr>
            <w:r>
              <w:rPr>
                <w:rFonts w:ascii="仿宋" w:eastAsia="仿宋" w:hAnsi="仿宋" w:cs="仿宋" w:hint="eastAsia"/>
                <w:sz w:val="24"/>
              </w:rPr>
              <w:t>7</w:t>
            </w:r>
          </w:p>
        </w:tc>
        <w:tc>
          <w:tcPr>
            <w:tcW w:w="1094" w:type="pct"/>
            <w:vMerge w:val="restart"/>
            <w:vAlign w:val="center"/>
          </w:tcPr>
          <w:p>
            <w:pPr>
              <w:jc w:val="center"/>
              <w:rPr>
                <w:rFonts w:ascii="仿宋" w:eastAsia="仿宋" w:hAnsi="仿宋" w:cs="仿宋" w:hint="eastAsia"/>
              </w:rPr>
            </w:pPr>
            <w:r>
              <w:rPr>
                <w:rFonts w:ascii="仿宋" w:eastAsia="仿宋" w:hAnsi="仿宋" w:cs="仿宋" w:hint="eastAsia"/>
                <w:sz w:val="24"/>
              </w:rPr>
              <w:t>土壤体积含水率</w:t>
            </w:r>
          </w:p>
        </w:tc>
        <w:tc>
          <w:tcPr>
            <w:tcW w:w="3454" w:type="pct"/>
            <w:vAlign w:val="center"/>
          </w:tcPr>
          <w:p>
            <w:pPr>
              <w:rPr>
                <w:rFonts w:ascii="仿宋" w:eastAsia="仿宋" w:hAnsi="仿宋" w:cs="仿宋" w:hint="eastAsia"/>
              </w:rPr>
            </w:pPr>
            <w:r>
              <w:rPr>
                <w:rFonts w:ascii="仿宋" w:eastAsia="仿宋" w:hAnsi="仿宋" w:cs="仿宋" w:hint="eastAsia"/>
                <w:sz w:val="24"/>
              </w:rPr>
              <w:t>探测深度：10cm，20cm，30cm三层</w:t>
            </w:r>
          </w:p>
        </w:tc>
      </w:tr>
      <w:tr>
        <w:tblPrEx>
          <w:tblW w:w="5000" w:type="pct"/>
          <w:jc w:val="center"/>
          <w:tblCellMar>
            <w:top w:w="0" w:type="dxa"/>
            <w:left w:w="108" w:type="dxa"/>
            <w:bottom w:w="0" w:type="dxa"/>
            <w:right w:w="108" w:type="dxa"/>
          </w:tblCellMar>
          <w:tblLook w:val="0000"/>
        </w:tblPrEx>
        <w:trPr>
          <w:trHeight w:val="235"/>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nt="eastAsia"/>
              </w:rPr>
            </w:pPr>
            <w:r>
              <w:rPr>
                <w:rFonts w:ascii="仿宋" w:eastAsia="仿宋" w:hAnsi="仿宋" w:cs="仿宋"/>
                <w:sz w:val="24"/>
                <w:highlight w:val="yellow"/>
              </w:rPr>
              <w:t>#</w:t>
            </w:r>
            <w:r>
              <w:rPr>
                <w:rFonts w:ascii="仿宋" w:eastAsia="仿宋" w:hAnsi="仿宋" w:cs="仿宋" w:hint="eastAsia"/>
                <w:sz w:val="24"/>
                <w:highlight w:val="yellow"/>
              </w:rPr>
              <w:t>测量范围：0-60.0%Vol</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测量误差：</w:t>
            </w:r>
            <w:r>
              <w:rPr>
                <w:rFonts w:ascii="仿宋" w:eastAsia="仿宋" w:hAnsi="仿宋" w:cs="仿宋" w:hint="eastAsia"/>
                <w:sz w:val="24"/>
                <w:highlight w:val="yellow"/>
              </w:rPr>
              <w:t>≤±</w:t>
            </w:r>
            <w:r>
              <w:rPr>
                <w:rFonts w:ascii="仿宋" w:eastAsia="仿宋" w:hAnsi="仿宋" w:cs="仿宋" w:hint="eastAsia"/>
                <w:sz w:val="24"/>
                <w:highlight w:val="yellow"/>
              </w:rPr>
              <w:t>5%；</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分辨力：0.1%</w:t>
            </w:r>
          </w:p>
        </w:tc>
      </w:tr>
      <w:tr>
        <w:tblPrEx>
          <w:tblW w:w="5000" w:type="pct"/>
          <w:jc w:val="center"/>
          <w:tblCellMar>
            <w:top w:w="0" w:type="dxa"/>
            <w:left w:w="108" w:type="dxa"/>
            <w:bottom w:w="0" w:type="dxa"/>
            <w:right w:w="108" w:type="dxa"/>
          </w:tblCellMar>
          <w:tblLook w:val="0000"/>
        </w:tblPrEx>
        <w:trPr>
          <w:trHeight w:val="235"/>
          <w:jc w:val="center"/>
        </w:trPr>
        <w:tc>
          <w:tcPr>
            <w:tcW w:w="450" w:type="pct"/>
            <w:vMerge w:val="restart"/>
            <w:vAlign w:val="center"/>
          </w:tcPr>
          <w:p>
            <w:pPr>
              <w:jc w:val="center"/>
              <w:rPr>
                <w:rFonts w:ascii="仿宋" w:eastAsia="仿宋" w:hAnsi="仿宋" w:cs="仿宋" w:hint="eastAsia"/>
              </w:rPr>
            </w:pPr>
            <w:r>
              <w:rPr>
                <w:rFonts w:ascii="仿宋" w:eastAsia="仿宋" w:hAnsi="仿宋" w:cs="仿宋" w:hint="eastAsia"/>
                <w:sz w:val="24"/>
              </w:rPr>
              <w:t>8</w:t>
            </w:r>
          </w:p>
        </w:tc>
        <w:tc>
          <w:tcPr>
            <w:tcW w:w="1094" w:type="pct"/>
            <w:vMerge w:val="restart"/>
            <w:vAlign w:val="center"/>
          </w:tcPr>
          <w:p>
            <w:pPr>
              <w:jc w:val="center"/>
              <w:rPr>
                <w:rFonts w:ascii="仿宋" w:eastAsia="仿宋" w:hAnsi="仿宋" w:cs="仿宋" w:hint="eastAsia"/>
              </w:rPr>
            </w:pPr>
            <w:r>
              <w:rPr>
                <w:rFonts w:ascii="仿宋" w:eastAsia="仿宋" w:hAnsi="仿宋" w:cs="仿宋" w:hint="eastAsia"/>
                <w:sz w:val="24"/>
              </w:rPr>
              <w:t>地表湿度</w:t>
            </w:r>
          </w:p>
        </w:tc>
        <w:tc>
          <w:tcPr>
            <w:tcW w:w="3454" w:type="pct"/>
            <w:vAlign w:val="center"/>
          </w:tcPr>
          <w:p>
            <w:pPr>
              <w:rPr>
                <w:rFonts w:ascii="仿宋" w:eastAsia="仿宋" w:hAnsi="仿宋" w:cs="仿宋" w:hint="eastAsia"/>
                <w:highlight w:val="yellow"/>
              </w:rPr>
            </w:pPr>
            <w:r>
              <w:rPr>
                <w:rFonts w:ascii="仿宋" w:eastAsia="仿宋" w:hAnsi="仿宋" w:cs="仿宋" w:hint="eastAsia"/>
                <w:sz w:val="24"/>
              </w:rPr>
              <w:t>测量范围：10%-100%RH</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测量误差：</w:t>
            </w:r>
            <w:r>
              <w:rPr>
                <w:rFonts w:ascii="仿宋" w:eastAsia="仿宋" w:hAnsi="仿宋" w:cs="仿宋" w:hint="eastAsia"/>
                <w:sz w:val="24"/>
                <w:highlight w:val="yellow"/>
              </w:rPr>
              <w:t>≤±</w:t>
            </w:r>
            <w:r>
              <w:rPr>
                <w:rFonts w:ascii="仿宋" w:eastAsia="仿宋" w:hAnsi="仿宋" w:cs="仿宋" w:hint="eastAsia"/>
                <w:sz w:val="24"/>
                <w:highlight w:val="yellow"/>
              </w:rPr>
              <w:t>3%RH（</w:t>
            </w:r>
            <w:r>
              <w:rPr>
                <w:rFonts w:ascii="仿宋" w:eastAsia="仿宋" w:hAnsi="仿宋" w:cs="仿宋" w:hint="eastAsia"/>
                <w:sz w:val="24"/>
                <w:highlight w:val="yellow"/>
              </w:rPr>
              <w:t>≤</w:t>
            </w:r>
            <w:r>
              <w:rPr>
                <w:rFonts w:ascii="仿宋" w:eastAsia="仿宋" w:hAnsi="仿宋" w:cs="仿宋" w:hint="eastAsia"/>
                <w:sz w:val="24"/>
                <w:highlight w:val="yellow"/>
              </w:rPr>
              <w:t>80%RH）,</w:t>
            </w:r>
            <w:r>
              <w:rPr>
                <w:rFonts w:ascii="仿宋" w:eastAsia="仿宋" w:hAnsi="仿宋" w:cs="仿宋" w:hint="eastAsia"/>
                <w:sz w:val="24"/>
                <w:highlight w:val="yellow"/>
              </w:rPr>
              <w:t>≤±</w:t>
            </w:r>
            <w:r>
              <w:rPr>
                <w:rFonts w:ascii="仿宋" w:eastAsia="仿宋" w:hAnsi="仿宋" w:cs="仿宋" w:hint="eastAsia"/>
                <w:sz w:val="24"/>
                <w:highlight w:val="yellow"/>
              </w:rPr>
              <w:t>5%RH（</w:t>
            </w:r>
            <w:r>
              <w:rPr>
                <w:rFonts w:ascii="仿宋" w:eastAsia="仿宋" w:hAnsi="仿宋" w:cs="仿宋" w:hint="eastAsia"/>
                <w:sz w:val="24"/>
                <w:highlight w:val="yellow"/>
                <w:lang w:val="en-US" w:eastAsia="zh-CN"/>
              </w:rPr>
              <w:t>＞</w:t>
            </w:r>
            <w:r>
              <w:rPr>
                <w:rFonts w:ascii="仿宋" w:eastAsia="仿宋" w:hAnsi="仿宋" w:cs="仿宋" w:hint="eastAsia"/>
                <w:sz w:val="24"/>
                <w:highlight w:val="yellow"/>
              </w:rPr>
              <w:t>80%RH）</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分辨力:</w:t>
            </w:r>
            <w:r>
              <w:rPr>
                <w:rFonts w:ascii="仿宋" w:eastAsia="仿宋" w:hAnsi="仿宋" w:cs="仿宋" w:hint="eastAsia"/>
                <w:sz w:val="24"/>
                <w:highlight w:val="yellow"/>
                <w:lang w:val="en-US" w:eastAsia="zh-CN"/>
              </w:rPr>
              <w:t>0.</w:t>
            </w:r>
            <w:r>
              <w:rPr>
                <w:rFonts w:ascii="仿宋" w:eastAsia="仿宋" w:hAnsi="仿宋" w:cs="仿宋" w:hint="eastAsia"/>
                <w:sz w:val="24"/>
                <w:highlight w:val="yellow"/>
              </w:rPr>
              <w:t>1%RH</w:t>
            </w:r>
          </w:p>
        </w:tc>
      </w:tr>
      <w:tr>
        <w:tblPrEx>
          <w:tblW w:w="5000" w:type="pct"/>
          <w:jc w:val="center"/>
          <w:tblCellMar>
            <w:top w:w="0" w:type="dxa"/>
            <w:left w:w="108" w:type="dxa"/>
            <w:bottom w:w="0" w:type="dxa"/>
            <w:right w:w="108" w:type="dxa"/>
          </w:tblCellMar>
          <w:tblLook w:val="0000"/>
        </w:tblPrEx>
        <w:trPr>
          <w:trHeight w:val="235"/>
          <w:jc w:val="center"/>
        </w:trPr>
        <w:tc>
          <w:tcPr>
            <w:tcW w:w="450" w:type="pct"/>
            <w:vMerge w:val="restart"/>
            <w:vAlign w:val="center"/>
          </w:tcPr>
          <w:p>
            <w:pPr>
              <w:jc w:val="center"/>
              <w:rPr>
                <w:rFonts w:ascii="仿宋" w:eastAsia="仿宋" w:hAnsi="仿宋" w:cs="仿宋" w:hint="eastAsia"/>
              </w:rPr>
            </w:pPr>
            <w:r>
              <w:rPr>
                <w:rFonts w:ascii="仿宋" w:eastAsia="仿宋" w:hAnsi="仿宋" w:cs="仿宋" w:hint="eastAsia"/>
                <w:sz w:val="24"/>
              </w:rPr>
              <w:t>9</w:t>
            </w:r>
          </w:p>
        </w:tc>
        <w:tc>
          <w:tcPr>
            <w:tcW w:w="1094" w:type="pct"/>
            <w:vMerge w:val="restart"/>
            <w:vAlign w:val="center"/>
          </w:tcPr>
          <w:p>
            <w:pPr>
              <w:jc w:val="center"/>
              <w:rPr>
                <w:rFonts w:ascii="仿宋" w:eastAsia="仿宋" w:hAnsi="仿宋" w:cs="仿宋" w:hint="eastAsia"/>
              </w:rPr>
            </w:pPr>
            <w:r>
              <w:rPr>
                <w:rFonts w:ascii="仿宋" w:eastAsia="仿宋" w:hAnsi="仿宋" w:cs="仿宋" w:hint="eastAsia"/>
                <w:sz w:val="24"/>
              </w:rPr>
              <w:t>地表温度</w:t>
            </w:r>
          </w:p>
        </w:tc>
        <w:tc>
          <w:tcPr>
            <w:tcW w:w="3454" w:type="pct"/>
            <w:vAlign w:val="center"/>
          </w:tcPr>
          <w:p>
            <w:pPr>
              <w:rPr>
                <w:rFonts w:ascii="仿宋" w:eastAsia="仿宋" w:hAnsi="仿宋" w:cs="仿宋" w:hint="eastAsia"/>
                <w:highlight w:val="yellow"/>
              </w:rPr>
            </w:pPr>
            <w:r>
              <w:rPr>
                <w:rFonts w:ascii="仿宋" w:eastAsia="仿宋" w:hAnsi="仿宋" w:cs="仿宋" w:hint="eastAsia"/>
                <w:sz w:val="24"/>
              </w:rPr>
              <w:t>测量范围：-40</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lang w:val="en-US" w:eastAsia="zh-CN"/>
              </w:rPr>
              <w:t>+</w:t>
            </w:r>
            <w:r>
              <w:rPr>
                <w:rFonts w:ascii="仿宋" w:eastAsia="仿宋" w:hAnsi="仿宋" w:cs="仿宋" w:hint="eastAsia"/>
                <w:sz w:val="24"/>
              </w:rPr>
              <w:t>55</w:t>
            </w:r>
            <w:r>
              <w:rPr>
                <w:rFonts w:ascii="仿宋" w:eastAsia="仿宋" w:hAnsi="仿宋" w:cs="仿宋" w:hint="eastAsia"/>
                <w:sz w:val="24"/>
              </w:rPr>
              <w:t>℃</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测量误差：</w:t>
            </w:r>
            <w:r>
              <w:rPr>
                <w:rFonts w:ascii="仿宋" w:eastAsia="仿宋" w:hAnsi="仿宋" w:cs="仿宋" w:hint="eastAsia"/>
                <w:sz w:val="24"/>
                <w:highlight w:val="yellow"/>
              </w:rPr>
              <w:t>≤±</w:t>
            </w:r>
            <w:r>
              <w:rPr>
                <w:rFonts w:ascii="仿宋" w:eastAsia="仿宋" w:hAnsi="仿宋" w:cs="仿宋" w:hint="eastAsia"/>
                <w:sz w:val="24"/>
                <w:highlight w:val="yellow"/>
              </w:rPr>
              <w:t>0.5</w:t>
            </w:r>
            <w:r>
              <w:rPr>
                <w:rFonts w:ascii="仿宋" w:eastAsia="仿宋" w:hAnsi="仿宋" w:cs="仿宋" w:hint="eastAsia"/>
                <w:sz w:val="24"/>
                <w:highlight w:val="yellow"/>
              </w:rPr>
              <w:t>℃</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分辩力：0.1</w:t>
            </w:r>
            <w:r>
              <w:rPr>
                <w:rFonts w:ascii="仿宋" w:eastAsia="仿宋" w:hAnsi="仿宋" w:cs="仿宋" w:hint="eastAsia"/>
                <w:sz w:val="24"/>
                <w:highlight w:val="yellow"/>
              </w:rPr>
              <w:t>℃</w:t>
            </w:r>
          </w:p>
        </w:tc>
      </w:tr>
      <w:tr>
        <w:tblPrEx>
          <w:tblW w:w="5000" w:type="pct"/>
          <w:jc w:val="center"/>
          <w:tblCellMar>
            <w:top w:w="0" w:type="dxa"/>
            <w:left w:w="108" w:type="dxa"/>
            <w:bottom w:w="0" w:type="dxa"/>
            <w:right w:w="108" w:type="dxa"/>
          </w:tblCellMar>
          <w:tblLook w:val="0000"/>
        </w:tblPrEx>
        <w:trPr>
          <w:trHeight w:val="835"/>
          <w:jc w:val="center"/>
        </w:trPr>
        <w:tc>
          <w:tcPr>
            <w:tcW w:w="450" w:type="pct"/>
            <w:vAlign w:val="center"/>
          </w:tcPr>
          <w:p>
            <w:pPr>
              <w:jc w:val="center"/>
              <w:rPr>
                <w:rFonts w:ascii="仿宋" w:eastAsia="仿宋" w:hAnsi="仿宋" w:cs="仿宋" w:hint="eastAsia"/>
              </w:rPr>
            </w:pPr>
            <w:r>
              <w:rPr>
                <w:rFonts w:ascii="仿宋" w:eastAsia="仿宋" w:hAnsi="仿宋" w:cs="仿宋" w:hint="eastAsia"/>
                <w:sz w:val="24"/>
              </w:rPr>
              <w:t>10</w:t>
            </w:r>
          </w:p>
        </w:tc>
        <w:tc>
          <w:tcPr>
            <w:tcW w:w="1094" w:type="pct"/>
            <w:vAlign w:val="center"/>
          </w:tcPr>
          <w:p>
            <w:pPr>
              <w:jc w:val="center"/>
              <w:rPr>
                <w:rFonts w:ascii="仿宋" w:eastAsia="仿宋" w:hAnsi="仿宋" w:cs="仿宋" w:hint="eastAsia"/>
              </w:rPr>
            </w:pPr>
            <w:r>
              <w:rPr>
                <w:rFonts w:ascii="仿宋" w:eastAsia="仿宋" w:hAnsi="仿宋" w:cs="仿宋" w:hint="eastAsia"/>
                <w:sz w:val="24"/>
              </w:rPr>
              <w:t>凋落物含水率多光谱图像</w:t>
            </w:r>
          </w:p>
        </w:tc>
        <w:tc>
          <w:tcPr>
            <w:tcW w:w="3454" w:type="pct"/>
            <w:vAlign w:val="center"/>
          </w:tcPr>
          <w:p>
            <w:pPr>
              <w:rPr>
                <w:rFonts w:ascii="仿宋" w:eastAsia="仿宋" w:hAnsi="仿宋" w:cs="仿宋" w:hint="eastAsia"/>
              </w:rPr>
            </w:pPr>
            <w:r>
              <w:rPr>
                <w:rFonts w:ascii="仿宋" w:eastAsia="仿宋" w:hAnsi="仿宋" w:cs="仿宋" w:hint="eastAsia"/>
                <w:sz w:val="24"/>
              </w:rPr>
              <w:t>输出图像分辨率</w:t>
            </w:r>
            <w:r>
              <w:rPr>
                <w:rFonts w:ascii="仿宋" w:eastAsia="仿宋" w:hAnsi="仿宋" w:cs="仿宋" w:hint="eastAsia"/>
                <w:sz w:val="24"/>
              </w:rPr>
              <w:t>≥</w:t>
            </w:r>
            <w:r>
              <w:rPr>
                <w:rFonts w:ascii="仿宋" w:eastAsia="仿宋" w:hAnsi="仿宋" w:cs="仿宋" w:hint="eastAsia"/>
                <w:sz w:val="24"/>
              </w:rPr>
              <w:t>200万像素，支持可见光和近红外双波段图像采集</w:t>
            </w:r>
          </w:p>
        </w:tc>
      </w:tr>
    </w:tbl>
    <w:p>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3.森林物候相机</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12"/>
        <w:gridCol w:w="1971"/>
        <w:gridCol w:w="622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3"/>
          <w:jc w:val="center"/>
        </w:trPr>
        <w:tc>
          <w:tcPr>
            <w:tcW w:w="451" w:type="pct"/>
            <w:vAlign w:val="center"/>
          </w:tcPr>
          <w:p>
            <w:pPr>
              <w:jc w:val="center"/>
              <w:rPr>
                <w:rFonts w:ascii="仿宋" w:eastAsia="仿宋" w:hAnsi="仿宋" w:cs="仿宋" w:hint="eastAsia"/>
                <w:b/>
              </w:rPr>
            </w:pPr>
            <w:r>
              <w:rPr>
                <w:rFonts w:ascii="仿宋" w:eastAsia="仿宋" w:hAnsi="仿宋" w:cs="仿宋" w:hint="eastAsia"/>
                <w:b/>
                <w:sz w:val="24"/>
              </w:rPr>
              <w:fldChar w:fldCharType="begin"/>
            </w:r>
            <w:r>
              <w:rPr>
                <w:rFonts w:ascii="仿宋" w:eastAsia="仿宋" w:hAnsi="仿宋" w:cs="仿宋" w:hint="eastAsia"/>
                <w:b/>
                <w:sz w:val="24"/>
              </w:rPr>
              <w:instrText>ADDIN CNKISM.UserStyle</w:instrText>
            </w:r>
            <w:r>
              <w:rPr>
                <w:rFonts w:ascii="仿宋" w:eastAsia="仿宋" w:hAnsi="仿宋" w:cs="仿宋" w:hint="eastAsia"/>
                <w:b/>
                <w:sz w:val="24"/>
              </w:rPr>
              <w:fldChar w:fldCharType="separate"/>
            </w:r>
            <w:r>
              <w:rPr>
                <w:rFonts w:ascii="仿宋" w:eastAsia="仿宋" w:hAnsi="仿宋" w:cs="仿宋" w:hint="eastAsia"/>
                <w:b/>
                <w:sz w:val="24"/>
              </w:rPr>
              <w:fldChar w:fldCharType="end"/>
            </w:r>
            <w:r>
              <w:rPr>
                <w:rFonts w:ascii="仿宋" w:eastAsia="仿宋" w:hAnsi="仿宋" w:cs="仿宋" w:hint="eastAsia"/>
                <w:b/>
                <w:sz w:val="24"/>
              </w:rPr>
              <w:t>序号</w:t>
            </w:r>
          </w:p>
        </w:tc>
        <w:tc>
          <w:tcPr>
            <w:tcW w:w="1095" w:type="pct"/>
            <w:vAlign w:val="center"/>
          </w:tcPr>
          <w:p>
            <w:pPr>
              <w:jc w:val="center"/>
              <w:rPr>
                <w:rFonts w:ascii="仿宋" w:eastAsia="仿宋" w:hAnsi="仿宋" w:cs="仿宋" w:hint="eastAsia"/>
                <w:b/>
              </w:rPr>
            </w:pPr>
            <w:r>
              <w:rPr>
                <w:rFonts w:ascii="仿宋" w:eastAsia="仿宋" w:hAnsi="仿宋" w:cs="仿宋" w:hint="eastAsia"/>
                <w:b/>
                <w:bCs/>
                <w:sz w:val="24"/>
              </w:rPr>
              <w:t>参数名称</w:t>
            </w:r>
          </w:p>
        </w:tc>
        <w:tc>
          <w:tcPr>
            <w:tcW w:w="3454" w:type="pct"/>
            <w:vAlign w:val="center"/>
          </w:tcPr>
          <w:p>
            <w:pPr>
              <w:jc w:val="center"/>
              <w:rPr>
                <w:rFonts w:ascii="仿宋" w:eastAsia="仿宋" w:hAnsi="仿宋" w:cs="仿宋" w:hint="eastAsia"/>
                <w:b/>
              </w:rPr>
            </w:pPr>
            <w:r>
              <w:rPr>
                <w:rFonts w:ascii="仿宋" w:eastAsia="仿宋" w:hAnsi="仿宋" w:cs="仿宋" w:hint="eastAsia"/>
                <w:b/>
                <w:bCs/>
                <w:sz w:val="24"/>
              </w:rPr>
              <w:t>功能与技术指标</w:t>
            </w:r>
          </w:p>
        </w:tc>
      </w:tr>
      <w:tr>
        <w:tblPrEx>
          <w:tblW w:w="5000" w:type="pct"/>
          <w:jc w:val="center"/>
          <w:tblCellMar>
            <w:top w:w="0" w:type="dxa"/>
            <w:left w:w="108" w:type="dxa"/>
            <w:bottom w:w="0" w:type="dxa"/>
            <w:right w:w="108" w:type="dxa"/>
          </w:tblCellMar>
          <w:tblLook w:val="0000"/>
        </w:tblPrEx>
        <w:trPr>
          <w:trHeight w:val="487"/>
          <w:jc w:val="center"/>
        </w:trPr>
        <w:tc>
          <w:tcPr>
            <w:tcW w:w="451" w:type="pct"/>
            <w:vAlign w:val="center"/>
          </w:tcPr>
          <w:p>
            <w:pPr>
              <w:jc w:val="center"/>
              <w:rPr>
                <w:rFonts w:ascii="仿宋" w:eastAsia="仿宋" w:hAnsi="仿宋" w:cs="仿宋" w:hint="eastAsia"/>
              </w:rPr>
            </w:pPr>
            <w:r>
              <w:rPr>
                <w:rFonts w:ascii="仿宋" w:eastAsia="仿宋" w:hAnsi="仿宋" w:cs="仿宋" w:hint="eastAsia"/>
                <w:sz w:val="24"/>
              </w:rPr>
              <w:t>11</w:t>
            </w:r>
          </w:p>
        </w:tc>
        <w:tc>
          <w:tcPr>
            <w:tcW w:w="1095" w:type="pct"/>
            <w:vAlign w:val="center"/>
          </w:tcPr>
          <w:p>
            <w:pPr>
              <w:jc w:val="center"/>
              <w:rPr>
                <w:rFonts w:ascii="仿宋" w:eastAsia="仿宋" w:hAnsi="仿宋" w:cs="仿宋" w:hint="eastAsia"/>
              </w:rPr>
            </w:pPr>
            <w:r>
              <w:rPr>
                <w:rFonts w:ascii="仿宋" w:eastAsia="仿宋" w:hAnsi="仿宋" w:cs="仿宋" w:hint="eastAsia"/>
                <w:sz w:val="24"/>
              </w:rPr>
              <w:t>森林物候图像</w:t>
            </w:r>
          </w:p>
        </w:tc>
        <w:tc>
          <w:tcPr>
            <w:tcW w:w="3454" w:type="pct"/>
            <w:vAlign w:val="center"/>
          </w:tcPr>
          <w:p>
            <w:pPr>
              <w:rPr>
                <w:rFonts w:ascii="仿宋" w:eastAsia="仿宋" w:hAnsi="仿宋" w:cs="仿宋" w:hint="eastAsia"/>
              </w:rPr>
            </w:pPr>
            <w:r>
              <w:rPr>
                <w:rFonts w:ascii="仿宋" w:eastAsia="仿宋" w:hAnsi="仿宋" w:cs="仿宋" w:hint="eastAsia"/>
                <w:sz w:val="24"/>
              </w:rPr>
              <w:t>输出图像像素分辨率</w:t>
            </w:r>
            <w:r>
              <w:rPr>
                <w:rFonts w:ascii="仿宋" w:eastAsia="仿宋" w:hAnsi="仿宋" w:cs="仿宋" w:hint="eastAsia"/>
                <w:sz w:val="24"/>
              </w:rPr>
              <w:t>≥</w:t>
            </w:r>
            <w:r>
              <w:rPr>
                <w:rFonts w:ascii="仿宋" w:eastAsia="仿宋" w:hAnsi="仿宋" w:cs="仿宋" w:hint="eastAsia"/>
                <w:sz w:val="24"/>
              </w:rPr>
              <w:t>800万像素</w:t>
            </w:r>
          </w:p>
        </w:tc>
      </w:tr>
      <w:tr>
        <w:tblPrEx>
          <w:tblW w:w="5000" w:type="pct"/>
          <w:jc w:val="center"/>
          <w:tblCellMar>
            <w:top w:w="0" w:type="dxa"/>
            <w:left w:w="108" w:type="dxa"/>
            <w:bottom w:w="0" w:type="dxa"/>
            <w:right w:w="108" w:type="dxa"/>
          </w:tblCellMar>
          <w:tblLook w:val="0000"/>
        </w:tblPrEx>
        <w:trPr>
          <w:trHeight w:val="423"/>
          <w:jc w:val="center"/>
        </w:trPr>
        <w:tc>
          <w:tcPr>
            <w:tcW w:w="451" w:type="pct"/>
            <w:vAlign w:val="center"/>
          </w:tcPr>
          <w:p>
            <w:pPr>
              <w:jc w:val="center"/>
              <w:rPr>
                <w:rFonts w:ascii="仿宋" w:eastAsia="仿宋" w:hAnsi="仿宋" w:cs="仿宋" w:hint="eastAsia"/>
              </w:rPr>
            </w:pPr>
            <w:r>
              <w:rPr>
                <w:rFonts w:ascii="仿宋" w:eastAsia="仿宋" w:hAnsi="仿宋" w:cs="仿宋" w:hint="eastAsia"/>
                <w:sz w:val="24"/>
              </w:rPr>
              <w:t>12</w:t>
            </w:r>
          </w:p>
        </w:tc>
        <w:tc>
          <w:tcPr>
            <w:tcW w:w="1095" w:type="pct"/>
            <w:vAlign w:val="center"/>
          </w:tcPr>
          <w:p>
            <w:pPr>
              <w:jc w:val="center"/>
              <w:rPr>
                <w:rFonts w:ascii="仿宋" w:eastAsia="仿宋" w:hAnsi="仿宋" w:cs="仿宋" w:hint="eastAsia"/>
              </w:rPr>
            </w:pPr>
            <w:r>
              <w:rPr>
                <w:rFonts w:ascii="仿宋" w:eastAsia="仿宋" w:hAnsi="仿宋" w:cs="仿宋" w:hint="eastAsia"/>
                <w:sz w:val="24"/>
              </w:rPr>
              <w:t>图像预处理</w:t>
            </w:r>
          </w:p>
        </w:tc>
        <w:tc>
          <w:tcPr>
            <w:tcW w:w="3454" w:type="pct"/>
            <w:vAlign w:val="center"/>
          </w:tcPr>
          <w:p>
            <w:pPr>
              <w:rPr>
                <w:rFonts w:ascii="仿宋" w:eastAsia="仿宋" w:hAnsi="仿宋" w:cs="仿宋" w:hint="eastAsia"/>
              </w:rPr>
            </w:pPr>
            <w:r>
              <w:rPr>
                <w:rFonts w:ascii="仿宋" w:eastAsia="仿宋" w:hAnsi="仿宋" w:cs="仿宋" w:hint="eastAsia"/>
                <w:sz w:val="24"/>
              </w:rPr>
              <w:t>自动对焦、自动曝光、自动白平衡等；</w:t>
            </w:r>
          </w:p>
        </w:tc>
      </w:tr>
      <w:tr>
        <w:tblPrEx>
          <w:tblW w:w="5000" w:type="pct"/>
          <w:jc w:val="center"/>
          <w:tblCellMar>
            <w:top w:w="0" w:type="dxa"/>
            <w:left w:w="108" w:type="dxa"/>
            <w:bottom w:w="0" w:type="dxa"/>
            <w:right w:w="108" w:type="dxa"/>
          </w:tblCellMar>
          <w:tblLook w:val="0000"/>
        </w:tblPrEx>
        <w:trPr>
          <w:trHeight w:val="615"/>
          <w:jc w:val="center"/>
        </w:trPr>
        <w:tc>
          <w:tcPr>
            <w:tcW w:w="451" w:type="pct"/>
            <w:vAlign w:val="center"/>
          </w:tcPr>
          <w:p>
            <w:pPr>
              <w:jc w:val="center"/>
              <w:rPr>
                <w:rFonts w:ascii="仿宋" w:eastAsia="仿宋" w:hAnsi="仿宋" w:cs="仿宋" w:hint="eastAsia"/>
              </w:rPr>
            </w:pPr>
            <w:r>
              <w:rPr>
                <w:rFonts w:ascii="仿宋" w:eastAsia="仿宋" w:hAnsi="仿宋" w:cs="仿宋" w:hint="eastAsia"/>
                <w:sz w:val="24"/>
              </w:rPr>
              <w:t>13</w:t>
            </w:r>
          </w:p>
        </w:tc>
        <w:tc>
          <w:tcPr>
            <w:tcW w:w="1095" w:type="pct"/>
            <w:vMerge w:val="restart"/>
            <w:vAlign w:val="center"/>
          </w:tcPr>
          <w:p>
            <w:pPr>
              <w:jc w:val="center"/>
              <w:rPr>
                <w:rFonts w:ascii="仿宋" w:eastAsia="仿宋" w:hAnsi="仿宋" w:cs="仿宋" w:hint="eastAsia"/>
              </w:rPr>
            </w:pPr>
            <w:r>
              <w:rPr>
                <w:rFonts w:ascii="仿宋" w:eastAsia="仿宋" w:hAnsi="仿宋" w:cs="仿宋" w:hint="eastAsia"/>
                <w:sz w:val="24"/>
              </w:rPr>
              <w:t>云台参数</w:t>
            </w:r>
          </w:p>
        </w:tc>
        <w:tc>
          <w:tcPr>
            <w:tcW w:w="3454" w:type="pct"/>
            <w:vAlign w:val="center"/>
          </w:tcPr>
          <w:p>
            <w:pPr>
              <w:rPr>
                <w:rFonts w:ascii="仿宋" w:eastAsia="仿宋" w:hAnsi="仿宋" w:cs="仿宋" w:hint="eastAsia"/>
              </w:rPr>
            </w:pPr>
            <w:r>
              <w:rPr>
                <w:rFonts w:ascii="仿宋" w:eastAsia="仿宋" w:hAnsi="仿宋" w:cs="仿宋"/>
                <w:sz w:val="24"/>
                <w:highlight w:val="yellow"/>
              </w:rPr>
              <w:t>#</w:t>
            </w:r>
            <w:r>
              <w:rPr>
                <w:rFonts w:ascii="仿宋" w:eastAsia="仿宋" w:hAnsi="仿宋" w:cs="仿宋" w:hint="eastAsia"/>
                <w:sz w:val="24"/>
                <w:highlight w:val="yellow"/>
              </w:rPr>
              <w:t>水平旋转范围：0.0</w:t>
            </w:r>
            <w:r>
              <w:rPr>
                <w:rFonts w:ascii="仿宋" w:eastAsia="仿宋" w:hAnsi="仿宋" w:cs="仿宋" w:hint="eastAsia"/>
                <w:sz w:val="24"/>
                <w:highlight w:val="yellow"/>
              </w:rPr>
              <w:t>°</w:t>
            </w:r>
            <w:r>
              <w:rPr>
                <w:rFonts w:ascii="仿宋" w:eastAsia="仿宋" w:hAnsi="仿宋" w:cs="仿宋" w:hint="eastAsia"/>
                <w:sz w:val="24"/>
                <w:highlight w:val="yellow"/>
              </w:rPr>
              <w:t>～359.9</w:t>
            </w:r>
            <w:r>
              <w:rPr>
                <w:rFonts w:ascii="仿宋" w:eastAsia="仿宋" w:hAnsi="仿宋" w:cs="仿宋" w:hint="eastAsia"/>
                <w:sz w:val="24"/>
                <w:highlight w:val="yellow"/>
              </w:rPr>
              <w:t>°</w:t>
            </w:r>
            <w:r>
              <w:rPr>
                <w:rFonts w:ascii="仿宋" w:eastAsia="仿宋" w:hAnsi="仿宋" w:cs="仿宋" w:hint="eastAsia"/>
                <w:sz w:val="24"/>
                <w:highlight w:val="yellow"/>
              </w:rPr>
              <w:t>，垂直旋转范围：-15.0</w:t>
            </w:r>
            <w:r>
              <w:rPr>
                <w:rFonts w:ascii="仿宋" w:eastAsia="仿宋" w:hAnsi="仿宋" w:cs="仿宋" w:hint="eastAsia"/>
                <w:sz w:val="24"/>
                <w:highlight w:val="yellow"/>
              </w:rPr>
              <w:t>°</w:t>
            </w:r>
            <w:r>
              <w:rPr>
                <w:rFonts w:ascii="仿宋" w:eastAsia="仿宋" w:hAnsi="仿宋" w:cs="仿宋" w:hint="eastAsia"/>
                <w:sz w:val="24"/>
                <w:highlight w:val="yellow"/>
              </w:rPr>
              <w:t>～90.0</w:t>
            </w:r>
            <w:r>
              <w:rPr>
                <w:rFonts w:ascii="仿宋" w:eastAsia="仿宋" w:hAnsi="仿宋" w:cs="仿宋" w:hint="eastAsia"/>
                <w:sz w:val="24"/>
                <w:highlight w:val="yellow"/>
              </w:rPr>
              <w:t>°</w:t>
            </w:r>
            <w:r>
              <w:rPr>
                <w:rFonts w:ascii="仿宋" w:eastAsia="仿宋" w:hAnsi="仿宋" w:cs="仿宋" w:hint="eastAsia"/>
                <w:sz w:val="24"/>
              </w:rPr>
              <w:t xml:space="preserve"> </w:t>
            </w:r>
          </w:p>
        </w:tc>
      </w:tr>
      <w:tr>
        <w:tblPrEx>
          <w:tblW w:w="5000" w:type="pct"/>
          <w:jc w:val="center"/>
          <w:tblCellMar>
            <w:top w:w="0" w:type="dxa"/>
            <w:left w:w="108" w:type="dxa"/>
            <w:bottom w:w="0" w:type="dxa"/>
            <w:right w:w="108" w:type="dxa"/>
          </w:tblCellMar>
          <w:tblLook w:val="0000"/>
        </w:tblPrEx>
        <w:trPr>
          <w:trHeight w:val="412"/>
          <w:jc w:val="center"/>
        </w:trPr>
        <w:tc>
          <w:tcPr>
            <w:tcW w:w="451" w:type="pct"/>
            <w:vAlign w:val="center"/>
          </w:tcPr>
          <w:p>
            <w:pPr>
              <w:jc w:val="center"/>
              <w:rPr>
                <w:rFonts w:ascii="仿宋" w:eastAsia="仿宋" w:hAnsi="仿宋" w:cs="仿宋" w:hint="eastAsia"/>
              </w:rPr>
            </w:pPr>
            <w:r>
              <w:rPr>
                <w:rFonts w:ascii="仿宋" w:eastAsia="仿宋" w:hAnsi="仿宋" w:cs="仿宋" w:hint="eastAsia"/>
                <w:sz w:val="24"/>
              </w:rPr>
              <w:t>14</w:t>
            </w: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云台运动精度：2</w:t>
            </w:r>
            <w:r>
              <w:rPr>
                <w:rFonts w:ascii="仿宋" w:eastAsia="仿宋" w:hAnsi="仿宋" w:cs="仿宋" w:hint="eastAsia"/>
                <w:sz w:val="24"/>
                <w:highlight w:val="yellow"/>
              </w:rPr>
              <w:t>°</w:t>
            </w:r>
          </w:p>
        </w:tc>
      </w:tr>
      <w:bookmarkEnd w:id="61"/>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 数据要求</w:t>
      </w:r>
    </w:p>
    <w:p>
      <w:pPr>
        <w:spacing w:line="560" w:lineRule="exact"/>
        <w:ind w:firstLine="560" w:firstLineChars="200"/>
        <w:rPr>
          <w:rFonts w:ascii="仿宋" w:eastAsia="仿宋" w:hAnsi="仿宋" w:cs="仿宋" w:hint="default"/>
          <w:sz w:val="28"/>
          <w:szCs w:val="20"/>
          <w:highlight w:val="none"/>
        </w:rPr>
      </w:pPr>
      <w:r>
        <w:rPr>
          <w:rFonts w:ascii="仿宋" w:eastAsia="仿宋" w:hAnsi="仿宋" w:cs="仿宋" w:hint="eastAsia"/>
          <w:sz w:val="28"/>
          <w:szCs w:val="20"/>
        </w:rPr>
        <w:t>供应商提供的可燃物气象环境监测仪应能够按照</w:t>
      </w:r>
      <w:r>
        <w:rPr>
          <w:rFonts w:ascii="仿宋" w:eastAsia="仿宋" w:hAnsi="仿宋" w:cs="仿宋" w:hint="eastAsia"/>
          <w:sz w:val="28"/>
          <w:szCs w:val="20"/>
          <w:lang w:eastAsia="zh-CN"/>
        </w:rPr>
        <w:t>《</w:t>
      </w:r>
      <w:r>
        <w:rPr>
          <w:rFonts w:ascii="仿宋" w:eastAsia="仿宋" w:hAnsi="仿宋" w:cs="仿宋" w:hint="eastAsia"/>
          <w:sz w:val="28"/>
          <w:szCs w:val="20"/>
        </w:rPr>
        <w:t>可燃物气象环境监测仪功能规格需求书</w:t>
      </w:r>
      <w:r>
        <w:rPr>
          <w:rFonts w:ascii="仿宋" w:eastAsia="仿宋" w:hAnsi="仿宋" w:cs="仿宋" w:hint="eastAsia"/>
          <w:sz w:val="28"/>
          <w:szCs w:val="20"/>
          <w:lang w:eastAsia="zh-CN"/>
        </w:rPr>
        <w:t>》</w:t>
      </w:r>
      <w:r>
        <w:rPr>
          <w:rFonts w:ascii="仿宋" w:eastAsia="仿宋" w:hAnsi="仿宋" w:cs="仿宋" w:hint="eastAsia"/>
          <w:sz w:val="28"/>
          <w:szCs w:val="20"/>
        </w:rPr>
        <w:t>要求</w:t>
      </w:r>
      <w:r>
        <w:rPr>
          <w:rFonts w:ascii="仿宋" w:eastAsia="仿宋" w:hAnsi="仿宋" w:cs="仿宋" w:hint="eastAsia"/>
          <w:sz w:val="28"/>
          <w:szCs w:val="20"/>
          <w:lang w:val="en-US" w:eastAsia="zh-CN"/>
        </w:rPr>
        <w:t>存储所有</w:t>
      </w:r>
      <w:r>
        <w:rPr>
          <w:rFonts w:ascii="仿宋" w:eastAsia="仿宋" w:hAnsi="仿宋" w:cs="仿宋" w:hint="eastAsia"/>
          <w:sz w:val="28"/>
          <w:szCs w:val="20"/>
        </w:rPr>
        <w:t>数据</w:t>
      </w:r>
      <w:r>
        <w:rPr>
          <w:rFonts w:ascii="仿宋" w:eastAsia="仿宋" w:hAnsi="仿宋" w:cs="仿宋" w:hint="eastAsia"/>
          <w:sz w:val="28"/>
          <w:szCs w:val="20"/>
          <w:lang w:eastAsia="zh-CN"/>
        </w:rPr>
        <w:t>，</w:t>
      </w:r>
      <w:r>
        <w:rPr>
          <w:rFonts w:ascii="仿宋" w:eastAsia="仿宋" w:hAnsi="仿宋" w:cs="仿宋" w:hint="eastAsia"/>
          <w:sz w:val="28"/>
          <w:szCs w:val="20"/>
        </w:rPr>
        <w:t>需要配置足够空间的存储器，能满足不少于</w:t>
      </w:r>
      <w:r>
        <w:rPr>
          <w:rFonts w:ascii="仿宋" w:eastAsia="仿宋" w:hAnsi="仿宋" w:cs="仿宋" w:hint="eastAsia"/>
          <w:sz w:val="28"/>
          <w:szCs w:val="20"/>
          <w:lang w:val="en-US" w:eastAsia="zh-CN"/>
        </w:rPr>
        <w:t>90天</w:t>
      </w:r>
      <w:r>
        <w:rPr>
          <w:rFonts w:ascii="仿宋" w:eastAsia="仿宋" w:hAnsi="仿宋" w:cs="仿宋" w:hint="eastAsia"/>
          <w:sz w:val="28"/>
          <w:szCs w:val="20"/>
        </w:rPr>
        <w:t>的观测数据及状态数据存储要求。</w:t>
      </w:r>
      <w:r>
        <w:rPr>
          <w:rFonts w:ascii="仿宋" w:eastAsia="仿宋" w:hAnsi="仿宋" w:cs="仿宋" w:hint="eastAsia"/>
          <w:sz w:val="28"/>
          <w:szCs w:val="20"/>
          <w:lang w:val="en-US" w:eastAsia="zh-CN"/>
        </w:rPr>
        <w:t>同时，设备应</w:t>
      </w:r>
      <w:r>
        <w:rPr>
          <w:rFonts w:ascii="仿宋" w:eastAsia="仿宋" w:hAnsi="仿宋" w:cs="仿宋" w:hint="default"/>
          <w:sz w:val="28"/>
          <w:szCs w:val="20"/>
        </w:rPr>
        <w:t>支持有线</w:t>
      </w:r>
      <w:r>
        <w:rPr>
          <w:rFonts w:ascii="仿宋" w:eastAsia="仿宋" w:hAnsi="仿宋" w:cs="仿宋" w:hint="eastAsia"/>
          <w:sz w:val="28"/>
          <w:szCs w:val="20"/>
          <w:lang w:val="en-US" w:eastAsia="zh-CN"/>
        </w:rPr>
        <w:t>或无线</w:t>
      </w:r>
      <w:r>
        <w:rPr>
          <w:rFonts w:ascii="仿宋" w:eastAsia="仿宋" w:hAnsi="仿宋" w:cs="仿宋" w:hint="default"/>
          <w:sz w:val="28"/>
          <w:szCs w:val="20"/>
        </w:rPr>
        <w:t>网络</w:t>
      </w:r>
      <w:r>
        <w:rPr>
          <w:rFonts w:ascii="仿宋" w:eastAsia="仿宋" w:hAnsi="仿宋" w:cs="仿宋" w:hint="default"/>
          <w:sz w:val="28"/>
          <w:szCs w:val="20"/>
          <w:lang w:val="en-US" w:eastAsia="zh-CN"/>
        </w:rPr>
        <w:t>传输</w:t>
      </w:r>
      <w:r>
        <w:rPr>
          <w:rFonts w:ascii="仿宋" w:eastAsia="仿宋" w:hAnsi="仿宋" w:cs="仿宋" w:hint="default"/>
          <w:sz w:val="28"/>
          <w:szCs w:val="20"/>
        </w:rPr>
        <w:t>方式</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实现与中心站的数据通信功能。</w:t>
      </w:r>
      <w:r>
        <w:rPr>
          <w:rFonts w:ascii="仿宋" w:eastAsia="仿宋" w:hAnsi="仿宋" w:cs="仿宋" w:hint="eastAsia"/>
          <w:sz w:val="28"/>
          <w:szCs w:val="20"/>
          <w:highlight w:val="none"/>
          <w:lang w:val="en-US" w:eastAsia="zh-CN"/>
        </w:rPr>
        <w:t>在没有网络信号覆盖的地区，设备可支持扩展连接北斗通讯模块，</w:t>
      </w:r>
      <w:r>
        <w:rPr>
          <w:rFonts w:ascii="仿宋" w:eastAsia="仿宋" w:hAnsi="仿宋" w:cs="仿宋" w:hint="eastAsia"/>
          <w:sz w:val="28"/>
          <w:szCs w:val="20"/>
          <w:highlight w:val="none"/>
        </w:rPr>
        <w:t>可根据实际业务具体应用需求进行功能定制开发短报文协议，实现无地面网络覆盖下的关键数据卫星传输。</w:t>
      </w:r>
    </w:p>
    <w:p>
      <w:pPr>
        <w:numPr>
          <w:ilvl w:val="0"/>
          <w:numId w:val="4"/>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default"/>
          <w:sz w:val="28"/>
          <w:szCs w:val="20"/>
        </w:rPr>
      </w:pPr>
      <w:r>
        <w:rPr>
          <w:rFonts w:ascii="仿宋" w:eastAsia="仿宋" w:hAnsi="仿宋" w:cs="仿宋" w:hint="eastAsia"/>
          <w:sz w:val="28"/>
          <w:szCs w:val="20"/>
          <w:lang w:val="en-US" w:eastAsia="zh-CN"/>
        </w:rPr>
        <w:t xml:space="preserve">  </w:t>
      </w:r>
      <w:r>
        <w:rPr>
          <w:rFonts w:ascii="仿宋" w:eastAsia="仿宋" w:hAnsi="仿宋" w:cs="仿宋" w:hint="default"/>
          <w:sz w:val="28"/>
          <w:szCs w:val="20"/>
        </w:rPr>
        <w:t>供应商按照业务运行规范要求执行，确保设备可稳定运行，主要包括巡检、巡查工作，以及关键器件及系统故障的维修等。故障维修和巡检巡查等需按照</w:t>
      </w:r>
      <w:r>
        <w:rPr>
          <w:rFonts w:ascii="仿宋" w:eastAsia="仿宋" w:hAnsi="仿宋" w:cs="仿宋" w:hint="eastAsia"/>
          <w:sz w:val="28"/>
          <w:szCs w:val="20"/>
          <w:lang w:val="en-US" w:eastAsia="zh-CN"/>
        </w:rPr>
        <w:t>中国气象局对可燃物气象环境监测仪采购要求中</w:t>
      </w:r>
      <w:r>
        <w:rPr>
          <w:rFonts w:ascii="仿宋" w:eastAsia="仿宋" w:hAnsi="仿宋" w:cs="仿宋" w:hint="default"/>
          <w:sz w:val="28"/>
          <w:szCs w:val="20"/>
        </w:rPr>
        <w:t>相关要求执行，并提供相关承诺函。</w:t>
      </w:r>
    </w:p>
    <w:p>
      <w:pPr>
        <w:spacing w:line="560" w:lineRule="exact"/>
        <w:ind w:firstLine="560" w:firstLineChars="200"/>
        <w:rPr>
          <w:rFonts w:ascii="仿宋" w:eastAsia="仿宋" w:hAnsi="仿宋" w:cs="仿宋" w:hint="default"/>
          <w:sz w:val="28"/>
          <w:szCs w:val="20"/>
        </w:rPr>
      </w:pPr>
      <w:r>
        <w:rPr>
          <w:rFonts w:ascii="仿宋" w:eastAsia="仿宋" w:hAnsi="仿宋" w:cs="仿宋" w:hint="default"/>
          <w:sz w:val="28"/>
          <w:szCs w:val="20"/>
        </w:rPr>
        <w:t>（1）供应商将所有设备运送到招标人指定地点（运输相关费用由供应商负责），并负责安装调试。</w:t>
      </w:r>
    </w:p>
    <w:p>
      <w:pPr>
        <w:spacing w:line="560" w:lineRule="exact"/>
        <w:ind w:firstLine="560" w:firstLineChars="200"/>
        <w:rPr>
          <w:rFonts w:ascii="仿宋" w:eastAsia="仿宋" w:hAnsi="仿宋" w:cs="仿宋" w:hint="default"/>
          <w:sz w:val="28"/>
          <w:szCs w:val="20"/>
        </w:rPr>
      </w:pPr>
      <w:r>
        <w:rPr>
          <w:rFonts w:ascii="仿宋" w:eastAsia="仿宋" w:hAnsi="仿宋" w:cs="仿宋" w:hint="default"/>
          <w:sz w:val="28"/>
          <w:szCs w:val="20"/>
        </w:rPr>
        <w:t>（2）</w:t>
      </w:r>
      <w:r>
        <w:rPr>
          <w:rFonts w:ascii="仿宋" w:eastAsia="仿宋" w:hAnsi="仿宋" w:cs="仿宋" w:hint="eastAsia"/>
          <w:sz w:val="28"/>
          <w:szCs w:val="20"/>
          <w:highlight w:val="yellow"/>
          <w:lang w:val="en-US" w:eastAsia="zh-CN"/>
        </w:rPr>
        <w:t>*</w:t>
      </w:r>
      <w:r>
        <w:rPr>
          <w:rFonts w:ascii="仿宋" w:eastAsia="仿宋" w:hAnsi="仿宋" w:cs="仿宋" w:hint="default"/>
          <w:sz w:val="28"/>
          <w:szCs w:val="20"/>
          <w:highlight w:val="yellow"/>
        </w:rPr>
        <w:t>质保期：8年</w:t>
      </w:r>
      <w:r>
        <w:rPr>
          <w:rFonts w:ascii="仿宋" w:eastAsia="仿宋" w:hAnsi="仿宋" w:cs="仿宋" w:hint="default"/>
          <w:sz w:val="28"/>
          <w:szCs w:val="20"/>
        </w:rPr>
        <w:t>，供应商需对质保期（保内、保外）政策进行阐述或承诺，列明有偿服务和无偿服务内容。</w:t>
      </w:r>
    </w:p>
    <w:p>
      <w:pPr>
        <w:spacing w:line="560" w:lineRule="exact"/>
        <w:ind w:firstLine="560" w:firstLineChars="200"/>
        <w:rPr>
          <w:rFonts w:ascii="仿宋" w:eastAsia="仿宋" w:hAnsi="仿宋" w:cs="仿宋" w:hint="default"/>
          <w:sz w:val="28"/>
          <w:szCs w:val="20"/>
        </w:rPr>
      </w:pPr>
      <w:r>
        <w:rPr>
          <w:rFonts w:ascii="仿宋" w:eastAsia="仿宋" w:hAnsi="仿宋" w:cs="仿宋" w:hint="default"/>
          <w:sz w:val="28"/>
          <w:szCs w:val="20"/>
        </w:rPr>
        <w:t>（3）在质保期内， 设备供应商服务时间应为7</w:t>
      </w:r>
      <w:r>
        <w:rPr>
          <w:rFonts w:ascii="仿宋" w:eastAsia="仿宋" w:hAnsi="仿宋" w:cs="仿宋" w:hint="default"/>
          <w:sz w:val="28"/>
          <w:szCs w:val="20"/>
        </w:rPr>
        <w:t>×</w:t>
      </w:r>
      <w:r>
        <w:rPr>
          <w:rFonts w:ascii="仿宋" w:eastAsia="仿宋" w:hAnsi="仿宋" w:cs="仿宋" w:hint="default"/>
          <w:sz w:val="28"/>
          <w:szCs w:val="20"/>
        </w:rPr>
        <w:t>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ascii="仿宋" w:eastAsia="仿宋" w:hAnsi="仿宋" w:cs="仿宋" w:hint="default"/>
          <w:sz w:val="28"/>
          <w:szCs w:val="20"/>
        </w:rPr>
      </w:pPr>
      <w:r>
        <w:rPr>
          <w:rFonts w:ascii="仿宋" w:eastAsia="仿宋" w:hAnsi="仿宋" w:cs="仿宋" w:hint="default"/>
          <w:sz w:val="28"/>
          <w:szCs w:val="20"/>
        </w:rPr>
        <w:t>（4）质保期过后，供应商仍有义务提供技术服务（包括提供设备维护、备件等）。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五、技术培训</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hint="eastAsia"/>
          <w:sz w:val="28"/>
          <w:szCs w:val="28"/>
        </w:rPr>
        <w:t>中标人应免费向采购人提供培训，培训次数不少于</w:t>
      </w:r>
      <w:r>
        <w:rPr>
          <w:rFonts w:ascii="仿宋" w:eastAsia="仿宋" w:hAnsi="仿宋" w:cs="仿宋" w:hint="eastAsia"/>
          <w:sz w:val="28"/>
          <w:szCs w:val="28"/>
          <w:lang w:val="en-US" w:eastAsia="zh-CN"/>
        </w:rPr>
        <w:t>5</w:t>
      </w:r>
      <w:r>
        <w:rPr>
          <w:rFonts w:ascii="仿宋" w:eastAsia="仿宋" w:hAnsi="仿宋" w:cs="仿宋" w:hint="eastAsia"/>
          <w:sz w:val="28"/>
          <w:szCs w:val="28"/>
        </w:rPr>
        <w:t>次，培训人次不少于20人次</w:t>
      </w:r>
      <w:r>
        <w:rPr>
          <w:rFonts w:ascii="仿宋" w:eastAsia="仿宋" w:hAnsi="仿宋" w:cs="仿宋" w:hint="eastAsia"/>
          <w:sz w:val="28"/>
          <w:szCs w:val="20"/>
        </w:rPr>
        <w:t>（达到熟练操作），免费向用户提供设备安装、调试技术培训。</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8"/>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（3）技术培训内容包括：设备工作原理、使用方法、日常维护及一般常见故障的诊断及排除等。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六、验收要求（检验考核要求等）</w:t>
      </w:r>
    </w:p>
    <w:p>
      <w:pPr>
        <w:numPr>
          <w:ilvl w:val="0"/>
          <w:numId w:val="0"/>
        </w:num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参照功能规格需求书、测试大纲，以及中国气象局最新业务管理规定等有关文件要求开展检验考核。</w:t>
      </w:r>
    </w:p>
    <w:p>
      <w:pPr>
        <w:numPr>
          <w:ilvl w:val="0"/>
          <w:numId w:val="5"/>
        </w:numPr>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提供的可燃物气象环境监测仪需具备装备许可，否则验收为不合格，追究中标方的责任。</w:t>
      </w:r>
    </w:p>
    <w:p>
      <w:pPr>
        <w:numPr>
          <w:ilvl w:val="0"/>
          <w:numId w:val="5"/>
        </w:numPr>
        <w:ind w:firstLine="560" w:firstLineChars="200"/>
        <w:rPr>
          <w:rFonts w:ascii="仿宋" w:eastAsia="仿宋" w:hAnsi="仿宋" w:cs="仿宋" w:hint="eastAsia"/>
          <w:sz w:val="28"/>
          <w:szCs w:val="20"/>
        </w:rPr>
      </w:pPr>
      <w:r>
        <w:rPr>
          <w:rFonts w:ascii="Times New Roman" w:eastAsia="仿宋" w:hAnsi="Times New Roman" w:cs="Times New Roman" w:hint="default"/>
          <w:sz w:val="28"/>
          <w:szCs w:val="20"/>
        </w:rPr>
        <w:t>设备出厂前，采购人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3</w:t>
      </w:r>
      <w:r>
        <w:rPr>
          <w:rFonts w:ascii="仿宋" w:eastAsia="仿宋" w:hAnsi="仿宋" w:cs="仿宋" w:hint="eastAsia"/>
          <w:sz w:val="28"/>
          <w:szCs w:val="20"/>
        </w:rPr>
        <w:t>）设备安装、调试达到功能规格需求书规定的指标后，可根据验收规范进行初步验收。验收规范(包括项目、方式和测试仪器等)应由中标人提前1个月提交给采购人，采购人可根据合同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功能规格需求书以及采购人的有关规定进行修改和补充，经双方确认后形成验收规范文件作为验收依据。初步验收测试合格后，双方签署初验合格协议，设备进入试运行期。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4</w:t>
      </w:r>
      <w:r>
        <w:rPr>
          <w:rFonts w:ascii="仿宋" w:eastAsia="仿宋" w:hAnsi="仿宋" w:cs="仿宋" w:hint="eastAsia"/>
          <w:sz w:val="28"/>
          <w:szCs w:val="20"/>
        </w:rPr>
        <w:t>）设备经过1个月试运行期，达到功能规格需求书的要求时，可进行最终验收。在试运行期间，由于设备质量等造成某些指标达不到要求，允许中标人更换或进行修复。</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5</w:t>
      </w:r>
      <w:r>
        <w:rPr>
          <w:rFonts w:ascii="仿宋" w:eastAsia="仿宋" w:hAnsi="仿宋" w:cs="仿宋" w:hint="eastAsia"/>
          <w:sz w:val="28"/>
          <w:szCs w:val="20"/>
        </w:rPr>
        <w:t>）设备安装调试和试运行结束后，采购人组织最终验收。当满足以下条件时，采购人确认验收合格签署验收合格证：</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供应商已提供合同中签署的全部货物及完整技术资料；</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hint="eastAsia"/>
          <w:sz w:val="28"/>
          <w:szCs w:val="20"/>
        </w:rPr>
        <w:t>货物符合技术规格，性能满足要求；</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firstLine="560" w:firstLineChars="200"/>
        <w:rPr>
          <w:rFonts w:ascii="仿宋" w:eastAsia="仿宋" w:hAnsi="仿宋" w:cs="仿宋" w:hint="eastAsia"/>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供应商提供</w:t>
      </w:r>
      <w:r>
        <w:rPr>
          <w:rFonts w:ascii="仿宋" w:eastAsia="仿宋" w:hAnsi="仿宋" w:cs="仿宋"/>
          <w:sz w:val="28"/>
          <w:szCs w:val="20"/>
        </w:rPr>
        <w:t>1</w:t>
      </w:r>
      <w:r>
        <w:rPr>
          <w:rFonts w:ascii="仿宋" w:eastAsia="仿宋" w:hAnsi="仿宋" w:cs="仿宋" w:hint="eastAsia"/>
          <w:sz w:val="28"/>
          <w:szCs w:val="20"/>
        </w:rPr>
        <w:t>个月试运行报告。</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七、其他要求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outlineLvl w:val="1"/>
        <w:rPr>
          <w:rFonts w:hint="eastAsia"/>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1"/>
        <w:gridCol w:w="1607"/>
        <w:gridCol w:w="740"/>
        <w:gridCol w:w="1029"/>
        <w:gridCol w:w="1173"/>
        <w:gridCol w:w="740"/>
        <w:gridCol w:w="282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可燃物气象环境监测仪</w:t>
            </w:r>
          </w:p>
        </w:tc>
        <w:tc>
          <w:tcPr/>
          <w:p>
            <w:pPr>
              <w:autoSpaceDE w:val="0"/>
              <w:jc w:val="center"/>
              <w:rPr>
                <w:rFonts w:asciiTheme="minorEastAsia" w:hAnsiTheme="minorEastAsia" w:cstheme="minorEastAsia"/>
                <w:kern w:val="0"/>
                <w:szCs w:val="21"/>
              </w:rPr>
            </w:pPr>
            <w:r>
              <w:t>26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6,398,600.00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含设备、8年质保、基础建设安装及选址等</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6,398,600.00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38"/>
        <w:gridCol w:w="1489"/>
        <w:gridCol w:w="1559"/>
        <w:gridCol w:w="438"/>
        <w:gridCol w:w="998"/>
        <w:gridCol w:w="832"/>
        <w:gridCol w:w="1419"/>
        <w:gridCol w:w="134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数据中心(001035024)</w:t>
            </w:r>
          </w:p>
        </w:tc>
        <w:tc>
          <w:tcPr/>
          <w:p>
            <w:r>
              <w:t>可燃物气象环境监测仪</w:t>
            </w:r>
          </w:p>
        </w:tc>
        <w:tc>
          <w:tcPr/>
          <w:p>
            <w:r>
              <w:t>26</w:t>
            </w:r>
          </w:p>
        </w:tc>
        <w:tc>
          <w:tcPr/>
          <w:p>
            <w:r>
              <w:t>6398600.00</w:t>
            </w:r>
          </w:p>
        </w:tc>
        <w:tc>
          <w:tcPr/>
          <w:p>
            <w:r>
              <w:t xml:space="preserve">6398600.00  </w:t>
            </w:r>
          </w:p>
        </w:tc>
        <w:tc>
          <w:tcPr/>
          <w:p>
            <w:r>
              <w:t>内蒙古境内指定地点</w:t>
            </w:r>
          </w:p>
        </w:tc>
        <w:tc>
          <w:tcPr/>
          <w:p>
            <w:r>
              <w:t>赵建凯04713335547</w:t>
            </w: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为贯彻落实习近平总书记关于气象工作和森林草原防灭火工作的重要指示精神和《气象高质量发展纲要（2022—2035年）》《东北全面振兴气象保障能力提升规划》《大兴安岭林区森林草原防灭火气象保障服务能力提升实施方案》等相关要求，推动森林‘水库、钱库、粮库、碳库’更好联动，实现生态效益、经济效益、社会效益相统一”，大兴安岭森林防灭火气象保障能力建设工程亟需建设。</w:t>
      </w:r>
    </w:p>
    <w:p>
      <w:pPr>
        <w:ind w:firstLine="560" w:firstLineChars="200"/>
        <w:rPr>
          <w:rFonts w:ascii="仿宋" w:eastAsia="仿宋" w:hAnsi="仿宋" w:cs="仿宋"/>
          <w:sz w:val="28"/>
          <w:szCs w:val="20"/>
        </w:rPr>
      </w:pPr>
      <w:r>
        <w:rPr>
          <w:rFonts w:ascii="仿宋" w:eastAsia="仿宋" w:hAnsi="仿宋" w:cs="仿宋" w:hint="eastAsia"/>
          <w:sz w:val="28"/>
          <w:szCs w:val="20"/>
        </w:rPr>
        <w:t>本采购项目拟在呼伦贝尔市、兴安盟地区建设26套可燃物气象环境监测仪，投资金额639.86万元。</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除“第七章 采购需求 五、技术培训”的基本要求外，还应满足以下要求；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8"/>
          <w:highlight w:val="yellow"/>
        </w:rPr>
        <w:t>中标人应免费向采购人提供培训，培训次数不少于</w:t>
      </w:r>
      <w:r>
        <w:rPr>
          <w:rFonts w:ascii="仿宋" w:eastAsia="仿宋" w:hAnsi="仿宋" w:cs="仿宋" w:hint="eastAsia"/>
          <w:sz w:val="28"/>
          <w:szCs w:val="28"/>
          <w:highlight w:val="yellow"/>
          <w:lang w:val="en-US" w:eastAsia="zh-CN"/>
        </w:rPr>
        <w:t>5</w:t>
      </w:r>
      <w:r>
        <w:rPr>
          <w:rFonts w:ascii="仿宋" w:eastAsia="仿宋" w:hAnsi="仿宋" w:cs="仿宋" w:hint="eastAsia"/>
          <w:sz w:val="28"/>
          <w:szCs w:val="28"/>
          <w:highlight w:val="yellow"/>
        </w:rPr>
        <w:t>次，培训人次不少于20人次</w:t>
      </w:r>
      <w:r>
        <w:rPr>
          <w:rFonts w:ascii="仿宋" w:eastAsia="仿宋" w:hAnsi="仿宋" w:cs="仿宋" w:hint="eastAsia"/>
          <w:sz w:val="28"/>
          <w:szCs w:val="20"/>
          <w:highlight w:val="yellow"/>
        </w:rPr>
        <w:t>（达到熟练操作），免费向用户提供设备安装、调试技术培训。</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内蒙古的甲方指定地点</w:t>
      </w:r>
      <w:r>
        <w:rPr>
          <w:rFonts w:ascii="仿宋" w:eastAsia="仿宋" w:hAnsi="仿宋" w:cs="仿宋" w:hint="eastAsia"/>
          <w:sz w:val="28"/>
          <w:szCs w:val="20"/>
        </w:rPr>
        <w:t>（运输相关费用由供应商负责），并负责安装调试。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highlight w:val="yellow"/>
        </w:rPr>
        <w:t>合同签订后120天内完成供货，180天内完成安装调试并具备验收条件，若因行政许可审批流程原因导致装备许可证未能按时取得，其间不视为工期延误。</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设备支持业务平台无缝接入，完全符合甲方相关要求和规范，保证其系统的兼容性和功能的完整性。</w:t>
      </w:r>
    </w:p>
    <w:p>
      <w:pPr>
        <w:ind w:firstLine="560" w:firstLineChars="200"/>
        <w:rPr>
          <w:rFonts w:ascii="仿宋" w:eastAsia="仿宋" w:hAnsi="仿宋" w:cs="仿宋"/>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8A7B7C">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8A7B7C">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A7B7C">
            <w:pPr>
              <w:rPr>
                <w:sz w:val="18"/>
                <w:szCs w:val="18"/>
              </w:rPr>
            </w:pPr>
            <w:r>
              <w:rPr>
                <w:rFonts w:hint="eastAsia"/>
                <w:sz w:val="18"/>
                <w:szCs w:val="18"/>
              </w:rPr>
              <w:t>序号</w:t>
            </w:r>
          </w:p>
        </w:tc>
        <w:tc>
          <w:tcPr>
            <w:tcW w:w="898" w:type="dxa"/>
            <w:vAlign w:val="center"/>
          </w:tcPr>
          <w:p w:rsidR="008A7B7C">
            <w:pPr>
              <w:jc w:val="center"/>
              <w:rPr>
                <w:sz w:val="18"/>
                <w:szCs w:val="18"/>
              </w:rPr>
            </w:pPr>
            <w:r>
              <w:rPr>
                <w:rFonts w:hint="eastAsia"/>
                <w:sz w:val="18"/>
                <w:szCs w:val="18"/>
              </w:rPr>
              <w:t>对应</w:t>
            </w:r>
          </w:p>
          <w:p w:rsidR="008A7B7C">
            <w:pPr>
              <w:jc w:val="center"/>
              <w:rPr>
                <w:sz w:val="18"/>
                <w:szCs w:val="18"/>
              </w:rPr>
            </w:pPr>
            <w:r>
              <w:rPr>
                <w:rFonts w:hint="eastAsia"/>
                <w:sz w:val="18"/>
                <w:szCs w:val="18"/>
              </w:rPr>
              <w:t>条款号</w:t>
            </w:r>
          </w:p>
        </w:tc>
        <w:tc>
          <w:tcPr>
            <w:tcW w:w="7347" w:type="dxa"/>
            <w:vAlign w:val="center"/>
          </w:tcPr>
          <w:p w:rsidR="008A7B7C">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8A7B7C">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8A7B7C">
            <w:pPr>
              <w:numPr>
                <w:ilvl w:val="0"/>
                <w:numId w:val="15"/>
              </w:numPr>
              <w:rPr>
                <w:rFonts w:ascii="宋体" w:hAnsi="宋体"/>
                <w:sz w:val="18"/>
                <w:szCs w:val="18"/>
              </w:rPr>
            </w:pPr>
          </w:p>
        </w:tc>
        <w:tc>
          <w:tcPr>
            <w:tcW w:w="898" w:type="dxa"/>
            <w:vAlign w:val="center"/>
          </w:tcPr>
          <w:p w:rsidR="008A7B7C">
            <w:pPr>
              <w:jc w:val="center"/>
              <w:rPr>
                <w:rFonts w:ascii="宋体" w:hAnsi="宋体"/>
                <w:sz w:val="18"/>
                <w:szCs w:val="18"/>
              </w:rPr>
            </w:pPr>
          </w:p>
        </w:tc>
        <w:tc>
          <w:tcPr>
            <w:tcW w:w="7347" w:type="dxa"/>
            <w:vAlign w:val="center"/>
          </w:tcPr>
          <w:p w:rsidR="008A7B7C">
            <w:pPr>
              <w:tabs>
                <w:tab w:val="left" w:pos="709"/>
              </w:tabs>
              <w:spacing w:line="360" w:lineRule="auto"/>
              <w:jc w:val="left"/>
              <w:rPr>
                <w:rFonts w:ascii="宋体" w:hAnsi="宋体" w:cs="微软雅黑"/>
                <w:b/>
                <w:color w:val="0000FF"/>
                <w:kern w:val="0"/>
                <w:sz w:val="18"/>
                <w:szCs w:val="18"/>
              </w:rPr>
            </w:pPr>
          </w:p>
        </w:tc>
      </w:tr>
      <w:tr>
        <w:tblPrEx>
          <w:tblW w:w="8789" w:type="dxa"/>
          <w:tblLayout w:type="fixed"/>
          <w:tblLook w:val="04A0"/>
        </w:tblPrEx>
        <w:trPr>
          <w:cantSplit/>
        </w:trPr>
        <w:tc>
          <w:tcPr>
            <w:tcW w:w="544" w:type="dxa"/>
            <w:vAlign w:val="center"/>
          </w:tcPr>
          <w:p w:rsidR="008A7B7C">
            <w:pPr>
              <w:numPr>
                <w:ilvl w:val="0"/>
                <w:numId w:val="15"/>
              </w:numPr>
              <w:rPr>
                <w:rFonts w:ascii="宋体" w:hAnsi="宋体"/>
                <w:sz w:val="18"/>
                <w:szCs w:val="18"/>
              </w:rPr>
            </w:pPr>
          </w:p>
        </w:tc>
        <w:tc>
          <w:tcPr>
            <w:tcW w:w="898" w:type="dxa"/>
            <w:vAlign w:val="center"/>
          </w:tcPr>
          <w:p w:rsidR="008A7B7C">
            <w:pPr>
              <w:jc w:val="center"/>
              <w:rPr>
                <w:rFonts w:ascii="宋体" w:hAnsi="宋体"/>
                <w:sz w:val="18"/>
                <w:szCs w:val="18"/>
              </w:rPr>
            </w:pPr>
          </w:p>
        </w:tc>
        <w:tc>
          <w:tcPr>
            <w:tcW w:w="7347" w:type="dxa"/>
            <w:vAlign w:val="center"/>
          </w:tcPr>
          <w:p w:rsidR="008A7B7C">
            <w:pPr>
              <w:tabs>
                <w:tab w:val="left" w:pos="709"/>
              </w:tabs>
              <w:spacing w:line="360" w:lineRule="auto"/>
              <w:jc w:val="left"/>
              <w:rPr>
                <w:rFonts w:ascii="宋体" w:hAnsi="宋体" w:cs="微软雅黑"/>
                <w:b/>
                <w:color w:val="0000FF"/>
                <w:kern w:val="0"/>
                <w:sz w:val="18"/>
                <w:szCs w:val="18"/>
              </w:rPr>
            </w:pPr>
          </w:p>
        </w:tc>
      </w:tr>
      <w:tr>
        <w:tblPrEx>
          <w:tblW w:w="8789" w:type="dxa"/>
          <w:tblLayout w:type="fixed"/>
          <w:tblLook w:val="04A0"/>
        </w:tblPrEx>
        <w:trPr>
          <w:cantSplit/>
        </w:trPr>
        <w:tc>
          <w:tcPr>
            <w:tcW w:w="8789" w:type="dxa"/>
            <w:gridSpan w:val="3"/>
            <w:vAlign w:val="center"/>
          </w:tcPr>
          <w:p w:rsidR="008A7B7C">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8A7B7C">
            <w:pPr>
              <w:numPr>
                <w:ilvl w:val="0"/>
                <w:numId w:val="15"/>
              </w:numPr>
              <w:rPr>
                <w:rFonts w:ascii="宋体" w:hAnsi="宋体"/>
                <w:sz w:val="18"/>
                <w:szCs w:val="18"/>
              </w:rPr>
            </w:pPr>
          </w:p>
        </w:tc>
        <w:tc>
          <w:tcPr>
            <w:tcW w:w="898" w:type="dxa"/>
            <w:vAlign w:val="center"/>
          </w:tcPr>
          <w:p w:rsidR="008A7B7C">
            <w:pPr>
              <w:jc w:val="center"/>
              <w:rPr>
                <w:rFonts w:ascii="宋体" w:hAnsi="宋体" w:hint="eastAsia"/>
                <w:sz w:val="18"/>
                <w:szCs w:val="18"/>
              </w:rPr>
            </w:pPr>
            <w:r>
              <w:rPr>
                <w:rFonts w:ascii="宋体" w:hAnsi="宋体" w:hint="eastAsia"/>
                <w:sz w:val="18"/>
                <w:szCs w:val="18"/>
              </w:rPr>
              <w:t>四</w:t>
            </w:r>
            <w:r>
              <w:rPr>
                <w:rFonts w:ascii="宋体" w:hAnsi="宋体"/>
                <w:sz w:val="18"/>
                <w:szCs w:val="18"/>
              </w:rPr>
              <w:t>、质保服务要求（</w:t>
            </w:r>
            <w:r>
              <w:rPr>
                <w:rFonts w:ascii="宋体" w:hAnsi="宋体" w:hint="eastAsia"/>
                <w:sz w:val="18"/>
                <w:szCs w:val="18"/>
              </w:rPr>
              <w:t>2</w:t>
            </w:r>
            <w:r>
              <w:rPr>
                <w:rFonts w:ascii="宋体" w:hAnsi="宋体"/>
                <w:sz w:val="18"/>
                <w:szCs w:val="18"/>
              </w:rPr>
              <w:t>）</w:t>
            </w:r>
          </w:p>
        </w:tc>
        <w:tc>
          <w:tcPr>
            <w:tcW w:w="7347" w:type="dxa"/>
            <w:vAlign w:val="center"/>
          </w:tcPr>
          <w:p w:rsidR="008A7B7C">
            <w:pPr>
              <w:tabs>
                <w:tab w:val="left" w:pos="709"/>
              </w:tabs>
              <w:spacing w:line="360" w:lineRule="auto"/>
              <w:jc w:val="left"/>
              <w:rPr>
                <w:rFonts w:ascii="宋体" w:hAnsi="宋体"/>
                <w:sz w:val="18"/>
                <w:szCs w:val="18"/>
              </w:rPr>
            </w:pPr>
            <w:r w:rsidRPr="009A5CB4">
              <w:rPr>
                <w:rFonts w:ascii="宋体" w:hAnsi="宋体" w:hint="eastAsia"/>
                <w:sz w:val="18"/>
                <w:szCs w:val="18"/>
              </w:rPr>
              <w:t>*质保期：8年，供应商需对质保期（保内、保外）政策进行阐述或承诺，列明有偿服务和无偿服务内容。</w:t>
            </w:r>
          </w:p>
        </w:tc>
      </w:tr>
    </w:tbl>
    <w:p w:rsidR="008A7B7C">
      <w:pPr>
        <w:spacing w:before="156" w:beforeLines="50" w:line="360" w:lineRule="auto"/>
        <w:ind w:firstLine="420"/>
      </w:pPr>
      <w:r>
        <w:rPr>
          <w:rFonts w:ascii="宋体" w:hAnsi="宋体" w:hint="eastAsia"/>
          <w:szCs w:val="21"/>
        </w:rPr>
        <w:t>注：根据项目具体情况，对投标人有具体要求</w:t>
      </w:r>
      <w:r>
        <w:rPr>
          <w:rFonts w:ascii="宋体" w:hAnsi="宋体" w:hint="eastAsia"/>
          <w:szCs w:val="21"/>
        </w:rPr>
        <w:t>，且投标人必须遵守的，逐条列出。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双方签署合同后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个工作日内，甲方向乙方支付合同总金额的</w:t>
      </w:r>
      <w:r>
        <w:rPr>
          <w:rFonts w:ascii="宋体" w:hAnsi="宋体" w:hint="eastAsia"/>
          <w:szCs w:val="21"/>
          <w:highlight w:val="none"/>
          <w:u w:val="single"/>
          <w:lang w:val="en-US" w:eastAsia="zh-CN"/>
        </w:rPr>
        <w:t>95</w:t>
      </w:r>
      <w:r>
        <w:rPr>
          <w:rFonts w:ascii="宋体" w:hAnsi="宋体" w:hint="eastAsia"/>
          <w:szCs w:val="21"/>
          <w:highlight w:val="none"/>
          <w:u w:val="single"/>
        </w:rPr>
        <w:t>%</w:t>
      </w:r>
      <w:r>
        <w:rPr>
          <w:rFonts w:ascii="宋体" w:hAnsi="宋体" w:hint="eastAsia"/>
          <w:szCs w:val="21"/>
          <w:highlight w:val="none"/>
        </w:rPr>
        <w:t>，</w:t>
      </w:r>
      <w:r>
        <w:rPr>
          <w:rFonts w:ascii="宋体" w:hAnsi="宋体" w:hint="eastAsia"/>
          <w:szCs w:val="21"/>
          <w:highlight w:val="none"/>
          <w:u w:val="single"/>
        </w:rPr>
        <w:t>到货、检验后付款：双方签署验收报告后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个工作日内，甲方向乙方支付合同总金额的</w:t>
      </w:r>
      <w:r>
        <w:rPr>
          <w:rFonts w:ascii="宋体" w:hAnsi="宋体" w:hint="eastAsia"/>
          <w:szCs w:val="21"/>
          <w:highlight w:val="none"/>
          <w:u w:val="single"/>
          <w:lang w:val="en-US" w:eastAsia="zh-CN"/>
        </w:rPr>
        <w:t>5</w:t>
      </w:r>
      <w:r>
        <w:rPr>
          <w:rFonts w:ascii="宋体" w:hAnsi="宋体" w:hint="eastAsia"/>
          <w:szCs w:val="21"/>
          <w:highlight w:val="none"/>
          <w:u w:val="single"/>
        </w:rPr>
        <w:t xml:space="preserve"> %</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8F653B3"/>
    <w:multiLevelType w:val="singleLevel"/>
    <w:tmpl w:val="88F653B3"/>
    <w:lvl w:ilvl="0">
      <w:start w:val="4"/>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EFF0EB14"/>
    <w:multiLevelType w:val="singleLevel"/>
    <w:tmpl w:val="EFF0EB14"/>
    <w:lvl w:ilvl="0">
      <w:start w:val="1"/>
      <w:numFmt w:val="decimal"/>
      <w:suff w:val="nothing"/>
      <w:lvlText w:val="（%1）"/>
      <w:lvlJc w:val="left"/>
    </w:lvl>
  </w:abstractNum>
  <w:abstractNum w:abstractNumId="7">
    <w:nsid w:val="FFEFC674"/>
    <w:multiLevelType w:val="singleLevel"/>
    <w:tmpl w:val="FFEFC674"/>
    <w:lvl w:ilvl="0">
      <w:start w:val="1"/>
      <w:numFmt w:val="decimal"/>
      <w:suff w:val="nothing"/>
      <w:lvlText w:val="（%1）"/>
      <w:lvlJc w:val="left"/>
    </w:lvl>
  </w:abstractNum>
  <w:abstractNum w:abstractNumId="8">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9"/>
  </w:num>
  <w:num w:numId="2">
    <w:abstractNumId w:val="8"/>
  </w:num>
  <w:num w:numId="3">
    <w:abstractNumId w:val="10"/>
  </w:num>
  <w:num w:numId="4">
    <w:abstractNumId w:val="0"/>
  </w:num>
  <w:num w:numId="5">
    <w:abstractNumId w:val="6"/>
  </w:num>
  <w:num w:numId="6">
    <w:abstractNumId w:val="13"/>
  </w:num>
  <w:num w:numId="7">
    <w:abstractNumId w:val="14"/>
  </w:num>
  <w:num w:numId="8">
    <w:abstractNumId w:val="2"/>
  </w:num>
  <w:num w:numId="9">
    <w:abstractNumId w:val="7"/>
  </w:num>
  <w:num w:numId="10">
    <w:abstractNumId w:val="4"/>
  </w:num>
  <w:num w:numId="11">
    <w:abstractNumId w:val="3"/>
  </w:num>
  <w:num w:numId="12">
    <w:abstractNumId w:val="12"/>
  </w:num>
  <w:num w:numId="13">
    <w:abstractNumId w:val="1"/>
  </w:num>
  <w:num w:numId="14">
    <w:abstractNumId w:val="5"/>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A7B7C"/>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5CB4"/>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