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面向专题场景的气象数据支撑能力升级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ZQCD-26206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面向专题场景的气象数据支撑能力升级</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ZQCD-26206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合同签订起12个月。具体见第七章采购需求“4、进度要求”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2026年09月20日 00:00:00</w:t>
      </w:r>
      <w:bookmarkEnd w:id="27"/>
      <w:r>
        <w:rPr>
          <w:rFonts w:ascii="宋体" w:hint="eastAsia"/>
          <w:szCs w:val="21"/>
          <w:highlight w:val="none"/>
        </w:rPr>
        <w:t>至</w:t>
      </w:r>
      <w:bookmarkStart w:id="28" w:name="项目公告_signUpLastTime"/>
      <w:r>
        <w:rPr>
          <w:rFonts w:ascii="宋体" w:hint="eastAsia"/>
          <w:szCs w:val="21"/>
          <w:highlight w:val="none"/>
        </w:rPr>
        <w:t>2026年09月29日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2026年10月12日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刘俊江</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010-58995385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208.000000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208.000000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01"/>
        <w:gridCol w:w="330"/>
        <w:gridCol w:w="1040"/>
        <w:gridCol w:w="330"/>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区间打分</w:t>
            </w:r>
            <w:r>
              <w:t>(8)</w:t>
            </w:r>
          </w:p>
        </w:tc>
        <w:tc>
          <w:tcPr/>
          <w:p>
            <w:r>
              <w:t>评审标准：</w:t>
            </w:r>
          </w:p>
          <w:p>
            <w:r>
              <w:t>1、提供 ISO9001 质量管理体系认证或同等质量管理体系认证证书；</w:t>
              <w:cr/>
              <w:t>2、ISO20000信息技术服务管理体系认证证书;</w:t>
              <w:cr/>
              <w:t>3、ISO45001职业健康安全管理体系认证证书；</w:t>
              <w:cr/>
              <w:t>4、ISO27001信息安全体系证书；</w:t>
              <w:cr/>
              <w:t>每提供一份证书得2分，最多得8分；不提供不得分。</w:t>
            </w:r>
          </w:p>
          <w:p>
            <w:r>
              <w:t>评审标准说明：</w:t>
            </w:r>
          </w:p>
          <w:p>
            <w:r>
              <w:t>须提供有效期内的以上证书复印件，并加盖投标人公章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(8)</w:t>
            </w:r>
          </w:p>
        </w:tc>
        <w:tc>
          <w:tcPr/>
          <w:p>
            <w:r>
              <w:t>评审标准：</w:t>
            </w:r>
          </w:p>
          <w:p>
            <w:r>
              <w:t>每提供1份与本项目类似的软件开发项目合同得2分，最多8分。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区间打分</w:t>
            </w:r>
            <w:r>
              <w:t>(3)</w:t>
            </w:r>
          </w:p>
        </w:tc>
        <w:tc>
          <w:tcPr/>
          <w:p>
            <w:r>
              <w:t>评审标准：</w:t>
            </w:r>
          </w:p>
          <w:p>
            <w:r>
              <w:t>提供用户在投标截止日前三年内出具的，涵盖针对系统软件稳定运行、服务保障、或者实际应用情况等内容且用户评价为正面或满意的用户证明，每提供 1份用户证明材料得1分，最多得3分。否则不得分。</w:t>
            </w:r>
          </w:p>
          <w:p>
            <w:r>
              <w:t>评审标准说明：</w:t>
            </w:r>
          </w:p>
          <w:p>
            <w:r>
              <w:t>投标人提供投标截止日前三年内用户出具的与本项目类似的软件开发项目评价良好的证明文件，并加盖投标人公章。</w:t>
            </w:r>
          </w:p>
          <w:p/>
        </w:tc>
      </w:tr>
      <w:tr>
        <w:tblPrEx>
          <w:tblW w:w="5000" w:type="pct"/>
          <w:tblCellMar>
            <w:left w:w="108" w:type="dxa"/>
            <w:right w:w="108" w:type="dxa"/>
          </w:tblCellMar>
        </w:tblPrEx>
        <w:tc>
          <w:tcPr/>
          <w:p>
            <w:r>
              <w:t>5</w:t>
            </w:r>
          </w:p>
        </w:tc>
        <w:tc>
          <w:tcPr>
            <w:vMerge/>
          </w:tcPr>
          <w:p>
            <w:r>
              <w:t>商务部分</w:t>
            </w:r>
          </w:p>
        </w:tc>
        <w:tc>
          <w:tcPr/>
          <w:p>
            <w:r>
              <w:t>技术团队 （客观分）</w:t>
            </w:r>
          </w:p>
        </w:tc>
        <w:tc>
          <w:tcPr/>
          <w:p>
            <w:r>
              <w:t>区间打分</w:t>
            </w:r>
            <w:r>
              <w:t>(11)</w:t>
            </w:r>
          </w:p>
        </w:tc>
        <w:tc>
          <w:tcPr/>
          <w:p>
            <w:r>
              <w:t>评审标准：</w:t>
            </w:r>
          </w:p>
          <w:p>
            <w:r>
              <w:t>投标人应组成本项目开发服务团队，团队组织结构清晰，应设服务团队负责人（项目经理）和技术负责人，人员专业背景齐全。具体如下：</w:t>
              <w:cr/>
              <w:t>1、团队人数至少3人，其中驻场人员至少2人。完全满足得4分，否则不得分；</w:t>
              <w:cr/>
              <w:t>2、团队负责人（项目经理）必须具有计算机专业背景，有同类项目工作经验3年以上。完全满足得3分，否则不得分；</w:t>
              <w:cr/>
              <w:t>3、技术负责人必须具有计算机专业背景，有3年以上相关项目软件设计/开发/集成经验。完全满足得3分，否则不得分。</w:t>
              <w:cr/>
              <w:t>4、除团队负责人（项目经理）、技术负责人外，团队其他成员中至少1人具有类似本项目的软件开发经验，得1分。</w:t>
            </w:r>
          </w:p>
          <w:p>
            <w:r>
              <w:t>评审标准说明：</w:t>
            </w:r>
          </w:p>
          <w:p>
            <w:r>
              <w:t>以上需提供的证明材料包括服务团队人员清单、相关证书复印件，投标人为其缴纳的近六个月内任意一期社保证明（新成立公司提供劳动证明）相关人员的背景材料（能证明其技术能力、从业及相关项目建设经验等）。以上材料需加盖投标人公章。</w:t>
            </w:r>
          </w:p>
          <w:p/>
        </w:tc>
      </w:tr>
      <w:tr>
        <w:tblPrEx>
          <w:tblW w:w="5000" w:type="pct"/>
          <w:tblCellMar>
            <w:left w:w="108" w:type="dxa"/>
            <w:right w:w="108" w:type="dxa"/>
          </w:tblCellMar>
        </w:tblPrEx>
        <w:tc>
          <w:tcPr/>
          <w:p>
            <w:r>
              <w:t>6</w:t>
            </w:r>
          </w:p>
        </w:tc>
        <w:tc>
          <w:tcPr>
            <w:vMerge/>
          </w:tcPr>
          <w:p>
            <w:r>
              <w:t>商务部分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val="restart"/>
          </w:tcPr>
          <w:p>
            <w:r>
              <w:t>服务部分</w:t>
            </w:r>
          </w:p>
        </w:tc>
        <w:tc>
          <w:tcPr/>
          <w:p>
            <w:r>
              <w:t>售后服务方案</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三档：售后服务方案完整，但针对性一般，没有建立合理的技术支持机构或技术支持小组，技术支持内容不明确，不能完全满足采购文件要求；</w:t>
              <w:cr/>
              <w:t>四档：售后服务方案完整，针对性强，建立合理的技术支持机构或技术支持小组，技术支持内容明确，完全满足采购文件要求。</w:t>
            </w:r>
          </w:p>
          <w:p/>
        </w:tc>
      </w:tr>
      <w:tr>
        <w:tblPrEx>
          <w:tblW w:w="5000" w:type="pct"/>
          <w:tblCellMar>
            <w:left w:w="108" w:type="dxa"/>
            <w:right w:w="108" w:type="dxa"/>
          </w:tblCellMar>
        </w:tblPrEx>
        <w:tc>
          <w:tcPr/>
          <w:p>
            <w:r>
              <w:t>8</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根据投标人提供的培训方案评分。具体标准评分如下：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软件开发计划</w:t>
            </w:r>
          </w:p>
        </w:tc>
        <w:tc>
          <w:tcPr/>
          <w:p>
            <w:r>
              <w:t>勾选打分</w:t>
            </w:r>
            <w:r>
              <w:t>(4)</w:t>
            </w:r>
          </w:p>
        </w:tc>
        <w:tc>
          <w:tcPr/>
          <w:p>
            <w:r>
              <w:t>评审标准：</w:t>
            </w:r>
          </w:p>
          <w:p>
            <w:r>
              <w:t>一档0分</w:t>
              <w:cr/>
              <w:t>二档1分</w:t>
              <w:cr/>
              <w:t>三档2分</w:t>
              <w:cr/>
              <w:t>四档4分</w:t>
            </w:r>
          </w:p>
          <w:p>
            <w:r>
              <w:t>评审标准说明：</w:t>
            </w:r>
          </w:p>
          <w:p>
            <w:r>
              <w:t>提供软件开发计划。软件开发计划应包括软件开发工作任务分解、人员安排、实施步骤、时间进度及控制措施和里程碑设计。具体评分标准如下：</w:t>
              <w:cr/>
              <w:t>一档：未提供软件开发计划；</w:t>
              <w:cr/>
              <w:t>二档：软件开发计划不完整（指缺失软件开发工作任务分解、人员安排、实施步骤、时间进度及控制措施和里程碑设计任意一项），或者软件开发工作分解与人员安排无合理性、可行性，里程碑设计不合理；</w:t>
              <w:cr/>
              <w:t>三档：软件开发计划完整，软件开发工作分解与人员安排合理、可行，有一定针对性，进度控制措施不具体，里程碑设计一般；</w:t>
              <w:cr/>
              <w:t>四档：软件开发计划完整，软件开发工作分解与人员安排合理、可行，针对性强，进度控制措施具体有力，里程碑设计合理。</w:t>
            </w:r>
          </w:p>
          <w:p/>
        </w:tc>
      </w:tr>
      <w:tr>
        <w:tblPrEx>
          <w:tblW w:w="5000" w:type="pct"/>
          <w:tblCellMar>
            <w:left w:w="108" w:type="dxa"/>
            <w:right w:w="108" w:type="dxa"/>
          </w:tblCellMar>
        </w:tblPrEx>
        <w:tc>
          <w:tcPr/>
          <w:p>
            <w:r>
              <w:t>10</w:t>
            </w:r>
          </w:p>
        </w:tc>
        <w:tc>
          <w:tcPr>
            <w:vMerge/>
          </w:tcPr>
          <w:p>
            <w:r>
              <w:t>服务部分</w:t>
            </w:r>
          </w:p>
        </w:tc>
        <w:tc>
          <w:tcPr/>
          <w:p>
            <w:r>
              <w:t>质量保障方案</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一档：未提供质量保障方案。</w:t>
              <w:cr/>
              <w:t>二档：方案内容不完整（指未涵盖项目全过程，无质量保证的具体措施和过程检查的明确依据）；</w:t>
              <w:cr/>
              <w:t>三档：方案内容完整，过程检查依据明确，但质量保证措施不具体，可行性、针对性一般；</w:t>
              <w:cr/>
              <w:t>四档：方案内容完整、详细，项目组织机构清晰，质量保证措施具体有力，过程检查依据明确，针对性强，切实可行。</w:t>
            </w:r>
          </w:p>
          <w:p/>
        </w:tc>
      </w:tr>
      <w:tr>
        <w:tblPrEx>
          <w:tblW w:w="5000" w:type="pct"/>
          <w:tblCellMar>
            <w:left w:w="108" w:type="dxa"/>
            <w:right w:w="108" w:type="dxa"/>
          </w:tblCellMar>
        </w:tblPrEx>
        <w:tc>
          <w:tcPr/>
          <w:p>
            <w:r>
              <w:t>11</w:t>
            </w:r>
          </w:p>
        </w:tc>
        <w:tc>
          <w:tcPr>
            <w:vMerge w:val="restart"/>
          </w:tcPr>
          <w:p>
            <w:r>
              <w:t>技术部分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根据投标人提供项目需求分析评分。具体如下：</w:t>
              <w:cr/>
              <w:t>一档：未提供需求分析；</w:t>
              <w:cr/>
              <w:t>二档：需求分析颗粒度程度低于项目要求，IPO描述简单，无处理流程或处理流程不准确；</w:t>
              <w:cr/>
              <w:t>三档：需求分析颗粒度程度满足项目要求，IPO描述简单，处理流程准确；</w:t>
              <w:cr/>
              <w:t>四档：需求分析颗粒度程度优于项目要求，IPO描述详细、具体，处理流程准确。</w:t>
            </w:r>
          </w:p>
          <w:p/>
        </w:tc>
      </w:tr>
      <w:tr>
        <w:tblPrEx>
          <w:tblW w:w="5000" w:type="pct"/>
          <w:tblCellMar>
            <w:left w:w="108" w:type="dxa"/>
            <w:right w:w="108" w:type="dxa"/>
          </w:tblCellMar>
        </w:tblPrEx>
        <w:tc>
          <w:tcPr/>
          <w:p>
            <w:r>
              <w:t>12</w:t>
            </w:r>
          </w:p>
        </w:tc>
        <w:tc>
          <w:tcPr>
            <w:vMerge/>
          </w:tcPr>
          <w:p>
            <w:r>
              <w:t>技术部分</w:t>
            </w:r>
          </w:p>
        </w:tc>
        <w:tc>
          <w:tcPr/>
          <w:p>
            <w:r>
              <w:t>系统框架设计</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二档：系统整体架构设计功能不完整，合理性可行性一般，无针对性，不能满足采购需求；</w:t>
              <w:cr/>
              <w:t>三档：系统整体架构设计功能完整，合理可行，针对性一般，基本满足采购需求；</w:t>
              <w:cr/>
              <w:t>四档：系统整体架构设计功能完整，合理可行，技术先进，针对性强，完全满足采购需求。</w:t>
            </w:r>
          </w:p>
          <w:p/>
        </w:tc>
      </w:tr>
      <w:tr>
        <w:tblPrEx>
          <w:tblW w:w="5000" w:type="pct"/>
          <w:tblCellMar>
            <w:left w:w="108" w:type="dxa"/>
            <w:right w:w="108" w:type="dxa"/>
          </w:tblCellMar>
        </w:tblPrEx>
        <w:tc>
          <w:tcPr/>
          <w:p>
            <w:r>
              <w:t>13</w:t>
            </w:r>
          </w:p>
        </w:tc>
        <w:tc>
          <w:tcPr>
            <w:vMerge/>
          </w:tcPr>
          <w:p>
            <w:r>
              <w:t>技术部分</w:t>
            </w:r>
          </w:p>
        </w:tc>
        <w:tc>
          <w:tcPr/>
          <w:p>
            <w:r>
              <w:t>功能模块技术解决方案</w:t>
            </w:r>
          </w:p>
        </w:tc>
        <w:tc>
          <w:tcPr/>
          <w:p>
            <w:r>
              <w:t>区间打分</w:t>
            </w:r>
            <w:r>
              <w:t>(20)</w:t>
            </w:r>
          </w:p>
        </w:tc>
        <w:tc>
          <w:tcPr/>
          <w:p>
            <w:r>
              <w:t>评审标准：</w:t>
            </w:r>
          </w:p>
          <w:p>
            <w:r>
              <w:t>投标人应提供以下功能模块的技术解决方案：</w:t>
              <w:cr/>
              <w:t>（1）0~30km大气参数产品系统功能；</w:t>
              <w:cr/>
              <w:t>（2）天擎·实况核心升级功能；</w:t>
              <w:cr/>
              <w:t>（3）天擎·极值一张表升级功能；</w:t>
              <w:cr/>
              <w:t>（4）省级天擎·实况定制化建设功能</w:t>
              <w:cr/>
              <w:t>（5）会商服务与重大活动保障功能。</w:t>
              <w:cr/>
              <w:t>以上每个功能模块：</w:t>
              <w:cr/>
              <w:t>一档0分</w:t>
              <w:cr/>
              <w:t>二档1分</w:t>
              <w:cr/>
              <w:t>三档2分</w:t>
              <w:cr/>
              <w:t>四档4分</w:t>
              <w:cr/>
              <w:t>以上共计5个功能模块，满分20分。</w:t>
            </w:r>
          </w:p>
          <w:p>
            <w:r>
              <w:t>评审标准说明：</w:t>
            </w:r>
          </w:p>
          <w:p>
            <w:r>
              <w:t>根据投标人提供的相关功能模块技术解决方案评分。技术解决方案应函盖模块所有功能需求，根据完备性、技术先进性、合理性进行评分。具体评审标准如下：</w:t>
              <w:cr/>
              <w:t>一档：未提供方案；</w:t>
              <w:cr/>
              <w:t>二档：方案不完整（指未覆盖模块所有功能需求、无针对关建技术的分析），或技术思路不合理；</w:t>
              <w:cr/>
              <w:t>三档：方案完整，描述简单，针对性一般，技术思路合理、关建技术的分析清晰，基本满足采购需求；</w:t>
              <w:cr/>
              <w:t>四档：方案完整，描述清楚、详细、充分，针对性强，技术思路合理先进、关建技术的分析详细清晰，完全满足采购需求；</w:t>
            </w:r>
          </w:p>
          <w:p/>
        </w:tc>
      </w:tr>
      <w:tr>
        <w:tblPrEx>
          <w:tblW w:w="5000" w:type="pct"/>
          <w:tblCellMar>
            <w:left w:w="108" w:type="dxa"/>
            <w:right w:w="108" w:type="dxa"/>
          </w:tblCellMar>
        </w:tblPrEx>
        <w:tc>
          <w:tcPr/>
          <w:p>
            <w:r>
              <w:t>14</w:t>
            </w:r>
          </w:p>
        </w:tc>
        <w:tc>
          <w:tcPr>
            <w:vMerge/>
          </w:tcPr>
          <w:p>
            <w:r>
              <w:t>技术部分</w:t>
            </w:r>
          </w:p>
        </w:tc>
        <w:tc>
          <w:tcPr/>
          <w:p>
            <w:r>
              <w:t>非功能需求技术解决方案</w:t>
            </w:r>
          </w:p>
        </w:tc>
        <w:tc>
          <w:tcPr/>
          <w:p>
            <w:r>
              <w:t>勾选打分</w:t>
            </w:r>
            <w:r>
              <w:t>(4)</w:t>
            </w:r>
          </w:p>
        </w:tc>
        <w:tc>
          <w:tcPr/>
          <w:p>
            <w:r>
              <w:t>评审标准：</w:t>
            </w:r>
          </w:p>
          <w:p>
            <w:r>
              <w:t>一档0分</w:t>
              <w:cr/>
              <w:t>二档1分</w:t>
              <w:cr/>
              <w:t>三档2分</w:t>
              <w:cr/>
              <w:t>四档4分</w:t>
            </w:r>
          </w:p>
          <w:p>
            <w:r>
              <w:t>评审标准说明：</w:t>
            </w:r>
          </w:p>
          <w:p>
            <w:r>
              <w:t>根据投标人提供的非功能需求技术解决方案评分。技术解决方案应函盖采购需求中所有非功能性需求，合理可行，与项目高度契合，针对性强。具体评审标准如下：</w:t>
              <w:cr/>
              <w:t>一档：未提供方案；</w:t>
              <w:cr/>
              <w:t>二档：方案不完整（指未覆盖采购需求中所有非功能性需求），或技术思路不合理、无针对性；</w:t>
              <w:cr/>
              <w:t>三档：方案完整，描述简单，针对性一般，技术思路合理，基本满足采购文件要求；</w:t>
              <w:cr/>
              <w:t>四档：方案完整，描述清楚、详细、充分，针对性强，技术思路合理，技术先进，完全满足采购需求。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spacing w:line="360" w:lineRule="auto"/>
        <w:ind w:firstLine="420" w:firstLineChars="200"/>
        <w:rPr>
          <w:rFonts w:ascii="宋体" w:eastAsia="宋体" w:hAnsi="宋体" w:cs="Times New Roman"/>
          <w:szCs w:val="21"/>
        </w:rPr>
      </w:pPr>
    </w:p>
    <w:p>
      <w:pPr>
        <w:keepNext/>
        <w:keepLines/>
        <w:outlineLvl w:val="2"/>
        <w:rPr>
          <w:rFonts w:ascii="Calibri" w:eastAsia="黑体" w:hAnsi="Calibri" w:cs="Times New Roman"/>
          <w:b/>
          <w:bCs/>
          <w:sz w:val="32"/>
          <w:szCs w:val="32"/>
        </w:rPr>
      </w:pPr>
      <w:r>
        <w:rPr>
          <w:rFonts w:ascii="Times New Roman" w:eastAsia="黑体" w:hAnsi="Times New Roman" w:cs="Times New Roman" w:hint="eastAsia"/>
          <w:b/>
          <w:bCs/>
          <w:sz w:val="32"/>
          <w:szCs w:val="21"/>
        </w:rPr>
        <w:t>1.</w:t>
      </w:r>
      <w:r>
        <w:rPr>
          <w:rFonts w:ascii="Times New Roman" w:eastAsia="黑体" w:hAnsi="Times New Roman" w:cs="Times New Roman"/>
          <w:b/>
          <w:bCs/>
          <w:sz w:val="32"/>
          <w:szCs w:val="21"/>
        </w:rPr>
        <w:t xml:space="preserve"> </w:t>
      </w:r>
      <w:r>
        <w:rPr>
          <w:rFonts w:ascii="Calibri" w:eastAsia="黑体" w:hAnsi="Calibri" w:cs="Times New Roman" w:hint="eastAsia"/>
          <w:b/>
          <w:bCs/>
          <w:sz w:val="32"/>
          <w:szCs w:val="32"/>
        </w:rPr>
        <w:t>建设目标和内容</w:t>
      </w:r>
    </w:p>
    <w:p>
      <w:pPr>
        <w:keepNext/>
        <w:keepLines/>
        <w:spacing w:line="360" w:lineRule="auto"/>
        <w:outlineLvl w:val="3"/>
        <w:rPr>
          <w:rFonts w:ascii="等线 Light" w:eastAsia="宋体" w:hAnsi="等线 Light" w:cs="Times New Roman"/>
          <w:b/>
          <w:bCs/>
          <w:sz w:val="30"/>
          <w:szCs w:val="28"/>
        </w:rPr>
      </w:pPr>
      <w:bookmarkStart w:id="61" w:name="_Toc5067"/>
      <w:bookmarkStart w:id="62" w:name="_Toc196897044"/>
      <w:r>
        <w:rPr>
          <w:rFonts w:ascii="等线 Light" w:eastAsia="宋体" w:hAnsi="等线 Light" w:cs="Times New Roman" w:hint="eastAsia"/>
          <w:b/>
          <w:bCs/>
          <w:sz w:val="30"/>
          <w:szCs w:val="28"/>
        </w:rPr>
        <w:t>1.1</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建设目标</w:t>
      </w:r>
      <w:bookmarkEnd w:id="61"/>
      <w:bookmarkEnd w:id="62"/>
    </w:p>
    <w:p>
      <w:p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依托气象大数据云平台（天擎），围绕0-30km大气参数产品系统、天擎·实况、天擎·极值、省级天擎·实况、会商服务和活动保障五大方向，开展前端页面设计与功能部署、智能化实况分析、极值智能分析、省级定制化开发、轻量化系统建设及重大活动保障平台开发等工作。</w:t>
      </w:r>
    </w:p>
    <w:p>
      <w:p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项目旨在全面提升气象业务系统的智能化水平和服务能力，通过引入人工智能技术、升级基础技术架构、完善辅助功能部署，为气象预报、预警服务和重大活动保障提供更加高效、精准的技术支撑。项目的建设目标包括五个方面：</w:t>
      </w:r>
    </w:p>
    <w:p>
      <w:pPr>
        <w:numPr>
          <w:ilvl w:val="0"/>
          <w:numId w:val="4"/>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建成0-30km大气参数产品系统前端页面，实现数据获取、计算、产品图生成及资料说明等全流程功能。</w:t>
      </w:r>
    </w:p>
    <w:p>
      <w:pPr>
        <w:numPr>
          <w:ilvl w:val="0"/>
          <w:numId w:val="4"/>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完成天擎·实况系统的个性化定制、智能化预警分析、技术架构升级及多项新功能开发。</w:t>
      </w:r>
    </w:p>
    <w:p>
      <w:pPr>
        <w:numPr>
          <w:ilvl w:val="0"/>
          <w:numId w:val="4"/>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建成天擎·极值系统的智能化分析、灾害过程关联和算法管理体系。</w:t>
      </w:r>
    </w:p>
    <w:p>
      <w:pPr>
        <w:numPr>
          <w:ilvl w:val="0"/>
          <w:numId w:val="4"/>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完成省级天擎·实况定制版开发及特色化服务。</w:t>
      </w:r>
    </w:p>
    <w:p>
      <w:pPr>
        <w:numPr>
          <w:ilvl w:val="0"/>
          <w:numId w:val="4"/>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建成会商简版系统、用户行为分析引擎及重大活动保障平台。</w:t>
      </w:r>
    </w:p>
    <w:p>
      <w:pPr>
        <w:keepNext/>
        <w:keepLines/>
        <w:spacing w:line="360" w:lineRule="auto"/>
        <w:outlineLvl w:val="3"/>
        <w:rPr>
          <w:rFonts w:ascii="等线 Light" w:eastAsia="宋体" w:hAnsi="等线 Light" w:cs="Times New Roman"/>
          <w:b/>
          <w:bCs/>
          <w:sz w:val="30"/>
          <w:szCs w:val="28"/>
        </w:rPr>
      </w:pPr>
      <w:bookmarkStart w:id="63" w:name="_Toc196897045"/>
      <w:bookmarkStart w:id="64" w:name="_Toc30092"/>
      <w:r>
        <w:rPr>
          <w:rFonts w:ascii="等线 Light" w:eastAsia="宋体" w:hAnsi="等线 Light" w:cs="Times New Roman" w:hint="eastAsia"/>
          <w:b/>
          <w:bCs/>
          <w:sz w:val="30"/>
          <w:szCs w:val="28"/>
        </w:rPr>
        <w:t>1.2</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建设内容</w:t>
      </w:r>
      <w:bookmarkEnd w:id="63"/>
      <w:bookmarkEnd w:id="64"/>
    </w:p>
    <w:p>
      <w:pPr>
        <w:numPr>
          <w:ilvl w:val="0"/>
          <w:numId w:val="5"/>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0~30km大气参数产品系统：设计并实现交互式Web前端，支持通过页面点选方式选择时间段、城市、站点等条件，提供数据预览和下载功能，提升大气垂直廓线产品的使用便捷性。</w:t>
      </w:r>
    </w:p>
    <w:p>
      <w:pPr>
        <w:numPr>
          <w:ilvl w:val="0"/>
          <w:numId w:val="5"/>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天擎·实况功能升级：升级建设天擎·实况系统提供个性化定制、智能化分析、JS基础库和依赖组件升级、温湿风垂直廓线、PPT制作工具化、图形制作工具等内容，提升天擎·实况服务能力。</w:t>
      </w:r>
    </w:p>
    <w:p>
      <w:pPr>
        <w:numPr>
          <w:ilvl w:val="0"/>
          <w:numId w:val="5"/>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天擎·极值一张表功能升级：升级建设天擎·极值一张表系统提供智能化分析、深化与重大灾害过程的耦合和极值算法管理等内容，提升天擎·极值一张表综合服务能力。</w:t>
      </w:r>
    </w:p>
    <w:p>
      <w:pPr>
        <w:numPr>
          <w:ilvl w:val="0"/>
          <w:numId w:val="5"/>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省级天擎·实况建设升级：建设完善省级天擎·实况开发，接入省级数据、根据省级实况使用特点进行独立开发，并尽量通过组件库进行封装，通过参数进行个性化调用，系统根据省级特色进行版面布局、logo、风格等的调整。</w:t>
      </w:r>
    </w:p>
    <w:p>
      <w:pPr>
        <w:numPr>
          <w:ilvl w:val="0"/>
          <w:numId w:val="5"/>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会商服务和活动保障：建设轻量化系统实现多种预警联动，优化用户行为分析引擎，新增智能提醒、反馈采集、个性化定制功能，</w:t>
      </w:r>
      <w:r>
        <w:rPr>
          <w:rFonts w:ascii="Calibri" w:eastAsia="宋体" w:hAnsi="Calibri" w:cs="Times New Roman"/>
          <w:sz w:val="24"/>
        </w:rPr>
        <w:t>面向重大活动保障，升级建设重大活动保障平台</w:t>
      </w:r>
      <w:r>
        <w:rPr>
          <w:rFonts w:ascii="Calibri" w:eastAsia="宋体" w:hAnsi="Calibri" w:cs="Times New Roman" w:hint="eastAsia"/>
          <w:sz w:val="24"/>
        </w:rPr>
        <w:t>。</w:t>
      </w:r>
    </w:p>
    <w:p>
      <w:pPr>
        <w:keepNext/>
        <w:keepLines/>
        <w:outlineLvl w:val="2"/>
        <w:rPr>
          <w:rFonts w:ascii="Calibri" w:eastAsia="宋体" w:hAnsi="Calibri" w:cs="Times New Roman"/>
          <w:b/>
          <w:bCs/>
          <w:sz w:val="28"/>
          <w:szCs w:val="32"/>
        </w:rPr>
      </w:pPr>
      <w:bookmarkStart w:id="65" w:name="_Toc196897046"/>
      <w:bookmarkStart w:id="66" w:name="_Toc101789772"/>
      <w:bookmarkStart w:id="67" w:name="_Toc17343"/>
      <w:r>
        <w:rPr>
          <w:rFonts w:ascii="Calibri" w:eastAsia="黑体" w:hAnsi="Calibri" w:cs="Times New Roman" w:hint="eastAsia"/>
          <w:b/>
          <w:bCs/>
          <w:sz w:val="32"/>
          <w:szCs w:val="32"/>
        </w:rPr>
        <w:t>2.</w:t>
      </w:r>
      <w:r>
        <w:rPr>
          <w:rFonts w:ascii="Calibri" w:eastAsia="黑体" w:hAnsi="Calibri" w:cs="Times New Roman"/>
          <w:b/>
          <w:bCs/>
          <w:sz w:val="32"/>
          <w:szCs w:val="32"/>
        </w:rPr>
        <w:t xml:space="preserve"> </w:t>
      </w:r>
      <w:r>
        <w:rPr>
          <w:rFonts w:ascii="Calibri" w:eastAsia="宋体" w:hAnsi="Calibri" w:cs="Times New Roman"/>
          <w:b/>
          <w:bCs/>
          <w:sz w:val="28"/>
          <w:szCs w:val="32"/>
        </w:rPr>
        <w:t>功能要求</w:t>
      </w:r>
      <w:bookmarkEnd w:id="65"/>
      <w:bookmarkEnd w:id="66"/>
      <w:bookmarkEnd w:id="67"/>
    </w:p>
    <w:p>
      <w:pPr>
        <w:keepNext/>
        <w:keepLines/>
        <w:spacing w:line="360" w:lineRule="auto"/>
        <w:outlineLvl w:val="3"/>
        <w:rPr>
          <w:rFonts w:ascii="等线 Light" w:eastAsia="宋体" w:hAnsi="等线 Light" w:cs="Times New Roman"/>
          <w:b/>
          <w:bCs/>
          <w:sz w:val="30"/>
          <w:szCs w:val="28"/>
        </w:rPr>
      </w:pPr>
      <w:bookmarkStart w:id="68" w:name="_Toc196897047"/>
      <w:bookmarkStart w:id="69" w:name="_Toc101789773"/>
      <w:bookmarkStart w:id="70" w:name="_Toc2162"/>
      <w:r>
        <w:rPr>
          <w:rFonts w:ascii="等线 Light" w:eastAsia="宋体" w:hAnsi="等线 Light" w:cs="Times New Roman" w:hint="eastAsia"/>
          <w:b/>
          <w:bCs/>
          <w:sz w:val="30"/>
          <w:szCs w:val="28"/>
        </w:rPr>
        <w:t>2.1</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功能概述</w:t>
      </w:r>
      <w:bookmarkEnd w:id="68"/>
      <w:bookmarkEnd w:id="69"/>
      <w:bookmarkEnd w:id="70"/>
    </w:p>
    <w:p>
      <w:pPr>
        <w:spacing w:before="156" w:beforeLines="50" w:after="156" w:afterLines="50" w:line="360" w:lineRule="auto"/>
        <w:ind w:firstLine="480" w:firstLineChars="200"/>
        <w:rPr>
          <w:rFonts w:ascii="宋体" w:eastAsia="宋体" w:hAnsi="宋体" w:cs="宋体"/>
        </w:rPr>
      </w:pPr>
      <w:r>
        <w:rPr>
          <w:rFonts w:ascii="宋体" w:eastAsia="宋体" w:hAnsi="宋体" w:cs="宋体" w:hint="eastAsia"/>
          <w:sz w:val="24"/>
        </w:rPr>
        <w:t>本项目基于“天擎”系统现有成果进行建设，数据环境生成依托于“天擎”气象大数据云平台。</w:t>
      </w:r>
    </w:p>
    <w:p>
      <w:pPr>
        <w:spacing w:before="156" w:beforeLines="50" w:after="156" w:afterLines="50" w:line="360" w:lineRule="auto"/>
        <w:ind w:firstLine="480" w:firstLineChars="200"/>
        <w:rPr>
          <w:rFonts w:ascii="宋体" w:eastAsia="宋体" w:hAnsi="宋体" w:cs="宋体"/>
        </w:rPr>
      </w:pPr>
      <w:r>
        <w:rPr>
          <w:rFonts w:ascii="宋体" w:eastAsia="宋体" w:hAnsi="宋体" w:cs="宋体" w:hint="eastAsia"/>
          <w:sz w:val="24"/>
        </w:rPr>
        <w:t>本项目基于现有的综合业务网站</w:t>
      </w:r>
      <w:r>
        <w:rPr>
          <w:rFonts w:ascii="宋体" w:eastAsia="宋体" w:hAnsi="宋体" w:cs="宋体"/>
          <w:sz w:val="24"/>
        </w:rPr>
        <w:t>平台</w:t>
      </w:r>
      <w:r>
        <w:rPr>
          <w:rFonts w:ascii="宋体" w:eastAsia="宋体" w:hAnsi="宋体" w:cs="宋体" w:hint="eastAsia"/>
          <w:sz w:val="24"/>
        </w:rPr>
        <w:t>进行建设，对现有平台的功能和数据具有良好兼容性，在保证业务正常运行的基础上进行平滑扩展和升级。</w:t>
      </w:r>
    </w:p>
    <w:p>
      <w:pPr>
        <w:keepNext/>
        <w:keepLines/>
        <w:spacing w:line="360" w:lineRule="auto"/>
        <w:outlineLvl w:val="3"/>
        <w:rPr>
          <w:rFonts w:ascii="等线 Light" w:eastAsia="宋体" w:hAnsi="等线 Light" w:cs="Times New Roman"/>
          <w:b/>
          <w:bCs/>
          <w:sz w:val="30"/>
          <w:szCs w:val="28"/>
        </w:rPr>
      </w:pPr>
      <w:bookmarkStart w:id="71" w:name="_Toc196897048"/>
      <w:bookmarkStart w:id="72" w:name="_Toc20325"/>
      <w:r>
        <w:rPr>
          <w:rFonts w:ascii="等线 Light" w:eastAsia="宋体" w:hAnsi="等线 Light" w:cs="Times New Roman" w:hint="eastAsia"/>
          <w:b/>
          <w:bCs/>
          <w:sz w:val="30"/>
          <w:szCs w:val="28"/>
        </w:rPr>
        <w:t>2.2</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面向专题场景的气象数据支撑能力升级功能要求</w:t>
      </w:r>
      <w:bookmarkEnd w:id="71"/>
      <w:bookmarkEnd w:id="72"/>
    </w:p>
    <w:p>
      <w:pPr>
        <w:spacing w:line="360" w:lineRule="auto"/>
        <w:ind w:firstLine="540" w:firstLineChars="225"/>
        <w:rPr>
          <w:rFonts w:ascii="Calibri" w:eastAsia="宋体" w:hAnsi="Calibri" w:cs="Times New Roman"/>
        </w:rPr>
      </w:pPr>
      <w:r>
        <w:rPr>
          <w:rFonts w:ascii="Calibri" w:eastAsia="宋体" w:hAnsi="Calibri" w:cs="Times New Roman" w:hint="eastAsia"/>
          <w:sz w:val="24"/>
        </w:rPr>
        <w:t>通过本项目的实施，切实提高重大活动保障系统、天擎·实况系统、天擎·极值一张表等系统运行的可靠性及可用性，以更有效地支持业务操作，满足用户的需求，主要提升如下功能：</w:t>
      </w:r>
    </w:p>
    <w:p>
      <w:pPr>
        <w:numPr>
          <w:ilvl w:val="0"/>
          <w:numId w:val="6"/>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0~30km大气参数产品系统：实现大气垂直廓线产品的便捷检索、可视化与打包下载。</w:t>
      </w:r>
    </w:p>
    <w:p>
      <w:pPr>
        <w:numPr>
          <w:ilvl w:val="0"/>
          <w:numId w:val="6"/>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天擎·实况功能升级：升级实况系统，支持个性化定制、智能化分析与WebGIS技术栈现代化。</w:t>
      </w:r>
    </w:p>
    <w:p>
      <w:pPr>
        <w:numPr>
          <w:ilvl w:val="0"/>
          <w:numId w:val="6"/>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天擎·极值一张表功能升级：强化极值系统的AI分析能力、灾害过程自动耦合及算法治理。</w:t>
      </w:r>
    </w:p>
    <w:p>
      <w:pPr>
        <w:numPr>
          <w:ilvl w:val="0"/>
          <w:numId w:val="6"/>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省级天擎·实况建设升级：建设升级省级天擎·实况个性化定制和本地数据的处理和接入。</w:t>
      </w:r>
    </w:p>
    <w:p>
      <w:pPr>
        <w:numPr>
          <w:ilvl w:val="0"/>
          <w:numId w:val="6"/>
        </w:num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会商服务和活动保障：建设轻量化会商服务和升级重大活动保障系统，提升会商和重大活动保障能力。</w:t>
      </w:r>
    </w:p>
    <w:p>
      <w:pPr>
        <w:keepNext/>
        <w:keepLines/>
        <w:spacing w:line="360" w:lineRule="auto"/>
        <w:outlineLvl w:val="4"/>
        <w:rPr>
          <w:rFonts w:ascii="Calibri" w:eastAsia="宋体" w:hAnsi="Calibri" w:cs="Times New Roman"/>
          <w:b/>
          <w:bCs/>
          <w:sz w:val="30"/>
          <w:szCs w:val="28"/>
        </w:rPr>
      </w:pPr>
      <w:bookmarkStart w:id="73" w:name="_Toc4759"/>
      <w:bookmarkStart w:id="74" w:name="_Hlk199333476"/>
      <w:r>
        <w:rPr>
          <w:rFonts w:ascii="Calibri" w:eastAsia="宋体" w:hAnsi="Calibri" w:cs="Times New Roman" w:hint="eastAsia"/>
          <w:b/>
          <w:bCs/>
          <w:sz w:val="30"/>
          <w:szCs w:val="28"/>
        </w:rPr>
        <w:t>2.2.1</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0～30km大气参数产品系统</w:t>
      </w:r>
      <w:bookmarkEnd w:id="73"/>
    </w:p>
    <w:p>
      <w:pPr>
        <w:numPr>
          <w:ilvl w:val="0"/>
          <w:numId w:val="7"/>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实现大气垂直廓线产品的便捷检索、可视化与打包下载。</w:t>
      </w:r>
    </w:p>
    <w:p>
      <w:pPr>
        <w:numPr>
          <w:ilvl w:val="0"/>
          <w:numId w:val="7"/>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numPr>
          <w:ilvl w:val="0"/>
          <w:numId w:val="8"/>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开发0-30km大气参数产品系统前端页面，提供起止时间选择功能，支持用户灵活设定数据查询与分析的时间范围；实现城市和站点选择功能，支持用户按需选定分析区域；后台根据用户选项自动进行数据获取、计算和产品图生成；提供系统使用说明、数据来源说明、产品图例说明等资料文档功能。</w:t>
      </w:r>
    </w:p>
    <w:p>
      <w:pPr>
        <w:numPr>
          <w:ilvl w:val="0"/>
          <w:numId w:val="8"/>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辅助功能实现包括如下功能：</w:t>
      </w:r>
      <w:r>
        <w:rPr>
          <w:rFonts w:ascii="Calibri" w:eastAsia="宋体" w:hAnsi="Calibri" w:cs="Times New Roman" w:hint="eastAsia"/>
          <w:bCs/>
          <w:sz w:val="24"/>
        </w:rPr>
        <w:t>通过CA识别用户信息，实现用户身份认证与权限管理；对用户操作进行记录，通过访问记录进行展示汇总，支持用户下载操作记录。</w:t>
      </w:r>
    </w:p>
    <w:p>
      <w:pPr>
        <w:keepNext/>
        <w:keepLines/>
        <w:spacing w:line="360" w:lineRule="auto"/>
        <w:outlineLvl w:val="4"/>
        <w:rPr>
          <w:rFonts w:ascii="Calibri" w:eastAsia="宋体" w:hAnsi="Calibri" w:cs="Times New Roman"/>
          <w:b/>
          <w:bCs/>
          <w:sz w:val="30"/>
          <w:szCs w:val="28"/>
        </w:rPr>
      </w:pPr>
      <w:bookmarkStart w:id="75" w:name="_Toc15183"/>
      <w:r>
        <w:rPr>
          <w:rFonts w:ascii="Calibri" w:eastAsia="宋体" w:hAnsi="Calibri" w:cs="Times New Roman" w:hint="eastAsia"/>
          <w:b/>
          <w:bCs/>
          <w:sz w:val="30"/>
          <w:szCs w:val="28"/>
        </w:rPr>
        <w:t>2.2.2</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天擎·实况功能升级</w:t>
      </w:r>
      <w:bookmarkEnd w:id="75"/>
    </w:p>
    <w:p>
      <w:pPr>
        <w:numPr>
          <w:ilvl w:val="0"/>
          <w:numId w:val="9"/>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spacing w:before="156" w:beforeLines="50" w:after="156" w:afterLines="50" w:line="360" w:lineRule="auto"/>
        <w:ind w:firstLine="420"/>
        <w:rPr>
          <w:rFonts w:ascii="Calibri" w:eastAsia="宋体" w:hAnsi="Calibri" w:cs="Times New Roman"/>
        </w:rPr>
      </w:pPr>
      <w:r>
        <w:rPr>
          <w:rFonts w:ascii="Calibri" w:eastAsia="宋体" w:hAnsi="Calibri" w:cs="Times New Roman" w:hint="eastAsia"/>
          <w:sz w:val="24"/>
        </w:rPr>
        <w:t>升级天擎·实况系统，支持个性化定制、智能化分析、JS基础库升级、温湿风垂直廓线、PPT工具和图形制作工具。</w:t>
      </w:r>
    </w:p>
    <w:p>
      <w:pPr>
        <w:numPr>
          <w:ilvl w:val="0"/>
          <w:numId w:val="9"/>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个性化定制，基于用户空间实现界面及分析维度的个性化配置。实况系统实时读取个性化配置，提供针对性的展示内容和分析结果。</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智能化分析，引入大语言模型技术，对实况图形产品进行智能解读与综合分析，自动生成当前天气形势的文字综述，辅助业务人员快速掌握天气状况。</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JS基础库和依赖组件升级，升级基础Vue版本，完成相关组件库的配套升级改造，确保升级后系统的兼容性和稳定性。</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温湿风垂直廓线，基于全球大气实况分析产品，定时生成覆盖全部国家站的探空分析图和CAPE计算值，为对流潜势分析提供直观参考。</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PPT制作工具化，构建独立的PPT制作工具，允许用户按需选择气象要素和时间范围，快速生成标准化的会商PPT，提高材料准备效率。</w:t>
      </w:r>
    </w:p>
    <w:p>
      <w:pPr>
        <w:numPr>
          <w:ilvl w:val="0"/>
          <w:numId w:val="10"/>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图形制作工具，天擎·实况制图功能新增选区出图能力。支持按搜索栏选定的省、区域、流域、警戒圈或手动输入经纬度设置标准制图范围，减少人为拖动造成的图像范围不统一，提升出图规范性。</w:t>
      </w:r>
    </w:p>
    <w:p>
      <w:pPr>
        <w:keepNext/>
        <w:keepLines/>
        <w:spacing w:line="360" w:lineRule="auto"/>
        <w:outlineLvl w:val="4"/>
        <w:rPr>
          <w:rFonts w:ascii="Calibri" w:eastAsia="宋体" w:hAnsi="Calibri" w:cs="Times New Roman"/>
          <w:b/>
          <w:bCs/>
          <w:sz w:val="30"/>
          <w:szCs w:val="28"/>
        </w:rPr>
      </w:pPr>
      <w:bookmarkStart w:id="76" w:name="_Toc31473"/>
      <w:r>
        <w:rPr>
          <w:rFonts w:ascii="Calibri" w:eastAsia="宋体" w:hAnsi="Calibri" w:cs="Times New Roman" w:hint="eastAsia"/>
          <w:b/>
          <w:bCs/>
          <w:sz w:val="30"/>
          <w:szCs w:val="28"/>
        </w:rPr>
        <w:t>2.2.3</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天擎·极值一张表功能升级</w:t>
      </w:r>
      <w:bookmarkEnd w:id="76"/>
    </w:p>
    <w:p>
      <w:pPr>
        <w:numPr>
          <w:ilvl w:val="0"/>
          <w:numId w:val="11"/>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spacing w:before="156" w:beforeLines="50" w:after="156" w:afterLines="50" w:line="360" w:lineRule="auto"/>
        <w:ind w:firstLine="420"/>
        <w:rPr>
          <w:rFonts w:ascii="Calibri" w:eastAsia="宋体" w:hAnsi="Calibri" w:cs="Times New Roman"/>
        </w:rPr>
      </w:pPr>
      <w:r>
        <w:rPr>
          <w:rFonts w:ascii="Calibri" w:eastAsia="宋体" w:hAnsi="Calibri" w:cs="Times New Roman" w:hint="eastAsia"/>
          <w:sz w:val="24"/>
        </w:rPr>
        <w:t>升级天擎·极值一张表系统，强化极值系统的AI分析能力、灾害过程自动耦合及算法治理。</w:t>
      </w:r>
    </w:p>
    <w:p>
      <w:pPr>
        <w:numPr>
          <w:ilvl w:val="0"/>
          <w:numId w:val="11"/>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numPr>
          <w:ilvl w:val="0"/>
          <w:numId w:val="12"/>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智能化分析，引入人工智能技术，提升极值分析智能化水平，用深度学习、数据挖掘等模型对极值趋势进行智能预判，实现基于自然语言处理的对话式极值数据查询交互，降低使用门槛。</w:t>
      </w:r>
    </w:p>
    <w:p>
      <w:pPr>
        <w:numPr>
          <w:ilvl w:val="0"/>
          <w:numId w:val="12"/>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深化与重大灾害过程的耦合，建立极端天气事件与极值统计的自动关联机制。当监测到重大天气过程时，系统自动触发相关区域极值统计分析，并生成专题报告，提升应急响应时效性。</w:t>
      </w:r>
    </w:p>
    <w:p>
      <w:pPr>
        <w:numPr>
          <w:ilvl w:val="0"/>
          <w:numId w:val="12"/>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极值算法管理，依托气象软件应用仓库，建立极值算法的版本管理、灰度发布、回滚等机制，确保算法迭代过程业务不中断，提升运维可靠性。</w:t>
      </w:r>
    </w:p>
    <w:p>
      <w:pPr>
        <w:keepNext/>
        <w:keepLines/>
        <w:spacing w:line="360" w:lineRule="auto"/>
        <w:outlineLvl w:val="4"/>
        <w:rPr>
          <w:rFonts w:ascii="Calibri" w:eastAsia="宋体" w:hAnsi="Calibri" w:cs="Times New Roman"/>
          <w:b/>
          <w:bCs/>
          <w:sz w:val="30"/>
          <w:szCs w:val="28"/>
        </w:rPr>
      </w:pPr>
      <w:bookmarkStart w:id="77" w:name="_Toc7322"/>
      <w:r>
        <w:rPr>
          <w:rFonts w:ascii="Calibri" w:eastAsia="宋体" w:hAnsi="Calibri" w:cs="Times New Roman" w:hint="eastAsia"/>
          <w:b/>
          <w:bCs/>
          <w:sz w:val="30"/>
          <w:szCs w:val="28"/>
        </w:rPr>
        <w:t>2.2.4</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省级天擎·实况功能升级</w:t>
      </w:r>
      <w:bookmarkEnd w:id="77"/>
    </w:p>
    <w:p>
      <w:pPr>
        <w:numPr>
          <w:ilvl w:val="0"/>
          <w:numId w:val="13"/>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升级建设省级天擎·实况定制版开发及特色化服务。</w:t>
      </w:r>
    </w:p>
    <w:p>
      <w:pPr>
        <w:numPr>
          <w:ilvl w:val="0"/>
          <w:numId w:val="13"/>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numPr>
          <w:ilvl w:val="0"/>
          <w:numId w:val="14"/>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省级定制版天擎·实况开发，建设完善省级天擎·实况开发，接入省级数据，满足省级业务需求，根据省级实况使用特点进行独立开发，尽量通过组件库进行封装，通过参数进行个性化调用，提高代码复用率和开发效率。</w:t>
      </w:r>
    </w:p>
    <w:p>
      <w:pPr>
        <w:numPr>
          <w:ilvl w:val="0"/>
          <w:numId w:val="14"/>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省级定制化系统功能服务，系统根据省级特色进行版面布局、Logo、风格等的调整，体现省级气象部门的品牌形象和业务特色</w:t>
      </w:r>
      <w:r>
        <w:rPr>
          <w:rFonts w:ascii="Calibri" w:eastAsia="宋体" w:hAnsi="Calibri" w:cs="Times New Roman" w:hint="eastAsia"/>
          <w:bCs/>
          <w:sz w:val="24"/>
        </w:rPr>
        <w:t>。</w:t>
      </w:r>
    </w:p>
    <w:p>
      <w:pPr>
        <w:keepNext/>
        <w:keepLines/>
        <w:spacing w:line="360" w:lineRule="auto"/>
        <w:outlineLvl w:val="4"/>
        <w:rPr>
          <w:rFonts w:ascii="Calibri" w:eastAsia="宋体" w:hAnsi="Calibri" w:cs="Times New Roman"/>
          <w:b/>
          <w:bCs/>
          <w:sz w:val="30"/>
          <w:szCs w:val="28"/>
        </w:rPr>
      </w:pPr>
      <w:bookmarkStart w:id="78" w:name="_Toc196897049"/>
      <w:bookmarkStart w:id="79" w:name="_Toc11297"/>
      <w:r>
        <w:rPr>
          <w:rFonts w:ascii="Calibri" w:eastAsia="宋体" w:hAnsi="Calibri" w:cs="Times New Roman" w:hint="eastAsia"/>
          <w:b/>
          <w:bCs/>
          <w:sz w:val="30"/>
          <w:szCs w:val="28"/>
        </w:rPr>
        <w:t>2.2.5</w:t>
      </w:r>
      <w:r>
        <w:rPr>
          <w:rFonts w:ascii="Calibri" w:eastAsia="宋体" w:hAnsi="Calibri" w:cs="Times New Roman"/>
          <w:b/>
          <w:bCs/>
          <w:sz w:val="30"/>
          <w:szCs w:val="28"/>
        </w:rPr>
        <w:t xml:space="preserve"> </w:t>
      </w:r>
      <w:bookmarkEnd w:id="78"/>
      <w:r>
        <w:rPr>
          <w:rFonts w:ascii="Calibri" w:eastAsia="宋体" w:hAnsi="Calibri" w:cs="Times New Roman" w:hint="eastAsia"/>
          <w:b/>
          <w:bCs/>
          <w:sz w:val="30"/>
          <w:szCs w:val="28"/>
        </w:rPr>
        <w:t>会商服务和活动保障</w:t>
      </w:r>
      <w:bookmarkEnd w:id="79"/>
    </w:p>
    <w:p>
      <w:pPr>
        <w:numPr>
          <w:ilvl w:val="0"/>
          <w:numId w:val="15"/>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建设轻量化会商服务和升级重大活动保障系统，提升会商和重大活动保障能力。</w:t>
      </w:r>
    </w:p>
    <w:p>
      <w:pPr>
        <w:numPr>
          <w:ilvl w:val="0"/>
          <w:numId w:val="15"/>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numPr>
          <w:ilvl w:val="0"/>
          <w:numId w:val="16"/>
        </w:num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轻量化系统，上线天擎·实况轻量化系统，实现不少于5类预警联动。</w:t>
      </w:r>
    </w:p>
    <w:p>
      <w:pPr>
        <w:numPr>
          <w:ilvl w:val="0"/>
          <w:numId w:val="16"/>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sz w:val="24"/>
        </w:rPr>
        <w:t>用户行为分析引擎，优化用户行为分析引擎，新增智能提醒、反馈采集、个性化定制功能</w:t>
      </w:r>
      <w:r>
        <w:rPr>
          <w:rFonts w:ascii="Calibri" w:eastAsia="宋体" w:hAnsi="Calibri" w:cs="Times New Roman" w:hint="eastAsia"/>
          <w:bCs/>
          <w:sz w:val="24"/>
        </w:rPr>
        <w:t>。</w:t>
      </w:r>
    </w:p>
    <w:p>
      <w:pPr>
        <w:numPr>
          <w:ilvl w:val="0"/>
          <w:numId w:val="16"/>
        </w:numPr>
        <w:tabs>
          <w:tab w:val="left" w:pos="900"/>
        </w:tabs>
        <w:spacing w:line="360" w:lineRule="auto"/>
        <w:ind w:firstLine="480" w:firstLineChars="200"/>
        <w:rPr>
          <w:rFonts w:ascii="Calibri" w:eastAsia="宋体" w:hAnsi="Calibri" w:cs="Times New Roman"/>
          <w:bCs/>
        </w:rPr>
      </w:pPr>
      <w:r>
        <w:rPr>
          <w:rFonts w:ascii="Calibri" w:eastAsia="宋体" w:hAnsi="Calibri" w:cs="Times New Roman" w:hint="eastAsia"/>
          <w:bCs/>
          <w:sz w:val="24"/>
        </w:rPr>
        <w:t>重大活动保障平台，面向重大活动保障，升级建设重大活动保障平台，新建2027年长春世界大学生冬季运动会和亚太经合组织第三十三次领导人非正式会议等重大活动气象保障，完善春运气象活动保障系统。</w:t>
      </w:r>
    </w:p>
    <w:bookmarkEnd w:id="74"/>
    <w:p>
      <w:pPr>
        <w:keepNext/>
        <w:keepLines/>
        <w:spacing w:line="360" w:lineRule="auto"/>
        <w:outlineLvl w:val="3"/>
        <w:rPr>
          <w:rFonts w:ascii="等线 Light" w:eastAsia="宋体" w:hAnsi="等线 Light" w:cs="Times New Roman"/>
          <w:b/>
          <w:bCs/>
          <w:sz w:val="30"/>
          <w:szCs w:val="28"/>
        </w:rPr>
      </w:pPr>
      <w:bookmarkStart w:id="80" w:name="_Toc196897061"/>
      <w:bookmarkStart w:id="81" w:name="_Toc7546"/>
      <w:r>
        <w:rPr>
          <w:rFonts w:ascii="等线 Light" w:eastAsia="宋体" w:hAnsi="等线 Light" w:cs="Times New Roman" w:hint="eastAsia"/>
          <w:b/>
          <w:bCs/>
          <w:sz w:val="30"/>
          <w:szCs w:val="28"/>
        </w:rPr>
        <w:t>2.3</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故障处理功能要求</w:t>
      </w:r>
      <w:bookmarkEnd w:id="80"/>
      <w:bookmarkEnd w:id="81"/>
    </w:p>
    <w:p>
      <w:p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系统需要长期稳定运行，面对系统出现故障，也应当具有相应的故障处理功能。故障处理功能主要包括：</w:t>
      </w:r>
    </w:p>
    <w:p>
      <w:p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（1）软件系统出错处理；</w:t>
      </w:r>
    </w:p>
    <w:p>
      <w:pPr>
        <w:spacing w:before="156" w:beforeLines="50" w:after="156" w:afterLines="50" w:line="360" w:lineRule="auto"/>
        <w:ind w:firstLine="480"/>
        <w:rPr>
          <w:rFonts w:ascii="Calibri" w:eastAsia="宋体" w:hAnsi="Calibri" w:cs="Times New Roman"/>
        </w:rPr>
      </w:pPr>
      <w:r>
        <w:rPr>
          <w:rFonts w:ascii="Calibri" w:eastAsia="宋体" w:hAnsi="Calibri" w:cs="Times New Roman" w:hint="eastAsia"/>
          <w:sz w:val="24"/>
        </w:rPr>
        <w:t>（2）系统容错和数据备份。</w:t>
      </w:r>
    </w:p>
    <w:p>
      <w:pPr>
        <w:keepNext/>
        <w:keepLines/>
        <w:spacing w:line="360" w:lineRule="auto"/>
        <w:outlineLvl w:val="4"/>
        <w:rPr>
          <w:rFonts w:ascii="Calibri" w:eastAsia="宋体" w:hAnsi="Calibri" w:cs="Times New Roman"/>
          <w:b/>
          <w:bCs/>
          <w:sz w:val="30"/>
          <w:szCs w:val="28"/>
        </w:rPr>
      </w:pPr>
      <w:bookmarkStart w:id="82" w:name="_Toc12627"/>
      <w:bookmarkStart w:id="83" w:name="_Toc196897062"/>
      <w:r>
        <w:rPr>
          <w:rFonts w:ascii="Calibri" w:eastAsia="宋体" w:hAnsi="Calibri" w:cs="Times New Roman" w:hint="eastAsia"/>
          <w:b/>
          <w:bCs/>
          <w:sz w:val="30"/>
          <w:szCs w:val="28"/>
        </w:rPr>
        <w:t>2.3.1</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软件系统出错处理</w:t>
      </w:r>
      <w:bookmarkEnd w:id="82"/>
      <w:bookmarkEnd w:id="83"/>
    </w:p>
    <w:p>
      <w:pPr>
        <w:numPr>
          <w:ilvl w:val="0"/>
          <w:numId w:val="17"/>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在界面出错和业务处理服务出错时，记录错误日志、给出错误界面、发送告警信息，为故障处理提供依据的同时支持系统重新启动。</w:t>
      </w:r>
    </w:p>
    <w:p>
      <w:pPr>
        <w:numPr>
          <w:ilvl w:val="0"/>
          <w:numId w:val="17"/>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（1）用户界面错误：在界面出错后，给出一个友好的错误提示界面，并且记录错误日志，通过监控系统发送告警信息，并提供一段时间的日志复查，为故障处理提供依据。</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（2）服务错误：当各类业务处理服务出错后，提供处理状态回滚，记录错误日志，通过监控系统发送告警信息，为故障处理提供依据。可采用人工干预的方式重新启动服务，继续执行尚未完成的作业。</w:t>
      </w:r>
    </w:p>
    <w:p>
      <w:pPr>
        <w:keepNext/>
        <w:keepLines/>
        <w:spacing w:line="360" w:lineRule="auto"/>
        <w:outlineLvl w:val="4"/>
        <w:rPr>
          <w:rFonts w:ascii="Calibri" w:eastAsia="宋体" w:hAnsi="Calibri" w:cs="Times New Roman"/>
          <w:b/>
          <w:bCs/>
          <w:sz w:val="30"/>
          <w:szCs w:val="28"/>
        </w:rPr>
      </w:pPr>
      <w:bookmarkStart w:id="84" w:name="_Toc9991"/>
      <w:bookmarkStart w:id="85" w:name="_Toc196897063"/>
      <w:r>
        <w:rPr>
          <w:rFonts w:ascii="Calibri" w:eastAsia="宋体" w:hAnsi="Calibri" w:cs="Times New Roman" w:hint="eastAsia"/>
          <w:b/>
          <w:bCs/>
          <w:sz w:val="30"/>
          <w:szCs w:val="28"/>
        </w:rPr>
        <w:t>2.3.2</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系统容错和数据备份</w:t>
      </w:r>
      <w:bookmarkEnd w:id="84"/>
      <w:bookmarkEnd w:id="85"/>
    </w:p>
    <w:p>
      <w:pPr>
        <w:numPr>
          <w:ilvl w:val="0"/>
          <w:numId w:val="18"/>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除正在运行的设备外，主要设备和易损件要有备份和容错；有备份设备或备件的，做到热备份、自动切换，无法作到的，要作好切换准备；系统软件的备份依托气象专有云，应用程序要备份当前运行版本，应用数据要按日进行备份。</w:t>
      </w:r>
    </w:p>
    <w:p>
      <w:pPr>
        <w:numPr>
          <w:ilvl w:val="0"/>
          <w:numId w:val="18"/>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服务器容错功能：必须有适当的措施来确保计算机系统提供不间断的服务，以维护系统的可用性。系统的可用性通常在两种情况下会受到影响，一种是系统宕机、错误操作和管理引起的异常失败，另一种是由于系统维护和升级，需要安装新的硬件或软件而正常关机。高可靠性系统必须为这两种情况提供不间断的系统服务。</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数据备份：需要能把数据拷贝到一种存储介质，当数据出现问题时，可以进行还原。当硬盘出现故障时，磁盘的容错功能，可以将数据恢复。数据备份包括：软件备份和数据库备份。应用程序要备份当前运行版本，应用数据库要按日进行备份。</w:t>
      </w:r>
    </w:p>
    <w:p>
      <w:pPr>
        <w:keepNext/>
        <w:keepLines/>
        <w:spacing w:line="360" w:lineRule="auto"/>
        <w:outlineLvl w:val="3"/>
        <w:rPr>
          <w:rFonts w:ascii="等线 Light" w:eastAsia="宋体" w:hAnsi="等线 Light" w:cs="Times New Roman"/>
          <w:b/>
          <w:bCs/>
          <w:sz w:val="30"/>
          <w:szCs w:val="28"/>
        </w:rPr>
      </w:pPr>
      <w:bookmarkStart w:id="86" w:name="_Toc14174"/>
      <w:bookmarkStart w:id="87" w:name="_Toc196897064"/>
      <w:r>
        <w:rPr>
          <w:rFonts w:ascii="等线 Light" w:eastAsia="宋体" w:hAnsi="等线 Light" w:cs="Times New Roman" w:hint="eastAsia"/>
          <w:b/>
          <w:bCs/>
          <w:sz w:val="30"/>
          <w:szCs w:val="28"/>
        </w:rPr>
        <w:t>2.4</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其他功能要求</w:t>
      </w:r>
      <w:bookmarkEnd w:id="86"/>
      <w:bookmarkEnd w:id="87"/>
    </w:p>
    <w:p>
      <w:pPr>
        <w:keepNext/>
        <w:keepLines/>
        <w:spacing w:line="360" w:lineRule="auto"/>
        <w:outlineLvl w:val="4"/>
        <w:rPr>
          <w:rFonts w:ascii="Calibri" w:eastAsia="宋体" w:hAnsi="Calibri" w:cs="Times New Roman"/>
          <w:b/>
          <w:bCs/>
          <w:sz w:val="30"/>
          <w:szCs w:val="28"/>
        </w:rPr>
      </w:pPr>
      <w:bookmarkStart w:id="88" w:name="_Toc25206"/>
      <w:bookmarkStart w:id="89" w:name="_Toc196897065"/>
      <w:r>
        <w:rPr>
          <w:rFonts w:ascii="Calibri" w:eastAsia="宋体" w:hAnsi="Calibri" w:cs="Times New Roman" w:hint="eastAsia"/>
          <w:b/>
          <w:bCs/>
          <w:sz w:val="30"/>
          <w:szCs w:val="28"/>
        </w:rPr>
        <w:t>2.4.1</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稳定性要求</w:t>
      </w:r>
      <w:bookmarkEnd w:id="88"/>
      <w:bookmarkEnd w:id="89"/>
    </w:p>
    <w:p>
      <w:pPr>
        <w:numPr>
          <w:ilvl w:val="0"/>
          <w:numId w:val="19"/>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本系统需要提供7×24小时不间断服务，因此，无论是计算机硬件系统还是软件系统都必须具有较高的可靠性和故障后快速恢复的能力。</w:t>
      </w:r>
    </w:p>
    <w:p>
      <w:pPr>
        <w:numPr>
          <w:ilvl w:val="0"/>
          <w:numId w:val="19"/>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（1）应用软件开发中严格遵循软件工程国标的开发、测试和集成规范。</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（2）在支撑平台可靠性的保证下，关键高可用业务系统在1小时内恢复运行状态。</w:t>
      </w:r>
    </w:p>
    <w:p>
      <w:pPr>
        <w:keepNext/>
        <w:keepLines/>
        <w:spacing w:line="360" w:lineRule="auto"/>
        <w:outlineLvl w:val="4"/>
        <w:rPr>
          <w:rFonts w:ascii="Calibri" w:eastAsia="宋体" w:hAnsi="Calibri" w:cs="Times New Roman"/>
          <w:b/>
          <w:bCs/>
          <w:sz w:val="30"/>
          <w:szCs w:val="28"/>
        </w:rPr>
      </w:pPr>
      <w:bookmarkStart w:id="90" w:name="_Toc196897066"/>
      <w:bookmarkStart w:id="91" w:name="_Toc31626"/>
      <w:r>
        <w:rPr>
          <w:rFonts w:ascii="Calibri" w:eastAsia="宋体" w:hAnsi="Calibri" w:cs="Times New Roman" w:hint="eastAsia"/>
          <w:b/>
          <w:bCs/>
          <w:sz w:val="30"/>
          <w:szCs w:val="28"/>
        </w:rPr>
        <w:t>2.4.2</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灵活性要求</w:t>
      </w:r>
      <w:bookmarkEnd w:id="90"/>
      <w:bookmarkEnd w:id="91"/>
    </w:p>
    <w:p>
      <w:pPr>
        <w:numPr>
          <w:ilvl w:val="0"/>
          <w:numId w:val="20"/>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在操作方式、运行环境、与其他软件的接口以及开发计划等发生变化时，应具有相应的适应能力。</w:t>
      </w:r>
    </w:p>
    <w:p>
      <w:pPr>
        <w:numPr>
          <w:ilvl w:val="0"/>
          <w:numId w:val="20"/>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（1）系统遵循通用的标准和技术、标准的软件接口进行开发，提升其他软件出现变动时及时更改对接的能力。</w:t>
      </w:r>
    </w:p>
    <w:p>
      <w:pPr>
        <w:keepNext/>
        <w:keepLines/>
        <w:spacing w:line="360" w:lineRule="auto"/>
        <w:outlineLvl w:val="4"/>
        <w:rPr>
          <w:rFonts w:ascii="Calibri" w:eastAsia="宋体" w:hAnsi="Calibri" w:cs="Times New Roman"/>
          <w:b/>
          <w:bCs/>
          <w:sz w:val="30"/>
          <w:szCs w:val="28"/>
        </w:rPr>
      </w:pPr>
      <w:bookmarkStart w:id="92" w:name="_Toc5417"/>
      <w:bookmarkStart w:id="93" w:name="_Hlk199333503"/>
      <w:r>
        <w:rPr>
          <w:rFonts w:ascii="Calibri" w:eastAsia="宋体" w:hAnsi="Calibri" w:cs="Times New Roman" w:hint="eastAsia"/>
          <w:b/>
          <w:bCs/>
          <w:sz w:val="30"/>
          <w:szCs w:val="28"/>
        </w:rPr>
        <w:t>2.4.3</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可靠性要求</w:t>
      </w:r>
      <w:bookmarkEnd w:id="92"/>
    </w:p>
    <w:p>
      <w:pPr>
        <w:numPr>
          <w:ilvl w:val="0"/>
          <w:numId w:val="21"/>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系统响应时间、实时绘图等前台程序的响应时间需要达到预设要求，且在高并发数条件下不出现性能下降情况。</w:t>
      </w:r>
    </w:p>
    <w:p>
      <w:pPr>
        <w:numPr>
          <w:ilvl w:val="0"/>
          <w:numId w:val="21"/>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（1）系统需要进行必要的测速测试，控制单个操作的响应时间在5秒以内。</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（2）进行高并发数下的压力测试，并形成高压情境下的系统运行效率评估。</w:t>
      </w:r>
    </w:p>
    <w:bookmarkEnd w:id="93"/>
    <w:p>
      <w:pPr>
        <w:keepNext/>
        <w:keepLines/>
        <w:spacing w:line="360" w:lineRule="auto"/>
        <w:outlineLvl w:val="4"/>
        <w:rPr>
          <w:rFonts w:ascii="Calibri" w:eastAsia="宋体" w:hAnsi="Calibri" w:cs="Times New Roman"/>
          <w:b/>
          <w:bCs/>
          <w:sz w:val="30"/>
          <w:szCs w:val="28"/>
        </w:rPr>
      </w:pPr>
      <w:bookmarkStart w:id="94" w:name="_Toc15849"/>
      <w:bookmarkStart w:id="95" w:name="_Toc196897067"/>
      <w:r>
        <w:rPr>
          <w:rFonts w:ascii="Calibri" w:eastAsia="宋体" w:hAnsi="Calibri" w:cs="Times New Roman" w:hint="eastAsia"/>
          <w:b/>
          <w:bCs/>
          <w:sz w:val="30"/>
          <w:szCs w:val="28"/>
        </w:rPr>
        <w:t>2.4.4</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安全性要求</w:t>
      </w:r>
      <w:bookmarkEnd w:id="94"/>
      <w:bookmarkEnd w:id="95"/>
    </w:p>
    <w:p>
      <w:pPr>
        <w:numPr>
          <w:ilvl w:val="0"/>
          <w:numId w:val="22"/>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必须考虑到数据安全，提供可信的授权管理服务，保护数据不被非法/越权访问和篡改。</w:t>
      </w:r>
    </w:p>
    <w:p>
      <w:pPr>
        <w:numPr>
          <w:ilvl w:val="0"/>
          <w:numId w:val="22"/>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（1）提供全流程的运行日志及安全管理功能，可追踪数据的历史使用情况。提供数据备份恢复策略、监测运维、数据故障处理等手段，实现对数据出现异常、崩溃性灾难时快速恢复能力，确保数据安全稳定。</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（2）满足气象信息化系统工程安全评估要求，软件代码中无中、高危漏洞。</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w:t>
      </w:r>
      <w:bookmarkStart w:id="96" w:name="_Hlk199333567"/>
      <w:r>
        <w:rPr>
          <w:rFonts w:ascii="Calibri" w:eastAsia="宋体" w:hAnsi="Calibri" w:cs="Times New Roman" w:hint="eastAsia"/>
          <w:sz w:val="24"/>
        </w:rPr>
        <w:t>面对威胁数据安全情景设置快速响应机制，及时对恶意访问IP进行封禁处理并完成漏洞修复，并进行日志记录。</w:t>
      </w:r>
      <w:bookmarkEnd w:id="96"/>
    </w:p>
    <w:p>
      <w:pPr>
        <w:keepNext/>
        <w:keepLines/>
        <w:spacing w:line="360" w:lineRule="auto"/>
        <w:outlineLvl w:val="4"/>
        <w:rPr>
          <w:rFonts w:ascii="Calibri" w:eastAsia="宋体" w:hAnsi="Calibri" w:cs="Times New Roman"/>
          <w:b/>
          <w:bCs/>
          <w:sz w:val="30"/>
          <w:szCs w:val="28"/>
        </w:rPr>
      </w:pPr>
      <w:bookmarkStart w:id="97" w:name="_Toc13886"/>
      <w:bookmarkStart w:id="98" w:name="_Toc196897068"/>
      <w:r>
        <w:rPr>
          <w:rFonts w:ascii="Calibri" w:eastAsia="宋体" w:hAnsi="Calibri" w:cs="Times New Roman" w:hint="eastAsia"/>
          <w:b/>
          <w:bCs/>
          <w:sz w:val="30"/>
          <w:szCs w:val="28"/>
        </w:rPr>
        <w:t>2.4.5</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易用性要求</w:t>
      </w:r>
      <w:bookmarkEnd w:id="97"/>
      <w:bookmarkEnd w:id="98"/>
    </w:p>
    <w:p>
      <w:pPr>
        <w:numPr>
          <w:ilvl w:val="0"/>
          <w:numId w:val="23"/>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系统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numPr>
          <w:ilvl w:val="0"/>
          <w:numId w:val="23"/>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（2）用户手册准确无误、易读易懂，能够帮助一般用户很快地了解和使用系统。</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（3）操作界面是图形化的，且具有菜单和快捷键等多种方式；操作命令或菜单选择是可导引的，即可引导用户输入正确、完整的命令或完成正确的菜单选择。</w:t>
      </w:r>
    </w:p>
    <w:p>
      <w:pPr>
        <w:keepNext/>
        <w:keepLines/>
        <w:spacing w:line="360" w:lineRule="auto"/>
        <w:outlineLvl w:val="4"/>
        <w:rPr>
          <w:rFonts w:ascii="Calibri" w:eastAsia="宋体" w:hAnsi="Calibri" w:cs="Times New Roman"/>
          <w:b/>
          <w:bCs/>
          <w:sz w:val="30"/>
          <w:szCs w:val="28"/>
        </w:rPr>
      </w:pPr>
      <w:bookmarkStart w:id="99" w:name="_Toc196897069"/>
      <w:bookmarkStart w:id="100" w:name="_Toc15152"/>
      <w:r>
        <w:rPr>
          <w:rFonts w:ascii="Calibri" w:eastAsia="宋体" w:hAnsi="Calibri" w:cs="Times New Roman" w:hint="eastAsia"/>
          <w:b/>
          <w:bCs/>
          <w:sz w:val="30"/>
          <w:szCs w:val="28"/>
        </w:rPr>
        <w:t>2.4.6</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维护性要求</w:t>
      </w:r>
      <w:bookmarkEnd w:id="99"/>
      <w:bookmarkEnd w:id="100"/>
    </w:p>
    <w:p>
      <w:pPr>
        <w:numPr>
          <w:ilvl w:val="0"/>
          <w:numId w:val="24"/>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pPr>
        <w:numPr>
          <w:ilvl w:val="0"/>
          <w:numId w:val="24"/>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易分析性：所有应用软件能够捕获到的计算机系统故障或应用软件错误都应在尽可能低的级别上探查和捕获并以适当的形式记录或向操作员发送错误状态与报告；错误状态和报告（或消息）应是统一编码、结构化和自描述的。即从错误状态码和错误消息正文串即可判断软件捕获到的错误的位置、类型和可能的原因；错误报告（或消息）对于可预知（即可与程序的控制流程同步捕获到）的错误应能定位到独立的处理步骤或函数，不可预知（即不可与程序的控制流程同步捕获到）的错误应能定位到模块或进程。</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易改变性：处理软件的任务及其任务环境参数可从外部配置和修改，并可从数据库中自动生成；公用接口（包括错误状态码、常数等）结构应统一说明，所有对这些接口说明的引用都应当指向同一个说明实体。</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（3）稳定性：软件模块整体上应是结构化、层次化和功能单一的；软件模块的处理和接口应是封装的。即处理的改变仅影响其所在的模块，接口的改变仅影响使用该接口的模块。</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（4）易测试性：软件接口是标准化的；测试程序有测试模拟和工具软件支持，可自动或半自动执行；测试程序是可固化和可重复的。</w:t>
      </w:r>
    </w:p>
    <w:p>
      <w:pPr>
        <w:keepNext/>
        <w:keepLines/>
        <w:spacing w:line="360" w:lineRule="auto"/>
        <w:outlineLvl w:val="4"/>
        <w:rPr>
          <w:rFonts w:ascii="Calibri" w:eastAsia="宋体" w:hAnsi="Calibri" w:cs="Times New Roman"/>
          <w:b/>
          <w:bCs/>
          <w:sz w:val="30"/>
          <w:szCs w:val="28"/>
        </w:rPr>
      </w:pPr>
      <w:bookmarkStart w:id="101" w:name="_Toc196897070"/>
      <w:bookmarkStart w:id="102" w:name="_Toc20861"/>
      <w:r>
        <w:rPr>
          <w:rFonts w:ascii="Calibri" w:eastAsia="宋体" w:hAnsi="Calibri" w:cs="Times New Roman" w:hint="eastAsia"/>
          <w:b/>
          <w:bCs/>
          <w:sz w:val="30"/>
          <w:szCs w:val="28"/>
        </w:rPr>
        <w:t>2.4.7</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可移植性要求</w:t>
      </w:r>
      <w:bookmarkEnd w:id="101"/>
      <w:bookmarkEnd w:id="102"/>
    </w:p>
    <w:p>
      <w:pPr>
        <w:numPr>
          <w:ilvl w:val="0"/>
          <w:numId w:val="25"/>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本系统需要是可配置的结构，以适应不同环境下的部署、安装和升级。</w:t>
      </w:r>
    </w:p>
    <w:p>
      <w:pPr>
        <w:numPr>
          <w:ilvl w:val="0"/>
          <w:numId w:val="25"/>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（1）适应性标准：功能、模块也是外部可配置的，以适应不同的应用环境。</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（2）易安装性标准：通过简单配置实现软件的安装和升级过程。</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（3）易替换性标准：软件单元（计算机软部件设计中确定的能单独测试的一部分软件）是静态可替换的；关键进程是动态可替换的。</w:t>
      </w:r>
    </w:p>
    <w:p>
      <w:pPr>
        <w:keepNext/>
        <w:keepLines/>
        <w:spacing w:line="360" w:lineRule="auto"/>
        <w:outlineLvl w:val="4"/>
        <w:rPr>
          <w:rFonts w:ascii="Calibri" w:eastAsia="宋体" w:hAnsi="Calibri" w:cs="Times New Roman"/>
          <w:b/>
          <w:bCs/>
          <w:sz w:val="30"/>
          <w:szCs w:val="28"/>
        </w:rPr>
      </w:pPr>
      <w:bookmarkStart w:id="103" w:name="_Toc4700"/>
      <w:bookmarkStart w:id="104" w:name="_Toc196897071"/>
      <w:r>
        <w:rPr>
          <w:rFonts w:ascii="Calibri" w:eastAsia="宋体" w:hAnsi="Calibri" w:cs="Times New Roman" w:hint="eastAsia"/>
          <w:b/>
          <w:bCs/>
          <w:sz w:val="30"/>
          <w:szCs w:val="28"/>
        </w:rPr>
        <w:t>2.4.8</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可扩展性要求</w:t>
      </w:r>
      <w:bookmarkEnd w:id="103"/>
      <w:bookmarkEnd w:id="104"/>
    </w:p>
    <w:p>
      <w:pPr>
        <w:numPr>
          <w:ilvl w:val="0"/>
          <w:numId w:val="26"/>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本系统应具有较好的可扩展性，为系统的进一步扩充和改造提供方便。</w:t>
      </w:r>
    </w:p>
    <w:p>
      <w:pPr>
        <w:numPr>
          <w:ilvl w:val="0"/>
          <w:numId w:val="26"/>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pPr>
        <w:keepNext/>
        <w:keepLines/>
        <w:spacing w:line="360" w:lineRule="auto"/>
        <w:outlineLvl w:val="4"/>
        <w:rPr>
          <w:rFonts w:ascii="Calibri" w:eastAsia="宋体" w:hAnsi="Calibri" w:cs="Times New Roman"/>
          <w:b/>
          <w:bCs/>
          <w:sz w:val="30"/>
          <w:szCs w:val="28"/>
        </w:rPr>
      </w:pPr>
      <w:bookmarkStart w:id="105" w:name="_Toc10970"/>
      <w:bookmarkStart w:id="106" w:name="_Hlk199333610"/>
      <w:r>
        <w:rPr>
          <w:rFonts w:ascii="Calibri" w:eastAsia="宋体" w:hAnsi="Calibri" w:cs="Times New Roman" w:hint="eastAsia"/>
          <w:b/>
          <w:bCs/>
          <w:sz w:val="30"/>
          <w:szCs w:val="28"/>
        </w:rPr>
        <w:t>2.4.9</w:t>
      </w:r>
      <w:r>
        <w:rPr>
          <w:rFonts w:ascii="Calibri" w:eastAsia="宋体" w:hAnsi="Calibri" w:cs="Times New Roman"/>
          <w:b/>
          <w:bCs/>
          <w:sz w:val="30"/>
          <w:szCs w:val="28"/>
        </w:rPr>
        <w:t xml:space="preserve"> </w:t>
      </w:r>
      <w:r>
        <w:rPr>
          <w:rFonts w:ascii="Calibri" w:eastAsia="宋体" w:hAnsi="Calibri" w:cs="Times New Roman" w:hint="eastAsia"/>
          <w:b/>
          <w:bCs/>
          <w:sz w:val="30"/>
          <w:szCs w:val="28"/>
        </w:rPr>
        <w:t>国产适配性要求</w:t>
      </w:r>
      <w:bookmarkEnd w:id="105"/>
    </w:p>
    <w:p>
      <w:pPr>
        <w:numPr>
          <w:ilvl w:val="0"/>
          <w:numId w:val="27"/>
        </w:numPr>
        <w:spacing w:line="360" w:lineRule="auto"/>
        <w:ind w:firstLine="315"/>
        <w:rPr>
          <w:rFonts w:ascii="Calibri" w:eastAsia="宋体" w:hAnsi="Calibri" w:cs="Times New Roman"/>
          <w:b/>
        </w:rPr>
      </w:pPr>
      <w:r>
        <w:rPr>
          <w:rFonts w:ascii="Calibri" w:eastAsia="宋体" w:hAnsi="Calibri" w:cs="Times New Roman" w:hint="eastAsia"/>
          <w:b/>
          <w:sz w:val="24"/>
        </w:rPr>
        <w:t>概述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本系统应具备国产适配能力，应对未来国产化趋势。</w:t>
      </w:r>
    </w:p>
    <w:p>
      <w:pPr>
        <w:numPr>
          <w:ilvl w:val="0"/>
          <w:numId w:val="27"/>
        </w:numPr>
        <w:spacing w:line="360" w:lineRule="auto"/>
        <w:ind w:firstLine="315"/>
        <w:rPr>
          <w:rFonts w:ascii="Calibri" w:eastAsia="宋体" w:hAnsi="Calibri" w:cs="Times New Roman"/>
          <w:b/>
        </w:rPr>
      </w:pPr>
      <w:r>
        <w:rPr>
          <w:rFonts w:ascii="Calibri" w:eastAsia="宋体" w:hAnsi="Calibri" w:cs="Times New Roman" w:hint="eastAsia"/>
          <w:b/>
          <w:sz w:val="24"/>
        </w:rPr>
        <w:t>功能要求</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本期项目建设要兼顾后续的系统国产化进程。当服务器或者其他硬件组件替换为国产化产品后，不应出现系统反应速度大幅下降、系统崩溃等重大事故。</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为此，系统需要在国产化软硬件环境下进行充分的性能测试，并提供针对国产化环境的详细技术支持服务、配置手册、安装指南等，快速响应国产化过程中出现的用户问题。</w:t>
      </w:r>
    </w:p>
    <w:bookmarkEnd w:id="106"/>
    <w:p>
      <w:pPr>
        <w:keepNext/>
        <w:keepLines/>
        <w:outlineLvl w:val="2"/>
        <w:rPr>
          <w:rFonts w:ascii="Calibri" w:eastAsia="黑体" w:hAnsi="Calibri" w:cs="Times New Roman"/>
          <w:b/>
          <w:bCs/>
          <w:sz w:val="32"/>
          <w:szCs w:val="32"/>
        </w:rPr>
      </w:pPr>
      <w:bookmarkStart w:id="107" w:name="_Toc196897072"/>
      <w:bookmarkStart w:id="108" w:name="_Toc23743"/>
      <w:r>
        <w:rPr>
          <w:rFonts w:ascii="Calibri" w:eastAsia="黑体" w:hAnsi="Calibri" w:cs="Times New Roman" w:hint="eastAsia"/>
          <w:b/>
          <w:bCs/>
          <w:sz w:val="32"/>
          <w:szCs w:val="32"/>
        </w:rPr>
        <w:t>3.</w:t>
      </w:r>
      <w:r>
        <w:rPr>
          <w:rFonts w:ascii="Calibri" w:eastAsia="黑体" w:hAnsi="Calibri" w:cs="Times New Roman"/>
          <w:b/>
          <w:bCs/>
          <w:sz w:val="32"/>
          <w:szCs w:val="32"/>
        </w:rPr>
        <w:t xml:space="preserve"> 设计约束与要求</w:t>
      </w:r>
      <w:bookmarkEnd w:id="107"/>
      <w:bookmarkEnd w:id="108"/>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（1）所有资源建设，应来自于“天擎”大数据云平台资源池。</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（2）所有服务产品及元数据，应来自“天擎”气象大数据云平台存储。</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（3）采用成熟可靠的技术、遵循通用开放的标准，构建安全、可靠、实时、易用的服务平台；</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（4）B/S系统采用JAVAEE（J2EE）技术架构，系统界面采用浏览器方式；</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5）在技术实现上要满足系统后台运行环境支持Linux、Windows等主流操作系统，部署环境支持云平台；服务器、存储和虚拟化软件技术产品与现有云平台软硬件环境完全兼容、无缝整合、协同工作，不影响原有业务运行。</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（6）支持并兼容Chrome、Firefox等主流浏览器的最新版本。</w:t>
      </w:r>
    </w:p>
    <w:p>
      <w:pPr>
        <w:keepNext/>
        <w:keepLines/>
        <w:outlineLvl w:val="2"/>
        <w:rPr>
          <w:rFonts w:ascii="Calibri" w:eastAsia="黑体" w:hAnsi="Calibri" w:cs="Times New Roman"/>
          <w:b/>
          <w:bCs/>
          <w:sz w:val="32"/>
          <w:szCs w:val="32"/>
        </w:rPr>
      </w:pPr>
      <w:bookmarkStart w:id="109" w:name="_Toc196897073"/>
      <w:bookmarkStart w:id="110" w:name="_Toc28389"/>
      <w:bookmarkStart w:id="111" w:name="_Toc140468905"/>
      <w:bookmarkStart w:id="112" w:name="_Toc23530"/>
      <w:bookmarkStart w:id="113" w:name="_Toc140755621"/>
      <w:r>
        <w:rPr>
          <w:rFonts w:ascii="Calibri" w:eastAsia="黑体" w:hAnsi="Calibri" w:cs="Times New Roman" w:hint="eastAsia"/>
          <w:b/>
          <w:bCs/>
          <w:sz w:val="32"/>
          <w:szCs w:val="32"/>
        </w:rPr>
        <w:t>4.</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进度要求</w:t>
      </w:r>
      <w:bookmarkEnd w:id="109"/>
      <w:bookmarkEnd w:id="110"/>
      <w:bookmarkEnd w:id="111"/>
      <w:bookmarkEnd w:id="112"/>
      <w:bookmarkEnd w:id="113"/>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本项目</w:t>
      </w:r>
      <w:r>
        <w:rPr>
          <w:rFonts w:ascii="Calibri" w:eastAsia="宋体" w:hAnsi="Calibri" w:cs="Times New Roman"/>
          <w:sz w:val="24"/>
        </w:rPr>
        <w:t>要求完全按软件工程的方法和过程实施，其研制过程主要包括需求分析、概要设计、详细设计与编码调试、测试与系统集成</w:t>
      </w:r>
      <w:r>
        <w:rPr>
          <w:rFonts w:ascii="Calibri" w:eastAsia="宋体" w:hAnsi="Calibri" w:cs="Times New Roman" w:hint="eastAsia"/>
          <w:sz w:val="24"/>
        </w:rPr>
        <w:t>、试运行、系统验收六</w:t>
      </w:r>
      <w:r>
        <w:rPr>
          <w:rFonts w:ascii="Calibri" w:eastAsia="宋体" w:hAnsi="Calibri" w:cs="Times New Roman"/>
          <w:sz w:val="24"/>
        </w:rPr>
        <w:t>个阶段，</w:t>
      </w:r>
      <w:r>
        <w:rPr>
          <w:rFonts w:ascii="Calibri" w:eastAsia="宋体" w:hAnsi="Calibri" w:cs="Times New Roman" w:hint="eastAsia"/>
          <w:sz w:val="24"/>
        </w:rPr>
        <w:t>研制周期为12个月，</w:t>
      </w:r>
      <w:r>
        <w:rPr>
          <w:rFonts w:ascii="Calibri" w:eastAsia="宋体" w:hAnsi="Calibri" w:cs="Times New Roman"/>
          <w:sz w:val="24"/>
        </w:rPr>
        <w:t>下表给出了任务各阶段的进度要求：</w:t>
      </w:r>
    </w:p>
    <w:p>
      <w:pPr>
        <w:spacing w:line="360" w:lineRule="auto"/>
        <w:jc w:val="center"/>
        <w:rPr>
          <w:rFonts w:ascii="Calibri" w:eastAsia="宋体" w:hAnsi="Calibri" w:cs="Times New Roman"/>
        </w:rPr>
      </w:pPr>
      <w:r>
        <w:rPr>
          <w:rFonts w:ascii="Calibri" w:eastAsia="宋体" w:hAnsi="Calibri" w:cs="Times New Roman"/>
        </w:rPr>
        <w:t>表</w:t>
      </w: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1项目</w:t>
      </w:r>
      <w:r>
        <w:rPr>
          <w:rFonts w:ascii="宋体" w:eastAsia="宋体" w:hAnsi="宋体" w:cs="Times New Roman" w:hint="eastAsia"/>
        </w:rPr>
        <w:t>开发进度表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43"/>
        <w:gridCol w:w="1339"/>
        <w:gridCol w:w="491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64"/>
          <w:jc w:val="center"/>
        </w:trPr>
        <w:tc>
          <w:tcPr>
            <w:tcW w:w="1231" w:type="pct"/>
            <w:shd w:val="clear" w:color="auto" w:fill="D0CECE"/>
            <w:vAlign w:val="center"/>
          </w:tcPr>
          <w:p>
            <w:pPr>
              <w:snapToGrid w:val="0"/>
              <w:spacing w:line="360" w:lineRule="auto"/>
              <w:jc w:val="center"/>
              <w:rPr>
                <w:rFonts w:ascii="Calibri" w:eastAsia="宋体" w:hAnsi="Calibri" w:cs="Times New Roman"/>
                <w:b/>
                <w:szCs w:val="21"/>
              </w:rPr>
            </w:pPr>
            <w:r>
              <w:rPr>
                <w:rFonts w:ascii="Calibri" w:eastAsia="宋体" w:hAnsi="Calibri" w:cs="Times New Roman"/>
                <w:b/>
                <w:szCs w:val="21"/>
              </w:rPr>
              <w:t>软件研发过程</w:t>
            </w:r>
          </w:p>
        </w:tc>
        <w:tc>
          <w:tcPr>
            <w:tcW w:w="807" w:type="pct"/>
            <w:shd w:val="clear" w:color="auto" w:fill="D0CECE"/>
            <w:vAlign w:val="center"/>
          </w:tcPr>
          <w:p>
            <w:pPr>
              <w:snapToGrid w:val="0"/>
              <w:spacing w:line="360" w:lineRule="auto"/>
              <w:jc w:val="center"/>
              <w:rPr>
                <w:rFonts w:ascii="Calibri" w:eastAsia="宋体" w:hAnsi="Calibri" w:cs="Times New Roman"/>
                <w:b/>
                <w:szCs w:val="21"/>
              </w:rPr>
            </w:pPr>
            <w:r>
              <w:rPr>
                <w:rFonts w:ascii="Calibri" w:eastAsia="宋体" w:hAnsi="Calibri" w:cs="Times New Roman"/>
                <w:b/>
                <w:szCs w:val="21"/>
              </w:rPr>
              <w:t>进度要求</w:t>
            </w:r>
          </w:p>
        </w:tc>
        <w:tc>
          <w:tcPr>
            <w:tcW w:w="2961" w:type="pct"/>
            <w:shd w:val="clear" w:color="auto" w:fill="D0CECE"/>
            <w:vAlign w:val="center"/>
          </w:tcPr>
          <w:p>
            <w:pPr>
              <w:snapToGrid w:val="0"/>
              <w:spacing w:line="360" w:lineRule="auto"/>
              <w:jc w:val="center"/>
              <w:rPr>
                <w:rFonts w:ascii="Calibri" w:eastAsia="宋体" w:hAnsi="Calibri" w:cs="Times New Roman"/>
                <w:b/>
                <w:szCs w:val="21"/>
              </w:rPr>
            </w:pPr>
            <w:r>
              <w:rPr>
                <w:rFonts w:ascii="Calibri" w:eastAsia="宋体" w:hAnsi="Calibri" w:cs="Times New Roman"/>
                <w:b/>
                <w:szCs w:val="21"/>
              </w:rPr>
              <w:t>基本要求</w:t>
            </w:r>
          </w:p>
        </w:tc>
      </w:tr>
      <w:tr>
        <w:tblPrEx>
          <w:tblW w:w="5000" w:type="pct"/>
          <w:jc w:val="center"/>
          <w:tblCellMar>
            <w:top w:w="0" w:type="dxa"/>
            <w:left w:w="108" w:type="dxa"/>
            <w:bottom w:w="0" w:type="dxa"/>
            <w:right w:w="108" w:type="dxa"/>
          </w:tblCellMar>
        </w:tblPrEx>
        <w:trPr>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需求分析</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1</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完成任务书中</w:t>
            </w:r>
            <w:r>
              <w:rPr>
                <w:rFonts w:ascii="Calibri" w:eastAsia="宋体" w:hAnsi="Calibri" w:cs="Times New Roman"/>
                <w:szCs w:val="21"/>
              </w:rPr>
              <w:t>所有软件功能的分析</w:t>
            </w:r>
            <w:r>
              <w:rPr>
                <w:rFonts w:ascii="Calibri" w:eastAsia="宋体" w:hAnsi="Calibri" w:cs="Times New Roman" w:hint="eastAsia"/>
                <w:szCs w:val="21"/>
              </w:rPr>
              <w:t>，</w:t>
            </w:r>
            <w:r>
              <w:rPr>
                <w:rFonts w:ascii="Calibri" w:eastAsia="宋体" w:hAnsi="Calibri" w:cs="Times New Roman"/>
                <w:szCs w:val="21"/>
              </w:rPr>
              <w:t>提交软件需求阶段应提交的各类文档，通过</w:t>
            </w:r>
            <w:r>
              <w:rPr>
                <w:rFonts w:ascii="Calibri" w:eastAsia="宋体" w:hAnsi="Calibri" w:cs="Times New Roman" w:hint="eastAsia"/>
                <w:szCs w:val="21"/>
              </w:rPr>
              <w:t>甲方组织的评审</w:t>
            </w:r>
          </w:p>
        </w:tc>
      </w:tr>
      <w:tr>
        <w:tblPrEx>
          <w:tblW w:w="5000" w:type="pct"/>
          <w:jc w:val="center"/>
          <w:tblCellMar>
            <w:top w:w="0" w:type="dxa"/>
            <w:left w:w="108" w:type="dxa"/>
            <w:bottom w:w="0" w:type="dxa"/>
            <w:right w:w="108" w:type="dxa"/>
          </w:tblCellMar>
        </w:tblPrEx>
        <w:trPr>
          <w:trHeight w:val="1402"/>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概要设计</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1</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完成任务书中</w:t>
            </w:r>
            <w:r>
              <w:rPr>
                <w:rFonts w:ascii="Calibri" w:eastAsia="宋体" w:hAnsi="Calibri" w:cs="Times New Roman"/>
                <w:szCs w:val="21"/>
              </w:rPr>
              <w:t>所有软件功能的</w:t>
            </w:r>
            <w:r>
              <w:rPr>
                <w:rFonts w:ascii="Calibri" w:eastAsia="宋体" w:hAnsi="Calibri" w:cs="Times New Roman" w:hint="eastAsia"/>
                <w:szCs w:val="21"/>
              </w:rPr>
              <w:t>设计，</w:t>
            </w:r>
            <w:r>
              <w:rPr>
                <w:rFonts w:ascii="Calibri" w:eastAsia="宋体" w:hAnsi="Calibri" w:cs="Times New Roman"/>
                <w:szCs w:val="21"/>
              </w:rPr>
              <w:t>提交概要设计阶段应提交的各类文档，提供客户端原型设计，通过</w:t>
            </w:r>
            <w:r>
              <w:rPr>
                <w:rFonts w:ascii="Calibri" w:eastAsia="宋体" w:hAnsi="Calibri" w:cs="Times New Roman" w:hint="eastAsia"/>
                <w:szCs w:val="21"/>
              </w:rPr>
              <w:t>甲方组织的评审</w:t>
            </w:r>
          </w:p>
        </w:tc>
      </w:tr>
      <w:tr>
        <w:tblPrEx>
          <w:tblW w:w="5000" w:type="pct"/>
          <w:jc w:val="center"/>
          <w:tblCellMar>
            <w:top w:w="0" w:type="dxa"/>
            <w:left w:w="108" w:type="dxa"/>
            <w:bottom w:w="0" w:type="dxa"/>
            <w:right w:w="108" w:type="dxa"/>
          </w:tblCellMar>
        </w:tblPrEx>
        <w:trPr>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详细设计与编码调试</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7</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完成详细设计、程序编码、调试和单元测试</w:t>
            </w:r>
          </w:p>
        </w:tc>
      </w:tr>
      <w:tr>
        <w:tblPrEx>
          <w:tblW w:w="5000" w:type="pct"/>
          <w:jc w:val="center"/>
          <w:tblCellMar>
            <w:top w:w="0" w:type="dxa"/>
            <w:left w:w="108" w:type="dxa"/>
            <w:bottom w:w="0" w:type="dxa"/>
            <w:right w:w="108" w:type="dxa"/>
          </w:tblCellMar>
        </w:tblPrEx>
        <w:trPr>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系统测试部署</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1</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完成系统功能确认测试、</w:t>
            </w:r>
            <w:r>
              <w:rPr>
                <w:rFonts w:ascii="Calibri" w:eastAsia="宋体" w:hAnsi="Calibri" w:cs="Times New Roman" w:hint="eastAsia"/>
                <w:szCs w:val="21"/>
              </w:rPr>
              <w:t>运行环境配置、</w:t>
            </w:r>
            <w:r>
              <w:rPr>
                <w:rFonts w:ascii="Calibri" w:eastAsia="宋体" w:hAnsi="Calibri" w:cs="Times New Roman"/>
                <w:szCs w:val="21"/>
              </w:rPr>
              <w:t>系统应用集成</w:t>
            </w:r>
            <w:r>
              <w:rPr>
                <w:rFonts w:ascii="Calibri" w:eastAsia="宋体" w:hAnsi="Calibri" w:cs="Times New Roman" w:hint="eastAsia"/>
                <w:szCs w:val="21"/>
              </w:rPr>
              <w:t>与部署</w:t>
            </w:r>
          </w:p>
        </w:tc>
      </w:tr>
      <w:tr>
        <w:tblPrEx>
          <w:tblW w:w="5000" w:type="pct"/>
          <w:jc w:val="center"/>
          <w:tblCellMar>
            <w:top w:w="0" w:type="dxa"/>
            <w:left w:w="108" w:type="dxa"/>
            <w:bottom w:w="0" w:type="dxa"/>
            <w:right w:w="108" w:type="dxa"/>
          </w:tblCellMar>
        </w:tblPrEx>
        <w:trPr>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试运行</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1</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完成业务试运行</w:t>
            </w:r>
          </w:p>
        </w:tc>
      </w:tr>
      <w:tr>
        <w:tblPrEx>
          <w:tblW w:w="5000" w:type="pct"/>
          <w:jc w:val="center"/>
          <w:tblCellMar>
            <w:top w:w="0" w:type="dxa"/>
            <w:left w:w="108" w:type="dxa"/>
            <w:bottom w:w="0" w:type="dxa"/>
            <w:right w:w="108" w:type="dxa"/>
          </w:tblCellMar>
        </w:tblPrEx>
        <w:trPr>
          <w:jc w:val="center"/>
        </w:trPr>
        <w:tc>
          <w:tcPr>
            <w:tcW w:w="1231" w:type="pct"/>
            <w:vAlign w:val="center"/>
          </w:tcPr>
          <w:p>
            <w:pPr>
              <w:snapToGrid w:val="0"/>
              <w:spacing w:line="360" w:lineRule="auto"/>
              <w:rPr>
                <w:rFonts w:ascii="Calibri" w:eastAsia="宋体" w:hAnsi="Calibri" w:cs="Times New Roman"/>
                <w:szCs w:val="21"/>
              </w:rPr>
            </w:pPr>
            <w:r>
              <w:rPr>
                <w:rFonts w:ascii="Calibri" w:eastAsia="宋体" w:hAnsi="Calibri" w:cs="Times New Roman" w:hint="eastAsia"/>
                <w:szCs w:val="21"/>
              </w:rPr>
              <w:t>系统验收</w:t>
            </w:r>
          </w:p>
        </w:tc>
        <w:tc>
          <w:tcPr>
            <w:tcW w:w="807" w:type="pct"/>
            <w:vAlign w:val="center"/>
          </w:tcPr>
          <w:p>
            <w:pPr>
              <w:snapToGrid w:val="0"/>
              <w:spacing w:line="360" w:lineRule="auto"/>
              <w:jc w:val="center"/>
              <w:rPr>
                <w:rFonts w:ascii="Calibri" w:eastAsia="宋体" w:hAnsi="Calibri" w:cs="Times New Roman"/>
                <w:szCs w:val="21"/>
              </w:rPr>
            </w:pPr>
            <w:r>
              <w:rPr>
                <w:rFonts w:ascii="Calibri" w:eastAsia="宋体" w:hAnsi="Calibri" w:cs="Times New Roman" w:hint="eastAsia"/>
                <w:szCs w:val="21"/>
              </w:rPr>
              <w:t>1</w:t>
            </w:r>
          </w:p>
        </w:tc>
        <w:tc>
          <w:tcPr>
            <w:tcW w:w="2961" w:type="pct"/>
            <w:vAlign w:val="center"/>
          </w:tcPr>
          <w:p>
            <w:pPr>
              <w:snapToGrid w:val="0"/>
              <w:spacing w:line="360" w:lineRule="auto"/>
              <w:rPr>
                <w:rFonts w:ascii="Calibri" w:eastAsia="宋体" w:hAnsi="Calibri" w:cs="Times New Roman"/>
                <w:szCs w:val="21"/>
              </w:rPr>
            </w:pPr>
            <w:r>
              <w:rPr>
                <w:rFonts w:ascii="Calibri" w:eastAsia="宋体" w:hAnsi="Calibri" w:cs="Times New Roman"/>
                <w:szCs w:val="21"/>
              </w:rPr>
              <w:t>完成</w:t>
            </w:r>
            <w:r>
              <w:rPr>
                <w:rFonts w:ascii="Calibri" w:eastAsia="宋体" w:hAnsi="Calibri" w:cs="Times New Roman" w:hint="eastAsia"/>
                <w:szCs w:val="21"/>
              </w:rPr>
              <w:t>系统最终验收并移交</w:t>
            </w:r>
          </w:p>
        </w:tc>
      </w:tr>
    </w:tbl>
    <w:p>
      <w:pPr>
        <w:snapToGrid w:val="0"/>
        <w:spacing w:line="360" w:lineRule="auto"/>
        <w:ind w:firstLine="480"/>
        <w:rPr>
          <w:rFonts w:ascii="Calibri" w:eastAsia="宋体" w:hAnsi="Calibri" w:cs="Times New Roman"/>
        </w:rPr>
      </w:pPr>
    </w:p>
    <w:p>
      <w:pPr>
        <w:keepNext/>
        <w:keepLines/>
        <w:outlineLvl w:val="2"/>
        <w:rPr>
          <w:rFonts w:ascii="Calibri" w:eastAsia="黑体" w:hAnsi="Calibri" w:cs="Times New Roman"/>
          <w:b/>
          <w:bCs/>
          <w:sz w:val="32"/>
          <w:szCs w:val="32"/>
        </w:rPr>
      </w:pPr>
      <w:bookmarkStart w:id="114" w:name="_Toc140468906"/>
      <w:bookmarkStart w:id="115" w:name="_Toc16757"/>
      <w:bookmarkStart w:id="116" w:name="_Toc196897074"/>
      <w:bookmarkStart w:id="117" w:name="_Toc140755622"/>
      <w:bookmarkStart w:id="118" w:name="_Toc13087"/>
      <w:r>
        <w:rPr>
          <w:rFonts w:ascii="Calibri" w:eastAsia="黑体" w:hAnsi="Calibri" w:cs="Times New Roman" w:hint="eastAsia"/>
          <w:b/>
          <w:bCs/>
          <w:sz w:val="32"/>
          <w:szCs w:val="32"/>
        </w:rPr>
        <w:t>5.</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交付物要求</w:t>
      </w:r>
      <w:bookmarkEnd w:id="114"/>
      <w:bookmarkEnd w:id="115"/>
      <w:bookmarkEnd w:id="116"/>
      <w:bookmarkEnd w:id="117"/>
      <w:bookmarkEnd w:id="118"/>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（1）产品交付物</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1361"/>
        <w:gridCol w:w="6935"/>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jc w:val="center"/>
        </w:trPr>
        <w:tc>
          <w:tcPr>
            <w:tcW w:w="820" w:type="pct"/>
            <w:shd w:val="pct10" w:color="auto" w:fill="auto"/>
          </w:tcPr>
          <w:p>
            <w:pPr>
              <w:widowControl/>
              <w:spacing w:line="360" w:lineRule="auto"/>
              <w:jc w:val="center"/>
              <w:rPr>
                <w:rFonts w:ascii="宋体" w:eastAsia="宋体" w:hAnsi="宋体" w:cs="Times New Roman"/>
                <w:b/>
                <w:szCs w:val="21"/>
              </w:rPr>
            </w:pPr>
            <w:r>
              <w:rPr>
                <w:rFonts w:ascii="宋体" w:eastAsia="宋体" w:hAnsi="宋体" w:cs="Times New Roman" w:hint="eastAsia"/>
                <w:b/>
                <w:szCs w:val="21"/>
              </w:rPr>
              <w:t>序号</w:t>
            </w:r>
          </w:p>
        </w:tc>
        <w:tc>
          <w:tcPr>
            <w:tcW w:w="4180" w:type="pct"/>
            <w:shd w:val="pct10" w:color="auto" w:fill="auto"/>
          </w:tcPr>
          <w:p>
            <w:pPr>
              <w:widowControl/>
              <w:spacing w:line="360" w:lineRule="auto"/>
              <w:jc w:val="center"/>
              <w:rPr>
                <w:rFonts w:ascii="宋体" w:eastAsia="宋体" w:hAnsi="宋体" w:cs="Times New Roman"/>
                <w:b/>
                <w:szCs w:val="21"/>
              </w:rPr>
            </w:pPr>
            <w:r>
              <w:rPr>
                <w:rFonts w:ascii="宋体" w:eastAsia="宋体" w:hAnsi="宋体" w:cs="Times New Roman" w:hint="eastAsia"/>
                <w:b/>
                <w:szCs w:val="21"/>
              </w:rPr>
              <w:t>产品名称</w:t>
            </w:r>
          </w:p>
        </w:tc>
      </w:tr>
      <w:tr>
        <w:tblPrEx>
          <w:tblW w:w="5000" w:type="pct"/>
          <w:jc w:val="center"/>
          <w:tblCellMar>
            <w:top w:w="0" w:type="dxa"/>
            <w:left w:w="108" w:type="dxa"/>
            <w:bottom w:w="0" w:type="dxa"/>
            <w:right w:w="108" w:type="dxa"/>
          </w:tblCellMar>
        </w:tblPrEx>
        <w:trPr>
          <w:jc w:val="center"/>
        </w:trPr>
        <w:tc>
          <w:tcPr>
            <w:tcW w:w="820" w:type="pct"/>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1</w:t>
            </w:r>
          </w:p>
        </w:tc>
        <w:tc>
          <w:tcPr>
            <w:tcW w:w="418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应用软件安装包</w:t>
            </w:r>
          </w:p>
        </w:tc>
      </w:tr>
      <w:tr>
        <w:tblPrEx>
          <w:tblW w:w="5000" w:type="pct"/>
          <w:jc w:val="center"/>
          <w:tblCellMar>
            <w:top w:w="0" w:type="dxa"/>
            <w:left w:w="108" w:type="dxa"/>
            <w:bottom w:w="0" w:type="dxa"/>
            <w:right w:w="108" w:type="dxa"/>
          </w:tblCellMar>
        </w:tblPrEx>
        <w:trPr>
          <w:jc w:val="center"/>
        </w:trPr>
        <w:tc>
          <w:tcPr>
            <w:tcW w:w="820" w:type="pct"/>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2</w:t>
            </w:r>
          </w:p>
        </w:tc>
        <w:tc>
          <w:tcPr>
            <w:tcW w:w="418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源代码、工程文件及程序说明</w:t>
            </w:r>
          </w:p>
        </w:tc>
      </w:tr>
    </w:tbl>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（2）文档交付物</w:t>
      </w:r>
    </w:p>
    <w:p>
      <w:pPr>
        <w:tabs>
          <w:tab w:val="left" w:pos="900"/>
        </w:tabs>
        <w:spacing w:line="360" w:lineRule="auto"/>
        <w:ind w:firstLine="420" w:firstLineChars="200"/>
        <w:rPr>
          <w:rFonts w:ascii="Calibri" w:eastAsia="宋体" w:hAnsi="Calibri" w:cs="Times New Roman"/>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4264"/>
        <w:gridCol w:w="4032"/>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57"/>
          <w:jc w:val="center"/>
        </w:trPr>
        <w:tc>
          <w:tcPr>
            <w:tcW w:w="2570" w:type="pct"/>
            <w:shd w:val="pct10" w:color="auto" w:fill="auto"/>
            <w:vAlign w:val="center"/>
          </w:tcPr>
          <w:p>
            <w:pPr>
              <w:widowControl/>
              <w:spacing w:line="360" w:lineRule="auto"/>
              <w:jc w:val="center"/>
              <w:rPr>
                <w:rFonts w:ascii="宋体" w:eastAsia="宋体" w:hAnsi="宋体" w:cs="Times New Roman"/>
                <w:b/>
                <w:szCs w:val="21"/>
              </w:rPr>
            </w:pPr>
            <w:r>
              <w:rPr>
                <w:rFonts w:ascii="宋体" w:eastAsia="宋体" w:hAnsi="宋体" w:cs="Times New Roman" w:hint="eastAsia"/>
                <w:b/>
                <w:szCs w:val="21"/>
              </w:rPr>
              <w:t>工作内容</w:t>
            </w:r>
          </w:p>
        </w:tc>
        <w:tc>
          <w:tcPr>
            <w:tcW w:w="2430" w:type="pct"/>
            <w:shd w:val="pct10" w:color="auto" w:fill="auto"/>
            <w:vAlign w:val="center"/>
          </w:tcPr>
          <w:p>
            <w:pPr>
              <w:widowControl/>
              <w:spacing w:line="360" w:lineRule="auto"/>
              <w:jc w:val="center"/>
              <w:rPr>
                <w:rFonts w:ascii="宋体" w:eastAsia="宋体" w:hAnsi="宋体" w:cs="Times New Roman"/>
                <w:b/>
                <w:szCs w:val="21"/>
              </w:rPr>
            </w:pPr>
            <w:r>
              <w:rPr>
                <w:rFonts w:ascii="宋体" w:eastAsia="宋体" w:hAnsi="宋体" w:cs="Times New Roman" w:hint="eastAsia"/>
                <w:b/>
                <w:szCs w:val="21"/>
              </w:rPr>
              <w:t>技术/管理文档</w:t>
            </w:r>
          </w:p>
        </w:tc>
      </w:tr>
      <w:tr>
        <w:tblPrEx>
          <w:tblW w:w="5000" w:type="pct"/>
          <w:jc w:val="center"/>
          <w:tblCellMar>
            <w:top w:w="0" w:type="dxa"/>
            <w:left w:w="108" w:type="dxa"/>
            <w:bottom w:w="0" w:type="dxa"/>
            <w:right w:w="108" w:type="dxa"/>
          </w:tblCellMar>
        </w:tblPrEx>
        <w:trPr>
          <w:trHeight w:val="570"/>
          <w:jc w:val="center"/>
        </w:trPr>
        <w:tc>
          <w:tcPr>
            <w:tcW w:w="2570" w:type="pct"/>
            <w:vAlign w:val="center"/>
          </w:tcPr>
          <w:p>
            <w:pPr>
              <w:widowControl/>
              <w:spacing w:line="360" w:lineRule="auto"/>
              <w:jc w:val="center"/>
              <w:rPr>
                <w:rFonts w:ascii="宋体" w:eastAsia="宋体" w:hAnsi="宋体" w:cs="Times New Roman"/>
                <w:szCs w:val="21"/>
              </w:rPr>
            </w:pPr>
            <w:bookmarkStart w:id="119" w:name="_Hlk201066487"/>
            <w:r>
              <w:rPr>
                <w:rFonts w:ascii="宋体" w:eastAsia="宋体" w:hAnsi="宋体" w:cs="Times New Roman" w:hint="eastAsia"/>
                <w:szCs w:val="21"/>
              </w:rPr>
              <w:t>需求分析</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软件需求规格说明书</w:t>
            </w:r>
          </w:p>
        </w:tc>
      </w:tr>
      <w:tr>
        <w:tblPrEx>
          <w:tblW w:w="5000" w:type="pct"/>
          <w:jc w:val="center"/>
          <w:tblCellMar>
            <w:top w:w="0" w:type="dxa"/>
            <w:left w:w="108" w:type="dxa"/>
            <w:bottom w:w="0" w:type="dxa"/>
            <w:right w:w="108" w:type="dxa"/>
          </w:tblCellMar>
        </w:tblPrEx>
        <w:trPr>
          <w:trHeight w:val="557"/>
          <w:jc w:val="center"/>
        </w:trPr>
        <w:tc>
          <w:tcPr>
            <w:tcW w:w="2570" w:type="pct"/>
            <w:vAlign w:val="center"/>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设计和开发</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概要设计说明书</w:t>
            </w:r>
          </w:p>
        </w:tc>
      </w:tr>
      <w:tr>
        <w:tblPrEx>
          <w:tblW w:w="5000" w:type="pct"/>
          <w:jc w:val="center"/>
          <w:tblCellMar>
            <w:top w:w="0" w:type="dxa"/>
            <w:left w:w="108" w:type="dxa"/>
            <w:bottom w:w="0" w:type="dxa"/>
            <w:right w:w="108" w:type="dxa"/>
          </w:tblCellMar>
        </w:tblPrEx>
        <w:trPr>
          <w:trHeight w:val="557"/>
          <w:jc w:val="center"/>
        </w:trPr>
        <w:tc>
          <w:tcPr>
            <w:tcW w:w="2570" w:type="pct"/>
            <w:vMerge w:val="restart"/>
            <w:vAlign w:val="center"/>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测试</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软件系统测试方案</w:t>
            </w:r>
          </w:p>
        </w:tc>
      </w:tr>
      <w:tr>
        <w:tblPrEx>
          <w:tblW w:w="5000" w:type="pct"/>
          <w:jc w:val="center"/>
          <w:tblCellMar>
            <w:top w:w="0" w:type="dxa"/>
            <w:left w:w="108" w:type="dxa"/>
            <w:bottom w:w="0" w:type="dxa"/>
            <w:right w:w="108" w:type="dxa"/>
          </w:tblCellMar>
        </w:tblPrEx>
        <w:trPr>
          <w:trHeight w:val="129"/>
          <w:jc w:val="center"/>
        </w:trPr>
        <w:tc>
          <w:tcPr>
            <w:tcW w:w="2570" w:type="pct"/>
            <w:vMerge/>
            <w:vAlign w:val="center"/>
          </w:tcPr>
          <w:p>
            <w:pPr>
              <w:widowControl/>
              <w:spacing w:line="360" w:lineRule="auto"/>
              <w:jc w:val="center"/>
              <w:rPr>
                <w:rFonts w:ascii="宋体" w:eastAsia="宋体" w:hAnsi="宋体" w:cs="Times New Roman"/>
                <w:szCs w:val="21"/>
              </w:rPr>
            </w:pP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软件系统测试报告</w:t>
            </w:r>
          </w:p>
        </w:tc>
      </w:tr>
      <w:tr>
        <w:tblPrEx>
          <w:tblW w:w="5000" w:type="pct"/>
          <w:jc w:val="center"/>
          <w:tblCellMar>
            <w:top w:w="0" w:type="dxa"/>
            <w:left w:w="108" w:type="dxa"/>
            <w:bottom w:w="0" w:type="dxa"/>
            <w:right w:w="108" w:type="dxa"/>
          </w:tblCellMar>
        </w:tblPrEx>
        <w:trPr>
          <w:trHeight w:val="570"/>
          <w:jc w:val="center"/>
        </w:trPr>
        <w:tc>
          <w:tcPr>
            <w:tcW w:w="2570" w:type="pct"/>
            <w:vMerge w:val="restart"/>
            <w:vAlign w:val="center"/>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试运行</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用户手册</w:t>
            </w:r>
          </w:p>
        </w:tc>
      </w:tr>
      <w:tr>
        <w:tblPrEx>
          <w:tblW w:w="5000" w:type="pct"/>
          <w:jc w:val="center"/>
          <w:tblCellMar>
            <w:top w:w="0" w:type="dxa"/>
            <w:left w:w="108" w:type="dxa"/>
            <w:bottom w:w="0" w:type="dxa"/>
            <w:right w:w="108" w:type="dxa"/>
          </w:tblCellMar>
        </w:tblPrEx>
        <w:trPr>
          <w:trHeight w:val="129"/>
          <w:jc w:val="center"/>
        </w:trPr>
        <w:tc>
          <w:tcPr>
            <w:tcW w:w="2570" w:type="pct"/>
            <w:vMerge/>
            <w:vAlign w:val="center"/>
          </w:tcPr>
          <w:p>
            <w:pPr>
              <w:widowControl/>
              <w:spacing w:line="360" w:lineRule="auto"/>
              <w:jc w:val="center"/>
              <w:rPr>
                <w:rFonts w:ascii="宋体" w:eastAsia="宋体" w:hAnsi="宋体" w:cs="Times New Roman"/>
                <w:szCs w:val="21"/>
              </w:rPr>
            </w:pP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软件程序及模块清单</w:t>
            </w:r>
          </w:p>
        </w:tc>
      </w:tr>
      <w:tr>
        <w:tblPrEx>
          <w:tblW w:w="5000" w:type="pct"/>
          <w:jc w:val="center"/>
          <w:tblCellMar>
            <w:top w:w="0" w:type="dxa"/>
            <w:left w:w="108" w:type="dxa"/>
            <w:bottom w:w="0" w:type="dxa"/>
            <w:right w:w="108" w:type="dxa"/>
          </w:tblCellMar>
        </w:tblPrEx>
        <w:trPr>
          <w:trHeight w:val="129"/>
          <w:jc w:val="center"/>
        </w:trPr>
        <w:tc>
          <w:tcPr>
            <w:tcW w:w="2570" w:type="pct"/>
            <w:vMerge/>
            <w:vAlign w:val="center"/>
          </w:tcPr>
          <w:p>
            <w:pPr>
              <w:widowControl/>
              <w:spacing w:line="360" w:lineRule="auto"/>
              <w:jc w:val="center"/>
              <w:rPr>
                <w:rFonts w:ascii="宋体" w:eastAsia="宋体" w:hAnsi="宋体" w:cs="Times New Roman"/>
                <w:szCs w:val="21"/>
              </w:rPr>
            </w:pP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试运行报告</w:t>
            </w:r>
          </w:p>
        </w:tc>
      </w:tr>
      <w:tr>
        <w:tblPrEx>
          <w:tblW w:w="5000" w:type="pct"/>
          <w:jc w:val="center"/>
          <w:tblCellMar>
            <w:top w:w="0" w:type="dxa"/>
            <w:left w:w="108" w:type="dxa"/>
            <w:bottom w:w="0" w:type="dxa"/>
            <w:right w:w="108" w:type="dxa"/>
          </w:tblCellMar>
        </w:tblPrEx>
        <w:trPr>
          <w:trHeight w:val="557"/>
          <w:jc w:val="center"/>
        </w:trPr>
        <w:tc>
          <w:tcPr>
            <w:tcW w:w="2570" w:type="pct"/>
            <w:vAlign w:val="center"/>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培训</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培训教程</w:t>
            </w:r>
          </w:p>
        </w:tc>
      </w:tr>
      <w:tr>
        <w:tblPrEx>
          <w:tblW w:w="5000" w:type="pct"/>
          <w:jc w:val="center"/>
          <w:tblCellMar>
            <w:top w:w="0" w:type="dxa"/>
            <w:left w:w="108" w:type="dxa"/>
            <w:bottom w:w="0" w:type="dxa"/>
            <w:right w:w="108" w:type="dxa"/>
          </w:tblCellMar>
        </w:tblPrEx>
        <w:trPr>
          <w:trHeight w:val="570"/>
          <w:jc w:val="center"/>
        </w:trPr>
        <w:tc>
          <w:tcPr>
            <w:tcW w:w="2570" w:type="pct"/>
            <w:vAlign w:val="center"/>
          </w:tcPr>
          <w:p>
            <w:pPr>
              <w:widowControl/>
              <w:spacing w:line="360" w:lineRule="auto"/>
              <w:jc w:val="center"/>
              <w:rPr>
                <w:rFonts w:ascii="宋体" w:eastAsia="宋体" w:hAnsi="宋体" w:cs="Times New Roman"/>
                <w:szCs w:val="21"/>
              </w:rPr>
            </w:pPr>
            <w:r>
              <w:rPr>
                <w:rFonts w:ascii="宋体" w:eastAsia="宋体" w:hAnsi="宋体" w:cs="Times New Roman" w:hint="eastAsia"/>
                <w:szCs w:val="21"/>
              </w:rPr>
              <w:t>验收</w:t>
            </w:r>
          </w:p>
        </w:tc>
        <w:tc>
          <w:tcPr>
            <w:tcW w:w="2430" w:type="pct"/>
          </w:tcPr>
          <w:p>
            <w:pPr>
              <w:widowControl/>
              <w:spacing w:line="360" w:lineRule="auto"/>
              <w:jc w:val="left"/>
              <w:rPr>
                <w:rFonts w:ascii="宋体" w:eastAsia="宋体" w:hAnsi="宋体" w:cs="Times New Roman"/>
                <w:szCs w:val="21"/>
              </w:rPr>
            </w:pPr>
            <w:r>
              <w:rPr>
                <w:rFonts w:ascii="宋体" w:eastAsia="宋体" w:hAnsi="宋体" w:cs="Times New Roman" w:hint="eastAsia"/>
                <w:szCs w:val="21"/>
              </w:rPr>
              <w:t>工作报告</w:t>
            </w:r>
          </w:p>
          <w:p>
            <w:pPr>
              <w:widowControl/>
              <w:spacing w:line="360" w:lineRule="auto"/>
              <w:jc w:val="left"/>
              <w:rPr>
                <w:rFonts w:ascii="宋体" w:eastAsia="宋体" w:hAnsi="宋体" w:cs="Times New Roman"/>
                <w:szCs w:val="21"/>
              </w:rPr>
            </w:pPr>
            <w:r>
              <w:rPr>
                <w:rFonts w:ascii="宋体" w:eastAsia="宋体" w:hAnsi="宋体" w:cs="Times New Roman" w:hint="eastAsia"/>
                <w:szCs w:val="21"/>
              </w:rPr>
              <w:t>技术报告</w:t>
            </w:r>
          </w:p>
          <w:p>
            <w:pPr>
              <w:widowControl/>
              <w:spacing w:line="360" w:lineRule="auto"/>
              <w:jc w:val="left"/>
              <w:rPr>
                <w:rFonts w:ascii="宋体" w:eastAsia="宋体" w:hAnsi="宋体" w:cs="Times New Roman"/>
                <w:szCs w:val="21"/>
              </w:rPr>
            </w:pPr>
            <w:r>
              <w:rPr>
                <w:rFonts w:ascii="宋体" w:eastAsia="宋体" w:hAnsi="宋体" w:cs="Times New Roman" w:hint="eastAsia"/>
                <w:szCs w:val="21"/>
              </w:rPr>
              <w:t>验收申请</w:t>
            </w:r>
          </w:p>
        </w:tc>
      </w:tr>
      <w:bookmarkEnd w:id="119"/>
    </w:tbl>
    <w:p>
      <w:pPr>
        <w:keepNext/>
        <w:keepLines/>
        <w:outlineLvl w:val="2"/>
        <w:rPr>
          <w:rFonts w:ascii="Calibri" w:eastAsia="黑体" w:hAnsi="Calibri" w:cs="Times New Roman"/>
          <w:b/>
          <w:bCs/>
          <w:sz w:val="32"/>
          <w:szCs w:val="32"/>
        </w:rPr>
      </w:pPr>
      <w:bookmarkStart w:id="120" w:name="_Toc140755623"/>
      <w:bookmarkStart w:id="121" w:name="_Toc30304"/>
      <w:bookmarkStart w:id="122" w:name="_Toc196897075"/>
      <w:bookmarkStart w:id="123" w:name="_Toc140468907"/>
      <w:bookmarkStart w:id="124" w:name="_Toc24544"/>
      <w:r>
        <w:rPr>
          <w:rFonts w:ascii="Calibri" w:eastAsia="黑体" w:hAnsi="Calibri" w:cs="Times New Roman" w:hint="eastAsia"/>
          <w:b/>
          <w:bCs/>
          <w:sz w:val="32"/>
          <w:szCs w:val="32"/>
        </w:rPr>
        <w:t>6.</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项目组织与管理要求</w:t>
      </w:r>
      <w:bookmarkEnd w:id="120"/>
      <w:bookmarkEnd w:id="121"/>
      <w:bookmarkEnd w:id="122"/>
      <w:bookmarkEnd w:id="123"/>
      <w:bookmarkEnd w:id="124"/>
    </w:p>
    <w:p>
      <w:pPr>
        <w:keepNext/>
        <w:keepLines/>
        <w:spacing w:line="360" w:lineRule="auto"/>
        <w:outlineLvl w:val="3"/>
        <w:rPr>
          <w:rFonts w:ascii="等线 Light" w:eastAsia="宋体" w:hAnsi="等线 Light" w:cs="Times New Roman"/>
          <w:b/>
          <w:bCs/>
          <w:sz w:val="30"/>
          <w:szCs w:val="28"/>
        </w:rPr>
      </w:pPr>
      <w:bookmarkStart w:id="125" w:name="_Toc25583"/>
      <w:bookmarkStart w:id="126" w:name="_Toc140468908"/>
      <w:bookmarkStart w:id="127" w:name="_Toc28932"/>
      <w:bookmarkStart w:id="128" w:name="_Toc140755624"/>
      <w:bookmarkStart w:id="129" w:name="_Toc196897076"/>
      <w:r>
        <w:rPr>
          <w:rFonts w:ascii="等线 Light" w:eastAsia="宋体" w:hAnsi="等线 Light" w:cs="Times New Roman" w:hint="eastAsia"/>
          <w:b/>
          <w:bCs/>
          <w:sz w:val="30"/>
          <w:szCs w:val="28"/>
        </w:rPr>
        <w:t>6.1</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编制软件开发实施进度计划并组织实施</w:t>
      </w:r>
      <w:bookmarkEnd w:id="125"/>
      <w:bookmarkEnd w:id="126"/>
      <w:bookmarkEnd w:id="127"/>
      <w:bookmarkEnd w:id="128"/>
      <w:bookmarkEnd w:id="129"/>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提供软件开发实施计划。</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每周向甲方提供工作实施进展情况，并提出相关建议。</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解决软件开发实施过程中出现的各种技术问题。</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协助甲方处理实施过程中出现的质量事故。</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计划周密，当项目建设过程中出现变化时，要能及时做出调整。</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要有规范的进度管理机制。</w:t>
      </w:r>
    </w:p>
    <w:p>
      <w:pPr>
        <w:keepNext/>
        <w:keepLines/>
        <w:spacing w:line="360" w:lineRule="auto"/>
        <w:outlineLvl w:val="3"/>
        <w:rPr>
          <w:rFonts w:ascii="等线 Light" w:eastAsia="宋体" w:hAnsi="等线 Light" w:cs="Times New Roman"/>
          <w:b/>
          <w:bCs/>
          <w:sz w:val="30"/>
          <w:szCs w:val="28"/>
        </w:rPr>
      </w:pPr>
      <w:bookmarkStart w:id="130" w:name="_Toc11342"/>
      <w:bookmarkStart w:id="131" w:name="_Toc140468909"/>
      <w:bookmarkStart w:id="132" w:name="_Toc196897077"/>
      <w:bookmarkStart w:id="133" w:name="_Toc32638"/>
      <w:bookmarkStart w:id="134" w:name="_Toc140755625"/>
      <w:r>
        <w:rPr>
          <w:rFonts w:ascii="等线 Light" w:eastAsia="宋体" w:hAnsi="等线 Light" w:cs="Times New Roman" w:hint="eastAsia"/>
          <w:b/>
          <w:bCs/>
          <w:sz w:val="30"/>
          <w:szCs w:val="28"/>
        </w:rPr>
        <w:t>6.2</w:t>
      </w:r>
      <w:r>
        <w:rPr>
          <w:rFonts w:ascii="等线 Light" w:eastAsia="宋体" w:hAnsi="等线 Light" w:cs="Times New Roman"/>
          <w:b/>
          <w:bCs/>
          <w:sz w:val="30"/>
          <w:szCs w:val="28"/>
        </w:rPr>
        <w:t xml:space="preserve"> </w:t>
      </w:r>
      <w:r>
        <w:rPr>
          <w:rFonts w:ascii="等线 Light" w:eastAsia="宋体" w:hAnsi="等线 Light" w:cs="Times New Roman" w:hint="eastAsia"/>
          <w:b/>
          <w:bCs/>
          <w:sz w:val="30"/>
          <w:szCs w:val="28"/>
        </w:rPr>
        <w:t>进行项目开发的日常组织、管理、协调</w:t>
      </w:r>
      <w:bookmarkEnd w:id="130"/>
      <w:bookmarkEnd w:id="131"/>
      <w:bookmarkEnd w:id="132"/>
      <w:bookmarkEnd w:id="133"/>
      <w:bookmarkEnd w:id="134"/>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参加甲方组织与项目建设有关的各类会议。</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要遵循相应的项目管理规范，并有相应的项目管理文档。</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对项目建设任务中出现的调整，要及时做出安排，并尊重甲方的安排。</w:t>
      </w:r>
    </w:p>
    <w:p>
      <w:pPr>
        <w:keepNext/>
        <w:keepLines/>
        <w:outlineLvl w:val="2"/>
        <w:rPr>
          <w:rFonts w:ascii="Calibri" w:eastAsia="黑体" w:hAnsi="Calibri" w:cs="Times New Roman"/>
          <w:b/>
          <w:bCs/>
          <w:sz w:val="32"/>
          <w:szCs w:val="32"/>
        </w:rPr>
      </w:pPr>
      <w:bookmarkStart w:id="135" w:name="_Toc20349"/>
      <w:bookmarkStart w:id="136" w:name="_Toc140468910"/>
      <w:bookmarkStart w:id="137" w:name="_Toc196897078"/>
      <w:bookmarkStart w:id="138" w:name="_Toc140755626"/>
      <w:bookmarkStart w:id="139" w:name="_Toc9351"/>
      <w:r>
        <w:rPr>
          <w:rFonts w:ascii="Calibri" w:eastAsia="黑体" w:hAnsi="Calibri" w:cs="Times New Roman" w:hint="eastAsia"/>
          <w:b/>
          <w:bCs/>
          <w:sz w:val="32"/>
          <w:szCs w:val="32"/>
        </w:rPr>
        <w:t>7.</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项目的人员及组织机构要求</w:t>
      </w:r>
      <w:bookmarkEnd w:id="135"/>
      <w:bookmarkEnd w:id="136"/>
      <w:bookmarkEnd w:id="137"/>
      <w:bookmarkEnd w:id="138"/>
      <w:bookmarkEnd w:id="139"/>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乙方必须成立合理的组织机构，建立健全保障设计、开发工作顺利实施的各项管理制度和质量保证体系，安排好足够的高素质人才参加本项目工作。</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在组织机构中应明确各岗位的职责、任职资格及成果，确保项目顺利实施，应分别配备有项目经理、技术负责人承担本项目工作。</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乙方应确保服务于本项目的核心技术人员及主要开发人员稳定，团队人数不少于3人，未经甲方允许不得调整核心团队成员，甲方有权要求更换乙方项目团队成员。</w:t>
      </w:r>
    </w:p>
    <w:p>
      <w:pPr>
        <w:keepNext/>
        <w:keepLines/>
        <w:outlineLvl w:val="2"/>
        <w:rPr>
          <w:rFonts w:ascii="Calibri" w:eastAsia="黑体" w:hAnsi="Calibri" w:cs="Times New Roman"/>
          <w:b/>
          <w:bCs/>
          <w:sz w:val="32"/>
          <w:szCs w:val="32"/>
        </w:rPr>
      </w:pPr>
      <w:bookmarkStart w:id="140" w:name="_Toc140755627"/>
      <w:bookmarkStart w:id="141" w:name="_Toc8446"/>
      <w:bookmarkStart w:id="142" w:name="_Toc17211"/>
      <w:bookmarkStart w:id="143" w:name="_Toc137546234"/>
      <w:bookmarkStart w:id="144" w:name="_Toc196897079"/>
      <w:r>
        <w:rPr>
          <w:rFonts w:ascii="Calibri" w:eastAsia="黑体" w:hAnsi="Calibri" w:cs="Times New Roman" w:hint="eastAsia"/>
          <w:b/>
          <w:bCs/>
          <w:sz w:val="32"/>
          <w:szCs w:val="32"/>
        </w:rPr>
        <w:t>8.</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项目评审验收要求</w:t>
      </w:r>
      <w:bookmarkEnd w:id="140"/>
      <w:bookmarkEnd w:id="141"/>
      <w:bookmarkEnd w:id="142"/>
      <w:bookmarkEnd w:id="143"/>
      <w:bookmarkEnd w:id="144"/>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通过甲方组织的需求评审后形成项目评审验收方案，制订出一套明确的可操作性的评价指标，作为甲方评价开发工作的标准，用于本项目的评审和验收。</w:t>
      </w:r>
    </w:p>
    <w:p>
      <w:pPr>
        <w:keepNext/>
        <w:keepLines/>
        <w:outlineLvl w:val="2"/>
        <w:rPr>
          <w:rFonts w:ascii="Calibri" w:eastAsia="黑体" w:hAnsi="Calibri" w:cs="Times New Roman"/>
          <w:b/>
          <w:bCs/>
          <w:sz w:val="32"/>
          <w:szCs w:val="32"/>
        </w:rPr>
      </w:pPr>
      <w:bookmarkStart w:id="145" w:name="_Toc12502"/>
      <w:bookmarkStart w:id="146" w:name="_Toc31441"/>
      <w:bookmarkStart w:id="147" w:name="_Toc140755628"/>
      <w:bookmarkStart w:id="148" w:name="_Toc196897080"/>
      <w:bookmarkStart w:id="149" w:name="_Toc140468911"/>
      <w:r>
        <w:rPr>
          <w:rFonts w:ascii="Calibri" w:eastAsia="黑体" w:hAnsi="Calibri" w:cs="Times New Roman" w:hint="eastAsia"/>
          <w:b/>
          <w:bCs/>
          <w:sz w:val="32"/>
          <w:szCs w:val="32"/>
        </w:rPr>
        <w:t>9.</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培训要求</w:t>
      </w:r>
      <w:bookmarkEnd w:id="145"/>
      <w:bookmarkEnd w:id="146"/>
      <w:bookmarkEnd w:id="147"/>
      <w:bookmarkEnd w:id="148"/>
      <w:bookmarkEnd w:id="149"/>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（1）培训方式应包括现场培训和集中培训，并应在进行培训之前向甲方提交一份详细的培训计划。</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（2）乙方应以培训目标的实现为目的组织培训，确保每一位系统使用人员能够独立、熟练地完成操作，保证系统用户能够独立处理软件系统故障和进行简单的功能调整。</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（3）集中培训地点由甲方根据本项目实际情况确定，具体培训时间由甲方与乙方根据项目进展情况协商确定。</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（4）乙方负责为培训搭建所需的环境，并提供培训教材等相关用品。</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（5）乙方人承担培训产生的</w:t>
      </w:r>
      <w:r>
        <w:rPr>
          <w:rFonts w:ascii="Calibri" w:eastAsia="宋体" w:hAnsi="Calibri" w:cs="Times New Roman" w:hint="eastAsia"/>
          <w:sz w:val="24"/>
        </w:rPr>
        <w:t>费用。</w:t>
      </w:r>
    </w:p>
    <w:p>
      <w:pPr>
        <w:keepNext/>
        <w:keepLines/>
        <w:outlineLvl w:val="2"/>
        <w:rPr>
          <w:rFonts w:ascii="Calibri" w:eastAsia="黑体" w:hAnsi="Calibri" w:cs="Times New Roman"/>
          <w:b/>
          <w:bCs/>
          <w:sz w:val="32"/>
          <w:szCs w:val="32"/>
        </w:rPr>
      </w:pPr>
      <w:bookmarkStart w:id="150" w:name="_Toc196897081"/>
      <w:bookmarkStart w:id="151" w:name="_Toc23440"/>
      <w:bookmarkStart w:id="152" w:name="_Toc22984"/>
      <w:bookmarkStart w:id="153" w:name="_Toc140755629"/>
      <w:bookmarkStart w:id="154" w:name="_Toc140468912"/>
      <w:r>
        <w:rPr>
          <w:rFonts w:ascii="Calibri" w:eastAsia="黑体" w:hAnsi="Calibri" w:cs="Times New Roman" w:hint="eastAsia"/>
          <w:b/>
          <w:bCs/>
          <w:sz w:val="32"/>
          <w:szCs w:val="32"/>
        </w:rPr>
        <w:t>10.</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安全保密要求</w:t>
      </w:r>
      <w:bookmarkEnd w:id="150"/>
      <w:bookmarkEnd w:id="151"/>
      <w:bookmarkEnd w:id="152"/>
      <w:bookmarkEnd w:id="153"/>
      <w:bookmarkEnd w:id="154"/>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供项目建设使用，乙方在项目执行过程中如发生气象数据丢失、转让或交易等行为，甲方将根据合同和相关法规要求乙方赔偿并追究法律责任。</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乙方必须对项目技术文件以及由甲方提供的所有内部材料、技术文档和信息予以保密。乙方必须遵守与甲方签订的保密协议，未经甲方书面许可，乙方不得以任何形式向第三方透露本项目的任何内容。</w:t>
      </w:r>
    </w:p>
    <w:p>
      <w:pPr>
        <w:keepNext/>
        <w:keepLines/>
        <w:outlineLvl w:val="2"/>
        <w:rPr>
          <w:rFonts w:ascii="Calibri" w:eastAsia="黑体" w:hAnsi="Calibri" w:cs="Times New Roman"/>
          <w:b/>
          <w:bCs/>
          <w:sz w:val="32"/>
          <w:szCs w:val="32"/>
        </w:rPr>
      </w:pPr>
      <w:bookmarkStart w:id="155" w:name="_Toc23792"/>
      <w:bookmarkStart w:id="156" w:name="_Toc140468913"/>
      <w:bookmarkStart w:id="157" w:name="_Toc140755630"/>
      <w:bookmarkStart w:id="158" w:name="_Toc196897082"/>
      <w:bookmarkStart w:id="159" w:name="_Toc8957"/>
      <w:r>
        <w:rPr>
          <w:rFonts w:ascii="Calibri" w:eastAsia="黑体" w:hAnsi="Calibri" w:cs="Times New Roman" w:hint="eastAsia"/>
          <w:b/>
          <w:bCs/>
          <w:sz w:val="32"/>
          <w:szCs w:val="32"/>
        </w:rPr>
        <w:t>11.</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售后服务要求</w:t>
      </w:r>
      <w:bookmarkEnd w:id="155"/>
      <w:bookmarkEnd w:id="156"/>
      <w:bookmarkEnd w:id="157"/>
      <w:bookmarkEnd w:id="158"/>
      <w:bookmarkEnd w:id="159"/>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本项目要求乙方能够提供从系统终验之日起1年免费技术支持服务，期间需有免费驻场（主要技术人员至少1人），期间产生的费用有投标人承担。</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sz w:val="24"/>
        </w:rPr>
        <w:t>系统发生异常情况，在接到</w:t>
      </w:r>
      <w:r>
        <w:rPr>
          <w:rFonts w:ascii="Calibri" w:eastAsia="宋体" w:hAnsi="Calibri" w:cs="Times New Roman" w:hint="eastAsia"/>
          <w:sz w:val="24"/>
        </w:rPr>
        <w:t>甲方</w:t>
      </w:r>
      <w:r>
        <w:rPr>
          <w:rFonts w:ascii="Calibri" w:eastAsia="宋体" w:hAnsi="Calibri" w:cs="Times New Roman"/>
          <w:sz w:val="24"/>
        </w:rPr>
        <w:t>的通知后，</w:t>
      </w:r>
      <w:r>
        <w:rPr>
          <w:rFonts w:ascii="Calibri" w:eastAsia="宋体" w:hAnsi="Calibri" w:cs="Times New Roman" w:hint="eastAsia"/>
          <w:sz w:val="24"/>
        </w:rPr>
        <w:t>乙方</w:t>
      </w:r>
      <w:r>
        <w:rPr>
          <w:rFonts w:ascii="Calibri" w:eastAsia="宋体" w:hAnsi="Calibri" w:cs="Times New Roman"/>
          <w:sz w:val="24"/>
        </w:rPr>
        <w:t>技术人员应提供7*24小时的服务响应，</w:t>
      </w:r>
      <w:r>
        <w:rPr>
          <w:rFonts w:ascii="Calibri" w:eastAsia="宋体" w:hAnsi="Calibri" w:cs="Times New Roman" w:hint="eastAsia"/>
          <w:sz w:val="24"/>
        </w:rPr>
        <w:t>随时进行</w:t>
      </w:r>
      <w:r>
        <w:rPr>
          <w:rFonts w:ascii="Calibri" w:eastAsia="宋体" w:hAnsi="Calibri" w:cs="Times New Roman"/>
          <w:sz w:val="24"/>
        </w:rPr>
        <w:t>电话应答；</w:t>
      </w:r>
      <w:r>
        <w:rPr>
          <w:rFonts w:ascii="Calibri" w:eastAsia="宋体" w:hAnsi="Calibri" w:cs="Times New Roman" w:hint="eastAsia"/>
          <w:sz w:val="24"/>
        </w:rPr>
        <w:t>30分钟</w:t>
      </w:r>
      <w:r>
        <w:rPr>
          <w:rFonts w:ascii="Calibri" w:eastAsia="宋体" w:hAnsi="Calibri" w:cs="Times New Roman"/>
          <w:sz w:val="24"/>
        </w:rPr>
        <w:t>内完成远程登录诊断；在</w:t>
      </w:r>
      <w:r>
        <w:rPr>
          <w:rFonts w:ascii="Calibri" w:eastAsia="宋体" w:hAnsi="Calibri" w:cs="Times New Roman" w:hint="eastAsia"/>
          <w:sz w:val="24"/>
        </w:rPr>
        <w:t>1</w:t>
      </w:r>
      <w:r>
        <w:rPr>
          <w:rFonts w:ascii="Calibri" w:eastAsia="宋体" w:hAnsi="Calibri" w:cs="Times New Roman"/>
          <w:sz w:val="24"/>
        </w:rPr>
        <w:t>小时内到达现场解决疑难。</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质量</w:t>
      </w:r>
      <w:r>
        <w:rPr>
          <w:rFonts w:ascii="Calibri" w:eastAsia="宋体" w:hAnsi="Calibri" w:cs="Times New Roman"/>
          <w:sz w:val="24"/>
        </w:rPr>
        <w:t>保证期后，</w:t>
      </w:r>
      <w:r>
        <w:rPr>
          <w:rFonts w:ascii="Calibri" w:eastAsia="宋体" w:hAnsi="Calibri" w:cs="Times New Roman" w:hint="eastAsia"/>
          <w:sz w:val="24"/>
        </w:rPr>
        <w:t>乙方</w:t>
      </w:r>
      <w:r>
        <w:rPr>
          <w:rFonts w:ascii="Calibri" w:eastAsia="宋体" w:hAnsi="Calibri" w:cs="Times New Roman"/>
          <w:sz w:val="24"/>
        </w:rPr>
        <w:t>仍应根据合同要求向</w:t>
      </w:r>
      <w:r>
        <w:rPr>
          <w:rFonts w:ascii="Calibri" w:eastAsia="宋体" w:hAnsi="Calibri" w:cs="Times New Roman" w:hint="eastAsia"/>
          <w:sz w:val="24"/>
        </w:rPr>
        <w:t>甲方</w:t>
      </w:r>
      <w:r>
        <w:rPr>
          <w:rFonts w:ascii="Calibri" w:eastAsia="宋体" w:hAnsi="Calibri" w:cs="Times New Roman"/>
          <w:sz w:val="24"/>
        </w:rPr>
        <w:t>提供技术服务，以合理价格提供软件功能改进技术服务。</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质量</w:t>
      </w:r>
      <w:r>
        <w:rPr>
          <w:rFonts w:ascii="Calibri" w:eastAsia="宋体" w:hAnsi="Calibri" w:cs="Times New Roman"/>
          <w:sz w:val="24"/>
        </w:rPr>
        <w:t>保证期</w:t>
      </w:r>
      <w:r>
        <w:rPr>
          <w:rFonts w:ascii="Calibri" w:eastAsia="宋体" w:hAnsi="Calibri" w:cs="Times New Roman" w:hint="eastAsia"/>
          <w:sz w:val="24"/>
        </w:rPr>
        <w:t>间</w:t>
      </w:r>
      <w:r>
        <w:rPr>
          <w:rFonts w:ascii="Calibri" w:eastAsia="宋体" w:hAnsi="Calibri" w:cs="Times New Roman"/>
          <w:sz w:val="24"/>
        </w:rPr>
        <w:t>的维护服务不收取任何额外费用，</w:t>
      </w:r>
      <w:r>
        <w:rPr>
          <w:rFonts w:ascii="Calibri" w:eastAsia="宋体" w:hAnsi="Calibri" w:cs="Times New Roman" w:hint="eastAsia"/>
          <w:sz w:val="24"/>
        </w:rPr>
        <w:t>质量</w:t>
      </w:r>
      <w:r>
        <w:rPr>
          <w:rFonts w:ascii="Calibri" w:eastAsia="宋体" w:hAnsi="Calibri" w:cs="Times New Roman"/>
          <w:sz w:val="24"/>
        </w:rPr>
        <w:t>保证期后</w:t>
      </w:r>
      <w:r>
        <w:rPr>
          <w:rFonts w:ascii="Calibri" w:eastAsia="宋体" w:hAnsi="Calibri" w:cs="Times New Roman" w:hint="eastAsia"/>
          <w:sz w:val="24"/>
        </w:rPr>
        <w:t>按合同约定进行维护。</w:t>
      </w:r>
    </w:p>
    <w:p>
      <w:pPr>
        <w:keepNext/>
        <w:keepLines/>
        <w:outlineLvl w:val="2"/>
        <w:rPr>
          <w:rFonts w:ascii="Calibri" w:eastAsia="黑体" w:hAnsi="Calibri" w:cs="Times New Roman"/>
          <w:b/>
          <w:bCs/>
          <w:sz w:val="32"/>
          <w:szCs w:val="32"/>
        </w:rPr>
      </w:pPr>
      <w:bookmarkStart w:id="160" w:name="_Toc196897083"/>
      <w:bookmarkStart w:id="161" w:name="_Toc140755631"/>
      <w:bookmarkStart w:id="162" w:name="_Toc812"/>
      <w:bookmarkStart w:id="163" w:name="_Toc20267"/>
      <w:bookmarkStart w:id="164" w:name="_Toc140468914"/>
      <w:r>
        <w:rPr>
          <w:rFonts w:ascii="Calibri" w:eastAsia="黑体" w:hAnsi="Calibri" w:cs="Times New Roman" w:hint="eastAsia"/>
          <w:b/>
          <w:bCs/>
          <w:sz w:val="32"/>
          <w:szCs w:val="32"/>
        </w:rPr>
        <w:t>12.</w:t>
      </w:r>
      <w:r>
        <w:rPr>
          <w:rFonts w:ascii="Calibri" w:eastAsia="黑体" w:hAnsi="Calibri" w:cs="Times New Roman"/>
          <w:b/>
          <w:bCs/>
          <w:sz w:val="32"/>
          <w:szCs w:val="32"/>
        </w:rPr>
        <w:t xml:space="preserve"> </w:t>
      </w:r>
      <w:r>
        <w:rPr>
          <w:rFonts w:ascii="Calibri" w:eastAsia="黑体" w:hAnsi="Calibri" w:cs="Times New Roman" w:hint="eastAsia"/>
          <w:b/>
          <w:bCs/>
          <w:sz w:val="32"/>
          <w:szCs w:val="32"/>
        </w:rPr>
        <w:t>知识产权要求</w:t>
      </w:r>
      <w:bookmarkEnd w:id="160"/>
      <w:bookmarkEnd w:id="161"/>
      <w:bookmarkEnd w:id="162"/>
      <w:bookmarkEnd w:id="163"/>
      <w:bookmarkEnd w:id="164"/>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项目建设中，承建方按甲方要求进行源代码和项目相关文档的规范化管理，不得向第三方提供或泄露。项目结束后，承建方向甲方提交完整的源代码和相关说明材料，不得以任何形式保存项目的源代码。全部及/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或任何责任，包括但不限于应当承担其自身及采购方为排除任何争议或瑕疵所应当或所需支付的一切相关/或由此引起的费用。</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支付的一切相关及/或由此引起的费用。</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为甲方提供与本项目设计、开发和集成有关的各类技术咨询服务。</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协助甲方预见本项目设计、开发和系统集成工作中和项目其他建设工作中可能发生的问题和困难，并向甲方提出解决的办法或建议。</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在系统的运行维护阶段提供技术支持。对运行过程中出现的新问题提供建议和解决方案。</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提供其他与项目相关的服务。</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积极协助配合甲方开展与项目有关的工作。</w:t>
      </w:r>
    </w:p>
    <w:p>
      <w:pPr>
        <w:tabs>
          <w:tab w:val="left" w:pos="900"/>
        </w:tabs>
        <w:spacing w:line="360" w:lineRule="auto"/>
        <w:ind w:firstLine="480" w:firstLineChars="200"/>
        <w:rPr>
          <w:rFonts w:ascii="Calibri" w:eastAsia="宋体" w:hAnsi="Calibri" w:cs="Times New Roman"/>
        </w:rPr>
      </w:pPr>
      <w:r>
        <w:rPr>
          <w:rFonts w:ascii="Calibri" w:eastAsia="宋体" w:hAnsi="Calibri" w:cs="Times New Roman" w:hint="eastAsia"/>
          <w:sz w:val="24"/>
        </w:rPr>
        <w:t>技术支持工作需要及时、有效，充分满足项目建设的需求。</w:t>
      </w:r>
    </w:p>
    <w:p>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6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6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E6335">
      <w:pPr>
        <w:numPr>
          <w:ilvl w:val="0"/>
          <w:numId w:val="28"/>
        </w:numPr>
        <w:spacing w:line="360" w:lineRule="auto"/>
        <w:ind w:firstLine="3066" w:firstLineChars="1460"/>
        <w:jc w:val="left"/>
        <w:rPr>
          <w:rFonts w:ascii="Times New Roman" w:eastAsia="宋体" w:hAnsi="Times New Roman" w:cs="Times New Roman"/>
          <w:b/>
          <w:bCs/>
          <w:szCs w:val="21"/>
        </w:rPr>
      </w:pPr>
      <w:bookmarkStart w:id="166"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E6335">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9E6335">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9E6335">
      <w:pPr>
        <w:spacing w:line="360" w:lineRule="auto"/>
        <w:ind w:right="-210" w:rightChars="-100"/>
        <w:rPr>
          <w:rFonts w:ascii="宋体" w:eastAsia="宋体" w:hAnsi="宋体" w:cs="宋体"/>
          <w:szCs w:val="21"/>
        </w:rPr>
      </w:pPr>
    </w:p>
    <w:p w:rsidR="009E6335">
      <w:pPr>
        <w:spacing w:line="360" w:lineRule="auto"/>
        <w:ind w:right="-210" w:rightChars="-100"/>
        <w:rPr>
          <w:rFonts w:ascii="宋体" w:eastAsia="宋体" w:hAnsi="宋体" w:cs="宋体"/>
          <w:szCs w:val="21"/>
        </w:rPr>
      </w:pPr>
    </w:p>
    <w:p w:rsidR="009E6335">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9E6335">
      <w:pPr>
        <w:spacing w:line="360" w:lineRule="auto"/>
        <w:jc w:val="center"/>
        <w:rPr>
          <w:rFonts w:ascii="宋体" w:eastAsia="宋体" w:hAnsi="宋体" w:cs="宋体"/>
          <w:szCs w:val="21"/>
        </w:rPr>
      </w:pPr>
    </w:p>
    <w:p w:rsidR="009E6335">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9E6335">
      <w:pPr>
        <w:spacing w:line="360" w:lineRule="auto"/>
        <w:jc w:val="center"/>
        <w:rPr>
          <w:rFonts w:ascii="宋体" w:eastAsia="宋体" w:hAnsi="宋体" w:cs="宋体"/>
          <w:szCs w:val="21"/>
        </w:rPr>
      </w:pPr>
    </w:p>
    <w:p w:rsidR="009E6335">
      <w:pPr>
        <w:spacing w:line="360" w:lineRule="auto"/>
        <w:jc w:val="center"/>
        <w:rPr>
          <w:rFonts w:ascii="宋体" w:eastAsia="宋体" w:hAnsi="宋体" w:cs="宋体"/>
          <w:szCs w:val="21"/>
        </w:rPr>
      </w:pPr>
    </w:p>
    <w:p w:rsidR="009E6335">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600" w:lineRule="auto"/>
        <w:ind w:right="-15" w:firstLine="420" w:firstLineChars="200"/>
        <w:rPr>
          <w:rFonts w:ascii="宋体" w:eastAsia="宋体" w:hAnsi="宋体" w:cs="宋体"/>
          <w:b/>
          <w:bCs/>
          <w:szCs w:val="21"/>
          <w:u w:val="single"/>
        </w:rPr>
      </w:pPr>
    </w:p>
    <w:p w:rsidR="009E6335">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9E6335">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9E6335">
      <w:pPr>
        <w:spacing w:line="360" w:lineRule="auto"/>
        <w:ind w:firstLine="1680" w:firstLineChars="800"/>
        <w:rPr>
          <w:rFonts w:ascii="宋体" w:eastAsia="宋体" w:hAnsi="宋体" w:cs="宋体"/>
          <w:szCs w:val="21"/>
        </w:rPr>
      </w:pPr>
    </w:p>
    <w:p w:rsidR="009E6335">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9E6335">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9E6335">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9E6335">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9E6335">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9E6335">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9E6335">
      <w:pPr>
        <w:jc w:val="center"/>
        <w:rPr>
          <w:rFonts w:ascii="黑体" w:eastAsia="黑体" w:hAnsi="黑体" w:cs="黑体"/>
          <w:sz w:val="32"/>
          <w:szCs w:val="32"/>
        </w:rPr>
      </w:pPr>
    </w:p>
    <w:p w:rsidR="009E6335">
      <w:pPr>
        <w:jc w:val="center"/>
        <w:rPr>
          <w:rFonts w:ascii="黑体" w:eastAsia="黑体" w:hAnsi="黑体" w:cs="黑体"/>
          <w:sz w:val="32"/>
          <w:szCs w:val="32"/>
        </w:rPr>
      </w:pPr>
    </w:p>
    <w:p w:rsidR="009E6335">
      <w:pPr>
        <w:jc w:val="center"/>
        <w:rPr>
          <w:rFonts w:ascii="黑体" w:eastAsia="黑体" w:hAnsi="黑体" w:cs="黑体"/>
          <w:sz w:val="32"/>
          <w:szCs w:val="32"/>
        </w:rPr>
      </w:pPr>
    </w:p>
    <w:p w:rsidR="009E6335">
      <w:pPr>
        <w:jc w:val="center"/>
        <w:rPr>
          <w:rFonts w:ascii="黑体" w:eastAsia="黑体" w:hAnsi="黑体" w:cs="黑体"/>
          <w:sz w:val="32"/>
          <w:szCs w:val="32"/>
        </w:rPr>
      </w:pPr>
      <w:r>
        <w:rPr>
          <w:rFonts w:ascii="黑体" w:eastAsia="黑体" w:hAnsi="黑体" w:cs="黑体" w:hint="eastAsia"/>
          <w:sz w:val="32"/>
          <w:szCs w:val="32"/>
        </w:rPr>
        <w:t>使 用 说 明</w:t>
      </w:r>
    </w:p>
    <w:p w:rsidR="009E6335">
      <w:pPr>
        <w:jc w:val="center"/>
        <w:rPr>
          <w:rFonts w:ascii="黑体" w:eastAsia="黑体" w:hAnsi="黑体" w:cs="黑体"/>
          <w:sz w:val="32"/>
          <w:szCs w:val="32"/>
        </w:rPr>
      </w:pPr>
    </w:p>
    <w:p w:rsidR="009E6335">
      <w:pPr>
        <w:numPr>
          <w:ilvl w:val="0"/>
          <w:numId w:val="29"/>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rsidR="009E6335">
      <w:pPr>
        <w:numPr>
          <w:ilvl w:val="0"/>
          <w:numId w:val="29"/>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9E6335">
      <w:pPr>
        <w:numPr>
          <w:ilvl w:val="0"/>
          <w:numId w:val="29"/>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9E6335">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9E6335">
      <w:pPr>
        <w:keepNext/>
        <w:keepLines/>
        <w:numPr>
          <w:ilvl w:val="0"/>
          <w:numId w:val="30"/>
        </w:numPr>
        <w:spacing w:before="60" w:after="60" w:line="360" w:lineRule="auto"/>
        <w:jc w:val="left"/>
        <w:outlineLvl w:val="1"/>
        <w:rPr>
          <w:rFonts w:ascii="宋体" w:eastAsia="宋体" w:hAnsi="宋体" w:cs="宋体"/>
          <w:b/>
          <w:bCs/>
          <w:szCs w:val="21"/>
        </w:rPr>
      </w:pPr>
      <w:bookmarkStart w:id="167" w:name="_Toc150439537"/>
      <w:r>
        <w:rPr>
          <w:rFonts w:ascii="宋体" w:eastAsia="宋体" w:hAnsi="宋体" w:cs="宋体" w:hint="eastAsia"/>
          <w:b/>
          <w:bCs/>
          <w:szCs w:val="21"/>
        </w:rPr>
        <w:t>项目内容及概况</w:t>
      </w:r>
      <w:bookmarkEnd w:id="167"/>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9E6335">
            <w:pPr>
              <w:jc w:val="left"/>
              <w:rPr>
                <w:rFonts w:ascii="宋体" w:eastAsia="宋体" w:hAnsi="宋体" w:cs="宋体"/>
                <w:szCs w:val="21"/>
              </w:rPr>
            </w:pPr>
            <w:r>
              <w:rPr>
                <w:rFonts w:ascii="宋体" w:eastAsia="宋体" w:hAnsi="宋体" w:cs="宋体" w:hint="eastAsia"/>
                <w:szCs w:val="21"/>
              </w:rPr>
              <w:t>名称</w:t>
            </w:r>
          </w:p>
        </w:tc>
        <w:tc>
          <w:tcPr>
            <w:tcW w:w="415" w:type="pct"/>
          </w:tcPr>
          <w:p w:rsidR="009E6335">
            <w:pPr>
              <w:jc w:val="left"/>
              <w:rPr>
                <w:rFonts w:ascii="宋体" w:eastAsia="宋体" w:hAnsi="宋体" w:cs="宋体"/>
                <w:szCs w:val="21"/>
              </w:rPr>
            </w:pPr>
            <w:r>
              <w:rPr>
                <w:rFonts w:ascii="宋体" w:eastAsia="宋体" w:hAnsi="宋体" w:cs="宋体" w:hint="eastAsia"/>
                <w:szCs w:val="21"/>
              </w:rPr>
              <w:t>数量</w:t>
            </w:r>
          </w:p>
        </w:tc>
        <w:tc>
          <w:tcPr>
            <w:tcW w:w="440" w:type="pct"/>
          </w:tcPr>
          <w:p w:rsidR="009E6335">
            <w:pPr>
              <w:jc w:val="left"/>
              <w:rPr>
                <w:rFonts w:ascii="宋体" w:eastAsia="宋体" w:hAnsi="宋体" w:cs="宋体"/>
                <w:szCs w:val="21"/>
              </w:rPr>
            </w:pPr>
            <w:r>
              <w:rPr>
                <w:rFonts w:ascii="宋体" w:eastAsia="宋体" w:hAnsi="宋体" w:cs="宋体" w:hint="eastAsia"/>
                <w:szCs w:val="21"/>
              </w:rPr>
              <w:t>单位</w:t>
            </w:r>
          </w:p>
        </w:tc>
        <w:tc>
          <w:tcPr>
            <w:tcW w:w="833" w:type="pct"/>
          </w:tcPr>
          <w:p w:rsidR="009E6335">
            <w:pPr>
              <w:jc w:val="left"/>
              <w:rPr>
                <w:rFonts w:ascii="宋体" w:eastAsia="宋体" w:hAnsi="宋体" w:cs="宋体"/>
                <w:szCs w:val="21"/>
              </w:rPr>
            </w:pPr>
            <w:r>
              <w:rPr>
                <w:rFonts w:ascii="宋体" w:eastAsia="宋体" w:hAnsi="宋体" w:cs="宋体" w:hint="eastAsia"/>
                <w:szCs w:val="21"/>
              </w:rPr>
              <w:t>单价（元）</w:t>
            </w:r>
          </w:p>
        </w:tc>
        <w:tc>
          <w:tcPr>
            <w:tcW w:w="834" w:type="pct"/>
          </w:tcPr>
          <w:p w:rsidR="009E6335">
            <w:pPr>
              <w:jc w:val="left"/>
              <w:rPr>
                <w:rFonts w:ascii="宋体" w:eastAsia="宋体" w:hAnsi="宋体" w:cs="宋体"/>
                <w:szCs w:val="21"/>
              </w:rPr>
            </w:pPr>
            <w:r>
              <w:rPr>
                <w:rFonts w:ascii="宋体" w:eastAsia="宋体" w:hAnsi="宋体" w:cs="宋体" w:hint="eastAsia"/>
                <w:szCs w:val="21"/>
              </w:rPr>
              <w:t>合计（元）</w:t>
            </w:r>
          </w:p>
        </w:tc>
        <w:tc>
          <w:tcPr>
            <w:tcW w:w="834" w:type="pct"/>
          </w:tcPr>
          <w:p w:rsidR="009E6335">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9E6335">
            <w:pPr>
              <w:jc w:val="left"/>
              <w:rPr>
                <w:rFonts w:ascii="宋体" w:eastAsia="宋体" w:hAnsi="宋体" w:cs="宋体"/>
                <w:szCs w:val="21"/>
              </w:rPr>
            </w:pPr>
          </w:p>
        </w:tc>
        <w:tc>
          <w:tcPr>
            <w:tcW w:w="415" w:type="pct"/>
          </w:tcPr>
          <w:p w:rsidR="009E6335">
            <w:pPr>
              <w:jc w:val="left"/>
              <w:rPr>
                <w:rFonts w:ascii="宋体" w:eastAsia="宋体" w:hAnsi="宋体" w:cs="宋体"/>
                <w:szCs w:val="21"/>
              </w:rPr>
            </w:pPr>
          </w:p>
        </w:tc>
        <w:tc>
          <w:tcPr>
            <w:tcW w:w="440" w:type="pct"/>
          </w:tcPr>
          <w:p w:rsidR="009E6335">
            <w:pPr>
              <w:jc w:val="left"/>
              <w:rPr>
                <w:rFonts w:ascii="宋体" w:eastAsia="宋体" w:hAnsi="宋体" w:cs="宋体"/>
                <w:szCs w:val="21"/>
              </w:rPr>
            </w:pPr>
          </w:p>
        </w:tc>
        <w:tc>
          <w:tcPr>
            <w:tcW w:w="833" w:type="pct"/>
          </w:tcPr>
          <w:p w:rsidR="009E6335">
            <w:pPr>
              <w:jc w:val="left"/>
              <w:rPr>
                <w:rFonts w:ascii="宋体" w:eastAsia="宋体" w:hAnsi="宋体" w:cs="宋体"/>
                <w:szCs w:val="21"/>
              </w:rPr>
            </w:pPr>
          </w:p>
        </w:tc>
        <w:tc>
          <w:tcPr>
            <w:tcW w:w="834" w:type="pct"/>
          </w:tcPr>
          <w:p w:rsidR="009E6335">
            <w:pPr>
              <w:jc w:val="left"/>
              <w:rPr>
                <w:rFonts w:ascii="宋体" w:eastAsia="宋体" w:hAnsi="宋体" w:cs="宋体"/>
                <w:szCs w:val="21"/>
              </w:rPr>
            </w:pPr>
          </w:p>
        </w:tc>
        <w:tc>
          <w:tcPr>
            <w:tcW w:w="834" w:type="pct"/>
          </w:tcPr>
          <w:p w:rsidR="009E6335">
            <w:pPr>
              <w:jc w:val="left"/>
              <w:rPr>
                <w:rFonts w:ascii="宋体" w:eastAsia="宋体" w:hAnsi="宋体" w:cs="宋体"/>
                <w:szCs w:val="21"/>
              </w:rPr>
            </w:pPr>
          </w:p>
        </w:tc>
      </w:tr>
      <w:tr>
        <w:tblPrEx>
          <w:tblW w:w="5000" w:type="pct"/>
          <w:tblLook w:val="04A0"/>
        </w:tblPrEx>
        <w:tc>
          <w:tcPr>
            <w:tcW w:w="1644" w:type="pct"/>
          </w:tcPr>
          <w:p w:rsidR="009E6335">
            <w:pPr>
              <w:jc w:val="left"/>
              <w:rPr>
                <w:rFonts w:ascii="宋体" w:eastAsia="宋体" w:hAnsi="宋体" w:cs="宋体"/>
                <w:szCs w:val="21"/>
              </w:rPr>
            </w:pPr>
          </w:p>
        </w:tc>
        <w:tc>
          <w:tcPr>
            <w:tcW w:w="415" w:type="pct"/>
          </w:tcPr>
          <w:p w:rsidR="009E6335">
            <w:pPr>
              <w:jc w:val="left"/>
              <w:rPr>
                <w:rFonts w:ascii="宋体" w:eastAsia="宋体" w:hAnsi="宋体" w:cs="宋体"/>
                <w:szCs w:val="21"/>
              </w:rPr>
            </w:pPr>
          </w:p>
        </w:tc>
        <w:tc>
          <w:tcPr>
            <w:tcW w:w="440" w:type="pct"/>
          </w:tcPr>
          <w:p w:rsidR="009E6335">
            <w:pPr>
              <w:jc w:val="left"/>
              <w:rPr>
                <w:rFonts w:ascii="宋体" w:eastAsia="宋体" w:hAnsi="宋体" w:cs="宋体"/>
                <w:szCs w:val="21"/>
              </w:rPr>
            </w:pPr>
          </w:p>
        </w:tc>
        <w:tc>
          <w:tcPr>
            <w:tcW w:w="833" w:type="pct"/>
          </w:tcPr>
          <w:p w:rsidR="009E6335">
            <w:pPr>
              <w:jc w:val="left"/>
              <w:rPr>
                <w:rFonts w:ascii="宋体" w:eastAsia="宋体" w:hAnsi="宋体" w:cs="宋体"/>
                <w:szCs w:val="21"/>
              </w:rPr>
            </w:pPr>
          </w:p>
        </w:tc>
        <w:tc>
          <w:tcPr>
            <w:tcW w:w="834" w:type="pct"/>
          </w:tcPr>
          <w:p w:rsidR="009E6335">
            <w:pPr>
              <w:jc w:val="left"/>
              <w:rPr>
                <w:rFonts w:ascii="宋体" w:eastAsia="宋体" w:hAnsi="宋体" w:cs="宋体"/>
                <w:szCs w:val="21"/>
              </w:rPr>
            </w:pPr>
          </w:p>
        </w:tc>
        <w:tc>
          <w:tcPr>
            <w:tcW w:w="834" w:type="pct"/>
          </w:tcPr>
          <w:p w:rsidR="009E6335">
            <w:pPr>
              <w:jc w:val="left"/>
              <w:rPr>
                <w:rFonts w:ascii="宋体" w:eastAsia="宋体" w:hAnsi="宋体" w:cs="宋体"/>
                <w:szCs w:val="21"/>
              </w:rPr>
            </w:pPr>
          </w:p>
        </w:tc>
      </w:tr>
      <w:tr>
        <w:tblPrEx>
          <w:tblW w:w="5000" w:type="pct"/>
          <w:tblLook w:val="04A0"/>
        </w:tblPrEx>
        <w:tc>
          <w:tcPr>
            <w:tcW w:w="5000" w:type="pct"/>
            <w:gridSpan w:val="6"/>
          </w:tcPr>
          <w:p w:rsidR="009E6335">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9E6335">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9E6335">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rsidR="009E6335">
      <w:pPr>
        <w:ind w:firstLine="420" w:firstLineChars="200"/>
        <w:jc w:val="left"/>
        <w:rPr>
          <w:rFonts w:ascii="宋体" w:eastAsia="宋体" w:hAnsi="宋体" w:cs="宋体"/>
          <w:szCs w:val="21"/>
        </w:rPr>
      </w:pPr>
    </w:p>
    <w:p w:rsidR="009E6335">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9E6335">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rsidR="009E6335">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6335">
      <w:pPr>
        <w:keepNext/>
        <w:keepLines/>
        <w:numPr>
          <w:ilvl w:val="0"/>
          <w:numId w:val="30"/>
        </w:numPr>
        <w:spacing w:before="60" w:after="60" w:line="360" w:lineRule="auto"/>
        <w:jc w:val="left"/>
        <w:outlineLvl w:val="1"/>
        <w:rPr>
          <w:rFonts w:ascii="宋体" w:eastAsia="宋体" w:hAnsi="宋体" w:cs="宋体"/>
          <w:b/>
          <w:bCs/>
          <w:szCs w:val="21"/>
        </w:rPr>
      </w:pPr>
      <w:bookmarkStart w:id="168" w:name="_Toc150439540"/>
      <w:r>
        <w:rPr>
          <w:rFonts w:ascii="宋体" w:eastAsia="宋体" w:hAnsi="宋体" w:cs="宋体" w:hint="eastAsia"/>
          <w:b/>
          <w:bCs/>
          <w:szCs w:val="21"/>
        </w:rPr>
        <w:t>项目相关标准</w:t>
      </w:r>
      <w:bookmarkEnd w:id="168"/>
    </w:p>
    <w:p w:rsidR="009E6335">
      <w:pPr>
        <w:numPr>
          <w:ilvl w:val="0"/>
          <w:numId w:val="3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9E6335">
      <w:pPr>
        <w:numPr>
          <w:ilvl w:val="0"/>
          <w:numId w:val="3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9E6335">
      <w:pPr>
        <w:numPr>
          <w:ilvl w:val="1"/>
          <w:numId w:val="3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9E6335">
      <w:pPr>
        <w:numPr>
          <w:ilvl w:val="1"/>
          <w:numId w:val="3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3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9E6335">
      <w:pPr>
        <w:numPr>
          <w:ilvl w:val="0"/>
          <w:numId w:val="3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3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3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9E6335">
      <w:pPr>
        <w:numPr>
          <w:ilvl w:val="1"/>
          <w:numId w:val="3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1"/>
          <w:numId w:val="3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3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9E6335">
      <w:pPr>
        <w:numPr>
          <w:ilvl w:val="0"/>
          <w:numId w:val="3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3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3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9E6335">
      <w:pPr>
        <w:numPr>
          <w:ilvl w:val="0"/>
          <w:numId w:val="3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rsidR="009E6335">
      <w:pPr>
        <w:numPr>
          <w:ilvl w:val="0"/>
          <w:numId w:val="3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rsidR="009E6335">
      <w:pPr>
        <w:numPr>
          <w:ilvl w:val="0"/>
          <w:numId w:val="3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3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9E6335">
      <w:pPr>
        <w:numPr>
          <w:ilvl w:val="0"/>
          <w:numId w:val="36"/>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9E6335">
      <w:pPr>
        <w:numPr>
          <w:ilvl w:val="0"/>
          <w:numId w:val="3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6335">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9E6335">
      <w:pPr>
        <w:keepNext/>
        <w:keepLines/>
        <w:numPr>
          <w:ilvl w:val="0"/>
          <w:numId w:val="30"/>
        </w:numPr>
        <w:spacing w:before="60" w:after="60" w:line="360" w:lineRule="auto"/>
        <w:jc w:val="left"/>
        <w:outlineLvl w:val="1"/>
        <w:rPr>
          <w:rFonts w:ascii="宋体" w:eastAsia="宋体" w:hAnsi="宋体" w:cs="宋体"/>
          <w:b/>
          <w:bCs/>
          <w:szCs w:val="21"/>
        </w:rPr>
      </w:pPr>
      <w:bookmarkStart w:id="169" w:name="_Toc150439542"/>
      <w:r>
        <w:rPr>
          <w:rFonts w:ascii="宋体" w:eastAsia="宋体" w:hAnsi="宋体" w:cs="宋体" w:hint="eastAsia"/>
          <w:b/>
          <w:bCs/>
          <w:szCs w:val="21"/>
        </w:rPr>
        <w:t>组成本合同的文件</w:t>
      </w:r>
      <w:bookmarkEnd w:id="169"/>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9E6335">
      <w:pPr>
        <w:numPr>
          <w:ilvl w:val="0"/>
          <w:numId w:val="38"/>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9E6335">
      <w:pPr>
        <w:numPr>
          <w:ilvl w:val="0"/>
          <w:numId w:val="38"/>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9E6335">
      <w:pPr>
        <w:numPr>
          <w:ilvl w:val="0"/>
          <w:numId w:val="38"/>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9E6335">
      <w:pPr>
        <w:numPr>
          <w:ilvl w:val="0"/>
          <w:numId w:val="38"/>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9E6335">
      <w:pPr>
        <w:numPr>
          <w:ilvl w:val="0"/>
          <w:numId w:val="38"/>
        </w:numPr>
        <w:spacing w:line="360" w:lineRule="auto"/>
        <w:ind w:hanging="5"/>
        <w:jc w:val="left"/>
        <w:rPr>
          <w:rFonts w:ascii="宋体" w:eastAsia="宋体" w:hAnsi="宋体" w:cs="宋体"/>
          <w:szCs w:val="21"/>
        </w:rPr>
      </w:pPr>
      <w:r>
        <w:rPr>
          <w:rFonts w:ascii="宋体" w:eastAsia="宋体" w:hAnsi="宋体" w:cs="宋体"/>
          <w:szCs w:val="21"/>
        </w:rPr>
        <w:t>……</w:t>
      </w:r>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9E6335">
      <w:pPr>
        <w:numPr>
          <w:ilvl w:val="0"/>
          <w:numId w:val="3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9E6335">
      <w:pPr>
        <w:keepNext/>
        <w:keepLines/>
        <w:numPr>
          <w:ilvl w:val="0"/>
          <w:numId w:val="30"/>
        </w:numPr>
        <w:spacing w:before="60" w:after="60" w:line="360" w:lineRule="auto"/>
        <w:jc w:val="left"/>
        <w:outlineLvl w:val="1"/>
        <w:rPr>
          <w:rFonts w:ascii="宋体" w:eastAsia="宋体" w:hAnsi="宋体" w:cs="宋体"/>
          <w:b/>
          <w:bCs/>
          <w:szCs w:val="21"/>
        </w:rPr>
      </w:pPr>
      <w:bookmarkStart w:id="170" w:name="_Toc150439545"/>
      <w:r>
        <w:rPr>
          <w:rFonts w:ascii="宋体" w:eastAsia="宋体" w:hAnsi="宋体" w:cs="宋体" w:hint="eastAsia"/>
          <w:b/>
          <w:bCs/>
          <w:szCs w:val="21"/>
        </w:rPr>
        <w:t>合同履行地点、合同服务期</w:t>
      </w:r>
      <w:bookmarkEnd w:id="170"/>
    </w:p>
    <w:p w:rsidR="009E6335">
      <w:pPr>
        <w:numPr>
          <w:ilvl w:val="0"/>
          <w:numId w:val="3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9E6335">
      <w:pPr>
        <w:numPr>
          <w:ilvl w:val="0"/>
          <w:numId w:val="3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9E6335">
      <w:pPr>
        <w:keepNext/>
        <w:keepLines/>
        <w:numPr>
          <w:ilvl w:val="0"/>
          <w:numId w:val="30"/>
        </w:numPr>
        <w:spacing w:before="60" w:after="60" w:line="360" w:lineRule="auto"/>
        <w:outlineLvl w:val="1"/>
        <w:rPr>
          <w:rFonts w:ascii="宋体" w:eastAsia="宋体" w:hAnsi="宋体" w:cs="宋体"/>
          <w:b/>
          <w:bCs/>
          <w:szCs w:val="21"/>
        </w:rPr>
      </w:pPr>
      <w:bookmarkStart w:id="171" w:name="_Toc150439547"/>
      <w:r>
        <w:rPr>
          <w:rFonts w:ascii="宋体" w:eastAsia="宋体" w:hAnsi="宋体" w:cs="宋体" w:hint="eastAsia"/>
          <w:b/>
          <w:bCs/>
          <w:szCs w:val="21"/>
        </w:rPr>
        <w:t>服务范围及内容</w:t>
      </w:r>
      <w:bookmarkEnd w:id="171"/>
    </w:p>
    <w:p w:rsidR="009E6335">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9E6335">
      <w:pPr>
        <w:numPr>
          <w:ilvl w:val="0"/>
          <w:numId w:val="40"/>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9E6335">
      <w:pPr>
        <w:numPr>
          <w:ilvl w:val="0"/>
          <w:numId w:val="40"/>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40"/>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40"/>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40"/>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40"/>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40"/>
        </w:numPr>
        <w:spacing w:line="360" w:lineRule="auto"/>
        <w:rPr>
          <w:rFonts w:ascii="宋体" w:eastAsia="宋体" w:hAnsi="宋体" w:cs="宋体"/>
          <w:szCs w:val="21"/>
        </w:rPr>
      </w:pPr>
      <w:r>
        <w:rPr>
          <w:rFonts w:ascii="宋体" w:eastAsia="宋体" w:hAnsi="宋体" w:cs="宋体" w:hint="eastAsia"/>
          <w:szCs w:val="21"/>
        </w:rPr>
        <w:t>进度安排：</w:t>
      </w:r>
    </w:p>
    <w:p w:rsidR="009E6335">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9E6335">
      <w:pPr>
        <w:numPr>
          <w:ilvl w:val="0"/>
          <w:numId w:val="4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9E6335">
      <w:pPr>
        <w:numPr>
          <w:ilvl w:val="0"/>
          <w:numId w:val="4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9E6335">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9E6335">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9E6335">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6335">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9E633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9E6335">
      <w:pPr>
        <w:keepNext/>
        <w:keepLines/>
        <w:numPr>
          <w:ilvl w:val="0"/>
          <w:numId w:val="30"/>
        </w:numPr>
        <w:spacing w:before="60" w:after="60" w:line="360" w:lineRule="auto"/>
        <w:outlineLvl w:val="1"/>
        <w:rPr>
          <w:rFonts w:ascii="宋体" w:eastAsia="宋体" w:hAnsi="宋体" w:cs="宋体"/>
          <w:b/>
          <w:bCs/>
          <w:szCs w:val="21"/>
        </w:rPr>
      </w:pPr>
      <w:bookmarkStart w:id="172" w:name="_Toc150439549"/>
      <w:r>
        <w:rPr>
          <w:rFonts w:ascii="宋体" w:eastAsia="宋体" w:hAnsi="宋体" w:cs="宋体" w:hint="eastAsia"/>
          <w:b/>
          <w:bCs/>
          <w:szCs w:val="21"/>
        </w:rPr>
        <w:t>乙方的权利与义务</w:t>
      </w:r>
      <w:bookmarkEnd w:id="172"/>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9E6335">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9E6335">
      <w:pPr>
        <w:numPr>
          <w:ilvl w:val="0"/>
          <w:numId w:val="4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9E6335">
      <w:pPr>
        <w:numPr>
          <w:ilvl w:val="0"/>
          <w:numId w:val="4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9E6335">
      <w:pPr>
        <w:numPr>
          <w:ilvl w:val="0"/>
          <w:numId w:val="4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9E6335">
      <w:pPr>
        <w:numPr>
          <w:ilvl w:val="0"/>
          <w:numId w:val="4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9E6335">
      <w:pPr>
        <w:numPr>
          <w:ilvl w:val="0"/>
          <w:numId w:val="45"/>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9E6335">
      <w:pPr>
        <w:numPr>
          <w:ilvl w:val="0"/>
          <w:numId w:val="45"/>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9E6335">
      <w:pPr>
        <w:numPr>
          <w:ilvl w:val="0"/>
          <w:numId w:val="4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9E6335">
      <w:pPr>
        <w:numPr>
          <w:ilvl w:val="0"/>
          <w:numId w:val="46"/>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9E6335">
      <w:pPr>
        <w:numPr>
          <w:ilvl w:val="0"/>
          <w:numId w:val="46"/>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9E6335">
      <w:pPr>
        <w:numPr>
          <w:ilvl w:val="0"/>
          <w:numId w:val="46"/>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9E6335">
      <w:pPr>
        <w:numPr>
          <w:ilvl w:val="0"/>
          <w:numId w:val="42"/>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9E6335">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73" w:name="_Toc150439565"/>
      <w:r>
        <w:rPr>
          <w:rFonts w:ascii="宋体" w:eastAsia="宋体" w:hAnsi="宋体" w:cs="宋体" w:hint="eastAsia"/>
          <w:b/>
          <w:bCs/>
          <w:szCs w:val="21"/>
        </w:rPr>
        <w:t>甲方</w:t>
      </w:r>
      <w:r>
        <w:rPr>
          <w:rFonts w:ascii="宋体" w:eastAsia="宋体" w:hAnsi="宋体" w:cs="宋体"/>
          <w:b/>
          <w:bCs/>
          <w:szCs w:val="21"/>
        </w:rPr>
        <w:t>的权利与义务</w:t>
      </w:r>
      <w:bookmarkEnd w:id="173"/>
    </w:p>
    <w:p w:rsidR="009E6335">
      <w:pPr>
        <w:numPr>
          <w:ilvl w:val="0"/>
          <w:numId w:val="47"/>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9E6335">
      <w:pPr>
        <w:numPr>
          <w:ilvl w:val="0"/>
          <w:numId w:val="48"/>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48"/>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numPr>
          <w:ilvl w:val="0"/>
          <w:numId w:val="47"/>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9E6335">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9E6335">
      <w:pPr>
        <w:numPr>
          <w:ilvl w:val="0"/>
          <w:numId w:val="47"/>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9E6335">
      <w:pPr>
        <w:numPr>
          <w:ilvl w:val="0"/>
          <w:numId w:val="49"/>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9E6335">
      <w:pPr>
        <w:numPr>
          <w:ilvl w:val="0"/>
          <w:numId w:val="49"/>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9E6335">
      <w:pPr>
        <w:numPr>
          <w:ilvl w:val="0"/>
          <w:numId w:val="49"/>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9E6335">
      <w:pPr>
        <w:numPr>
          <w:ilvl w:val="0"/>
          <w:numId w:val="49"/>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9E6335">
      <w:pPr>
        <w:numPr>
          <w:ilvl w:val="0"/>
          <w:numId w:val="49"/>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9E6335">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9E6335">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9E6335">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9E6335">
      <w:pPr>
        <w:numPr>
          <w:ilvl w:val="0"/>
          <w:numId w:val="5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5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rsidR="009E6335">
      <w:pPr>
        <w:numPr>
          <w:ilvl w:val="0"/>
          <w:numId w:val="51"/>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9E6335">
      <w:pPr>
        <w:numPr>
          <w:ilvl w:val="0"/>
          <w:numId w:val="51"/>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9E6335">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9E6335">
      <w:pPr>
        <w:numPr>
          <w:ilvl w:val="0"/>
          <w:numId w:val="52"/>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9E6335">
      <w:pPr>
        <w:numPr>
          <w:ilvl w:val="0"/>
          <w:numId w:val="52"/>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9E6335">
      <w:pPr>
        <w:numPr>
          <w:ilvl w:val="0"/>
          <w:numId w:val="52"/>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74" w:name="_Toc150439567"/>
      <w:r>
        <w:rPr>
          <w:rFonts w:ascii="宋体" w:eastAsia="宋体" w:hAnsi="宋体" w:cs="宋体" w:hint="eastAsia"/>
          <w:b/>
          <w:bCs/>
          <w:szCs w:val="21"/>
        </w:rPr>
        <w:t>项目交付</w:t>
      </w:r>
      <w:bookmarkEnd w:id="174"/>
    </w:p>
    <w:p w:rsidR="009E6335">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9E6335">
      <w:pPr>
        <w:numPr>
          <w:ilvl w:val="0"/>
          <w:numId w:val="54"/>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9E6335">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9E6335">
      <w:pPr>
        <w:numPr>
          <w:ilvl w:val="0"/>
          <w:numId w:val="54"/>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9E6335">
      <w:pPr>
        <w:numPr>
          <w:ilvl w:val="0"/>
          <w:numId w:val="54"/>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9E6335">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rsidR="009E6335">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9E6335">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9E6335">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9E6335">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9E6335">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9E6335">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9E6335">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9E6335">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9E6335">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9E6335">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9E6335">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9E6335">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9E6335">
      <w:pPr>
        <w:numPr>
          <w:ilvl w:val="0"/>
          <w:numId w:val="5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9E6335">
      <w:pPr>
        <w:numPr>
          <w:ilvl w:val="0"/>
          <w:numId w:val="5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6335">
      <w:pPr>
        <w:numPr>
          <w:ilvl w:val="0"/>
          <w:numId w:val="5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6335">
      <w:pPr>
        <w:numPr>
          <w:ilvl w:val="0"/>
          <w:numId w:val="5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6335">
      <w:pPr>
        <w:numPr>
          <w:ilvl w:val="0"/>
          <w:numId w:val="57"/>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rsidR="009E6335">
      <w:pPr>
        <w:numPr>
          <w:ilvl w:val="0"/>
          <w:numId w:val="5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xml:space="preserve">【 </w:t>
      </w:r>
      <w:r w:rsidR="00313AB4">
        <w:rPr>
          <w:rFonts w:ascii="宋体" w:eastAsia="宋体" w:hAnsi="宋体" w:cs="宋体" w:hint="eastAsia"/>
          <w:szCs w:val="21"/>
          <w:u w:val="single"/>
        </w:rPr>
        <w:t>10</w:t>
      </w:r>
      <w:r>
        <w:rPr>
          <w:rFonts w:ascii="宋体" w:eastAsia="宋体" w:hAnsi="宋体" w:cs="宋体" w:hint="eastAsia"/>
          <w:szCs w:val="21"/>
          <w:u w:val="single"/>
        </w:rPr>
        <w:t xml:space="preserve"> 】</w:t>
      </w:r>
      <w:r>
        <w:rPr>
          <w:rFonts w:ascii="宋体" w:eastAsia="宋体" w:hAnsi="宋体" w:cs="宋体" w:hint="eastAsia"/>
          <w:szCs w:val="21"/>
        </w:rPr>
        <w:t>个工作日内，甲方向乙方支付本合同首付款至乙方指定账户，首付款为合同总额</w:t>
      </w:r>
      <w:r w:rsidRPr="00313AB4">
        <w:rPr>
          <w:rFonts w:ascii="宋体" w:eastAsia="宋体" w:hAnsi="宋体" w:cs="宋体" w:hint="eastAsia"/>
          <w:szCs w:val="21"/>
          <w:u w:val="single"/>
        </w:rPr>
        <w:t>_</w:t>
      </w:r>
      <w:r w:rsidRPr="00313AB4" w:rsidR="00313AB4">
        <w:rPr>
          <w:rFonts w:ascii="宋体" w:eastAsia="宋体" w:hAnsi="宋体" w:cs="宋体" w:hint="eastAsia"/>
          <w:szCs w:val="21"/>
          <w:u w:val="single"/>
        </w:rPr>
        <w:t>100%</w:t>
      </w:r>
      <w:r w:rsidRPr="00313AB4" w:rsidR="00313AB4">
        <w:rPr>
          <w:rFonts w:ascii="宋体" w:eastAsia="宋体" w:hAnsi="宋体" w:cs="宋体"/>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第X阶段：乙方完成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9E6335">
      <w:pPr>
        <w:tabs>
          <w:tab w:val="left" w:pos="720"/>
        </w:tabs>
        <w:ind w:firstLine="420" w:firstLineChars="200"/>
        <w:rPr>
          <w:rFonts w:ascii="宋体" w:eastAsia="宋体" w:hAnsi="宋体" w:cs="宋体"/>
          <w:szCs w:val="21"/>
        </w:rPr>
      </w:pPr>
      <w:r>
        <w:rPr>
          <w:rFonts w:ascii="Arial" w:eastAsia="仿宋_GB2312" w:hAnsi="Arial" w:cs="Arial"/>
          <w:szCs w:val="21"/>
        </w:rPr>
        <w:t>………</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第X阶段：最后一次付款额应为本合同总额的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rsidR="009E6335">
      <w:pPr>
        <w:numPr>
          <w:ilvl w:val="0"/>
          <w:numId w:val="5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9E6335">
      <w:pPr>
        <w:numPr>
          <w:ilvl w:val="0"/>
          <w:numId w:val="5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xml:space="preserve">【 </w:t>
      </w:r>
      <w:r w:rsidR="00313AB4">
        <w:rPr>
          <w:rFonts w:ascii="宋体" w:eastAsia="宋体" w:hAnsi="宋体" w:cs="宋体" w:hint="eastAsia"/>
          <w:szCs w:val="21"/>
          <w:u w:val="single"/>
        </w:rPr>
        <w:t>10</w:t>
      </w:r>
      <w:r>
        <w:rPr>
          <w:rFonts w:ascii="宋体" w:eastAsia="宋体" w:hAnsi="宋体" w:cs="宋体" w:hint="eastAsia"/>
          <w:szCs w:val="21"/>
          <w:u w:val="single"/>
        </w:rPr>
        <w:t xml:space="preserve">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sidR="00313AB4">
        <w:rPr>
          <w:rFonts w:ascii="宋体" w:eastAsia="宋体" w:hAnsi="宋体" w:cs="宋体" w:hint="eastAsia"/>
          <w:szCs w:val="21"/>
          <w:u w:val="single"/>
        </w:rPr>
        <w:t>30</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rsidR="009E6335">
      <w:pPr>
        <w:numPr>
          <w:ilvl w:val="0"/>
          <w:numId w:val="5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xml:space="preserve">【 </w:t>
      </w:r>
      <w:r w:rsidR="00313AB4">
        <w:rPr>
          <w:rFonts w:ascii="宋体" w:eastAsia="宋体" w:hAnsi="宋体" w:cs="宋体" w:hint="eastAsia"/>
          <w:szCs w:val="21"/>
          <w:u w:val="single"/>
        </w:rPr>
        <w:t>10</w:t>
      </w:r>
      <w:r>
        <w:rPr>
          <w:rFonts w:ascii="宋体" w:eastAsia="宋体" w:hAnsi="宋体" w:cs="宋体" w:hint="eastAsia"/>
          <w:szCs w:val="21"/>
          <w:u w:val="single"/>
        </w:rPr>
        <w:t xml:space="preserve"> 】</w:t>
      </w:r>
      <w:r>
        <w:rPr>
          <w:rFonts w:ascii="宋体" w:eastAsia="宋体" w:hAnsi="宋体" w:cs="宋体" w:hint="eastAsia"/>
          <w:szCs w:val="21"/>
        </w:rPr>
        <w:t xml:space="preserve">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w:t>
      </w:r>
      <w:r w:rsidR="00313AB4">
        <w:rPr>
          <w:rFonts w:ascii="宋体" w:eastAsia="宋体" w:hAnsi="宋体" w:cs="宋体" w:hint="eastAsia"/>
          <w:szCs w:val="21"/>
        </w:rPr>
        <w:t>15</w:t>
      </w:r>
      <w:r>
        <w:rPr>
          <w:rFonts w:ascii="宋体" w:eastAsia="宋体" w:hAnsi="宋体" w:cs="宋体" w:hint="eastAsia"/>
          <w:szCs w:val="21"/>
        </w:rPr>
        <w:t xml:space="preserve"> 】日内补齐履约保证金。</w:t>
      </w:r>
    </w:p>
    <w:p w:rsidR="009E6335">
      <w:pPr>
        <w:numPr>
          <w:ilvl w:val="0"/>
          <w:numId w:val="5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9E6335">
      <w:pPr>
        <w:numPr>
          <w:ilvl w:val="0"/>
          <w:numId w:val="5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9E6335">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9E6335">
      <w:pPr>
        <w:numPr>
          <w:ilvl w:val="0"/>
          <w:numId w:val="56"/>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9E6335">
      <w:pPr>
        <w:numPr>
          <w:ilvl w:val="0"/>
          <w:numId w:val="5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9E6335">
      <w:pPr>
        <w:numPr>
          <w:ilvl w:val="0"/>
          <w:numId w:val="5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9E6335">
      <w:pPr>
        <w:numPr>
          <w:ilvl w:val="0"/>
          <w:numId w:val="5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9E6335">
      <w:pPr>
        <w:numPr>
          <w:ilvl w:val="0"/>
          <w:numId w:val="5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75" w:name="_Toc150439569"/>
      <w:r>
        <w:rPr>
          <w:rFonts w:ascii="宋体" w:eastAsia="宋体" w:hAnsi="宋体" w:cs="宋体" w:hint="eastAsia"/>
          <w:b/>
          <w:bCs/>
          <w:szCs w:val="21"/>
        </w:rPr>
        <w:t>项目验收</w:t>
      </w:r>
      <w:bookmarkEnd w:id="175"/>
    </w:p>
    <w:p w:rsidR="009E6335">
      <w:pPr>
        <w:ind w:firstLine="420" w:firstLineChars="200"/>
        <w:rPr>
          <w:rFonts w:ascii="宋体" w:eastAsia="宋体" w:hAnsi="宋体" w:cs="宋体"/>
          <w:szCs w:val="21"/>
        </w:rPr>
      </w:pPr>
      <w:r>
        <w:rPr>
          <w:rFonts w:ascii="宋体" w:eastAsia="宋体" w:hAnsi="宋体" w:cs="宋体" w:hint="eastAsia"/>
          <w:szCs w:val="21"/>
        </w:rPr>
        <w:t>1.系统测试</w:t>
      </w:r>
    </w:p>
    <w:p w:rsidR="009E6335">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9E6335">
      <w:pPr>
        <w:numPr>
          <w:ilvl w:val="0"/>
          <w:numId w:val="6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9E6335">
      <w:pPr>
        <w:numPr>
          <w:ilvl w:val="0"/>
          <w:numId w:val="6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9E6335">
      <w:pPr>
        <w:numPr>
          <w:ilvl w:val="0"/>
          <w:numId w:val="6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rsidR="009E6335">
      <w:pPr>
        <w:numPr>
          <w:ilvl w:val="0"/>
          <w:numId w:val="6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9E6335">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rsidR="009E6335">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rsidR="009E6335">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9E6335">
      <w:pPr>
        <w:ind w:firstLine="420" w:firstLineChars="200"/>
        <w:rPr>
          <w:rFonts w:ascii="宋体" w:eastAsia="宋体" w:hAnsi="宋体" w:cs="宋体"/>
          <w:szCs w:val="21"/>
        </w:rPr>
      </w:pPr>
      <w:r>
        <w:rPr>
          <w:rFonts w:ascii="宋体" w:eastAsia="宋体" w:hAnsi="宋体" w:cs="宋体" w:hint="eastAsia"/>
          <w:szCs w:val="21"/>
        </w:rPr>
        <w:t>4.项目终验</w:t>
      </w:r>
    </w:p>
    <w:p w:rsidR="009E6335">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rsidR="009E6335">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76" w:name="_Toc150439566"/>
      <w:r>
        <w:rPr>
          <w:rFonts w:ascii="宋体" w:eastAsia="宋体" w:hAnsi="宋体" w:cs="宋体" w:hint="eastAsia"/>
          <w:b/>
          <w:bCs/>
          <w:szCs w:val="21"/>
        </w:rPr>
        <w:t>质量保证</w:t>
      </w:r>
      <w:bookmarkEnd w:id="176"/>
    </w:p>
    <w:p w:rsidR="009E6335">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9E6335">
      <w:pPr>
        <w:numPr>
          <w:ilvl w:val="0"/>
          <w:numId w:val="61"/>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9E6335">
      <w:pPr>
        <w:numPr>
          <w:ilvl w:val="0"/>
          <w:numId w:val="61"/>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9E6335">
      <w:pPr>
        <w:numPr>
          <w:ilvl w:val="0"/>
          <w:numId w:val="61"/>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9E6335">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9E6335">
      <w:pPr>
        <w:numPr>
          <w:ilvl w:val="0"/>
          <w:numId w:val="61"/>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9E6335">
      <w:pPr>
        <w:numPr>
          <w:ilvl w:val="0"/>
          <w:numId w:val="61"/>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77" w:name="_Toc150439612"/>
      <w:r>
        <w:rPr>
          <w:rFonts w:ascii="宋体" w:eastAsia="宋体" w:hAnsi="宋体" w:cs="宋体" w:hint="eastAsia"/>
          <w:b/>
          <w:bCs/>
          <w:szCs w:val="21"/>
        </w:rPr>
        <w:t>保密条款（保密协议）</w:t>
      </w:r>
      <w:bookmarkEnd w:id="177"/>
    </w:p>
    <w:p w:rsidR="009E6335">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9E6335">
      <w:pPr>
        <w:numPr>
          <w:ilvl w:val="0"/>
          <w:numId w:val="62"/>
        </w:numPr>
        <w:spacing w:line="360" w:lineRule="auto"/>
        <w:ind w:firstLine="420" w:firstLineChars="200"/>
        <w:rPr>
          <w:rFonts w:ascii="宋体" w:eastAsia="宋体" w:hAnsi="宋体" w:cs="宋体"/>
          <w:szCs w:val="21"/>
        </w:rPr>
      </w:pPr>
      <w:bookmarkStart w:id="178"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6335">
      <w:pPr>
        <w:numPr>
          <w:ilvl w:val="0"/>
          <w:numId w:val="62"/>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9E6335">
      <w:pPr>
        <w:numPr>
          <w:ilvl w:val="0"/>
          <w:numId w:val="62"/>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9E6335">
      <w:pPr>
        <w:numPr>
          <w:ilvl w:val="0"/>
          <w:numId w:val="62"/>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178"/>
    <w:p w:rsidR="009E6335">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9E6335">
      <w:pPr>
        <w:numPr>
          <w:ilvl w:val="0"/>
          <w:numId w:val="63"/>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9E6335">
      <w:pPr>
        <w:numPr>
          <w:ilvl w:val="0"/>
          <w:numId w:val="6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9E6335">
      <w:pPr>
        <w:numPr>
          <w:ilvl w:val="0"/>
          <w:numId w:val="6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9E6335">
      <w:pPr>
        <w:numPr>
          <w:ilvl w:val="0"/>
          <w:numId w:val="6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9E6335">
      <w:pPr>
        <w:numPr>
          <w:ilvl w:val="0"/>
          <w:numId w:val="63"/>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9E6335">
      <w:pPr>
        <w:numPr>
          <w:ilvl w:val="0"/>
          <w:numId w:val="63"/>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179" w:name="_Hlk150343509"/>
      <w:r>
        <w:rPr>
          <w:rFonts w:ascii="宋体" w:eastAsia="宋体" w:hAnsi="宋体" w:cs="宋体" w:hint="eastAsia"/>
          <w:szCs w:val="21"/>
          <w:u w:val="single"/>
        </w:rPr>
        <w:t xml:space="preserve">                             </w:t>
      </w:r>
      <w:bookmarkEnd w:id="179"/>
      <w:r>
        <w:rPr>
          <w:rFonts w:ascii="宋体" w:eastAsia="宋体" w:hAnsi="宋体" w:cs="宋体" w:hint="eastAsia"/>
          <w:szCs w:val="21"/>
          <w:u w:val="single"/>
        </w:rPr>
        <w:t xml:space="preserve">                                </w:t>
      </w:r>
    </w:p>
    <w:p w:rsidR="009E6335">
      <w:pPr>
        <w:numPr>
          <w:ilvl w:val="0"/>
          <w:numId w:val="63"/>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9E6335">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0" w:name="_Toc150439618"/>
      <w:r>
        <w:rPr>
          <w:rFonts w:ascii="宋体" w:eastAsia="宋体" w:hAnsi="宋体" w:cs="宋体" w:hint="eastAsia"/>
          <w:b/>
          <w:bCs/>
          <w:szCs w:val="21"/>
        </w:rPr>
        <w:t>违约</w:t>
      </w:r>
      <w:r>
        <w:rPr>
          <w:rFonts w:ascii="宋体" w:eastAsia="宋体" w:hAnsi="宋体" w:cs="宋体"/>
          <w:b/>
          <w:bCs/>
          <w:szCs w:val="21"/>
        </w:rPr>
        <w:t>责任及赔偿</w:t>
      </w:r>
      <w:bookmarkEnd w:id="180"/>
    </w:p>
    <w:p w:rsidR="009E6335">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w:t>
      </w:r>
      <w:r>
        <w:rPr>
          <w:rFonts w:ascii="宋体" w:eastAsia="宋体" w:hAnsi="宋体" w:cs="宋体" w:hint="eastAsia"/>
          <w:szCs w:val="21"/>
        </w:rPr>
        <w:t>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9E6335">
      <w:pPr>
        <w:numPr>
          <w:ilvl w:val="0"/>
          <w:numId w:val="6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1" w:name="_Toc150439619"/>
      <w:r>
        <w:rPr>
          <w:rFonts w:ascii="宋体" w:eastAsia="宋体" w:hAnsi="宋体" w:cs="宋体" w:hint="eastAsia"/>
          <w:b/>
          <w:bCs/>
          <w:szCs w:val="21"/>
        </w:rPr>
        <w:t>争议的解决</w:t>
      </w:r>
      <w:bookmarkEnd w:id="181"/>
    </w:p>
    <w:p w:rsidR="009E6335">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9E6335">
      <w:pPr>
        <w:numPr>
          <w:ilvl w:val="0"/>
          <w:numId w:val="66"/>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9E6335">
      <w:pPr>
        <w:numPr>
          <w:ilvl w:val="0"/>
          <w:numId w:val="66"/>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2" w:name="_Toc150439621"/>
      <w:r>
        <w:rPr>
          <w:rFonts w:ascii="宋体" w:eastAsia="宋体" w:hAnsi="宋体" w:cs="宋体" w:hint="eastAsia"/>
          <w:b/>
          <w:bCs/>
          <w:szCs w:val="21"/>
        </w:rPr>
        <w:t>不可抗力</w:t>
      </w:r>
      <w:bookmarkEnd w:id="182"/>
    </w:p>
    <w:p w:rsidR="009E6335">
      <w:pPr>
        <w:numPr>
          <w:ilvl w:val="0"/>
          <w:numId w:val="6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w:t>
      </w:r>
      <w:r>
        <w:rPr>
          <w:rFonts w:ascii="宋体" w:eastAsia="宋体" w:hAnsi="宋体" w:cs="宋体" w:hint="eastAsia"/>
          <w:szCs w:val="21"/>
        </w:rPr>
        <w:t>当包括技术风险的存在、范围、程度及损失大小等。认定技术风险的基本条件是：</w:t>
      </w:r>
    </w:p>
    <w:p w:rsidR="009E6335">
      <w:pPr>
        <w:numPr>
          <w:ilvl w:val="0"/>
          <w:numId w:val="68"/>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9E6335">
      <w:pPr>
        <w:numPr>
          <w:ilvl w:val="0"/>
          <w:numId w:val="68"/>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9E6335">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6335">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9E6335">
      <w:pPr>
        <w:numPr>
          <w:ilvl w:val="0"/>
          <w:numId w:val="6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9E6335">
      <w:pPr>
        <w:numPr>
          <w:ilvl w:val="0"/>
          <w:numId w:val="67"/>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9E6335">
      <w:pPr>
        <w:numPr>
          <w:ilvl w:val="0"/>
          <w:numId w:val="69"/>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9E6335">
      <w:pPr>
        <w:numPr>
          <w:ilvl w:val="0"/>
          <w:numId w:val="69"/>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9E6335">
      <w:pPr>
        <w:numPr>
          <w:ilvl w:val="0"/>
          <w:numId w:val="69"/>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3" w:name="_Toc150439624"/>
      <w:r>
        <w:rPr>
          <w:rFonts w:ascii="宋体" w:eastAsia="宋体" w:hAnsi="宋体" w:cs="宋体" w:hint="eastAsia"/>
          <w:b/>
          <w:bCs/>
          <w:szCs w:val="21"/>
        </w:rPr>
        <w:t>本合同的变更</w:t>
      </w:r>
      <w:bookmarkEnd w:id="183"/>
    </w:p>
    <w:p w:rsidR="009E6335">
      <w:pPr>
        <w:numPr>
          <w:ilvl w:val="0"/>
          <w:numId w:val="7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9E6335">
      <w:pPr>
        <w:numPr>
          <w:ilvl w:val="0"/>
          <w:numId w:val="7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9E6335">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4" w:name="_Toc150439623"/>
      <w:r>
        <w:rPr>
          <w:rFonts w:ascii="宋体" w:eastAsia="宋体" w:hAnsi="宋体" w:cs="宋体" w:hint="eastAsia"/>
          <w:b/>
          <w:bCs/>
          <w:szCs w:val="21"/>
        </w:rPr>
        <w:t>其它</w:t>
      </w:r>
      <w:bookmarkEnd w:id="184"/>
    </w:p>
    <w:p w:rsidR="009E6335">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9E6335">
      <w:pPr>
        <w:keepNext/>
        <w:keepLines/>
        <w:numPr>
          <w:ilvl w:val="0"/>
          <w:numId w:val="30"/>
        </w:numPr>
        <w:spacing w:before="60" w:after="60" w:line="360" w:lineRule="auto"/>
        <w:ind w:left="0" w:firstLine="420" w:firstLineChars="200"/>
        <w:outlineLvl w:val="1"/>
        <w:rPr>
          <w:rFonts w:ascii="宋体" w:eastAsia="宋体" w:hAnsi="宋体" w:cs="宋体"/>
          <w:b/>
          <w:bCs/>
          <w:szCs w:val="21"/>
        </w:rPr>
      </w:pPr>
      <w:bookmarkStart w:id="185" w:name="_Toc150439626"/>
      <w:r>
        <w:rPr>
          <w:rFonts w:ascii="宋体" w:eastAsia="宋体" w:hAnsi="宋体" w:cs="宋体" w:hint="eastAsia"/>
          <w:b/>
          <w:bCs/>
          <w:szCs w:val="21"/>
        </w:rPr>
        <w:t>合同生效</w:t>
      </w:r>
      <w:bookmarkEnd w:id="185"/>
    </w:p>
    <w:p w:rsidR="009E6335">
      <w:pPr>
        <w:numPr>
          <w:ilvl w:val="0"/>
          <w:numId w:val="71"/>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rsidR="009E6335">
      <w:pPr>
        <w:numPr>
          <w:ilvl w:val="0"/>
          <w:numId w:val="71"/>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9E6335">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9E6335">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6335">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6335">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9E6335">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9E6335">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6335">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9E6335">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9E6335"/>
    <w:p w:rsidR="00A77B3E"/>
    <w:p>
      <w:pPr>
        <w:spacing w:line="360" w:lineRule="auto"/>
        <w:ind w:firstLine="3066" w:firstLineChars="1460"/>
        <w:jc w:val="left"/>
        <w:rPr>
          <w:b/>
          <w:bCs/>
          <w:szCs w:val="21"/>
          <w:highlight w:val="none"/>
        </w:rPr>
      </w:pPr>
      <w:bookmarkEnd w:id="166"/>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335">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9E6335">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335">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869631"/>
    <w:multiLevelType w:val="singleLevel"/>
    <w:tmpl w:val="81869631"/>
    <w:lvl w:ilvl="0">
      <w:start w:val="1"/>
      <w:numFmt w:val="decimal"/>
      <w:suff w:val="nothing"/>
      <w:lvlText w:val="（%1）"/>
      <w:lvlJc w:val="left"/>
    </w:lvl>
  </w:abstractNum>
  <w:abstractNum w:abstractNumId="1">
    <w:nsid w:val="81FFF778"/>
    <w:multiLevelType w:val="singleLevel"/>
    <w:tmpl w:val="81FFF778"/>
    <w:lvl w:ilvl="0">
      <w:start w:val="1"/>
      <w:numFmt w:val="decimal"/>
      <w:suff w:val="nothing"/>
      <w:lvlText w:val="（%1）"/>
      <w:lvlJc w:val="left"/>
    </w:lvl>
  </w:abstractNum>
  <w:abstractNum w:abstractNumId="2">
    <w:nsid w:val="93FE6617"/>
    <w:multiLevelType w:val="singleLevel"/>
    <w:tmpl w:val="93FE6617"/>
    <w:lvl w:ilvl="0">
      <w:start w:val="1"/>
      <w:numFmt w:val="decimal"/>
      <w:lvlText w:val="%1."/>
      <w:lvlJc w:val="left"/>
      <w:pPr>
        <w:tabs>
          <w:tab w:val="left" w:pos="880"/>
        </w:tabs>
      </w:pPr>
    </w:lvl>
  </w:abstractNum>
  <w:abstractNum w:abstractNumId="3">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4">
    <w:nsid w:val="A7BFD79F"/>
    <w:multiLevelType w:val="singleLevel"/>
    <w:tmpl w:val="A7BFD79F"/>
    <w:lvl w:ilvl="0">
      <w:start w:val="1"/>
      <w:numFmt w:val="decimal"/>
      <w:lvlText w:val="%1)"/>
      <w:lvlJc w:val="left"/>
      <w:pPr>
        <w:ind w:left="425" w:hanging="425"/>
      </w:pPr>
      <w:rPr>
        <w:rFonts w:hint="default"/>
      </w:rPr>
    </w:lvl>
  </w:abstractNum>
  <w:abstractNum w:abstractNumId="5">
    <w:nsid w:val="AF9F7ACF"/>
    <w:multiLevelType w:val="singleLevel"/>
    <w:tmpl w:val="AF9F7ACF"/>
    <w:lvl w:ilvl="0">
      <w:start w:val="1"/>
      <w:numFmt w:val="decimal"/>
      <w:lvlText w:val="%1)"/>
      <w:lvlJc w:val="left"/>
      <w:pPr>
        <w:ind w:left="425" w:hanging="425"/>
      </w:pPr>
      <w:rPr>
        <w:rFonts w:hint="default"/>
      </w:rPr>
    </w:lvl>
  </w:abstractNum>
  <w:abstractNum w:abstractNumId="6">
    <w:nsid w:val="B01B0A61"/>
    <w:multiLevelType w:val="singleLevel"/>
    <w:tmpl w:val="B01B0A61"/>
    <w:lvl w:ilvl="0">
      <w:start w:val="1"/>
      <w:numFmt w:val="decimal"/>
      <w:suff w:val="nothing"/>
      <w:lvlText w:val="（%1）"/>
      <w:lvlJc w:val="left"/>
    </w:lvl>
  </w:abstractNum>
  <w:abstractNum w:abstractNumId="7">
    <w:nsid w:val="B779D9B0"/>
    <w:multiLevelType w:val="singleLevel"/>
    <w:tmpl w:val="B779D9B0"/>
    <w:lvl w:ilvl="0">
      <w:start w:val="1"/>
      <w:numFmt w:val="decimal"/>
      <w:suff w:val="nothing"/>
      <w:lvlText w:val="（%1）"/>
      <w:lvlJc w:val="left"/>
    </w:lvl>
  </w:abstractNum>
  <w:abstractNum w:abstractNumId="8">
    <w:nsid w:val="C94C532D"/>
    <w:multiLevelType w:val="singleLevel"/>
    <w:tmpl w:val="C94C532D"/>
    <w:lvl w:ilvl="0">
      <w:start w:val="1"/>
      <w:numFmt w:val="decimal"/>
      <w:suff w:val="space"/>
      <w:lvlText w:val="%1."/>
      <w:lvlJc w:val="left"/>
    </w:lvl>
  </w:abstractNum>
  <w:abstractNum w:abstractNumId="9">
    <w:nsid w:val="D4C4B908"/>
    <w:multiLevelType w:val="singleLevel"/>
    <w:tmpl w:val="D4C4B908"/>
    <w:lvl w:ilvl="0">
      <w:start w:val="1"/>
      <w:numFmt w:val="decimal"/>
      <w:suff w:val="nothing"/>
      <w:lvlText w:val="（%1）"/>
      <w:lvlJc w:val="left"/>
    </w:lvl>
  </w:abstractNum>
  <w:abstractNum w:abstractNumId="10">
    <w:nsid w:val="DD5EB1AF"/>
    <w:multiLevelType w:val="singleLevel"/>
    <w:tmpl w:val="DD5EB1AF"/>
    <w:lvl w:ilvl="0">
      <w:start w:val="1"/>
      <w:numFmt w:val="decimal"/>
      <w:suff w:val="space"/>
      <w:lvlText w:val="%1."/>
      <w:lvlJc w:val="left"/>
    </w:lvl>
  </w:abstractNum>
  <w:abstractNum w:abstractNumId="11">
    <w:nsid w:val="DE273C64"/>
    <w:multiLevelType w:val="singleLevel"/>
    <w:tmpl w:val="DE273C64"/>
    <w:lvl w:ilvl="0">
      <w:start w:val="1"/>
      <w:numFmt w:val="decimal"/>
      <w:suff w:val="nothing"/>
      <w:lvlText w:val="（%1）"/>
      <w:lvlJc w:val="left"/>
    </w:lvl>
  </w:abstractNum>
  <w:abstractNum w:abstractNumId="12">
    <w:nsid w:val="DF7A974B"/>
    <w:multiLevelType w:val="singleLevel"/>
    <w:tmpl w:val="DF7A974B"/>
    <w:lvl w:ilvl="0">
      <w:start w:val="1"/>
      <w:numFmt w:val="decimal"/>
      <w:lvlText w:val="%1)"/>
      <w:lvlJc w:val="left"/>
      <w:pPr>
        <w:ind w:left="425" w:hanging="425"/>
      </w:pPr>
      <w:rPr>
        <w:rFonts w:hint="default"/>
      </w:rPr>
    </w:lvl>
  </w:abstractNum>
  <w:abstractNum w:abstractNumId="13">
    <w:nsid w:val="DFBE2221"/>
    <w:multiLevelType w:val="singleLevel"/>
    <w:tmpl w:val="DFBE2221"/>
    <w:lvl w:ilvl="0">
      <w:start w:val="1"/>
      <w:numFmt w:val="decimal"/>
      <w:lvlText w:val="%1)"/>
      <w:lvlJc w:val="left"/>
      <w:pPr>
        <w:ind w:left="425" w:hanging="425"/>
      </w:pPr>
      <w:rPr>
        <w:rFonts w:hint="default"/>
      </w:rPr>
    </w:lvl>
  </w:abstractNum>
  <w:abstractNum w:abstractNumId="14">
    <w:nsid w:val="DFCE4441"/>
    <w:multiLevelType w:val="singleLevel"/>
    <w:tmpl w:val="DFCE4441"/>
    <w:lvl w:ilvl="0">
      <w:start w:val="1"/>
      <w:numFmt w:val="decimal"/>
      <w:lvlText w:val="%1)"/>
      <w:lvlJc w:val="left"/>
      <w:pPr>
        <w:ind w:left="425" w:hanging="425"/>
      </w:pPr>
      <w:rPr>
        <w:rFonts w:hint="default"/>
      </w:rPr>
    </w:lvl>
  </w:abstractNum>
  <w:abstractNum w:abstractNumId="15">
    <w:nsid w:val="E7F65004"/>
    <w:multiLevelType w:val="singleLevel"/>
    <w:tmpl w:val="E7F65004"/>
    <w:lvl w:ilvl="0">
      <w:start w:val="1"/>
      <w:numFmt w:val="decimal"/>
      <w:lvlText w:val="%1)"/>
      <w:lvlJc w:val="left"/>
      <w:pPr>
        <w:ind w:left="425" w:hanging="425"/>
      </w:pPr>
      <w:rPr>
        <w:rFonts w:hint="default"/>
      </w:rPr>
    </w:lvl>
  </w:abstractNum>
  <w:abstractNum w:abstractNumId="16">
    <w:nsid w:val="EDECB7AC"/>
    <w:multiLevelType w:val="singleLevel"/>
    <w:tmpl w:val="EDECB7AC"/>
    <w:lvl w:ilvl="0">
      <w:start w:val="1"/>
      <w:numFmt w:val="decimal"/>
      <w:lvlText w:val="%1)"/>
      <w:lvlJc w:val="left"/>
      <w:pPr>
        <w:ind w:left="425" w:hanging="425"/>
      </w:pPr>
      <w:rPr>
        <w:rFonts w:hint="default"/>
      </w:rPr>
    </w:lvl>
  </w:abstractNum>
  <w:abstractNum w:abstractNumId="17">
    <w:nsid w:val="EFF96211"/>
    <w:multiLevelType w:val="singleLevel"/>
    <w:tmpl w:val="EFF96211"/>
    <w:lvl w:ilvl="0">
      <w:start w:val="1"/>
      <w:numFmt w:val="decimal"/>
      <w:lvlText w:val="%1)"/>
      <w:lvlJc w:val="left"/>
      <w:pPr>
        <w:ind w:left="425" w:hanging="425"/>
      </w:pPr>
      <w:rPr>
        <w:rFonts w:hint="default"/>
      </w:rPr>
    </w:lvl>
  </w:abstractNum>
  <w:abstractNum w:abstractNumId="18">
    <w:nsid w:val="FCFBA019"/>
    <w:multiLevelType w:val="singleLevel"/>
    <w:tmpl w:val="FCFBA019"/>
    <w:lvl w:ilvl="0">
      <w:start w:val="1"/>
      <w:numFmt w:val="decimal"/>
      <w:lvlText w:val="%1)"/>
      <w:lvlJc w:val="left"/>
      <w:pPr>
        <w:ind w:left="425" w:hanging="425"/>
      </w:pPr>
      <w:rPr>
        <w:rFonts w:hint="default"/>
      </w:rPr>
    </w:lvl>
  </w:abstractNum>
  <w:abstractNum w:abstractNumId="19">
    <w:nsid w:val="FDBF5E33"/>
    <w:multiLevelType w:val="singleLevel"/>
    <w:tmpl w:val="FDBF5E33"/>
    <w:lvl w:ilvl="0">
      <w:start w:val="1"/>
      <w:numFmt w:val="decimal"/>
      <w:lvlText w:val="%1."/>
      <w:lvlJc w:val="left"/>
      <w:pPr>
        <w:ind w:left="425" w:hanging="425"/>
      </w:pPr>
      <w:rPr>
        <w:rFonts w:hint="default"/>
      </w:rPr>
    </w:lvl>
  </w:abstractNum>
  <w:abstractNum w:abstractNumId="20">
    <w:nsid w:val="FF3F1685"/>
    <w:multiLevelType w:val="singleLevel"/>
    <w:tmpl w:val="FF3F1685"/>
    <w:lvl w:ilvl="0">
      <w:start w:val="1"/>
      <w:numFmt w:val="decimal"/>
      <w:lvlText w:val="%1)"/>
      <w:lvlJc w:val="left"/>
      <w:pPr>
        <w:ind w:left="425" w:hanging="425"/>
      </w:pPr>
      <w:rPr>
        <w:rFonts w:hint="default"/>
      </w:rPr>
    </w:lvl>
  </w:abstractNum>
  <w:abstractNum w:abstractNumId="21">
    <w:nsid w:val="FFFEE893"/>
    <w:multiLevelType w:val="singleLevel"/>
    <w:tmpl w:val="FFFEE893"/>
    <w:lvl w:ilvl="0">
      <w:start w:val="1"/>
      <w:numFmt w:val="decimal"/>
      <w:lvlText w:val="%1)"/>
      <w:lvlJc w:val="left"/>
      <w:pPr>
        <w:ind w:left="425" w:hanging="425"/>
      </w:pPr>
      <w:rPr>
        <w:rFonts w:hint="default"/>
      </w:rPr>
    </w:lvl>
  </w:abstractNum>
  <w:abstractNum w:abstractNumId="22">
    <w:nsid w:val="FFFEFF75"/>
    <w:multiLevelType w:val="singleLevel"/>
    <w:tmpl w:val="FFFEFF75"/>
    <w:lvl w:ilvl="0">
      <w:start w:val="1"/>
      <w:numFmt w:val="decimal"/>
      <w:lvlText w:val="%1)"/>
      <w:lvlJc w:val="left"/>
      <w:pPr>
        <w:ind w:left="425" w:hanging="425"/>
      </w:pPr>
      <w:rPr>
        <w:rFonts w:hint="default"/>
      </w:rPr>
    </w:lvl>
  </w:abstractNum>
  <w:abstractNum w:abstractNumId="23">
    <w:nsid w:val="00000001"/>
    <w:multiLevelType w:val="singleLevel"/>
    <w:tmpl w:val="00000001"/>
    <w:lvl w:ilvl="0">
      <w:start w:val="1"/>
      <w:numFmt w:val="decimal"/>
      <w:suff w:val="space"/>
      <w:lvlText w:val="%1."/>
      <w:lvlJc w:val="left"/>
    </w:lvl>
  </w:abstractNum>
  <w:abstractNum w:abstractNumId="2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7">
    <w:nsid w:val="02BA4B62"/>
    <w:multiLevelType w:val="singleLevel"/>
    <w:tmpl w:val="02BA4B62"/>
    <w:lvl w:ilvl="0">
      <w:start w:val="1"/>
      <w:numFmt w:val="decimal"/>
      <w:suff w:val="space"/>
      <w:lvlText w:val="%1."/>
      <w:lvlJc w:val="left"/>
      <w:rPr>
        <w:rFonts w:hint="default"/>
        <w:b/>
        <w:bCs/>
      </w:rPr>
    </w:lvl>
  </w:abstractNum>
  <w:abstractNum w:abstractNumId="2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0A2D372D"/>
    <w:multiLevelType w:val="singleLevel"/>
    <w:tmpl w:val="0A2D372D"/>
    <w:lvl w:ilvl="0">
      <w:start w:val="1"/>
      <w:numFmt w:val="decimal"/>
      <w:suff w:val="space"/>
      <w:lvlText w:val="%1."/>
      <w:lvlJc w:val="left"/>
    </w:lvl>
  </w:abstractNum>
  <w:abstractNum w:abstractNumId="3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0B652051"/>
    <w:multiLevelType w:val="singleLevel"/>
    <w:tmpl w:val="0B652051"/>
    <w:lvl w:ilvl="0">
      <w:start w:val="1"/>
      <w:numFmt w:val="decimal"/>
      <w:suff w:val="space"/>
      <w:lvlText w:val="%1."/>
      <w:lvlJc w:val="left"/>
    </w:lvl>
  </w:abstractNum>
  <w:abstractNum w:abstractNumId="32">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13DD946C"/>
    <w:multiLevelType w:val="singleLevel"/>
    <w:tmpl w:val="13DD946C"/>
    <w:lvl w:ilvl="0">
      <w:start w:val="9"/>
      <w:numFmt w:val="chineseCounting"/>
      <w:suff w:val="space"/>
      <w:lvlText w:val="第%1章"/>
      <w:lvlJc w:val="left"/>
      <w:rPr>
        <w:rFonts w:hint="eastAsia"/>
      </w:rPr>
    </w:lvl>
  </w:abstractNum>
  <w:abstractNum w:abstractNumId="36">
    <w:nsid w:val="19243C86"/>
    <w:multiLevelType w:val="singleLevel"/>
    <w:tmpl w:val="19243C86"/>
    <w:lvl w:ilvl="0">
      <w:start w:val="1"/>
      <w:numFmt w:val="decimal"/>
      <w:suff w:val="nothing"/>
      <w:lvlText w:val="（%1）"/>
      <w:lvlJc w:val="left"/>
    </w:lvl>
  </w:abstractNum>
  <w:abstractNum w:abstractNumId="37">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1DCA1008"/>
    <w:multiLevelType w:val="singleLevel"/>
    <w:tmpl w:val="1DCA1008"/>
    <w:lvl w:ilvl="0">
      <w:start w:val="1"/>
      <w:numFmt w:val="decimal"/>
      <w:suff w:val="space"/>
      <w:lvlText w:val="%1."/>
      <w:lvlJc w:val="left"/>
      <w:rPr>
        <w:rFonts w:hint="default"/>
        <w:b/>
        <w:bCs/>
      </w:rPr>
    </w:lvl>
  </w:abstractNum>
  <w:abstractNum w:abstractNumId="39">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26D863EF"/>
    <w:multiLevelType w:val="singleLevel"/>
    <w:tmpl w:val="26D863EF"/>
    <w:lvl w:ilvl="0">
      <w:start w:val="1"/>
      <w:numFmt w:val="decimal"/>
      <w:suff w:val="space"/>
      <w:lvlText w:val="%1."/>
      <w:lvlJc w:val="left"/>
      <w:rPr>
        <w:rFonts w:hint="default"/>
        <w:b/>
        <w:bCs/>
      </w:rPr>
    </w:lvl>
  </w:abstractNum>
  <w:abstractNum w:abstractNumId="4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43">
    <w:nsid w:val="31F70119"/>
    <w:multiLevelType w:val="singleLevel"/>
    <w:tmpl w:val="31F70119"/>
    <w:lvl w:ilvl="0">
      <w:start w:val="1"/>
      <w:numFmt w:val="decimal"/>
      <w:suff w:val="space"/>
      <w:lvlText w:val="%1."/>
      <w:lvlJc w:val="left"/>
      <w:rPr>
        <w:rFonts w:hint="default"/>
        <w:b/>
        <w:bCs/>
      </w:rPr>
    </w:lvl>
  </w:abstractNum>
  <w:abstractNum w:abstractNumId="44">
    <w:nsid w:val="342E7950"/>
    <w:multiLevelType w:val="singleLevel"/>
    <w:tmpl w:val="342E7950"/>
    <w:lvl w:ilvl="0">
      <w:start w:val="1"/>
      <w:numFmt w:val="decimal"/>
      <w:suff w:val="space"/>
      <w:lvlText w:val="%1."/>
      <w:lvlJc w:val="left"/>
      <w:rPr>
        <w:rFonts w:hint="default"/>
        <w:b/>
        <w:bCs/>
      </w:rPr>
    </w:lvl>
  </w:abstractNum>
  <w:abstractNum w:abstractNumId="45">
    <w:nsid w:val="391346BA"/>
    <w:multiLevelType w:val="singleLevel"/>
    <w:tmpl w:val="391346BA"/>
    <w:lvl w:ilvl="0">
      <w:start w:val="1"/>
      <w:numFmt w:val="decimal"/>
      <w:suff w:val="space"/>
      <w:lvlText w:val="%1."/>
      <w:lvlJc w:val="left"/>
      <w:rPr>
        <w:rFonts w:hint="default"/>
        <w:b/>
        <w:bCs/>
      </w:rPr>
    </w:lvl>
  </w:abstractNum>
  <w:abstractNum w:abstractNumId="4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7">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465746FF"/>
    <w:multiLevelType w:val="singleLevel"/>
    <w:tmpl w:val="465746FF"/>
    <w:lvl w:ilvl="0">
      <w:start w:val="1"/>
      <w:numFmt w:val="decimal"/>
      <w:suff w:val="space"/>
      <w:lvlText w:val="%1."/>
      <w:lvlJc w:val="left"/>
      <w:rPr>
        <w:rFonts w:hint="default"/>
        <w:b/>
        <w:bCs/>
      </w:rPr>
    </w:lvl>
  </w:abstractNum>
  <w:abstractNum w:abstractNumId="49">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nsid w:val="47007E53"/>
    <w:multiLevelType w:val="singleLevel"/>
    <w:tmpl w:val="47007E53"/>
    <w:lvl w:ilvl="0">
      <w:start w:val="1"/>
      <w:numFmt w:val="decimal"/>
      <w:suff w:val="space"/>
      <w:lvlText w:val="%1."/>
      <w:lvlJc w:val="left"/>
      <w:rPr>
        <w:rFonts w:hint="default"/>
        <w:b/>
        <w:bCs/>
      </w:rPr>
    </w:lvl>
  </w:abstractNum>
  <w:abstractNum w:abstractNumId="51">
    <w:nsid w:val="4C7A993F"/>
    <w:multiLevelType w:val="singleLevel"/>
    <w:tmpl w:val="4C7A993F"/>
    <w:lvl w:ilvl="0">
      <w:start w:val="1"/>
      <w:numFmt w:val="decimal"/>
      <w:lvlText w:val="%1)"/>
      <w:lvlJc w:val="left"/>
      <w:pPr>
        <w:ind w:left="425" w:hanging="425"/>
      </w:pPr>
      <w:rPr>
        <w:rFonts w:hint="default"/>
      </w:rPr>
    </w:lvl>
  </w:abstractNum>
  <w:abstractNum w:abstractNumId="52">
    <w:nsid w:val="57FFC18B"/>
    <w:multiLevelType w:val="singleLevel"/>
    <w:tmpl w:val="57FFC18B"/>
    <w:lvl w:ilvl="0">
      <w:start w:val="1"/>
      <w:numFmt w:val="decimal"/>
      <w:lvlText w:val="%1)"/>
      <w:lvlJc w:val="left"/>
      <w:pPr>
        <w:ind w:left="425" w:hanging="425"/>
      </w:pPr>
      <w:rPr>
        <w:rFonts w:hint="default"/>
      </w:rPr>
    </w:lvl>
  </w:abstractNum>
  <w:abstractNum w:abstractNumId="5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55">
    <w:nsid w:val="5C566CFF"/>
    <w:multiLevelType w:val="singleLevel"/>
    <w:tmpl w:val="5C566CFF"/>
    <w:lvl w:ilvl="0">
      <w:start w:val="1"/>
      <w:numFmt w:val="decimal"/>
      <w:suff w:val="nothing"/>
      <w:lvlText w:val="（%1）"/>
      <w:lvlJc w:val="left"/>
    </w:lvl>
  </w:abstractNum>
  <w:abstractNum w:abstractNumId="5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7">
    <w:nsid w:val="62DB2BBA"/>
    <w:multiLevelType w:val="singleLevel"/>
    <w:tmpl w:val="62DB2BBA"/>
    <w:lvl w:ilvl="0">
      <w:start w:val="1"/>
      <w:numFmt w:val="decimal"/>
      <w:suff w:val="space"/>
      <w:lvlText w:val="%1."/>
      <w:lvlJc w:val="left"/>
      <w:rPr>
        <w:rFonts w:hint="default"/>
        <w:b/>
        <w:bCs/>
      </w:rPr>
    </w:lvl>
  </w:abstractNum>
  <w:abstractNum w:abstractNumId="58">
    <w:nsid w:val="643D56AF"/>
    <w:multiLevelType w:val="singleLevel"/>
    <w:tmpl w:val="643D56AF"/>
    <w:lvl w:ilvl="0">
      <w:start w:val="1"/>
      <w:numFmt w:val="decimal"/>
      <w:suff w:val="space"/>
      <w:lvlText w:val="%1."/>
      <w:lvlJc w:val="left"/>
      <w:rPr>
        <w:rFonts w:hint="default"/>
        <w:b/>
        <w:bCs/>
      </w:rPr>
    </w:lvl>
  </w:abstractNum>
  <w:abstractNum w:abstractNumId="5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2">
    <w:nsid w:val="6EFD1E87"/>
    <w:multiLevelType w:val="singleLevel"/>
    <w:tmpl w:val="6EFD1E87"/>
    <w:lvl w:ilvl="0">
      <w:start w:val="1"/>
      <w:numFmt w:val="decimal"/>
      <w:suff w:val="space"/>
      <w:lvlText w:val="%1."/>
      <w:lvlJc w:val="left"/>
      <w:rPr>
        <w:rFonts w:hint="default"/>
        <w:b/>
        <w:bCs/>
      </w:rPr>
    </w:lvl>
  </w:abstractNum>
  <w:abstractNum w:abstractNumId="6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6">
    <w:nsid w:val="79F8DDAB"/>
    <w:multiLevelType w:val="singleLevel"/>
    <w:tmpl w:val="79F8DDAB"/>
    <w:lvl w:ilvl="0">
      <w:start w:val="1"/>
      <w:numFmt w:val="decimal"/>
      <w:lvlText w:val="%1)"/>
      <w:lvlJc w:val="left"/>
      <w:pPr>
        <w:ind w:left="425" w:hanging="425"/>
      </w:pPr>
      <w:rPr>
        <w:rFonts w:hint="default"/>
      </w:rPr>
    </w:lvl>
  </w:abstractNum>
  <w:abstractNum w:abstractNumId="67">
    <w:nsid w:val="7BF79D3F"/>
    <w:multiLevelType w:val="singleLevel"/>
    <w:tmpl w:val="7BF79D3F"/>
    <w:lvl w:ilvl="0">
      <w:start w:val="1"/>
      <w:numFmt w:val="decimal"/>
      <w:lvlText w:val="%1)"/>
      <w:lvlJc w:val="left"/>
      <w:pPr>
        <w:ind w:left="425" w:hanging="425"/>
      </w:pPr>
      <w:rPr>
        <w:rFonts w:hint="default"/>
      </w:rPr>
    </w:lvl>
  </w:abstractNum>
  <w:abstractNum w:abstractNumId="68">
    <w:nsid w:val="7FAFA353"/>
    <w:multiLevelType w:val="singleLevel"/>
    <w:tmpl w:val="7FAFA353"/>
    <w:lvl w:ilvl="0">
      <w:start w:val="1"/>
      <w:numFmt w:val="decimal"/>
      <w:lvlText w:val="%1)"/>
      <w:lvlJc w:val="left"/>
      <w:pPr>
        <w:ind w:left="425" w:hanging="425"/>
      </w:pPr>
      <w:rPr>
        <w:rFonts w:hint="default"/>
      </w:rPr>
    </w:lvl>
  </w:abstractNum>
  <w:abstractNum w:abstractNumId="69">
    <w:nsid w:val="7FDAC479"/>
    <w:multiLevelType w:val="singleLevel"/>
    <w:tmpl w:val="7FDAC479"/>
    <w:lvl w:ilvl="0">
      <w:start w:val="1"/>
      <w:numFmt w:val="decimal"/>
      <w:lvlText w:val="%1)"/>
      <w:lvlJc w:val="left"/>
      <w:pPr>
        <w:ind w:left="425" w:hanging="425"/>
      </w:pPr>
      <w:rPr>
        <w:rFonts w:hint="default"/>
      </w:rPr>
    </w:lvl>
  </w:abstractNum>
  <w:abstractNum w:abstractNumId="70">
    <w:nsid w:val="7FF73EAD"/>
    <w:multiLevelType w:val="singleLevel"/>
    <w:tmpl w:val="7FF73EAD"/>
    <w:lvl w:ilvl="0">
      <w:start w:val="1"/>
      <w:numFmt w:val="decimal"/>
      <w:lvlText w:val="%1)"/>
      <w:lvlJc w:val="left"/>
      <w:pPr>
        <w:ind w:left="425" w:hanging="425"/>
      </w:pPr>
      <w:rPr>
        <w:rFonts w:hint="default"/>
      </w:rPr>
    </w:lvl>
  </w:abstractNum>
  <w:abstractNum w:abstractNumId="71">
    <w:nsid w:val="7FFFA005"/>
    <w:multiLevelType w:val="singleLevel"/>
    <w:tmpl w:val="7FFFA005"/>
    <w:lvl w:ilvl="0">
      <w:start w:val="1"/>
      <w:numFmt w:val="decimal"/>
      <w:lvlText w:val="%1)"/>
      <w:lvlJc w:val="left"/>
      <w:pPr>
        <w:ind w:left="425" w:hanging="425"/>
      </w:pPr>
      <w:rPr>
        <w:rFonts w:hint="default"/>
      </w:rPr>
    </w:lvl>
  </w:abstractNum>
  <w:num w:numId="1">
    <w:abstractNumId w:val="25"/>
  </w:num>
  <w:num w:numId="2">
    <w:abstractNumId w:val="24"/>
  </w:num>
  <w:num w:numId="3">
    <w:abstractNumId w:val="30"/>
  </w:num>
  <w:num w:numId="4">
    <w:abstractNumId w:val="6"/>
  </w:num>
  <w:num w:numId="5">
    <w:abstractNumId w:val="36"/>
  </w:num>
  <w:num w:numId="6">
    <w:abstractNumId w:val="55"/>
  </w:num>
  <w:num w:numId="7">
    <w:abstractNumId w:val="29"/>
  </w:num>
  <w:num w:numId="8">
    <w:abstractNumId w:val="9"/>
  </w:num>
  <w:num w:numId="9">
    <w:abstractNumId w:val="8"/>
  </w:num>
  <w:num w:numId="10">
    <w:abstractNumId w:val="1"/>
  </w:num>
  <w:num w:numId="11">
    <w:abstractNumId w:val="31"/>
  </w:num>
  <w:num w:numId="12">
    <w:abstractNumId w:val="11"/>
  </w:num>
  <w:num w:numId="13">
    <w:abstractNumId w:val="23"/>
  </w:num>
  <w:num w:numId="14">
    <w:abstractNumId w:val="7"/>
  </w:num>
  <w:num w:numId="15">
    <w:abstractNumId w:val="10"/>
  </w:num>
  <w:num w:numId="16">
    <w:abstractNumId w:val="0"/>
  </w:num>
  <w:num w:numId="17">
    <w:abstractNumId w:val="50"/>
  </w:num>
  <w:num w:numId="18">
    <w:abstractNumId w:val="48"/>
  </w:num>
  <w:num w:numId="19">
    <w:abstractNumId w:val="62"/>
  </w:num>
  <w:num w:numId="20">
    <w:abstractNumId w:val="27"/>
  </w:num>
  <w:num w:numId="21">
    <w:abstractNumId w:val="44"/>
  </w:num>
  <w:num w:numId="22">
    <w:abstractNumId w:val="38"/>
  </w:num>
  <w:num w:numId="23">
    <w:abstractNumId w:val="58"/>
  </w:num>
  <w:num w:numId="24">
    <w:abstractNumId w:val="45"/>
  </w:num>
  <w:num w:numId="25">
    <w:abstractNumId w:val="43"/>
  </w:num>
  <w:num w:numId="26">
    <w:abstractNumId w:val="57"/>
  </w:num>
  <w:num w:numId="27">
    <w:abstractNumId w:val="40"/>
  </w:num>
  <w:num w:numId="28">
    <w:abstractNumId w:val="35"/>
  </w:num>
  <w:num w:numId="29">
    <w:abstractNumId w:val="2"/>
  </w:num>
  <w:num w:numId="30">
    <w:abstractNumId w:val="39"/>
  </w:num>
  <w:num w:numId="31">
    <w:abstractNumId w:val="61"/>
  </w:num>
  <w:num w:numId="32">
    <w:abstractNumId w:val="37"/>
  </w:num>
  <w:num w:numId="33">
    <w:abstractNumId w:val="65"/>
  </w:num>
  <w:num w:numId="34">
    <w:abstractNumId w:val="5"/>
  </w:num>
  <w:num w:numId="35">
    <w:abstractNumId w:val="70"/>
  </w:num>
  <w:num w:numId="36">
    <w:abstractNumId w:val="14"/>
  </w:num>
  <w:num w:numId="37">
    <w:abstractNumId w:val="60"/>
  </w:num>
  <w:num w:numId="38">
    <w:abstractNumId w:val="21"/>
  </w:num>
  <w:num w:numId="39">
    <w:abstractNumId w:val="59"/>
  </w:num>
  <w:num w:numId="40">
    <w:abstractNumId w:val="56"/>
  </w:num>
  <w:num w:numId="41">
    <w:abstractNumId w:val="28"/>
  </w:num>
  <w:num w:numId="42">
    <w:abstractNumId w:val="64"/>
  </w:num>
  <w:num w:numId="43">
    <w:abstractNumId w:val="4"/>
  </w:num>
  <w:num w:numId="44">
    <w:abstractNumId w:val="66"/>
  </w:num>
  <w:num w:numId="45">
    <w:abstractNumId w:val="67"/>
  </w:num>
  <w:num w:numId="46">
    <w:abstractNumId w:val="52"/>
  </w:num>
  <w:num w:numId="47">
    <w:abstractNumId w:val="42"/>
  </w:num>
  <w:num w:numId="48">
    <w:abstractNumId w:val="16"/>
  </w:num>
  <w:num w:numId="49">
    <w:abstractNumId w:val="3"/>
  </w:num>
  <w:num w:numId="50">
    <w:abstractNumId w:val="33"/>
  </w:num>
  <w:num w:numId="51">
    <w:abstractNumId w:val="68"/>
  </w:num>
  <w:num w:numId="52">
    <w:abstractNumId w:val="51"/>
  </w:num>
  <w:num w:numId="53">
    <w:abstractNumId w:val="46"/>
  </w:num>
  <w:num w:numId="54">
    <w:abstractNumId w:val="69"/>
  </w:num>
  <w:num w:numId="55">
    <w:abstractNumId w:val="15"/>
  </w:num>
  <w:num w:numId="56">
    <w:abstractNumId w:val="63"/>
  </w:num>
  <w:num w:numId="57">
    <w:abstractNumId w:val="17"/>
  </w:num>
  <w:num w:numId="58">
    <w:abstractNumId w:val="13"/>
  </w:num>
  <w:num w:numId="59">
    <w:abstractNumId w:val="71"/>
  </w:num>
  <w:num w:numId="60">
    <w:abstractNumId w:val="20"/>
  </w:num>
  <w:num w:numId="61">
    <w:abstractNumId w:val="49"/>
  </w:num>
  <w:num w:numId="62">
    <w:abstractNumId w:val="53"/>
  </w:num>
  <w:num w:numId="63">
    <w:abstractNumId w:val="32"/>
  </w:num>
  <w:num w:numId="64">
    <w:abstractNumId w:val="22"/>
  </w:num>
  <w:num w:numId="65">
    <w:abstractNumId w:val="34"/>
  </w:num>
  <w:num w:numId="66">
    <w:abstractNumId w:val="19"/>
  </w:num>
  <w:num w:numId="67">
    <w:abstractNumId w:val="54"/>
  </w:num>
  <w:num w:numId="68">
    <w:abstractNumId w:val="12"/>
  </w:num>
  <w:num w:numId="69">
    <w:abstractNumId w:val="18"/>
  </w:num>
  <w:num w:numId="70">
    <w:abstractNumId w:val="26"/>
  </w:num>
  <w:num w:numId="71">
    <w:abstractNumId w:val="47"/>
  </w:num>
  <w:num w:numId="72">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3AB4"/>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E6335"/>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