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大气成分多源数据服务能力提升和温室气体多源数据优化溯源流程化算法采购项目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ZQCD-25081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中国气象局气象探测中心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大气成分多源数据服务能力提升和温室气体多源数据优化溯源流程化算法采购项目</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ZQCD-25081</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合同签订后12个月内完成。</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2025年08月01日 00:00:00</w:t>
      </w:r>
      <w:bookmarkEnd w:id="27"/>
      <w:r>
        <w:rPr>
          <w:rFonts w:ascii="宋体" w:hint="eastAsia"/>
          <w:szCs w:val="21"/>
          <w:highlight w:val="none"/>
        </w:rPr>
        <w:t>至</w:t>
      </w:r>
      <w:bookmarkStart w:id="28" w:name="项目公告_signUpLastTime"/>
      <w:r>
        <w:rPr>
          <w:rFonts w:ascii="宋体" w:hint="eastAsia"/>
          <w:szCs w:val="21"/>
          <w:highlight w:val="none"/>
        </w:rPr>
        <w:t>2025年08月08日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2025年09月05日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北京市海淀区中关村南大街46号中国气象局北区8号楼4层404会议室（科技大楼前草坪西侧），届时请投标人的法定代表人或其授权的投标人授权代表准时到场参加。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陈龙光</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58995155</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中国气象局气象探测中心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娄梦筠</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010-58995362</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北京市海淀区中关村南大街46号北区27号楼</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中国气象局气象探测中心</w:t>
            </w:r>
            <w:bookmarkEnd w:id="39"/>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5 人的服务团队，具体要求详见第七章采购需求。</w:t>
            </w:r>
            <w:bookmarkEnd w:id="43"/>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3 人，其相关要求详见第七章采购需求。</w:t>
            </w:r>
            <w:bookmarkEnd w:id="44"/>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bookmarkStart w:id="46" w:name="_GoBack"/>
            <w:bookmarkEnd w:id="46"/>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r>
              <w:rPr>
                <w:rFonts w:ascii="宋体" w:eastAsia="宋体" w:hAnsi="宋体" w:cs="微软雅黑" w:hint="eastAsia"/>
                <w:kern w:val="0"/>
                <w:szCs w:val="21"/>
                <w:highlight w:val="none"/>
              </w:rPr>
              <w:t>进口产品制造商授权书</w:t>
            </w:r>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标的：大气成分多源数据服务能力提升和温室气体多源数据优化溯源流程化算法，属于软件和信息技术服务业行业。</w:t>
            </w:r>
            <w:bookmarkEnd w:id="47"/>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是，代理服务费：3.6万元。</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0" w:type="auto"/>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0" w:type="auto"/>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357.000000</w:t>
            </w:r>
            <w:bookmarkEnd w:id="53"/>
            <w:r>
              <w:rPr>
                <w:rFonts w:ascii="宋体" w:eastAsia="宋体" w:hAnsi="宋体" w:cs="微软雅黑" w:hint="eastAsia"/>
                <w:kern w:val="0"/>
                <w:szCs w:val="21"/>
                <w:highlight w:val="none"/>
              </w:rPr>
              <w:t>万元</w:t>
            </w:r>
            <w:r>
              <w:rPr>
                <w:rFonts w:ascii="Times New Roman" w:eastAsia="宋体" w:hAnsi="Times New Roman" w:cs="Times New Roman"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1.22.1、1.22.2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eastAsia="宋体" w:hAnsi="宋体" w:cs="Times New Roman" w:hint="eastAsia"/>
                <w:bCs/>
                <w:szCs w:val="21"/>
                <w:highlight w:val="none"/>
              </w:rPr>
              <w:t>除通过系统</w:t>
            </w:r>
            <w:r>
              <w:rPr>
                <w:rFonts w:ascii="宋体" w:eastAsia="宋体" w:hAnsi="Calibri" w:cs="微软雅黑" w:hint="eastAsia"/>
                <w:szCs w:val="21"/>
                <w:highlight w:val="none"/>
              </w:rPr>
              <w:t>上传加密的电子投标文件外，同时在线下提供</w:t>
            </w:r>
            <w:r>
              <w:rPr>
                <w:rFonts w:ascii="宋体" w:eastAsia="宋体" w:hAnsi="宋体" w:cs="Times New Roman" w:hint="eastAsia"/>
                <w:bCs/>
                <w:szCs w:val="21"/>
                <w:highlight w:val="none"/>
              </w:rPr>
              <w:t>通过系统下载的投标文件电子版文件包（使用</w:t>
            </w:r>
            <w:r>
              <w:rPr>
                <w:rFonts w:ascii="Calibri" w:eastAsia="宋体" w:hAnsi="Calibri" w:cs="Times New Roman" w:hint="eastAsia"/>
                <w:bCs/>
                <w:szCs w:val="22"/>
                <w:highlight w:val="none"/>
              </w:rPr>
              <w:t>不可擦写的刻录光盘或其他只读存储介质）</w:t>
            </w:r>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ascii="Times New Roman" w:eastAsia="宋体" w:hAnsi="Times New Roman" w:cs="Times New Roman"/>
                <w:szCs w:val="20"/>
                <w:highlight w:val="none"/>
              </w:rPr>
            </w:pPr>
          </w:p>
        </w:tc>
        <w:tc>
          <w:tcPr>
            <w:tcW w:w="1418" w:type="dxa"/>
            <w:noWrap w:val="0"/>
            <w:vAlign w:val="center"/>
          </w:tcPr>
          <w:p>
            <w:pPr>
              <w:rPr>
                <w:rFonts w:ascii="Times New Roman" w:eastAsia="宋体" w:hAnsi="Times New Roman" w:cs="Times New Roman"/>
                <w:szCs w:val="20"/>
                <w:highlight w:val="none"/>
              </w:rPr>
            </w:pPr>
          </w:p>
        </w:tc>
        <w:tc>
          <w:tcPr>
            <w:tcW w:w="1701" w:type="dxa"/>
            <w:noWrap w:val="0"/>
            <w:vAlign w:val="center"/>
          </w:tcPr>
          <w:p>
            <w:pPr>
              <w:rPr>
                <w:rFonts w:ascii="Times New Roman" w:eastAsia="宋体" w:hAnsi="Times New Roman" w:cs="Times New Roman"/>
                <w:szCs w:val="20"/>
                <w:highlight w:val="none"/>
              </w:rPr>
            </w:pPr>
          </w:p>
        </w:tc>
        <w:tc>
          <w:tcPr>
            <w:tcW w:w="5209" w:type="dxa"/>
            <w:noWrap w:val="0"/>
            <w:vAlign w:val="center"/>
          </w:tcPr>
          <w:p>
            <w:pPr>
              <w:rPr>
                <w:rFonts w:ascii="Times New Roman" w:eastAsia="宋体" w:hAnsi="Times New Roman" w:cs="Times New Roman"/>
                <w:szCs w:val="20"/>
                <w:highlight w:val="none"/>
              </w:rPr>
            </w:pP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5" w:name="进行述标_describeStandardFlagText"/>
            <w:r>
              <w:rPr>
                <w:rFonts w:ascii="宋体" w:eastAsia="宋体" w:hAnsi="宋体" w:cs="微软雅黑" w:hint="eastAsia"/>
                <w:kern w:val="0"/>
                <w:szCs w:val="21"/>
                <w:highlight w:val="none"/>
              </w:rPr>
              <w:t>否</w:t>
            </w:r>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6" w:name="其他事项_ottherReemarks"/>
            <w:r>
              <w:rPr>
                <w:rFonts w:ascii="Times New Roman" w:eastAsia="宋体" w:hAnsi="Times New Roman" w:cs="Times New Roman"/>
                <w:szCs w:val="21"/>
                <w:highlight w:val="none"/>
              </w:rPr>
              <w:t>无</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(2)</w:t>
            </w:r>
          </w:p>
        </w:tc>
        <w:tc>
          <w:tcPr/>
          <w:p>
            <w:r>
              <w:t>评审标准：</w:t>
            </w:r>
          </w:p>
          <w:p>
            <w:r>
              <w:t>提供 ISO9001 质量管理体系认证或同等质量管理体系认证证书，得2分；不提供得0分。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投标人实力（客观分）</w:t>
            </w:r>
          </w:p>
        </w:tc>
        <w:tc>
          <w:tcPr/>
          <w:p>
            <w:r>
              <w:t>区间打分</w:t>
            </w:r>
            <w:r>
              <w:t>(14)</w:t>
            </w:r>
          </w:p>
        </w:tc>
        <w:tc>
          <w:tcPr/>
          <w:p>
            <w:r>
              <w:t>评审标准：</w:t>
            </w:r>
          </w:p>
          <w:p>
            <w:r>
              <w:t>1、提供与本项目类似系统（软件）著作权证书，提供与大气成分数据处理、分析相关的系统（软件）著作权证书，提供1份得2分；其他类似系统（软件）著作权证书，提供1份得1分，最多得6分。</w:t>
              <w:cr/>
              <w:t>2、具备气象领域相关算法开发能力，提供项目案例和对应用户验收报告。每提供 1 个案例得4分，最高得8分，不提供不得分。</w:t>
            </w:r>
          </w:p>
          <w:p>
            <w:r>
              <w:t>评审标准说明：</w:t>
            </w:r>
          </w:p>
          <w:p>
            <w:r>
              <w:t>投标人提供原始取得的软件著作权证书，并加盖投标人公章。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勾选打分</w:t>
            </w:r>
            <w:r>
              <w:t>(20)</w:t>
            </w:r>
          </w:p>
        </w:tc>
        <w:tc>
          <w:tcPr/>
          <w:p>
            <w:r>
              <w:t>评审标准：</w:t>
            </w:r>
          </w:p>
          <w:p>
            <w:r>
              <w:t>投标人应组成本项目开发服务团队，团队组织结构清晰，应设服务团队负责人（项目经理）、技术负责人、系统架构师，人员专业背景齐全。具体如下：</w:t>
              <w:cr/>
              <w:t>1、团队人数至少5人,其中驻场人员至少3人，其中至少5人具有至少1年以上与本项目类似软件开发的经验。完全满足得5分，否则不得分。</w:t>
              <w:cr/>
              <w:t>2、团队负责人（项目经理）应有信息系统项目管理师（高级）资格证书，有本项目类似项目工作经验1年以上。完全满足得5分，否则不得分；</w:t>
              <w:cr/>
              <w:t>3、技术负责人必须具有系统集成项目管理工程师（中级）资格证书，有本项目类似项目工作经验1年以上。完全满足得5分，否则不得分。</w:t>
              <w:cr/>
              <w:t>4、系统架构师必须具有系统架构设计师（高级）资格证书，有本项目类似项目工作经验1年以上。完全满足得5分，否则不得分。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投标人应提供该项评审标准中要求的培训课时承诺，以及培训方案。承诺的培训课时达不到要求，或者培训课时与培训方案中课表的课时不符，视同未承诺。具体标准评分如下：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8</w:t>
            </w:r>
          </w:p>
        </w:tc>
        <w:tc>
          <w:tcPr>
            <w:vMerge/>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9</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10</w:t>
            </w:r>
          </w:p>
        </w:tc>
        <w:tc>
          <w:tcPr>
            <w:vMerge w:val="restart"/>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11</w:t>
            </w:r>
          </w:p>
        </w:tc>
        <w:tc>
          <w:tcPr>
            <w:vMerge/>
          </w:tcPr>
          <w:p>
            <w:r>
              <w:t>技术部分</w:t>
            </w:r>
          </w:p>
        </w:tc>
        <w:tc>
          <w:tcPr/>
          <w:p>
            <w:r>
              <w:t>软件功能开发需求分析（主观分）</w:t>
            </w:r>
          </w:p>
        </w:tc>
        <w:tc>
          <w:tcPr/>
          <w:p>
            <w:r>
              <w:t>勾选打分</w:t>
            </w:r>
            <w:r>
              <w:t>(2)</w:t>
            </w:r>
          </w:p>
        </w:tc>
        <w:tc>
          <w:tcPr/>
          <w:p>
            <w:r>
              <w:t>评审标准：</w:t>
            </w:r>
          </w:p>
          <w:p>
            <w:r>
              <w:t>一档0分</w:t>
              <w:cr/>
              <w:t>二档0.5分</w:t>
              <w:cr/>
              <w:t>三档1分</w:t>
              <w:cr/>
              <w:t>四档2分</w:t>
            </w:r>
          </w:p>
          <w:p>
            <w:r>
              <w:t>评审标准说明：</w:t>
            </w:r>
          </w:p>
          <w:p>
            <w:r>
              <w:t>提供软件系统各模块功能需求分析。具体评分标准如下：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12</w:t>
            </w:r>
          </w:p>
        </w:tc>
        <w:tc>
          <w:tcPr>
            <w:vMerge/>
          </w:tcPr>
          <w:p>
            <w:r>
              <w:t>技术部分</w:t>
            </w:r>
          </w:p>
        </w:tc>
        <w:tc>
          <w:tcPr/>
          <w:p>
            <w:r>
              <w:t>软件非功能需求分析（主观分）</w:t>
            </w:r>
          </w:p>
        </w:tc>
        <w:tc>
          <w:tcPr/>
          <w:p>
            <w:r>
              <w:t>勾选打分</w:t>
            </w:r>
            <w:r>
              <w:t>(2)</w:t>
            </w:r>
          </w:p>
        </w:tc>
        <w:tc>
          <w:tcPr/>
          <w:p>
            <w:r>
              <w:t>评审标准：</w:t>
            </w:r>
          </w:p>
          <w:p>
            <w:r>
              <w:t>一档0分</w:t>
              <w:cr/>
              <w:t>二档0.5分</w:t>
              <w:cr/>
              <w:t>三档1分</w:t>
              <w:cr/>
              <w:t>四档2分</w:t>
            </w:r>
          </w:p>
          <w:p>
            <w:r>
              <w:t>评审标准说明：</w:t>
            </w:r>
          </w:p>
          <w:p>
            <w:r>
              <w:t>提供软件系统非功能及性能需求分析，具体评分标准如下：</w:t>
              <w:cr/>
              <w:t>一档：无软件非功能及性能开发需求分析；</w:t>
              <w:cr/>
              <w:t>二档：软件非功能及性能分析不完整、不具体，合理性一般；</w:t>
              <w:cr/>
              <w:t>三档：软件非功能及性能开发需求分析较完整、具体、合理，但分析简单不充分详细；</w:t>
              <w:cr/>
              <w:t>四档：软件非功能及性能开发需求分析完整、具体、合理，分析充分详细，完全覆盖招标文件要求。</w:t>
            </w:r>
          </w:p>
          <w:p/>
        </w:tc>
      </w:tr>
      <w:tr>
        <w:tblPrEx>
          <w:tblW w:w="5000" w:type="pct"/>
          <w:tblCellMar>
            <w:left w:w="108" w:type="dxa"/>
            <w:right w:w="108" w:type="dxa"/>
          </w:tblCellMar>
        </w:tblPrEx>
        <w:tc>
          <w:tcPr/>
          <w:p>
            <w:r>
              <w:t>13</w:t>
            </w:r>
          </w:p>
        </w:tc>
        <w:tc>
          <w:tcPr>
            <w:vMerge/>
          </w:tcPr>
          <w:p>
            <w:r>
              <w:t>技术部分</w:t>
            </w:r>
          </w:p>
        </w:tc>
        <w:tc>
          <w:tcPr/>
          <w:p>
            <w:r>
              <w:t>软件数据需求分析（主观分）</w:t>
            </w:r>
          </w:p>
        </w:tc>
        <w:tc>
          <w:tcPr/>
          <w:p>
            <w:r>
              <w:t>勾选打分</w:t>
            </w:r>
            <w:r>
              <w:t>(2)</w:t>
            </w:r>
          </w:p>
        </w:tc>
        <w:tc>
          <w:tcPr/>
          <w:p>
            <w:r>
              <w:t>评审标准：</w:t>
            </w:r>
          </w:p>
          <w:p>
            <w:r>
              <w:t>一档0分</w:t>
              <w:cr/>
              <w:t>二档0.5分</w:t>
              <w:cr/>
              <w:t>三档1分</w:t>
              <w:cr/>
              <w:t>四档2分</w:t>
            </w:r>
          </w:p>
          <w:p>
            <w:r>
              <w:t>评审标准说明：</w:t>
            </w:r>
          </w:p>
          <w:p>
            <w:r>
              <w:t>提供数据需求分析内容，具体评分标准如下：</w:t>
              <w:cr/>
              <w:t>一档：无数据需求分析。</w:t>
              <w:cr/>
              <w:t>二档：数据需求分析覆盖不全面或分析欠合理。</w:t>
              <w:cr/>
              <w:t>三档：数据需求分析覆盖较全面、合理，但分析简单、不充分。</w:t>
              <w:cr/>
              <w:t>四档：数据需求分析涵盖全面、合理、详细、充分，完全覆盖招标文件要求。</w:t>
            </w:r>
          </w:p>
          <w:p/>
        </w:tc>
      </w:tr>
      <w:tr>
        <w:tblPrEx>
          <w:tblW w:w="5000" w:type="pct"/>
          <w:tblCellMar>
            <w:left w:w="108" w:type="dxa"/>
            <w:right w:w="108" w:type="dxa"/>
          </w:tblCellMar>
        </w:tblPrEx>
        <w:tc>
          <w:tcPr/>
          <w:p>
            <w:r>
              <w:t>14</w:t>
            </w:r>
          </w:p>
        </w:tc>
        <w:tc>
          <w:tcPr>
            <w:vMerge/>
          </w:tcPr>
          <w:p>
            <w:r>
              <w:t>技术部分</w:t>
            </w:r>
          </w:p>
        </w:tc>
        <w:tc>
          <w:tcPr/>
          <w:p>
            <w:r>
              <w:t>软件接口需求分析（主观分）</w:t>
            </w:r>
          </w:p>
        </w:tc>
        <w:tc>
          <w:tcPr/>
          <w:p>
            <w:r>
              <w:t>勾选打分</w:t>
            </w:r>
            <w:r>
              <w:t>(2)</w:t>
            </w:r>
          </w:p>
        </w:tc>
        <w:tc>
          <w:tcPr/>
          <w:p>
            <w:r>
              <w:t>评审标准：</w:t>
            </w:r>
          </w:p>
          <w:p>
            <w:r>
              <w:t>一档0分</w:t>
              <w:cr/>
              <w:t>二档0.5分</w:t>
              <w:cr/>
              <w:t>三档1分</w:t>
              <w:cr/>
              <w:t>四档2分</w:t>
            </w:r>
          </w:p>
          <w:p>
            <w:r>
              <w:t>评审标准说明：</w:t>
            </w:r>
          </w:p>
          <w:p>
            <w:r>
              <w:t>提供软件系统接口需求分析。具体评分标准如下：</w:t>
              <w:cr/>
              <w:t>一档：无接口需求分析；</w:t>
              <w:cr/>
              <w:t>二档：接口需求分析不完整、简单；</w:t>
              <w:cr/>
              <w:t>三档：接口需求分析较完整、详细，但针对性、合理性一般；</w:t>
              <w:cr/>
              <w:t>四档：接口需求分析完整、详细，针对性、合理性强，完全覆盖招标文件要求。</w:t>
            </w:r>
          </w:p>
          <w:p/>
        </w:tc>
      </w:tr>
      <w:tr>
        <w:tblPrEx>
          <w:tblW w:w="5000" w:type="pct"/>
          <w:tblCellMar>
            <w:left w:w="108" w:type="dxa"/>
            <w:right w:w="108" w:type="dxa"/>
          </w:tblCellMar>
        </w:tblPrEx>
        <w:tc>
          <w:tcPr/>
          <w:p>
            <w:r>
              <w:t>15</w:t>
            </w:r>
          </w:p>
        </w:tc>
        <w:tc>
          <w:tcPr>
            <w:vMerge/>
          </w:tcPr>
          <w:p>
            <w:r>
              <w:t>技术部分</w:t>
            </w:r>
          </w:p>
        </w:tc>
        <w:tc>
          <w:tcPr/>
          <w:p>
            <w:r>
              <w:t>软件关键技术识别（主观分）</w:t>
            </w:r>
          </w:p>
        </w:tc>
        <w:tc>
          <w:tcPr/>
          <w:p>
            <w:r>
              <w:t>勾选打分</w:t>
            </w:r>
            <w:r>
              <w:t>(2)</w:t>
            </w:r>
          </w:p>
        </w:tc>
        <w:tc>
          <w:tcPr/>
          <w:p>
            <w:r>
              <w:t>评审标准：</w:t>
            </w:r>
          </w:p>
          <w:p>
            <w:r>
              <w:t>一档0分</w:t>
              <w:cr/>
              <w:t>二档0.5分</w:t>
              <w:cr/>
              <w:t>三档1分</w:t>
              <w:cr/>
              <w:t>四档2分</w:t>
            </w:r>
          </w:p>
          <w:p>
            <w:r>
              <w:t>评审标准说明：</w:t>
            </w:r>
          </w:p>
          <w:p>
            <w:r>
              <w:t>对项目的技术特点认识深入，准确识别软件系统关键技术问题，并提出详细合理的解决方案。具体评分标准如下：</w:t>
              <w:cr/>
              <w:t>一档：未进行软件关键技术识别分析；</w:t>
              <w:cr/>
              <w:t>二档：提供了软件关键技术识别分析，但不能准确识别软件系统关键技术问题；</w:t>
              <w:cr/>
              <w:t>三档：能准确识别软件系统关键技术问题，但未提供详细合理解决方案；</w:t>
              <w:cr/>
              <w:t>四档：对项目的技术特点认识深入，准确识别软件系统关键技术问题，并提出详细合理的解决方案。</w:t>
            </w:r>
          </w:p>
          <w:p/>
        </w:tc>
      </w:tr>
      <w:tr>
        <w:tblPrEx>
          <w:tblW w:w="5000" w:type="pct"/>
          <w:tblCellMar>
            <w:left w:w="108" w:type="dxa"/>
            <w:right w:w="108" w:type="dxa"/>
          </w:tblCellMar>
        </w:tblPrEx>
        <w:tc>
          <w:tcPr/>
          <w:p>
            <w:r>
              <w:t>16</w:t>
            </w:r>
          </w:p>
        </w:tc>
        <w:tc>
          <w:tcPr>
            <w:vMerge/>
          </w:tcPr>
          <w:p>
            <w:r>
              <w:t>技术部分</w:t>
            </w:r>
          </w:p>
        </w:tc>
        <w:tc>
          <w:tcPr/>
          <w:p>
            <w:r>
              <w:t>系统整体架构技术方案（主观分）</w:t>
            </w:r>
          </w:p>
        </w:tc>
        <w:tc>
          <w:tcPr/>
          <w:p>
            <w:r>
              <w:t>勾选打分</w:t>
            </w:r>
            <w:r>
              <w:t>(2)</w:t>
            </w:r>
          </w:p>
        </w:tc>
        <w:tc>
          <w:tcPr/>
          <w:p>
            <w:r>
              <w:t>评审标准：</w:t>
            </w:r>
          </w:p>
          <w:p>
            <w:r>
              <w:t>一档0分</w:t>
              <w:cr/>
              <w:t>二档0.5分</w:t>
              <w:cr/>
              <w:t>三档1分</w:t>
              <w:cr/>
              <w:t>四档2分</w:t>
            </w:r>
          </w:p>
          <w:p>
            <w:r>
              <w:t>评审标准说明：</w:t>
            </w:r>
          </w:p>
          <w:p>
            <w:r>
              <w:t>根据提交的系统整体架构设计技术方案评分：</w:t>
              <w:cr/>
              <w:t>一档：未提供；</w:t>
              <w:cr/>
              <w:t>二档：系统整体架构设计有一定合理性，但无针对性，功能不完整；</w:t>
              <w:cr/>
              <w:t>三档：系统整体架构设计基本合理可行，有一定针对性，功能完整；</w:t>
              <w:cr/>
              <w:t>四档：系统整体架构设计合理可行，技术先进，功能完整，针对性强。</w:t>
            </w:r>
          </w:p>
          <w:p/>
        </w:tc>
      </w:tr>
      <w:tr>
        <w:tblPrEx>
          <w:tblW w:w="5000" w:type="pct"/>
          <w:tblCellMar>
            <w:left w:w="108" w:type="dxa"/>
            <w:right w:w="108" w:type="dxa"/>
          </w:tblCellMar>
        </w:tblPrEx>
        <w:tc>
          <w:tcPr/>
          <w:p>
            <w:r>
              <w:t>17</w:t>
            </w:r>
          </w:p>
        </w:tc>
        <w:tc>
          <w:tcPr>
            <w:vMerge/>
          </w:tcPr>
          <w:p>
            <w:r>
              <w:t>技术部分</w:t>
            </w:r>
          </w:p>
        </w:tc>
        <w:tc>
          <w:tcPr/>
          <w:p>
            <w:r>
              <w:t>系统接口设计技术方案（主观分）</w:t>
            </w:r>
          </w:p>
        </w:tc>
        <w:tc>
          <w:tcPr/>
          <w:p>
            <w:r>
              <w:t>勾选打分</w:t>
            </w:r>
            <w:r>
              <w:t>(2)</w:t>
            </w:r>
          </w:p>
        </w:tc>
        <w:tc>
          <w:tcPr/>
          <w:p>
            <w:r>
              <w:t>评审标准：</w:t>
            </w:r>
          </w:p>
          <w:p>
            <w:r>
              <w:t>一档0分</w:t>
              <w:cr/>
              <w:t>二档0.5分</w:t>
              <w:cr/>
              <w:t>三档1分</w:t>
              <w:cr/>
              <w:t>四档2分</w:t>
            </w:r>
          </w:p>
          <w:p>
            <w:r>
              <w:t>评审标准说明：</w:t>
            </w:r>
          </w:p>
          <w:p>
            <w:r>
              <w:t>根据提交的系统接口设计技术方案评分：</w:t>
              <w:cr/>
              <w:t>一档：未提供。</w:t>
              <w:cr/>
              <w:t>二档：系统接口设计有一定合理性，但无针对性，功能不完整；</w:t>
              <w:cr/>
              <w:t>三档：系统接口设计基本合理可行，有一定针对性，功能完整；</w:t>
              <w:cr/>
              <w:t>四档：系统接口设计合理可行，技术先进，功能完整，针对性强。</w:t>
            </w:r>
          </w:p>
          <w:p/>
        </w:tc>
      </w:tr>
      <w:tr>
        <w:tblPrEx>
          <w:tblW w:w="5000" w:type="pct"/>
          <w:tblCellMar>
            <w:left w:w="108" w:type="dxa"/>
            <w:right w:w="108" w:type="dxa"/>
          </w:tblCellMar>
        </w:tblPrEx>
        <w:tc>
          <w:tcPr/>
          <w:p>
            <w:r>
              <w:t>18</w:t>
            </w:r>
          </w:p>
        </w:tc>
        <w:tc>
          <w:tcPr>
            <w:vMerge/>
          </w:tcPr>
          <w:p>
            <w:r>
              <w:t>技术部分</w:t>
            </w:r>
          </w:p>
        </w:tc>
        <w:tc>
          <w:tcPr/>
          <w:p>
            <w:r>
              <w:t>模块设计技术方案（主观分）</w:t>
            </w:r>
          </w:p>
        </w:tc>
        <w:tc>
          <w:tcPr/>
          <w:p>
            <w:r>
              <w:t>区间打分</w:t>
            </w:r>
            <w:r>
              <w:t>(12)</w:t>
            </w:r>
          </w:p>
        </w:tc>
        <w:tc>
          <w:tcPr/>
          <w:p>
            <w:r>
              <w:t>评审标准：</w:t>
            </w:r>
          </w:p>
          <w:p>
            <w:r>
              <w:t>提交如下模块技术方案：</w:t>
              <w:cr/>
              <w:t>1、大气成分多源数据服务能力提升</w:t>
              <w:cr/>
              <w:t>2、温室气体多源数据优化溯源流程化算法</w:t>
              <w:cr/>
              <w:t>以上每个模块</w:t>
              <w:cr/>
              <w:t>一档0分</w:t>
              <w:cr/>
              <w:t>二档1分</w:t>
              <w:cr/>
              <w:t>三档3分</w:t>
              <w:cr/>
              <w:t>四档6分</w:t>
              <w:cr/>
              <w:t>以上共计2模块，满分12分。</w:t>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19</w:t>
            </w:r>
          </w:p>
        </w:tc>
        <w:tc>
          <w:tcPr>
            <w:vMerge/>
          </w:tcPr>
          <w:p>
            <w:r>
              <w:t>技术部分</w:t>
            </w:r>
          </w:p>
        </w:tc>
        <w:tc>
          <w:tcPr/>
          <w:p>
            <w:r>
              <w:t>项目需求理解（主观分）</w:t>
            </w:r>
          </w:p>
        </w:tc>
        <w:tc>
          <w:tcPr/>
          <w:p>
            <w:r>
              <w:t>勾选打分</w:t>
            </w:r>
            <w:r>
              <w:t>(2)</w:t>
            </w:r>
          </w:p>
        </w:tc>
        <w:tc>
          <w:tcPr/>
          <w:p>
            <w:r>
              <w:t>评审标准：</w:t>
            </w:r>
          </w:p>
          <w:p>
            <w:r>
              <w:t>一档0分</w:t>
              <w:cr/>
              <w:t>二档0.5分</w:t>
              <w:cr/>
              <w:t>三档1分</w:t>
              <w:cr/>
              <w:t>四档2分</w:t>
            </w:r>
          </w:p>
          <w:p>
            <w:r>
              <w:t>评审标准说明：</w:t>
            </w:r>
          </w:p>
          <w:p>
            <w:r>
              <w:t>结合项目需求、背景、现状情况等对项目进行需求分析理解。</w:t>
              <w:cr/>
              <w:t>一档：未提供。</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20</w:t>
            </w:r>
          </w:p>
        </w:tc>
        <w:tc>
          <w:tcPr>
            <w:vMerge/>
          </w:tcPr>
          <w:p>
            <w:r>
              <w:t>技术部分</w:t>
            </w:r>
          </w:p>
        </w:tc>
        <w:tc>
          <w:tcPr/>
          <w:p>
            <w:r>
              <w:t>针对本项目的合理化建议（主观分）</w:t>
            </w:r>
          </w:p>
        </w:tc>
        <w:tc>
          <w:tcPr/>
          <w:p>
            <w:r>
              <w:t>勾选打分</w:t>
            </w:r>
            <w:r>
              <w:t>(2)</w:t>
            </w:r>
          </w:p>
        </w:tc>
        <w:tc>
          <w:tcPr/>
          <w:p>
            <w:r>
              <w:t>评审标准：</w:t>
            </w:r>
          </w:p>
          <w:p>
            <w:r>
              <w:t>每提供一条合理化建议得1分，满分2分。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21</w:t>
            </w:r>
          </w:p>
        </w:tc>
        <w:tc>
          <w:tcPr>
            <w:vMerge/>
          </w:tcPr>
          <w:p>
            <w:r>
              <w:t>技术部分</w:t>
            </w:r>
          </w:p>
        </w:tc>
        <w:tc>
          <w:tcPr/>
          <w:p>
            <w:r>
              <w:t>风险管理方案（主观分）</w:t>
            </w:r>
          </w:p>
        </w:tc>
        <w:tc>
          <w:tcPr/>
          <w:p>
            <w:r>
              <w:t>勾选打分</w:t>
            </w:r>
            <w:r>
              <w:t>(2)</w:t>
            </w:r>
          </w:p>
        </w:tc>
        <w:tc>
          <w:tcPr/>
          <w:p>
            <w:r>
              <w:t>评审标准：</w:t>
            </w:r>
          </w:p>
          <w:p>
            <w:r>
              <w:t>一档0分</w:t>
              <w:cr/>
              <w:t>二档0.5分</w:t>
              <w:cr/>
              <w:t>三档1分</w:t>
              <w:cr/>
              <w:t>四档2分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rsidR="00A77B3E">
      <w:bookmarkEnd w:id="57"/>
    </w:p>
    <w:p>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r>
        <w:rPr>
          <w:rFonts w:ascii="宋体" w:eastAsia="宋体" w:hAnsi="宋体" w:cs="Times New Roman" w:hint="eastAsia"/>
          <w:b/>
          <w:sz w:val="30"/>
          <w:szCs w:val="30"/>
        </w:rPr>
        <w:t>第</w:t>
      </w:r>
      <w:r>
        <w:rPr>
          <w:rFonts w:ascii="宋体" w:hAnsi="宋体" w:cs="Times New Roman" w:hint="eastAsia"/>
          <w:b/>
          <w:sz w:val="30"/>
          <w:szCs w:val="30"/>
          <w:lang w:eastAsia="zh-CN"/>
        </w:rPr>
        <w:t>七</w:t>
      </w:r>
      <w:r>
        <w:rPr>
          <w:rFonts w:ascii="宋体" w:eastAsia="宋体" w:hAnsi="宋体" w:cs="Times New Roman" w:hint="eastAsia"/>
          <w:b/>
          <w:sz w:val="30"/>
          <w:szCs w:val="30"/>
        </w:rPr>
        <w:t>章  采购需求</w:t>
      </w:r>
    </w:p>
    <w:p>
      <w:pPr>
        <w:pStyle w:val="ListParagraph"/>
        <w:numPr>
          <w:ilvl w:val="0"/>
          <w:numId w:val="4"/>
        </w:numPr>
        <w:tabs>
          <w:tab w:val="left" w:pos="617"/>
        </w:tabs>
        <w:spacing w:line="360" w:lineRule="auto"/>
        <w:ind w:left="420" w:hanging="420" w:firstLineChars="0"/>
        <w:jc w:val="left"/>
        <w:outlineLvl w:val="0"/>
        <w:rPr>
          <w:rFonts w:asciiTheme="minorEastAsia" w:hAnsiTheme="minorEastAsia" w:cs="宋体"/>
          <w:b/>
          <w:bCs/>
          <w:color w:val="000000"/>
          <w:szCs w:val="21"/>
        </w:rPr>
      </w:pPr>
      <w:r>
        <w:rPr>
          <w:rFonts w:asciiTheme="minorEastAsia" w:hAnsiTheme="minorEastAsia" w:cs="宋体" w:hint="eastAsia"/>
          <w:b/>
          <w:bCs/>
          <w:color w:val="000000"/>
          <w:szCs w:val="21"/>
        </w:rPr>
        <w:t>建设目标</w:t>
      </w:r>
    </w:p>
    <w:p>
      <w:pPr>
        <w:spacing w:line="360" w:lineRule="auto"/>
        <w:ind w:firstLine="420" w:firstLineChars="200"/>
        <w:rPr>
          <w:rFonts w:asciiTheme="minorEastAsia" w:hAnsiTheme="minorEastAsia" w:cs="宋体"/>
        </w:rPr>
      </w:pPr>
      <w:r>
        <w:rPr>
          <w:rFonts w:asciiTheme="minorEastAsia" w:hAnsiTheme="minorEastAsia" w:cs="宋体" w:hint="eastAsia"/>
        </w:rPr>
        <w:t>通过大气成分多源数据服务能力提升的建设，实现基于多源数据的大气CO</w:t>
      </w:r>
      <w:r>
        <w:rPr>
          <w:rFonts w:asciiTheme="minorEastAsia" w:hAnsiTheme="minorEastAsia" w:cs="宋体" w:hint="eastAsia"/>
          <w:vertAlign w:val="subscript"/>
        </w:rPr>
        <w:t>2</w:t>
      </w:r>
      <w:r>
        <w:rPr>
          <w:rFonts w:asciiTheme="minorEastAsia" w:hAnsiTheme="minorEastAsia" w:cs="宋体" w:hint="eastAsia"/>
        </w:rPr>
        <w:t>地面浓度产品及校验评估、实现卫星产品与地面观测气溶胶数据对比分析、完成天衡天衍综合气象观测数据质量控制系统升级改造与天衡天衍综合气象观测产品系统升级改造。进一步提升大气成分业务板块“观测-应用”全闭合与信息互联互通能力。</w:t>
      </w:r>
    </w:p>
    <w:p>
      <w:pPr>
        <w:spacing w:line="360" w:lineRule="auto"/>
        <w:ind w:firstLine="420" w:firstLineChars="200"/>
        <w:rPr>
          <w:rFonts w:asciiTheme="minorEastAsia" w:hAnsiTheme="minorEastAsia" w:cs="宋体"/>
        </w:rPr>
      </w:pPr>
      <w:r>
        <w:rPr>
          <w:rFonts w:asciiTheme="minorEastAsia" w:hAnsiTheme="minorEastAsia" w:cs="宋体" w:hint="eastAsia"/>
        </w:rPr>
        <w:t>通过温室气体多源数据优化溯源流程化算法建设，研究一整套全面的温室气体数据误差归因、高值溯源和优化算法，解决多维温室气体浓度测量差异与可解释问题。项目将利用先进的人工智能算法、多维数据集和模型优化技术，提高来自不同测量设备的温室气体观测的准确性和可靠性，并对观测数据进行分析溯源，追踪站点温室气体高值数据，为解释不同距离尺度、排放源的温室气体高值来源提供科学依据。</w:t>
      </w:r>
    </w:p>
    <w:p>
      <w:pPr>
        <w:pStyle w:val="ListParagraph"/>
        <w:numPr>
          <w:ilvl w:val="0"/>
          <w:numId w:val="4"/>
        </w:numPr>
        <w:tabs>
          <w:tab w:val="left" w:pos="617"/>
        </w:tabs>
        <w:spacing w:line="360" w:lineRule="auto"/>
        <w:ind w:left="420" w:hanging="420" w:firstLineChars="0"/>
        <w:jc w:val="left"/>
        <w:outlineLvl w:val="0"/>
        <w:rPr>
          <w:rFonts w:asciiTheme="minorEastAsia" w:hAnsiTheme="minorEastAsia" w:cs="宋体"/>
          <w:b/>
          <w:bCs/>
          <w:color w:val="000000"/>
          <w:szCs w:val="21"/>
        </w:rPr>
      </w:pPr>
      <w:r>
        <w:rPr>
          <w:rFonts w:asciiTheme="minorEastAsia" w:hAnsiTheme="minorEastAsia" w:cs="宋体" w:hint="eastAsia"/>
          <w:b/>
          <w:bCs/>
          <w:color w:val="000000"/>
          <w:szCs w:val="21"/>
        </w:rPr>
        <w:t>建设内容</w:t>
      </w:r>
    </w:p>
    <w:p>
      <w:pPr>
        <w:spacing w:line="360" w:lineRule="auto"/>
        <w:ind w:firstLine="420" w:firstLineChars="200"/>
        <w:rPr>
          <w:rFonts w:asciiTheme="minorEastAsia" w:hAnsiTheme="minorEastAsia" w:cs="宋体"/>
        </w:rPr>
      </w:pPr>
      <w:r>
        <w:rPr>
          <w:rFonts w:asciiTheme="minorEastAsia" w:hAnsiTheme="minorEastAsia" w:cs="宋体" w:hint="eastAsia"/>
        </w:rPr>
        <w:t>大气成分多源数据服务能力提升包括CO</w:t>
      </w:r>
      <w:r>
        <w:rPr>
          <w:rFonts w:asciiTheme="minorEastAsia" w:hAnsiTheme="minorEastAsia" w:cs="宋体" w:hint="eastAsia"/>
          <w:vertAlign w:val="subscript"/>
        </w:rPr>
        <w:t>2</w:t>
      </w:r>
      <w:r>
        <w:rPr>
          <w:rFonts w:asciiTheme="minorEastAsia" w:hAnsiTheme="minorEastAsia" w:cs="宋体" w:hint="eastAsia"/>
        </w:rPr>
        <w:t>多元产品服务能力建设。气溶胶星地对比分析能力建设，落实甲方对星地校验业务安排和科研谱系攻关内容开发。天衡天衍综合气象观测数据质量控制系统与天衡天衍综合气象观测产品系统升级改造，一体化平台总体集成、V10 版本框架建设，行政管理、雷达中心等业务功能建设，全生命数据、全流程管控、全资源支撑与全服务模型分系统基本功能建设，大气成分业务功能融入一体化平台。大气成分观测端业务软件、雷达云上性能监视 App、温室气体观测保障数智化和质控技术智能化开发</w:t>
      </w:r>
      <w:r>
        <w:rPr>
          <w:rFonts w:asciiTheme="minorEastAsia" w:hAnsiTheme="minorEastAsia" w:cs="宋体"/>
        </w:rPr>
        <w:t>4</w:t>
      </w:r>
      <w:r>
        <w:rPr>
          <w:rFonts w:asciiTheme="minorEastAsia" w:hAnsiTheme="minorEastAsia" w:cs="宋体" w:hint="eastAsia"/>
        </w:rPr>
        <w:t>项建设内容。</w:t>
      </w:r>
    </w:p>
    <w:p>
      <w:pPr>
        <w:spacing w:line="360" w:lineRule="auto"/>
        <w:ind w:firstLine="420" w:firstLineChars="200"/>
        <w:rPr>
          <w:rFonts w:asciiTheme="minorEastAsia" w:hAnsiTheme="minorEastAsia" w:cs="宋体"/>
        </w:rPr>
      </w:pPr>
      <w:r>
        <w:rPr>
          <w:rFonts w:asciiTheme="minorEastAsia" w:hAnsiTheme="minorEastAsia" w:cs="宋体" w:hint="eastAsia"/>
        </w:rPr>
        <w:t>温室气体多源数据优化溯源流程化算法包括AI驱动偏差</w:t>
      </w:r>
      <w:r>
        <w:rPr>
          <w:rFonts w:asciiTheme="minorEastAsia" w:hAnsiTheme="minorEastAsia" w:cs="仿宋_GB2312" w:hint="eastAsia"/>
          <w:color w:val="000000"/>
          <w:szCs w:val="32"/>
        </w:rPr>
        <w:t>校正计算、多维验证高值溯源解析和动态优化站网布局3项</w:t>
      </w:r>
      <w:r>
        <w:rPr>
          <w:rFonts w:asciiTheme="minorEastAsia" w:hAnsiTheme="minorEastAsia" w:cs="宋体" w:hint="eastAsia"/>
        </w:rPr>
        <w:t>建设内容</w:t>
      </w:r>
      <w:r>
        <w:rPr>
          <w:rFonts w:asciiTheme="minorEastAsia" w:hAnsiTheme="minorEastAsia" w:cs="仿宋_GB2312" w:hint="eastAsia"/>
          <w:color w:val="000000"/>
          <w:szCs w:val="32"/>
        </w:rPr>
        <w:t>。</w:t>
      </w:r>
    </w:p>
    <w:p>
      <w:pPr>
        <w:pStyle w:val="ListParagraph"/>
        <w:numPr>
          <w:ilvl w:val="0"/>
          <w:numId w:val="4"/>
        </w:numPr>
        <w:tabs>
          <w:tab w:val="left" w:pos="617"/>
        </w:tabs>
        <w:spacing w:line="360" w:lineRule="auto"/>
        <w:ind w:left="420" w:hanging="420" w:firstLineChars="0"/>
        <w:jc w:val="left"/>
        <w:outlineLvl w:val="0"/>
        <w:rPr>
          <w:rFonts w:asciiTheme="minorEastAsia" w:hAnsiTheme="minorEastAsia" w:cs="宋体"/>
          <w:b/>
          <w:bCs/>
          <w:color w:val="000000"/>
          <w:szCs w:val="21"/>
        </w:rPr>
      </w:pPr>
      <w:r>
        <w:rPr>
          <w:rFonts w:asciiTheme="minorEastAsia" w:hAnsiTheme="minorEastAsia" w:cs="宋体" w:hint="eastAsia"/>
          <w:b/>
          <w:bCs/>
          <w:color w:val="000000"/>
          <w:szCs w:val="21"/>
        </w:rPr>
        <w:t>技术及性能要求</w:t>
      </w:r>
    </w:p>
    <w:p>
      <w:pPr>
        <w:pStyle w:val="ListParagraph"/>
        <w:numPr>
          <w:ilvl w:val="0"/>
          <w:numId w:val="5"/>
        </w:numPr>
        <w:spacing w:line="360" w:lineRule="auto"/>
        <w:ind w:left="0" w:firstLine="422" w:firstLineChars="201"/>
        <w:outlineLvl w:val="1"/>
        <w:rPr>
          <w:rFonts w:asciiTheme="minorEastAsia" w:hAnsiTheme="minorEastAsia" w:cs="宋体"/>
          <w:b/>
          <w:bCs/>
          <w:color w:val="000000"/>
          <w:kern w:val="0"/>
          <w:szCs w:val="21"/>
        </w:rPr>
      </w:pPr>
      <w:r>
        <w:rPr>
          <w:rFonts w:asciiTheme="minorEastAsia" w:hAnsiTheme="minorEastAsia" w:cs="宋体" w:hint="eastAsia"/>
          <w:b/>
          <w:bCs/>
          <w:color w:val="000000"/>
          <w:kern w:val="0"/>
          <w:szCs w:val="21"/>
        </w:rPr>
        <w:t>大气成分多源数据服务能力提升建设功能要求</w:t>
      </w:r>
    </w:p>
    <w:p>
      <w:pPr>
        <w:numPr>
          <w:ilvl w:val="0"/>
          <w:numId w:val="6"/>
        </w:numPr>
        <w:tabs>
          <w:tab w:val="left" w:pos="724"/>
          <w:tab w:val="left" w:pos="1038"/>
        </w:tabs>
        <w:spacing w:line="360" w:lineRule="auto"/>
        <w:ind w:left="0" w:firstLine="420" w:firstLineChars="200"/>
        <w:outlineLvl w:val="2"/>
        <w:rPr>
          <w:rFonts w:asciiTheme="minorEastAsia" w:hAnsiTheme="minorEastAsia"/>
          <w:b/>
          <w:bCs/>
        </w:rPr>
      </w:pPr>
      <w:r>
        <w:rPr>
          <w:rFonts w:asciiTheme="minorEastAsia" w:hAnsiTheme="minorEastAsia" w:cs="Times New Roman" w:hint="eastAsia"/>
          <w:b/>
          <w:bCs/>
          <w:szCs w:val="20"/>
        </w:rPr>
        <w:t>CO</w:t>
      </w:r>
      <w:r>
        <w:rPr>
          <w:rFonts w:asciiTheme="minorEastAsia" w:hAnsiTheme="minorEastAsia" w:cs="Times New Roman" w:hint="eastAsia"/>
          <w:b/>
          <w:bCs/>
          <w:szCs w:val="20"/>
          <w:vertAlign w:val="subscript"/>
        </w:rPr>
        <w:t>2</w:t>
      </w:r>
      <w:r>
        <w:rPr>
          <w:rFonts w:asciiTheme="minorEastAsia" w:hAnsiTheme="minorEastAsia" w:cs="Times New Roman" w:hint="eastAsia"/>
          <w:b/>
          <w:bCs/>
          <w:szCs w:val="20"/>
        </w:rPr>
        <w:t>多元产品服务能力建设</w:t>
      </w:r>
    </w:p>
    <w:p>
      <w:pPr>
        <w:spacing w:line="360" w:lineRule="auto"/>
        <w:ind w:firstLine="420" w:firstLineChars="200"/>
        <w:rPr>
          <w:rFonts w:asciiTheme="minorEastAsia" w:hAnsiTheme="minorEastAsia" w:cs="仿宋_GB2312"/>
          <w:color w:val="000000"/>
          <w:szCs w:val="32"/>
        </w:rPr>
      </w:pPr>
      <w:r>
        <w:rPr>
          <w:rFonts w:asciiTheme="minorEastAsia" w:hAnsiTheme="minorEastAsia" w:cs="仿宋_GB2312" w:hint="eastAsia"/>
          <w:color w:val="000000"/>
          <w:szCs w:val="32"/>
        </w:rPr>
        <w:t>收集温室气体多源卫星资料、温室气体地面站自动观测数据，建立超分降尺度、AI分析算法、星地产品融合、星地校验评估等处理过程，支持生成大气</w:t>
      </w:r>
      <w:r>
        <w:rPr>
          <w:rFonts w:asciiTheme="minorEastAsia" w:hAnsiTheme="minorEastAsia" w:cs="仿宋_GB2312" w:hint="eastAsia"/>
          <w:bCs/>
          <w:color w:val="000000"/>
          <w:szCs w:val="32"/>
        </w:rPr>
        <w:t>CO</w:t>
      </w:r>
      <w:r>
        <w:rPr>
          <w:rFonts w:asciiTheme="minorEastAsia" w:hAnsiTheme="minorEastAsia" w:cs="仿宋_GB2312" w:hint="eastAsia"/>
          <w:bCs/>
          <w:color w:val="000000"/>
          <w:szCs w:val="32"/>
          <w:vertAlign w:val="subscript"/>
        </w:rPr>
        <w:t>2</w:t>
      </w:r>
      <w:r>
        <w:rPr>
          <w:rFonts w:asciiTheme="minorEastAsia" w:hAnsiTheme="minorEastAsia" w:cs="仿宋_GB2312" w:hint="eastAsia"/>
          <w:color w:val="000000"/>
          <w:szCs w:val="32"/>
        </w:rPr>
        <w:t>浓度分布网格产品，构建二氧化碳多源数据产品，提升</w:t>
      </w:r>
      <w:r>
        <w:rPr>
          <w:rFonts w:asciiTheme="minorEastAsia" w:hAnsiTheme="minorEastAsia" w:cs="仿宋_GB2312" w:hint="eastAsia"/>
          <w:bCs/>
          <w:color w:val="000000"/>
          <w:szCs w:val="32"/>
        </w:rPr>
        <w:t>CO</w:t>
      </w:r>
      <w:r>
        <w:rPr>
          <w:rFonts w:asciiTheme="minorEastAsia" w:hAnsiTheme="minorEastAsia" w:cs="仿宋_GB2312" w:hint="eastAsia"/>
          <w:bCs/>
          <w:color w:val="000000"/>
          <w:szCs w:val="32"/>
          <w:vertAlign w:val="subscript"/>
        </w:rPr>
        <w:t>2</w:t>
      </w:r>
      <w:r>
        <w:rPr>
          <w:rFonts w:asciiTheme="minorEastAsia" w:hAnsiTheme="minorEastAsia" w:cs="仿宋_GB2312" w:hint="eastAsia"/>
          <w:color w:val="000000"/>
          <w:szCs w:val="32"/>
        </w:rPr>
        <w:t>浓度产品制作能力和高质量数据支撑能力，并为科学研究、政策制定和环境保护提供重要依据。</w:t>
      </w:r>
    </w:p>
    <w:p>
      <w:pPr>
        <w:spacing w:line="360" w:lineRule="auto"/>
        <w:ind w:firstLine="420" w:firstLineChars="200"/>
        <w:rPr>
          <w:rFonts w:asciiTheme="minorEastAsia" w:hAnsiTheme="minorEastAsia" w:cs="仿宋_GB2312"/>
          <w:bCs/>
          <w:color w:val="000000"/>
          <w:szCs w:val="32"/>
        </w:rPr>
      </w:pPr>
      <w:r>
        <w:rPr>
          <w:rFonts w:asciiTheme="minorEastAsia" w:hAnsiTheme="minorEastAsia" w:cs="仿宋_GB2312" w:hint="eastAsia"/>
          <w:bCs/>
          <w:color w:val="000000"/>
          <w:szCs w:val="32"/>
        </w:rPr>
        <w:t>CO</w:t>
      </w:r>
      <w:r>
        <w:rPr>
          <w:rFonts w:asciiTheme="minorEastAsia" w:hAnsiTheme="minorEastAsia" w:cs="仿宋_GB2312" w:hint="eastAsia"/>
          <w:bCs/>
          <w:color w:val="000000"/>
          <w:szCs w:val="32"/>
          <w:vertAlign w:val="subscript"/>
        </w:rPr>
        <w:t>2</w:t>
      </w:r>
      <w:r>
        <w:rPr>
          <w:rFonts w:asciiTheme="minorEastAsia" w:hAnsiTheme="minorEastAsia" w:cs="仿宋_GB2312" w:hint="eastAsia"/>
          <w:bCs/>
          <w:color w:val="000000"/>
          <w:szCs w:val="32"/>
        </w:rPr>
        <w:t>多源数据融合应用子系统包含多源数据汇聚、数据处理、融合产品生成、统计分析。</w:t>
      </w:r>
    </w:p>
    <w:p>
      <w:pPr>
        <w:spacing w:line="360" w:lineRule="auto"/>
        <w:ind w:firstLine="420" w:firstLineChars="200"/>
        <w:rPr>
          <w:rFonts w:asciiTheme="minorEastAsia" w:hAnsiTheme="minorEastAsia" w:cs="仿宋_GB2312"/>
          <w:bCs/>
          <w:color w:val="000000"/>
          <w:szCs w:val="32"/>
        </w:rPr>
      </w:pPr>
      <w:r>
        <w:rPr>
          <w:rFonts w:asciiTheme="minorEastAsia" w:hAnsiTheme="minorEastAsia" w:cs="仿宋_GB2312" w:hint="eastAsia"/>
          <w:bCs/>
          <w:color w:val="000000"/>
          <w:szCs w:val="32"/>
        </w:rPr>
        <w:t>1）多源数据汇聚</w:t>
      </w:r>
    </w:p>
    <w:p>
      <w:pPr>
        <w:spacing w:line="360" w:lineRule="auto"/>
        <w:ind w:firstLine="420" w:firstLineChars="200"/>
        <w:rPr>
          <w:rFonts w:asciiTheme="minorEastAsia" w:hAnsiTheme="minorEastAsia" w:cs="仿宋_GB2312"/>
          <w:bCs/>
          <w:color w:val="000000"/>
          <w:szCs w:val="32"/>
        </w:rPr>
      </w:pPr>
      <w:r>
        <w:rPr>
          <w:rFonts w:asciiTheme="minorEastAsia" w:hAnsiTheme="minorEastAsia" w:cs="仿宋_GB2312" w:hint="eastAsia"/>
          <w:bCs/>
          <w:color w:val="000000"/>
          <w:szCs w:val="32"/>
        </w:rPr>
        <w:t>根据事先配置的采集规则、数据类型、采集周期采集OCO-2、GOSAT、CO</w:t>
      </w:r>
      <w:r>
        <w:rPr>
          <w:rFonts w:asciiTheme="minorEastAsia" w:hAnsiTheme="minorEastAsia" w:cs="仿宋_GB2312" w:hint="eastAsia"/>
          <w:bCs/>
          <w:color w:val="000000"/>
          <w:szCs w:val="32"/>
          <w:vertAlign w:val="subscript"/>
        </w:rPr>
        <w:t>2</w:t>
      </w:r>
      <w:r>
        <w:rPr>
          <w:rFonts w:asciiTheme="minorEastAsia" w:hAnsiTheme="minorEastAsia" w:cs="仿宋_GB2312" w:hint="eastAsia"/>
          <w:bCs/>
          <w:color w:val="000000"/>
          <w:szCs w:val="32"/>
        </w:rPr>
        <w:t>地基自动观测数据文件后，按约定规则存储到服务器上</w:t>
      </w:r>
      <w:bookmarkStart w:id="59" w:name="_Toc4325879"/>
      <w:bookmarkStart w:id="60" w:name="_Toc132191232"/>
      <w:bookmarkStart w:id="61" w:name="_Toc5212281"/>
      <w:bookmarkStart w:id="62" w:name="_Toc511138405"/>
      <w:bookmarkStart w:id="63" w:name="_Toc513146342"/>
      <w:r>
        <w:rPr>
          <w:rFonts w:asciiTheme="minorEastAsia" w:hAnsiTheme="minorEastAsia" w:cs="仿宋_GB2312" w:hint="eastAsia"/>
          <w:bCs/>
          <w:color w:val="000000"/>
          <w:szCs w:val="32"/>
        </w:rPr>
        <w:t>。数据汇聚过程中需要建立数据标准化体系，将温室气体空天地多源数据文件规范进行处理。监控OCO-2和GOSAT碳卫星数据文件的下载情况及文件大小、监控地基CO</w:t>
      </w:r>
      <w:r>
        <w:rPr>
          <w:rFonts w:asciiTheme="minorEastAsia" w:hAnsiTheme="minorEastAsia" w:cs="仿宋_GB2312" w:hint="eastAsia"/>
          <w:bCs/>
          <w:color w:val="000000"/>
          <w:szCs w:val="32"/>
          <w:vertAlign w:val="subscript"/>
        </w:rPr>
        <w:t>2</w:t>
      </w:r>
      <w:r>
        <w:rPr>
          <w:rFonts w:asciiTheme="minorEastAsia" w:hAnsiTheme="minorEastAsia" w:cs="仿宋_GB2312" w:hint="eastAsia"/>
          <w:bCs/>
          <w:color w:val="000000"/>
          <w:szCs w:val="32"/>
        </w:rPr>
        <w:t>数据的采集情况，以确保数据的完整性和及时性。</w:t>
      </w:r>
    </w:p>
    <w:p>
      <w:pPr>
        <w:spacing w:line="360" w:lineRule="auto"/>
        <w:ind w:firstLine="420" w:firstLineChars="200"/>
        <w:rPr>
          <w:rFonts w:asciiTheme="minorEastAsia" w:hAnsiTheme="minorEastAsia" w:cs="仿宋_GB2312"/>
          <w:bCs/>
          <w:color w:val="000000"/>
          <w:szCs w:val="32"/>
        </w:rPr>
      </w:pPr>
      <w:r>
        <w:rPr>
          <w:rFonts w:asciiTheme="minorEastAsia" w:hAnsiTheme="minorEastAsia" w:cs="仿宋_GB2312" w:hint="eastAsia"/>
          <w:bCs/>
          <w:color w:val="000000"/>
          <w:szCs w:val="32"/>
        </w:rPr>
        <w:t>2）多源数据处理</w:t>
      </w:r>
      <w:bookmarkEnd w:id="59"/>
      <w:bookmarkEnd w:id="60"/>
      <w:bookmarkEnd w:id="61"/>
      <w:bookmarkEnd w:id="62"/>
      <w:bookmarkEnd w:id="63"/>
    </w:p>
    <w:p>
      <w:pPr>
        <w:spacing w:line="360" w:lineRule="auto"/>
        <w:ind w:firstLine="420" w:firstLineChars="200"/>
        <w:rPr>
          <w:rFonts w:asciiTheme="minorEastAsia" w:hAnsiTheme="minorEastAsia" w:cs="仿宋_GB2312"/>
          <w:bCs/>
          <w:color w:val="000000"/>
          <w:szCs w:val="32"/>
        </w:rPr>
      </w:pPr>
      <w:r>
        <w:rPr>
          <w:rFonts w:asciiTheme="minorEastAsia" w:hAnsiTheme="minorEastAsia" w:cs="仿宋_GB2312" w:hint="eastAsia"/>
          <w:bCs/>
          <w:color w:val="000000"/>
          <w:szCs w:val="32"/>
        </w:rPr>
        <w:t>多源数据处理包括温室气体卫星数据质控筛选、奇异数据剔除和平滑、卫星数据融合、星地数据时间匹配处理、星地数据空间匹配处理。将观测数据按格式规范进行解析处理，提取要素信息为卫星观测产品提供验证，为后续其它的处理提供相应的支撑。根据星历数据集计算卫星过境时间，再进行数据时间匹配处理、数据空间匹配处理，为卫星产品和地基产品融合做准备。</w:t>
      </w:r>
    </w:p>
    <w:p>
      <w:pPr>
        <w:spacing w:line="360" w:lineRule="auto"/>
        <w:ind w:firstLine="420" w:firstLineChars="200"/>
        <w:rPr>
          <w:rFonts w:asciiTheme="minorEastAsia" w:hAnsiTheme="minorEastAsia" w:cs="仿宋_GB2312"/>
          <w:bCs/>
          <w:color w:val="000000"/>
          <w:szCs w:val="32"/>
        </w:rPr>
      </w:pPr>
      <w:bookmarkStart w:id="64" w:name="_Toc511138407"/>
      <w:bookmarkStart w:id="65" w:name="_Toc5212303"/>
      <w:bookmarkStart w:id="66" w:name="_Toc132191240"/>
      <w:bookmarkStart w:id="67" w:name="_Toc4325901"/>
      <w:bookmarkStart w:id="68" w:name="_Toc513146344"/>
      <w:bookmarkStart w:id="69" w:name="_Toc132191236"/>
      <w:bookmarkStart w:id="70" w:name="_Toc513146343"/>
      <w:bookmarkStart w:id="71" w:name="_Toc4325889"/>
      <w:bookmarkStart w:id="72" w:name="_Toc511138406"/>
      <w:bookmarkStart w:id="73" w:name="_Toc5212291"/>
      <w:r>
        <w:rPr>
          <w:rFonts w:asciiTheme="minorEastAsia" w:hAnsiTheme="minorEastAsia" w:cs="仿宋_GB2312" w:hint="eastAsia"/>
          <w:bCs/>
          <w:color w:val="000000"/>
          <w:szCs w:val="32"/>
        </w:rPr>
        <w:t>3）融合产品生成</w:t>
      </w:r>
      <w:bookmarkEnd w:id="64"/>
      <w:bookmarkEnd w:id="65"/>
      <w:bookmarkEnd w:id="66"/>
      <w:bookmarkEnd w:id="67"/>
      <w:bookmarkEnd w:id="68"/>
    </w:p>
    <w:p>
      <w:pPr>
        <w:spacing w:line="360" w:lineRule="auto"/>
        <w:ind w:firstLine="420" w:firstLineChars="200"/>
        <w:rPr>
          <w:rFonts w:asciiTheme="minorEastAsia" w:hAnsiTheme="minorEastAsia" w:cs="仿宋_GB2312"/>
          <w:bCs/>
          <w:color w:val="000000"/>
          <w:szCs w:val="32"/>
        </w:rPr>
      </w:pPr>
      <w:r>
        <w:rPr>
          <w:rFonts w:asciiTheme="minorEastAsia" w:hAnsiTheme="minorEastAsia" w:cs="仿宋_GB2312" w:hint="eastAsia"/>
          <w:bCs/>
          <w:color w:val="000000"/>
          <w:szCs w:val="32"/>
        </w:rPr>
        <w:t>基于卷积、Swin Transformer等神经网络的数据订正融合算法，基于AI分析超分辨率重建方法，对卫星CO</w:t>
      </w:r>
      <w:r>
        <w:rPr>
          <w:rFonts w:asciiTheme="minorEastAsia" w:hAnsiTheme="minorEastAsia" w:cs="仿宋_GB2312" w:hint="eastAsia"/>
          <w:bCs/>
          <w:color w:val="000000"/>
          <w:szCs w:val="32"/>
          <w:vertAlign w:val="subscript"/>
        </w:rPr>
        <w:t>2</w:t>
      </w:r>
      <w:r>
        <w:rPr>
          <w:rFonts w:asciiTheme="minorEastAsia" w:hAnsiTheme="minorEastAsia" w:cs="仿宋_GB2312" w:hint="eastAsia"/>
          <w:bCs/>
          <w:color w:val="000000"/>
          <w:szCs w:val="32"/>
        </w:rPr>
        <w:t>数据分辨率重建；建立基于AI订正模型，基于地基产品对重建结果进行非线性订正最终生成2020年至今，逐月的空间分辨率不低于1°×1°全球网格卫星融合CO</w:t>
      </w:r>
      <w:r>
        <w:rPr>
          <w:rFonts w:asciiTheme="minorEastAsia" w:hAnsiTheme="minorEastAsia" w:cs="仿宋_GB2312" w:hint="eastAsia"/>
          <w:bCs/>
          <w:color w:val="000000"/>
          <w:szCs w:val="32"/>
          <w:vertAlign w:val="subscript"/>
        </w:rPr>
        <w:t>2</w:t>
      </w:r>
      <w:r>
        <w:rPr>
          <w:rFonts w:asciiTheme="minorEastAsia" w:hAnsiTheme="minorEastAsia" w:cs="仿宋_GB2312" w:hint="eastAsia"/>
          <w:bCs/>
          <w:color w:val="000000"/>
          <w:szCs w:val="32"/>
        </w:rPr>
        <w:t>柱浓度产品和地表CO</w:t>
      </w:r>
      <w:r>
        <w:rPr>
          <w:rFonts w:asciiTheme="minorEastAsia" w:hAnsiTheme="minorEastAsia" w:cs="仿宋_GB2312" w:hint="eastAsia"/>
          <w:bCs/>
          <w:color w:val="000000"/>
          <w:szCs w:val="32"/>
          <w:vertAlign w:val="subscript"/>
        </w:rPr>
        <w:t>2</w:t>
      </w:r>
      <w:r>
        <w:rPr>
          <w:rFonts w:asciiTheme="minorEastAsia" w:hAnsiTheme="minorEastAsia" w:cs="仿宋_GB2312" w:hint="eastAsia"/>
          <w:bCs/>
          <w:color w:val="000000"/>
          <w:szCs w:val="32"/>
        </w:rPr>
        <w:t>浓度网格产品。星地融合产品通过图表形式展示。</w:t>
      </w:r>
    </w:p>
    <w:p>
      <w:pPr>
        <w:spacing w:line="360" w:lineRule="auto"/>
        <w:ind w:firstLine="420" w:firstLineChars="200"/>
        <w:rPr>
          <w:rFonts w:asciiTheme="minorEastAsia" w:hAnsiTheme="minorEastAsia" w:cs="仿宋_GB2312"/>
          <w:bCs/>
          <w:color w:val="000000"/>
          <w:szCs w:val="32"/>
        </w:rPr>
      </w:pPr>
      <w:r>
        <w:rPr>
          <w:rFonts w:asciiTheme="minorEastAsia" w:hAnsiTheme="minorEastAsia" w:cs="仿宋_GB2312" w:hint="eastAsia"/>
          <w:bCs/>
          <w:color w:val="000000"/>
          <w:szCs w:val="32"/>
        </w:rPr>
        <w:t>4）</w:t>
      </w:r>
      <w:bookmarkEnd w:id="69"/>
      <w:bookmarkEnd w:id="70"/>
      <w:bookmarkEnd w:id="71"/>
      <w:bookmarkEnd w:id="72"/>
      <w:bookmarkEnd w:id="73"/>
      <w:r>
        <w:rPr>
          <w:rFonts w:asciiTheme="minorEastAsia" w:hAnsiTheme="minorEastAsia" w:cs="仿宋_GB2312" w:hint="eastAsia"/>
          <w:bCs/>
          <w:color w:val="000000"/>
          <w:szCs w:val="32"/>
        </w:rPr>
        <w:t>统计分析</w:t>
      </w:r>
    </w:p>
    <w:p>
      <w:pPr>
        <w:spacing w:line="360" w:lineRule="auto"/>
        <w:ind w:firstLine="420" w:firstLineChars="200"/>
        <w:rPr>
          <w:rFonts w:asciiTheme="minorEastAsia" w:hAnsiTheme="minorEastAsia" w:cs="仿宋_GB2312"/>
          <w:bCs/>
          <w:color w:val="000000"/>
          <w:szCs w:val="32"/>
        </w:rPr>
      </w:pPr>
      <w:r>
        <w:rPr>
          <w:rFonts w:asciiTheme="minorEastAsia" w:hAnsiTheme="minorEastAsia" w:cs="仿宋_GB2312" w:hint="eastAsia"/>
          <w:bCs/>
          <w:color w:val="000000"/>
          <w:szCs w:val="32"/>
        </w:rPr>
        <w:t>统计分析包括数据统计分析、数据校验评估。</w:t>
      </w:r>
    </w:p>
    <w:p>
      <w:pPr>
        <w:spacing w:line="360" w:lineRule="auto"/>
        <w:ind w:firstLine="420" w:firstLineChars="200"/>
        <w:rPr>
          <w:rFonts w:asciiTheme="minorEastAsia" w:hAnsiTheme="minorEastAsia" w:cs="仿宋_GB2312"/>
          <w:bCs/>
          <w:color w:val="000000"/>
          <w:szCs w:val="32"/>
        </w:rPr>
      </w:pPr>
      <w:r>
        <w:rPr>
          <w:rFonts w:asciiTheme="minorEastAsia" w:hAnsiTheme="minorEastAsia" w:cs="仿宋_GB2312" w:hint="eastAsia"/>
          <w:bCs/>
          <w:color w:val="000000"/>
          <w:szCs w:val="32"/>
        </w:rPr>
        <w:t>按时间段、空间区域等各种维度进行星地融合数据运算处理，建立地理位置、时间序列、汇总统计、均值计算、关联运算、趋势分析的数据统计计算方式，建立长序列气候全貌视图。</w:t>
      </w:r>
    </w:p>
    <w:p>
      <w:pPr>
        <w:spacing w:line="360" w:lineRule="auto"/>
        <w:ind w:firstLine="420" w:firstLineChars="200"/>
        <w:rPr>
          <w:rFonts w:asciiTheme="minorEastAsia" w:hAnsiTheme="minorEastAsia" w:cs="仿宋_GB2312"/>
          <w:bCs/>
          <w:color w:val="000000"/>
          <w:szCs w:val="32"/>
        </w:rPr>
      </w:pPr>
      <w:r>
        <w:rPr>
          <w:rFonts w:asciiTheme="minorEastAsia" w:hAnsiTheme="minorEastAsia" w:cs="仿宋_GB2312" w:hint="eastAsia"/>
          <w:bCs/>
          <w:color w:val="000000"/>
          <w:szCs w:val="32"/>
        </w:rPr>
        <w:t>实现星地融合地表CO</w:t>
      </w:r>
      <w:r>
        <w:rPr>
          <w:rFonts w:asciiTheme="minorEastAsia" w:hAnsiTheme="minorEastAsia" w:cs="仿宋_GB2312" w:hint="eastAsia"/>
          <w:bCs/>
          <w:color w:val="000000"/>
          <w:szCs w:val="32"/>
          <w:vertAlign w:val="subscript"/>
        </w:rPr>
        <w:t>2</w:t>
      </w:r>
      <w:r>
        <w:rPr>
          <w:rFonts w:asciiTheme="minorEastAsia" w:hAnsiTheme="minorEastAsia" w:cs="仿宋_GB2312" w:hint="eastAsia"/>
          <w:bCs/>
          <w:color w:val="000000"/>
          <w:szCs w:val="32"/>
        </w:rPr>
        <w:t>浓度数据与多源观测数据（mapping XCO</w:t>
      </w:r>
      <w:r>
        <w:rPr>
          <w:rFonts w:asciiTheme="minorEastAsia" w:hAnsiTheme="minorEastAsia" w:cs="仿宋_GB2312" w:hint="eastAsia"/>
          <w:bCs/>
          <w:color w:val="000000"/>
          <w:szCs w:val="32"/>
          <w:vertAlign w:val="subscript"/>
        </w:rPr>
        <w:t>2</w:t>
      </w:r>
      <w:r>
        <w:rPr>
          <w:rFonts w:asciiTheme="minorEastAsia" w:hAnsiTheme="minorEastAsia" w:cs="仿宋_GB2312" w:hint="eastAsia"/>
          <w:bCs/>
          <w:color w:val="000000"/>
          <w:szCs w:val="32"/>
        </w:rPr>
        <w:t xml:space="preserve"> dataset等）数据交叉验证，采用相关系数（R）、均方根误差（RMSE）、平均绝对误差（MAE）、相对误差（RE）等多个指标开展校验评估。</w:t>
      </w:r>
    </w:p>
    <w:p>
      <w:pPr>
        <w:numPr>
          <w:ilvl w:val="0"/>
          <w:numId w:val="6"/>
        </w:numPr>
        <w:tabs>
          <w:tab w:val="left" w:pos="724"/>
          <w:tab w:val="left" w:pos="1038"/>
        </w:tabs>
        <w:spacing w:line="360" w:lineRule="auto"/>
        <w:ind w:left="0" w:firstLine="420" w:firstLineChars="200"/>
        <w:outlineLvl w:val="2"/>
        <w:rPr>
          <w:rFonts w:asciiTheme="minorEastAsia" w:hAnsiTheme="minorEastAsia"/>
          <w:b/>
          <w:bCs/>
        </w:rPr>
      </w:pPr>
      <w:r>
        <w:rPr>
          <w:rFonts w:asciiTheme="minorEastAsia" w:hAnsiTheme="minorEastAsia" w:cs="Times New Roman" w:hint="eastAsia"/>
          <w:b/>
          <w:bCs/>
          <w:szCs w:val="20"/>
        </w:rPr>
        <w:t>气溶胶星地对比分析子系统</w:t>
      </w:r>
    </w:p>
    <w:p>
      <w:pPr>
        <w:spacing w:line="360" w:lineRule="auto"/>
        <w:ind w:firstLine="420" w:firstLineChars="200"/>
        <w:rPr>
          <w:rFonts w:asciiTheme="minorEastAsia" w:hAnsiTheme="minorEastAsia" w:cs="仿宋_GB2312"/>
          <w:bCs/>
          <w:color w:val="000000"/>
          <w:szCs w:val="32"/>
        </w:rPr>
      </w:pPr>
      <w:r>
        <w:rPr>
          <w:rFonts w:asciiTheme="minorEastAsia" w:hAnsiTheme="minorEastAsia" w:cs="仿宋_GB2312" w:hint="eastAsia"/>
          <w:bCs/>
          <w:color w:val="000000"/>
          <w:szCs w:val="32"/>
        </w:rPr>
        <w:t>基于SENTINEL-5p/TROPOMI气溶胶光学厚度（AOD）L2级产品或TERRA/MISR气溶胶光学厚度（AOD）L3级产品卫星产品生成格点数据与地面观测的气溶胶光学厚度进行时空数据对比分析。</w:t>
      </w:r>
    </w:p>
    <w:p>
      <w:pPr>
        <w:spacing w:line="360" w:lineRule="auto"/>
        <w:ind w:firstLine="420" w:firstLineChars="200"/>
        <w:rPr>
          <w:rFonts w:asciiTheme="minorEastAsia" w:hAnsiTheme="minorEastAsia" w:cs="仿宋_GB2312"/>
          <w:bCs/>
          <w:color w:val="000000"/>
          <w:szCs w:val="32"/>
        </w:rPr>
      </w:pPr>
      <w:r>
        <w:rPr>
          <w:rFonts w:asciiTheme="minorEastAsia" w:hAnsiTheme="minorEastAsia" w:cs="仿宋_GB2312" w:hint="eastAsia"/>
          <w:bCs/>
          <w:color w:val="000000"/>
          <w:szCs w:val="32"/>
        </w:rPr>
        <w:t>1）光学厚度卫星数据采集解析</w:t>
      </w:r>
    </w:p>
    <w:p>
      <w:pPr>
        <w:spacing w:line="360" w:lineRule="auto"/>
        <w:ind w:firstLine="420" w:firstLineChars="200"/>
        <w:rPr>
          <w:rFonts w:asciiTheme="minorEastAsia" w:hAnsiTheme="minorEastAsia" w:cs="仿宋_GB2312"/>
          <w:bCs/>
          <w:color w:val="000000"/>
          <w:szCs w:val="32"/>
        </w:rPr>
      </w:pPr>
      <w:r>
        <w:rPr>
          <w:rFonts w:asciiTheme="minorEastAsia" w:hAnsiTheme="minorEastAsia" w:cs="仿宋_GB2312" w:hint="eastAsia"/>
          <w:bCs/>
          <w:color w:val="000000"/>
          <w:szCs w:val="32"/>
        </w:rPr>
        <w:t>定时采集SENTINEL-5p/TROPOMI气溶胶光学厚度（AOD）L2级产品或TERRA/MISR气溶胶光学厚度（AOD）L3级产品，根据事先配置的采集规则、数据类型、采集周期自动采集到数据后，按约定规则存储到服务器上。</w:t>
      </w:r>
    </w:p>
    <w:p>
      <w:pPr>
        <w:spacing w:line="360" w:lineRule="auto"/>
        <w:ind w:firstLine="420" w:firstLineChars="200"/>
        <w:rPr>
          <w:rFonts w:asciiTheme="minorEastAsia" w:hAnsiTheme="minorEastAsia" w:cs="仿宋_GB2312"/>
          <w:bCs/>
          <w:color w:val="000000"/>
          <w:szCs w:val="32"/>
        </w:rPr>
      </w:pPr>
      <w:r>
        <w:rPr>
          <w:rFonts w:asciiTheme="minorEastAsia" w:hAnsiTheme="minorEastAsia" w:cs="仿宋_GB2312" w:hint="eastAsia"/>
          <w:bCs/>
          <w:color w:val="000000"/>
          <w:szCs w:val="32"/>
        </w:rPr>
        <w:t>定时采集基于任务调度计划管理，可对每个任务进行配置，实现采集频率、采集策略配置，实现任务启动、任务线程管理、新任务处理、任务中断处理、任务销毁处理等相关处理。</w:t>
      </w:r>
    </w:p>
    <w:p>
      <w:pPr>
        <w:spacing w:line="360" w:lineRule="auto"/>
        <w:ind w:firstLine="420" w:firstLineChars="200"/>
        <w:rPr>
          <w:rFonts w:asciiTheme="minorEastAsia" w:hAnsiTheme="minorEastAsia" w:cs="仿宋_GB2312"/>
          <w:bCs/>
          <w:color w:val="000000"/>
          <w:szCs w:val="32"/>
        </w:rPr>
      </w:pPr>
      <w:r>
        <w:rPr>
          <w:rFonts w:asciiTheme="minorEastAsia" w:hAnsiTheme="minorEastAsia" w:cs="仿宋_GB2312" w:hint="eastAsia"/>
          <w:bCs/>
          <w:color w:val="000000"/>
          <w:szCs w:val="32"/>
        </w:rPr>
        <w:t>对采集后的卫星文件按照卫星文件数据格式进行数据解析，并将对应格点数据进行存储入库。</w:t>
      </w:r>
    </w:p>
    <w:p>
      <w:pPr>
        <w:spacing w:line="360" w:lineRule="auto"/>
        <w:ind w:firstLine="420" w:firstLineChars="200"/>
        <w:rPr>
          <w:rFonts w:asciiTheme="minorEastAsia" w:hAnsiTheme="minorEastAsia" w:cs="仿宋_GB2312"/>
          <w:bCs/>
          <w:color w:val="000000"/>
          <w:szCs w:val="32"/>
        </w:rPr>
      </w:pPr>
      <w:r>
        <w:rPr>
          <w:rFonts w:asciiTheme="minorEastAsia" w:hAnsiTheme="minorEastAsia" w:cs="仿宋_GB2312" w:hint="eastAsia"/>
          <w:bCs/>
          <w:color w:val="000000"/>
          <w:szCs w:val="32"/>
        </w:rPr>
        <w:t>2）光学厚度星地数据处理</w:t>
      </w:r>
    </w:p>
    <w:p>
      <w:pPr>
        <w:spacing w:line="360" w:lineRule="auto"/>
        <w:ind w:firstLine="420" w:firstLineChars="200"/>
        <w:rPr>
          <w:rFonts w:asciiTheme="minorEastAsia" w:hAnsiTheme="minorEastAsia" w:cs="仿宋_GB2312"/>
          <w:bCs/>
          <w:color w:val="000000"/>
          <w:szCs w:val="32"/>
        </w:rPr>
      </w:pPr>
      <w:r>
        <w:rPr>
          <w:rFonts w:asciiTheme="minorEastAsia" w:hAnsiTheme="minorEastAsia" w:cs="仿宋_GB2312" w:hint="eastAsia"/>
          <w:bCs/>
          <w:color w:val="000000"/>
          <w:szCs w:val="32"/>
        </w:rPr>
        <w:t>读取地面光学厚度观测数据，并根据地面观测站位置，通过时空匹配算法读取卫星格点数据并形成对应站点数据集，为后续数据分析提供数据基础。</w:t>
      </w:r>
    </w:p>
    <w:p>
      <w:pPr>
        <w:spacing w:line="360" w:lineRule="auto"/>
        <w:ind w:firstLine="420" w:firstLineChars="200"/>
        <w:rPr>
          <w:rFonts w:asciiTheme="minorEastAsia" w:hAnsiTheme="minorEastAsia" w:cs="仿宋_GB2312"/>
          <w:bCs/>
          <w:color w:val="000000"/>
          <w:szCs w:val="32"/>
        </w:rPr>
      </w:pPr>
      <w:r>
        <w:rPr>
          <w:rFonts w:asciiTheme="minorEastAsia" w:hAnsiTheme="minorEastAsia" w:cs="仿宋_GB2312" w:hint="eastAsia"/>
          <w:bCs/>
          <w:color w:val="000000"/>
          <w:szCs w:val="32"/>
        </w:rPr>
        <w:t>3）光学厚度星地数据分析</w:t>
      </w:r>
    </w:p>
    <w:p>
      <w:pPr>
        <w:spacing w:line="360" w:lineRule="auto"/>
        <w:ind w:firstLine="420" w:firstLineChars="200"/>
        <w:rPr>
          <w:rFonts w:asciiTheme="minorEastAsia" w:hAnsiTheme="minorEastAsia" w:cs="仿宋_GB2312"/>
          <w:bCs/>
          <w:color w:val="000000"/>
          <w:szCs w:val="32"/>
        </w:rPr>
      </w:pPr>
      <w:r>
        <w:rPr>
          <w:rFonts w:asciiTheme="minorEastAsia" w:hAnsiTheme="minorEastAsia" w:cs="仿宋_GB2312" w:hint="eastAsia"/>
          <w:bCs/>
          <w:color w:val="000000"/>
          <w:szCs w:val="32"/>
        </w:rPr>
        <w:t>开展地基光学厚度数据与卫星格点数据的一致性分析，实现光学厚度星地匹配数据多个维度的长序列浓度对比与偏差分析；采用相关系数（R）、均方根误差（RMSE）、平均绝对误差（MAE）、相对误差（RE）等多个指标开展评估。分析与评估结果采用图表进行动态分析展示。</w:t>
      </w:r>
    </w:p>
    <w:p>
      <w:pPr>
        <w:numPr>
          <w:ilvl w:val="0"/>
          <w:numId w:val="6"/>
        </w:numPr>
        <w:tabs>
          <w:tab w:val="left" w:pos="724"/>
          <w:tab w:val="left" w:pos="1038"/>
        </w:tabs>
        <w:spacing w:line="360" w:lineRule="auto"/>
        <w:ind w:left="0" w:firstLine="420" w:firstLineChars="200"/>
        <w:outlineLvl w:val="2"/>
        <w:rPr>
          <w:rFonts w:asciiTheme="minorEastAsia" w:hAnsiTheme="minorEastAsia" w:cs="仿宋_GB2312"/>
          <w:b/>
          <w:color w:val="000000"/>
          <w:szCs w:val="32"/>
        </w:rPr>
      </w:pPr>
      <w:r>
        <w:rPr>
          <w:rFonts w:asciiTheme="minorEastAsia" w:hAnsiTheme="minorEastAsia" w:cs="仿宋_GB2312" w:hint="eastAsia"/>
          <w:b/>
          <w:color w:val="000000"/>
          <w:szCs w:val="32"/>
        </w:rPr>
        <w:t>升级改造天衡天衍综合气象观测数据质量控制系统与天衡天衍综合气象观测产品系统</w:t>
      </w:r>
    </w:p>
    <w:p>
      <w:pPr>
        <w:spacing w:line="360" w:lineRule="auto"/>
        <w:ind w:firstLine="420" w:firstLineChars="200"/>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升级改造天衡天衍综合气象观测数据质量控制系统与天衡天衍综合气象观测产品系统包含数据库表名改造、数据库表字段改造、算法改造、接口改造。</w:t>
      </w:r>
    </w:p>
    <w:p>
      <w:pPr>
        <w:spacing w:line="360" w:lineRule="auto"/>
        <w:ind w:firstLine="420" w:firstLineChars="200"/>
        <w:jc w:val="left"/>
        <w:rPr>
          <w:rFonts w:asciiTheme="minorEastAsia" w:hAnsiTheme="minorEastAsia" w:cs="仿宋_GB2312"/>
          <w:bCs/>
          <w:color w:val="000000"/>
          <w:szCs w:val="32"/>
        </w:rPr>
      </w:pPr>
      <w:r>
        <w:rPr>
          <w:rFonts w:asciiTheme="minorEastAsia" w:hAnsiTheme="minorEastAsia" w:cs="仿宋_GB2312" w:hint="eastAsia"/>
          <w:bCs/>
          <w:color w:val="000000"/>
          <w:szCs w:val="32"/>
        </w:rPr>
        <w:t>1）</w:t>
      </w:r>
      <w:r>
        <w:rPr>
          <w:rFonts w:asciiTheme="minorEastAsia" w:hAnsiTheme="minorEastAsia" w:cs="仿宋_GB2312"/>
          <w:bCs/>
          <w:color w:val="000000"/>
          <w:szCs w:val="32"/>
        </w:rPr>
        <w:t>数据库表名改造</w:t>
      </w:r>
    </w:p>
    <w:p>
      <w:pPr>
        <w:spacing w:line="360" w:lineRule="auto"/>
        <w:ind w:firstLine="420" w:firstLineChars="200"/>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根据天擎虚谷数据库的相关技术要求对天衡天衍综合气象观测质量质控和产品系统已有数据表名进行改造。表命名规则为:资料简称_MOC_设备简称_*_数据类型_TAB。</w:t>
      </w:r>
    </w:p>
    <w:p>
      <w:pPr>
        <w:spacing w:line="360" w:lineRule="auto"/>
        <w:ind w:firstLine="420" w:firstLineChars="200"/>
        <w:jc w:val="left"/>
        <w:rPr>
          <w:rFonts w:asciiTheme="minorEastAsia" w:hAnsiTheme="minorEastAsia" w:cs="仿宋_GB2312"/>
          <w:bCs/>
          <w:color w:val="000000"/>
          <w:szCs w:val="32"/>
        </w:rPr>
      </w:pPr>
      <w:r>
        <w:rPr>
          <w:rFonts w:asciiTheme="minorEastAsia" w:hAnsiTheme="minorEastAsia" w:cs="仿宋_GB2312" w:hint="eastAsia"/>
          <w:bCs/>
          <w:color w:val="000000"/>
          <w:szCs w:val="32"/>
        </w:rPr>
        <w:t>2）数据库表字段改造</w:t>
      </w:r>
    </w:p>
    <w:p>
      <w:pPr>
        <w:spacing w:line="360" w:lineRule="auto"/>
        <w:ind w:firstLine="420" w:firstLineChars="200"/>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根据天擎虚谷数据库的相关技术要求对天衡天衍综合气象观测质量质控和产品系统已有数据表字段进行改造，需将站号字段替换成V01301、经度字段替换成V06001、纬度字段替换成V05001、资料时间替换成D_DATETIME、入库时间替换成D_IYMDHM等。</w:t>
      </w:r>
    </w:p>
    <w:p>
      <w:pPr>
        <w:spacing w:line="360" w:lineRule="auto"/>
        <w:ind w:firstLine="420" w:firstLineChars="200"/>
        <w:jc w:val="left"/>
        <w:rPr>
          <w:rFonts w:asciiTheme="minorEastAsia" w:hAnsiTheme="minorEastAsia" w:cs="仿宋_GB2312"/>
          <w:bCs/>
          <w:color w:val="000000"/>
          <w:szCs w:val="32"/>
        </w:rPr>
      </w:pPr>
      <w:r>
        <w:rPr>
          <w:rFonts w:asciiTheme="minorEastAsia" w:hAnsiTheme="minorEastAsia" w:cs="仿宋_GB2312" w:hint="eastAsia"/>
          <w:bCs/>
          <w:color w:val="000000"/>
          <w:szCs w:val="32"/>
        </w:rPr>
        <w:t>3）算法改造</w:t>
      </w:r>
    </w:p>
    <w:p>
      <w:pPr>
        <w:spacing w:line="360" w:lineRule="auto"/>
        <w:ind w:firstLine="420" w:firstLineChars="200"/>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按照天擎虚谷数据库的相关技术要求对天衡天衍综合气象观测质量质控和产品系统算法读写部分由ORACLE语法改为虚谷数据库语法。</w:t>
      </w:r>
    </w:p>
    <w:p>
      <w:pPr>
        <w:spacing w:line="360" w:lineRule="auto"/>
        <w:ind w:firstLine="420" w:firstLineChars="200"/>
        <w:jc w:val="left"/>
        <w:rPr>
          <w:rFonts w:asciiTheme="minorEastAsia" w:hAnsiTheme="minorEastAsia" w:cs="仿宋_GB2312"/>
          <w:bCs/>
          <w:color w:val="000000"/>
          <w:szCs w:val="32"/>
        </w:rPr>
      </w:pPr>
      <w:r>
        <w:rPr>
          <w:rFonts w:asciiTheme="minorEastAsia" w:hAnsiTheme="minorEastAsia" w:cs="仿宋_GB2312" w:hint="eastAsia"/>
          <w:bCs/>
          <w:color w:val="000000"/>
          <w:szCs w:val="32"/>
        </w:rPr>
        <w:t>4）接口改造</w:t>
      </w:r>
    </w:p>
    <w:p>
      <w:pPr>
        <w:spacing w:line="360" w:lineRule="auto"/>
        <w:ind w:firstLine="420" w:firstLineChars="200"/>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按照天擎虚谷数据库的相关技术要求对天衡天衍综合气象观测质量质控和产品系统功能接口读写部分由ORACLE语法改为虚谷数据库语法。</w:t>
      </w:r>
    </w:p>
    <w:p>
      <w:pPr>
        <w:pStyle w:val="ListParagraph"/>
        <w:numPr>
          <w:ilvl w:val="0"/>
          <w:numId w:val="5"/>
        </w:numPr>
        <w:spacing w:line="360" w:lineRule="auto"/>
        <w:ind w:left="0" w:firstLine="422" w:firstLineChars="201"/>
        <w:outlineLvl w:val="1"/>
        <w:rPr>
          <w:rFonts w:asciiTheme="minorEastAsia" w:hAnsiTheme="minorEastAsia"/>
        </w:rPr>
      </w:pPr>
      <w:r>
        <w:rPr>
          <w:rFonts w:asciiTheme="minorEastAsia" w:hAnsiTheme="minorEastAsia" w:cs="宋体" w:hint="eastAsia"/>
          <w:b/>
          <w:bCs/>
          <w:color w:val="000000"/>
          <w:kern w:val="0"/>
          <w:szCs w:val="21"/>
        </w:rPr>
        <w:t>温室气体多源数据优化溯源流程化算法建设功能要求</w:t>
      </w:r>
    </w:p>
    <w:p>
      <w:pPr>
        <w:spacing w:line="360" w:lineRule="auto"/>
        <w:ind w:firstLine="420" w:firstLineChars="200"/>
        <w:rPr>
          <w:rFonts w:asciiTheme="minorEastAsia" w:hAnsiTheme="minorEastAsia" w:cs="仿宋_GB2312"/>
          <w:color w:val="000000"/>
          <w:szCs w:val="32"/>
        </w:rPr>
      </w:pPr>
      <w:r>
        <w:rPr>
          <w:rFonts w:asciiTheme="minorEastAsia" w:hAnsiTheme="minorEastAsia" w:cs="仿宋_GB2312" w:hint="eastAsia"/>
          <w:color w:val="000000"/>
          <w:szCs w:val="32"/>
        </w:rPr>
        <w:t>温室气体多源数据优化溯源流程化算法建设内容包括AI驱动偏差校正计算、多维验证高值溯源解析和动态优化站网布局3项。</w:t>
      </w:r>
    </w:p>
    <w:p>
      <w:pPr>
        <w:numPr>
          <w:ilvl w:val="0"/>
          <w:numId w:val="7"/>
        </w:numPr>
        <w:tabs>
          <w:tab w:val="left" w:pos="724"/>
          <w:tab w:val="left" w:pos="1038"/>
        </w:tabs>
        <w:spacing w:line="360" w:lineRule="auto"/>
        <w:ind w:left="0" w:firstLine="420" w:firstLineChars="200"/>
        <w:jc w:val="left"/>
        <w:outlineLvl w:val="2"/>
        <w:rPr>
          <w:rFonts w:asciiTheme="minorEastAsia" w:hAnsiTheme="minorEastAsia"/>
        </w:rPr>
      </w:pPr>
      <w:r>
        <w:rPr>
          <w:rFonts w:asciiTheme="minorEastAsia" w:hAnsiTheme="minorEastAsia" w:cs="Times New Roman" w:hint="eastAsia"/>
          <w:szCs w:val="20"/>
        </w:rPr>
        <w:t>AI驱动偏差校正计算</w:t>
      </w:r>
    </w:p>
    <w:p>
      <w:pPr>
        <w:numPr>
          <w:ilvl w:val="12"/>
          <w:numId w:val="0"/>
        </w:numPr>
        <w:spacing w:line="360" w:lineRule="auto"/>
        <w:ind w:firstLine="420" w:firstLineChars="200"/>
        <w:jc w:val="left"/>
        <w:rPr>
          <w:rFonts w:asciiTheme="minorEastAsia" w:hAnsiTheme="minorEastAsia" w:cs="仿宋_GB2312"/>
          <w:color w:val="000000"/>
          <w:szCs w:val="32"/>
        </w:rPr>
      </w:pPr>
      <w:r>
        <w:rPr>
          <w:rFonts w:asciiTheme="minorEastAsia" w:hAnsiTheme="minorEastAsia" w:cs="仿宋_GB2312" w:hint="eastAsia"/>
          <w:color w:val="000000"/>
          <w:szCs w:val="32"/>
        </w:rPr>
        <w:t>最大限度地减少设备引起的偏差和提高多源数据的可比对性，从而降低温室气体浓度评估的不确定性。</w:t>
      </w:r>
    </w:p>
    <w:p>
      <w:pPr>
        <w:spacing w:line="360" w:lineRule="auto"/>
        <w:ind w:firstLine="420" w:firstLineChars="200"/>
        <w:rPr>
          <w:rFonts w:asciiTheme="minorEastAsia" w:hAnsiTheme="minorEastAsia" w:cs="仿宋_GB2312"/>
          <w:bCs/>
          <w:color w:val="000000"/>
          <w:szCs w:val="32"/>
        </w:rPr>
      </w:pPr>
      <w:r>
        <w:rPr>
          <w:rFonts w:asciiTheme="minorEastAsia" w:hAnsiTheme="minorEastAsia" w:cs="仿宋_GB2312" w:hint="eastAsia"/>
          <w:bCs/>
          <w:color w:val="000000"/>
          <w:szCs w:val="32"/>
        </w:rPr>
        <w:t>1）多设备温室气体的偏差统一和质控。升级温室气体高精度设备数据质量控制算法，在时间尺度上从小时级延伸至秒级；用设备参数、气候态变化、离群异常、台站记录等信息诊断识别错误数据；基于长序列数据统计分析，结合模式评估系统，通过观测数据与评估数据的匹配，利用一致性检查、显著性检验等方法，构建科学的数据质量控制指标。</w:t>
      </w:r>
    </w:p>
    <w:p>
      <w:pPr>
        <w:spacing w:line="360" w:lineRule="auto"/>
        <w:ind w:firstLine="420" w:firstLineChars="200"/>
        <w:rPr>
          <w:rFonts w:asciiTheme="minorEastAsia" w:hAnsiTheme="minorEastAsia" w:cs="仿宋_GB2312"/>
          <w:bCs/>
          <w:color w:val="000000"/>
          <w:szCs w:val="32"/>
        </w:rPr>
      </w:pPr>
      <w:r>
        <w:rPr>
          <w:rFonts w:asciiTheme="minorEastAsia" w:hAnsiTheme="minorEastAsia" w:cs="仿宋_GB2312" w:hint="eastAsia"/>
          <w:bCs/>
          <w:color w:val="000000"/>
          <w:szCs w:val="32"/>
        </w:rPr>
        <w:t>2）空气质量6参数、气象数据等数据质控、提取。获取长时序多源数据包括空气质量6参数，气象数据后进行相关性，日变化，月变化等分析获得基本规律，将长时间序列多源数据通过特征提取、数据同化、数据清洗、异常值处理、缺失值填补等进行预处理，然后利用机器学习方法进行数据融合工作。</w:t>
      </w:r>
    </w:p>
    <w:p>
      <w:pPr>
        <w:spacing w:line="360" w:lineRule="auto"/>
        <w:ind w:firstLine="420" w:firstLineChars="200"/>
        <w:rPr>
          <w:rFonts w:asciiTheme="minorEastAsia" w:hAnsiTheme="minorEastAsia" w:cs="仿宋_GB2312"/>
          <w:bCs/>
          <w:color w:val="000000"/>
          <w:szCs w:val="32"/>
        </w:rPr>
      </w:pPr>
      <w:r>
        <w:rPr>
          <w:rFonts w:asciiTheme="minorEastAsia" w:hAnsiTheme="minorEastAsia" w:cs="仿宋_GB2312" w:hint="eastAsia"/>
          <w:bCs/>
          <w:color w:val="000000"/>
          <w:szCs w:val="32"/>
        </w:rPr>
        <w:t>3）机器学习建模，模型修正和中试验证。将相关数据输入机器学习模型进行学习建模，形成预测模型与实时实测数据进行比对，获取差异数据。</w:t>
      </w:r>
    </w:p>
    <w:p>
      <w:pPr>
        <w:spacing w:line="360" w:lineRule="auto"/>
        <w:ind w:firstLine="420" w:firstLineChars="200"/>
        <w:rPr>
          <w:rFonts w:asciiTheme="minorEastAsia" w:hAnsiTheme="minorEastAsia" w:cs="仿宋_GB2312"/>
          <w:bCs/>
          <w:color w:val="000000"/>
          <w:szCs w:val="32"/>
        </w:rPr>
      </w:pPr>
      <w:r>
        <w:rPr>
          <w:rFonts w:asciiTheme="minorEastAsia" w:hAnsiTheme="minorEastAsia" w:cs="仿宋_GB2312" w:hint="eastAsia"/>
          <w:bCs/>
          <w:color w:val="000000"/>
          <w:szCs w:val="32"/>
        </w:rPr>
        <w:t>4）差异点原因解析与实时预警。解析为仪器问题或排放源高值，若为仪器问题向运维负责人发出预警，若为排放源影响的高值启动“多维验证高值溯源解析子系统”。</w:t>
      </w:r>
    </w:p>
    <w:p>
      <w:pPr>
        <w:numPr>
          <w:ilvl w:val="0"/>
          <w:numId w:val="7"/>
        </w:numPr>
        <w:tabs>
          <w:tab w:val="left" w:pos="724"/>
          <w:tab w:val="left" w:pos="1038"/>
        </w:tabs>
        <w:spacing w:line="360" w:lineRule="auto"/>
        <w:ind w:left="0" w:firstLine="420" w:firstLineChars="200"/>
        <w:jc w:val="left"/>
        <w:outlineLvl w:val="2"/>
        <w:rPr>
          <w:rFonts w:asciiTheme="minorEastAsia" w:hAnsiTheme="minorEastAsia"/>
        </w:rPr>
      </w:pPr>
      <w:r>
        <w:rPr>
          <w:rFonts w:asciiTheme="minorEastAsia" w:hAnsiTheme="minorEastAsia" w:cs="Times New Roman" w:hint="eastAsia"/>
          <w:szCs w:val="20"/>
        </w:rPr>
        <w:t>多维验证高值溯源解析</w:t>
      </w:r>
    </w:p>
    <w:p>
      <w:pPr>
        <w:numPr>
          <w:ilvl w:val="12"/>
          <w:numId w:val="0"/>
        </w:numPr>
        <w:spacing w:line="360" w:lineRule="auto"/>
        <w:ind w:firstLine="420" w:firstLineChars="200"/>
        <w:jc w:val="left"/>
        <w:rPr>
          <w:rFonts w:asciiTheme="minorEastAsia" w:hAnsiTheme="minorEastAsia" w:cs="仿宋_GB2312"/>
          <w:color w:val="000000"/>
          <w:szCs w:val="32"/>
        </w:rPr>
      </w:pPr>
      <w:r>
        <w:rPr>
          <w:rFonts w:asciiTheme="minorEastAsia" w:hAnsiTheme="minorEastAsia" w:cs="仿宋_GB2312" w:hint="eastAsia"/>
          <w:color w:val="000000"/>
          <w:szCs w:val="32"/>
        </w:rPr>
        <w:t>追踪站点温室气体异常数据，为解释不同距离尺度、排放源的温室气体高值来源提供科学依据。</w:t>
      </w:r>
    </w:p>
    <w:p>
      <w:pPr>
        <w:spacing w:line="360" w:lineRule="auto"/>
        <w:ind w:firstLine="420" w:firstLineChars="200"/>
        <w:jc w:val="left"/>
        <w:rPr>
          <w:rFonts w:asciiTheme="minorEastAsia" w:hAnsiTheme="minorEastAsia" w:cs="仿宋_GB2312"/>
          <w:color w:val="000000"/>
          <w:szCs w:val="32"/>
        </w:rPr>
      </w:pPr>
      <w:r>
        <w:rPr>
          <w:rFonts w:asciiTheme="minorEastAsia" w:hAnsiTheme="minorEastAsia" w:cs="仿宋_GB2312" w:hint="eastAsia"/>
          <w:color w:val="000000"/>
          <w:szCs w:val="32"/>
        </w:rPr>
        <w:t>1）站点风场数据建模。利用中尺度气象模式仿真构建流场，融合本地气象观测资料，模拟本地高精度气象场，搭建三维立体风场。</w:t>
      </w:r>
    </w:p>
    <w:p>
      <w:pPr>
        <w:spacing w:line="360" w:lineRule="auto"/>
        <w:ind w:firstLine="420" w:firstLineChars="200"/>
        <w:jc w:val="left"/>
        <w:rPr>
          <w:rFonts w:asciiTheme="minorEastAsia" w:hAnsiTheme="minorEastAsia" w:cs="仿宋_GB2312"/>
          <w:color w:val="000000"/>
          <w:szCs w:val="32"/>
        </w:rPr>
      </w:pPr>
      <w:r>
        <w:rPr>
          <w:rFonts w:asciiTheme="minorEastAsia" w:hAnsiTheme="minorEastAsia" w:cs="仿宋_GB2312" w:hint="eastAsia"/>
          <w:color w:val="000000"/>
          <w:szCs w:val="32"/>
        </w:rPr>
        <w:t>2）后向轨迹算法和统计计算。获取站网数据中的格点风场数据，对高值时点进行后向轨迹计算，获得高值对应的轨迹信息。</w:t>
      </w:r>
    </w:p>
    <w:p>
      <w:pPr>
        <w:spacing w:line="360" w:lineRule="auto"/>
        <w:ind w:firstLine="420" w:firstLineChars="200"/>
        <w:jc w:val="left"/>
        <w:rPr>
          <w:rFonts w:asciiTheme="minorEastAsia" w:hAnsiTheme="minorEastAsia" w:cs="仿宋_GB2312"/>
          <w:color w:val="000000"/>
          <w:szCs w:val="32"/>
        </w:rPr>
      </w:pPr>
      <w:r>
        <w:rPr>
          <w:rFonts w:asciiTheme="minorEastAsia" w:hAnsiTheme="minorEastAsia" w:cs="仿宋_GB2312" w:hint="eastAsia"/>
          <w:color w:val="000000"/>
          <w:szCs w:val="32"/>
        </w:rPr>
        <w:t>3）主成本因子自动解析算法。获取站点多源大气组分数据，进行主成分分析，获得高值对应的主成分因子分布，识别源类型。</w:t>
      </w:r>
    </w:p>
    <w:p>
      <w:pPr>
        <w:numPr>
          <w:ilvl w:val="0"/>
          <w:numId w:val="7"/>
        </w:numPr>
        <w:tabs>
          <w:tab w:val="left" w:pos="724"/>
          <w:tab w:val="left" w:pos="1038"/>
        </w:tabs>
        <w:spacing w:line="360" w:lineRule="auto"/>
        <w:ind w:left="0" w:firstLine="420" w:firstLineChars="200"/>
        <w:jc w:val="left"/>
        <w:outlineLvl w:val="2"/>
        <w:rPr>
          <w:rFonts w:asciiTheme="minorEastAsia" w:hAnsiTheme="minorEastAsia"/>
        </w:rPr>
      </w:pPr>
      <w:r>
        <w:rPr>
          <w:rFonts w:asciiTheme="minorEastAsia" w:hAnsiTheme="minorEastAsia" w:cs="Times New Roman" w:hint="eastAsia"/>
          <w:szCs w:val="20"/>
        </w:rPr>
        <w:t>动态优化站网布局</w:t>
      </w:r>
    </w:p>
    <w:p>
      <w:pPr>
        <w:numPr>
          <w:ilvl w:val="12"/>
          <w:numId w:val="0"/>
        </w:numPr>
        <w:spacing w:line="360" w:lineRule="auto"/>
        <w:ind w:firstLine="420" w:firstLineChars="200"/>
        <w:jc w:val="left"/>
        <w:rPr>
          <w:rFonts w:asciiTheme="minorEastAsia" w:hAnsiTheme="minorEastAsia" w:cs="仿宋_GB2312"/>
          <w:color w:val="000000"/>
          <w:szCs w:val="32"/>
        </w:rPr>
      </w:pPr>
      <w:r>
        <w:rPr>
          <w:rFonts w:asciiTheme="minorEastAsia" w:hAnsiTheme="minorEastAsia" w:cs="仿宋_GB2312" w:hint="eastAsia"/>
          <w:color w:val="000000"/>
          <w:szCs w:val="32"/>
        </w:rPr>
        <w:t>识别评估设备运行质量，提供校准或更换的优化解决方案；评价站点是否受临近人为源影响、空间代表性是否不足，以此来优化站网布局，确保气候评估工作中站点的最优代表性和数据的整体可靠性。</w:t>
      </w:r>
    </w:p>
    <w:p>
      <w:pPr>
        <w:spacing w:line="360" w:lineRule="auto"/>
        <w:ind w:firstLine="420" w:firstLineChars="200"/>
        <w:jc w:val="left"/>
        <w:rPr>
          <w:rFonts w:asciiTheme="minorEastAsia" w:hAnsiTheme="minorEastAsia" w:cs="仿宋_GB2312"/>
          <w:color w:val="000000"/>
          <w:szCs w:val="32"/>
        </w:rPr>
      </w:pPr>
      <w:r>
        <w:rPr>
          <w:rFonts w:asciiTheme="minorEastAsia" w:hAnsiTheme="minorEastAsia" w:cs="仿宋_GB2312" w:hint="eastAsia"/>
          <w:color w:val="000000"/>
          <w:szCs w:val="32"/>
        </w:rPr>
        <w:t>1）设备状态有效性评估。识别评估设备运行质量，提供校准或更换的优化解决方案。</w:t>
      </w:r>
    </w:p>
    <w:p>
      <w:pPr>
        <w:spacing w:line="360" w:lineRule="auto"/>
        <w:ind w:firstLine="420" w:firstLineChars="200"/>
        <w:jc w:val="left"/>
        <w:rPr>
          <w:rFonts w:asciiTheme="minorEastAsia" w:hAnsiTheme="minorEastAsia" w:cs="仿宋_GB2312"/>
          <w:color w:val="000000"/>
          <w:szCs w:val="32"/>
        </w:rPr>
      </w:pPr>
      <w:r>
        <w:rPr>
          <w:rFonts w:asciiTheme="minorEastAsia" w:hAnsiTheme="minorEastAsia" w:cs="仿宋_GB2312" w:hint="eastAsia"/>
          <w:color w:val="000000"/>
          <w:szCs w:val="32"/>
        </w:rPr>
        <w:t>2）站点邻近人为源干扰评估。评价站点是否受临近人为源影响、空间代表性是否不足，以此来优化站网布局。</w:t>
      </w:r>
    </w:p>
    <w:p>
      <w:pPr>
        <w:pStyle w:val="ListParagraph"/>
        <w:numPr>
          <w:ilvl w:val="0"/>
          <w:numId w:val="5"/>
        </w:numPr>
        <w:spacing w:line="360" w:lineRule="auto"/>
        <w:ind w:left="0" w:firstLine="422" w:firstLineChars="201"/>
        <w:outlineLvl w:val="1"/>
        <w:rPr>
          <w:rFonts w:asciiTheme="minorEastAsia" w:hAnsiTheme="minorEastAsia" w:cs="宋体"/>
          <w:b/>
          <w:bCs/>
          <w:color w:val="000000"/>
          <w:kern w:val="0"/>
          <w:szCs w:val="21"/>
        </w:rPr>
      </w:pPr>
      <w:r>
        <w:rPr>
          <w:rFonts w:asciiTheme="minorEastAsia" w:hAnsiTheme="minorEastAsia" w:cs="宋体" w:hint="eastAsia"/>
          <w:b/>
          <w:bCs/>
          <w:color w:val="000000"/>
          <w:kern w:val="0"/>
          <w:szCs w:val="21"/>
        </w:rPr>
        <w:t>非功能性要求</w:t>
      </w:r>
    </w:p>
    <w:p>
      <w:pPr>
        <w:numPr>
          <w:ilvl w:val="0"/>
          <w:numId w:val="8"/>
        </w:numPr>
        <w:tabs>
          <w:tab w:val="left" w:pos="724"/>
          <w:tab w:val="left" w:pos="1038"/>
        </w:tabs>
        <w:spacing w:line="360" w:lineRule="auto"/>
        <w:ind w:left="0" w:firstLine="420" w:firstLineChars="200"/>
        <w:outlineLvl w:val="2"/>
        <w:rPr>
          <w:rFonts w:asciiTheme="minorEastAsia" w:hAnsiTheme="minorEastAsia"/>
        </w:rPr>
      </w:pPr>
      <w:r>
        <w:rPr>
          <w:rFonts w:asciiTheme="minorEastAsia" w:hAnsiTheme="minorEastAsia" w:hint="eastAsia"/>
        </w:rPr>
        <w:t>稳定性要求</w:t>
      </w:r>
    </w:p>
    <w:p>
      <w:pPr>
        <w:numPr>
          <w:ilvl w:val="12"/>
          <w:numId w:val="0"/>
        </w:numPr>
        <w:snapToGrid w:val="0"/>
        <w:spacing w:line="360" w:lineRule="auto"/>
        <w:ind w:firstLine="420" w:firstLineChars="200"/>
        <w:rPr>
          <w:rFonts w:asciiTheme="minorEastAsia" w:hAnsiTheme="minorEastAsia"/>
          <w:szCs w:val="21"/>
        </w:rPr>
      </w:pPr>
      <w:r>
        <w:rPr>
          <w:rFonts w:asciiTheme="minorEastAsia" w:hAnsiTheme="minorEastAsia" w:hint="eastAsia"/>
          <w:szCs w:val="21"/>
        </w:rPr>
        <w:t>系统</w:t>
      </w:r>
      <w:r>
        <w:rPr>
          <w:rFonts w:asciiTheme="minorEastAsia" w:hAnsiTheme="minorEastAsia"/>
          <w:szCs w:val="21"/>
        </w:rPr>
        <w:t>要考虑系统长期运行的稳定性和可靠性。具体要求如下：</w:t>
      </w:r>
    </w:p>
    <w:p>
      <w:pPr>
        <w:numPr>
          <w:ilvl w:val="12"/>
          <w:numId w:val="0"/>
        </w:numPr>
        <w:snapToGrid w:val="0"/>
        <w:spacing w:line="360" w:lineRule="auto"/>
        <w:ind w:firstLine="420" w:firstLineChars="200"/>
        <w:rPr>
          <w:rFonts w:asciiTheme="minorEastAsia" w:hAnsiTheme="minorEastAsia"/>
          <w:szCs w:val="21"/>
        </w:rPr>
      </w:pPr>
      <w:r>
        <w:rPr>
          <w:rFonts w:asciiTheme="minorEastAsia" w:hAnsiTheme="minorEastAsia"/>
          <w:szCs w:val="21"/>
        </w:rPr>
        <w:t>在支撑平台可靠性的保证下，关键高可用业务系统在3分钟内</w:t>
      </w:r>
      <w:r>
        <w:rPr>
          <w:rFonts w:asciiTheme="minorEastAsia" w:hAnsiTheme="minorEastAsia" w:hint="eastAsia"/>
          <w:szCs w:val="21"/>
        </w:rPr>
        <w:t>快速</w:t>
      </w:r>
      <w:r>
        <w:rPr>
          <w:rFonts w:asciiTheme="minorEastAsia" w:hAnsiTheme="minorEastAsia"/>
          <w:szCs w:val="21"/>
        </w:rPr>
        <w:t>恢复运行状态。</w:t>
      </w:r>
    </w:p>
    <w:p>
      <w:pPr>
        <w:snapToGrid w:val="0"/>
        <w:spacing w:line="360" w:lineRule="auto"/>
        <w:ind w:firstLine="420"/>
        <w:rPr>
          <w:rFonts w:asciiTheme="minorEastAsia" w:hAnsiTheme="minorEastAsia"/>
          <w:szCs w:val="21"/>
        </w:rPr>
      </w:pPr>
      <w:r>
        <w:rPr>
          <w:rFonts w:asciiTheme="minorEastAsia" w:hAnsiTheme="minorEastAsia" w:hint="eastAsia"/>
          <w:szCs w:val="21"/>
        </w:rPr>
        <w:t>年故障总时间小于12小时，故障恢复时间小于1小时。</w:t>
      </w:r>
    </w:p>
    <w:p>
      <w:pPr>
        <w:numPr>
          <w:ilvl w:val="12"/>
          <w:numId w:val="0"/>
        </w:numPr>
        <w:snapToGrid w:val="0"/>
        <w:spacing w:line="360" w:lineRule="auto"/>
        <w:ind w:firstLine="420"/>
        <w:rPr>
          <w:rFonts w:asciiTheme="minorEastAsia" w:hAnsiTheme="minorEastAsia"/>
          <w:szCs w:val="21"/>
        </w:rPr>
      </w:pPr>
      <w:r>
        <w:rPr>
          <w:rFonts w:asciiTheme="minorEastAsia" w:hAnsiTheme="minorEastAsia" w:hint="eastAsia"/>
          <w:szCs w:val="21"/>
        </w:rPr>
        <w:t>7*24小时业务运行期间，平均故障间隔时间（MTBF：</w:t>
      </w:r>
      <w:r>
        <w:rPr>
          <w:rFonts w:asciiTheme="minorEastAsia" w:hAnsiTheme="minorEastAsia" w:cs="Arial"/>
          <w:szCs w:val="21"/>
        </w:rPr>
        <w:t>Me</w:t>
      </w:r>
      <w:r>
        <w:rPr>
          <w:rFonts w:asciiTheme="minorEastAsia" w:hAnsiTheme="minorEastAsia" w:cs="Arial" w:hint="eastAsia"/>
          <w:szCs w:val="21"/>
        </w:rPr>
        <w:t>a</w:t>
      </w:r>
      <w:r>
        <w:rPr>
          <w:rFonts w:asciiTheme="minorEastAsia" w:hAnsiTheme="minorEastAsia" w:cs="Arial"/>
          <w:szCs w:val="21"/>
        </w:rPr>
        <w:t xml:space="preserve">n Time </w:t>
      </w:r>
      <w:r>
        <w:rPr>
          <w:rFonts w:asciiTheme="minorEastAsia" w:hAnsiTheme="minorEastAsia" w:cs="Arial" w:hint="eastAsia"/>
          <w:szCs w:val="21"/>
        </w:rPr>
        <w:t>B</w:t>
      </w:r>
      <w:r>
        <w:rPr>
          <w:rFonts w:asciiTheme="minorEastAsia" w:hAnsiTheme="minorEastAsia" w:cs="Arial"/>
          <w:szCs w:val="21"/>
        </w:rPr>
        <w:t>etween F</w:t>
      </w:r>
      <w:r>
        <w:rPr>
          <w:rFonts w:asciiTheme="minorEastAsia" w:hAnsiTheme="minorEastAsia" w:cs="Arial" w:hint="eastAsia"/>
          <w:szCs w:val="21"/>
        </w:rPr>
        <w:t>a</w:t>
      </w:r>
      <w:r>
        <w:rPr>
          <w:rFonts w:asciiTheme="minorEastAsia" w:hAnsiTheme="minorEastAsia" w:cs="Arial"/>
          <w:szCs w:val="21"/>
        </w:rPr>
        <w:t>ilure</w:t>
      </w:r>
      <w:r>
        <w:rPr>
          <w:rFonts w:asciiTheme="minorEastAsia" w:hAnsiTheme="minorEastAsia" w:hint="eastAsia"/>
          <w:szCs w:val="21"/>
        </w:rPr>
        <w:t>）不小于1个月。</w:t>
      </w:r>
    </w:p>
    <w:p>
      <w:pPr>
        <w:numPr>
          <w:ilvl w:val="0"/>
          <w:numId w:val="8"/>
        </w:numPr>
        <w:tabs>
          <w:tab w:val="left" w:pos="724"/>
          <w:tab w:val="left" w:pos="1038"/>
        </w:tabs>
        <w:spacing w:line="360" w:lineRule="auto"/>
        <w:ind w:left="0" w:firstLine="420" w:firstLineChars="200"/>
        <w:outlineLvl w:val="2"/>
        <w:rPr>
          <w:rFonts w:asciiTheme="minorEastAsia" w:hAnsiTheme="minorEastAsia"/>
        </w:rPr>
      </w:pPr>
      <w:r>
        <w:rPr>
          <w:rFonts w:asciiTheme="minorEastAsia" w:hAnsiTheme="minorEastAsia" w:hint="eastAsia"/>
        </w:rPr>
        <w:t>易用性要求</w:t>
      </w:r>
    </w:p>
    <w:p>
      <w:pPr>
        <w:spacing w:line="360" w:lineRule="auto"/>
        <w:ind w:firstLine="420" w:firstLineChars="200"/>
        <w:rPr>
          <w:rFonts w:asciiTheme="minorEastAsia" w:hAnsiTheme="minorEastAsia"/>
          <w:color w:val="000000"/>
        </w:rPr>
      </w:pPr>
      <w:r>
        <w:rPr>
          <w:rFonts w:asciiTheme="minorEastAsia" w:hAnsiTheme="minorEastAsia" w:hint="eastAsia"/>
          <w:color w:val="000000"/>
        </w:rPr>
        <w:t>为便于操作人员的人工干预，系统中有关运行参数的修改，应提供直观、方便的修改界面；系统出现中断时，重新启动方便快捷，自动检查和运行未完成作业。</w:t>
      </w:r>
    </w:p>
    <w:p>
      <w:pPr>
        <w:numPr>
          <w:ilvl w:val="0"/>
          <w:numId w:val="8"/>
        </w:numPr>
        <w:tabs>
          <w:tab w:val="left" w:pos="724"/>
          <w:tab w:val="left" w:pos="1038"/>
        </w:tabs>
        <w:spacing w:line="360" w:lineRule="auto"/>
        <w:ind w:left="0" w:firstLine="420" w:firstLineChars="200"/>
        <w:outlineLvl w:val="2"/>
        <w:rPr>
          <w:rFonts w:asciiTheme="minorEastAsia" w:hAnsiTheme="minorEastAsia"/>
        </w:rPr>
      </w:pPr>
      <w:r>
        <w:rPr>
          <w:rFonts w:asciiTheme="minorEastAsia" w:hAnsiTheme="minorEastAsia" w:hint="eastAsia"/>
        </w:rPr>
        <w:t>扩展性要求</w:t>
      </w:r>
    </w:p>
    <w:p>
      <w:pPr>
        <w:snapToGrid w:val="0"/>
        <w:spacing w:line="360" w:lineRule="auto"/>
        <w:ind w:firstLine="420" w:firstLineChars="200"/>
        <w:rPr>
          <w:rFonts w:asciiTheme="minorEastAsia" w:hAnsiTheme="minorEastAsia"/>
          <w:szCs w:val="21"/>
        </w:rPr>
      </w:pPr>
      <w:r>
        <w:rPr>
          <w:rFonts w:asciiTheme="minorEastAsia" w:hAnsiTheme="minorEastAsia" w:hint="eastAsia"/>
          <w:szCs w:val="21"/>
        </w:rPr>
        <w:t>系统能够适应将来可能出现的新数据业务的接入需求，在接入新增业务时不需要改造原软件系统，根据预留接口和业务参数驱动，能实现新业务功能模块的接入。满足不断增长的数据管理需求、终端用户需求、功能类型需求等。系统须具备良好的开放性，在标准接口和组件的支撑下，支持第三方用户的快速开发接入。</w:t>
      </w:r>
    </w:p>
    <w:p>
      <w:pPr>
        <w:numPr>
          <w:ilvl w:val="0"/>
          <w:numId w:val="8"/>
        </w:numPr>
        <w:tabs>
          <w:tab w:val="left" w:pos="724"/>
          <w:tab w:val="left" w:pos="1038"/>
        </w:tabs>
        <w:spacing w:line="360" w:lineRule="auto"/>
        <w:ind w:left="0" w:firstLine="420" w:firstLineChars="200"/>
        <w:outlineLvl w:val="2"/>
        <w:rPr>
          <w:rFonts w:asciiTheme="minorEastAsia" w:hAnsiTheme="minorEastAsia"/>
        </w:rPr>
      </w:pPr>
      <w:r>
        <w:rPr>
          <w:rFonts w:asciiTheme="minorEastAsia" w:hAnsiTheme="minorEastAsia" w:hint="eastAsia"/>
        </w:rPr>
        <w:t>维护性要求</w:t>
      </w:r>
    </w:p>
    <w:p>
      <w:pPr>
        <w:snapToGrid w:val="0"/>
        <w:spacing w:line="360" w:lineRule="auto"/>
        <w:ind w:firstLine="420" w:firstLineChars="200"/>
        <w:rPr>
          <w:rFonts w:asciiTheme="minorEastAsia" w:hAnsiTheme="minorEastAsia"/>
          <w:szCs w:val="21"/>
        </w:rPr>
      </w:pPr>
      <w:r>
        <w:rPr>
          <w:rFonts w:asciiTheme="minorEastAsia" w:hAnsiTheme="minorEastAsia" w:hint="eastAsia"/>
          <w:szCs w:val="21"/>
        </w:rPr>
        <w:t>提供详细的维护手册。</w:t>
      </w:r>
    </w:p>
    <w:p>
      <w:pPr>
        <w:snapToGrid w:val="0"/>
        <w:spacing w:line="360" w:lineRule="auto"/>
        <w:ind w:firstLine="420" w:firstLineChars="200"/>
        <w:rPr>
          <w:rFonts w:asciiTheme="minorEastAsia" w:hAnsiTheme="minorEastAsia"/>
          <w:szCs w:val="21"/>
        </w:rPr>
      </w:pPr>
      <w:r>
        <w:rPr>
          <w:rFonts w:asciiTheme="minorEastAsia" w:hAnsiTheme="minorEastAsia" w:hint="eastAsia"/>
          <w:szCs w:val="21"/>
        </w:rPr>
        <w:t>要求各个模块之间相对独立松散耦合。系统提供完备的日志功能，帮助系统管理诊断缺陷或者系统异常。</w:t>
      </w:r>
    </w:p>
    <w:p>
      <w:pPr>
        <w:numPr>
          <w:ilvl w:val="0"/>
          <w:numId w:val="8"/>
        </w:numPr>
        <w:tabs>
          <w:tab w:val="left" w:pos="724"/>
          <w:tab w:val="left" w:pos="1038"/>
        </w:tabs>
        <w:spacing w:line="360" w:lineRule="auto"/>
        <w:ind w:left="0" w:firstLine="420" w:firstLineChars="200"/>
        <w:outlineLvl w:val="2"/>
        <w:rPr>
          <w:rFonts w:asciiTheme="minorEastAsia" w:hAnsiTheme="minorEastAsia"/>
        </w:rPr>
      </w:pPr>
      <w:r>
        <w:rPr>
          <w:rFonts w:asciiTheme="minorEastAsia" w:hAnsiTheme="minorEastAsia" w:hint="eastAsia"/>
        </w:rPr>
        <w:t>安全性要求</w:t>
      </w:r>
    </w:p>
    <w:p>
      <w:pPr>
        <w:snapToGrid w:val="0"/>
        <w:spacing w:line="360" w:lineRule="auto"/>
        <w:ind w:firstLine="420" w:firstLineChars="200"/>
        <w:rPr>
          <w:rFonts w:asciiTheme="minorEastAsia" w:hAnsiTheme="minorEastAsia"/>
          <w:szCs w:val="21"/>
        </w:rPr>
      </w:pPr>
      <w:r>
        <w:rPr>
          <w:rFonts w:asciiTheme="minorEastAsia" w:hAnsiTheme="minorEastAsia" w:hint="eastAsia"/>
          <w:szCs w:val="21"/>
        </w:rPr>
        <w:t>系统需要具备抵御网络病毒、黑客袭击的措施与隔离攻击、快速恢复机制，具备多种、分级别的数据安全保护措施并形成有效运行机制。</w:t>
      </w:r>
    </w:p>
    <w:p>
      <w:pPr>
        <w:numPr>
          <w:ilvl w:val="0"/>
          <w:numId w:val="8"/>
        </w:numPr>
        <w:tabs>
          <w:tab w:val="left" w:pos="724"/>
          <w:tab w:val="left" w:pos="1038"/>
        </w:tabs>
        <w:spacing w:line="360" w:lineRule="auto"/>
        <w:ind w:left="0" w:firstLine="420" w:firstLineChars="200"/>
        <w:outlineLvl w:val="2"/>
        <w:rPr>
          <w:rFonts w:asciiTheme="minorEastAsia" w:hAnsiTheme="minorEastAsia"/>
        </w:rPr>
      </w:pPr>
      <w:r>
        <w:rPr>
          <w:rFonts w:asciiTheme="minorEastAsia" w:hAnsiTheme="minorEastAsia" w:hint="eastAsia"/>
        </w:rPr>
        <w:t>界面要求</w:t>
      </w:r>
    </w:p>
    <w:p>
      <w:pPr>
        <w:snapToGrid w:val="0"/>
        <w:spacing w:line="360" w:lineRule="auto"/>
        <w:ind w:firstLine="420" w:firstLineChars="200"/>
        <w:rPr>
          <w:rFonts w:asciiTheme="minorEastAsia" w:hAnsiTheme="minorEastAsia"/>
          <w:szCs w:val="21"/>
        </w:rPr>
      </w:pPr>
      <w:r>
        <w:rPr>
          <w:rFonts w:asciiTheme="minorEastAsia" w:hAnsiTheme="minorEastAsia" w:hint="eastAsia"/>
          <w:szCs w:val="21"/>
        </w:rPr>
        <w:t>系统界面设计需要简洁、便于使用、便于理解、并能减少用户发生错误选择的可能性。系统能够保证用户在10分钟内即能理解页面上的操作。</w:t>
      </w:r>
    </w:p>
    <w:p>
      <w:pPr>
        <w:snapToGrid w:val="0"/>
        <w:spacing w:line="360" w:lineRule="auto"/>
        <w:ind w:firstLine="420" w:firstLineChars="200"/>
        <w:rPr>
          <w:rFonts w:asciiTheme="minorEastAsia" w:hAnsiTheme="minorEastAsia"/>
          <w:szCs w:val="21"/>
        </w:rPr>
      </w:pPr>
      <w:r>
        <w:rPr>
          <w:rFonts w:asciiTheme="minorEastAsia" w:hAnsiTheme="minorEastAsia" w:hint="eastAsia"/>
          <w:szCs w:val="21"/>
        </w:rPr>
        <w:t>系统界面要具备友好性、人性化的提示。</w:t>
      </w:r>
    </w:p>
    <w:p>
      <w:pPr>
        <w:snapToGrid w:val="0"/>
        <w:spacing w:line="360" w:lineRule="auto"/>
        <w:ind w:firstLine="420" w:firstLineChars="200"/>
        <w:rPr>
          <w:rFonts w:asciiTheme="minorEastAsia" w:hAnsiTheme="minorEastAsia"/>
          <w:szCs w:val="21"/>
        </w:rPr>
      </w:pPr>
      <w:r>
        <w:rPr>
          <w:rFonts w:asciiTheme="minorEastAsia" w:hAnsiTheme="minorEastAsia" w:hint="eastAsia"/>
          <w:szCs w:val="21"/>
        </w:rPr>
        <w:t>系统界面结构清晰且所用的术语要保持一致，风格必须与内容相一致，界面的色调字体也要保持一致。</w:t>
      </w:r>
    </w:p>
    <w:p>
      <w:pPr>
        <w:pStyle w:val="ListParagraph"/>
        <w:numPr>
          <w:ilvl w:val="0"/>
          <w:numId w:val="5"/>
        </w:numPr>
        <w:tabs>
          <w:tab w:val="left" w:pos="538"/>
        </w:tabs>
        <w:spacing w:line="360" w:lineRule="auto"/>
        <w:ind w:left="0" w:firstLine="210" w:firstLineChars="100"/>
        <w:outlineLvl w:val="1"/>
        <w:rPr>
          <w:rFonts w:ascii="宋体" w:hAnsi="宋体" w:cs="宋体"/>
          <w:b/>
          <w:bCs/>
          <w:color w:val="000000"/>
          <w:kern w:val="0"/>
          <w:szCs w:val="21"/>
        </w:rPr>
      </w:pPr>
      <w:bookmarkStart w:id="74" w:name="_Toc16448"/>
      <w:bookmarkStart w:id="75" w:name="_Toc119829562"/>
      <w:bookmarkStart w:id="76" w:name="_Toc176762809"/>
      <w:bookmarkStart w:id="77" w:name="_Toc161475271"/>
      <w:bookmarkStart w:id="78" w:name="_Toc176762294"/>
      <w:bookmarkStart w:id="79" w:name="_Toc138148071"/>
      <w:bookmarkStart w:id="80" w:name="_Toc1988998443"/>
      <w:bookmarkStart w:id="81" w:name="_Toc176757447"/>
      <w:bookmarkStart w:id="82" w:name="_Toc24435"/>
      <w:r>
        <w:rPr>
          <w:rFonts w:ascii="宋体" w:hAnsi="宋体" w:cs="宋体" w:hint="eastAsia"/>
          <w:b/>
          <w:bCs/>
          <w:color w:val="000000"/>
          <w:kern w:val="0"/>
          <w:szCs w:val="21"/>
        </w:rPr>
        <w:t>设计约束与要求</w:t>
      </w:r>
      <w:bookmarkEnd w:id="74"/>
      <w:bookmarkEnd w:id="75"/>
      <w:bookmarkEnd w:id="76"/>
      <w:bookmarkEnd w:id="77"/>
      <w:bookmarkEnd w:id="78"/>
      <w:bookmarkEnd w:id="79"/>
      <w:bookmarkEnd w:id="80"/>
      <w:bookmarkEnd w:id="81"/>
      <w:bookmarkEnd w:id="82"/>
    </w:p>
    <w:p>
      <w:pPr>
        <w:numPr>
          <w:ilvl w:val="0"/>
          <w:numId w:val="9"/>
        </w:numPr>
        <w:tabs>
          <w:tab w:val="left" w:pos="724"/>
          <w:tab w:val="left" w:pos="1038"/>
        </w:tabs>
        <w:spacing w:line="360" w:lineRule="auto"/>
        <w:ind w:left="0" w:firstLine="420" w:firstLineChars="200"/>
        <w:rPr>
          <w:rFonts w:ascii="宋体" w:hAnsi="宋体"/>
        </w:rPr>
      </w:pPr>
      <w:r>
        <w:rPr>
          <w:rFonts w:ascii="宋体" w:hAnsi="宋体" w:hint="eastAsia"/>
        </w:rPr>
        <w:t>部署资源应支持现有的硬件环境，及未来的国产化底层环境。</w:t>
      </w:r>
    </w:p>
    <w:p>
      <w:pPr>
        <w:numPr>
          <w:ilvl w:val="0"/>
          <w:numId w:val="9"/>
        </w:numPr>
        <w:tabs>
          <w:tab w:val="left" w:pos="724"/>
          <w:tab w:val="left" w:pos="1038"/>
        </w:tabs>
        <w:spacing w:line="360" w:lineRule="auto"/>
        <w:ind w:left="0" w:firstLine="420" w:firstLineChars="200"/>
        <w:rPr>
          <w:rFonts w:ascii="宋体" w:hAnsi="宋体"/>
        </w:rPr>
      </w:pPr>
      <w:r>
        <w:rPr>
          <w:rFonts w:ascii="宋体" w:hAnsi="宋体" w:hint="eastAsia"/>
        </w:rPr>
        <w:t>采用成熟可靠的技术、遵循通用开放的标准，构建安全、可靠、实时、易用的服务平台。</w:t>
      </w:r>
    </w:p>
    <w:p>
      <w:pPr>
        <w:numPr>
          <w:ilvl w:val="0"/>
          <w:numId w:val="9"/>
        </w:numPr>
        <w:tabs>
          <w:tab w:val="left" w:pos="724"/>
          <w:tab w:val="left" w:pos="1038"/>
        </w:tabs>
        <w:spacing w:line="360" w:lineRule="auto"/>
        <w:ind w:left="0" w:firstLine="420" w:firstLineChars="200"/>
        <w:rPr>
          <w:rFonts w:ascii="宋体" w:hAnsi="宋体"/>
        </w:rPr>
      </w:pPr>
      <w:r>
        <w:rPr>
          <w:rFonts w:ascii="宋体" w:hAnsi="宋体" w:hint="eastAsia"/>
        </w:rPr>
        <w:t>在技术实现上要满足系统后台运行环境支持Linux等主流操作系统，部署环境支持云平台；服务器、存储和虚拟化软件技术产品与现有云平台软硬件环境完全兼容、无缝整合、协同工作，不影响原有业务运行。</w:t>
      </w:r>
    </w:p>
    <w:p>
      <w:pPr>
        <w:numPr>
          <w:ilvl w:val="0"/>
          <w:numId w:val="9"/>
        </w:numPr>
        <w:tabs>
          <w:tab w:val="left" w:pos="724"/>
          <w:tab w:val="left" w:pos="1038"/>
        </w:tabs>
        <w:spacing w:line="360" w:lineRule="auto"/>
        <w:ind w:left="0" w:firstLine="420" w:firstLineChars="200"/>
        <w:rPr>
          <w:rFonts w:ascii="宋体" w:hAnsi="宋体"/>
        </w:rPr>
      </w:pPr>
      <w:r>
        <w:rPr>
          <w:rFonts w:ascii="宋体" w:hAnsi="宋体" w:hint="eastAsia"/>
        </w:rPr>
        <w:t>网站开发语言推荐采用Java，数据存储管理功能开发总体不超过2种开发语言，推荐使用JAVA或C/C++。</w:t>
      </w:r>
    </w:p>
    <w:p>
      <w:pPr>
        <w:numPr>
          <w:ilvl w:val="0"/>
          <w:numId w:val="9"/>
        </w:numPr>
        <w:tabs>
          <w:tab w:val="left" w:pos="724"/>
          <w:tab w:val="left" w:pos="1038"/>
        </w:tabs>
        <w:spacing w:line="360" w:lineRule="auto"/>
        <w:ind w:left="0" w:firstLine="420" w:firstLineChars="200"/>
        <w:rPr>
          <w:rFonts w:ascii="宋体" w:hAnsi="宋体"/>
        </w:rPr>
      </w:pPr>
      <w:r>
        <w:rPr>
          <w:rFonts w:ascii="宋体" w:hAnsi="宋体" w:hint="eastAsia"/>
        </w:rPr>
        <w:t>相关web系统支持并兼容微软IE、Google等主流浏览器的最新版本。</w:t>
      </w:r>
    </w:p>
    <w:p>
      <w:pPr>
        <w:pStyle w:val="ListParagraph"/>
        <w:numPr>
          <w:ilvl w:val="0"/>
          <w:numId w:val="4"/>
        </w:numPr>
        <w:tabs>
          <w:tab w:val="left" w:pos="617"/>
        </w:tabs>
        <w:spacing w:line="360" w:lineRule="auto"/>
        <w:ind w:left="420" w:hanging="420" w:firstLineChars="0"/>
        <w:jc w:val="left"/>
        <w:outlineLvl w:val="0"/>
        <w:rPr>
          <w:rFonts w:ascii="宋体" w:hAnsi="宋体" w:cs="宋体"/>
          <w:b/>
          <w:bCs/>
          <w:color w:val="000000"/>
          <w:szCs w:val="21"/>
        </w:rPr>
      </w:pPr>
      <w:bookmarkStart w:id="83" w:name="_Toc28195"/>
      <w:bookmarkStart w:id="84" w:name="_Toc89681580"/>
      <w:bookmarkStart w:id="85" w:name="_Toc525292944"/>
      <w:bookmarkStart w:id="86" w:name="_Toc89681331"/>
      <w:bookmarkStart w:id="87" w:name="_Toc166187013"/>
      <w:bookmarkStart w:id="88" w:name="_Toc28455"/>
      <w:bookmarkStart w:id="89" w:name="_Toc525198871"/>
      <w:r>
        <w:rPr>
          <w:rFonts w:ascii="宋体" w:hAnsi="宋体" w:cs="宋体" w:hint="eastAsia"/>
          <w:b/>
          <w:bCs/>
          <w:color w:val="000000"/>
          <w:szCs w:val="21"/>
        </w:rPr>
        <w:t>技术服务要求</w:t>
      </w:r>
      <w:bookmarkEnd w:id="83"/>
      <w:bookmarkEnd w:id="84"/>
      <w:bookmarkEnd w:id="85"/>
      <w:bookmarkEnd w:id="86"/>
      <w:bookmarkEnd w:id="87"/>
      <w:bookmarkEnd w:id="88"/>
      <w:bookmarkEnd w:id="89"/>
    </w:p>
    <w:p>
      <w:pPr>
        <w:pStyle w:val="ListParagraph"/>
        <w:numPr>
          <w:ilvl w:val="0"/>
          <w:numId w:val="2"/>
        </w:numPr>
        <w:tabs>
          <w:tab w:val="left" w:pos="0"/>
        </w:tabs>
        <w:spacing w:line="360" w:lineRule="auto"/>
        <w:ind w:left="0" w:firstLine="422" w:firstLineChars="201"/>
        <w:outlineLvl w:val="1"/>
        <w:rPr>
          <w:rFonts w:ascii="宋体" w:hAnsi="宋体" w:cs="宋体"/>
          <w:b/>
          <w:bCs/>
          <w:color w:val="000000"/>
          <w:kern w:val="0"/>
          <w:szCs w:val="21"/>
        </w:rPr>
      </w:pPr>
      <w:bookmarkStart w:id="90" w:name="_Toc21792"/>
      <w:bookmarkStart w:id="91" w:name="_Toc119829563"/>
      <w:bookmarkStart w:id="92" w:name="_Toc3210"/>
      <w:bookmarkStart w:id="93" w:name="_Toc1366382299"/>
      <w:r>
        <w:rPr>
          <w:rFonts w:ascii="宋体" w:hAnsi="宋体" w:cs="宋体" w:hint="eastAsia"/>
          <w:b/>
          <w:bCs/>
          <w:color w:val="000000"/>
          <w:kern w:val="0"/>
          <w:szCs w:val="21"/>
        </w:rPr>
        <w:t>进度要求</w:t>
      </w:r>
      <w:bookmarkEnd w:id="90"/>
      <w:bookmarkEnd w:id="91"/>
      <w:bookmarkEnd w:id="92"/>
      <w:bookmarkEnd w:id="93"/>
    </w:p>
    <w:p>
      <w:pPr>
        <w:tabs>
          <w:tab w:val="left" w:pos="724"/>
          <w:tab w:val="left" w:pos="1038"/>
        </w:tabs>
        <w:spacing w:line="360" w:lineRule="auto"/>
        <w:ind w:firstLine="420" w:firstLineChars="200"/>
        <w:rPr>
          <w:rFonts w:ascii="宋体" w:hAnsi="宋体"/>
        </w:rPr>
      </w:pPr>
      <w:bookmarkStart w:id="94" w:name="_Toc17972"/>
      <w:bookmarkStart w:id="95" w:name="_Toc1744661922"/>
      <w:bookmarkStart w:id="96" w:name="_Toc119829564"/>
      <w:r>
        <w:rPr>
          <w:rFonts w:ascii="宋体" w:hAnsi="宋体" w:hint="eastAsia"/>
        </w:rPr>
        <w:t>建设项目的研制要求完全按软件工程的方法和过程实施，其研制过程主要包括需求分析、概要设计、详细设计与编码调试、系统集成与测试、系统部署与初验、试运行、系统验收七</w:t>
      </w:r>
      <w:r>
        <w:rPr>
          <w:rFonts w:ascii="宋体" w:hAnsi="宋体"/>
        </w:rPr>
        <w:t>个阶段</w:t>
      </w:r>
      <w:r>
        <w:rPr>
          <w:rFonts w:ascii="宋体" w:hAnsi="宋体" w:hint="eastAsia"/>
        </w:rPr>
        <w:t>，研制周期12个月内。</w:t>
      </w:r>
      <w:bookmarkEnd w:id="94"/>
      <w:bookmarkEnd w:id="95"/>
      <w:bookmarkEnd w:id="96"/>
      <w:r>
        <w:rPr>
          <w:rFonts w:ascii="宋体" w:hAnsi="宋体" w:hint="eastAsia"/>
        </w:rPr>
        <w:t>下表给出了任务各阶段的进度要求：</w:t>
      </w:r>
    </w:p>
    <w:p>
      <w:pPr>
        <w:jc w:val="center"/>
        <w:rPr>
          <w:rFonts w:ascii="宋体" w:hAnsi="宋体"/>
          <w:b/>
          <w:bCs/>
        </w:rPr>
      </w:pPr>
      <w:r>
        <w:rPr>
          <w:rFonts w:ascii="宋体" w:hAnsi="宋体" w:hint="eastAsia"/>
          <w:b/>
          <w:bCs/>
        </w:rPr>
        <w:t>项目开发进度表</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929"/>
        <w:gridCol w:w="1224"/>
        <w:gridCol w:w="5369"/>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blHeader/>
          <w:jc w:val="center"/>
        </w:trPr>
        <w:tc>
          <w:tcPr>
            <w:tcW w:w="1132" w:type="pct"/>
            <w:vAlign w:val="center"/>
          </w:tcPr>
          <w:p>
            <w:pPr>
              <w:snapToGrid w:val="0"/>
              <w:spacing w:before="156" w:beforeLines="50"/>
              <w:jc w:val="center"/>
              <w:rPr>
                <w:rFonts w:ascii="宋体" w:hAnsi="宋体"/>
                <w:b/>
                <w:bCs/>
                <w:szCs w:val="21"/>
              </w:rPr>
            </w:pPr>
            <w:r>
              <w:rPr>
                <w:rFonts w:ascii="宋体" w:hAnsi="宋体"/>
                <w:b/>
                <w:bCs/>
                <w:szCs w:val="21"/>
              </w:rPr>
              <w:t>软件研发过程</w:t>
            </w:r>
          </w:p>
        </w:tc>
        <w:tc>
          <w:tcPr>
            <w:tcW w:w="718" w:type="pct"/>
            <w:vAlign w:val="center"/>
          </w:tcPr>
          <w:p>
            <w:pPr>
              <w:snapToGrid w:val="0"/>
              <w:jc w:val="center"/>
              <w:rPr>
                <w:rFonts w:ascii="宋体" w:hAnsi="宋体"/>
                <w:b/>
                <w:bCs/>
                <w:szCs w:val="21"/>
              </w:rPr>
            </w:pPr>
            <w:r>
              <w:rPr>
                <w:rFonts w:ascii="宋体" w:hAnsi="宋体"/>
                <w:b/>
                <w:bCs/>
                <w:szCs w:val="21"/>
              </w:rPr>
              <w:t>进度要求</w:t>
            </w:r>
          </w:p>
          <w:p>
            <w:pPr>
              <w:snapToGrid w:val="0"/>
              <w:jc w:val="center"/>
              <w:rPr>
                <w:rFonts w:ascii="宋体" w:hAnsi="宋体"/>
                <w:b/>
                <w:bCs/>
                <w:szCs w:val="21"/>
              </w:rPr>
            </w:pPr>
            <w:r>
              <w:rPr>
                <w:rFonts w:ascii="宋体" w:hAnsi="宋体"/>
                <w:b/>
                <w:bCs/>
                <w:szCs w:val="21"/>
              </w:rPr>
              <w:t>（月数）</w:t>
            </w:r>
          </w:p>
        </w:tc>
        <w:tc>
          <w:tcPr>
            <w:tcW w:w="3150" w:type="pct"/>
            <w:vAlign w:val="center"/>
          </w:tcPr>
          <w:p>
            <w:pPr>
              <w:snapToGrid w:val="0"/>
              <w:spacing w:before="156" w:beforeLines="50"/>
              <w:jc w:val="center"/>
              <w:rPr>
                <w:rFonts w:ascii="宋体" w:hAnsi="宋体"/>
                <w:b/>
                <w:bCs/>
                <w:szCs w:val="21"/>
              </w:rPr>
            </w:pPr>
            <w:r>
              <w:rPr>
                <w:rFonts w:ascii="宋体" w:hAnsi="宋体"/>
                <w:b/>
                <w:bCs/>
                <w:szCs w:val="21"/>
              </w:rPr>
              <w:t>基本要求</w:t>
            </w:r>
          </w:p>
        </w:tc>
      </w:tr>
      <w:tr>
        <w:tblPrEx>
          <w:tblW w:w="5000" w:type="pct"/>
          <w:jc w:val="center"/>
          <w:tblCellMar>
            <w:top w:w="0" w:type="dxa"/>
            <w:left w:w="108" w:type="dxa"/>
            <w:bottom w:w="0" w:type="dxa"/>
            <w:right w:w="108" w:type="dxa"/>
          </w:tblCellMar>
        </w:tblPrEx>
        <w:trPr>
          <w:jc w:val="center"/>
        </w:trPr>
        <w:tc>
          <w:tcPr>
            <w:tcW w:w="1132" w:type="pct"/>
            <w:vAlign w:val="center"/>
          </w:tcPr>
          <w:p>
            <w:pPr>
              <w:snapToGrid w:val="0"/>
              <w:spacing w:before="156" w:beforeLines="50"/>
              <w:rPr>
                <w:rFonts w:ascii="宋体" w:hAnsi="宋体"/>
                <w:szCs w:val="21"/>
              </w:rPr>
            </w:pPr>
            <w:r>
              <w:rPr>
                <w:rFonts w:ascii="宋体" w:hAnsi="宋体"/>
                <w:szCs w:val="21"/>
              </w:rPr>
              <w:t>需求分析</w:t>
            </w:r>
          </w:p>
        </w:tc>
        <w:tc>
          <w:tcPr>
            <w:tcW w:w="718" w:type="pct"/>
            <w:vAlign w:val="center"/>
          </w:tcPr>
          <w:p>
            <w:pPr>
              <w:snapToGrid w:val="0"/>
              <w:spacing w:before="156" w:beforeLines="50"/>
              <w:jc w:val="center"/>
              <w:rPr>
                <w:rFonts w:ascii="宋体" w:hAnsi="宋体"/>
                <w:szCs w:val="21"/>
              </w:rPr>
            </w:pPr>
            <w:r>
              <w:rPr>
                <w:rFonts w:ascii="宋体" w:hAnsi="宋体"/>
                <w:szCs w:val="21"/>
              </w:rPr>
              <w:t>2</w:t>
            </w:r>
          </w:p>
        </w:tc>
        <w:tc>
          <w:tcPr>
            <w:tcW w:w="3150" w:type="pct"/>
            <w:vAlign w:val="center"/>
          </w:tcPr>
          <w:p>
            <w:pPr>
              <w:snapToGrid w:val="0"/>
              <w:spacing w:before="156" w:beforeLines="50"/>
              <w:rPr>
                <w:rFonts w:ascii="宋体" w:hAnsi="宋体"/>
                <w:szCs w:val="21"/>
              </w:rPr>
            </w:pPr>
            <w:r>
              <w:rPr>
                <w:rFonts w:ascii="宋体" w:hAnsi="宋体"/>
                <w:szCs w:val="21"/>
              </w:rPr>
              <w:t>完成任务书中所有软件功能的分析，提交软件需求阶段应提交的文档</w:t>
            </w:r>
          </w:p>
        </w:tc>
      </w:tr>
      <w:tr>
        <w:tblPrEx>
          <w:tblW w:w="5000" w:type="pct"/>
          <w:jc w:val="center"/>
          <w:tblCellMar>
            <w:top w:w="0" w:type="dxa"/>
            <w:left w:w="108" w:type="dxa"/>
            <w:bottom w:w="0" w:type="dxa"/>
            <w:right w:w="108" w:type="dxa"/>
          </w:tblCellMar>
        </w:tblPrEx>
        <w:trPr>
          <w:jc w:val="center"/>
        </w:trPr>
        <w:tc>
          <w:tcPr>
            <w:tcW w:w="1132" w:type="pct"/>
            <w:vAlign w:val="center"/>
          </w:tcPr>
          <w:p>
            <w:pPr>
              <w:snapToGrid w:val="0"/>
              <w:spacing w:before="156" w:beforeLines="50"/>
              <w:rPr>
                <w:rFonts w:ascii="宋体" w:hAnsi="宋体"/>
                <w:szCs w:val="21"/>
              </w:rPr>
            </w:pPr>
            <w:r>
              <w:rPr>
                <w:rFonts w:ascii="宋体" w:hAnsi="宋体"/>
                <w:szCs w:val="21"/>
              </w:rPr>
              <w:t>概要设计</w:t>
            </w:r>
          </w:p>
        </w:tc>
        <w:tc>
          <w:tcPr>
            <w:tcW w:w="718" w:type="pct"/>
            <w:vAlign w:val="center"/>
          </w:tcPr>
          <w:p>
            <w:pPr>
              <w:snapToGrid w:val="0"/>
              <w:spacing w:before="156" w:beforeLines="50"/>
              <w:jc w:val="center"/>
              <w:rPr>
                <w:rFonts w:ascii="宋体" w:hAnsi="宋体"/>
                <w:szCs w:val="21"/>
              </w:rPr>
            </w:pPr>
            <w:r>
              <w:rPr>
                <w:rFonts w:ascii="宋体" w:hAnsi="宋体"/>
                <w:szCs w:val="21"/>
              </w:rPr>
              <w:t>1</w:t>
            </w:r>
          </w:p>
        </w:tc>
        <w:tc>
          <w:tcPr>
            <w:tcW w:w="3150" w:type="pct"/>
            <w:vAlign w:val="center"/>
          </w:tcPr>
          <w:p>
            <w:pPr>
              <w:snapToGrid w:val="0"/>
              <w:spacing w:before="156" w:beforeLines="50"/>
              <w:rPr>
                <w:rFonts w:ascii="宋体" w:hAnsi="宋体"/>
                <w:szCs w:val="21"/>
              </w:rPr>
            </w:pPr>
            <w:r>
              <w:rPr>
                <w:rFonts w:ascii="宋体" w:hAnsi="宋体"/>
                <w:szCs w:val="21"/>
              </w:rPr>
              <w:t>完成任务书中所有软件功能的设计，提交概要设计阶段应提交的文档</w:t>
            </w:r>
          </w:p>
        </w:tc>
      </w:tr>
      <w:tr>
        <w:tblPrEx>
          <w:tblW w:w="5000" w:type="pct"/>
          <w:jc w:val="center"/>
          <w:tblCellMar>
            <w:top w:w="0" w:type="dxa"/>
            <w:left w:w="108" w:type="dxa"/>
            <w:bottom w:w="0" w:type="dxa"/>
            <w:right w:w="108" w:type="dxa"/>
          </w:tblCellMar>
        </w:tblPrEx>
        <w:trPr>
          <w:jc w:val="center"/>
        </w:trPr>
        <w:tc>
          <w:tcPr>
            <w:tcW w:w="1132" w:type="pct"/>
            <w:vAlign w:val="center"/>
          </w:tcPr>
          <w:p>
            <w:pPr>
              <w:snapToGrid w:val="0"/>
              <w:spacing w:before="156" w:beforeLines="50"/>
              <w:rPr>
                <w:rFonts w:ascii="宋体" w:hAnsi="宋体"/>
                <w:szCs w:val="21"/>
              </w:rPr>
            </w:pPr>
            <w:r>
              <w:rPr>
                <w:rFonts w:ascii="宋体" w:hAnsi="宋体"/>
                <w:szCs w:val="21"/>
              </w:rPr>
              <w:t>详细设计与编码调试</w:t>
            </w:r>
          </w:p>
        </w:tc>
        <w:tc>
          <w:tcPr>
            <w:tcW w:w="718" w:type="pct"/>
            <w:vAlign w:val="center"/>
          </w:tcPr>
          <w:p>
            <w:pPr>
              <w:snapToGrid w:val="0"/>
              <w:spacing w:before="156" w:beforeLines="50"/>
              <w:jc w:val="center"/>
              <w:rPr>
                <w:rFonts w:ascii="宋体" w:hAnsi="宋体"/>
                <w:szCs w:val="21"/>
              </w:rPr>
            </w:pPr>
            <w:r>
              <w:rPr>
                <w:rFonts w:ascii="宋体" w:hAnsi="宋体"/>
                <w:szCs w:val="21"/>
              </w:rPr>
              <w:t>5</w:t>
            </w:r>
          </w:p>
        </w:tc>
        <w:tc>
          <w:tcPr>
            <w:tcW w:w="3150" w:type="pct"/>
            <w:vAlign w:val="center"/>
          </w:tcPr>
          <w:p>
            <w:pPr>
              <w:snapToGrid w:val="0"/>
              <w:spacing w:before="156" w:beforeLines="50"/>
              <w:rPr>
                <w:rFonts w:ascii="宋体" w:hAnsi="宋体"/>
                <w:szCs w:val="21"/>
              </w:rPr>
            </w:pPr>
            <w:r>
              <w:rPr>
                <w:rFonts w:ascii="宋体" w:hAnsi="宋体"/>
                <w:szCs w:val="21"/>
              </w:rPr>
              <w:t>完成详细设计、程序编码、调试和单元测试，要求签订合同后8个月实现建设主体功能的开发上线</w:t>
            </w:r>
          </w:p>
        </w:tc>
      </w:tr>
      <w:tr>
        <w:tblPrEx>
          <w:tblW w:w="5000" w:type="pct"/>
          <w:jc w:val="center"/>
          <w:tblCellMar>
            <w:top w:w="0" w:type="dxa"/>
            <w:left w:w="108" w:type="dxa"/>
            <w:bottom w:w="0" w:type="dxa"/>
            <w:right w:w="108" w:type="dxa"/>
          </w:tblCellMar>
        </w:tblPrEx>
        <w:trPr>
          <w:jc w:val="center"/>
        </w:trPr>
        <w:tc>
          <w:tcPr>
            <w:tcW w:w="1132" w:type="pct"/>
            <w:vAlign w:val="center"/>
          </w:tcPr>
          <w:p>
            <w:pPr>
              <w:snapToGrid w:val="0"/>
              <w:spacing w:before="156" w:beforeLines="50"/>
              <w:rPr>
                <w:rFonts w:ascii="宋体" w:hAnsi="宋体"/>
                <w:szCs w:val="21"/>
              </w:rPr>
            </w:pPr>
            <w:r>
              <w:rPr>
                <w:rFonts w:ascii="宋体" w:hAnsi="宋体"/>
                <w:szCs w:val="21"/>
              </w:rPr>
              <w:t>测试方案</w:t>
            </w:r>
          </w:p>
        </w:tc>
        <w:tc>
          <w:tcPr>
            <w:tcW w:w="718" w:type="pct"/>
            <w:vAlign w:val="center"/>
          </w:tcPr>
          <w:p>
            <w:pPr>
              <w:snapToGrid w:val="0"/>
              <w:spacing w:before="156" w:beforeLines="50"/>
              <w:jc w:val="center"/>
              <w:rPr>
                <w:rFonts w:ascii="宋体" w:hAnsi="宋体"/>
                <w:szCs w:val="21"/>
              </w:rPr>
            </w:pPr>
            <w:r>
              <w:rPr>
                <w:rFonts w:ascii="宋体" w:hAnsi="宋体"/>
                <w:szCs w:val="21"/>
              </w:rPr>
              <w:t>1</w:t>
            </w:r>
          </w:p>
        </w:tc>
        <w:tc>
          <w:tcPr>
            <w:tcW w:w="3150" w:type="pct"/>
            <w:vAlign w:val="center"/>
          </w:tcPr>
          <w:p>
            <w:pPr>
              <w:snapToGrid w:val="0"/>
              <w:spacing w:before="156" w:beforeLines="50"/>
              <w:rPr>
                <w:rFonts w:ascii="宋体" w:hAnsi="宋体"/>
                <w:szCs w:val="21"/>
              </w:rPr>
            </w:pPr>
            <w:r>
              <w:rPr>
                <w:rFonts w:ascii="宋体" w:hAnsi="宋体"/>
                <w:szCs w:val="21"/>
              </w:rPr>
              <w:t>完成测试方案编制，通过评审</w:t>
            </w:r>
          </w:p>
        </w:tc>
      </w:tr>
      <w:tr>
        <w:tblPrEx>
          <w:tblW w:w="5000" w:type="pct"/>
          <w:jc w:val="center"/>
          <w:tblCellMar>
            <w:top w:w="0" w:type="dxa"/>
            <w:left w:w="108" w:type="dxa"/>
            <w:bottom w:w="0" w:type="dxa"/>
            <w:right w:w="108" w:type="dxa"/>
          </w:tblCellMar>
        </w:tblPrEx>
        <w:trPr>
          <w:jc w:val="center"/>
        </w:trPr>
        <w:tc>
          <w:tcPr>
            <w:tcW w:w="1132" w:type="pct"/>
            <w:vAlign w:val="center"/>
          </w:tcPr>
          <w:p>
            <w:pPr>
              <w:snapToGrid w:val="0"/>
              <w:spacing w:before="156" w:beforeLines="50"/>
              <w:rPr>
                <w:rFonts w:ascii="宋体" w:hAnsi="宋体"/>
                <w:szCs w:val="21"/>
              </w:rPr>
            </w:pPr>
            <w:r>
              <w:rPr>
                <w:rFonts w:ascii="宋体" w:hAnsi="宋体"/>
                <w:szCs w:val="21"/>
              </w:rPr>
              <w:t>系统部署</w:t>
            </w:r>
          </w:p>
        </w:tc>
        <w:tc>
          <w:tcPr>
            <w:tcW w:w="718" w:type="pct"/>
            <w:vAlign w:val="center"/>
          </w:tcPr>
          <w:p>
            <w:pPr>
              <w:snapToGrid w:val="0"/>
              <w:spacing w:before="156" w:beforeLines="50"/>
              <w:jc w:val="center"/>
              <w:rPr>
                <w:rFonts w:ascii="宋体" w:hAnsi="宋体"/>
                <w:szCs w:val="21"/>
              </w:rPr>
            </w:pPr>
            <w:r>
              <w:rPr>
                <w:rFonts w:ascii="宋体" w:hAnsi="宋体"/>
                <w:szCs w:val="21"/>
              </w:rPr>
              <w:t>2</w:t>
            </w:r>
          </w:p>
        </w:tc>
        <w:tc>
          <w:tcPr>
            <w:tcW w:w="3150" w:type="pct"/>
            <w:vAlign w:val="center"/>
          </w:tcPr>
          <w:p>
            <w:pPr>
              <w:snapToGrid w:val="0"/>
              <w:spacing w:before="156" w:beforeLines="50"/>
              <w:rPr>
                <w:rFonts w:ascii="宋体" w:hAnsi="宋体"/>
                <w:szCs w:val="21"/>
              </w:rPr>
            </w:pPr>
            <w:r>
              <w:rPr>
                <w:rFonts w:ascii="宋体" w:hAnsi="宋体"/>
                <w:szCs w:val="21"/>
              </w:rPr>
              <w:t>完成系统功能确认测试、运行环境配置、系统应用集成与部署</w:t>
            </w:r>
          </w:p>
        </w:tc>
      </w:tr>
      <w:tr>
        <w:tblPrEx>
          <w:tblW w:w="5000" w:type="pct"/>
          <w:jc w:val="center"/>
          <w:tblCellMar>
            <w:top w:w="0" w:type="dxa"/>
            <w:left w:w="108" w:type="dxa"/>
            <w:bottom w:w="0" w:type="dxa"/>
            <w:right w:w="108" w:type="dxa"/>
          </w:tblCellMar>
        </w:tblPrEx>
        <w:trPr>
          <w:jc w:val="center"/>
        </w:trPr>
        <w:tc>
          <w:tcPr>
            <w:tcW w:w="1132" w:type="pct"/>
            <w:vAlign w:val="center"/>
          </w:tcPr>
          <w:p>
            <w:pPr>
              <w:snapToGrid w:val="0"/>
              <w:spacing w:before="156" w:beforeLines="50"/>
              <w:rPr>
                <w:rFonts w:ascii="宋体" w:hAnsi="宋体"/>
                <w:szCs w:val="21"/>
              </w:rPr>
            </w:pPr>
            <w:r>
              <w:rPr>
                <w:rFonts w:ascii="宋体" w:hAnsi="宋体"/>
                <w:szCs w:val="21"/>
              </w:rPr>
              <w:t>试运行</w:t>
            </w:r>
          </w:p>
        </w:tc>
        <w:tc>
          <w:tcPr>
            <w:tcW w:w="718" w:type="pct"/>
            <w:vAlign w:val="center"/>
          </w:tcPr>
          <w:p>
            <w:pPr>
              <w:snapToGrid w:val="0"/>
              <w:spacing w:before="156" w:beforeLines="50"/>
              <w:jc w:val="center"/>
              <w:rPr>
                <w:rFonts w:ascii="宋体" w:hAnsi="宋体"/>
                <w:szCs w:val="21"/>
              </w:rPr>
            </w:pPr>
            <w:r>
              <w:rPr>
                <w:rFonts w:ascii="宋体" w:hAnsi="宋体"/>
                <w:szCs w:val="21"/>
              </w:rPr>
              <w:t>1</w:t>
            </w:r>
          </w:p>
        </w:tc>
        <w:tc>
          <w:tcPr>
            <w:tcW w:w="3150" w:type="pct"/>
            <w:vAlign w:val="center"/>
          </w:tcPr>
          <w:p>
            <w:pPr>
              <w:snapToGrid w:val="0"/>
              <w:spacing w:before="156" w:beforeLines="50"/>
              <w:rPr>
                <w:rFonts w:ascii="宋体" w:hAnsi="宋体"/>
                <w:szCs w:val="21"/>
              </w:rPr>
            </w:pPr>
            <w:r>
              <w:rPr>
                <w:rFonts w:ascii="宋体" w:hAnsi="宋体" w:cs="宋体"/>
                <w:kern w:val="0"/>
              </w:rPr>
              <w:t>完成不少于1个月的连续无重大故障试运行。</w:t>
            </w:r>
          </w:p>
        </w:tc>
      </w:tr>
      <w:tr>
        <w:tblPrEx>
          <w:tblW w:w="5000" w:type="pct"/>
          <w:jc w:val="center"/>
          <w:tblCellMar>
            <w:top w:w="0" w:type="dxa"/>
            <w:left w:w="108" w:type="dxa"/>
            <w:bottom w:w="0" w:type="dxa"/>
            <w:right w:w="108" w:type="dxa"/>
          </w:tblCellMar>
        </w:tblPrEx>
        <w:trPr>
          <w:jc w:val="center"/>
        </w:trPr>
        <w:tc>
          <w:tcPr>
            <w:tcW w:w="1132" w:type="pct"/>
            <w:vAlign w:val="center"/>
          </w:tcPr>
          <w:p>
            <w:pPr>
              <w:snapToGrid w:val="0"/>
              <w:spacing w:before="156" w:beforeLines="50"/>
              <w:rPr>
                <w:rFonts w:ascii="宋体" w:hAnsi="宋体"/>
                <w:szCs w:val="21"/>
              </w:rPr>
            </w:pPr>
            <w:r>
              <w:rPr>
                <w:rFonts w:ascii="宋体" w:hAnsi="宋体"/>
                <w:szCs w:val="21"/>
              </w:rPr>
              <w:t>系统终验</w:t>
            </w:r>
          </w:p>
        </w:tc>
        <w:tc>
          <w:tcPr>
            <w:tcW w:w="718" w:type="pct"/>
            <w:vAlign w:val="center"/>
          </w:tcPr>
          <w:p>
            <w:pPr>
              <w:snapToGrid w:val="0"/>
              <w:spacing w:before="156" w:beforeLines="50"/>
              <w:jc w:val="center"/>
              <w:rPr>
                <w:rFonts w:ascii="宋体" w:hAnsi="宋体"/>
                <w:szCs w:val="21"/>
              </w:rPr>
            </w:pPr>
          </w:p>
        </w:tc>
        <w:tc>
          <w:tcPr>
            <w:tcW w:w="3150" w:type="pct"/>
            <w:vAlign w:val="center"/>
          </w:tcPr>
          <w:p>
            <w:pPr>
              <w:snapToGrid w:val="0"/>
              <w:spacing w:before="156" w:beforeLines="50"/>
              <w:rPr>
                <w:rFonts w:ascii="宋体" w:hAnsi="宋体"/>
                <w:szCs w:val="21"/>
              </w:rPr>
            </w:pPr>
            <w:r>
              <w:rPr>
                <w:rFonts w:ascii="宋体" w:hAnsi="宋体"/>
                <w:szCs w:val="21"/>
              </w:rPr>
              <w:t>完成系统最终验收、培训并移交。</w:t>
            </w:r>
          </w:p>
        </w:tc>
      </w:tr>
    </w:tbl>
    <w:p>
      <w:pPr>
        <w:pStyle w:val="ListParagraph"/>
        <w:numPr>
          <w:ilvl w:val="0"/>
          <w:numId w:val="2"/>
        </w:numPr>
        <w:tabs>
          <w:tab w:val="left" w:pos="0"/>
        </w:tabs>
        <w:spacing w:line="360" w:lineRule="auto"/>
        <w:ind w:left="0" w:firstLine="422" w:firstLineChars="201"/>
        <w:outlineLvl w:val="1"/>
        <w:rPr>
          <w:rFonts w:ascii="宋体" w:hAnsi="宋体"/>
          <w:b/>
          <w:bCs/>
          <w:szCs w:val="21"/>
        </w:rPr>
      </w:pPr>
      <w:r>
        <w:rPr>
          <w:rFonts w:ascii="宋体" w:hAnsi="宋体" w:hint="eastAsia"/>
          <w:b/>
          <w:bCs/>
          <w:szCs w:val="21"/>
        </w:rPr>
        <w:t>交付要求</w:t>
      </w:r>
    </w:p>
    <w:p>
      <w:pPr>
        <w:snapToGrid w:val="0"/>
        <w:ind w:firstLine="420" w:firstLineChars="200"/>
        <w:rPr>
          <w:rFonts w:ascii="宋体" w:hAnsi="宋体"/>
          <w:szCs w:val="21"/>
        </w:rPr>
      </w:pPr>
      <w:r>
        <w:rPr>
          <w:rFonts w:ascii="宋体" w:hAnsi="宋体" w:hint="eastAsia"/>
          <w:szCs w:val="21"/>
        </w:rPr>
        <w:t>软件交付物提供应用软件安装包和源代码。</w:t>
      </w:r>
    </w:p>
    <w:p>
      <w:pPr>
        <w:snapToGrid w:val="0"/>
        <w:ind w:firstLine="420" w:firstLineChars="200"/>
        <w:rPr>
          <w:rFonts w:ascii="宋体" w:hAnsi="宋体"/>
          <w:szCs w:val="21"/>
        </w:rPr>
      </w:pPr>
      <w:r>
        <w:rPr>
          <w:rFonts w:ascii="宋体" w:hAnsi="宋体" w:hint="eastAsia"/>
          <w:szCs w:val="21"/>
        </w:rPr>
        <w:t>文档交付物详见下表：</w:t>
      </w:r>
    </w:p>
    <w:p>
      <w:pPr>
        <w:snapToGrid w:val="0"/>
        <w:ind w:firstLine="420" w:firstLineChars="200"/>
        <w:jc w:val="center"/>
        <w:rPr>
          <w:rFonts w:ascii="宋体" w:hAnsi="宋体"/>
          <w:b/>
          <w:bCs/>
          <w:szCs w:val="21"/>
        </w:rPr>
      </w:pPr>
      <w:r>
        <w:rPr>
          <w:rFonts w:ascii="宋体" w:hAnsi="宋体" w:hint="eastAsia"/>
          <w:b/>
          <w:bCs/>
          <w:szCs w:val="21"/>
        </w:rPr>
        <w:t>文档交付物</w:t>
      </w: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2325"/>
        <w:gridCol w:w="4252"/>
        <w:gridCol w:w="1945"/>
      </w:tblGrid>
      <w:tr>
        <w:tblPrEx>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blHeader/>
          <w:jc w:val="center"/>
        </w:trPr>
        <w:tc>
          <w:tcPr>
            <w:tcW w:w="1364" w:type="pct"/>
            <w:shd w:val="pct10" w:color="auto" w:fill="auto"/>
          </w:tcPr>
          <w:p>
            <w:pPr>
              <w:pStyle w:val="B"/>
              <w:spacing w:before="156" w:beforeLines="50" w:line="360" w:lineRule="auto"/>
              <w:rPr>
                <w:rFonts w:ascii="宋体" w:eastAsia="宋体" w:hAnsi="宋体"/>
              </w:rPr>
            </w:pPr>
            <w:r>
              <w:rPr>
                <w:rFonts w:ascii="宋体" w:eastAsia="宋体" w:hAnsi="宋体"/>
              </w:rPr>
              <w:t>工作内容</w:t>
            </w:r>
          </w:p>
        </w:tc>
        <w:tc>
          <w:tcPr>
            <w:tcW w:w="2495" w:type="pct"/>
            <w:shd w:val="pct10" w:color="auto" w:fill="auto"/>
          </w:tcPr>
          <w:p>
            <w:pPr>
              <w:pStyle w:val="B"/>
              <w:spacing w:before="156" w:beforeLines="50" w:line="360" w:lineRule="auto"/>
              <w:rPr>
                <w:rFonts w:ascii="宋体" w:eastAsia="宋体" w:hAnsi="宋体"/>
              </w:rPr>
            </w:pPr>
            <w:r>
              <w:rPr>
                <w:rFonts w:ascii="宋体" w:eastAsia="宋体" w:hAnsi="宋体"/>
              </w:rPr>
              <w:t>技术文档</w:t>
            </w:r>
          </w:p>
        </w:tc>
        <w:tc>
          <w:tcPr>
            <w:tcW w:w="1142" w:type="pct"/>
            <w:shd w:val="pct10" w:color="auto" w:fill="auto"/>
          </w:tcPr>
          <w:p>
            <w:pPr>
              <w:pStyle w:val="B"/>
              <w:spacing w:before="156" w:beforeLines="50" w:line="360" w:lineRule="auto"/>
              <w:rPr>
                <w:rFonts w:ascii="宋体" w:eastAsia="宋体" w:hAnsi="宋体"/>
              </w:rPr>
            </w:pPr>
            <w:r>
              <w:rPr>
                <w:rFonts w:ascii="宋体" w:eastAsia="宋体" w:hAnsi="宋体"/>
              </w:rPr>
              <w:t>管理文档</w:t>
            </w:r>
          </w:p>
        </w:tc>
      </w:tr>
      <w:tr>
        <w:tblPrEx>
          <w:tblW w:w="5000" w:type="pct"/>
          <w:jc w:val="center"/>
          <w:tblCellMar>
            <w:top w:w="0" w:type="dxa"/>
            <w:left w:w="108" w:type="dxa"/>
            <w:bottom w:w="0" w:type="dxa"/>
            <w:right w:w="108" w:type="dxa"/>
          </w:tblCellMar>
        </w:tblPrEx>
        <w:trPr>
          <w:jc w:val="center"/>
        </w:trPr>
        <w:tc>
          <w:tcPr>
            <w:tcW w:w="1364" w:type="pct"/>
          </w:tcPr>
          <w:p>
            <w:pPr>
              <w:snapToGrid w:val="0"/>
              <w:spacing w:before="156" w:beforeLines="50"/>
              <w:rPr>
                <w:rFonts w:ascii="宋体" w:hAnsi="宋体"/>
                <w:szCs w:val="21"/>
              </w:rPr>
            </w:pPr>
            <w:r>
              <w:rPr>
                <w:rFonts w:ascii="宋体" w:hAnsi="宋体"/>
                <w:szCs w:val="21"/>
              </w:rPr>
              <w:t>需求分析</w:t>
            </w:r>
          </w:p>
        </w:tc>
        <w:tc>
          <w:tcPr>
            <w:tcW w:w="2495" w:type="pct"/>
          </w:tcPr>
          <w:p>
            <w:pPr>
              <w:snapToGrid w:val="0"/>
              <w:spacing w:before="156" w:beforeLines="50"/>
              <w:rPr>
                <w:rFonts w:ascii="宋体" w:hAnsi="宋体"/>
                <w:szCs w:val="21"/>
              </w:rPr>
            </w:pPr>
            <w:r>
              <w:rPr>
                <w:rFonts w:ascii="宋体" w:hAnsi="宋体"/>
                <w:szCs w:val="21"/>
              </w:rPr>
              <w:t>软件需求规格说明书</w:t>
            </w:r>
          </w:p>
        </w:tc>
        <w:tc>
          <w:tcPr>
            <w:tcW w:w="1142" w:type="pct"/>
          </w:tcPr>
          <w:p>
            <w:pPr>
              <w:snapToGrid w:val="0"/>
              <w:spacing w:before="156" w:beforeLines="50"/>
              <w:rPr>
                <w:rFonts w:ascii="宋体" w:hAnsi="宋体"/>
                <w:szCs w:val="21"/>
              </w:rPr>
            </w:pPr>
          </w:p>
        </w:tc>
      </w:tr>
      <w:tr>
        <w:tblPrEx>
          <w:tblW w:w="5000" w:type="pct"/>
          <w:jc w:val="center"/>
          <w:tblCellMar>
            <w:top w:w="0" w:type="dxa"/>
            <w:left w:w="108" w:type="dxa"/>
            <w:bottom w:w="0" w:type="dxa"/>
            <w:right w:w="108" w:type="dxa"/>
          </w:tblCellMar>
        </w:tblPrEx>
        <w:trPr>
          <w:jc w:val="center"/>
        </w:trPr>
        <w:tc>
          <w:tcPr>
            <w:tcW w:w="1364" w:type="pct"/>
          </w:tcPr>
          <w:p>
            <w:pPr>
              <w:snapToGrid w:val="0"/>
              <w:spacing w:before="156" w:beforeLines="50"/>
              <w:rPr>
                <w:rFonts w:ascii="宋体" w:hAnsi="宋体"/>
                <w:szCs w:val="21"/>
              </w:rPr>
            </w:pPr>
            <w:r>
              <w:rPr>
                <w:rFonts w:ascii="宋体" w:hAnsi="宋体"/>
                <w:szCs w:val="21"/>
              </w:rPr>
              <w:t>设计和开发</w:t>
            </w:r>
          </w:p>
        </w:tc>
        <w:tc>
          <w:tcPr>
            <w:tcW w:w="2495" w:type="pct"/>
          </w:tcPr>
          <w:p>
            <w:pPr>
              <w:snapToGrid w:val="0"/>
              <w:spacing w:before="156" w:beforeLines="50"/>
              <w:rPr>
                <w:rFonts w:ascii="宋体" w:hAnsi="宋体"/>
                <w:szCs w:val="21"/>
              </w:rPr>
            </w:pPr>
            <w:r>
              <w:rPr>
                <w:rFonts w:ascii="宋体" w:hAnsi="宋体"/>
                <w:szCs w:val="21"/>
              </w:rPr>
              <w:t>概要设计说明书</w:t>
            </w:r>
          </w:p>
        </w:tc>
        <w:tc>
          <w:tcPr>
            <w:tcW w:w="1142" w:type="pct"/>
          </w:tcPr>
          <w:p>
            <w:pPr>
              <w:snapToGrid w:val="0"/>
              <w:spacing w:before="156" w:beforeLines="50"/>
              <w:rPr>
                <w:rFonts w:ascii="宋体" w:hAnsi="宋体"/>
                <w:szCs w:val="21"/>
              </w:rPr>
            </w:pPr>
          </w:p>
        </w:tc>
      </w:tr>
      <w:tr>
        <w:tblPrEx>
          <w:tblW w:w="5000" w:type="pct"/>
          <w:jc w:val="center"/>
          <w:tblCellMar>
            <w:top w:w="0" w:type="dxa"/>
            <w:left w:w="108" w:type="dxa"/>
            <w:bottom w:w="0" w:type="dxa"/>
            <w:right w:w="108" w:type="dxa"/>
          </w:tblCellMar>
        </w:tblPrEx>
        <w:trPr>
          <w:jc w:val="center"/>
        </w:trPr>
        <w:tc>
          <w:tcPr>
            <w:tcW w:w="1364" w:type="pct"/>
            <w:vMerge w:val="restart"/>
          </w:tcPr>
          <w:p>
            <w:pPr>
              <w:snapToGrid w:val="0"/>
              <w:spacing w:before="156" w:beforeLines="50"/>
              <w:rPr>
                <w:rFonts w:ascii="宋体" w:hAnsi="宋体"/>
                <w:szCs w:val="21"/>
              </w:rPr>
            </w:pPr>
            <w:r>
              <w:rPr>
                <w:rFonts w:ascii="宋体" w:hAnsi="宋体"/>
                <w:szCs w:val="21"/>
              </w:rPr>
              <w:t>测试</w:t>
            </w:r>
          </w:p>
        </w:tc>
        <w:tc>
          <w:tcPr>
            <w:tcW w:w="2495" w:type="pct"/>
          </w:tcPr>
          <w:p>
            <w:pPr>
              <w:snapToGrid w:val="0"/>
              <w:spacing w:before="156" w:beforeLines="50"/>
              <w:rPr>
                <w:rFonts w:ascii="宋体" w:hAnsi="宋体"/>
                <w:szCs w:val="21"/>
              </w:rPr>
            </w:pPr>
            <w:r>
              <w:rPr>
                <w:rFonts w:ascii="宋体" w:hAnsi="宋体"/>
                <w:szCs w:val="21"/>
              </w:rPr>
              <w:t>软件测试方案</w:t>
            </w:r>
          </w:p>
        </w:tc>
        <w:tc>
          <w:tcPr>
            <w:tcW w:w="1142" w:type="pct"/>
            <w:vMerge w:val="restart"/>
          </w:tcPr>
          <w:p>
            <w:pPr>
              <w:snapToGrid w:val="0"/>
              <w:spacing w:before="156" w:beforeLines="50"/>
              <w:rPr>
                <w:rFonts w:ascii="宋体" w:hAnsi="宋体"/>
                <w:szCs w:val="21"/>
              </w:rPr>
            </w:pPr>
          </w:p>
        </w:tc>
      </w:tr>
      <w:tr>
        <w:tblPrEx>
          <w:tblW w:w="5000" w:type="pct"/>
          <w:jc w:val="center"/>
          <w:tblCellMar>
            <w:top w:w="0" w:type="dxa"/>
            <w:left w:w="108" w:type="dxa"/>
            <w:bottom w:w="0" w:type="dxa"/>
            <w:right w:w="108" w:type="dxa"/>
          </w:tblCellMar>
        </w:tblPrEx>
        <w:trPr>
          <w:jc w:val="center"/>
        </w:trPr>
        <w:tc>
          <w:tcPr>
            <w:tcW w:w="1364" w:type="pct"/>
            <w:vMerge/>
          </w:tcPr>
          <w:p>
            <w:pPr>
              <w:snapToGrid w:val="0"/>
              <w:spacing w:before="156" w:beforeLines="50"/>
              <w:rPr>
                <w:rFonts w:ascii="宋体" w:hAnsi="宋体"/>
                <w:szCs w:val="21"/>
              </w:rPr>
            </w:pPr>
          </w:p>
        </w:tc>
        <w:tc>
          <w:tcPr>
            <w:tcW w:w="2495" w:type="pct"/>
          </w:tcPr>
          <w:p>
            <w:pPr>
              <w:snapToGrid w:val="0"/>
              <w:spacing w:before="156" w:beforeLines="50"/>
              <w:rPr>
                <w:rFonts w:ascii="宋体" w:hAnsi="宋体"/>
                <w:szCs w:val="21"/>
              </w:rPr>
            </w:pPr>
            <w:r>
              <w:rPr>
                <w:rFonts w:ascii="宋体" w:hAnsi="宋体"/>
                <w:szCs w:val="21"/>
              </w:rPr>
              <w:t>软件测试报告</w:t>
            </w:r>
          </w:p>
        </w:tc>
        <w:tc>
          <w:tcPr>
            <w:tcW w:w="1142" w:type="pct"/>
            <w:vMerge/>
          </w:tcPr>
          <w:p>
            <w:pPr>
              <w:snapToGrid w:val="0"/>
              <w:spacing w:before="156" w:beforeLines="50"/>
              <w:rPr>
                <w:rFonts w:ascii="宋体" w:hAnsi="宋体"/>
                <w:szCs w:val="21"/>
              </w:rPr>
            </w:pPr>
          </w:p>
        </w:tc>
      </w:tr>
      <w:tr>
        <w:tblPrEx>
          <w:tblW w:w="5000" w:type="pct"/>
          <w:jc w:val="center"/>
          <w:tblCellMar>
            <w:top w:w="0" w:type="dxa"/>
            <w:left w:w="108" w:type="dxa"/>
            <w:bottom w:w="0" w:type="dxa"/>
            <w:right w:w="108" w:type="dxa"/>
          </w:tblCellMar>
        </w:tblPrEx>
        <w:trPr>
          <w:jc w:val="center"/>
        </w:trPr>
        <w:tc>
          <w:tcPr>
            <w:tcW w:w="1364" w:type="pct"/>
            <w:vMerge w:val="restart"/>
          </w:tcPr>
          <w:p>
            <w:pPr>
              <w:snapToGrid w:val="0"/>
              <w:spacing w:before="156" w:beforeLines="50"/>
              <w:rPr>
                <w:rFonts w:ascii="宋体" w:hAnsi="宋体"/>
                <w:szCs w:val="21"/>
              </w:rPr>
            </w:pPr>
            <w:r>
              <w:rPr>
                <w:rFonts w:ascii="宋体" w:hAnsi="宋体"/>
                <w:szCs w:val="21"/>
              </w:rPr>
              <w:t>初验</w:t>
            </w:r>
          </w:p>
        </w:tc>
        <w:tc>
          <w:tcPr>
            <w:tcW w:w="2495" w:type="pct"/>
          </w:tcPr>
          <w:p>
            <w:pPr>
              <w:snapToGrid w:val="0"/>
              <w:spacing w:before="156" w:beforeLines="50"/>
              <w:rPr>
                <w:rFonts w:ascii="宋体" w:hAnsi="宋体"/>
                <w:szCs w:val="21"/>
              </w:rPr>
            </w:pPr>
            <w:r>
              <w:rPr>
                <w:rFonts w:ascii="宋体" w:hAnsi="宋体"/>
                <w:szCs w:val="21"/>
              </w:rPr>
              <w:t>用户手册</w:t>
            </w:r>
          </w:p>
        </w:tc>
        <w:tc>
          <w:tcPr>
            <w:tcW w:w="1142" w:type="pct"/>
            <w:vMerge w:val="restart"/>
          </w:tcPr>
          <w:p>
            <w:pPr>
              <w:snapToGrid w:val="0"/>
              <w:spacing w:before="156" w:beforeLines="50"/>
              <w:rPr>
                <w:rFonts w:ascii="宋体" w:hAnsi="宋体"/>
                <w:szCs w:val="21"/>
              </w:rPr>
            </w:pPr>
            <w:r>
              <w:rPr>
                <w:rFonts w:ascii="宋体" w:hAnsi="宋体"/>
                <w:szCs w:val="21"/>
              </w:rPr>
              <w:t>初验申请</w:t>
            </w:r>
          </w:p>
        </w:tc>
      </w:tr>
      <w:tr>
        <w:tblPrEx>
          <w:tblW w:w="5000" w:type="pct"/>
          <w:jc w:val="center"/>
          <w:tblCellMar>
            <w:top w:w="0" w:type="dxa"/>
            <w:left w:w="108" w:type="dxa"/>
            <w:bottom w:w="0" w:type="dxa"/>
            <w:right w:w="108" w:type="dxa"/>
          </w:tblCellMar>
        </w:tblPrEx>
        <w:trPr>
          <w:jc w:val="center"/>
        </w:trPr>
        <w:tc>
          <w:tcPr>
            <w:tcW w:w="1364" w:type="pct"/>
            <w:vMerge/>
          </w:tcPr>
          <w:p>
            <w:pPr>
              <w:snapToGrid w:val="0"/>
              <w:spacing w:before="156" w:beforeLines="50"/>
              <w:rPr>
                <w:rFonts w:ascii="宋体" w:hAnsi="宋体"/>
                <w:szCs w:val="21"/>
              </w:rPr>
            </w:pPr>
          </w:p>
        </w:tc>
        <w:tc>
          <w:tcPr>
            <w:tcW w:w="2495" w:type="pct"/>
          </w:tcPr>
          <w:p>
            <w:pPr>
              <w:snapToGrid w:val="0"/>
              <w:spacing w:before="156" w:beforeLines="50"/>
              <w:rPr>
                <w:rFonts w:ascii="宋体" w:hAnsi="宋体"/>
                <w:szCs w:val="21"/>
              </w:rPr>
            </w:pPr>
            <w:r>
              <w:rPr>
                <w:rFonts w:ascii="宋体" w:hAnsi="宋体"/>
                <w:szCs w:val="21"/>
              </w:rPr>
              <w:t>运行维护手册</w:t>
            </w:r>
          </w:p>
        </w:tc>
        <w:tc>
          <w:tcPr>
            <w:tcW w:w="1142" w:type="pct"/>
            <w:vMerge/>
          </w:tcPr>
          <w:p>
            <w:pPr>
              <w:snapToGrid w:val="0"/>
              <w:spacing w:before="156" w:beforeLines="50"/>
              <w:rPr>
                <w:rFonts w:ascii="宋体" w:hAnsi="宋体"/>
                <w:szCs w:val="21"/>
              </w:rPr>
            </w:pPr>
          </w:p>
        </w:tc>
      </w:tr>
      <w:tr>
        <w:tblPrEx>
          <w:tblW w:w="5000" w:type="pct"/>
          <w:jc w:val="center"/>
          <w:tblCellMar>
            <w:top w:w="0" w:type="dxa"/>
            <w:left w:w="108" w:type="dxa"/>
            <w:bottom w:w="0" w:type="dxa"/>
            <w:right w:w="108" w:type="dxa"/>
          </w:tblCellMar>
        </w:tblPrEx>
        <w:trPr>
          <w:jc w:val="center"/>
        </w:trPr>
        <w:tc>
          <w:tcPr>
            <w:tcW w:w="1364" w:type="pct"/>
            <w:vMerge/>
          </w:tcPr>
          <w:p>
            <w:pPr>
              <w:snapToGrid w:val="0"/>
              <w:spacing w:before="156" w:beforeLines="50"/>
              <w:rPr>
                <w:rFonts w:ascii="宋体" w:hAnsi="宋体"/>
                <w:szCs w:val="21"/>
              </w:rPr>
            </w:pPr>
          </w:p>
        </w:tc>
        <w:tc>
          <w:tcPr>
            <w:tcW w:w="2495" w:type="pct"/>
          </w:tcPr>
          <w:p>
            <w:pPr>
              <w:snapToGrid w:val="0"/>
              <w:spacing w:before="156" w:beforeLines="50"/>
              <w:rPr>
                <w:rFonts w:ascii="宋体" w:hAnsi="宋体"/>
                <w:szCs w:val="21"/>
              </w:rPr>
            </w:pPr>
            <w:r>
              <w:rPr>
                <w:rFonts w:ascii="宋体" w:hAnsi="宋体"/>
                <w:szCs w:val="21"/>
              </w:rPr>
              <w:t>系统部署及配置说明书</w:t>
            </w:r>
          </w:p>
        </w:tc>
        <w:tc>
          <w:tcPr>
            <w:tcW w:w="1142" w:type="pct"/>
            <w:vMerge/>
          </w:tcPr>
          <w:p>
            <w:pPr>
              <w:snapToGrid w:val="0"/>
              <w:spacing w:before="156" w:beforeLines="50"/>
              <w:rPr>
                <w:rFonts w:ascii="宋体" w:hAnsi="宋体"/>
                <w:szCs w:val="21"/>
              </w:rPr>
            </w:pPr>
          </w:p>
        </w:tc>
      </w:tr>
      <w:tr>
        <w:tblPrEx>
          <w:tblW w:w="5000" w:type="pct"/>
          <w:jc w:val="center"/>
          <w:tblCellMar>
            <w:top w:w="0" w:type="dxa"/>
            <w:left w:w="108" w:type="dxa"/>
            <w:bottom w:w="0" w:type="dxa"/>
            <w:right w:w="108" w:type="dxa"/>
          </w:tblCellMar>
        </w:tblPrEx>
        <w:trPr>
          <w:jc w:val="center"/>
        </w:trPr>
        <w:tc>
          <w:tcPr>
            <w:tcW w:w="1364" w:type="pct"/>
          </w:tcPr>
          <w:p>
            <w:pPr>
              <w:snapToGrid w:val="0"/>
              <w:spacing w:before="156" w:beforeLines="50"/>
              <w:rPr>
                <w:rFonts w:ascii="宋体" w:hAnsi="宋体"/>
                <w:szCs w:val="21"/>
              </w:rPr>
            </w:pPr>
            <w:r>
              <w:rPr>
                <w:rFonts w:ascii="宋体" w:hAnsi="宋体"/>
                <w:szCs w:val="21"/>
              </w:rPr>
              <w:t>试运行</w:t>
            </w:r>
          </w:p>
        </w:tc>
        <w:tc>
          <w:tcPr>
            <w:tcW w:w="2495" w:type="pct"/>
          </w:tcPr>
          <w:p>
            <w:pPr>
              <w:snapToGrid w:val="0"/>
              <w:spacing w:before="156" w:beforeLines="50"/>
              <w:rPr>
                <w:rFonts w:ascii="宋体" w:hAnsi="宋体"/>
                <w:szCs w:val="21"/>
              </w:rPr>
            </w:pPr>
            <w:r>
              <w:rPr>
                <w:rFonts w:ascii="宋体" w:hAnsi="宋体"/>
              </w:rPr>
              <w:t>试运行报告</w:t>
            </w:r>
          </w:p>
        </w:tc>
        <w:tc>
          <w:tcPr>
            <w:tcW w:w="1142" w:type="pct"/>
          </w:tcPr>
          <w:p>
            <w:pPr>
              <w:snapToGrid w:val="0"/>
              <w:spacing w:before="156" w:beforeLines="50"/>
              <w:rPr>
                <w:rFonts w:ascii="宋体" w:hAnsi="宋体"/>
                <w:szCs w:val="21"/>
              </w:rPr>
            </w:pPr>
          </w:p>
        </w:tc>
      </w:tr>
      <w:tr>
        <w:tblPrEx>
          <w:tblW w:w="5000" w:type="pct"/>
          <w:jc w:val="center"/>
          <w:tblCellMar>
            <w:top w:w="0" w:type="dxa"/>
            <w:left w:w="108" w:type="dxa"/>
            <w:bottom w:w="0" w:type="dxa"/>
            <w:right w:w="108" w:type="dxa"/>
          </w:tblCellMar>
        </w:tblPrEx>
        <w:trPr>
          <w:jc w:val="center"/>
        </w:trPr>
        <w:tc>
          <w:tcPr>
            <w:tcW w:w="1364" w:type="pct"/>
          </w:tcPr>
          <w:p>
            <w:pPr>
              <w:snapToGrid w:val="0"/>
              <w:spacing w:before="156" w:beforeLines="50"/>
              <w:rPr>
                <w:rFonts w:ascii="宋体" w:hAnsi="宋体"/>
                <w:szCs w:val="21"/>
              </w:rPr>
            </w:pPr>
            <w:r>
              <w:rPr>
                <w:rFonts w:ascii="宋体" w:hAnsi="宋体"/>
                <w:szCs w:val="21"/>
              </w:rPr>
              <w:t>培训</w:t>
            </w:r>
          </w:p>
        </w:tc>
        <w:tc>
          <w:tcPr>
            <w:tcW w:w="2495" w:type="pct"/>
          </w:tcPr>
          <w:p>
            <w:pPr>
              <w:snapToGrid w:val="0"/>
              <w:spacing w:before="156" w:beforeLines="50"/>
              <w:rPr>
                <w:rFonts w:ascii="宋体" w:hAnsi="宋体"/>
                <w:szCs w:val="21"/>
              </w:rPr>
            </w:pPr>
            <w:r>
              <w:rPr>
                <w:rFonts w:ascii="宋体" w:hAnsi="宋体"/>
                <w:szCs w:val="21"/>
              </w:rPr>
              <w:t>培训教程</w:t>
            </w:r>
          </w:p>
        </w:tc>
        <w:tc>
          <w:tcPr>
            <w:tcW w:w="1142" w:type="pct"/>
          </w:tcPr>
          <w:p>
            <w:pPr>
              <w:snapToGrid w:val="0"/>
              <w:spacing w:before="156" w:beforeLines="50"/>
              <w:rPr>
                <w:rFonts w:ascii="宋体" w:hAnsi="宋体"/>
                <w:szCs w:val="21"/>
              </w:rPr>
            </w:pPr>
          </w:p>
        </w:tc>
      </w:tr>
      <w:tr>
        <w:tblPrEx>
          <w:tblW w:w="5000" w:type="pct"/>
          <w:jc w:val="center"/>
          <w:tblCellMar>
            <w:top w:w="0" w:type="dxa"/>
            <w:left w:w="108" w:type="dxa"/>
            <w:bottom w:w="0" w:type="dxa"/>
            <w:right w:w="108" w:type="dxa"/>
          </w:tblCellMar>
        </w:tblPrEx>
        <w:trPr>
          <w:jc w:val="center"/>
        </w:trPr>
        <w:tc>
          <w:tcPr>
            <w:tcW w:w="1364" w:type="pct"/>
            <w:vMerge w:val="restart"/>
          </w:tcPr>
          <w:p>
            <w:pPr>
              <w:snapToGrid w:val="0"/>
              <w:spacing w:before="156" w:beforeLines="50"/>
              <w:rPr>
                <w:rFonts w:ascii="宋体" w:hAnsi="宋体"/>
                <w:szCs w:val="21"/>
              </w:rPr>
            </w:pPr>
            <w:r>
              <w:rPr>
                <w:rFonts w:ascii="宋体" w:hAnsi="宋体"/>
                <w:szCs w:val="21"/>
              </w:rPr>
              <w:t>终验</w:t>
            </w:r>
          </w:p>
        </w:tc>
        <w:tc>
          <w:tcPr>
            <w:tcW w:w="2495" w:type="pct"/>
          </w:tcPr>
          <w:p>
            <w:pPr>
              <w:snapToGrid w:val="0"/>
              <w:spacing w:before="156" w:beforeLines="50"/>
              <w:rPr>
                <w:rFonts w:ascii="宋体" w:hAnsi="宋体"/>
                <w:szCs w:val="21"/>
              </w:rPr>
            </w:pPr>
            <w:r>
              <w:rPr>
                <w:rFonts w:ascii="宋体" w:hAnsi="宋体"/>
                <w:szCs w:val="21"/>
              </w:rPr>
              <w:t>验收报告</w:t>
            </w:r>
          </w:p>
        </w:tc>
        <w:tc>
          <w:tcPr>
            <w:tcW w:w="1142" w:type="pct"/>
            <w:vMerge w:val="restart"/>
          </w:tcPr>
          <w:p>
            <w:pPr>
              <w:snapToGrid w:val="0"/>
              <w:spacing w:before="156" w:beforeLines="50"/>
              <w:rPr>
                <w:rFonts w:ascii="宋体" w:hAnsi="宋体"/>
                <w:szCs w:val="21"/>
              </w:rPr>
            </w:pPr>
            <w:r>
              <w:rPr>
                <w:rFonts w:ascii="宋体" w:hAnsi="宋体"/>
                <w:szCs w:val="21"/>
              </w:rPr>
              <w:t>终验申请</w:t>
            </w:r>
          </w:p>
        </w:tc>
      </w:tr>
      <w:tr>
        <w:tblPrEx>
          <w:tblW w:w="5000" w:type="pct"/>
          <w:jc w:val="center"/>
          <w:tblCellMar>
            <w:top w:w="0" w:type="dxa"/>
            <w:left w:w="108" w:type="dxa"/>
            <w:bottom w:w="0" w:type="dxa"/>
            <w:right w:w="108" w:type="dxa"/>
          </w:tblCellMar>
        </w:tblPrEx>
        <w:trPr>
          <w:jc w:val="center"/>
        </w:trPr>
        <w:tc>
          <w:tcPr>
            <w:tcW w:w="1364" w:type="pct"/>
            <w:vMerge/>
          </w:tcPr>
          <w:p>
            <w:pPr>
              <w:snapToGrid w:val="0"/>
              <w:spacing w:before="156" w:beforeLines="50"/>
              <w:rPr>
                <w:rFonts w:ascii="宋体" w:hAnsi="宋体"/>
                <w:szCs w:val="21"/>
              </w:rPr>
            </w:pPr>
          </w:p>
        </w:tc>
        <w:tc>
          <w:tcPr>
            <w:tcW w:w="2495" w:type="pct"/>
          </w:tcPr>
          <w:p>
            <w:pPr>
              <w:snapToGrid w:val="0"/>
              <w:spacing w:before="156" w:beforeLines="50"/>
              <w:rPr>
                <w:rFonts w:ascii="宋体" w:hAnsi="宋体"/>
                <w:szCs w:val="21"/>
              </w:rPr>
            </w:pPr>
            <w:r>
              <w:rPr>
                <w:rFonts w:ascii="宋体" w:hAnsi="宋体"/>
                <w:szCs w:val="21"/>
              </w:rPr>
              <w:t>技术报告</w:t>
            </w:r>
          </w:p>
        </w:tc>
        <w:tc>
          <w:tcPr>
            <w:tcW w:w="1142" w:type="pct"/>
            <w:vMerge/>
          </w:tcPr>
          <w:p>
            <w:pPr>
              <w:snapToGrid w:val="0"/>
              <w:spacing w:before="156" w:beforeLines="50"/>
              <w:rPr>
                <w:rFonts w:ascii="宋体" w:hAnsi="宋体"/>
                <w:szCs w:val="21"/>
              </w:rPr>
            </w:pPr>
          </w:p>
        </w:tc>
      </w:tr>
    </w:tbl>
    <w:p>
      <w:pPr>
        <w:pStyle w:val="ListParagraph"/>
        <w:numPr>
          <w:ilvl w:val="0"/>
          <w:numId w:val="2"/>
        </w:numPr>
        <w:tabs>
          <w:tab w:val="left" w:pos="0"/>
        </w:tabs>
        <w:spacing w:line="360" w:lineRule="auto"/>
        <w:ind w:left="0" w:firstLine="422" w:firstLineChars="201"/>
        <w:outlineLvl w:val="1"/>
        <w:rPr>
          <w:rFonts w:ascii="宋体" w:hAnsi="宋体" w:cs="宋体"/>
          <w:b/>
          <w:bCs/>
          <w:color w:val="000000"/>
          <w:kern w:val="0"/>
          <w:szCs w:val="21"/>
        </w:rPr>
      </w:pPr>
      <w:r>
        <w:rPr>
          <w:rFonts w:ascii="宋体" w:hAnsi="宋体" w:cs="宋体" w:hint="eastAsia"/>
          <w:b/>
          <w:bCs/>
          <w:color w:val="000000"/>
          <w:kern w:val="0"/>
          <w:szCs w:val="21"/>
        </w:rPr>
        <w:t>培训要求</w:t>
      </w:r>
    </w:p>
    <w:p>
      <w:pPr>
        <w:pStyle w:val="NormalIndent"/>
        <w:snapToGrid w:val="0"/>
        <w:ind w:firstLineChars="0"/>
        <w:rPr>
          <w:rFonts w:ascii="宋体" w:hAnsi="宋体"/>
          <w:sz w:val="21"/>
          <w:szCs w:val="21"/>
        </w:rPr>
      </w:pPr>
      <w:r>
        <w:rPr>
          <w:rFonts w:ascii="宋体" w:hAnsi="宋体" w:hint="eastAsia"/>
          <w:sz w:val="21"/>
          <w:szCs w:val="21"/>
        </w:rPr>
        <w:t>1）培训方式应包括现场培训和集中培训，并应在进行培训之前向招标人提交一份详细的培训计划。</w:t>
      </w:r>
    </w:p>
    <w:p>
      <w:pPr>
        <w:pStyle w:val="NormalIndent"/>
        <w:snapToGrid w:val="0"/>
        <w:ind w:firstLineChars="0"/>
        <w:rPr>
          <w:rFonts w:ascii="宋体" w:hAnsi="宋体"/>
          <w:sz w:val="21"/>
          <w:szCs w:val="21"/>
        </w:rPr>
      </w:pPr>
      <w:r>
        <w:rPr>
          <w:rFonts w:ascii="宋体" w:hAnsi="宋体" w:hint="eastAsia"/>
          <w:sz w:val="21"/>
          <w:szCs w:val="21"/>
        </w:rPr>
        <w:t>2）中标人应以培训目标的实现为目的组织培训，确保每一位系统使用人员能够掌握本软件知识、独立、熟练地完成操作，保证系统用户能够独立处理软件系统故障、开展软件调优。</w:t>
      </w:r>
    </w:p>
    <w:p>
      <w:pPr>
        <w:pStyle w:val="NormalIndent"/>
        <w:snapToGrid w:val="0"/>
        <w:ind w:firstLineChars="0"/>
        <w:rPr>
          <w:rFonts w:ascii="宋体" w:hAnsi="宋体"/>
          <w:sz w:val="21"/>
          <w:szCs w:val="21"/>
        </w:rPr>
      </w:pPr>
      <w:r>
        <w:rPr>
          <w:rFonts w:ascii="宋体" w:hAnsi="宋体" w:hint="eastAsia"/>
          <w:sz w:val="21"/>
          <w:szCs w:val="21"/>
        </w:rPr>
        <w:t>3）集中培训地点由招标人根据本项目实际情况确定，培训形式包括但不限于现场与集中培训及远程培训。确保培训次数不少于3次，每次培训时间不少于1天（8课时/天），培训人次不少于10人次，具体培训时间由招标人与中标人根据项目进展情况协商确定。</w:t>
      </w:r>
    </w:p>
    <w:p>
      <w:pPr>
        <w:pStyle w:val="NormalIndent"/>
        <w:snapToGrid w:val="0"/>
        <w:ind w:firstLineChars="0"/>
        <w:rPr>
          <w:rFonts w:ascii="宋体" w:hAnsi="宋体"/>
          <w:sz w:val="21"/>
          <w:szCs w:val="21"/>
        </w:rPr>
      </w:pPr>
      <w:r>
        <w:rPr>
          <w:rFonts w:ascii="宋体" w:hAnsi="宋体" w:hint="eastAsia"/>
          <w:sz w:val="21"/>
          <w:szCs w:val="21"/>
        </w:rPr>
        <w:t>4）中标人负责为培训搭建所需的环境，并提供培训教材等相关用品。</w:t>
      </w:r>
    </w:p>
    <w:p>
      <w:pPr>
        <w:pStyle w:val="ListParagraph"/>
        <w:numPr>
          <w:ilvl w:val="0"/>
          <w:numId w:val="2"/>
        </w:numPr>
        <w:tabs>
          <w:tab w:val="left" w:pos="0"/>
        </w:tabs>
        <w:spacing w:line="360" w:lineRule="auto"/>
        <w:ind w:left="0" w:firstLine="422" w:firstLineChars="201"/>
        <w:outlineLvl w:val="1"/>
        <w:rPr>
          <w:rFonts w:ascii="宋体" w:hAnsi="宋体" w:cs="宋体"/>
          <w:b/>
          <w:bCs/>
          <w:color w:val="000000"/>
          <w:kern w:val="0"/>
          <w:szCs w:val="21"/>
        </w:rPr>
      </w:pPr>
      <w:bookmarkStart w:id="97" w:name="_Toc119829565"/>
      <w:bookmarkStart w:id="98" w:name="_Toc791206916"/>
      <w:bookmarkStart w:id="99" w:name="_Toc27981"/>
      <w:bookmarkStart w:id="100" w:name="_Toc14935"/>
      <w:r>
        <w:rPr>
          <w:rFonts w:ascii="宋体" w:hAnsi="宋体" w:cs="宋体" w:hint="eastAsia"/>
          <w:b/>
          <w:bCs/>
          <w:color w:val="000000"/>
          <w:kern w:val="0"/>
          <w:szCs w:val="21"/>
        </w:rPr>
        <w:t>项目组织与管理要求</w:t>
      </w:r>
      <w:bookmarkEnd w:id="97"/>
      <w:bookmarkEnd w:id="98"/>
      <w:bookmarkEnd w:id="99"/>
      <w:bookmarkEnd w:id="100"/>
    </w:p>
    <w:p>
      <w:pPr>
        <w:pStyle w:val="NormalIndent"/>
        <w:snapToGrid w:val="0"/>
        <w:rPr>
          <w:rFonts w:cs="宋体"/>
          <w:sz w:val="21"/>
          <w:szCs w:val="21"/>
        </w:rPr>
      </w:pPr>
      <w:bookmarkStart w:id="101" w:name="_Toc119829566"/>
      <w:bookmarkStart w:id="102" w:name="_Toc595894988"/>
      <w:bookmarkStart w:id="103" w:name="_Toc4972"/>
      <w:bookmarkStart w:id="104" w:name="_Toc11445"/>
      <w:r>
        <w:rPr>
          <w:rFonts w:ascii="宋体" w:hAnsi="宋体" w:hint="eastAsia"/>
          <w:sz w:val="21"/>
          <w:szCs w:val="21"/>
        </w:rPr>
        <w:t>1）</w:t>
      </w:r>
      <w:r>
        <w:rPr>
          <w:rFonts w:cs="宋体" w:hint="eastAsia"/>
          <w:sz w:val="21"/>
          <w:szCs w:val="21"/>
        </w:rPr>
        <w:t>编制软件开发实施进度计划并组织实施</w:t>
      </w:r>
      <w:bookmarkEnd w:id="101"/>
      <w:bookmarkEnd w:id="102"/>
      <w:bookmarkEnd w:id="103"/>
      <w:bookmarkEnd w:id="104"/>
    </w:p>
    <w:p>
      <w:pPr>
        <w:pStyle w:val="NormalIndent"/>
        <w:numPr>
          <w:ilvl w:val="0"/>
          <w:numId w:val="10"/>
        </w:numPr>
        <w:ind w:left="840" w:hanging="420" w:firstLineChars="0"/>
        <w:rPr>
          <w:rFonts w:ascii="宋体" w:hAnsi="宋体" w:cs="宋体"/>
          <w:sz w:val="21"/>
          <w:szCs w:val="21"/>
        </w:rPr>
      </w:pPr>
      <w:r>
        <w:rPr>
          <w:rFonts w:ascii="宋体" w:hAnsi="宋体" w:cs="宋体" w:hint="eastAsia"/>
          <w:sz w:val="21"/>
          <w:szCs w:val="21"/>
        </w:rPr>
        <w:t>提供软件开发实施详细计划。</w:t>
      </w:r>
    </w:p>
    <w:p>
      <w:pPr>
        <w:pStyle w:val="NormalIndent"/>
        <w:numPr>
          <w:ilvl w:val="0"/>
          <w:numId w:val="10"/>
        </w:numPr>
        <w:ind w:left="840" w:hanging="420" w:firstLineChars="0"/>
        <w:rPr>
          <w:rFonts w:ascii="宋体" w:hAnsi="宋体" w:cs="宋体"/>
          <w:sz w:val="21"/>
          <w:szCs w:val="21"/>
        </w:rPr>
      </w:pPr>
      <w:r>
        <w:rPr>
          <w:rFonts w:ascii="宋体" w:hAnsi="宋体" w:cs="宋体" w:hint="eastAsia"/>
          <w:sz w:val="21"/>
          <w:szCs w:val="21"/>
        </w:rPr>
        <w:t>每周向甲方提供工作实施进展情况，并提出相关建议。</w:t>
      </w:r>
    </w:p>
    <w:p>
      <w:pPr>
        <w:pStyle w:val="NormalIndent"/>
        <w:numPr>
          <w:ilvl w:val="0"/>
          <w:numId w:val="10"/>
        </w:numPr>
        <w:ind w:left="840" w:hanging="420" w:firstLineChars="0"/>
        <w:rPr>
          <w:rFonts w:ascii="宋体" w:hAnsi="宋体" w:cs="宋体"/>
          <w:sz w:val="21"/>
          <w:szCs w:val="21"/>
        </w:rPr>
      </w:pPr>
      <w:r>
        <w:rPr>
          <w:rFonts w:ascii="宋体" w:hAnsi="宋体" w:cs="宋体" w:hint="eastAsia"/>
          <w:sz w:val="21"/>
          <w:szCs w:val="21"/>
        </w:rPr>
        <w:t>解决软件开发实施过程中出现的各种技术问题。</w:t>
      </w:r>
    </w:p>
    <w:p>
      <w:pPr>
        <w:pStyle w:val="NormalIndent"/>
        <w:numPr>
          <w:ilvl w:val="0"/>
          <w:numId w:val="10"/>
        </w:numPr>
        <w:ind w:left="840" w:hanging="420" w:firstLineChars="0"/>
        <w:rPr>
          <w:rFonts w:ascii="宋体" w:hAnsi="宋体" w:cs="宋体"/>
          <w:sz w:val="21"/>
          <w:szCs w:val="21"/>
        </w:rPr>
      </w:pPr>
      <w:r>
        <w:rPr>
          <w:rFonts w:ascii="宋体" w:hAnsi="宋体" w:cs="宋体" w:hint="eastAsia"/>
          <w:sz w:val="21"/>
          <w:szCs w:val="21"/>
        </w:rPr>
        <w:t>协助甲方处理实施过程中出现的质量事故。</w:t>
      </w:r>
    </w:p>
    <w:p>
      <w:pPr>
        <w:pStyle w:val="NormalIndent"/>
        <w:numPr>
          <w:ilvl w:val="0"/>
          <w:numId w:val="10"/>
        </w:numPr>
        <w:ind w:left="840" w:hanging="420" w:firstLineChars="0"/>
        <w:rPr>
          <w:rFonts w:ascii="宋体" w:hAnsi="宋体" w:cs="宋体"/>
          <w:sz w:val="21"/>
          <w:szCs w:val="21"/>
        </w:rPr>
      </w:pPr>
      <w:r>
        <w:rPr>
          <w:rFonts w:ascii="宋体" w:hAnsi="宋体" w:cs="宋体" w:hint="eastAsia"/>
          <w:sz w:val="21"/>
          <w:szCs w:val="21"/>
        </w:rPr>
        <w:t>计划周密，当项目建设过程中出现变化时，要能及时做出调整。</w:t>
      </w:r>
    </w:p>
    <w:p>
      <w:pPr>
        <w:pStyle w:val="NormalIndent"/>
        <w:numPr>
          <w:ilvl w:val="0"/>
          <w:numId w:val="10"/>
        </w:numPr>
        <w:ind w:left="840" w:hanging="420" w:firstLineChars="0"/>
        <w:rPr>
          <w:rFonts w:ascii="宋体" w:hAnsi="宋体" w:cs="宋体"/>
          <w:sz w:val="21"/>
          <w:szCs w:val="21"/>
        </w:rPr>
      </w:pPr>
      <w:r>
        <w:rPr>
          <w:rFonts w:ascii="宋体" w:hAnsi="宋体" w:cs="宋体" w:hint="eastAsia"/>
          <w:sz w:val="21"/>
          <w:szCs w:val="21"/>
        </w:rPr>
        <w:t>要有规范的整体项目管理、项目质量管理和进度管理机制。</w:t>
      </w:r>
    </w:p>
    <w:p>
      <w:pPr>
        <w:pStyle w:val="NormalIndent"/>
        <w:snapToGrid w:val="0"/>
        <w:rPr>
          <w:rFonts w:cs="宋体"/>
          <w:sz w:val="21"/>
          <w:szCs w:val="21"/>
        </w:rPr>
      </w:pPr>
      <w:bookmarkStart w:id="105" w:name="_Toc119829567"/>
      <w:bookmarkStart w:id="106" w:name="_Toc23826"/>
      <w:bookmarkStart w:id="107" w:name="_Toc9563"/>
      <w:bookmarkStart w:id="108" w:name="_Toc1490817355"/>
      <w:r>
        <w:rPr>
          <w:rFonts w:ascii="宋体" w:hAnsi="宋体" w:hint="eastAsia"/>
          <w:sz w:val="21"/>
          <w:szCs w:val="21"/>
        </w:rPr>
        <w:t>2）</w:t>
      </w:r>
      <w:r>
        <w:rPr>
          <w:rFonts w:cs="宋体" w:hint="eastAsia"/>
          <w:sz w:val="21"/>
          <w:szCs w:val="21"/>
        </w:rPr>
        <w:t>进行项目开发的日常组织、管理、协调</w:t>
      </w:r>
      <w:bookmarkEnd w:id="105"/>
      <w:bookmarkEnd w:id="106"/>
      <w:bookmarkEnd w:id="107"/>
      <w:bookmarkEnd w:id="108"/>
    </w:p>
    <w:p>
      <w:pPr>
        <w:pStyle w:val="NormalIndent"/>
        <w:numPr>
          <w:ilvl w:val="0"/>
          <w:numId w:val="11"/>
        </w:numPr>
        <w:ind w:left="840" w:hanging="420" w:firstLineChars="0"/>
        <w:rPr>
          <w:rFonts w:ascii="宋体" w:hAnsi="宋体" w:cs="宋体"/>
          <w:sz w:val="21"/>
          <w:szCs w:val="21"/>
        </w:rPr>
      </w:pPr>
      <w:r>
        <w:rPr>
          <w:rFonts w:ascii="宋体" w:hAnsi="宋体" w:cs="宋体" w:hint="eastAsia"/>
          <w:sz w:val="21"/>
          <w:szCs w:val="21"/>
        </w:rPr>
        <w:t>参加甲方组织的与项目建设有关的各类会议。</w:t>
      </w:r>
    </w:p>
    <w:p>
      <w:pPr>
        <w:pStyle w:val="NormalIndent"/>
        <w:numPr>
          <w:ilvl w:val="0"/>
          <w:numId w:val="11"/>
        </w:numPr>
        <w:ind w:left="840" w:hanging="420" w:firstLineChars="0"/>
        <w:rPr>
          <w:rFonts w:ascii="宋体" w:hAnsi="宋体" w:cs="宋体"/>
          <w:sz w:val="21"/>
          <w:szCs w:val="21"/>
        </w:rPr>
      </w:pPr>
      <w:r>
        <w:rPr>
          <w:rFonts w:ascii="宋体" w:hAnsi="宋体" w:cs="宋体" w:hint="eastAsia"/>
          <w:sz w:val="21"/>
          <w:szCs w:val="21"/>
        </w:rPr>
        <w:t>要遵循相应的项目管理规范，并有相应的项目管理文档。</w:t>
      </w:r>
    </w:p>
    <w:p>
      <w:pPr>
        <w:pStyle w:val="NormalIndent"/>
        <w:numPr>
          <w:ilvl w:val="0"/>
          <w:numId w:val="11"/>
        </w:numPr>
        <w:ind w:left="840" w:hanging="420" w:firstLineChars="0"/>
        <w:rPr>
          <w:rFonts w:ascii="宋体" w:hAnsi="宋体" w:cs="宋体"/>
          <w:sz w:val="21"/>
          <w:szCs w:val="21"/>
        </w:rPr>
      </w:pPr>
      <w:r>
        <w:rPr>
          <w:rFonts w:ascii="宋体" w:hAnsi="宋体" w:cs="宋体" w:hint="eastAsia"/>
          <w:sz w:val="21"/>
          <w:szCs w:val="21"/>
        </w:rPr>
        <w:t>对项目建设任务中出现的调整，要及时做出安排，并尊重甲方的安排。</w:t>
      </w:r>
    </w:p>
    <w:p>
      <w:pPr>
        <w:pStyle w:val="ListParagraph"/>
        <w:numPr>
          <w:ilvl w:val="0"/>
          <w:numId w:val="2"/>
        </w:numPr>
        <w:tabs>
          <w:tab w:val="left" w:pos="0"/>
        </w:tabs>
        <w:spacing w:line="360" w:lineRule="auto"/>
        <w:ind w:left="0" w:firstLine="422" w:firstLineChars="201"/>
        <w:outlineLvl w:val="1"/>
        <w:rPr>
          <w:rFonts w:ascii="宋体" w:hAnsi="宋体" w:cs="宋体"/>
          <w:b/>
          <w:bCs/>
          <w:color w:val="000000"/>
          <w:kern w:val="0"/>
          <w:szCs w:val="21"/>
        </w:rPr>
      </w:pPr>
      <w:bookmarkStart w:id="109" w:name="_Toc22525"/>
      <w:bookmarkStart w:id="110" w:name="_Toc1475575936"/>
      <w:bookmarkStart w:id="111" w:name="_Toc27932"/>
      <w:bookmarkStart w:id="112" w:name="_Toc119829568"/>
      <w:r>
        <w:rPr>
          <w:rFonts w:ascii="宋体" w:hAnsi="宋体" w:cs="宋体" w:hint="eastAsia"/>
          <w:b/>
          <w:bCs/>
          <w:color w:val="000000"/>
          <w:kern w:val="0"/>
          <w:szCs w:val="21"/>
        </w:rPr>
        <w:t>项目的人员及组织机构要求</w:t>
      </w:r>
      <w:bookmarkEnd w:id="109"/>
      <w:bookmarkEnd w:id="110"/>
      <w:bookmarkEnd w:id="111"/>
      <w:bookmarkEnd w:id="112"/>
    </w:p>
    <w:p>
      <w:pPr>
        <w:pStyle w:val="NormalIndent"/>
        <w:rPr>
          <w:rFonts w:ascii="宋体" w:hAnsi="宋体"/>
          <w:sz w:val="21"/>
          <w:szCs w:val="21"/>
        </w:rPr>
      </w:pPr>
      <w:r>
        <w:rPr>
          <w:rFonts w:ascii="宋体" w:hAnsi="宋体" w:hint="eastAsia"/>
          <w:sz w:val="21"/>
          <w:szCs w:val="21"/>
        </w:rPr>
        <w:t>乙方必须成立合理的组织机构，建立健全保障设计、开发工作顺利实施的各项管理制度和质量保证体系，安排好足够的高素质人才参加本项目工作。</w:t>
      </w:r>
    </w:p>
    <w:p>
      <w:pPr>
        <w:pStyle w:val="NormalIndent"/>
        <w:rPr>
          <w:rFonts w:ascii="宋体" w:hAnsi="宋体"/>
          <w:sz w:val="21"/>
          <w:szCs w:val="21"/>
        </w:rPr>
      </w:pPr>
      <w:r>
        <w:rPr>
          <w:rFonts w:ascii="宋体" w:hAnsi="宋体" w:hint="eastAsia"/>
          <w:sz w:val="21"/>
          <w:szCs w:val="21"/>
        </w:rPr>
        <w:t>在组织机构中应明确各岗位的职责、任职资格及成果，确保项目顺利实施，应分别配备有项目经理、技术负责人承担本项目工作，项目经理和技术负责人都应具有软件管理或开发的经验，负责并完成过至少3个服务类软件设计的经验。技术人员必须具有两年以上相关项目软件设计、开发和集成经验，能够与用户进行良好的沟通。</w:t>
      </w:r>
    </w:p>
    <w:p>
      <w:pPr>
        <w:pStyle w:val="NormalIndent"/>
        <w:ind w:firstLine="480" w:firstLineChars="0"/>
        <w:rPr>
          <w:rFonts w:ascii="宋体" w:hAnsi="宋体"/>
          <w:szCs w:val="21"/>
        </w:rPr>
      </w:pPr>
      <w:r>
        <w:rPr>
          <w:rFonts w:ascii="宋体" w:hAnsi="宋体" w:hint="eastAsia"/>
          <w:sz w:val="21"/>
          <w:szCs w:val="21"/>
        </w:rPr>
        <w:t>乙方应组成服务团队，并确保服务于本项目的核心技术人员及主要开发人员稳定</w:t>
      </w:r>
      <w:r>
        <w:rPr>
          <w:rFonts w:ascii="宋体" w:hAnsi="宋体" w:hint="eastAsia"/>
          <w:sz w:val="21"/>
          <w:szCs w:val="21"/>
        </w:rPr>
        <w:t>，</w:t>
      </w:r>
      <w:r>
        <w:rPr>
          <w:rFonts w:ascii="宋体" w:hAnsi="宋体" w:hint="eastAsia"/>
          <w:sz w:val="21"/>
          <w:szCs w:val="21"/>
        </w:rPr>
        <w:t>并全部在中国气象局驻场开发，未经甲方允许不得调整核心团队成员，甲方有权要求更换乙方项目团队成员。</w:t>
      </w:r>
    </w:p>
    <w:p>
      <w:pPr>
        <w:pStyle w:val="ListParagraph"/>
        <w:numPr>
          <w:ilvl w:val="0"/>
          <w:numId w:val="2"/>
        </w:numPr>
        <w:tabs>
          <w:tab w:val="left" w:pos="0"/>
        </w:tabs>
        <w:spacing w:line="360" w:lineRule="auto"/>
        <w:ind w:left="0" w:firstLine="422" w:firstLineChars="201"/>
        <w:outlineLvl w:val="1"/>
        <w:rPr>
          <w:rFonts w:ascii="宋体" w:hAnsi="宋体" w:cs="宋体"/>
          <w:b/>
          <w:bCs/>
          <w:color w:val="000000"/>
          <w:kern w:val="0"/>
          <w:szCs w:val="21"/>
        </w:rPr>
      </w:pPr>
      <w:r>
        <w:rPr>
          <w:rFonts w:ascii="宋体" w:hAnsi="宋体" w:cs="宋体" w:hint="eastAsia"/>
          <w:b/>
          <w:bCs/>
          <w:color w:val="000000"/>
          <w:kern w:val="0"/>
          <w:szCs w:val="21"/>
        </w:rPr>
        <w:t>售后服务</w:t>
      </w:r>
    </w:p>
    <w:p>
      <w:pPr>
        <w:pStyle w:val="NormalIndent"/>
        <w:rPr>
          <w:rFonts w:ascii="宋体" w:hAnsi="宋体"/>
          <w:sz w:val="21"/>
          <w:szCs w:val="21"/>
        </w:rPr>
      </w:pPr>
      <w:r>
        <w:rPr>
          <w:rFonts w:ascii="宋体" w:hAnsi="宋体" w:hint="eastAsia"/>
          <w:sz w:val="21"/>
          <w:szCs w:val="21"/>
        </w:rPr>
        <w:t>合同签订后，中标人组建专业技术团队完成项目开发和技术支持工作，准确识别软件系统关键技术问题，编制软件需求规格说明书、概要设计说明书等材料经甲方审核通过后执行。</w:t>
      </w:r>
    </w:p>
    <w:p>
      <w:pPr>
        <w:pStyle w:val="NormalIndent"/>
        <w:rPr>
          <w:rFonts w:ascii="宋体" w:hAnsi="宋体"/>
          <w:sz w:val="21"/>
          <w:szCs w:val="21"/>
        </w:rPr>
      </w:pPr>
      <w:r>
        <w:rPr>
          <w:rFonts w:ascii="宋体" w:hAnsi="宋体" w:hint="eastAsia"/>
          <w:sz w:val="21"/>
          <w:szCs w:val="21"/>
        </w:rPr>
        <w:t>通过验收之日起，中标方提供1年技术支持服务。</w:t>
      </w:r>
    </w:p>
    <w:p>
      <w:pPr>
        <w:pStyle w:val="NormalIndent"/>
        <w:rPr>
          <w:rFonts w:ascii="宋体" w:hAnsi="宋体"/>
          <w:sz w:val="21"/>
          <w:szCs w:val="21"/>
        </w:rPr>
      </w:pPr>
      <w:r>
        <w:rPr>
          <w:rFonts w:ascii="宋体" w:hAnsi="宋体" w:hint="eastAsia"/>
          <w:sz w:val="21"/>
          <w:szCs w:val="21"/>
        </w:rPr>
        <w:t>中标人技术人员应随时进行电话应答；30分钟内完成远程登陆诊断。需要现场解决的问题，中标人技术人员须在24小时内达到中国气象局现场。</w:t>
      </w:r>
    </w:p>
    <w:p>
      <w:pPr>
        <w:pStyle w:val="NormalIndent"/>
        <w:rPr>
          <w:rFonts w:ascii="宋体" w:hAnsi="宋体"/>
          <w:sz w:val="21"/>
          <w:szCs w:val="21"/>
        </w:rPr>
      </w:pPr>
      <w:r>
        <w:rPr>
          <w:rFonts w:ascii="宋体" w:hAnsi="宋体" w:hint="eastAsia"/>
          <w:sz w:val="21"/>
          <w:szCs w:val="21"/>
        </w:rPr>
        <w:t>质保期内，中标方须配备一支稳定的专业技术服务团队，提供7*24小时的服务响应，并负责产品的一切维护工作。提供详细的售后服务计划，包括售后服务方式、人员配置、服务期限、故障响应及维修时间等。在出现故障后，中标方应在30分钟内完成远程登陆诊断，指导招标方排除故障；需要现场解决的问题，中标方技术人员应在24小时内到达现场，技术人员所发生的差旅费由中标方承担。</w:t>
      </w:r>
    </w:p>
    <w:p>
      <w:pPr>
        <w:pStyle w:val="NormalIndent"/>
        <w:rPr>
          <w:rFonts w:ascii="宋体" w:hAnsi="宋体"/>
          <w:sz w:val="21"/>
          <w:szCs w:val="21"/>
        </w:rPr>
      </w:pPr>
      <w:r>
        <w:rPr>
          <w:rFonts w:ascii="宋体" w:hAnsi="宋体" w:hint="eastAsia"/>
          <w:sz w:val="21"/>
          <w:szCs w:val="21"/>
        </w:rPr>
        <w:t>提供超过质保期后的技术跟踪服务，包含电话疑难问题解答、远程技术指导等。</w:t>
      </w:r>
    </w:p>
    <w:p>
      <w:pPr>
        <w:pStyle w:val="ListParagraph"/>
        <w:numPr>
          <w:ilvl w:val="0"/>
          <w:numId w:val="2"/>
        </w:numPr>
        <w:tabs>
          <w:tab w:val="left" w:pos="0"/>
        </w:tabs>
        <w:spacing w:line="360" w:lineRule="auto"/>
        <w:ind w:left="0" w:firstLine="422" w:firstLineChars="201"/>
        <w:outlineLvl w:val="1"/>
        <w:rPr>
          <w:rFonts w:ascii="宋体" w:hAnsi="宋体" w:cs="宋体"/>
          <w:b/>
          <w:bCs/>
          <w:color w:val="000000"/>
          <w:kern w:val="0"/>
          <w:szCs w:val="21"/>
        </w:rPr>
      </w:pPr>
      <w:r>
        <w:rPr>
          <w:rFonts w:ascii="宋体" w:hAnsi="宋体" w:cs="宋体" w:hint="eastAsia"/>
          <w:b/>
          <w:bCs/>
          <w:color w:val="000000"/>
          <w:kern w:val="0"/>
          <w:szCs w:val="21"/>
        </w:rPr>
        <w:t>知识产权原则</w:t>
      </w:r>
    </w:p>
    <w:p>
      <w:pPr>
        <w:pStyle w:val="NormalIndent"/>
        <w:rPr>
          <w:rFonts w:ascii="宋体" w:hAnsi="宋体"/>
          <w:sz w:val="21"/>
          <w:szCs w:val="21"/>
        </w:rPr>
      </w:pPr>
      <w:r>
        <w:rPr>
          <w:rFonts w:ascii="宋体" w:hAnsi="宋体" w:hint="eastAsia"/>
          <w:sz w:val="21"/>
          <w:szCs w:val="21"/>
        </w:rPr>
        <w:t>符合法律规定及当事人约定的原则</w:t>
      </w:r>
    </w:p>
    <w:p>
      <w:pPr>
        <w:pStyle w:val="NormalIndent"/>
        <w:rPr>
          <w:rFonts w:ascii="宋体" w:hAnsi="宋体"/>
          <w:sz w:val="21"/>
          <w:szCs w:val="21"/>
        </w:rPr>
      </w:pPr>
      <w:r>
        <w:rPr>
          <w:rFonts w:ascii="宋体" w:hAnsi="宋体" w:hint="eastAsia"/>
          <w:sz w:val="21"/>
          <w:szCs w:val="21"/>
        </w:rPr>
        <w:t>任何相关事项均应当符合法律规定，及应当符合当事人的约定。</w:t>
      </w:r>
    </w:p>
    <w:p>
      <w:pPr>
        <w:pStyle w:val="NormalIndent"/>
        <w:rPr>
          <w:rFonts w:ascii="宋体" w:hAnsi="宋体"/>
          <w:sz w:val="21"/>
          <w:szCs w:val="21"/>
        </w:rPr>
      </w:pPr>
      <w:r>
        <w:rPr>
          <w:rFonts w:ascii="宋体" w:hAnsi="宋体" w:hint="eastAsia"/>
          <w:sz w:val="21"/>
          <w:szCs w:val="21"/>
        </w:rPr>
        <w:t>开发成果归属清晰原则</w:t>
      </w:r>
    </w:p>
    <w:p>
      <w:pPr>
        <w:pStyle w:val="NormalIndent"/>
        <w:rPr>
          <w:rFonts w:ascii="宋体" w:hAnsi="宋体"/>
          <w:sz w:val="21"/>
          <w:szCs w:val="21"/>
        </w:rPr>
      </w:pPr>
      <w:r>
        <w:rPr>
          <w:rFonts w:ascii="宋体" w:hAnsi="宋体" w:hint="eastAsia"/>
          <w:sz w:val="21"/>
          <w:szCs w:val="21"/>
        </w:rPr>
        <w:t>全部及/或任何部分的相关知识产权，包括相关权益，归甲方所有。中标人有不可争议的义务确保采购人依据本次采购所获得的知识产权不存在任何瑕疵并且可以不受限制地行使相关权利，包括各项延伸权利。若因此发生任何争议均应当由中标人独自承担全部及/或任何责任，包括但不限于应当承担其自身及采购方为排除任何争议或瑕疵所应当或所需支付的一切相关/或由此引起的费用。</w:t>
      </w:r>
    </w:p>
    <w:p>
      <w:pPr>
        <w:pStyle w:val="NormalIndent"/>
        <w:rPr>
          <w:rFonts w:ascii="宋体" w:hAnsi="宋体"/>
          <w:sz w:val="21"/>
          <w:szCs w:val="21"/>
        </w:rPr>
      </w:pPr>
      <w:r>
        <w:rPr>
          <w:rFonts w:ascii="宋体" w:hAnsi="宋体" w:hint="eastAsia"/>
          <w:sz w:val="21"/>
          <w:szCs w:val="21"/>
        </w:rPr>
        <w:t>保护知识产权原则</w:t>
      </w:r>
    </w:p>
    <w:p>
      <w:pPr>
        <w:rPr>
          <w:rFonts w:hint="eastAsia"/>
        </w:rPr>
      </w:pPr>
      <w:r>
        <w:rPr>
          <w:rFonts w:ascii="宋体" w:hAnsi="宋体" w:hint="eastAsia"/>
          <w:sz w:val="21"/>
          <w:szCs w:val="21"/>
        </w:rPr>
        <w:t>中标人应当保证其有关参与本次采购相关的活动包括履行本次采购的任何行为，以及本次采购活动结束之后的任何涉及到本次采购的行为，均不会侵犯任何第三方的知识产权。若因此发生任何争议、侵权、均应当由中标人独自承担全部及/或任何责任，包括但不限于应当承担其自身及采购中心为排除任何争议及/或赔偿侵权所应当或所需支付的一切相关及/或由此引起的费用。</w:t>
      </w:r>
    </w:p>
    <w:p w:rsidR="00A77B3E"/>
    <w:p>
      <w:pPr>
        <w:spacing w:before="156" w:beforeLines="50" w:line="360" w:lineRule="auto"/>
        <w:jc w:val="center"/>
        <w:outlineLvl w:val="1"/>
        <w:rPr>
          <w:rFonts w:ascii="宋体" w:hAnsi="宋体"/>
          <w:b/>
          <w:sz w:val="30"/>
          <w:szCs w:val="30"/>
        </w:rPr>
        <w:sectPr>
          <w:footerReference w:type="default" r:id="rId6"/>
          <w:pgSz w:w="11906" w:h="16838"/>
          <w:pgMar w:top="1418" w:right="1418" w:bottom="1418" w:left="1701" w:header="851" w:footer="851" w:gutter="0"/>
          <w:cols w:space="708"/>
          <w:docGrid w:type="linesAndChars" w:linePitch="312"/>
        </w:sectPr>
      </w:pPr>
      <w:bookmarkEnd w:id="58"/>
    </w:p>
    <w:p>
      <w:pPr>
        <w:spacing w:before="156" w:beforeLines="50" w:line="360" w:lineRule="auto"/>
        <w:jc w:val="center"/>
        <w:outlineLvl w:val="1"/>
        <w:rPr>
          <w:rFonts w:ascii="宋体" w:hAnsi="宋体"/>
          <w:b/>
          <w:sz w:val="30"/>
          <w:szCs w:val="30"/>
          <w:highlight w:val="none"/>
        </w:rPr>
      </w:pPr>
      <w:bookmarkStart w:id="113"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5"/>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5"/>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5"/>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pPr>
        <w:spacing w:before="156" w:beforeLines="50" w:line="360" w:lineRule="auto"/>
        <w:ind w:firstLine="420"/>
        <w:rPr>
          <w:highlight w:val="none"/>
        </w:rPr>
      </w:pPr>
    </w:p>
    <w:p w:rsidR="00A77B3E"/>
    <w:p>
      <w:pPr>
        <w:spacing w:before="156" w:beforeLines="50" w:line="360" w:lineRule="auto"/>
        <w:jc w:val="center"/>
        <w:outlineLvl w:val="1"/>
        <w:rPr>
          <w:rFonts w:ascii="宋体" w:hAnsi="宋体"/>
          <w:b/>
          <w:sz w:val="30"/>
          <w:szCs w:val="30"/>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113"/>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pacing w:line="360" w:lineRule="auto"/>
        <w:ind w:firstLine="3066" w:firstLineChars="1460"/>
        <w:jc w:val="left"/>
        <w:rPr>
          <w:rFonts w:ascii="Times New Roman" w:eastAsia="宋体" w:hAnsi="Times New Roman" w:cs="Times New Roman"/>
          <w:b/>
          <w:bCs/>
          <w:szCs w:val="21"/>
        </w:rPr>
      </w:pPr>
      <w:bookmarkStart w:id="114" w:name="采购公告合同部分_ZBGGHT"/>
      <w:bookmarkStart w:id="115" w:name="_GoBack_1"/>
      <w:r>
        <w:rPr>
          <w:rFonts w:ascii="Times New Roman" w:eastAsia="宋体" w:hAnsi="Times New Roman" w:cs="Times New Roman" w:hint="eastAsia"/>
          <w:b/>
          <w:bCs/>
          <w:szCs w:val="21"/>
        </w:rPr>
        <w:t>第九章  采购合同</w:t>
      </w:r>
    </w:p>
    <w:p>
      <w:pPr>
        <w:spacing w:line="360" w:lineRule="auto"/>
        <w:ind w:right="-210" w:rightChars="-100"/>
        <w:jc w:val="center"/>
        <w:rPr>
          <w:rFonts w:ascii="方正小标宋简体" w:eastAsia="方正小标宋简体" w:hAnsi="方正小标宋简体" w:cs="方正小标宋简体"/>
          <w:bCs/>
          <w:sz w:val="44"/>
          <w:szCs w:val="44"/>
        </w:rPr>
      </w:pPr>
      <w:r>
        <w:rPr>
          <w:rFonts w:ascii="宋体" w:eastAsia="宋体" w:hAnsi="宋体" w:cs="Times New Roman"/>
          <w:szCs w:val="21"/>
        </w:rPr>
        <w:br w:type="page"/>
      </w: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pPr>
        <w:spacing w:line="360" w:lineRule="auto"/>
        <w:ind w:right="-210" w:rightChars="-100"/>
        <w:rPr>
          <w:rFonts w:ascii="宋体" w:eastAsia="宋体" w:hAnsi="宋体" w:cs="宋体"/>
          <w:szCs w:val="21"/>
        </w:rPr>
      </w:pPr>
    </w:p>
    <w:p>
      <w:pPr>
        <w:spacing w:line="360" w:lineRule="auto"/>
        <w:ind w:right="-210" w:rightChars="-100"/>
        <w:rPr>
          <w:rFonts w:ascii="宋体" w:eastAsia="宋体" w:hAnsi="宋体" w:cs="宋体"/>
          <w:szCs w:val="21"/>
        </w:rPr>
      </w:pPr>
    </w:p>
    <w:p>
      <w:pPr>
        <w:spacing w:line="360" w:lineRule="auto"/>
        <w:ind w:right="-210" w:rightChars="-100"/>
        <w:rPr>
          <w:rFonts w:ascii="宋体" w:eastAsia="宋体" w:hAnsi="宋体" w:cs="宋体"/>
          <w:szCs w:val="21"/>
        </w:rPr>
      </w:pPr>
      <w:r>
        <w:rPr>
          <w:rFonts w:ascii="宋体" w:eastAsia="宋体" w:hAnsi="宋体" w:cs="宋体" w:hint="eastAsia"/>
          <w:szCs w:val="21"/>
        </w:rPr>
        <w:t>合同编号：</w:t>
      </w:r>
    </w:p>
    <w:p>
      <w:pPr>
        <w:spacing w:line="360" w:lineRule="auto"/>
        <w:jc w:val="center"/>
        <w:rPr>
          <w:rFonts w:ascii="宋体" w:eastAsia="宋体" w:hAnsi="宋体" w:cs="宋体"/>
          <w:szCs w:val="21"/>
        </w:rPr>
      </w:pPr>
    </w:p>
    <w:p>
      <w:pPr>
        <w:spacing w:line="360" w:lineRule="auto"/>
        <w:jc w:val="center"/>
        <w:rPr>
          <w:rFonts w:ascii="宋体" w:eastAsia="宋体" w:hAnsi="宋体" w:cs="宋体"/>
          <w:b/>
          <w:sz w:val="28"/>
          <w:szCs w:val="28"/>
        </w:rPr>
      </w:pPr>
      <w:r>
        <w:rPr>
          <w:rFonts w:ascii="宋体" w:eastAsia="宋体" w:hAnsi="宋体" w:cs="宋体" w:hint="eastAsia"/>
          <w:b/>
          <w:sz w:val="28"/>
          <w:szCs w:val="28"/>
        </w:rPr>
        <w:t>技术开发（委托）合同</w:t>
      </w:r>
    </w:p>
    <w:p>
      <w:pPr>
        <w:spacing w:line="360" w:lineRule="auto"/>
        <w:jc w:val="center"/>
        <w:rPr>
          <w:rFonts w:ascii="宋体" w:eastAsia="宋体" w:hAnsi="宋体" w:cs="宋体"/>
          <w:szCs w:val="21"/>
        </w:rPr>
      </w:pPr>
    </w:p>
    <w:p>
      <w:pPr>
        <w:spacing w:line="360" w:lineRule="auto"/>
        <w:jc w:val="center"/>
        <w:rPr>
          <w:rFonts w:ascii="宋体" w:eastAsia="宋体" w:hAnsi="宋体" w:cs="宋体"/>
          <w:szCs w:val="21"/>
        </w:rPr>
      </w:pPr>
    </w:p>
    <w:p>
      <w:pPr>
        <w:spacing w:line="600" w:lineRule="auto"/>
        <w:ind w:right="-32" w:firstLine="420" w:rightChars="-15" w:firstLineChars="200"/>
        <w:rPr>
          <w:rFonts w:ascii="宋体" w:eastAsia="宋体" w:hAnsi="宋体" w:cs="宋体"/>
          <w:szCs w:val="21"/>
        </w:rPr>
      </w:pPr>
      <w:r>
        <w:rPr>
          <w:rFonts w:ascii="宋体" w:eastAsia="宋体" w:hAnsi="宋体" w:cs="宋体" w:hint="eastAsia"/>
          <w:b/>
          <w:bCs/>
          <w:szCs w:val="21"/>
        </w:rPr>
        <w:t>项目名称：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u w:val="single"/>
        </w:rPr>
      </w:pPr>
    </w:p>
    <w:p>
      <w:pPr>
        <w:spacing w:line="600" w:lineRule="auto"/>
        <w:ind w:right="-15" w:firstLine="420" w:firstLineChars="200"/>
        <w:rPr>
          <w:rFonts w:ascii="宋体" w:eastAsia="宋体" w:hAnsi="宋体" w:cs="宋体"/>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left="-540" w:right="-15" w:firstLine="420" w:firstLineChars="200"/>
        <w:rPr>
          <w:rFonts w:ascii="宋体" w:eastAsia="宋体" w:hAnsi="宋体" w:cs="宋体"/>
          <w:szCs w:val="21"/>
          <w:u w:val="single"/>
        </w:rPr>
      </w:pPr>
      <w:r>
        <w:rPr>
          <w:rFonts w:ascii="宋体" w:eastAsia="宋体" w:hAnsi="宋体" w:cs="宋体" w:hint="eastAsia"/>
          <w:szCs w:val="21"/>
        </w:rPr>
        <w:t xml:space="preserve">                   </w:t>
      </w:r>
    </w:p>
    <w:p>
      <w:pPr>
        <w:spacing w:line="600" w:lineRule="auto"/>
        <w:ind w:left="-180" w:right="-15" w:firstLine="630" w:firstLineChars="300"/>
        <w:rPr>
          <w:rFonts w:ascii="宋体" w:eastAsia="宋体" w:hAnsi="宋体" w:cs="宋体"/>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360" w:lineRule="auto"/>
        <w:jc w:val="center"/>
        <w:rPr>
          <w:rFonts w:ascii="宋体" w:eastAsia="宋体" w:hAnsi="宋体" w:cs="宋体"/>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pPr>
        <w:spacing w:line="360" w:lineRule="auto"/>
        <w:ind w:firstLine="1680" w:firstLineChars="800"/>
        <w:rPr>
          <w:rFonts w:ascii="宋体" w:eastAsia="宋体" w:hAnsi="宋体" w:cs="宋体"/>
          <w:szCs w:val="21"/>
        </w:rPr>
      </w:pPr>
    </w:p>
    <w:p>
      <w:pPr>
        <w:spacing w:line="480" w:lineRule="auto"/>
        <w:rPr>
          <w:rFonts w:ascii="宋体" w:eastAsia="宋体" w:hAnsi="宋体" w:cs="宋体"/>
          <w:szCs w:val="21"/>
        </w:rPr>
      </w:pPr>
      <w:r>
        <w:rPr>
          <w:rFonts w:ascii="宋体" w:eastAsia="宋体" w:hAnsi="宋体" w:cs="宋体" w:hint="eastAsia"/>
          <w:szCs w:val="21"/>
        </w:rPr>
        <w:t xml:space="preserve">委托方（甲方）： </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rPr>
          <w:rFonts w:ascii="宋体" w:eastAsia="宋体" w:hAnsi="宋体" w:cs="宋体"/>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 xml:space="preserve">联系方式： </w:t>
      </w:r>
      <w:r>
        <w:rPr>
          <w:rFonts w:ascii="宋体" w:eastAsia="宋体" w:hAnsi="宋体" w:cs="宋体" w:hint="eastAsia"/>
          <w:szCs w:val="21"/>
          <w:u w:val="single"/>
        </w:rPr>
        <w:t xml:space="preserve">                                                       </w:t>
      </w:r>
    </w:p>
    <w:p>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ind w:firstLine="420" w:firstLineChars="200"/>
        <w:jc w:val="left"/>
        <w:rPr>
          <w:rFonts w:ascii="宋体" w:hAnsi="宋体" w:cs="宋体"/>
          <w:szCs w:val="21"/>
        </w:rPr>
        <w:sectPr>
          <w:footerReference w:type="even" r:id="rId9"/>
          <w:footerReference w:type="default" r:id="rId10"/>
          <w:pgSz w:w="11906" w:h="16838"/>
          <w:pgMar w:top="1440" w:right="1800" w:bottom="1440" w:left="1800" w:header="851" w:footer="992" w:gutter="0"/>
          <w:cols w:num="1" w:space="720"/>
          <w:docGrid w:type="lines" w:linePitch="312" w:charSpace="0"/>
        </w:sectPr>
      </w:pPr>
    </w:p>
    <w:p>
      <w:pPr>
        <w:jc w:val="center"/>
        <w:rPr>
          <w:rFonts w:ascii="黑体" w:eastAsia="黑体" w:hAnsi="黑体" w:cs="黑体"/>
          <w:sz w:val="32"/>
          <w:szCs w:val="32"/>
        </w:rPr>
      </w:pPr>
    </w:p>
    <w:p>
      <w:pPr>
        <w:jc w:val="center"/>
        <w:rPr>
          <w:rFonts w:ascii="黑体" w:eastAsia="黑体" w:hAnsi="黑体" w:cs="黑体"/>
          <w:sz w:val="32"/>
          <w:szCs w:val="32"/>
        </w:rPr>
      </w:pPr>
    </w:p>
    <w:p>
      <w:pPr>
        <w:jc w:val="center"/>
        <w:rPr>
          <w:rFonts w:ascii="黑体" w:eastAsia="黑体" w:hAnsi="黑体" w:cs="黑体"/>
          <w:sz w:val="32"/>
          <w:szCs w:val="32"/>
        </w:rPr>
      </w:pPr>
    </w:p>
    <w:p>
      <w:pPr>
        <w:jc w:val="center"/>
        <w:rPr>
          <w:rFonts w:ascii="黑体" w:eastAsia="黑体" w:hAnsi="黑体" w:cs="黑体"/>
          <w:sz w:val="32"/>
          <w:szCs w:val="32"/>
        </w:rPr>
      </w:pPr>
      <w:r>
        <w:rPr>
          <w:rFonts w:ascii="黑体" w:eastAsia="黑体" w:hAnsi="黑体" w:cs="黑体" w:hint="eastAsia"/>
          <w:sz w:val="32"/>
          <w:szCs w:val="32"/>
        </w:rPr>
        <w:t>使 用 说 明</w:t>
      </w:r>
    </w:p>
    <w:p>
      <w:pPr>
        <w:jc w:val="center"/>
        <w:rPr>
          <w:rFonts w:ascii="黑体" w:eastAsia="黑体" w:hAnsi="黑体" w:cs="黑体"/>
          <w:sz w:val="32"/>
          <w:szCs w:val="32"/>
        </w:rPr>
      </w:pPr>
    </w:p>
    <w:p>
      <w:pPr>
        <w:numPr>
          <w:ilvl w:val="0"/>
          <w:numId w:val="62"/>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本合同标准文本适用于气象部门需要供应商定制开发的气象业务软件采购项目。</w:t>
      </w:r>
    </w:p>
    <w:p>
      <w:pPr>
        <w:numPr>
          <w:ilvl w:val="0"/>
          <w:numId w:val="62"/>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pPr>
        <w:numPr>
          <w:ilvl w:val="0"/>
          <w:numId w:val="62"/>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pPr>
        <w:ind w:firstLine="420" w:firstLineChars="200"/>
        <w:rPr>
          <w:rFonts w:ascii="宋体" w:eastAsia="宋体" w:hAnsi="宋体" w:cs="宋体"/>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pPr>
        <w:keepNext/>
        <w:keepLines/>
        <w:numPr>
          <w:ilvl w:val="0"/>
          <w:numId w:val="13"/>
        </w:numPr>
        <w:spacing w:before="60" w:after="60" w:line="360" w:lineRule="auto"/>
        <w:ind w:left="840" w:hanging="840"/>
        <w:jc w:val="left"/>
        <w:outlineLvl w:val="1"/>
        <w:rPr>
          <w:rFonts w:ascii="宋体" w:eastAsia="宋体" w:hAnsi="宋体" w:cs="宋体"/>
          <w:b/>
          <w:bCs/>
          <w:szCs w:val="21"/>
        </w:rPr>
      </w:pPr>
      <w:bookmarkStart w:id="116" w:name="_Toc150439537"/>
      <w:r>
        <w:rPr>
          <w:rFonts w:ascii="宋体" w:eastAsia="宋体" w:hAnsi="宋体" w:cs="宋体" w:hint="eastAsia"/>
          <w:b/>
          <w:bCs/>
          <w:szCs w:val="21"/>
        </w:rPr>
        <w:t>项目内容及概况</w:t>
      </w:r>
      <w:bookmarkEnd w:id="116"/>
      <w:r>
        <w:rPr>
          <w:rFonts w:ascii="宋体" w:eastAsia="宋体" w:hAnsi="宋体" w:cs="宋体" w:hint="eastAsia"/>
          <w:b/>
          <w:bCs/>
          <w:szCs w:val="21"/>
        </w:rP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802"/>
        <w:gridCol w:w="707"/>
        <w:gridCol w:w="750"/>
        <w:gridCol w:w="1420"/>
        <w:gridCol w:w="1422"/>
        <w:gridCol w:w="1421"/>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r>
              <w:rPr>
                <w:rFonts w:ascii="宋体" w:eastAsia="宋体" w:hAnsi="宋体" w:cs="宋体" w:hint="eastAsia"/>
                <w:szCs w:val="21"/>
              </w:rPr>
              <w:t>名称</w:t>
            </w:r>
          </w:p>
        </w:tc>
        <w:tc>
          <w:tcPr>
            <w:tcW w:w="415" w:type="pct"/>
            <w:noWrap w:val="0"/>
            <w:vAlign w:val="top"/>
          </w:tcPr>
          <w:p>
            <w:pPr>
              <w:jc w:val="left"/>
              <w:rPr>
                <w:rFonts w:ascii="宋体" w:eastAsia="宋体" w:hAnsi="宋体" w:cs="宋体"/>
                <w:szCs w:val="21"/>
              </w:rPr>
            </w:pPr>
            <w:r>
              <w:rPr>
                <w:rFonts w:ascii="宋体" w:eastAsia="宋体" w:hAnsi="宋体" w:cs="宋体" w:hint="eastAsia"/>
                <w:szCs w:val="21"/>
              </w:rPr>
              <w:t>数量</w:t>
            </w:r>
          </w:p>
        </w:tc>
        <w:tc>
          <w:tcPr>
            <w:tcW w:w="440" w:type="pct"/>
            <w:noWrap w:val="0"/>
            <w:vAlign w:val="top"/>
          </w:tcPr>
          <w:p>
            <w:pPr>
              <w:jc w:val="left"/>
              <w:rPr>
                <w:rFonts w:ascii="宋体" w:eastAsia="宋体" w:hAnsi="宋体" w:cs="宋体"/>
                <w:szCs w:val="21"/>
              </w:rPr>
            </w:pPr>
            <w:r>
              <w:rPr>
                <w:rFonts w:ascii="宋体" w:eastAsia="宋体" w:hAnsi="宋体" w:cs="宋体" w:hint="eastAsia"/>
                <w:szCs w:val="21"/>
              </w:rPr>
              <w:t>单位</w:t>
            </w:r>
          </w:p>
        </w:tc>
        <w:tc>
          <w:tcPr>
            <w:tcW w:w="833" w:type="pct"/>
            <w:noWrap w:val="0"/>
            <w:vAlign w:val="top"/>
          </w:tcPr>
          <w:p>
            <w:pPr>
              <w:jc w:val="left"/>
              <w:rPr>
                <w:rFonts w:ascii="宋体" w:eastAsia="宋体" w:hAnsi="宋体" w:cs="宋体"/>
                <w:szCs w:val="21"/>
              </w:rPr>
            </w:pPr>
            <w:r>
              <w:rPr>
                <w:rFonts w:ascii="宋体" w:eastAsia="宋体" w:hAnsi="宋体" w:cs="宋体" w:hint="eastAsia"/>
                <w:szCs w:val="21"/>
              </w:rPr>
              <w:t>单价（元）</w:t>
            </w:r>
          </w:p>
        </w:tc>
        <w:tc>
          <w:tcPr>
            <w:tcW w:w="834" w:type="pct"/>
            <w:noWrap w:val="0"/>
            <w:vAlign w:val="top"/>
          </w:tcPr>
          <w:p>
            <w:pPr>
              <w:jc w:val="left"/>
              <w:rPr>
                <w:rFonts w:ascii="宋体" w:eastAsia="宋体" w:hAnsi="宋体" w:cs="宋体"/>
                <w:szCs w:val="21"/>
              </w:rPr>
            </w:pPr>
            <w:r>
              <w:rPr>
                <w:rFonts w:ascii="宋体" w:eastAsia="宋体" w:hAnsi="宋体" w:cs="宋体" w:hint="eastAsia"/>
                <w:szCs w:val="21"/>
              </w:rPr>
              <w:t>合计（元）</w:t>
            </w:r>
          </w:p>
        </w:tc>
        <w:tc>
          <w:tcPr>
            <w:tcW w:w="834" w:type="pct"/>
            <w:noWrap w:val="0"/>
            <w:vAlign w:val="top"/>
          </w:tcPr>
          <w:p>
            <w:pPr>
              <w:jc w:val="left"/>
              <w:rPr>
                <w:rFonts w:ascii="宋体" w:eastAsia="宋体" w:hAnsi="宋体" w:cs="宋体"/>
                <w:szCs w:val="21"/>
              </w:rPr>
            </w:pPr>
            <w:r>
              <w:rPr>
                <w:rFonts w:ascii="宋体" w:eastAsia="宋体" w:hAnsi="宋体" w:cs="宋体" w:hint="eastAsia"/>
                <w:szCs w:val="21"/>
              </w:rPr>
              <w:t>备注</w:t>
            </w:r>
          </w:p>
        </w:tc>
      </w:tr>
      <w:tr>
        <w:tblPrEx>
          <w:tblW w:w="5000" w:type="pct"/>
          <w:tblInd w:w="0" w:type="dxa"/>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p>
        </w:tc>
        <w:tc>
          <w:tcPr>
            <w:tcW w:w="415" w:type="pct"/>
            <w:noWrap w:val="0"/>
            <w:vAlign w:val="top"/>
          </w:tcPr>
          <w:p>
            <w:pPr>
              <w:jc w:val="left"/>
              <w:rPr>
                <w:rFonts w:ascii="宋体" w:eastAsia="宋体" w:hAnsi="宋体" w:cs="宋体"/>
                <w:szCs w:val="21"/>
              </w:rPr>
            </w:pPr>
          </w:p>
        </w:tc>
        <w:tc>
          <w:tcPr>
            <w:tcW w:w="440" w:type="pct"/>
            <w:noWrap w:val="0"/>
            <w:vAlign w:val="top"/>
          </w:tcPr>
          <w:p>
            <w:pPr>
              <w:jc w:val="left"/>
              <w:rPr>
                <w:rFonts w:ascii="宋体" w:eastAsia="宋体" w:hAnsi="宋体" w:cs="宋体"/>
                <w:szCs w:val="21"/>
              </w:rPr>
            </w:pPr>
          </w:p>
        </w:tc>
        <w:tc>
          <w:tcPr>
            <w:tcW w:w="833"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r>
      <w:tr>
        <w:tblPrEx>
          <w:tblW w:w="5000" w:type="pct"/>
          <w:tblInd w:w="0" w:type="dxa"/>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p>
        </w:tc>
        <w:tc>
          <w:tcPr>
            <w:tcW w:w="415" w:type="pct"/>
            <w:noWrap w:val="0"/>
            <w:vAlign w:val="top"/>
          </w:tcPr>
          <w:p>
            <w:pPr>
              <w:jc w:val="left"/>
              <w:rPr>
                <w:rFonts w:ascii="宋体" w:eastAsia="宋体" w:hAnsi="宋体" w:cs="宋体"/>
                <w:szCs w:val="21"/>
              </w:rPr>
            </w:pPr>
          </w:p>
        </w:tc>
        <w:tc>
          <w:tcPr>
            <w:tcW w:w="440" w:type="pct"/>
            <w:noWrap w:val="0"/>
            <w:vAlign w:val="top"/>
          </w:tcPr>
          <w:p>
            <w:pPr>
              <w:jc w:val="left"/>
              <w:rPr>
                <w:rFonts w:ascii="宋体" w:eastAsia="宋体" w:hAnsi="宋体" w:cs="宋体"/>
                <w:szCs w:val="21"/>
              </w:rPr>
            </w:pPr>
          </w:p>
        </w:tc>
        <w:tc>
          <w:tcPr>
            <w:tcW w:w="833"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r>
      <w:tr>
        <w:tblPrEx>
          <w:tblW w:w="5000" w:type="pct"/>
          <w:tblInd w:w="0" w:type="dxa"/>
          <w:tblCellMar>
            <w:top w:w="0" w:type="dxa"/>
            <w:left w:w="108" w:type="dxa"/>
            <w:bottom w:w="0" w:type="dxa"/>
            <w:right w:w="108" w:type="dxa"/>
          </w:tblCellMar>
        </w:tblPrEx>
        <w:tc>
          <w:tcPr>
            <w:tcW w:w="5000" w:type="pct"/>
            <w:gridSpan w:val="6"/>
            <w:noWrap w:val="0"/>
            <w:vAlign w:val="top"/>
          </w:tcPr>
          <w:p>
            <w:pPr>
              <w:jc w:val="left"/>
              <w:rPr>
                <w:rFonts w:ascii="宋体" w:eastAsia="宋体" w:hAnsi="宋体" w:cs="宋体"/>
                <w:szCs w:val="21"/>
              </w:rPr>
            </w:pPr>
            <w:r>
              <w:rPr>
                <w:rFonts w:ascii="宋体" w:eastAsia="宋体" w:hAnsi="宋体" w:cs="宋体"/>
                <w:spacing w:val="6"/>
                <w:szCs w:val="21"/>
              </w:rPr>
              <w:t>合计总价</w:t>
            </w:r>
            <w:r>
              <w:rPr>
                <w:rFonts w:ascii="宋体" w:eastAsia="宋体" w:hAnsi="宋体" w:cs="宋体" w:hint="eastAsia"/>
                <w:spacing w:val="6"/>
                <w:szCs w:val="21"/>
              </w:rPr>
              <w:t>（人民币）</w:t>
            </w:r>
            <w:r>
              <w:rPr>
                <w:rFonts w:ascii="宋体" w:eastAsia="宋体" w:hAnsi="宋体" w:cs="宋体"/>
                <w:spacing w:val="6"/>
                <w:szCs w:val="21"/>
              </w:rPr>
              <w:t>：</w:t>
            </w:r>
            <w:r>
              <w:rPr>
                <w:rFonts w:ascii="宋体" w:eastAsia="宋体" w:hAnsi="宋体" w:cs="宋体" w:hint="eastAsia"/>
                <w:spacing w:val="6"/>
                <w:szCs w:val="21"/>
              </w:rPr>
              <w:t>￥</w:t>
            </w:r>
            <w:r>
              <w:rPr>
                <w:rFonts w:ascii="宋体" w:eastAsia="宋体" w:hAnsi="宋体" w:cs="宋体"/>
                <w:spacing w:val="7"/>
                <w:szCs w:val="21"/>
              </w:rPr>
              <w:t xml:space="preserve">    </w:t>
            </w:r>
            <w:r>
              <w:rPr>
                <w:rFonts w:ascii="宋体" w:eastAsia="宋体" w:hAnsi="宋体" w:cs="宋体"/>
                <w:spacing w:val="6"/>
                <w:szCs w:val="21"/>
              </w:rPr>
              <w:t>元（大写</w:t>
            </w:r>
            <w:r>
              <w:rPr>
                <w:rFonts w:ascii="宋体" w:eastAsia="宋体" w:hAnsi="宋体" w:cs="宋体"/>
                <w:szCs w:val="21"/>
              </w:rPr>
              <w:t>：</w:t>
            </w:r>
            <w:r>
              <w:rPr>
                <w:rFonts w:ascii="宋体" w:eastAsia="宋体" w:hAnsi="宋体" w:cs="宋体"/>
                <w:spacing w:val="1"/>
                <w:szCs w:val="21"/>
              </w:rPr>
              <w:t xml:space="preserve">                                </w:t>
            </w:r>
            <w:r>
              <w:rPr>
                <w:rFonts w:ascii="宋体" w:eastAsia="宋体" w:hAnsi="宋体" w:cs="宋体"/>
                <w:szCs w:val="21"/>
              </w:rPr>
              <w:t>）</w:t>
            </w:r>
          </w:p>
        </w:tc>
      </w:tr>
    </w:tbl>
    <w:p>
      <w:pPr>
        <w:ind w:firstLine="420" w:firstLineChars="200"/>
        <w:jc w:val="left"/>
        <w:rPr>
          <w:rFonts w:ascii="宋体" w:eastAsia="宋体" w:hAnsi="宋体" w:cs="宋体"/>
          <w:szCs w:val="21"/>
          <w:u w:val="single"/>
        </w:rPr>
      </w:pPr>
      <w:r>
        <w:rPr>
          <w:rFonts w:ascii="宋体" w:eastAsia="宋体" w:hAnsi="宋体" w:cs="宋体" w:hint="eastAsia"/>
          <w:szCs w:val="21"/>
        </w:rPr>
        <w:t>项目简要介绍：</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ind w:firstLine="420" w:firstLineChars="200"/>
        <w:jc w:val="left"/>
        <w:rPr>
          <w:rFonts w:ascii="宋体" w:eastAsia="宋体" w:hAnsi="宋体" w:cs="宋体"/>
          <w:szCs w:val="21"/>
        </w:rPr>
      </w:pPr>
      <w:r>
        <w:rPr>
          <w:rFonts w:ascii="宋体" w:eastAsia="宋体" w:hAnsi="宋体" w:cs="宋体" w:hint="eastAsia"/>
          <w:szCs w:val="21"/>
        </w:rPr>
        <w:t>乙方承担的研究内容：</w:t>
      </w:r>
    </w:p>
    <w:p>
      <w:pPr>
        <w:ind w:firstLine="420" w:firstLineChars="200"/>
        <w:jc w:val="left"/>
        <w:rPr>
          <w:rFonts w:ascii="宋体" w:eastAsia="宋体" w:hAnsi="宋体" w:cs="宋体"/>
          <w:szCs w:val="21"/>
        </w:rPr>
      </w:pPr>
      <w:r>
        <w:rPr>
          <w:rFonts w:ascii="宋体" w:eastAsia="宋体" w:hAnsi="宋体" w:cs="宋体" w:hint="eastAsia"/>
          <w:szCs w:val="21"/>
        </w:rPr>
        <w:t>XXXX（技术交底部分）。</w:t>
      </w:r>
    </w:p>
    <w:p>
      <w:pPr>
        <w:ind w:firstLine="420" w:firstLineChars="200"/>
        <w:jc w:val="left"/>
        <w:rPr>
          <w:rFonts w:ascii="宋体" w:eastAsia="宋体" w:hAnsi="宋体" w:cs="宋体"/>
          <w:szCs w:val="21"/>
        </w:rPr>
      </w:pPr>
    </w:p>
    <w:p>
      <w:pPr>
        <w:ind w:firstLine="420" w:firstLineChars="200"/>
        <w:jc w:val="left"/>
        <w:rPr>
          <w:rFonts w:ascii="宋体" w:eastAsia="宋体" w:hAnsi="宋体" w:cs="宋体"/>
          <w:szCs w:val="21"/>
        </w:rPr>
      </w:pPr>
      <w:r>
        <w:rPr>
          <w:rFonts w:ascii="宋体" w:eastAsia="宋体" w:hAnsi="宋体" w:cs="宋体" w:hint="eastAsia"/>
          <w:szCs w:val="21"/>
        </w:rPr>
        <w:t>乙方主要研究人员</w:t>
      </w:r>
    </w:p>
    <w:p>
      <w:pPr>
        <w:ind w:firstLine="420" w:firstLineChars="200"/>
        <w:jc w:val="left"/>
        <w:rPr>
          <w:rFonts w:ascii="宋体" w:eastAsia="宋体" w:hAnsi="宋体" w:cs="宋体"/>
          <w:szCs w:val="21"/>
        </w:rPr>
      </w:pPr>
      <w:r>
        <w:rPr>
          <w:rFonts w:ascii="宋体" w:eastAsia="宋体" w:hAnsi="宋体" w:cs="宋体" w:hint="eastAsia"/>
          <w:szCs w:val="21"/>
        </w:rPr>
        <w:t xml:space="preserve"> XXXX。</w:t>
      </w:r>
    </w:p>
    <w:p>
      <w:pPr>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keepNext/>
        <w:keepLines/>
        <w:numPr>
          <w:ilvl w:val="0"/>
          <w:numId w:val="13"/>
        </w:numPr>
        <w:spacing w:before="60" w:after="60" w:line="360" w:lineRule="auto"/>
        <w:ind w:left="840" w:hanging="840"/>
        <w:jc w:val="left"/>
        <w:outlineLvl w:val="1"/>
        <w:rPr>
          <w:rFonts w:ascii="宋体" w:eastAsia="宋体" w:hAnsi="宋体" w:cs="宋体"/>
          <w:b/>
          <w:bCs/>
          <w:szCs w:val="21"/>
        </w:rPr>
      </w:pPr>
      <w:bookmarkStart w:id="117" w:name="_Toc150439540"/>
      <w:r>
        <w:rPr>
          <w:rFonts w:ascii="宋体" w:eastAsia="宋体" w:hAnsi="宋体" w:cs="宋体" w:hint="eastAsia"/>
          <w:b/>
          <w:bCs/>
          <w:szCs w:val="21"/>
        </w:rPr>
        <w:t>项目相关标准</w:t>
      </w:r>
      <w:bookmarkEnd w:id="117"/>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技术标准</w:t>
      </w:r>
    </w:p>
    <w:p>
      <w:pPr>
        <w:numPr>
          <w:ilvl w:val="0"/>
          <w:numId w:val="15"/>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国家政策文件</w:t>
      </w:r>
    </w:p>
    <w:p>
      <w:pPr>
        <w:numPr>
          <w:ilvl w:val="1"/>
          <w:numId w:val="14"/>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《X</w:t>
      </w:r>
      <w:r>
        <w:rPr>
          <w:rFonts w:ascii="宋体" w:eastAsia="宋体" w:hAnsi="宋体" w:cs="宋体"/>
          <w:szCs w:val="21"/>
          <w:u w:val="single"/>
        </w:rPr>
        <w:t>XX</w:t>
      </w:r>
      <w:r>
        <w:rPr>
          <w:rFonts w:ascii="宋体" w:eastAsia="宋体" w:hAnsi="宋体" w:cs="宋体" w:hint="eastAsia"/>
          <w:szCs w:val="21"/>
          <w:u w:val="single"/>
        </w:rPr>
        <w:t>功能规格需求书》</w:t>
      </w:r>
    </w:p>
    <w:p>
      <w:pPr>
        <w:numPr>
          <w:ilvl w:val="1"/>
          <w:numId w:val="14"/>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15"/>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省厅政策文件</w:t>
      </w:r>
    </w:p>
    <w:p>
      <w:pPr>
        <w:numPr>
          <w:ilvl w:val="0"/>
          <w:numId w:val="16"/>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16"/>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15"/>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地区政策文件</w:t>
      </w:r>
    </w:p>
    <w:p>
      <w:pPr>
        <w:numPr>
          <w:ilvl w:val="1"/>
          <w:numId w:val="15"/>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1"/>
          <w:numId w:val="15"/>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标准规范</w:t>
      </w:r>
    </w:p>
    <w:p>
      <w:pPr>
        <w:numPr>
          <w:ilvl w:val="0"/>
          <w:numId w:val="17"/>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17"/>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国家法律法规</w:t>
      </w:r>
    </w:p>
    <w:p>
      <w:pPr>
        <w:numPr>
          <w:ilvl w:val="0"/>
          <w:numId w:val="1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《中华人民共和国政府采购法》            </w:t>
      </w:r>
    </w:p>
    <w:p>
      <w:pPr>
        <w:numPr>
          <w:ilvl w:val="0"/>
          <w:numId w:val="1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《中华人民共和国民法典》                </w:t>
      </w:r>
    </w:p>
    <w:p>
      <w:pPr>
        <w:numPr>
          <w:ilvl w:val="0"/>
          <w:numId w:val="1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气象部门管理制度</w:t>
      </w:r>
    </w:p>
    <w:p>
      <w:pPr>
        <w:numPr>
          <w:ilvl w:val="0"/>
          <w:numId w:val="19"/>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《气象业务软件外包风险监管办法（试行）》（气办发〔2023〕37号） </w:t>
      </w:r>
    </w:p>
    <w:p>
      <w:pPr>
        <w:numPr>
          <w:ilvl w:val="0"/>
          <w:numId w:val="19"/>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《气象软件工程规范》（气办发〔2023〕38号）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19"/>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《关于统筹集约建设气象业务软件的指导意见》（气发〔2024〕8号） </w:t>
      </w:r>
    </w:p>
    <w:p>
      <w:pPr>
        <w:numPr>
          <w:ilvl w:val="0"/>
          <w:numId w:val="19"/>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《气象业务软件组件化开发指南（</w:t>
      </w:r>
      <w:r>
        <w:rPr>
          <w:rFonts w:ascii="宋体" w:eastAsia="宋体" w:hAnsi="宋体" w:cs="宋体"/>
          <w:szCs w:val="21"/>
          <w:u w:val="single"/>
        </w:rPr>
        <w:t>2023版）》（气预函〔2023〕76号）</w:t>
      </w:r>
    </w:p>
    <w:p>
      <w:pPr>
        <w:numPr>
          <w:ilvl w:val="0"/>
          <w:numId w:val="19"/>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《气象数据管理办法（试行）》（气发〔</w:t>
      </w:r>
      <w:r>
        <w:rPr>
          <w:rFonts w:ascii="宋体" w:eastAsia="宋体" w:hAnsi="宋体" w:cs="宋体"/>
          <w:szCs w:val="21"/>
          <w:u w:val="single"/>
        </w:rPr>
        <w:t xml:space="preserve">2020〕92号）        </w:t>
      </w:r>
      <w:r>
        <w:rPr>
          <w:rFonts w:ascii="宋体" w:eastAsia="宋体" w:hAnsi="宋体" w:cs="宋体" w:hint="eastAsia"/>
          <w:szCs w:val="21"/>
          <w:u w:val="single"/>
        </w:rPr>
        <w:t xml:space="preserve">       </w:t>
      </w:r>
    </w:p>
    <w:p>
      <w:pPr>
        <w:numPr>
          <w:ilvl w:val="0"/>
          <w:numId w:val="19"/>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《气象数据共享服务与安全管理办法（试行）》（气发〔</w:t>
      </w:r>
      <w:r>
        <w:rPr>
          <w:rFonts w:ascii="宋体" w:eastAsia="宋体" w:hAnsi="宋体" w:cs="宋体"/>
          <w:szCs w:val="21"/>
          <w:u w:val="single"/>
        </w:rPr>
        <w:t>2022〕59号）</w:t>
      </w:r>
      <w:r>
        <w:rPr>
          <w:rFonts w:ascii="宋体" w:eastAsia="宋体" w:hAnsi="宋体" w:cs="宋体" w:hint="eastAsia"/>
          <w:szCs w:val="21"/>
          <w:u w:val="single"/>
        </w:rPr>
        <w:t xml:space="preserve"> </w:t>
      </w:r>
    </w:p>
    <w:p>
      <w:pPr>
        <w:numPr>
          <w:ilvl w:val="0"/>
          <w:numId w:val="19"/>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《中国气象局网络安全管理办法（试行）》（气发〔2020〕41号）     </w:t>
      </w:r>
    </w:p>
    <w:p>
      <w:pPr>
        <w:numPr>
          <w:ilvl w:val="0"/>
          <w:numId w:val="19"/>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ind w:firstLine="420" w:firstLineChars="200"/>
        <w:jc w:val="left"/>
        <w:rPr>
          <w:rFonts w:ascii="华文楷体" w:eastAsia="华文楷体" w:hAnsi="华文楷体" w:cs="华文楷体"/>
          <w:szCs w:val="21"/>
        </w:rPr>
      </w:pPr>
      <w:r>
        <w:rPr>
          <w:rFonts w:ascii="华文楷体" w:eastAsia="华文楷体" w:hAnsi="华文楷体" w:cs="华文楷体" w:hint="eastAsia"/>
          <w:szCs w:val="21"/>
        </w:rPr>
        <w:t>注：上述气象部门管理制度应根据本合同签订时的实际情况进行更新和补充。</w:t>
      </w:r>
    </w:p>
    <w:p>
      <w:pPr>
        <w:keepNext/>
        <w:keepLines/>
        <w:numPr>
          <w:ilvl w:val="0"/>
          <w:numId w:val="13"/>
        </w:numPr>
        <w:spacing w:before="60" w:after="60" w:line="360" w:lineRule="auto"/>
        <w:ind w:left="840" w:hanging="840"/>
        <w:jc w:val="left"/>
        <w:outlineLvl w:val="1"/>
        <w:rPr>
          <w:rFonts w:ascii="宋体" w:eastAsia="宋体" w:hAnsi="宋体" w:cs="宋体"/>
          <w:b/>
          <w:bCs/>
          <w:szCs w:val="21"/>
        </w:rPr>
      </w:pPr>
      <w:bookmarkStart w:id="118" w:name="_Toc150439542"/>
      <w:r>
        <w:rPr>
          <w:rFonts w:ascii="宋体" w:eastAsia="宋体" w:hAnsi="宋体" w:cs="宋体" w:hint="eastAsia"/>
          <w:b/>
          <w:bCs/>
          <w:szCs w:val="21"/>
        </w:rPr>
        <w:t>组成本合同的文件</w:t>
      </w:r>
      <w:bookmarkEnd w:id="118"/>
    </w:p>
    <w:p>
      <w:pPr>
        <w:numPr>
          <w:ilvl w:val="0"/>
          <w:numId w:val="2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本合同；</w:t>
      </w:r>
    </w:p>
    <w:p>
      <w:pPr>
        <w:numPr>
          <w:ilvl w:val="0"/>
          <w:numId w:val="2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中标通知书、招标文件、投标文件等；</w:t>
      </w:r>
    </w:p>
    <w:p>
      <w:pPr>
        <w:numPr>
          <w:ilvl w:val="0"/>
          <w:numId w:val="2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与履行本合同有关、经双方依法签字盖章确认后的下列技术文件：</w:t>
      </w:r>
    </w:p>
    <w:p>
      <w:pPr>
        <w:numPr>
          <w:ilvl w:val="0"/>
          <w:numId w:val="21"/>
        </w:numPr>
        <w:spacing w:line="360" w:lineRule="auto"/>
        <w:ind w:hanging="5"/>
        <w:jc w:val="left"/>
        <w:rPr>
          <w:rFonts w:ascii="宋体" w:eastAsia="宋体" w:hAnsi="宋体" w:cs="宋体"/>
          <w:szCs w:val="21"/>
        </w:rPr>
      </w:pPr>
      <w:r>
        <w:rPr>
          <w:rFonts w:ascii="宋体" w:eastAsia="宋体" w:hAnsi="宋体" w:cs="宋体" w:hint="eastAsia"/>
          <w:szCs w:val="21"/>
        </w:rPr>
        <w:t>技术背景资料；</w:t>
      </w:r>
    </w:p>
    <w:p>
      <w:pPr>
        <w:numPr>
          <w:ilvl w:val="0"/>
          <w:numId w:val="21"/>
        </w:numPr>
        <w:spacing w:line="360" w:lineRule="auto"/>
        <w:ind w:hanging="5"/>
        <w:jc w:val="left"/>
        <w:rPr>
          <w:rFonts w:ascii="宋体" w:eastAsia="宋体" w:hAnsi="宋体" w:cs="宋体"/>
          <w:szCs w:val="21"/>
        </w:rPr>
      </w:pPr>
      <w:r>
        <w:rPr>
          <w:rFonts w:ascii="宋体" w:eastAsia="宋体" w:hAnsi="宋体" w:cs="宋体" w:hint="eastAsia"/>
          <w:szCs w:val="21"/>
        </w:rPr>
        <w:t>可行性论证报告；</w:t>
      </w:r>
    </w:p>
    <w:p>
      <w:pPr>
        <w:numPr>
          <w:ilvl w:val="0"/>
          <w:numId w:val="21"/>
        </w:numPr>
        <w:spacing w:line="360" w:lineRule="auto"/>
        <w:ind w:hanging="5"/>
        <w:jc w:val="left"/>
        <w:rPr>
          <w:rFonts w:ascii="宋体" w:eastAsia="宋体" w:hAnsi="宋体" w:cs="宋体"/>
          <w:szCs w:val="21"/>
        </w:rPr>
      </w:pPr>
      <w:r>
        <w:rPr>
          <w:rFonts w:ascii="宋体" w:eastAsia="宋体" w:hAnsi="宋体" w:cs="宋体" w:hint="eastAsia"/>
          <w:szCs w:val="21"/>
        </w:rPr>
        <w:t>技术评价报告；</w:t>
      </w:r>
    </w:p>
    <w:p>
      <w:pPr>
        <w:numPr>
          <w:ilvl w:val="0"/>
          <w:numId w:val="21"/>
        </w:numPr>
        <w:spacing w:line="360" w:lineRule="auto"/>
        <w:ind w:hanging="5"/>
        <w:jc w:val="left"/>
        <w:rPr>
          <w:rFonts w:ascii="宋体" w:eastAsia="宋体" w:hAnsi="宋体" w:cs="宋体"/>
          <w:szCs w:val="21"/>
        </w:rPr>
      </w:pPr>
      <w:r>
        <w:rPr>
          <w:rFonts w:ascii="宋体" w:eastAsia="宋体" w:hAnsi="宋体" w:cs="宋体" w:hint="eastAsia"/>
          <w:szCs w:val="21"/>
        </w:rPr>
        <w:t>技术标准和规范；</w:t>
      </w:r>
    </w:p>
    <w:p>
      <w:pPr>
        <w:numPr>
          <w:ilvl w:val="0"/>
          <w:numId w:val="21"/>
        </w:numPr>
        <w:spacing w:line="360" w:lineRule="auto"/>
        <w:ind w:hanging="5"/>
        <w:jc w:val="left"/>
        <w:rPr>
          <w:rFonts w:ascii="宋体" w:eastAsia="宋体" w:hAnsi="宋体" w:cs="宋体"/>
          <w:szCs w:val="21"/>
        </w:rPr>
      </w:pPr>
      <w:r>
        <w:rPr>
          <w:rFonts w:ascii="宋体" w:eastAsia="宋体" w:hAnsi="宋体" w:cs="宋体"/>
          <w:szCs w:val="21"/>
        </w:rPr>
        <w:t>……</w:t>
      </w:r>
    </w:p>
    <w:p>
      <w:pPr>
        <w:numPr>
          <w:ilvl w:val="0"/>
          <w:numId w:val="2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安全保密承诺书（签字盖章）；</w:t>
      </w:r>
    </w:p>
    <w:p>
      <w:pPr>
        <w:numPr>
          <w:ilvl w:val="0"/>
          <w:numId w:val="2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乙方就该项目实施情况接受甲方监督检查的承诺书（签字盖章）；</w:t>
      </w:r>
    </w:p>
    <w:p>
      <w:pPr>
        <w:numPr>
          <w:ilvl w:val="0"/>
          <w:numId w:val="2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在执行本合同的过程中，所有经双方签署确认的文件（包括会议纪要、补充协议、往来信函）均为本合同的有效组成部分。</w:t>
      </w:r>
    </w:p>
    <w:p>
      <w:pPr>
        <w:keepNext/>
        <w:keepLines/>
        <w:numPr>
          <w:ilvl w:val="0"/>
          <w:numId w:val="13"/>
        </w:numPr>
        <w:spacing w:before="60" w:after="60" w:line="360" w:lineRule="auto"/>
        <w:ind w:left="840" w:hanging="840"/>
        <w:jc w:val="left"/>
        <w:outlineLvl w:val="1"/>
        <w:rPr>
          <w:rFonts w:ascii="宋体" w:eastAsia="宋体" w:hAnsi="宋体" w:cs="宋体"/>
          <w:b/>
          <w:bCs/>
          <w:szCs w:val="21"/>
        </w:rPr>
      </w:pPr>
      <w:bookmarkStart w:id="119" w:name="_Toc150439545"/>
      <w:r>
        <w:rPr>
          <w:rFonts w:ascii="宋体" w:eastAsia="宋体" w:hAnsi="宋体" w:cs="宋体" w:hint="eastAsia"/>
          <w:b/>
          <w:bCs/>
          <w:szCs w:val="21"/>
        </w:rPr>
        <w:t>合同履行地点、合同服务期</w:t>
      </w:r>
      <w:bookmarkEnd w:id="119"/>
    </w:p>
    <w:p>
      <w:pPr>
        <w:numPr>
          <w:ilvl w:val="0"/>
          <w:numId w:val="2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服务地点：依据服务内容及服务方式确定，实际要求在</w:t>
      </w:r>
      <w:r>
        <w:rPr>
          <w:rFonts w:ascii="宋体" w:eastAsia="宋体" w:hAnsi="宋体" w:cs="宋体" w:hint="eastAsia"/>
          <w:szCs w:val="21"/>
          <w:u w:val="single"/>
        </w:rPr>
        <w:t xml:space="preserve">            </w:t>
      </w:r>
      <w:r>
        <w:rPr>
          <w:rFonts w:ascii="宋体" w:eastAsia="宋体" w:hAnsi="宋体" w:cs="宋体" w:hint="eastAsia"/>
          <w:szCs w:val="21"/>
        </w:rPr>
        <w:t>进行。</w:t>
      </w:r>
    </w:p>
    <w:p>
      <w:pPr>
        <w:numPr>
          <w:ilvl w:val="0"/>
          <w:numId w:val="2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合同服务期：</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w:t>
      </w:r>
    </w:p>
    <w:p>
      <w:pPr>
        <w:keepNext/>
        <w:keepLines/>
        <w:numPr>
          <w:ilvl w:val="0"/>
          <w:numId w:val="13"/>
        </w:numPr>
        <w:spacing w:before="60" w:after="60" w:line="360" w:lineRule="auto"/>
        <w:ind w:left="840" w:hanging="840"/>
        <w:outlineLvl w:val="1"/>
        <w:rPr>
          <w:rFonts w:ascii="宋体" w:eastAsia="宋体" w:hAnsi="宋体" w:cs="宋体"/>
          <w:b/>
          <w:bCs/>
          <w:szCs w:val="21"/>
        </w:rPr>
      </w:pPr>
      <w:bookmarkStart w:id="120" w:name="_Toc150439547"/>
      <w:r>
        <w:rPr>
          <w:rFonts w:ascii="宋体" w:eastAsia="宋体" w:hAnsi="宋体" w:cs="宋体" w:hint="eastAsia"/>
          <w:b/>
          <w:bCs/>
          <w:szCs w:val="21"/>
        </w:rPr>
        <w:t>服务范围及内容</w:t>
      </w:r>
      <w:bookmarkEnd w:id="120"/>
    </w:p>
    <w:p>
      <w:pPr>
        <w:ind w:firstLine="420" w:firstLineChars="200"/>
        <w:rPr>
          <w:rFonts w:ascii="宋体" w:eastAsia="宋体" w:hAnsi="宋体" w:cs="宋体"/>
          <w:szCs w:val="21"/>
        </w:rPr>
      </w:pPr>
      <w:r>
        <w:rPr>
          <w:rFonts w:ascii="宋体" w:eastAsia="宋体" w:hAnsi="宋体" w:cs="宋体" w:hint="eastAsia"/>
          <w:szCs w:val="21"/>
        </w:rPr>
        <w:t>本合同研究开发项目的要求如下：</w:t>
      </w:r>
    </w:p>
    <w:p>
      <w:pPr>
        <w:numPr>
          <w:ilvl w:val="0"/>
          <w:numId w:val="23"/>
        </w:numPr>
        <w:spacing w:line="360" w:lineRule="auto"/>
        <w:ind w:firstLine="420"/>
        <w:jc w:val="left"/>
        <w:rPr>
          <w:rFonts w:ascii="宋体" w:eastAsia="宋体" w:hAnsi="宋体" w:cs="宋体"/>
          <w:szCs w:val="21"/>
        </w:rPr>
      </w:pPr>
      <w:r>
        <w:rPr>
          <w:rFonts w:ascii="宋体" w:eastAsia="宋体" w:hAnsi="宋体" w:cs="宋体" w:hint="eastAsia"/>
          <w:szCs w:val="21"/>
        </w:rPr>
        <w:t>服务范围：甲方委托乙方开发</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项目软件，该项目属于</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（公共服务、</w:t>
      </w:r>
      <w:r>
        <w:rPr>
          <w:rFonts w:ascii="仿宋_GB2312" w:eastAsia="宋体" w:hAnsi="等线" w:cs="宋体" w:hint="eastAsia"/>
          <w:szCs w:val="21"/>
        </w:rPr>
        <w:t>预报预测、综合观测、信息网络等）气象业务领域的开发定制类软件，同时属于</w:t>
      </w:r>
      <w:r>
        <w:rPr>
          <w:rFonts w:ascii="仿宋_GB2312" w:eastAsia="宋体" w:hAnsi="等线" w:cs="宋体" w:hint="eastAsia"/>
          <w:szCs w:val="21"/>
          <w:u w:val="single"/>
        </w:rPr>
        <w:t xml:space="preserve"> </w:t>
      </w:r>
      <w:r>
        <w:rPr>
          <w:rFonts w:ascii="仿宋_GB2312" w:eastAsia="宋体" w:hAnsi="等线" w:cs="宋体"/>
          <w:szCs w:val="21"/>
          <w:u w:val="single"/>
        </w:rPr>
        <w:t xml:space="preserve">    </w:t>
      </w:r>
      <w:r>
        <w:rPr>
          <w:rFonts w:ascii="仿宋_GB2312" w:eastAsia="宋体" w:hAnsi="等线" w:cs="宋体" w:hint="eastAsia"/>
          <w:szCs w:val="21"/>
        </w:rPr>
        <w:t>（重要外包、一般外包）项目。</w:t>
      </w:r>
    </w:p>
    <w:p>
      <w:pPr>
        <w:numPr>
          <w:ilvl w:val="0"/>
          <w:numId w:val="23"/>
        </w:numPr>
        <w:spacing w:line="360" w:lineRule="auto"/>
        <w:ind w:firstLine="420"/>
        <w:jc w:val="left"/>
        <w:rPr>
          <w:rFonts w:ascii="宋体" w:eastAsia="宋体" w:hAnsi="宋体" w:cs="宋体"/>
          <w:szCs w:val="21"/>
        </w:rPr>
      </w:pPr>
      <w:r>
        <w:rPr>
          <w:rFonts w:ascii="宋体" w:eastAsia="宋体" w:hAnsi="宋体" w:cs="宋体" w:hint="eastAsia"/>
          <w:szCs w:val="21"/>
        </w:rPr>
        <w:t>技术目标：</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23"/>
        </w:numPr>
        <w:spacing w:line="360" w:lineRule="auto"/>
        <w:ind w:left="840" w:hanging="420"/>
        <w:jc w:val="left"/>
        <w:rPr>
          <w:rFonts w:ascii="宋体" w:eastAsia="宋体" w:hAnsi="宋体" w:cs="宋体"/>
          <w:szCs w:val="21"/>
        </w:rPr>
      </w:pPr>
      <w:r>
        <w:rPr>
          <w:rFonts w:ascii="宋体" w:eastAsia="宋体" w:hAnsi="宋体" w:cs="宋体" w:hint="eastAsia"/>
          <w:szCs w:val="21"/>
        </w:rPr>
        <w:t>技术内容：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（以招标文件及双方签字确认的补充文件为准</w:t>
      </w:r>
      <w:r>
        <w:rPr>
          <w:rFonts w:ascii="宋体" w:eastAsia="宋体" w:hAnsi="宋体" w:cs="宋体"/>
          <w:szCs w:val="21"/>
          <w:u w:val="single"/>
        </w:rPr>
        <w:t xml:space="preserve"> </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23"/>
        </w:numPr>
        <w:spacing w:line="360" w:lineRule="auto"/>
        <w:ind w:left="840" w:hanging="420"/>
        <w:jc w:val="left"/>
        <w:rPr>
          <w:rFonts w:ascii="宋体" w:eastAsia="宋体" w:hAnsi="宋体" w:cs="宋体"/>
          <w:szCs w:val="21"/>
        </w:rPr>
      </w:pPr>
      <w:r>
        <w:rPr>
          <w:rFonts w:ascii="宋体" w:eastAsia="宋体" w:hAnsi="宋体" w:cs="宋体" w:hint="eastAsia"/>
          <w:szCs w:val="21"/>
        </w:rPr>
        <w:t>技术方法和路线：</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23"/>
        </w:numPr>
        <w:spacing w:line="360" w:lineRule="auto"/>
        <w:ind w:left="840" w:hanging="420"/>
        <w:jc w:val="left"/>
        <w:rPr>
          <w:rFonts w:ascii="宋体" w:eastAsia="宋体" w:hAnsi="宋体" w:cs="宋体"/>
          <w:szCs w:val="21"/>
        </w:rPr>
      </w:pPr>
      <w:r>
        <w:rPr>
          <w:rFonts w:ascii="宋体" w:eastAsia="宋体" w:hAnsi="宋体" w:cs="宋体" w:hint="eastAsia"/>
          <w:szCs w:val="21"/>
        </w:rPr>
        <w:t>服务内容：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23"/>
        </w:numPr>
        <w:spacing w:line="360" w:lineRule="auto"/>
        <w:ind w:left="840" w:hanging="420"/>
        <w:jc w:val="left"/>
        <w:rPr>
          <w:rFonts w:ascii="宋体" w:eastAsia="宋体" w:hAnsi="宋体" w:cs="宋体"/>
          <w:szCs w:val="21"/>
        </w:rPr>
      </w:pPr>
      <w:r>
        <w:rPr>
          <w:rFonts w:ascii="宋体" w:eastAsia="宋体" w:hAnsi="宋体" w:cs="宋体" w:hint="eastAsia"/>
          <w:szCs w:val="21"/>
        </w:rPr>
        <w:t>服务要求：</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23"/>
        </w:numPr>
        <w:spacing w:line="360" w:lineRule="auto"/>
        <w:ind w:left="840" w:hanging="420"/>
        <w:rPr>
          <w:rFonts w:ascii="宋体" w:eastAsia="宋体" w:hAnsi="宋体" w:cs="宋体"/>
          <w:szCs w:val="21"/>
        </w:rPr>
      </w:pPr>
      <w:r>
        <w:rPr>
          <w:rFonts w:ascii="宋体" w:eastAsia="宋体" w:hAnsi="宋体" w:cs="宋体" w:hint="eastAsia"/>
          <w:szCs w:val="21"/>
        </w:rPr>
        <w:t>进度安排：</w:t>
      </w:r>
    </w:p>
    <w:p>
      <w:pPr>
        <w:ind w:firstLine="420" w:firstLineChars="200"/>
        <w:rPr>
          <w:rFonts w:ascii="宋体" w:eastAsia="宋体" w:hAnsi="宋体" w:cs="宋体"/>
          <w:szCs w:val="21"/>
        </w:rPr>
      </w:pPr>
      <w:r>
        <w:rPr>
          <w:rFonts w:ascii="宋体" w:eastAsia="宋体" w:hAnsi="宋体" w:cs="宋体" w:hint="eastAsia"/>
          <w:szCs w:val="21"/>
        </w:rPr>
        <w:t>乙方应按下列进度完成研究开发工作：</w:t>
      </w:r>
    </w:p>
    <w:p>
      <w:pPr>
        <w:numPr>
          <w:ilvl w:val="0"/>
          <w:numId w:val="2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软件开发周期为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个月</w:t>
      </w:r>
      <w:r>
        <w:rPr>
          <w:rFonts w:ascii="宋体" w:eastAsia="宋体" w:hAnsi="宋体" w:cs="宋体" w:hint="eastAsia"/>
          <w:szCs w:val="21"/>
        </w:rPr>
        <w:t>，自本合同生效之日起算</w:t>
      </w:r>
      <w:r>
        <w:rPr>
          <w:rFonts w:ascii="宋体" w:eastAsia="宋体" w:hAnsi="宋体" w:cs="宋体" w:hint="eastAsia"/>
          <w:szCs w:val="21"/>
        </w:rPr>
        <w:t>,</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日至</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完成；</w:t>
      </w:r>
    </w:p>
    <w:p>
      <w:pPr>
        <w:numPr>
          <w:ilvl w:val="0"/>
          <w:numId w:val="2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项目详细进度表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517"/>
        <w:gridCol w:w="6005"/>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477" w:type="pct"/>
            <w:noWrap w:val="0"/>
            <w:vAlign w:val="center"/>
          </w:tcPr>
          <w:p>
            <w:pPr>
              <w:jc w:val="center"/>
              <w:rPr>
                <w:rFonts w:ascii="宋体" w:eastAsia="宋体" w:hAnsi="宋体" w:cs="宋体"/>
                <w:b/>
                <w:bCs/>
                <w:szCs w:val="21"/>
              </w:rPr>
            </w:pPr>
            <w:r>
              <w:rPr>
                <w:rFonts w:ascii="宋体" w:eastAsia="宋体" w:hAnsi="宋体" w:cs="宋体" w:hint="eastAsia"/>
                <w:b/>
                <w:bCs/>
                <w:szCs w:val="21"/>
              </w:rPr>
              <w:t>项目执行阶段</w:t>
            </w:r>
          </w:p>
        </w:tc>
        <w:tc>
          <w:tcPr>
            <w:tcW w:w="3523" w:type="pct"/>
            <w:noWrap w:val="0"/>
            <w:vAlign w:val="center"/>
          </w:tcPr>
          <w:p>
            <w:pPr>
              <w:jc w:val="center"/>
              <w:rPr>
                <w:rFonts w:ascii="宋体" w:eastAsia="宋体" w:hAnsi="宋体" w:cs="宋体"/>
                <w:b/>
                <w:bCs/>
                <w:szCs w:val="21"/>
              </w:rPr>
            </w:pPr>
            <w:r>
              <w:rPr>
                <w:rFonts w:ascii="宋体" w:eastAsia="宋体" w:hAnsi="宋体" w:cs="宋体" w:hint="eastAsia"/>
                <w:b/>
                <w:bCs/>
                <w:szCs w:val="21"/>
              </w:rPr>
              <w:t>项目执行时间</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研究开发计划</w:t>
            </w:r>
          </w:p>
        </w:tc>
        <w:tc>
          <w:tcPr>
            <w:tcW w:w="3523" w:type="pct"/>
            <w:noWrap w:val="0"/>
            <w:vAlign w:val="center"/>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初设方案</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安装、测试、培训</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软件试运行</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月</w:t>
            </w:r>
            <w:r>
              <w:rPr>
                <w:rFonts w:ascii="宋体" w:eastAsia="宋体" w:hAnsi="宋体" w:cs="宋体" w:hint="eastAsia"/>
                <w:szCs w:val="21"/>
              </w:rPr>
              <w:t xml:space="preserve"> </w:t>
            </w:r>
            <w:r>
              <w:rPr>
                <w:rFonts w:ascii="宋体" w:eastAsia="宋体" w:hAnsi="宋体" w:cs="宋体"/>
                <w:szCs w:val="21"/>
              </w:rPr>
              <w:t xml:space="preserve"> 日</w:t>
            </w:r>
            <w:r>
              <w:rPr>
                <w:rFonts w:ascii="宋体" w:eastAsia="宋体" w:hAnsi="宋体" w:cs="宋体" w:hint="eastAsia"/>
                <w:szCs w:val="21"/>
              </w:rPr>
              <w:t xml:space="preserve">至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项目验收</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bl>
    <w:p>
      <w:pPr>
        <w:keepNext/>
        <w:keepLines/>
        <w:numPr>
          <w:ilvl w:val="0"/>
          <w:numId w:val="13"/>
        </w:numPr>
        <w:spacing w:before="60" w:after="60" w:line="360" w:lineRule="auto"/>
        <w:ind w:left="840" w:hanging="840"/>
        <w:outlineLvl w:val="1"/>
        <w:rPr>
          <w:rFonts w:ascii="宋体" w:eastAsia="宋体" w:hAnsi="宋体" w:cs="宋体"/>
          <w:b/>
          <w:bCs/>
          <w:szCs w:val="21"/>
        </w:rPr>
      </w:pPr>
      <w:bookmarkStart w:id="121" w:name="_Toc150439549"/>
      <w:r>
        <w:rPr>
          <w:rFonts w:ascii="宋体" w:eastAsia="宋体" w:hAnsi="宋体" w:cs="宋体" w:hint="eastAsia"/>
          <w:b/>
          <w:bCs/>
          <w:szCs w:val="21"/>
        </w:rPr>
        <w:t>乙方的权利与义务</w:t>
      </w:r>
      <w:bookmarkEnd w:id="121"/>
    </w:p>
    <w:p>
      <w:pPr>
        <w:numPr>
          <w:ilvl w:val="0"/>
          <w:numId w:val="25"/>
        </w:numPr>
        <w:spacing w:line="360" w:lineRule="auto"/>
        <w:ind w:firstLine="420" w:firstLineChars="200"/>
        <w:rPr>
          <w:rFonts w:ascii="宋体" w:eastAsia="宋体" w:hAnsi="宋体" w:cs="宋体"/>
          <w:szCs w:val="21"/>
        </w:rPr>
      </w:pPr>
      <w:r>
        <w:rPr>
          <w:rFonts w:ascii="宋体" w:eastAsia="宋体" w:hAnsi="宋体" w:cs="宋体" w:hint="eastAsia"/>
          <w:szCs w:val="21"/>
        </w:rPr>
        <w:t>为保证履行合同，乙方承诺以下事项：</w:t>
      </w:r>
    </w:p>
    <w:p>
      <w:pPr>
        <w:numPr>
          <w:ilvl w:val="0"/>
          <w:numId w:val="26"/>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组成XX人的开发团队，其中专职人员X人，X人具有XXX资质，X人具有软件开发经历，技术负责人还应具有XXX资质，项目经理还应具有XXX资质；兼职人员X人，X人具有XXX资质，X人具有软件开发经历；                                       </w:t>
      </w:r>
    </w:p>
    <w:p>
      <w:pPr>
        <w:numPr>
          <w:ilvl w:val="0"/>
          <w:numId w:val="26"/>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开发团队中X人需驻场开发，驻场地址为           ；                       </w:t>
      </w:r>
    </w:p>
    <w:p>
      <w:pPr>
        <w:numPr>
          <w:ilvl w:val="0"/>
          <w:numId w:val="26"/>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投入所必需的XXX等软硬件设施资源及XXX场地；                         </w:t>
      </w:r>
    </w:p>
    <w:p>
      <w:pPr>
        <w:numPr>
          <w:ilvl w:val="0"/>
          <w:numId w:val="26"/>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制定针对本项目的备份恢复措施和应急预案；                             </w:t>
      </w:r>
    </w:p>
    <w:p>
      <w:pPr>
        <w:numPr>
          <w:ilvl w:val="0"/>
          <w:numId w:val="26"/>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具有XXX等内控、保密和管理制度。                                     </w:t>
      </w:r>
    </w:p>
    <w:p>
      <w:pPr>
        <w:numPr>
          <w:ilvl w:val="0"/>
          <w:numId w:val="26"/>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25"/>
        </w:numPr>
        <w:spacing w:line="360" w:lineRule="auto"/>
        <w:ind w:firstLine="420" w:firstLineChars="200"/>
        <w:rPr>
          <w:rFonts w:ascii="宋体" w:eastAsia="宋体" w:hAnsi="宋体" w:cs="宋体"/>
          <w:szCs w:val="21"/>
        </w:rPr>
      </w:pPr>
      <w:r>
        <w:rPr>
          <w:rFonts w:ascii="宋体" w:eastAsia="宋体" w:hAnsi="宋体" w:cs="宋体" w:hint="eastAsia"/>
          <w:szCs w:val="21"/>
        </w:rPr>
        <w:t>对非驻场软件开发，乙方承诺以下事项：</w:t>
      </w:r>
    </w:p>
    <w:p>
      <w:pPr>
        <w:numPr>
          <w:ilvl w:val="0"/>
          <w:numId w:val="27"/>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用于本项目的设施、系统和数据与其他项目有明确、清晰的边界；            </w:t>
      </w:r>
    </w:p>
    <w:p>
      <w:pPr>
        <w:numPr>
          <w:ilvl w:val="0"/>
          <w:numId w:val="27"/>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对用于本项目的乙方服务器、存储、网络设备、操作系统、数据库、中间件等软硬件设施具有最高管理权限；                                                  </w:t>
      </w:r>
    </w:p>
    <w:p>
      <w:pPr>
        <w:numPr>
          <w:ilvl w:val="0"/>
          <w:numId w:val="27"/>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不存在规避监管的情形。                                                </w:t>
      </w:r>
    </w:p>
    <w:p>
      <w:pPr>
        <w:numPr>
          <w:ilvl w:val="0"/>
          <w:numId w:val="25"/>
        </w:numPr>
        <w:spacing w:line="360" w:lineRule="auto"/>
        <w:ind w:firstLine="420" w:firstLineChars="200"/>
        <w:rPr>
          <w:rFonts w:ascii="宋体" w:eastAsia="宋体" w:hAnsi="宋体" w:cs="宋体"/>
          <w:szCs w:val="21"/>
        </w:rPr>
      </w:pPr>
      <w:r>
        <w:rPr>
          <w:rFonts w:ascii="宋体" w:eastAsia="宋体" w:hAnsi="宋体" w:cs="宋体" w:hint="eastAsia"/>
          <w:szCs w:val="21"/>
        </w:rPr>
        <w:t>未经甲方</w:t>
      </w:r>
      <w:r>
        <w:rPr>
          <w:rFonts w:ascii="宋体" w:eastAsia="宋体" w:hAnsi="宋体" w:cs="宋体"/>
          <w:szCs w:val="21"/>
        </w:rPr>
        <w:t>事先书面同意</w:t>
      </w:r>
      <w:r>
        <w:rPr>
          <w:rFonts w:ascii="宋体" w:eastAsia="宋体" w:hAnsi="宋体" w:cs="宋体" w:hint="eastAsia"/>
          <w:szCs w:val="21"/>
        </w:rPr>
        <w:t>，</w:t>
      </w:r>
      <w:r>
        <w:rPr>
          <w:rFonts w:ascii="宋体" w:eastAsia="宋体" w:hAnsi="宋体" w:cs="宋体"/>
          <w:szCs w:val="21"/>
        </w:rPr>
        <w:t>乙方不得部分或全部转让其应履行的合同项下的义务</w:t>
      </w:r>
      <w:r>
        <w:rPr>
          <w:rFonts w:ascii="宋体" w:eastAsia="宋体" w:hAnsi="宋体" w:cs="宋体" w:hint="eastAsia"/>
          <w:szCs w:val="21"/>
        </w:rPr>
        <w:t>。</w:t>
      </w:r>
    </w:p>
    <w:p>
      <w:pPr>
        <w:numPr>
          <w:ilvl w:val="0"/>
          <w:numId w:val="25"/>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乙方应在本合同生效后</w:t>
      </w:r>
      <w:r>
        <w:rPr>
          <w:rFonts w:ascii="宋体" w:eastAsia="宋体" w:hAnsi="宋体" w:cs="宋体" w:hint="eastAsia"/>
          <w:szCs w:val="21"/>
          <w:u w:val="single"/>
        </w:rPr>
        <w:t xml:space="preserve">    </w:t>
      </w:r>
      <w:r>
        <w:rPr>
          <w:rFonts w:ascii="宋体" w:eastAsia="宋体" w:hAnsi="宋体" w:cs="宋体" w:hint="eastAsia"/>
          <w:szCs w:val="21"/>
        </w:rPr>
        <w:t>个工作日内向甲方提交研究开发计划。研究开发计划应包括以下主要内容：</w:t>
      </w:r>
    </w:p>
    <w:p>
      <w:pPr>
        <w:numPr>
          <w:ilvl w:val="0"/>
          <w:numId w:val="28"/>
        </w:numPr>
        <w:spacing w:line="360" w:lineRule="auto"/>
        <w:ind w:hanging="5"/>
        <w:jc w:val="left"/>
        <w:rPr>
          <w:rFonts w:ascii="宋体" w:eastAsia="宋体" w:hAnsi="宋体" w:cs="宋体"/>
          <w:szCs w:val="21"/>
        </w:rPr>
      </w:pPr>
      <w:r>
        <w:rPr>
          <w:rFonts w:ascii="宋体" w:eastAsia="宋体" w:hAnsi="宋体" w:cs="宋体" w:hint="eastAsia"/>
          <w:szCs w:val="21"/>
        </w:rPr>
        <w:t>项目功能清单；</w:t>
      </w:r>
    </w:p>
    <w:p>
      <w:pPr>
        <w:numPr>
          <w:ilvl w:val="0"/>
          <w:numId w:val="28"/>
        </w:numPr>
        <w:spacing w:line="360" w:lineRule="auto"/>
        <w:ind w:hanging="5"/>
        <w:jc w:val="left"/>
        <w:rPr>
          <w:rFonts w:ascii="宋体" w:eastAsia="宋体" w:hAnsi="宋体" w:cs="宋体"/>
          <w:szCs w:val="21"/>
        </w:rPr>
      </w:pPr>
      <w:r>
        <w:rPr>
          <w:rFonts w:ascii="宋体" w:eastAsia="宋体" w:hAnsi="宋体" w:cs="宋体" w:hint="eastAsia"/>
          <w:szCs w:val="21"/>
        </w:rPr>
        <w:t>项目实施方案。</w:t>
      </w:r>
    </w:p>
    <w:p>
      <w:pPr>
        <w:numPr>
          <w:ilvl w:val="0"/>
          <w:numId w:val="25"/>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乙方在软件开发实施中，应在招标文件范围内，根据甲方需求持续改进，直到最终用户确认满意。</w:t>
      </w:r>
    </w:p>
    <w:p>
      <w:pPr>
        <w:numPr>
          <w:ilvl w:val="0"/>
          <w:numId w:val="29"/>
        </w:numPr>
        <w:spacing w:line="360" w:lineRule="auto"/>
        <w:ind w:firstLine="420"/>
        <w:jc w:val="left"/>
        <w:rPr>
          <w:rFonts w:ascii="宋体" w:eastAsia="宋体" w:hAnsi="宋体" w:cs="宋体"/>
          <w:szCs w:val="21"/>
        </w:rPr>
      </w:pPr>
      <w:r>
        <w:rPr>
          <w:rFonts w:ascii="宋体" w:eastAsia="宋体" w:hAnsi="宋体" w:cs="宋体" w:hint="eastAsia"/>
          <w:szCs w:val="21"/>
        </w:rPr>
        <w:t>乙方必须对甲方的需求进行充分详细的调研，及时整理需求调研记录，请甲方签字确认，并据此开发软件系统原型。甲方可以随时补充或更正需求的细节，乙方应及时满足。</w:t>
      </w:r>
    </w:p>
    <w:p>
      <w:pPr>
        <w:numPr>
          <w:ilvl w:val="0"/>
          <w:numId w:val="29"/>
        </w:numPr>
        <w:spacing w:line="360" w:lineRule="auto"/>
        <w:ind w:firstLine="420"/>
        <w:jc w:val="left"/>
        <w:rPr>
          <w:rFonts w:ascii="宋体" w:eastAsia="宋体" w:hAnsi="宋体" w:cs="宋体"/>
          <w:szCs w:val="21"/>
        </w:rPr>
      </w:pPr>
      <w:r>
        <w:rPr>
          <w:rFonts w:ascii="宋体" w:eastAsia="宋体" w:hAnsi="宋体" w:cs="宋体" w:hint="eastAsia"/>
          <w:szCs w:val="21"/>
        </w:rPr>
        <w:t>乙方在需求分析的基础上，根据本系统的功能、性能和使用目标，按照进度完成软件的详细设计方案。在实际执行过程中出现任何与乙方设计相关的技术问题或技术调整，由乙方负责解决。</w:t>
      </w:r>
    </w:p>
    <w:p>
      <w:pPr>
        <w:numPr>
          <w:ilvl w:val="0"/>
          <w:numId w:val="29"/>
        </w:numPr>
        <w:spacing w:line="360" w:lineRule="auto"/>
        <w:ind w:firstLine="420"/>
        <w:jc w:val="left"/>
        <w:rPr>
          <w:rFonts w:ascii="宋体" w:eastAsia="宋体" w:hAnsi="宋体" w:cs="宋体"/>
          <w:szCs w:val="21"/>
        </w:rPr>
      </w:pPr>
      <w:r>
        <w:rPr>
          <w:rFonts w:ascii="宋体" w:eastAsia="宋体" w:hAnsi="宋体" w:cs="宋体" w:hint="eastAsia"/>
          <w:szCs w:val="21"/>
        </w:rPr>
        <w:t>甲方对详细设计方案的认可，并不代表对据此开发出的应用系统的认可。甲方在正式试用了本项目开发的软件后，可根据实际情况提出具体改进意见。</w:t>
      </w:r>
    </w:p>
    <w:p>
      <w:pPr>
        <w:numPr>
          <w:ilvl w:val="0"/>
          <w:numId w:val="25"/>
        </w:numPr>
        <w:spacing w:line="360" w:lineRule="auto"/>
        <w:ind w:firstLine="420" w:firstLineChars="200"/>
        <w:rPr>
          <w:rFonts w:ascii="宋体" w:eastAsia="宋体" w:hAnsi="宋体" w:cs="宋体"/>
          <w:szCs w:val="21"/>
        </w:rPr>
      </w:pPr>
      <w:r>
        <w:rPr>
          <w:rFonts w:ascii="宋体" w:eastAsia="宋体" w:hAnsi="宋体" w:cs="宋体" w:hint="eastAsia"/>
          <w:szCs w:val="21"/>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eastAsia="宋体" w:hAnsi="宋体" w:cs="宋体"/>
          <w:szCs w:val="21"/>
        </w:rPr>
        <w:t>乙方承担所有责任。</w:t>
      </w:r>
    </w:p>
    <w:p>
      <w:pPr>
        <w:numPr>
          <w:ilvl w:val="0"/>
          <w:numId w:val="25"/>
        </w:numPr>
        <w:spacing w:line="360" w:lineRule="auto"/>
        <w:ind w:firstLine="420" w:firstLineChars="200"/>
        <w:rPr>
          <w:rFonts w:ascii="宋体" w:eastAsia="宋体" w:hAnsi="宋体" w:cs="宋体"/>
          <w:szCs w:val="21"/>
        </w:rPr>
      </w:pPr>
      <w:r>
        <w:rPr>
          <w:rFonts w:ascii="宋体" w:eastAsia="宋体" w:hAnsi="宋体" w:cs="宋体" w:hint="eastAsia"/>
          <w:szCs w:val="21"/>
        </w:rPr>
        <w:t>乙方承诺接受甲方对本项目执行工作的监督、检查和评价。</w:t>
      </w:r>
    </w:p>
    <w:p>
      <w:pPr>
        <w:numPr>
          <w:ilvl w:val="0"/>
          <w:numId w:val="25"/>
        </w:numPr>
        <w:spacing w:line="360" w:lineRule="auto"/>
        <w:ind w:firstLine="420" w:firstLineChars="200"/>
        <w:rPr>
          <w:rFonts w:ascii="宋体" w:eastAsia="宋体" w:hAnsi="宋体" w:cs="Times New Roman"/>
          <w:szCs w:val="21"/>
        </w:rPr>
      </w:pPr>
      <w:r>
        <w:rPr>
          <w:rFonts w:ascii="宋体" w:eastAsia="宋体" w:hAnsi="宋体" w:cs="宋体" w:hint="eastAsia"/>
          <w:szCs w:val="21"/>
        </w:rPr>
        <w:t>乙方须选派参与软件建设的人员为甲方提供技术培训，培训内容</w:t>
      </w:r>
      <w:r>
        <w:rPr>
          <w:rFonts w:ascii="宋体" w:eastAsia="宋体" w:hAnsi="宋体" w:cs="Times New Roman"/>
          <w:szCs w:val="21"/>
        </w:rPr>
        <w:t>包括</w:t>
      </w:r>
      <w:r>
        <w:rPr>
          <w:rFonts w:ascii="宋体" w:eastAsia="宋体" w:hAnsi="宋体" w:cs="Times New Roman" w:hint="eastAsia"/>
          <w:szCs w:val="21"/>
        </w:rPr>
        <w:t>但不限于</w:t>
      </w:r>
      <w:r>
        <w:rPr>
          <w:rFonts w:ascii="宋体" w:eastAsia="宋体" w:hAnsi="宋体" w:cs="Times New Roman"/>
          <w:szCs w:val="21"/>
        </w:rPr>
        <w:t>系统的工作原理、使用操作、保养维修技术等，使受训人员达到独立使用、熟练操</w:t>
      </w:r>
      <w:r>
        <w:rPr>
          <w:rFonts w:ascii="宋体" w:eastAsia="宋体" w:hAnsi="宋体" w:cs="宋体"/>
          <w:spacing w:val="5"/>
          <w:szCs w:val="21"/>
        </w:rPr>
        <w:t>作的程度。</w:t>
      </w:r>
    </w:p>
    <w:p>
      <w:pPr>
        <w:numPr>
          <w:ilvl w:val="0"/>
          <w:numId w:val="25"/>
        </w:numPr>
        <w:spacing w:line="360" w:lineRule="auto"/>
        <w:ind w:firstLine="420" w:firstLineChars="200"/>
        <w:rPr>
          <w:rFonts w:ascii="宋体" w:eastAsia="宋体" w:hAnsi="宋体" w:cs="宋体"/>
          <w:szCs w:val="21"/>
        </w:rPr>
      </w:pPr>
      <w:r>
        <w:rPr>
          <w:rFonts w:ascii="宋体" w:eastAsia="宋体" w:hAnsi="宋体" w:cs="宋体"/>
          <w:szCs w:val="21"/>
        </w:rPr>
        <w:t>乙方交付甲方的研发成果不侵犯任何第三方的合法权益，如有发生，乙方承担所有责任</w:t>
      </w:r>
      <w:r>
        <w:rPr>
          <w:rFonts w:ascii="宋体" w:eastAsia="宋体" w:hAnsi="宋体" w:cs="宋体" w:hint="eastAsia"/>
          <w:szCs w:val="21"/>
        </w:rPr>
        <w:t>，并向甲方承担违约责任</w:t>
      </w:r>
      <w:r>
        <w:rPr>
          <w:rFonts w:ascii="宋体" w:eastAsia="宋体" w:hAnsi="宋体" w:cs="宋体"/>
          <w:szCs w:val="21"/>
        </w:rPr>
        <w:t>。</w:t>
      </w:r>
      <w:r>
        <w:rPr>
          <w:rFonts w:ascii="宋体" w:eastAsia="宋体" w:hAnsi="宋体" w:cs="宋体" w:hint="eastAsia"/>
          <w:szCs w:val="21"/>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pPr>
        <w:numPr>
          <w:ilvl w:val="0"/>
          <w:numId w:val="25"/>
        </w:numPr>
        <w:spacing w:line="360" w:lineRule="auto"/>
        <w:ind w:firstLine="420" w:firstLineChars="200"/>
        <w:rPr>
          <w:rFonts w:ascii="宋体" w:eastAsia="宋体" w:hAnsi="宋体" w:cs="宋体"/>
          <w:szCs w:val="21"/>
        </w:rPr>
      </w:pPr>
      <w:r>
        <w:rPr>
          <w:rFonts w:ascii="宋体" w:eastAsia="宋体" w:hAnsi="宋体" w:cs="宋体" w:hint="eastAsia"/>
          <w:szCs w:val="21"/>
        </w:rPr>
        <w:t>乙方必须遵守国家法律法规及气象部门管理制度的要求。乙方在本项目执行过程中如接触到气象数据，应遵守</w:t>
      </w:r>
      <w:r>
        <w:rPr>
          <w:rFonts w:ascii="宋体" w:eastAsia="宋体" w:hAnsi="宋体" w:cs="宋体"/>
          <w:szCs w:val="21"/>
        </w:rPr>
        <w:t>气象数据安全相关管理制度，不得将所获取的气象数据以转发、转让、出售等方式对外披露，或用于本项目以外的其他用途。</w:t>
      </w:r>
    </w:p>
    <w:p>
      <w:pPr>
        <w:numPr>
          <w:ilvl w:val="0"/>
          <w:numId w:val="25"/>
        </w:numPr>
        <w:spacing w:line="360" w:lineRule="auto"/>
        <w:ind w:firstLine="420" w:firstLineChars="200"/>
        <w:rPr>
          <w:rFonts w:ascii="宋体" w:eastAsia="宋体" w:hAnsi="宋体" w:cs="宋体"/>
          <w:szCs w:val="21"/>
        </w:rPr>
      </w:pPr>
      <w:r>
        <w:rPr>
          <w:rFonts w:ascii="宋体" w:eastAsia="宋体" w:hAnsi="宋体" w:cs="宋体" w:hint="eastAsia"/>
          <w:szCs w:val="21"/>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pPr>
        <w:keepNext/>
        <w:keepLines/>
        <w:numPr>
          <w:ilvl w:val="0"/>
          <w:numId w:val="13"/>
        </w:numPr>
        <w:spacing w:before="60" w:after="60" w:line="360" w:lineRule="auto"/>
        <w:ind w:left="0" w:firstLine="420" w:firstLineChars="200"/>
        <w:outlineLvl w:val="1"/>
        <w:rPr>
          <w:rFonts w:ascii="宋体" w:eastAsia="宋体" w:hAnsi="宋体" w:cs="宋体"/>
          <w:b/>
          <w:bCs/>
          <w:szCs w:val="21"/>
        </w:rPr>
      </w:pPr>
      <w:bookmarkStart w:id="122" w:name="_Toc150439565"/>
      <w:r>
        <w:rPr>
          <w:rFonts w:ascii="宋体" w:eastAsia="宋体" w:hAnsi="宋体" w:cs="宋体" w:hint="eastAsia"/>
          <w:b/>
          <w:bCs/>
          <w:szCs w:val="21"/>
        </w:rPr>
        <w:t>甲方</w:t>
      </w:r>
      <w:r>
        <w:rPr>
          <w:rFonts w:ascii="宋体" w:eastAsia="宋体" w:hAnsi="宋体" w:cs="宋体"/>
          <w:b/>
          <w:bCs/>
          <w:szCs w:val="21"/>
        </w:rPr>
        <w:t>的权利与义务</w:t>
      </w:r>
      <w:bookmarkEnd w:id="122"/>
    </w:p>
    <w:p>
      <w:pPr>
        <w:numPr>
          <w:ilvl w:val="0"/>
          <w:numId w:val="30"/>
        </w:numPr>
        <w:spacing w:line="360" w:lineRule="auto"/>
        <w:ind w:firstLine="420" w:firstLineChars="200"/>
        <w:rPr>
          <w:rFonts w:ascii="宋体" w:eastAsia="宋体" w:hAnsi="宋体" w:cs="宋体"/>
          <w:szCs w:val="21"/>
        </w:rPr>
      </w:pPr>
      <w:r>
        <w:rPr>
          <w:rFonts w:ascii="宋体" w:eastAsia="宋体" w:hAnsi="宋体" w:cs="宋体"/>
          <w:spacing w:val="7"/>
          <w:szCs w:val="21"/>
        </w:rPr>
        <w:t>提供基础资料数据（现有的资料和数据）</w:t>
      </w:r>
      <w:r>
        <w:rPr>
          <w:rFonts w:ascii="宋体" w:eastAsia="宋体" w:hAnsi="宋体" w:cs="宋体" w:hint="eastAsia"/>
          <w:szCs w:val="21"/>
        </w:rPr>
        <w:t>，及协作事项如下：</w:t>
      </w:r>
    </w:p>
    <w:p>
      <w:pPr>
        <w:numPr>
          <w:ilvl w:val="0"/>
          <w:numId w:val="31"/>
        </w:numPr>
        <w:tabs>
          <w:tab w:val="left" w:pos="540"/>
        </w:tabs>
        <w:spacing w:line="360" w:lineRule="auto"/>
        <w:ind w:hanging="5"/>
        <w:rPr>
          <w:rFonts w:ascii="宋体" w:eastAsia="宋体" w:hAnsi="宋体" w:cs="宋体"/>
          <w:szCs w:val="21"/>
          <w:u w:val="single"/>
        </w:rPr>
      </w:pPr>
      <w:r>
        <w:rPr>
          <w:rFonts w:ascii="宋体" w:eastAsia="宋体" w:hAnsi="宋体" w:cs="宋体" w:hint="eastAsia"/>
          <w:szCs w:val="21"/>
        </w:rPr>
        <w:t>技术资料清单：</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31"/>
        </w:numPr>
        <w:spacing w:line="360" w:lineRule="auto"/>
        <w:ind w:hanging="5"/>
        <w:rPr>
          <w:rFonts w:ascii="宋体" w:eastAsia="宋体" w:hAnsi="宋体" w:cs="宋体"/>
          <w:szCs w:val="21"/>
        </w:rPr>
      </w:pPr>
      <w:r>
        <w:rPr>
          <w:rFonts w:ascii="宋体" w:eastAsia="宋体" w:hAnsi="宋体" w:cs="宋体" w:hint="eastAsia"/>
          <w:szCs w:val="21"/>
        </w:rPr>
        <w:t>提供时间和方式：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31"/>
        </w:numPr>
        <w:spacing w:line="360" w:lineRule="auto"/>
        <w:ind w:hanging="5"/>
        <w:rPr>
          <w:rFonts w:ascii="宋体" w:eastAsia="宋体" w:hAnsi="宋体" w:cs="宋体"/>
          <w:szCs w:val="21"/>
          <w:u w:val="single"/>
        </w:rPr>
      </w:pPr>
      <w:r>
        <w:rPr>
          <w:rFonts w:ascii="宋体" w:eastAsia="宋体" w:hAnsi="宋体" w:cs="宋体" w:hint="eastAsia"/>
          <w:szCs w:val="21"/>
        </w:rPr>
        <w:t>其他协作事项：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rPr>
        <w:t>本合同履行完毕后，上述技术资料按以下方式处理：</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30"/>
        </w:numPr>
        <w:spacing w:line="360" w:lineRule="auto"/>
        <w:ind w:firstLine="420" w:firstLineChars="200"/>
        <w:rPr>
          <w:rFonts w:ascii="宋体" w:eastAsia="宋体" w:hAnsi="宋体" w:cs="宋体"/>
          <w:spacing w:val="7"/>
          <w:szCs w:val="21"/>
        </w:rPr>
      </w:pPr>
      <w:r>
        <w:rPr>
          <w:rFonts w:ascii="宋体" w:eastAsia="宋体" w:hAnsi="宋体" w:cs="宋体" w:hint="eastAsia"/>
          <w:spacing w:val="7"/>
          <w:szCs w:val="21"/>
        </w:rPr>
        <w:t>对于满足合同约定支付条件的，甲方应当按照合同约定期限将资金支付到合同约定的乙方账户，不得将采购文件和合同中未规定的义务作为向乙方付款的条件。</w:t>
      </w:r>
    </w:p>
    <w:p>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pacing w:val="7"/>
          <w:szCs w:val="21"/>
        </w:rPr>
        <w:t>本合同的研究开发经费由乙方以研发支出的方式使用。甲方对乙方进行研究开发工作和使用研究开发经费的情况具有监督、检查和评价的权利，有权要求乙方向甲方定期汇报，但不得妨碍乙方的正常工作。</w:t>
      </w:r>
    </w:p>
    <w:p>
      <w:pPr>
        <w:numPr>
          <w:ilvl w:val="0"/>
          <w:numId w:val="30"/>
        </w:numPr>
        <w:spacing w:line="360" w:lineRule="auto"/>
        <w:ind w:firstLine="420" w:firstLineChars="200"/>
        <w:rPr>
          <w:rFonts w:ascii="宋体" w:eastAsia="宋体" w:hAnsi="宋体" w:cs="宋体"/>
          <w:spacing w:val="7"/>
          <w:szCs w:val="21"/>
        </w:rPr>
      </w:pPr>
      <w:r>
        <w:rPr>
          <w:rFonts w:ascii="宋体" w:eastAsia="宋体" w:hAnsi="宋体" w:cs="宋体" w:hint="eastAsia"/>
          <w:szCs w:val="21"/>
        </w:rPr>
        <w:t>甲方必须遵守国家法律法规及气象部门管理制度的要求。</w:t>
      </w:r>
    </w:p>
    <w:p>
      <w:pPr>
        <w:keepNext/>
        <w:keepLines/>
        <w:numPr>
          <w:ilvl w:val="0"/>
          <w:numId w:val="13"/>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知识产权归属</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szCs w:val="21"/>
        </w:rPr>
        <w:t>因履行本合同所产生的研究开发成果（包括阶段性成果和总成果，包括但不限于软件源代码、可执行文件及相关开发文档资料）的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szCs w:val="21"/>
        </w:rPr>
        <w:t>甲方有权利用乙方按照本合同约定提供的研究开发成果，进行后续改进。由此产生的具有实质性或创造性技术进步特征的新的技术成果及其权属，由甲方享有。</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szCs w:val="21"/>
        </w:rPr>
        <w:t>平台运行采集、收集、分析的所有数据都归甲方所有，以上数据仅限于本项目使用，如由于乙方原因发生数据丢失、泄露，由乙方承担事故责任。</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szCs w:val="21"/>
        </w:rPr>
        <w:t>乙方利用研究开发经费所购置与研究开发工作有关的设备、器材、资料等财产，归甲方所有。</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szCs w:val="21"/>
        </w:rPr>
        <w:t>乙方违反上述规定的，应承担相应的违约责任并及时采取补救措施。因乙方违约行为给甲方造成经济损失的（包括但不限于给对方造成名誉信誉或物质利益的损失），应赔偿甲方全部经济损失。</w:t>
      </w:r>
    </w:p>
    <w:p>
      <w:pPr>
        <w:keepNext/>
        <w:keepLines/>
        <w:numPr>
          <w:ilvl w:val="0"/>
          <w:numId w:val="13"/>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项目联系人及相关约定</w:t>
      </w:r>
    </w:p>
    <w:p>
      <w:pPr>
        <w:numPr>
          <w:ilvl w:val="0"/>
          <w:numId w:val="33"/>
        </w:numPr>
        <w:spacing w:line="360" w:lineRule="auto"/>
        <w:ind w:firstLine="420" w:firstLineChars="200"/>
        <w:rPr>
          <w:rFonts w:ascii="宋体" w:eastAsia="宋体" w:hAnsi="宋体" w:cs="宋体"/>
          <w:szCs w:val="21"/>
        </w:rPr>
      </w:pPr>
      <w:r>
        <w:rPr>
          <w:rFonts w:ascii="宋体" w:eastAsia="宋体" w:hAnsi="宋体" w:cs="宋体" w:hint="eastAsia"/>
          <w:szCs w:val="21"/>
        </w:rPr>
        <w:t>联系人及职责</w:t>
      </w:r>
    </w:p>
    <w:p>
      <w:pPr>
        <w:ind w:left="420"/>
        <w:rPr>
          <w:rFonts w:ascii="宋体" w:eastAsia="宋体" w:hAnsi="宋体" w:cs="宋体"/>
          <w:szCs w:val="21"/>
        </w:rPr>
      </w:pPr>
      <w:r>
        <w:rPr>
          <w:rFonts w:ascii="宋体" w:eastAsia="宋体" w:hAnsi="宋体" w:cs="宋体"/>
          <w:szCs w:val="21"/>
        </w:rPr>
        <w:t>双方确定，在本合同有效期内，甲方指定</w:t>
      </w:r>
      <w:r>
        <w:rPr>
          <w:rFonts w:ascii="宋体" w:eastAsia="宋体" w:hAnsi="宋体" w:cs="宋体"/>
          <w:szCs w:val="21"/>
          <w:u w:val="single"/>
        </w:rPr>
        <w:t xml:space="preserve">    </w:t>
      </w:r>
      <w:r>
        <w:rPr>
          <w:rFonts w:ascii="宋体" w:eastAsia="宋体" w:hAnsi="宋体" w:cs="宋体"/>
          <w:szCs w:val="21"/>
        </w:rPr>
        <w:t>为甲方项目联系人，乙方指定</w:t>
      </w:r>
      <w:r>
        <w:rPr>
          <w:rFonts w:ascii="宋体" w:eastAsia="宋体" w:hAnsi="宋体" w:cs="宋体"/>
          <w:szCs w:val="21"/>
          <w:u w:val="single"/>
        </w:rPr>
        <w:t xml:space="preserve">     </w:t>
      </w:r>
    </w:p>
    <w:p>
      <w:pPr>
        <w:rPr>
          <w:rFonts w:ascii="宋体" w:eastAsia="宋体" w:hAnsi="宋体" w:cs="宋体"/>
          <w:szCs w:val="21"/>
        </w:rPr>
      </w:pPr>
      <w:r>
        <w:rPr>
          <w:rFonts w:ascii="宋体" w:eastAsia="宋体" w:hAnsi="宋体" w:cs="宋体" w:hint="eastAsia"/>
          <w:szCs w:val="21"/>
        </w:rPr>
        <w:t>为乙方项目联系人。项目联系人承担以下责任：</w:t>
      </w:r>
      <w:r>
        <w:rPr>
          <w:rFonts w:ascii="宋体" w:eastAsia="宋体" w:hAnsi="宋体" w:cs="宋体"/>
          <w:szCs w:val="21"/>
        </w:rPr>
        <w:t xml:space="preserve"> </w:t>
      </w:r>
    </w:p>
    <w:p>
      <w:pPr>
        <w:numPr>
          <w:ilvl w:val="0"/>
          <w:numId w:val="34"/>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34"/>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 </w:t>
      </w:r>
    </w:p>
    <w:p>
      <w:pPr>
        <w:numPr>
          <w:ilvl w:val="0"/>
          <w:numId w:val="34"/>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34"/>
        </w:numPr>
        <w:spacing w:line="360" w:lineRule="auto"/>
        <w:ind w:hanging="5"/>
        <w:rPr>
          <w:rFonts w:ascii="宋体" w:eastAsia="宋体" w:hAnsi="宋体" w:cs="宋体"/>
          <w:szCs w:val="21"/>
          <w:u w:val="single"/>
        </w:rPr>
      </w:pPr>
      <w:r>
        <w:rPr>
          <w:rFonts w:ascii="Arial" w:eastAsia="宋体" w:hAnsi="Arial" w:cs="Arial" w:hint="eastAsia"/>
          <w:szCs w:val="21"/>
          <w:u w:val="single"/>
        </w:rPr>
        <w:t xml:space="preserve">                                                                 </w:t>
      </w:r>
    </w:p>
    <w:p>
      <w:pPr>
        <w:numPr>
          <w:ilvl w:val="0"/>
          <w:numId w:val="33"/>
        </w:numPr>
        <w:spacing w:line="360" w:lineRule="auto"/>
        <w:ind w:firstLine="420" w:firstLineChars="200"/>
        <w:rPr>
          <w:rFonts w:ascii="宋体" w:eastAsia="宋体" w:hAnsi="宋体" w:cs="宋体"/>
          <w:szCs w:val="21"/>
        </w:rPr>
      </w:pPr>
      <w:r>
        <w:rPr>
          <w:rFonts w:ascii="宋体" w:eastAsia="宋体" w:hAnsi="宋体" w:cs="宋体" w:hint="eastAsia"/>
          <w:szCs w:val="21"/>
        </w:rPr>
        <w:t>联系人变更约定</w:t>
      </w:r>
    </w:p>
    <w:p>
      <w:pPr>
        <w:numPr>
          <w:ilvl w:val="0"/>
          <w:numId w:val="35"/>
        </w:numPr>
        <w:spacing w:line="360" w:lineRule="auto"/>
        <w:ind w:left="5" w:firstLine="415"/>
        <w:rPr>
          <w:rFonts w:ascii="宋体" w:eastAsia="宋体" w:hAnsi="宋体" w:cs="宋体"/>
          <w:szCs w:val="21"/>
        </w:rPr>
      </w:pPr>
      <w:r>
        <w:rPr>
          <w:rFonts w:ascii="宋体" w:eastAsia="宋体" w:hAnsi="宋体" w:cs="宋体"/>
          <w:szCs w:val="21"/>
        </w:rPr>
        <w:t>一方变更项目联系人的，应当及时以书面形式通知另一方。未及时通知并影响本合同履行或造成损失的，应承担相应的责任。</w:t>
      </w:r>
    </w:p>
    <w:p>
      <w:pPr>
        <w:numPr>
          <w:ilvl w:val="0"/>
          <w:numId w:val="35"/>
        </w:numPr>
        <w:spacing w:line="360" w:lineRule="auto"/>
        <w:ind w:left="5" w:firstLine="415"/>
        <w:rPr>
          <w:rFonts w:ascii="宋体" w:eastAsia="宋体" w:hAnsi="宋体" w:cs="宋体"/>
          <w:szCs w:val="21"/>
        </w:rPr>
      </w:pPr>
      <w:r>
        <w:rPr>
          <w:rFonts w:ascii="宋体" w:eastAsia="宋体" w:hAnsi="宋体" w:cs="宋体"/>
          <w:szCs w:val="21"/>
        </w:rPr>
        <w:t>一方变更项目联系人的，须保证业务连续性及后续运行维护要求，由于人员变动影响本合同履行或造成损失的，应承担相应的责任。</w:t>
      </w:r>
    </w:p>
    <w:p>
      <w:pPr>
        <w:numPr>
          <w:ilvl w:val="0"/>
          <w:numId w:val="35"/>
        </w:numPr>
        <w:spacing w:line="360" w:lineRule="auto"/>
        <w:ind w:left="5" w:firstLine="415"/>
        <w:rPr>
          <w:rFonts w:ascii="宋体" w:eastAsia="宋体" w:hAnsi="宋体" w:cs="宋体"/>
          <w:szCs w:val="21"/>
        </w:rPr>
      </w:pPr>
      <w:r>
        <w:rPr>
          <w:rFonts w:ascii="宋体" w:eastAsia="宋体" w:hAnsi="宋体" w:cs="宋体"/>
          <w:szCs w:val="21"/>
        </w:rPr>
        <w:t>乙方</w:t>
      </w:r>
      <w:r>
        <w:rPr>
          <w:rFonts w:ascii="宋体" w:eastAsia="宋体" w:hAnsi="宋体" w:cs="宋体" w:hint="eastAsia"/>
          <w:szCs w:val="21"/>
        </w:rPr>
        <w:t>须定期向甲方通报汇总的</w:t>
      </w:r>
      <w:r>
        <w:rPr>
          <w:rFonts w:ascii="宋体" w:eastAsia="宋体" w:hAnsi="宋体" w:cs="宋体"/>
          <w:szCs w:val="21"/>
        </w:rPr>
        <w:t>项目参与人员并及时更新，</w:t>
      </w:r>
      <w:r>
        <w:rPr>
          <w:rFonts w:ascii="宋体" w:eastAsia="宋体" w:hAnsi="宋体" w:cs="宋体" w:hint="eastAsia"/>
          <w:szCs w:val="21"/>
        </w:rPr>
        <w:t>严格</w:t>
      </w:r>
      <w:r>
        <w:rPr>
          <w:rFonts w:ascii="宋体" w:eastAsia="宋体" w:hAnsi="宋体" w:cs="宋体"/>
          <w:szCs w:val="21"/>
        </w:rPr>
        <w:t>审核</w:t>
      </w:r>
      <w:r>
        <w:rPr>
          <w:rFonts w:ascii="宋体" w:eastAsia="宋体" w:hAnsi="宋体" w:cs="宋体" w:hint="eastAsia"/>
          <w:szCs w:val="21"/>
        </w:rPr>
        <w:t>参与</w:t>
      </w:r>
      <w:r>
        <w:rPr>
          <w:rFonts w:ascii="宋体" w:eastAsia="宋体" w:hAnsi="宋体" w:cs="宋体"/>
          <w:szCs w:val="21"/>
        </w:rPr>
        <w:t>人员背景，</w:t>
      </w:r>
      <w:r>
        <w:rPr>
          <w:rFonts w:ascii="宋体" w:eastAsia="宋体" w:hAnsi="宋体" w:cs="宋体" w:hint="eastAsia"/>
          <w:szCs w:val="21"/>
        </w:rPr>
        <w:t>不得超出应有的系统</w:t>
      </w:r>
      <w:r>
        <w:rPr>
          <w:rFonts w:ascii="宋体" w:eastAsia="宋体" w:hAnsi="宋体" w:cs="宋体"/>
          <w:szCs w:val="21"/>
        </w:rPr>
        <w:t>访问</w:t>
      </w:r>
      <w:r>
        <w:rPr>
          <w:rFonts w:ascii="宋体" w:eastAsia="宋体" w:hAnsi="宋体" w:cs="宋体" w:hint="eastAsia"/>
          <w:szCs w:val="21"/>
        </w:rPr>
        <w:t>权限</w:t>
      </w:r>
      <w:r>
        <w:rPr>
          <w:rFonts w:ascii="宋体" w:eastAsia="宋体" w:hAnsi="宋体" w:cs="宋体"/>
          <w:szCs w:val="21"/>
        </w:rPr>
        <w:t>授权，严格执行日志管理等</w:t>
      </w:r>
      <w:r>
        <w:rPr>
          <w:rFonts w:ascii="宋体" w:eastAsia="宋体" w:hAnsi="宋体" w:cs="宋体" w:hint="eastAsia"/>
          <w:szCs w:val="21"/>
        </w:rPr>
        <w:t>。</w:t>
      </w:r>
    </w:p>
    <w:p>
      <w:pPr>
        <w:keepNext/>
        <w:keepLines/>
        <w:numPr>
          <w:ilvl w:val="0"/>
          <w:numId w:val="13"/>
        </w:numPr>
        <w:spacing w:before="60" w:after="60" w:line="360" w:lineRule="auto"/>
        <w:ind w:left="0" w:firstLine="420" w:firstLineChars="200"/>
        <w:outlineLvl w:val="1"/>
        <w:rPr>
          <w:rFonts w:ascii="宋体" w:eastAsia="宋体" w:hAnsi="宋体" w:cs="宋体"/>
          <w:b/>
          <w:bCs/>
          <w:szCs w:val="21"/>
        </w:rPr>
      </w:pPr>
      <w:bookmarkStart w:id="123" w:name="_Toc150439567"/>
      <w:r>
        <w:rPr>
          <w:rFonts w:ascii="宋体" w:eastAsia="宋体" w:hAnsi="宋体" w:cs="宋体" w:hint="eastAsia"/>
          <w:b/>
          <w:bCs/>
          <w:szCs w:val="21"/>
        </w:rPr>
        <w:t>项目交付</w:t>
      </w:r>
      <w:bookmarkEnd w:id="123"/>
    </w:p>
    <w:p>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乙方应当按以下方式向甲方交付研究开发成果：</w:t>
      </w:r>
    </w:p>
    <w:p>
      <w:pPr>
        <w:numPr>
          <w:ilvl w:val="0"/>
          <w:numId w:val="37"/>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研究开发成果交付内容：</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需求分析、需求规格说明书、系统原型；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概要设计、详细设计方案；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运行正常的系统；                        </w:t>
      </w:r>
    </w:p>
    <w:p>
      <w:pPr>
        <w:ind w:firstLine="420" w:firstLineChars="200"/>
        <w:rPr>
          <w:rFonts w:ascii="宋体" w:eastAsia="宋体" w:hAnsi="宋体" w:cs="宋体"/>
          <w:szCs w:val="21"/>
          <w:u w:val="single"/>
        </w:rPr>
      </w:pPr>
      <w:r>
        <w:rPr>
          <w:rFonts w:ascii="宋体" w:eastAsia="宋体" w:hAnsi="宋体" w:cs="宋体" w:hint="eastAsia"/>
          <w:szCs w:val="21"/>
          <w:u w:val="single"/>
        </w:rPr>
        <w:t>完整的软件源代码、可执行程序、安装程序；</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软件使用手册；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软件技术说明；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软件测试大纲、测试报告；                </w:t>
      </w:r>
    </w:p>
    <w:p>
      <w:pPr>
        <w:ind w:firstLine="420" w:firstLineChars="200"/>
        <w:rPr>
          <w:rFonts w:ascii="宋体" w:eastAsia="宋体" w:hAnsi="宋体" w:cs="宋体"/>
          <w:szCs w:val="21"/>
          <w:u w:val="single"/>
        </w:rPr>
      </w:pPr>
      <w:r>
        <w:rPr>
          <w:rFonts w:ascii="宋体" w:eastAsia="宋体" w:hAnsi="宋体" w:cs="宋体" w:hint="eastAsia"/>
          <w:szCs w:val="21"/>
          <w:u w:val="single"/>
        </w:rPr>
        <w:t>其他按照《气象软件工程规范》要求的文档；</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u w:val="single"/>
        </w:rPr>
        <w:t>（以上文档提供电子版x套，硬拷贝x套）。</w:t>
      </w:r>
    </w:p>
    <w:p>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研究开发成果交付的时间及地点：             在            交付。</w:t>
      </w:r>
    </w:p>
    <w:p>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乙方应向甲方交付的其他文档资料及协作事项如下：</w:t>
      </w:r>
    </w:p>
    <w:p>
      <w:pPr>
        <w:ind w:firstLine="420" w:firstLineChars="200"/>
        <w:rPr>
          <w:rFonts w:ascii="宋体" w:eastAsia="宋体" w:hAnsi="宋体" w:cs="宋体"/>
          <w:szCs w:val="21"/>
        </w:rPr>
      </w:pPr>
      <w:r>
        <w:rPr>
          <w:rFonts w:ascii="宋体" w:eastAsia="宋体" w:hAnsi="宋体" w:cs="宋体" w:hint="eastAsia"/>
          <w:szCs w:val="21"/>
        </w:rPr>
        <w:t>资料清单:______________________</w:t>
      </w:r>
    </w:p>
    <w:p>
      <w:pPr>
        <w:ind w:firstLine="420" w:firstLineChars="200"/>
        <w:rPr>
          <w:rFonts w:ascii="宋体" w:eastAsia="宋体" w:hAnsi="宋体" w:cs="宋体"/>
          <w:szCs w:val="21"/>
        </w:rPr>
      </w:pPr>
      <w:r>
        <w:rPr>
          <w:rFonts w:ascii="宋体" w:eastAsia="宋体" w:hAnsi="宋体" w:cs="宋体" w:hint="eastAsia"/>
          <w:szCs w:val="21"/>
        </w:rPr>
        <w:t>协作事项：</w:t>
      </w:r>
      <w:r>
        <w:rPr>
          <w:rFonts w:ascii="宋体" w:eastAsia="宋体" w:hAnsi="宋体" w:cs="宋体" w:hint="eastAsia"/>
          <w:szCs w:val="21"/>
          <w:u w:val="single"/>
        </w:rPr>
        <w:t xml:space="preserve">                      </w:t>
      </w:r>
    </w:p>
    <w:p>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安装调试</w:t>
      </w:r>
    </w:p>
    <w:p>
      <w:pPr>
        <w:ind w:firstLine="420" w:firstLineChars="200"/>
        <w:rPr>
          <w:rFonts w:ascii="宋体" w:eastAsia="宋体" w:hAnsi="宋体" w:cs="宋体"/>
          <w:szCs w:val="21"/>
        </w:rPr>
      </w:pPr>
      <w:r>
        <w:rPr>
          <w:rFonts w:ascii="宋体" w:eastAsia="宋体" w:hAnsi="宋体" w:cs="宋体" w:hint="eastAsia"/>
          <w:szCs w:val="21"/>
        </w:rPr>
        <w:t>乙方负责项目系统的安装及调试，内容如下：</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确保达到系统正常运行条件和相关技术标准及业务要求；</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系统数据达到规范要求，运行正常；</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系统运行保证安全稳定；</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平台业务运行机制要完整。</w:t>
      </w:r>
    </w:p>
    <w:p>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培训</w:t>
      </w:r>
    </w:p>
    <w:p>
      <w:pPr>
        <w:ind w:firstLine="420" w:firstLineChars="200"/>
        <w:rPr>
          <w:rFonts w:ascii="宋体" w:eastAsia="宋体" w:hAnsi="宋体" w:cs="宋体"/>
          <w:szCs w:val="21"/>
        </w:rPr>
      </w:pPr>
      <w:r>
        <w:rPr>
          <w:rFonts w:ascii="宋体" w:eastAsia="宋体" w:hAnsi="宋体" w:cs="宋体" w:hint="eastAsia"/>
          <w:szCs w:val="21"/>
        </w:rPr>
        <w:t>双方确定，乙方应在向甲方交付研究开发成果后，根据甲方的要求，为甲方指定的人员提供无偿的技术指导和培训，或提供与使用该研究开发成果相关的技术服务。</w:t>
      </w:r>
    </w:p>
    <w:p>
      <w:pPr>
        <w:ind w:firstLine="420" w:firstLineChars="200"/>
        <w:rPr>
          <w:rFonts w:ascii="宋体" w:eastAsia="宋体" w:hAnsi="宋体" w:cs="宋体"/>
          <w:szCs w:val="21"/>
          <w:u w:val="single"/>
        </w:rPr>
      </w:pPr>
      <w:r>
        <w:rPr>
          <w:rFonts w:ascii="宋体" w:eastAsia="宋体" w:hAnsi="宋体" w:cs="宋体" w:hint="eastAsia"/>
          <w:szCs w:val="21"/>
        </w:rPr>
        <w:t>技术服务和指导内容：</w:t>
      </w: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rPr>
        <w:t>地点和方式：</w:t>
      </w:r>
      <w:r>
        <w:rPr>
          <w:rFonts w:ascii="宋体" w:eastAsia="宋体" w:hAnsi="宋体" w:cs="宋体" w:hint="eastAsia"/>
          <w:szCs w:val="21"/>
          <w:u w:val="single"/>
        </w:rPr>
        <w:t xml:space="preserve">                                          </w:t>
      </w:r>
    </w:p>
    <w:p>
      <w:pPr>
        <w:keepNext/>
        <w:keepLines/>
        <w:numPr>
          <w:ilvl w:val="0"/>
          <w:numId w:val="13"/>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支付方式</w:t>
      </w:r>
    </w:p>
    <w:p>
      <w:pPr>
        <w:ind w:firstLine="420" w:firstLineChars="200"/>
        <w:rPr>
          <w:rFonts w:ascii="宋体" w:eastAsia="宋体" w:hAnsi="宋体" w:cs="宋体"/>
          <w:szCs w:val="21"/>
        </w:rPr>
      </w:pPr>
      <w:r>
        <w:rPr>
          <w:rFonts w:ascii="宋体" w:eastAsia="宋体" w:hAnsi="宋体" w:cs="宋体" w:hint="eastAsia"/>
          <w:szCs w:val="21"/>
        </w:rPr>
        <w:t>甲方应按以下方式支付研究开发经费和报酬：</w:t>
      </w:r>
    </w:p>
    <w:p>
      <w:pPr>
        <w:numPr>
          <w:ilvl w:val="0"/>
          <w:numId w:val="39"/>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研究开发经费和报酬总额为（含税）</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 xml:space="preserve">元（大写：人民币 </w:t>
      </w:r>
      <w:r>
        <w:rPr>
          <w:rFonts w:ascii="宋体" w:eastAsia="宋体" w:hAnsi="宋体" w:cs="宋体"/>
          <w:szCs w:val="21"/>
          <w:u w:val="single"/>
        </w:rPr>
        <w:t xml:space="preserve">                     </w:t>
      </w:r>
      <w:r>
        <w:rPr>
          <w:rFonts w:ascii="宋体" w:eastAsia="宋体" w:hAnsi="宋体" w:cs="宋体" w:hint="eastAsia"/>
          <w:szCs w:val="21"/>
          <w:u w:val="single"/>
        </w:rPr>
        <w:t>元）</w:t>
      </w:r>
      <w:r>
        <w:rPr>
          <w:rFonts w:ascii="宋体" w:eastAsia="宋体" w:hAnsi="宋体" w:cs="宋体" w:hint="eastAsia"/>
          <w:szCs w:val="21"/>
        </w:rPr>
        <w:t>。其中：</w:t>
      </w:r>
    </w:p>
    <w:p>
      <w:pPr>
        <w:numPr>
          <w:ilvl w:val="0"/>
          <w:numId w:val="40"/>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pPr>
        <w:numPr>
          <w:ilvl w:val="0"/>
          <w:numId w:val="40"/>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pPr>
        <w:numPr>
          <w:ilvl w:val="0"/>
          <w:numId w:val="40"/>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pPr>
        <w:numPr>
          <w:ilvl w:val="0"/>
          <w:numId w:val="40"/>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p>
    <w:p>
      <w:pPr>
        <w:numPr>
          <w:ilvl w:val="0"/>
          <w:numId w:val="39"/>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 xml:space="preserve">研究开发经费由甲方分期支付给乙方。具体支付方式和时间如下： </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甲方通过电汇或银行转账方式向乙方指定银行账户付款。在甲方每一笔款项支付前，乙方向甲方提交付款申请及出具同等金额的增值税发票，否则甲方有权拒绝付款并不承担违约责任。</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第一阶段：本合同签订生效及提交研究开发计划且项目开工后</w:t>
      </w:r>
      <w:r>
        <w:rPr>
          <w:rFonts w:ascii="宋体" w:eastAsia="宋体" w:hAnsi="宋体" w:cs="宋体" w:hint="eastAsia"/>
          <w:szCs w:val="21"/>
          <w:u w:val="single"/>
        </w:rPr>
        <w:t>【  】</w:t>
      </w:r>
      <w:r>
        <w:rPr>
          <w:rFonts w:ascii="宋体" w:eastAsia="宋体" w:hAnsi="宋体" w:cs="宋体" w:hint="eastAsia"/>
          <w:szCs w:val="21"/>
        </w:rPr>
        <w:t>个工作日内，甲方向乙方支付本合同首付款至乙方指定账户，首付款为合同总额_，即：</w:t>
      </w:r>
      <w:r>
        <w:rPr>
          <w:rFonts w:ascii="宋体" w:eastAsia="宋体" w:hAnsi="宋体" w:cs="宋体" w:hint="eastAsia"/>
          <w:szCs w:val="21"/>
          <w:u w:val="single"/>
        </w:rPr>
        <w:t>￥    元（大写：人民币    元整）；</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第二阶段：乙方完成</w:t>
      </w:r>
      <w:r>
        <w:rPr>
          <w:rFonts w:ascii="宋体" w:eastAsia="宋体" w:hAnsi="宋体" w:cs="宋体" w:hint="eastAsia"/>
          <w:szCs w:val="21"/>
          <w:u w:val="single"/>
        </w:rPr>
        <w:t xml:space="preserve">                                 </w:t>
      </w:r>
      <w:r>
        <w:rPr>
          <w:rFonts w:ascii="宋体" w:eastAsia="宋体" w:hAnsi="宋体" w:cs="宋体" w:hint="eastAsia"/>
          <w:szCs w:val="21"/>
        </w:rPr>
        <w:t>，甲方向乙方支付本合同总额的</w:t>
      </w:r>
      <w:r>
        <w:rPr>
          <w:rFonts w:ascii="宋体" w:eastAsia="宋体" w:hAnsi="宋体" w:cs="宋体" w:hint="eastAsia"/>
          <w:szCs w:val="21"/>
          <w:u w:val="single"/>
        </w:rPr>
        <w:t>_  %</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第X阶段：乙方完成</w:t>
      </w:r>
      <w:r>
        <w:rPr>
          <w:rFonts w:ascii="宋体" w:eastAsia="宋体" w:hAnsi="宋体" w:cs="宋体" w:hint="eastAsia"/>
          <w:szCs w:val="21"/>
          <w:u w:val="single"/>
        </w:rPr>
        <w:t xml:space="preserve">                                 </w:t>
      </w:r>
      <w:r>
        <w:rPr>
          <w:rFonts w:ascii="宋体" w:eastAsia="宋体" w:hAnsi="宋体" w:cs="宋体" w:hint="eastAsia"/>
          <w:szCs w:val="21"/>
        </w:rPr>
        <w:t>，甲方向乙方支付本合同总额的</w:t>
      </w:r>
      <w:r>
        <w:rPr>
          <w:rFonts w:ascii="宋体" w:eastAsia="宋体" w:hAnsi="宋体" w:cs="宋体" w:hint="eastAsia"/>
          <w:szCs w:val="21"/>
          <w:u w:val="single"/>
        </w:rPr>
        <w:t>_  %</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w:t>
      </w:r>
    </w:p>
    <w:p>
      <w:pPr>
        <w:tabs>
          <w:tab w:val="left" w:pos="720"/>
        </w:tabs>
        <w:ind w:firstLine="420" w:firstLineChars="200"/>
        <w:rPr>
          <w:rFonts w:ascii="宋体" w:eastAsia="宋体" w:hAnsi="宋体" w:cs="宋体"/>
          <w:szCs w:val="21"/>
        </w:rPr>
      </w:pPr>
      <w:r>
        <w:rPr>
          <w:rFonts w:ascii="Arial" w:eastAsia="仿宋_GB2312" w:hAnsi="Arial" w:cs="Arial"/>
          <w:szCs w:val="21"/>
        </w:rPr>
        <w:t>………</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第X阶段：最后一次付款额应为本合同总额的</w:t>
      </w:r>
      <w:r>
        <w:rPr>
          <w:rFonts w:ascii="宋体" w:eastAsia="宋体" w:hAnsi="宋体" w:cs="宋体" w:hint="eastAsia"/>
          <w:szCs w:val="21"/>
          <w:u w:val="single"/>
        </w:rPr>
        <w:t xml:space="preserve">      %</w:t>
      </w:r>
      <w:r>
        <w:rPr>
          <w:rFonts w:ascii="宋体" w:eastAsia="宋体" w:hAnsi="宋体" w:cs="宋体" w:hint="eastAsia"/>
          <w:szCs w:val="21"/>
        </w:rPr>
        <w:t>，甲方应在乙方完成</w:t>
      </w:r>
      <w:r>
        <w:rPr>
          <w:rFonts w:ascii="宋体" w:eastAsia="宋体" w:hAnsi="宋体" w:cs="宋体" w:hint="eastAsia"/>
          <w:szCs w:val="21"/>
          <w:u w:val="single"/>
        </w:rPr>
        <w:t xml:space="preserve">           ，</w:t>
      </w:r>
      <w:r>
        <w:rPr>
          <w:rFonts w:ascii="宋体" w:eastAsia="宋体" w:hAnsi="宋体" w:cs="宋体" w:hint="eastAsia"/>
          <w:szCs w:val="21"/>
        </w:rPr>
        <w:t>并完全履行合同约定全部义务后</w:t>
      </w:r>
      <w:r>
        <w:rPr>
          <w:rFonts w:ascii="宋体" w:eastAsia="宋体" w:hAnsi="宋体" w:cs="宋体" w:hint="eastAsia"/>
          <w:szCs w:val="21"/>
          <w:u w:val="single"/>
        </w:rPr>
        <w:t>【   】</w:t>
      </w:r>
      <w:r>
        <w:rPr>
          <w:rFonts w:ascii="宋体" w:eastAsia="宋体" w:hAnsi="宋体" w:cs="宋体" w:hint="eastAsia"/>
          <w:szCs w:val="21"/>
        </w:rPr>
        <w:t>日内付给乙方。</w:t>
      </w:r>
    </w:p>
    <w:p>
      <w:pPr>
        <w:numPr>
          <w:ilvl w:val="0"/>
          <w:numId w:val="39"/>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履约保证金</w:t>
      </w:r>
    </w:p>
    <w:p>
      <w:pPr>
        <w:numPr>
          <w:ilvl w:val="0"/>
          <w:numId w:val="41"/>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合同签订后</w:t>
      </w:r>
      <w:r>
        <w:rPr>
          <w:rFonts w:ascii="宋体" w:eastAsia="宋体" w:hAnsi="宋体" w:cs="宋体" w:hint="eastAsia"/>
          <w:szCs w:val="21"/>
          <w:u w:val="single"/>
        </w:rPr>
        <w:t>【   】</w:t>
      </w:r>
      <w:r>
        <w:rPr>
          <w:rFonts w:ascii="宋体" w:eastAsia="宋体" w:hAnsi="宋体" w:cs="宋体" w:hint="eastAsia"/>
          <w:szCs w:val="21"/>
        </w:rPr>
        <w:t>工作日内，乙方需向甲方交纳履约保证金至甲方指定账户，履约保证金金额为合同总额</w:t>
      </w:r>
      <w:r>
        <w:rPr>
          <w:rFonts w:ascii="宋体" w:eastAsia="宋体" w:hAnsi="宋体" w:cs="宋体" w:hint="eastAsia"/>
          <w:szCs w:val="21"/>
          <w:u w:val="single"/>
        </w:rPr>
        <w:t xml:space="preserve">     </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如果乙方未按合同要求履行合同，或因乙方原因导致本合同解除的，甲方将不予归还履约保证金。如乙方未按前述约定支付保证金，甲方有权直接在研究开发经费和报酬中扣除相应费用。</w:t>
      </w:r>
    </w:p>
    <w:p>
      <w:pPr>
        <w:numPr>
          <w:ilvl w:val="0"/>
          <w:numId w:val="41"/>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质保阶段结束后</w:t>
      </w:r>
      <w:r>
        <w:rPr>
          <w:rFonts w:ascii="宋体" w:eastAsia="宋体" w:hAnsi="宋体" w:cs="宋体" w:hint="eastAsia"/>
          <w:szCs w:val="21"/>
          <w:u w:val="single"/>
        </w:rPr>
        <w:t>【   】</w:t>
      </w:r>
      <w:r>
        <w:rPr>
          <w:rFonts w:ascii="宋体" w:eastAsia="宋体" w:hAnsi="宋体" w:cs="宋体" w:hint="eastAsia"/>
          <w:szCs w:val="21"/>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】日内补齐履约保证金。</w:t>
      </w:r>
    </w:p>
    <w:p>
      <w:pPr>
        <w:numPr>
          <w:ilvl w:val="0"/>
          <w:numId w:val="41"/>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履约保证金应用本合同货币。</w:t>
      </w:r>
    </w:p>
    <w:p>
      <w:pPr>
        <w:numPr>
          <w:ilvl w:val="0"/>
          <w:numId w:val="39"/>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双方银行账户信息</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261"/>
        <w:gridCol w:w="4261"/>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甲方开户银行名称、地址和账号为：</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乙方开户银行名称、地址和账号为：</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开户银行：</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开户银行：</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地址：</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地址：</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账号：</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账号：</w:t>
            </w:r>
          </w:p>
        </w:tc>
      </w:tr>
    </w:tbl>
    <w:p>
      <w:pPr>
        <w:numPr>
          <w:ilvl w:val="0"/>
          <w:numId w:val="39"/>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拒付条件</w:t>
      </w:r>
    </w:p>
    <w:p>
      <w:pPr>
        <w:tabs>
          <w:tab w:val="left" w:pos="720"/>
        </w:tabs>
        <w:ind w:firstLine="420" w:firstLineChars="200"/>
        <w:rPr>
          <w:rFonts w:ascii="宋体" w:eastAsia="宋体" w:hAnsi="宋体" w:cs="宋体"/>
          <w:szCs w:val="21"/>
        </w:rPr>
      </w:pPr>
      <w:r>
        <w:rPr>
          <w:rFonts w:ascii="宋体" w:eastAsia="宋体" w:hAnsi="宋体" w:cs="宋体" w:hint="eastAsia"/>
          <w:szCs w:val="21"/>
        </w:rPr>
        <w:t>凡构成下列条件之一，甲方均有权拒付相应后续服务报酬：</w:t>
      </w:r>
    </w:p>
    <w:p>
      <w:pPr>
        <w:numPr>
          <w:ilvl w:val="0"/>
          <w:numId w:val="42"/>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乙方丧失继续完成本合同的基本条件或能力时；</w:t>
      </w:r>
    </w:p>
    <w:p>
      <w:pPr>
        <w:numPr>
          <w:ilvl w:val="0"/>
          <w:numId w:val="42"/>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乙方开展技术服务的进度严重后拖，已使合同规定的总进度及对应的条款失去执行意义时；</w:t>
      </w:r>
    </w:p>
    <w:p>
      <w:pPr>
        <w:numPr>
          <w:ilvl w:val="0"/>
          <w:numId w:val="42"/>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乙方出现严重违约行为时（如擅自更改甲方所规定的技术要求等）；</w:t>
      </w:r>
    </w:p>
    <w:p>
      <w:pPr>
        <w:numPr>
          <w:ilvl w:val="0"/>
          <w:numId w:val="42"/>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如乙方因自身原因未按节点完成任务或存在重大技术服务质量问题，甲方有权暂缓下期应付款项，待问题解决后再进行支付。</w:t>
      </w:r>
    </w:p>
    <w:p>
      <w:pPr>
        <w:keepNext/>
        <w:keepLines/>
        <w:numPr>
          <w:ilvl w:val="0"/>
          <w:numId w:val="13"/>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b/>
          <w:bCs/>
          <w:szCs w:val="21"/>
        </w:rPr>
        <w:t>税务条款</w:t>
      </w:r>
    </w:p>
    <w:p>
      <w:pPr>
        <w:tabs>
          <w:tab w:val="left" w:pos="720"/>
        </w:tabs>
        <w:ind w:firstLine="420" w:firstLineChars="200"/>
        <w:rPr>
          <w:rFonts w:ascii="宋体" w:eastAsia="宋体" w:hAnsi="宋体" w:cs="宋体"/>
          <w:szCs w:val="21"/>
        </w:rPr>
      </w:pPr>
      <w:r>
        <w:rPr>
          <w:rFonts w:ascii="宋体" w:eastAsia="宋体" w:hAnsi="宋体" w:cs="宋体" w:hint="eastAsia"/>
          <w:szCs w:val="21"/>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pPr>
        <w:keepNext/>
        <w:keepLines/>
        <w:numPr>
          <w:ilvl w:val="0"/>
          <w:numId w:val="13"/>
        </w:numPr>
        <w:spacing w:before="60" w:after="60" w:line="360" w:lineRule="auto"/>
        <w:ind w:left="0" w:firstLine="420" w:firstLineChars="200"/>
        <w:outlineLvl w:val="1"/>
        <w:rPr>
          <w:rFonts w:ascii="宋体" w:eastAsia="宋体" w:hAnsi="宋体" w:cs="宋体"/>
          <w:b/>
          <w:bCs/>
          <w:szCs w:val="21"/>
        </w:rPr>
      </w:pPr>
      <w:bookmarkStart w:id="124" w:name="_Toc150439569"/>
      <w:r>
        <w:rPr>
          <w:rFonts w:ascii="宋体" w:eastAsia="宋体" w:hAnsi="宋体" w:cs="宋体" w:hint="eastAsia"/>
          <w:b/>
          <w:bCs/>
          <w:szCs w:val="21"/>
        </w:rPr>
        <w:t>项目验收</w:t>
      </w:r>
      <w:bookmarkEnd w:id="124"/>
    </w:p>
    <w:p>
      <w:pPr>
        <w:ind w:firstLine="420" w:firstLineChars="200"/>
        <w:rPr>
          <w:rFonts w:ascii="宋体" w:eastAsia="宋体" w:hAnsi="宋体" w:cs="宋体"/>
          <w:szCs w:val="21"/>
        </w:rPr>
      </w:pPr>
      <w:r>
        <w:rPr>
          <w:rFonts w:ascii="宋体" w:eastAsia="宋体" w:hAnsi="宋体" w:cs="宋体" w:hint="eastAsia"/>
          <w:szCs w:val="21"/>
        </w:rPr>
        <w:t>1.系统测试</w:t>
      </w:r>
    </w:p>
    <w:p>
      <w:pPr>
        <w:ind w:firstLine="420" w:firstLineChars="200"/>
        <w:rPr>
          <w:rFonts w:ascii="宋体" w:eastAsia="宋体" w:hAnsi="宋体" w:cs="宋体"/>
          <w:szCs w:val="21"/>
        </w:rPr>
      </w:pPr>
      <w:r>
        <w:rPr>
          <w:rFonts w:ascii="宋体" w:eastAsia="宋体" w:hAnsi="宋体" w:cs="宋体" w:hint="eastAsia"/>
          <w:szCs w:val="21"/>
        </w:rPr>
        <w:t>乙方应在完成</w:t>
      </w:r>
      <w:r>
        <w:rPr>
          <w:rFonts w:ascii="宋体" w:eastAsia="宋体" w:hAnsi="宋体" w:cs="宋体" w:hint="eastAsia"/>
          <w:szCs w:val="21"/>
          <w:u w:val="single"/>
        </w:rPr>
        <w:t>全部软件模块的开发、安装、集成</w:t>
      </w:r>
      <w:r>
        <w:rPr>
          <w:rFonts w:ascii="宋体" w:eastAsia="宋体" w:hAnsi="宋体" w:cs="宋体" w:hint="eastAsia"/>
          <w:szCs w:val="21"/>
        </w:rPr>
        <w:t>后，以书面形式向甲方递交测试申请，同时提交包括但不限于以下材料：</w:t>
      </w:r>
    </w:p>
    <w:p>
      <w:pPr>
        <w:numPr>
          <w:ilvl w:val="0"/>
          <w:numId w:val="43"/>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需求说明书、概要设计说明书、详细设计说明书、数据库设计说明书、测试计划、测试报告、用户手册、项目计划书、用户培训计划、会议记录和开发进度月报等；       </w:t>
      </w:r>
    </w:p>
    <w:p>
      <w:pPr>
        <w:numPr>
          <w:ilvl w:val="0"/>
          <w:numId w:val="43"/>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按照合同和招标文件中所标明的软件系统及相关的技术维护文档、培训教材、使用说明书等；                                                                     </w:t>
      </w:r>
    </w:p>
    <w:p>
      <w:pPr>
        <w:numPr>
          <w:ilvl w:val="0"/>
          <w:numId w:val="43"/>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全部源代码（电子版）；                                                      </w:t>
      </w:r>
    </w:p>
    <w:p>
      <w:pPr>
        <w:numPr>
          <w:ilvl w:val="0"/>
          <w:numId w:val="43"/>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                                                                           </w:t>
      </w:r>
    </w:p>
    <w:p>
      <w:pPr>
        <w:ind w:firstLine="420" w:firstLineChars="200"/>
        <w:rPr>
          <w:rFonts w:ascii="宋体" w:eastAsia="宋体" w:hAnsi="宋体" w:cs="宋体"/>
          <w:szCs w:val="21"/>
        </w:rPr>
      </w:pPr>
      <w:r>
        <w:rPr>
          <w:rFonts w:ascii="宋体" w:eastAsia="宋体" w:hAnsi="宋体" w:cs="宋体" w:hint="eastAsia"/>
          <w:szCs w:val="21"/>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甲方应在审核通过测试申请后的【   】个工作日内组织由甲方或甲方委托的第三方主持的软件测试，乙方参加，对软件进行测试。测试时应有甲方现场确认交付的全部源代码通过编译获得可执行程序的环节。</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确认其符合甲方要求的测试标准后，甲方签字确认。</w:t>
      </w:r>
    </w:p>
    <w:p>
      <w:pPr>
        <w:tabs>
          <w:tab w:val="left" w:pos="720"/>
        </w:tabs>
        <w:ind w:firstLine="420" w:firstLineChars="200"/>
        <w:rPr>
          <w:rFonts w:ascii="宋体" w:eastAsia="宋体" w:hAnsi="宋体" w:cs="宋体"/>
          <w:szCs w:val="21"/>
        </w:rPr>
      </w:pPr>
      <w:r>
        <w:rPr>
          <w:rFonts w:ascii="宋体" w:eastAsia="宋体" w:hAnsi="宋体" w:cs="宋体" w:hint="eastAsia"/>
          <w:szCs w:val="21"/>
        </w:rPr>
        <w:t>2.项目初验</w:t>
      </w:r>
    </w:p>
    <w:p>
      <w:pPr>
        <w:tabs>
          <w:tab w:val="left" w:pos="720"/>
        </w:tabs>
        <w:ind w:firstLine="420" w:firstLineChars="200"/>
        <w:rPr>
          <w:rFonts w:ascii="宋体" w:eastAsia="宋体" w:hAnsi="宋体" w:cs="宋体"/>
          <w:szCs w:val="21"/>
        </w:rPr>
      </w:pPr>
      <w:r>
        <w:rPr>
          <w:rFonts w:ascii="宋体" w:eastAsia="宋体" w:hAnsi="宋体" w:cs="宋体" w:hint="eastAsia"/>
          <w:szCs w:val="21"/>
        </w:rPr>
        <w:t>乙方开发的软件通过测试，并达到了系统初验的条件后，应以书面形式向甲方递交初步验收申请。甲方审核通过后，组织系统初验，并在验收通过后签署初验报告。</w:t>
      </w:r>
    </w:p>
    <w:p>
      <w:pPr>
        <w:tabs>
          <w:tab w:val="left" w:pos="720"/>
        </w:tabs>
        <w:ind w:firstLine="420" w:firstLineChars="200"/>
        <w:rPr>
          <w:rFonts w:ascii="宋体" w:eastAsia="宋体" w:hAnsi="宋体" w:cs="宋体"/>
          <w:szCs w:val="21"/>
        </w:rPr>
      </w:pPr>
      <w:r>
        <w:rPr>
          <w:rFonts w:ascii="宋体" w:eastAsia="宋体" w:hAnsi="宋体" w:cs="宋体" w:hint="eastAsia"/>
          <w:szCs w:val="21"/>
        </w:rPr>
        <w:t>3.系统试运行</w:t>
      </w:r>
    </w:p>
    <w:p>
      <w:pPr>
        <w:ind w:firstLine="420" w:firstLineChars="200"/>
        <w:rPr>
          <w:rFonts w:ascii="宋体" w:eastAsia="宋体" w:hAnsi="宋体" w:cs="宋体"/>
          <w:szCs w:val="21"/>
        </w:rPr>
      </w:pPr>
      <w:r>
        <w:rPr>
          <w:rFonts w:ascii="宋体" w:eastAsia="宋体" w:hAnsi="宋体" w:cs="宋体" w:hint="eastAsia"/>
          <w:szCs w:val="21"/>
        </w:rPr>
        <w:t>自甲方出具初验报告日起，甲方拥有</w:t>
      </w:r>
      <w:r>
        <w:rPr>
          <w:rFonts w:ascii="宋体" w:eastAsia="宋体" w:hAnsi="宋体" w:cs="宋体" w:hint="eastAsia"/>
          <w:szCs w:val="21"/>
          <w:u w:val="single"/>
        </w:rPr>
        <w:t xml:space="preserve">    </w:t>
      </w:r>
      <w:r>
        <w:rPr>
          <w:rFonts w:ascii="宋体" w:eastAsia="宋体" w:hAnsi="宋体" w:cs="宋体" w:hint="eastAsia"/>
          <w:szCs w:val="21"/>
        </w:rPr>
        <w:t xml:space="preserve">个月的试运行权利。试运行期间，乙方应进行全程跟踪，提供全面技术支持服务，及时修改、完善、补充系统功能，确保试运行的顺利进行。   </w:t>
      </w:r>
    </w:p>
    <w:p>
      <w:pPr>
        <w:ind w:firstLine="420" w:firstLineChars="200"/>
        <w:rPr>
          <w:rFonts w:ascii="宋体" w:eastAsia="宋体" w:hAnsi="宋体" w:cs="宋体"/>
          <w:szCs w:val="21"/>
        </w:rPr>
      </w:pPr>
      <w:r>
        <w:rPr>
          <w:rFonts w:ascii="宋体" w:eastAsia="宋体" w:hAnsi="宋体" w:cs="宋体" w:hint="eastAsia"/>
          <w:szCs w:val="21"/>
        </w:rPr>
        <w:t>乙方在试运行期间，必须保证开发队伍的稳定，根据甲方要求，不断修改和完善软件的功能和性能，直至甲方满意。乙方在试运行期间，应在</w:t>
      </w:r>
      <w:r>
        <w:rPr>
          <w:rFonts w:ascii="宋体" w:eastAsia="宋体" w:hAnsi="宋体" w:cs="宋体" w:hint="eastAsia"/>
          <w:szCs w:val="21"/>
          <w:u w:val="single"/>
        </w:rPr>
        <w:t xml:space="preserve">     </w:t>
      </w:r>
      <w:r>
        <w:rPr>
          <w:rFonts w:ascii="宋体" w:eastAsia="宋体" w:hAnsi="宋体" w:cs="宋体" w:hint="eastAsia"/>
          <w:szCs w:val="21"/>
        </w:rPr>
        <w:t>时间内响应故障处理，排除故障的时间一般不超过</w:t>
      </w:r>
      <w:r>
        <w:rPr>
          <w:rFonts w:ascii="宋体" w:eastAsia="宋体" w:hAnsi="宋体" w:cs="宋体" w:hint="eastAsia"/>
          <w:szCs w:val="21"/>
          <w:u w:val="single"/>
        </w:rPr>
        <w:t xml:space="preserve">     </w:t>
      </w:r>
      <w:r>
        <w:rPr>
          <w:rFonts w:ascii="宋体" w:eastAsia="宋体" w:hAnsi="宋体" w:cs="宋体" w:hint="eastAsia"/>
          <w:szCs w:val="21"/>
        </w:rPr>
        <w:t>。如由于乙方原因，发生影响甲方业务工作的重大故障，试运行期从故障排除后重新计算。</w:t>
      </w:r>
    </w:p>
    <w:p>
      <w:pPr>
        <w:ind w:firstLine="420" w:firstLineChars="200"/>
        <w:rPr>
          <w:rFonts w:ascii="宋体" w:eastAsia="宋体" w:hAnsi="宋体" w:cs="宋体"/>
          <w:szCs w:val="21"/>
        </w:rPr>
      </w:pPr>
      <w:r>
        <w:rPr>
          <w:rFonts w:ascii="宋体" w:eastAsia="宋体" w:hAnsi="宋体" w:cs="宋体" w:hint="eastAsia"/>
          <w:szCs w:val="21"/>
        </w:rPr>
        <w:t>4.项目终验</w:t>
      </w:r>
    </w:p>
    <w:p>
      <w:pPr>
        <w:tabs>
          <w:tab w:val="left" w:pos="720"/>
        </w:tabs>
        <w:ind w:firstLine="420" w:firstLineChars="200"/>
        <w:rPr>
          <w:rFonts w:ascii="宋体" w:eastAsia="宋体" w:hAnsi="宋体" w:cs="宋体"/>
          <w:szCs w:val="21"/>
        </w:rPr>
      </w:pPr>
      <w:r>
        <w:rPr>
          <w:rFonts w:ascii="宋体" w:eastAsia="宋体" w:hAnsi="宋体" w:cs="宋体" w:hint="eastAsia"/>
          <w:szCs w:val="21"/>
        </w:rPr>
        <w:t>软件试运行期满合格后，乙方应以书面形式向甲方递交最终验收申请，并更新提交全部相关文档，甲方审核通过后，组织系统终验，并在终验通过后签署终验报告。</w:t>
      </w:r>
    </w:p>
    <w:p>
      <w:pPr>
        <w:ind w:firstLine="420" w:firstLineChars="200"/>
        <w:rPr>
          <w:rFonts w:ascii="宋体" w:eastAsia="宋体" w:hAnsi="宋体" w:cs="宋体"/>
          <w:szCs w:val="21"/>
        </w:rPr>
      </w:pPr>
      <w:r>
        <w:rPr>
          <w:rFonts w:ascii="宋体" w:eastAsia="宋体" w:hAnsi="宋体" w:cs="宋体" w:hint="eastAsia"/>
          <w:szCs w:val="21"/>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rFonts w:ascii="宋体" w:eastAsia="宋体" w:hAnsi="宋体" w:cs="宋体"/>
          <w:szCs w:val="21"/>
        </w:rPr>
        <w:t>系统通过</w:t>
      </w:r>
      <w:r>
        <w:rPr>
          <w:rFonts w:ascii="宋体" w:eastAsia="宋体" w:hAnsi="宋体" w:cs="宋体" w:hint="eastAsia"/>
          <w:szCs w:val="21"/>
        </w:rPr>
        <w:t>终验</w:t>
      </w:r>
      <w:r>
        <w:rPr>
          <w:rFonts w:ascii="宋体" w:eastAsia="宋体" w:hAnsi="宋体" w:cs="宋体"/>
          <w:szCs w:val="21"/>
        </w:rPr>
        <w:t>后，所有文档</w:t>
      </w:r>
      <w:r>
        <w:rPr>
          <w:rFonts w:ascii="宋体" w:eastAsia="宋体" w:hAnsi="宋体" w:cs="宋体" w:hint="eastAsia"/>
          <w:szCs w:val="21"/>
        </w:rPr>
        <w:t>资料</w:t>
      </w:r>
      <w:r>
        <w:rPr>
          <w:rFonts w:ascii="宋体" w:eastAsia="宋体" w:hAnsi="宋体" w:cs="宋体"/>
          <w:szCs w:val="21"/>
        </w:rPr>
        <w:t>、软件和</w:t>
      </w:r>
      <w:r>
        <w:rPr>
          <w:rFonts w:ascii="宋体" w:eastAsia="宋体" w:hAnsi="宋体" w:cs="宋体" w:hint="eastAsia"/>
          <w:szCs w:val="21"/>
        </w:rPr>
        <w:t>资产</w:t>
      </w:r>
      <w:r>
        <w:rPr>
          <w:rFonts w:ascii="宋体" w:eastAsia="宋体" w:hAnsi="宋体" w:cs="宋体"/>
          <w:szCs w:val="21"/>
        </w:rPr>
        <w:t>由甲方统一归档</w:t>
      </w:r>
      <w:r>
        <w:rPr>
          <w:rFonts w:ascii="宋体" w:eastAsia="宋体" w:hAnsi="宋体" w:cs="宋体" w:hint="eastAsia"/>
          <w:szCs w:val="21"/>
        </w:rPr>
        <w:t>保管</w:t>
      </w:r>
      <w:r>
        <w:rPr>
          <w:rFonts w:ascii="宋体" w:eastAsia="宋体" w:hAnsi="宋体" w:cs="宋体"/>
          <w:szCs w:val="21"/>
        </w:rPr>
        <w:t>。</w:t>
      </w:r>
    </w:p>
    <w:p>
      <w:pPr>
        <w:keepNext/>
        <w:keepLines/>
        <w:numPr>
          <w:ilvl w:val="0"/>
          <w:numId w:val="13"/>
        </w:numPr>
        <w:spacing w:before="60" w:after="60" w:line="360" w:lineRule="auto"/>
        <w:ind w:left="0" w:firstLine="420" w:firstLineChars="200"/>
        <w:outlineLvl w:val="1"/>
        <w:rPr>
          <w:rFonts w:ascii="宋体" w:eastAsia="宋体" w:hAnsi="宋体" w:cs="宋体"/>
          <w:b/>
          <w:bCs/>
          <w:szCs w:val="21"/>
        </w:rPr>
      </w:pPr>
      <w:bookmarkStart w:id="125" w:name="_Toc150439566"/>
      <w:r>
        <w:rPr>
          <w:rFonts w:ascii="宋体" w:eastAsia="宋体" w:hAnsi="宋体" w:cs="宋体" w:hint="eastAsia"/>
          <w:b/>
          <w:bCs/>
          <w:szCs w:val="21"/>
        </w:rPr>
        <w:t>质量保证</w:t>
      </w:r>
      <w:bookmarkEnd w:id="125"/>
    </w:p>
    <w:p>
      <w:pPr>
        <w:ind w:firstLine="420" w:firstLineChars="200"/>
        <w:rPr>
          <w:rFonts w:ascii="宋体" w:eastAsia="宋体" w:hAnsi="宋体" w:cs="宋体"/>
          <w:szCs w:val="21"/>
        </w:rPr>
      </w:pPr>
      <w:r>
        <w:rPr>
          <w:rFonts w:ascii="宋体" w:eastAsia="宋体" w:hAnsi="宋体" w:cs="宋体" w:hint="eastAsia"/>
          <w:szCs w:val="21"/>
        </w:rPr>
        <w:t>项目通过终验后，软件进入质量保证期。软件质量标准按照国标的软件工程化和质量保证要求执行。</w:t>
      </w:r>
    </w:p>
    <w:p>
      <w:pPr>
        <w:numPr>
          <w:ilvl w:val="0"/>
          <w:numId w:val="44"/>
        </w:numPr>
        <w:spacing w:line="360" w:lineRule="auto"/>
        <w:ind w:firstLine="420" w:firstLineChars="200"/>
        <w:rPr>
          <w:rFonts w:ascii="宋体" w:eastAsia="宋体" w:hAnsi="宋体" w:cs="宋体"/>
          <w:szCs w:val="21"/>
        </w:rPr>
      </w:pPr>
      <w:r>
        <w:rPr>
          <w:rFonts w:ascii="宋体" w:eastAsia="宋体" w:hAnsi="宋体" w:cs="宋体" w:hint="eastAsia"/>
          <w:szCs w:val="21"/>
        </w:rPr>
        <w:t>乙方应对提交的软件产品提供为期</w:t>
      </w:r>
      <w:r>
        <w:rPr>
          <w:rFonts w:ascii="宋体" w:eastAsia="宋体" w:hAnsi="宋体" w:cs="宋体" w:hint="eastAsia"/>
          <w:szCs w:val="21"/>
          <w:u w:val="single"/>
        </w:rPr>
        <w:t xml:space="preserve">     </w:t>
      </w:r>
      <w:r>
        <w:rPr>
          <w:rFonts w:ascii="宋体" w:eastAsia="宋体" w:hAnsi="宋体" w:cs="宋体" w:hint="eastAsia"/>
          <w:szCs w:val="21"/>
        </w:rPr>
        <w:t>的质量保证期。</w:t>
      </w:r>
    </w:p>
    <w:p>
      <w:pPr>
        <w:numPr>
          <w:ilvl w:val="0"/>
          <w:numId w:val="44"/>
        </w:numPr>
        <w:spacing w:line="360" w:lineRule="auto"/>
        <w:ind w:firstLine="420" w:firstLineChars="200"/>
        <w:rPr>
          <w:rFonts w:ascii="宋体" w:eastAsia="宋体" w:hAnsi="宋体" w:cs="宋体"/>
          <w:szCs w:val="21"/>
        </w:rPr>
      </w:pPr>
      <w:r>
        <w:rPr>
          <w:rFonts w:ascii="宋体" w:eastAsia="宋体" w:hAnsi="宋体" w:cs="宋体" w:hint="eastAsia"/>
          <w:szCs w:val="21"/>
        </w:rPr>
        <w:t>在质量保证期内，乙方应提供</w:t>
      </w:r>
      <w:r>
        <w:rPr>
          <w:rFonts w:ascii="宋体" w:eastAsia="宋体" w:hAnsi="宋体" w:cs="宋体" w:hint="eastAsia"/>
          <w:szCs w:val="21"/>
          <w:u w:val="single"/>
        </w:rPr>
        <w:t xml:space="preserve">     不间断</w:t>
      </w:r>
      <w:r>
        <w:rPr>
          <w:rFonts w:ascii="宋体" w:eastAsia="宋体" w:hAnsi="宋体" w:cs="宋体" w:hint="eastAsia"/>
          <w:szCs w:val="21"/>
        </w:rPr>
        <w:t>的无偿服务响应，至少保留</w:t>
      </w:r>
      <w:r>
        <w:rPr>
          <w:rFonts w:ascii="宋体" w:eastAsia="宋体" w:hAnsi="宋体" w:cs="宋体" w:hint="eastAsia"/>
          <w:szCs w:val="21"/>
          <w:u w:val="single"/>
        </w:rPr>
        <w:t xml:space="preserve">    </w:t>
      </w:r>
      <w:r>
        <w:rPr>
          <w:rFonts w:ascii="宋体" w:eastAsia="宋体" w:hAnsi="宋体" w:cs="宋体" w:hint="eastAsia"/>
          <w:szCs w:val="21"/>
        </w:rPr>
        <w:t>名工程师常驻甲方现场或随叫随到且要在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w:t>
      </w:r>
    </w:p>
    <w:p>
      <w:pPr>
        <w:numPr>
          <w:ilvl w:val="0"/>
          <w:numId w:val="44"/>
        </w:numPr>
        <w:spacing w:line="360" w:lineRule="auto"/>
        <w:ind w:firstLine="420" w:firstLineChars="200"/>
        <w:rPr>
          <w:rFonts w:ascii="宋体" w:eastAsia="宋体" w:hAnsi="宋体" w:cs="宋体"/>
          <w:szCs w:val="21"/>
        </w:rPr>
      </w:pPr>
      <w:r>
        <w:rPr>
          <w:rFonts w:ascii="宋体" w:eastAsia="宋体" w:hAnsi="宋体" w:cs="宋体" w:hint="eastAsia"/>
          <w:szCs w:val="21"/>
        </w:rPr>
        <w:t>乙方在质量保证期内提供技术支持的内容包括但不限于：</w:t>
      </w:r>
      <w:r>
        <w:rPr>
          <w:rFonts w:ascii="宋体" w:eastAsia="宋体" w:hAnsi="宋体" w:cs="宋体" w:hint="eastAsia"/>
          <w:szCs w:val="21"/>
          <w:u w:val="single"/>
        </w:rPr>
        <w:t>故障（事件）诊断与排除、系统运行安全支持、软件修改完善与升级、基础数据管理与维护等</w:t>
      </w:r>
      <w:r>
        <w:rPr>
          <w:rFonts w:ascii="宋体" w:eastAsia="宋体" w:hAnsi="宋体" w:cs="宋体" w:hint="eastAsia"/>
          <w:szCs w:val="21"/>
        </w:rPr>
        <w:t>；乙方应提供时间间隔为</w:t>
      </w:r>
      <w:r>
        <w:rPr>
          <w:rFonts w:ascii="宋体" w:eastAsia="宋体" w:hAnsi="宋体" w:cs="宋体" w:hint="eastAsia"/>
          <w:szCs w:val="21"/>
          <w:u w:val="single"/>
        </w:rPr>
        <w:t xml:space="preserve">  </w:t>
      </w:r>
    </w:p>
    <w:p>
      <w:pPr>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的定期走访甲方或时间间隔为</w:t>
      </w:r>
      <w:r>
        <w:rPr>
          <w:rFonts w:ascii="宋体" w:eastAsia="宋体" w:hAnsi="宋体" w:cs="宋体" w:hint="eastAsia"/>
          <w:szCs w:val="21"/>
          <w:u w:val="single"/>
        </w:rPr>
        <w:t xml:space="preserve">     </w:t>
      </w:r>
      <w:r>
        <w:rPr>
          <w:rFonts w:ascii="宋体" w:eastAsia="宋体" w:hAnsi="宋体" w:cs="宋体" w:hint="eastAsia"/>
          <w:szCs w:val="21"/>
        </w:rPr>
        <w:t>的定期巡检服务。</w:t>
      </w:r>
    </w:p>
    <w:p>
      <w:pPr>
        <w:numPr>
          <w:ilvl w:val="0"/>
          <w:numId w:val="44"/>
        </w:numPr>
        <w:spacing w:line="360" w:lineRule="auto"/>
        <w:ind w:firstLine="420" w:firstLineChars="200"/>
        <w:rPr>
          <w:rFonts w:ascii="宋体" w:eastAsia="宋体" w:hAnsi="宋体" w:cs="宋体"/>
          <w:szCs w:val="21"/>
        </w:rPr>
      </w:pPr>
      <w:r>
        <w:rPr>
          <w:rFonts w:ascii="宋体" w:eastAsia="宋体" w:hAnsi="宋体" w:cs="宋体" w:hint="eastAsia"/>
          <w:szCs w:val="21"/>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pPr>
        <w:numPr>
          <w:ilvl w:val="0"/>
          <w:numId w:val="44"/>
        </w:numPr>
        <w:spacing w:line="360" w:lineRule="auto"/>
        <w:ind w:firstLine="420" w:firstLineChars="200"/>
        <w:rPr>
          <w:rFonts w:ascii="宋体" w:eastAsia="宋体" w:hAnsi="宋体" w:cs="宋体"/>
          <w:szCs w:val="21"/>
        </w:rPr>
      </w:pPr>
      <w:r>
        <w:rPr>
          <w:rFonts w:ascii="宋体" w:eastAsia="宋体" w:hAnsi="宋体" w:cs="宋体" w:hint="eastAsia"/>
          <w:szCs w:val="21"/>
        </w:rPr>
        <w:t>超出质量保证期后，乙方应向甲方提供响应时间在</w:t>
      </w:r>
      <w:r>
        <w:rPr>
          <w:rFonts w:ascii="宋体" w:eastAsia="宋体" w:hAnsi="宋体" w:cs="宋体" w:hint="eastAsia"/>
          <w:szCs w:val="21"/>
          <w:u w:val="single"/>
        </w:rPr>
        <w:t xml:space="preserve">     </w:t>
      </w:r>
      <w:r>
        <w:rPr>
          <w:rFonts w:ascii="宋体" w:eastAsia="宋体" w:hAnsi="宋体" w:cs="宋体" w:hint="eastAsia"/>
          <w:szCs w:val="21"/>
        </w:rPr>
        <w:t>内的技术支持服务，保证甲方可以随时找到相应的技术人员，如有必要，要在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小时之内赶到现场予以技术支持。若发生实质性需求变更，或需要乙方提供技术维护和指导的，乙方承诺以材料及人工的成本价格向甲方提供系统修改、升级及其他运维服务。</w:t>
      </w:r>
    </w:p>
    <w:p>
      <w:pPr>
        <w:keepNext/>
        <w:keepLines/>
        <w:numPr>
          <w:ilvl w:val="0"/>
          <w:numId w:val="13"/>
        </w:numPr>
        <w:spacing w:before="60" w:after="60" w:line="360" w:lineRule="auto"/>
        <w:ind w:left="0" w:firstLine="420" w:firstLineChars="200"/>
        <w:outlineLvl w:val="1"/>
        <w:rPr>
          <w:rFonts w:ascii="宋体" w:eastAsia="宋体" w:hAnsi="宋体" w:cs="宋体"/>
          <w:b/>
          <w:bCs/>
          <w:szCs w:val="21"/>
        </w:rPr>
      </w:pPr>
      <w:bookmarkStart w:id="126" w:name="_Toc150439612"/>
      <w:r>
        <w:rPr>
          <w:rFonts w:ascii="宋体" w:eastAsia="宋体" w:hAnsi="宋体" w:cs="宋体" w:hint="eastAsia"/>
          <w:b/>
          <w:bCs/>
          <w:szCs w:val="21"/>
        </w:rPr>
        <w:t>保密条款（保密协议）</w:t>
      </w:r>
      <w:bookmarkEnd w:id="126"/>
    </w:p>
    <w:p>
      <w:pPr>
        <w:ind w:firstLine="420" w:firstLineChars="200"/>
        <w:rPr>
          <w:rFonts w:ascii="宋体" w:eastAsia="宋体" w:hAnsi="宋体" w:cs="宋体"/>
          <w:szCs w:val="21"/>
        </w:rPr>
      </w:pPr>
      <w:r>
        <w:rPr>
          <w:rFonts w:ascii="宋体" w:eastAsia="宋体" w:hAnsi="宋体" w:cs="宋体" w:hint="eastAsia"/>
          <w:szCs w:val="21"/>
        </w:rPr>
        <w:t>甲方因履行本合同应遵守的保密义务如下：</w:t>
      </w:r>
    </w:p>
    <w:p>
      <w:pPr>
        <w:numPr>
          <w:ilvl w:val="0"/>
          <w:numId w:val="45"/>
        </w:numPr>
        <w:spacing w:line="360" w:lineRule="auto"/>
        <w:ind w:firstLine="420" w:firstLineChars="200"/>
        <w:rPr>
          <w:rFonts w:ascii="宋体" w:eastAsia="宋体" w:hAnsi="宋体" w:cs="宋体"/>
          <w:szCs w:val="21"/>
        </w:rPr>
      </w:pPr>
      <w:bookmarkStart w:id="127" w:name="_Hlk150343297"/>
      <w:r>
        <w:rPr>
          <w:rFonts w:ascii="宋体" w:eastAsia="宋体" w:hAnsi="宋体" w:cs="宋体" w:hint="eastAsia"/>
          <w:szCs w:val="21"/>
        </w:rPr>
        <w:t xml:space="preserve">保密内容（包括技术信息和经营信息）: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45"/>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                                              ；</w:t>
      </w:r>
    </w:p>
    <w:p>
      <w:pPr>
        <w:numPr>
          <w:ilvl w:val="0"/>
          <w:numId w:val="45"/>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保密期限：</w:t>
      </w:r>
      <w:r>
        <w:rPr>
          <w:rFonts w:ascii="宋体" w:eastAsia="宋体" w:hAnsi="宋体" w:cs="宋体" w:hint="eastAsia"/>
          <w:szCs w:val="21"/>
          <w:u w:val="single"/>
        </w:rPr>
        <w:t xml:space="preserve">                                                 ；</w:t>
      </w:r>
    </w:p>
    <w:p>
      <w:pPr>
        <w:numPr>
          <w:ilvl w:val="0"/>
          <w:numId w:val="45"/>
        </w:numPr>
        <w:spacing w:line="360" w:lineRule="auto"/>
        <w:ind w:firstLine="420" w:firstLineChars="200"/>
        <w:rPr>
          <w:rFonts w:ascii="宋体" w:eastAsia="宋体" w:hAnsi="宋体" w:cs="宋体"/>
          <w:szCs w:val="21"/>
        </w:rPr>
      </w:pPr>
      <w:r>
        <w:rPr>
          <w:rFonts w:ascii="宋体" w:eastAsia="宋体" w:hAnsi="宋体" w:cs="宋体" w:hint="eastAsia"/>
          <w:szCs w:val="21"/>
        </w:rPr>
        <w:t>泄密责任：</w:t>
      </w:r>
      <w:r>
        <w:rPr>
          <w:rFonts w:ascii="宋体" w:eastAsia="宋体" w:hAnsi="宋体" w:cs="宋体" w:hint="eastAsia"/>
          <w:szCs w:val="21"/>
          <w:u w:val="single"/>
        </w:rPr>
        <w:t xml:space="preserve">                                                 。</w:t>
      </w:r>
    </w:p>
    <w:bookmarkEnd w:id="127"/>
    <w:p>
      <w:pPr>
        <w:ind w:firstLine="420" w:firstLineChars="200"/>
        <w:rPr>
          <w:rFonts w:ascii="宋体" w:eastAsia="宋体" w:hAnsi="宋体" w:cs="宋体"/>
          <w:szCs w:val="21"/>
        </w:rPr>
      </w:pPr>
      <w:r>
        <w:rPr>
          <w:rFonts w:ascii="宋体" w:eastAsia="宋体" w:hAnsi="宋体" w:cs="宋体" w:hint="eastAsia"/>
          <w:szCs w:val="21"/>
        </w:rPr>
        <w:t>乙方因履行本合同应遵守的保密义务如下：</w:t>
      </w:r>
    </w:p>
    <w:p>
      <w:pPr>
        <w:numPr>
          <w:ilvl w:val="0"/>
          <w:numId w:val="46"/>
        </w:numPr>
        <w:spacing w:line="360" w:lineRule="auto"/>
        <w:ind w:firstLine="420" w:firstLineChars="200"/>
        <w:rPr>
          <w:rFonts w:ascii="宋体" w:eastAsia="宋体" w:hAnsi="宋体" w:cs="宋体"/>
          <w:szCs w:val="21"/>
        </w:rPr>
      </w:pPr>
      <w:r>
        <w:rPr>
          <w:rFonts w:ascii="宋体" w:eastAsia="宋体" w:hAnsi="宋体" w:cs="宋体" w:hint="eastAsia"/>
          <w:szCs w:val="21"/>
        </w:rPr>
        <w:t>保密内容（包括技术信息和经营信息）：</w:t>
      </w:r>
    </w:p>
    <w:p>
      <w:pPr>
        <w:numPr>
          <w:ilvl w:val="0"/>
          <w:numId w:val="47"/>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乙方必须实施防止数据泄露的措施。乙方在对甲方进行系统实施服务过程中，对所取得的甲方资料、数据等应严格保密，不得外泄。                                                                     </w:t>
      </w:r>
    </w:p>
    <w:p>
      <w:pPr>
        <w:numPr>
          <w:ilvl w:val="0"/>
          <w:numId w:val="47"/>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pPr>
        <w:numPr>
          <w:ilvl w:val="0"/>
          <w:numId w:val="47"/>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涉及国家秘密和安全的 ，依照有关保密规定执行。                          </w:t>
      </w:r>
    </w:p>
    <w:p>
      <w:pPr>
        <w:numPr>
          <w:ilvl w:val="0"/>
          <w:numId w:val="46"/>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所有参与本项目人员。                                      </w:t>
      </w:r>
    </w:p>
    <w:p>
      <w:pPr>
        <w:numPr>
          <w:ilvl w:val="0"/>
          <w:numId w:val="46"/>
        </w:numPr>
        <w:spacing w:line="360" w:lineRule="auto"/>
        <w:ind w:firstLine="420" w:firstLineChars="200"/>
        <w:rPr>
          <w:rFonts w:ascii="宋体" w:eastAsia="宋体" w:hAnsi="宋体" w:cs="宋体"/>
          <w:szCs w:val="21"/>
        </w:rPr>
      </w:pPr>
      <w:r>
        <w:rPr>
          <w:rFonts w:ascii="宋体" w:eastAsia="宋体" w:hAnsi="宋体" w:cs="宋体" w:hint="eastAsia"/>
          <w:szCs w:val="21"/>
        </w:rPr>
        <w:t>保密期限：</w:t>
      </w:r>
      <w:bookmarkStart w:id="128" w:name="_Hlk150343509"/>
      <w:r>
        <w:rPr>
          <w:rFonts w:ascii="宋体" w:eastAsia="宋体" w:hAnsi="宋体" w:cs="宋体" w:hint="eastAsia"/>
          <w:szCs w:val="21"/>
          <w:u w:val="single"/>
        </w:rPr>
        <w:t xml:space="preserve">                             </w:t>
      </w:r>
      <w:bookmarkEnd w:id="128"/>
      <w:r>
        <w:rPr>
          <w:rFonts w:ascii="宋体" w:eastAsia="宋体" w:hAnsi="宋体" w:cs="宋体" w:hint="eastAsia"/>
          <w:szCs w:val="21"/>
          <w:u w:val="single"/>
        </w:rPr>
        <w:t xml:space="preserve">                                </w:t>
      </w:r>
    </w:p>
    <w:p>
      <w:pPr>
        <w:numPr>
          <w:ilvl w:val="0"/>
          <w:numId w:val="46"/>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泄密责任：</w:t>
      </w:r>
      <w:r>
        <w:rPr>
          <w:rFonts w:ascii="宋体" w:eastAsia="宋体" w:hAnsi="宋体" w:cs="宋体" w:hint="eastAsia"/>
          <w:szCs w:val="21"/>
          <w:u w:val="single"/>
        </w:rPr>
        <w:t xml:space="preserve">由于乙方泄密给甲方造成损失的，甲方可依据我国法律相关规定，选择移送司法机关依法办理。乙方应赔偿甲方的全部损失并向甲方承担违约责任。           </w:t>
      </w:r>
    </w:p>
    <w:p>
      <w:pPr>
        <w:ind w:firstLine="420" w:firstLineChars="200"/>
        <w:rPr>
          <w:rFonts w:ascii="宋体" w:eastAsia="宋体" w:hAnsi="宋体" w:cs="宋体"/>
          <w:szCs w:val="21"/>
        </w:rPr>
      </w:pPr>
      <w:r>
        <w:rPr>
          <w:rFonts w:ascii="宋体" w:eastAsia="宋体" w:hAnsi="宋体" w:cs="宋体" w:hint="eastAsia"/>
          <w:color w:val="000000"/>
          <w:szCs w:val="21"/>
        </w:rPr>
        <w:t>本合同的解除或终止不免除甲乙双方应承担的保密义务。</w:t>
      </w:r>
    </w:p>
    <w:p>
      <w:pPr>
        <w:keepNext/>
        <w:keepLines/>
        <w:numPr>
          <w:ilvl w:val="0"/>
          <w:numId w:val="13"/>
        </w:numPr>
        <w:spacing w:before="60" w:after="60" w:line="360" w:lineRule="auto"/>
        <w:ind w:left="0" w:firstLine="420" w:firstLineChars="200"/>
        <w:outlineLvl w:val="1"/>
        <w:rPr>
          <w:rFonts w:ascii="宋体" w:eastAsia="宋体" w:hAnsi="宋体" w:cs="宋体"/>
          <w:b/>
          <w:bCs/>
          <w:szCs w:val="21"/>
        </w:rPr>
      </w:pPr>
      <w:bookmarkStart w:id="129" w:name="_Toc150439618"/>
      <w:r>
        <w:rPr>
          <w:rFonts w:ascii="宋体" w:eastAsia="宋体" w:hAnsi="宋体" w:cs="宋体" w:hint="eastAsia"/>
          <w:b/>
          <w:bCs/>
          <w:szCs w:val="21"/>
        </w:rPr>
        <w:t>违约</w:t>
      </w:r>
      <w:r>
        <w:rPr>
          <w:rFonts w:ascii="宋体" w:eastAsia="宋体" w:hAnsi="宋体" w:cs="宋体"/>
          <w:b/>
          <w:bCs/>
          <w:szCs w:val="21"/>
        </w:rPr>
        <w:t>责任及赔偿</w:t>
      </w:r>
      <w:bookmarkEnd w:id="129"/>
    </w:p>
    <w:p>
      <w:pPr>
        <w:ind w:firstLine="420" w:firstLineChars="200"/>
        <w:rPr>
          <w:rFonts w:ascii="宋体" w:eastAsia="宋体" w:hAnsi="宋体" w:cs="宋体"/>
          <w:szCs w:val="21"/>
        </w:rPr>
      </w:pPr>
      <w:r>
        <w:rPr>
          <w:rFonts w:ascii="宋体" w:eastAsia="宋体" w:hAnsi="宋体" w:cs="宋体" w:hint="eastAsia"/>
          <w:szCs w:val="21"/>
        </w:rPr>
        <w:t>任何一方违反本合同约定，造成研究开发工作停滞、延误或失败的，按以下约定承担违约责任：</w:t>
      </w:r>
    </w:p>
    <w:p>
      <w:pPr>
        <w:numPr>
          <w:ilvl w:val="0"/>
          <w:numId w:val="48"/>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w:t>
      </w:r>
      <w:r>
        <w:rPr>
          <w:rFonts w:ascii="宋体" w:eastAsia="宋体" w:hAnsi="宋体" w:cs="宋体"/>
          <w:szCs w:val="21"/>
        </w:rPr>
        <w:t>乙方</w:t>
      </w:r>
      <w:r>
        <w:rPr>
          <w:rFonts w:ascii="宋体" w:eastAsia="宋体" w:hAnsi="宋体" w:cs="宋体" w:hint="eastAsia"/>
          <w:szCs w:val="21"/>
        </w:rPr>
        <w:t>未能按期</w:t>
      </w:r>
      <w:r>
        <w:rPr>
          <w:rFonts w:ascii="宋体" w:eastAsia="宋体" w:hAnsi="宋体" w:cs="宋体"/>
          <w:szCs w:val="21"/>
        </w:rPr>
        <w:t>交付</w:t>
      </w:r>
      <w:r>
        <w:rPr>
          <w:rFonts w:ascii="宋体" w:eastAsia="宋体" w:hAnsi="宋体" w:cs="宋体" w:hint="eastAsia"/>
          <w:szCs w:val="21"/>
        </w:rPr>
        <w:t>符合本合同约定的开发</w:t>
      </w:r>
      <w:r>
        <w:rPr>
          <w:rFonts w:ascii="宋体" w:eastAsia="宋体" w:hAnsi="宋体" w:cs="宋体"/>
          <w:szCs w:val="21"/>
        </w:rPr>
        <w:t>成果</w:t>
      </w:r>
      <w:r>
        <w:rPr>
          <w:rFonts w:ascii="宋体" w:eastAsia="宋体" w:hAnsi="宋体" w:cs="宋体" w:hint="eastAsia"/>
          <w:szCs w:val="21"/>
        </w:rPr>
        <w:t>（包括测试版本及正式版本）的</w:t>
      </w:r>
      <w:r>
        <w:rPr>
          <w:rFonts w:ascii="宋体" w:eastAsia="宋体" w:hAnsi="宋体" w:cs="宋体"/>
          <w:szCs w:val="21"/>
        </w:rPr>
        <w:t>，每</w:t>
      </w:r>
      <w:r>
        <w:rPr>
          <w:rFonts w:ascii="宋体" w:eastAsia="宋体" w:hAnsi="宋体" w:cs="宋体" w:hint="eastAsia"/>
          <w:szCs w:val="21"/>
        </w:rPr>
        <w:t>逾期</w:t>
      </w:r>
      <w:r>
        <w:rPr>
          <w:rFonts w:ascii="宋体" w:eastAsia="宋体" w:hAnsi="宋体" w:cs="宋体"/>
          <w:szCs w:val="21"/>
        </w:rPr>
        <w:t>一</w:t>
      </w:r>
      <w:r>
        <w:rPr>
          <w:rFonts w:ascii="宋体" w:eastAsia="宋体" w:hAnsi="宋体" w:cs="宋体" w:hint="eastAsia"/>
          <w:szCs w:val="21"/>
        </w:rPr>
        <w:t>日</w:t>
      </w:r>
      <w:r>
        <w:rPr>
          <w:rFonts w:ascii="宋体" w:eastAsia="宋体" w:hAnsi="宋体" w:cs="宋体"/>
          <w:szCs w:val="21"/>
        </w:rPr>
        <w:t>，乙方应支付本合同开发费用总额</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%的违约金，</w:t>
      </w:r>
      <w:r>
        <w:rPr>
          <w:rFonts w:ascii="宋体" w:eastAsia="宋体" w:hAnsi="宋体" w:cs="宋体" w:hint="eastAsia"/>
          <w:szCs w:val="21"/>
        </w:rPr>
        <w:t>并继续履行本合同规定的义务；逾期</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日以上的，甲方有权单方解除本合同</w:t>
      </w:r>
      <w:r>
        <w:rPr>
          <w:rFonts w:ascii="宋体" w:eastAsia="宋体" w:hAnsi="宋体" w:cs="宋体" w:hint="eastAsia"/>
          <w:szCs w:val="21"/>
        </w:rPr>
        <w:t>，且乙方全额返还甲方已付款，并按合同总额的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r>
        <w:rPr>
          <w:rFonts w:ascii="宋体" w:eastAsia="宋体" w:hAnsi="宋体" w:cs="宋体" w:hint="eastAsia"/>
          <w:szCs w:val="21"/>
        </w:rPr>
        <w:t>因甲方原因造成乙方不能按期完成的，经甲方确认后，乙方开发期限可以相应顺延。</w:t>
      </w:r>
    </w:p>
    <w:p>
      <w:pPr>
        <w:numPr>
          <w:ilvl w:val="0"/>
          <w:numId w:val="48"/>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乙方未按确认的计划进度实施研究开发工作的，甲方有权要求其实施研究开发计划并采取补救措施。乙方逾期</w:t>
      </w:r>
      <w:r>
        <w:rPr>
          <w:rFonts w:ascii="宋体" w:eastAsia="宋体" w:hAnsi="宋体" w:cs="宋体" w:hint="eastAsia"/>
          <w:szCs w:val="21"/>
          <w:u w:val="single"/>
        </w:rPr>
        <w:t>【  】</w:t>
      </w:r>
      <w:r>
        <w:rPr>
          <w:rFonts w:ascii="宋体" w:eastAsia="宋体" w:hAnsi="宋体" w:cs="宋体" w:hint="eastAsia"/>
          <w:szCs w:val="21"/>
        </w:rPr>
        <w:t>个月不实施研究开发计划的，甲方有权解除本合同。乙方应当支付数额为本项目开发费用总额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pPr>
        <w:numPr>
          <w:ilvl w:val="0"/>
          <w:numId w:val="48"/>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本系统软件的研究开发成果经甲方或者甲方聘请的第三方验收确认为部分或者全部不符合本合同约定条件标准的，乙方应当返还部分或者全部研究开发经费，并支付数额为本项目开发费用总额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pPr>
        <w:numPr>
          <w:ilvl w:val="0"/>
          <w:numId w:val="48"/>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如乙方交付的软件系统，经甲方试运行</w:t>
      </w:r>
      <w:r>
        <w:rPr>
          <w:rFonts w:ascii="宋体" w:eastAsia="宋体" w:hAnsi="宋体" w:cs="宋体" w:hint="eastAsia"/>
          <w:szCs w:val="21"/>
          <w:u w:val="single"/>
        </w:rPr>
        <w:t>【  】</w:t>
      </w:r>
      <w:r>
        <w:rPr>
          <w:rFonts w:ascii="宋体" w:eastAsia="宋体" w:hAnsi="宋体" w:cs="宋体" w:hint="eastAsia"/>
          <w:szCs w:val="21"/>
        </w:rPr>
        <w:t>天内不能通过交工验收的，视为乙方不能交付符合本合同约定的技术成果，</w:t>
      </w:r>
      <w:r>
        <w:rPr>
          <w:rFonts w:ascii="宋体" w:eastAsia="宋体" w:hAnsi="宋体" w:cs="宋体"/>
          <w:szCs w:val="21"/>
        </w:rPr>
        <w:t>甲方有权单方解除本合同</w:t>
      </w:r>
      <w:r>
        <w:rPr>
          <w:rFonts w:ascii="宋体" w:eastAsia="宋体" w:hAnsi="宋体" w:cs="宋体" w:hint="eastAsia"/>
          <w:szCs w:val="21"/>
        </w:rPr>
        <w:t>，乙方除全额返还甲方已付款外，并按合同金额的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p>
    <w:p>
      <w:pPr>
        <w:numPr>
          <w:ilvl w:val="0"/>
          <w:numId w:val="48"/>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在执行本合同过程中，乙方违反本合同之约定，均为违约。除本合同另有约定外，经甲方书面催告后</w:t>
      </w:r>
      <w:r>
        <w:rPr>
          <w:rFonts w:ascii="宋体" w:eastAsia="宋体" w:hAnsi="宋体" w:cs="宋体" w:hint="eastAsia"/>
          <w:szCs w:val="21"/>
          <w:u w:val="single"/>
        </w:rPr>
        <w:t>【  】</w:t>
      </w:r>
      <w:r>
        <w:rPr>
          <w:rFonts w:ascii="宋体" w:eastAsia="宋体" w:hAnsi="宋体" w:cs="宋体" w:hint="eastAsia"/>
          <w:szCs w:val="21"/>
        </w:rPr>
        <w:t>日内仍拒绝履行或拒绝改正完毕的，甲方有权单方解除本合同，乙方除向甲方支付相当于合同金额的</w:t>
      </w:r>
      <w:r>
        <w:rPr>
          <w:rFonts w:ascii="宋体" w:eastAsia="宋体" w:hAnsi="宋体" w:cs="宋体" w:hint="eastAsia"/>
          <w:szCs w:val="21"/>
          <w:u w:val="single"/>
        </w:rPr>
        <w:t>【  】</w:t>
      </w:r>
      <w:r>
        <w:rPr>
          <w:rFonts w:ascii="宋体" w:eastAsia="宋体" w:hAnsi="宋体" w:cs="宋体" w:hint="eastAsia"/>
          <w:szCs w:val="21"/>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pPr>
        <w:numPr>
          <w:ilvl w:val="0"/>
          <w:numId w:val="48"/>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乙方执行本合同过程中，由于自然因素、人为因素、技术漏洞或管理缺陷产生的对气象部门的伤害或损失，不包含资金风险，乙方承担相应的法律责任。</w:t>
      </w:r>
    </w:p>
    <w:p>
      <w:pPr>
        <w:numPr>
          <w:ilvl w:val="0"/>
          <w:numId w:val="48"/>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乙方有关</w:t>
      </w:r>
      <w:r>
        <w:rPr>
          <w:rFonts w:ascii="宋体" w:eastAsia="宋体" w:hAnsi="宋体" w:cs="宋体"/>
          <w:szCs w:val="21"/>
        </w:rPr>
        <w:t>资质在</w:t>
      </w:r>
      <w:r>
        <w:rPr>
          <w:rFonts w:ascii="宋体" w:eastAsia="宋体" w:hAnsi="宋体" w:cs="宋体" w:hint="eastAsia"/>
          <w:szCs w:val="21"/>
        </w:rPr>
        <w:t>合同执行</w:t>
      </w:r>
      <w:r>
        <w:rPr>
          <w:rFonts w:ascii="宋体" w:eastAsia="宋体" w:hAnsi="宋体" w:cs="宋体"/>
          <w:szCs w:val="21"/>
        </w:rPr>
        <w:t>完</w:t>
      </w:r>
      <w:r>
        <w:rPr>
          <w:rFonts w:ascii="宋体" w:eastAsia="宋体" w:hAnsi="宋体" w:cs="宋体" w:hint="eastAsia"/>
          <w:szCs w:val="21"/>
        </w:rPr>
        <w:t>毕之前到期的，应确保该资质有效期得到延长至合同执行完毕之后，或者取得有效期至执行合同完毕之后的更高等级的该资质，否则甲</w:t>
      </w:r>
      <w:r>
        <w:rPr>
          <w:rFonts w:ascii="宋体" w:eastAsia="宋体" w:hAnsi="宋体" w:cs="宋体"/>
          <w:szCs w:val="21"/>
        </w:rPr>
        <w:t>方有权</w:t>
      </w:r>
      <w:r>
        <w:rPr>
          <w:rFonts w:ascii="宋体" w:eastAsia="宋体" w:hAnsi="宋体" w:cs="宋体" w:hint="eastAsia"/>
          <w:szCs w:val="21"/>
        </w:rPr>
        <w:t>中止合同，并</w:t>
      </w:r>
      <w:r>
        <w:rPr>
          <w:rFonts w:ascii="宋体" w:eastAsia="宋体" w:hAnsi="宋体" w:cs="宋体"/>
          <w:szCs w:val="21"/>
        </w:rPr>
        <w:t>追究</w:t>
      </w:r>
      <w:r>
        <w:rPr>
          <w:rFonts w:ascii="宋体" w:eastAsia="宋体" w:hAnsi="宋体" w:cs="宋体" w:hint="eastAsia"/>
          <w:szCs w:val="21"/>
        </w:rPr>
        <w:t>乙</w:t>
      </w:r>
      <w:r>
        <w:rPr>
          <w:rFonts w:ascii="宋体" w:eastAsia="宋体" w:hAnsi="宋体" w:cs="宋体"/>
          <w:szCs w:val="21"/>
        </w:rPr>
        <w:t>方的责任</w:t>
      </w:r>
      <w:r>
        <w:rPr>
          <w:rFonts w:ascii="宋体" w:eastAsia="宋体" w:hAnsi="宋体" w:cs="宋体" w:hint="eastAsia"/>
          <w:szCs w:val="21"/>
        </w:rPr>
        <w:t>。</w:t>
      </w:r>
    </w:p>
    <w:p>
      <w:pPr>
        <w:keepNext/>
        <w:keepLines/>
        <w:numPr>
          <w:ilvl w:val="0"/>
          <w:numId w:val="13"/>
        </w:numPr>
        <w:spacing w:before="60" w:after="60" w:line="360" w:lineRule="auto"/>
        <w:ind w:left="0" w:firstLine="420" w:firstLineChars="200"/>
        <w:outlineLvl w:val="1"/>
        <w:rPr>
          <w:rFonts w:ascii="宋体" w:eastAsia="宋体" w:hAnsi="宋体" w:cs="宋体"/>
          <w:b/>
          <w:bCs/>
          <w:szCs w:val="21"/>
        </w:rPr>
      </w:pPr>
      <w:bookmarkStart w:id="130" w:name="_Toc150439619"/>
      <w:r>
        <w:rPr>
          <w:rFonts w:ascii="宋体" w:eastAsia="宋体" w:hAnsi="宋体" w:cs="宋体" w:hint="eastAsia"/>
          <w:b/>
          <w:bCs/>
          <w:szCs w:val="21"/>
        </w:rPr>
        <w:t>争议的解决</w:t>
      </w:r>
      <w:bookmarkEnd w:id="130"/>
    </w:p>
    <w:p>
      <w:pPr>
        <w:ind w:firstLine="420" w:firstLineChars="200"/>
        <w:rPr>
          <w:rFonts w:ascii="宋体" w:eastAsia="宋体" w:hAnsi="宋体" w:cs="宋体"/>
          <w:szCs w:val="21"/>
        </w:rPr>
      </w:pPr>
      <w:r>
        <w:rPr>
          <w:rFonts w:ascii="宋体" w:eastAsia="宋体" w:hAnsi="宋体" w:cs="宋体" w:hint="eastAsia"/>
          <w:szCs w:val="21"/>
        </w:rPr>
        <w:t>双方因履行本合同而发生的争议，应协商、调解解决。协商、调解不成的，确定按以下第</w:t>
      </w:r>
      <w:r>
        <w:rPr>
          <w:rFonts w:ascii="宋体" w:eastAsia="宋体" w:hAnsi="宋体" w:cs="宋体" w:hint="eastAsia"/>
          <w:szCs w:val="21"/>
          <w:u w:val="single"/>
        </w:rPr>
        <w:t xml:space="preserve">      </w:t>
      </w:r>
      <w:r>
        <w:rPr>
          <w:rFonts w:ascii="宋体" w:eastAsia="宋体" w:hAnsi="宋体" w:cs="宋体" w:hint="eastAsia"/>
          <w:szCs w:val="21"/>
        </w:rPr>
        <w:t>种方式处理：</w:t>
      </w:r>
    </w:p>
    <w:p>
      <w:pPr>
        <w:numPr>
          <w:ilvl w:val="0"/>
          <w:numId w:val="49"/>
        </w:numPr>
        <w:spacing w:line="360" w:lineRule="auto"/>
        <w:ind w:hanging="5"/>
        <w:rPr>
          <w:rFonts w:ascii="宋体" w:eastAsia="宋体" w:hAnsi="宋体" w:cs="宋体"/>
          <w:szCs w:val="21"/>
        </w:rPr>
      </w:pPr>
      <w:r>
        <w:rPr>
          <w:rFonts w:ascii="宋体" w:eastAsia="宋体" w:hAnsi="宋体" w:cs="宋体" w:hint="eastAsia"/>
          <w:szCs w:val="21"/>
        </w:rPr>
        <w:t>提交</w:t>
      </w:r>
      <w:r>
        <w:rPr>
          <w:rFonts w:ascii="宋体" w:eastAsia="宋体" w:hAnsi="宋体" w:cs="宋体" w:hint="eastAsia"/>
          <w:szCs w:val="21"/>
          <w:u w:val="single"/>
        </w:rPr>
        <w:t xml:space="preserve">                    </w:t>
      </w:r>
      <w:r>
        <w:rPr>
          <w:rFonts w:ascii="宋体" w:eastAsia="宋体" w:hAnsi="宋体" w:cs="宋体" w:hint="eastAsia"/>
          <w:szCs w:val="21"/>
        </w:rPr>
        <w:t>仲裁委员会仲裁；</w:t>
      </w:r>
    </w:p>
    <w:p>
      <w:pPr>
        <w:numPr>
          <w:ilvl w:val="0"/>
          <w:numId w:val="49"/>
        </w:numPr>
        <w:spacing w:line="360" w:lineRule="auto"/>
        <w:ind w:hanging="5"/>
        <w:rPr>
          <w:rFonts w:ascii="宋体" w:eastAsia="宋体" w:hAnsi="宋体" w:cs="宋体"/>
          <w:szCs w:val="21"/>
        </w:rPr>
      </w:pPr>
      <w:r>
        <w:rPr>
          <w:rFonts w:ascii="宋体" w:eastAsia="宋体" w:hAnsi="宋体" w:cs="宋体" w:hint="eastAsia"/>
          <w:szCs w:val="21"/>
        </w:rPr>
        <w:t>依法向甲方所在地人民法院起诉。</w:t>
      </w:r>
    </w:p>
    <w:p>
      <w:pPr>
        <w:keepNext/>
        <w:keepLines/>
        <w:numPr>
          <w:ilvl w:val="0"/>
          <w:numId w:val="13"/>
        </w:numPr>
        <w:spacing w:before="60" w:after="60" w:line="360" w:lineRule="auto"/>
        <w:ind w:left="0" w:firstLine="420" w:firstLineChars="200"/>
        <w:outlineLvl w:val="1"/>
        <w:rPr>
          <w:rFonts w:ascii="宋体" w:eastAsia="宋体" w:hAnsi="宋体" w:cs="宋体"/>
          <w:b/>
          <w:bCs/>
          <w:szCs w:val="21"/>
        </w:rPr>
      </w:pPr>
      <w:bookmarkStart w:id="131" w:name="_Toc150439621"/>
      <w:r>
        <w:rPr>
          <w:rFonts w:ascii="宋体" w:eastAsia="宋体" w:hAnsi="宋体" w:cs="宋体" w:hint="eastAsia"/>
          <w:b/>
          <w:bCs/>
          <w:szCs w:val="21"/>
        </w:rPr>
        <w:t>不可抗力</w:t>
      </w:r>
      <w:bookmarkEnd w:id="131"/>
    </w:p>
    <w:p>
      <w:pPr>
        <w:numPr>
          <w:ilvl w:val="0"/>
          <w:numId w:val="50"/>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在本合同履行中，因出现在现有技术水平和条件下难以克服的技术困难，双方确定，本合同项目的技术风险按</w:t>
      </w:r>
      <w:r>
        <w:rPr>
          <w:rFonts w:ascii="宋体" w:eastAsia="宋体" w:hAnsi="宋体" w:cs="宋体" w:hint="eastAsia"/>
          <w:szCs w:val="21"/>
          <w:u w:val="single"/>
        </w:rPr>
        <w:t xml:space="preserve">               </w:t>
      </w:r>
      <w:r>
        <w:rPr>
          <w:rFonts w:ascii="宋体" w:eastAsia="宋体" w:hAnsi="宋体" w:cs="宋体" w:hint="eastAsia"/>
          <w:szCs w:val="21"/>
        </w:rPr>
        <w:t>的方式认定。认定技术风险的基本内容应当包括技术风险的存在、范围、程度及损失大小等。认定技术风险的基本条件是：</w:t>
      </w:r>
    </w:p>
    <w:p>
      <w:pPr>
        <w:numPr>
          <w:ilvl w:val="0"/>
          <w:numId w:val="51"/>
        </w:numPr>
        <w:spacing w:line="360" w:lineRule="auto"/>
        <w:ind w:hanging="5"/>
        <w:rPr>
          <w:rFonts w:ascii="宋体" w:eastAsia="宋体" w:hAnsi="宋体" w:cs="宋体"/>
          <w:szCs w:val="21"/>
        </w:rPr>
      </w:pPr>
      <w:r>
        <w:rPr>
          <w:rFonts w:ascii="宋体" w:eastAsia="宋体" w:hAnsi="宋体" w:cs="宋体" w:hint="eastAsia"/>
          <w:szCs w:val="21"/>
        </w:rPr>
        <w:t>本合同项目在现有技术水平条件下具有足够的难度；</w:t>
      </w:r>
    </w:p>
    <w:p>
      <w:pPr>
        <w:numPr>
          <w:ilvl w:val="0"/>
          <w:numId w:val="51"/>
        </w:numPr>
        <w:spacing w:line="360" w:lineRule="auto"/>
        <w:ind w:hanging="5"/>
        <w:rPr>
          <w:rFonts w:ascii="宋体" w:eastAsia="宋体" w:hAnsi="宋体" w:cs="宋体"/>
          <w:szCs w:val="21"/>
        </w:rPr>
      </w:pPr>
      <w:r>
        <w:rPr>
          <w:rFonts w:ascii="宋体" w:eastAsia="宋体" w:hAnsi="宋体" w:cs="宋体" w:hint="eastAsia"/>
          <w:szCs w:val="21"/>
        </w:rPr>
        <w:t>乙方在主观上无过错且经认定研究开发失败为合理的失败。</w:t>
      </w:r>
    </w:p>
    <w:p>
      <w:pPr>
        <w:ind w:firstLine="420" w:firstLineChars="200"/>
        <w:rPr>
          <w:rFonts w:ascii="宋体" w:eastAsia="宋体" w:hAnsi="宋体" w:cs="宋体"/>
          <w:szCs w:val="21"/>
        </w:rPr>
      </w:pPr>
      <w:r>
        <w:rPr>
          <w:rFonts w:ascii="宋体" w:eastAsia="宋体" w:hAnsi="宋体" w:cs="宋体" w:hint="eastAsia"/>
          <w:szCs w:val="21"/>
        </w:rPr>
        <w:t>一方发现技术风险存在并有可能致使研究开发失败或部分失败的情形时，应当在</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rPr>
          <w:rFonts w:ascii="宋体" w:eastAsia="宋体" w:hAnsi="宋体" w:cs="宋体"/>
          <w:szCs w:val="21"/>
        </w:rPr>
      </w:pPr>
      <w:r>
        <w:rPr>
          <w:rFonts w:ascii="宋体" w:eastAsia="宋体" w:hAnsi="宋体" w:cs="宋体" w:hint="eastAsia"/>
          <w:szCs w:val="21"/>
        </w:rPr>
        <w:t>日内通知另一方并采取适当措施减少损失。逾期未通知并未采取适当措施而致使损失扩大的，应当就扩大的损失承担赔偿责任。</w:t>
      </w:r>
    </w:p>
    <w:p>
      <w:pPr>
        <w:numPr>
          <w:ilvl w:val="0"/>
          <w:numId w:val="50"/>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在本合同履行中，因作为研究开发标的技术已经由他人公开（包括以专利权方式公开），一方应在</w:t>
      </w:r>
      <w:r>
        <w:rPr>
          <w:rFonts w:ascii="宋体" w:eastAsia="宋体" w:hAnsi="宋体" w:cs="宋体" w:hint="eastAsia"/>
          <w:szCs w:val="21"/>
          <w:u w:val="single"/>
        </w:rPr>
        <w:t xml:space="preserve">      </w:t>
      </w:r>
      <w:r>
        <w:rPr>
          <w:rFonts w:ascii="宋体" w:eastAsia="宋体" w:hAnsi="宋体" w:cs="宋体" w:hint="eastAsia"/>
          <w:szCs w:val="21"/>
        </w:rPr>
        <w:t>日内通知另一方解除合同。逾期未通知并致使另一方产生损失的，另一方有权要求予以赔偿。</w:t>
      </w:r>
    </w:p>
    <w:p>
      <w:pPr>
        <w:numPr>
          <w:ilvl w:val="0"/>
          <w:numId w:val="50"/>
        </w:numPr>
        <w:spacing w:line="360" w:lineRule="auto"/>
        <w:ind w:firstLine="420" w:firstLineChars="200"/>
        <w:rPr>
          <w:rFonts w:ascii="宋体" w:eastAsia="宋体" w:hAnsi="宋体" w:cs="宋体"/>
          <w:szCs w:val="21"/>
        </w:rPr>
      </w:pPr>
      <w:r>
        <w:rPr>
          <w:rFonts w:ascii="宋体" w:eastAsia="宋体" w:hAnsi="宋体" w:cs="宋体" w:hint="eastAsia"/>
          <w:szCs w:val="21"/>
        </w:rPr>
        <w:t>双方确定出现下列情形，致使本合同的履行成为不必要或不可能的，一方可以通知另一方解除本合同；</w:t>
      </w:r>
    </w:p>
    <w:p>
      <w:pPr>
        <w:numPr>
          <w:ilvl w:val="0"/>
          <w:numId w:val="52"/>
        </w:numPr>
        <w:spacing w:line="360" w:lineRule="auto"/>
        <w:ind w:hanging="5"/>
        <w:rPr>
          <w:rFonts w:ascii="宋体" w:eastAsia="宋体" w:hAnsi="宋体" w:cs="宋体"/>
          <w:szCs w:val="21"/>
        </w:rPr>
      </w:pPr>
      <w:r>
        <w:rPr>
          <w:rFonts w:ascii="宋体" w:eastAsia="宋体" w:hAnsi="宋体" w:cs="宋体" w:hint="eastAsia"/>
          <w:szCs w:val="21"/>
        </w:rPr>
        <w:t>因发生不可抗力或技术风险；</w:t>
      </w:r>
    </w:p>
    <w:p>
      <w:pPr>
        <w:numPr>
          <w:ilvl w:val="0"/>
          <w:numId w:val="52"/>
        </w:numPr>
        <w:spacing w:line="360" w:lineRule="auto"/>
        <w:ind w:hanging="5"/>
        <w:rPr>
          <w:rFonts w:ascii="宋体" w:eastAsia="宋体" w:hAnsi="宋体" w:cs="宋体"/>
          <w:szCs w:val="21"/>
        </w:rPr>
      </w:pPr>
      <w:r>
        <w:rPr>
          <w:rFonts w:ascii="宋体" w:eastAsia="宋体" w:hAnsi="宋体" w:cs="宋体" w:hint="eastAsia"/>
          <w:szCs w:val="21"/>
        </w:rPr>
        <w:t>因一方未按约定履行合同义务支付款项的；</w:t>
      </w:r>
    </w:p>
    <w:p>
      <w:pPr>
        <w:numPr>
          <w:ilvl w:val="0"/>
          <w:numId w:val="52"/>
        </w:numPr>
        <w:spacing w:line="360" w:lineRule="auto"/>
        <w:ind w:hanging="5"/>
        <w:rPr>
          <w:rFonts w:ascii="宋体" w:eastAsia="宋体" w:hAnsi="宋体" w:cs="宋体"/>
          <w:szCs w:val="21"/>
        </w:rPr>
      </w:pPr>
      <w:r>
        <w:rPr>
          <w:rFonts w:ascii="宋体" w:eastAsia="宋体" w:hAnsi="宋体" w:cs="宋体" w:hint="eastAsia"/>
          <w:szCs w:val="21"/>
        </w:rPr>
        <w:t>因一方未按期完成合同约定的项目开发任务。</w:t>
      </w:r>
    </w:p>
    <w:p>
      <w:pPr>
        <w:keepNext/>
        <w:keepLines/>
        <w:numPr>
          <w:ilvl w:val="0"/>
          <w:numId w:val="13"/>
        </w:numPr>
        <w:spacing w:before="60" w:after="60" w:line="360" w:lineRule="auto"/>
        <w:ind w:left="0" w:firstLine="420" w:firstLineChars="200"/>
        <w:outlineLvl w:val="1"/>
        <w:rPr>
          <w:rFonts w:ascii="宋体" w:eastAsia="宋体" w:hAnsi="宋体" w:cs="宋体"/>
          <w:b/>
          <w:bCs/>
          <w:szCs w:val="21"/>
        </w:rPr>
      </w:pPr>
      <w:bookmarkStart w:id="132" w:name="_Toc150439624"/>
      <w:r>
        <w:rPr>
          <w:rFonts w:ascii="宋体" w:eastAsia="宋体" w:hAnsi="宋体" w:cs="宋体" w:hint="eastAsia"/>
          <w:b/>
          <w:bCs/>
          <w:szCs w:val="21"/>
        </w:rPr>
        <w:t>本合同的变更</w:t>
      </w:r>
      <w:bookmarkEnd w:id="132"/>
    </w:p>
    <w:p>
      <w:pPr>
        <w:numPr>
          <w:ilvl w:val="0"/>
          <w:numId w:val="53"/>
        </w:numPr>
        <w:spacing w:before="221" w:line="360" w:lineRule="auto"/>
        <w:ind w:firstLine="420" w:firstLineChars="200"/>
        <w:rPr>
          <w:rFonts w:ascii="宋体" w:eastAsia="宋体" w:hAnsi="宋体" w:cs="宋体"/>
          <w:szCs w:val="21"/>
        </w:rPr>
      </w:pPr>
      <w:r>
        <w:rPr>
          <w:rFonts w:ascii="宋体" w:eastAsia="宋体" w:hAnsi="宋体" w:cs="宋体" w:hint="eastAsia"/>
          <w:szCs w:val="21"/>
        </w:rPr>
        <w:t>合同一经签订，不得随意变更、调整、中止或终止。对确需变更、调整或者中止、终止合同的，应按规定履行相应的手续。</w:t>
      </w:r>
    </w:p>
    <w:p>
      <w:pPr>
        <w:numPr>
          <w:ilvl w:val="0"/>
          <w:numId w:val="53"/>
        </w:numPr>
        <w:spacing w:before="221" w:line="360" w:lineRule="auto"/>
        <w:ind w:firstLine="420" w:firstLineChars="200"/>
        <w:rPr>
          <w:rFonts w:ascii="宋体" w:eastAsia="宋体" w:hAnsi="宋体" w:cs="宋体"/>
          <w:szCs w:val="21"/>
        </w:rPr>
      </w:pPr>
      <w:r>
        <w:rPr>
          <w:rFonts w:ascii="宋体" w:eastAsia="宋体" w:hAnsi="宋体" w:cs="宋体" w:hint="eastAsia"/>
          <w:szCs w:val="21"/>
        </w:rPr>
        <w:t>本合同的变更必须由双方协商一致，并以书面形式确定。但有下列情形之一的，一方可以向另一方提出变更合同权利与义务的请求，另一方应当在</w:t>
      </w:r>
      <w:r>
        <w:rPr>
          <w:rFonts w:ascii="宋体" w:eastAsia="宋体" w:hAnsi="宋体" w:cs="宋体" w:hint="eastAsia"/>
          <w:szCs w:val="21"/>
          <w:u w:val="single"/>
        </w:rPr>
        <w:t xml:space="preserve">      </w:t>
      </w:r>
      <w:r>
        <w:rPr>
          <w:rFonts w:ascii="宋体" w:eastAsia="宋体" w:hAnsi="宋体" w:cs="宋体" w:hint="eastAsia"/>
          <w:szCs w:val="21"/>
        </w:rPr>
        <w:t>日内予以答复；逾期未予答复的，视为同意。</w:t>
      </w:r>
    </w:p>
    <w:p>
      <w:pPr>
        <w:spacing w:before="221"/>
        <w:ind w:left="420" w:leftChars="200"/>
        <w:rPr>
          <w:rFonts w:ascii="宋体" w:eastAsia="宋体" w:hAnsi="宋体" w:cs="宋体"/>
          <w:szCs w:val="21"/>
          <w:u w:val="single"/>
        </w:rPr>
      </w:pPr>
      <w:r>
        <w:rPr>
          <w:rFonts w:ascii="宋体" w:eastAsia="宋体" w:hAnsi="宋体" w:cs="宋体" w:hint="eastAsia"/>
          <w:szCs w:val="21"/>
          <w:u w:val="single"/>
        </w:rPr>
        <w:t xml:space="preserve">                                                              </w:t>
      </w:r>
    </w:p>
    <w:p>
      <w:pPr>
        <w:keepNext/>
        <w:keepLines/>
        <w:numPr>
          <w:ilvl w:val="0"/>
          <w:numId w:val="13"/>
        </w:numPr>
        <w:spacing w:before="60" w:after="60" w:line="360" w:lineRule="auto"/>
        <w:ind w:left="0" w:firstLine="420" w:firstLineChars="200"/>
        <w:outlineLvl w:val="1"/>
        <w:rPr>
          <w:rFonts w:ascii="宋体" w:eastAsia="宋体" w:hAnsi="宋体" w:cs="宋体"/>
          <w:b/>
          <w:bCs/>
          <w:szCs w:val="21"/>
        </w:rPr>
      </w:pPr>
      <w:bookmarkStart w:id="133" w:name="_Toc150439623"/>
      <w:r>
        <w:rPr>
          <w:rFonts w:ascii="宋体" w:eastAsia="宋体" w:hAnsi="宋体" w:cs="宋体" w:hint="eastAsia"/>
          <w:b/>
          <w:bCs/>
          <w:szCs w:val="21"/>
        </w:rPr>
        <w:t>其它</w:t>
      </w:r>
      <w:bookmarkEnd w:id="133"/>
    </w:p>
    <w:p>
      <w:pPr>
        <w:ind w:left="420" w:leftChars="200"/>
        <w:rPr>
          <w:rFonts w:ascii="宋体" w:eastAsia="宋体" w:hAnsi="宋体" w:cs="宋体"/>
          <w:szCs w:val="21"/>
        </w:rPr>
      </w:pPr>
      <w:r>
        <w:rPr>
          <w:rFonts w:ascii="宋体" w:eastAsia="宋体" w:hAnsi="宋体" w:cs="宋体" w:hint="eastAsia"/>
          <w:szCs w:val="21"/>
        </w:rPr>
        <w:t>本合同未尽事宜，由双方协商后按有关程序办理，并以书面形式进行确定。</w:t>
      </w:r>
    </w:p>
    <w:p>
      <w:pPr>
        <w:keepNext/>
        <w:keepLines/>
        <w:numPr>
          <w:ilvl w:val="0"/>
          <w:numId w:val="13"/>
        </w:numPr>
        <w:spacing w:before="60" w:after="60" w:line="360" w:lineRule="auto"/>
        <w:ind w:left="0" w:firstLine="420" w:firstLineChars="200"/>
        <w:outlineLvl w:val="1"/>
        <w:rPr>
          <w:rFonts w:ascii="宋体" w:eastAsia="宋体" w:hAnsi="宋体" w:cs="宋体"/>
          <w:b/>
          <w:bCs/>
          <w:szCs w:val="21"/>
        </w:rPr>
      </w:pPr>
      <w:bookmarkStart w:id="134" w:name="_Toc150439626"/>
      <w:r>
        <w:rPr>
          <w:rFonts w:ascii="宋体" w:eastAsia="宋体" w:hAnsi="宋体" w:cs="宋体" w:hint="eastAsia"/>
          <w:b/>
          <w:bCs/>
          <w:szCs w:val="21"/>
        </w:rPr>
        <w:t>合同生效</w:t>
      </w:r>
      <w:bookmarkEnd w:id="134"/>
    </w:p>
    <w:p>
      <w:pPr>
        <w:numPr>
          <w:ilvl w:val="0"/>
          <w:numId w:val="54"/>
        </w:numPr>
        <w:spacing w:line="360" w:lineRule="auto"/>
        <w:ind w:firstLine="420" w:firstLineChars="200"/>
        <w:rPr>
          <w:rFonts w:ascii="宋体" w:eastAsia="宋体" w:hAnsi="宋体" w:cs="宋体"/>
          <w:szCs w:val="21"/>
        </w:rPr>
      </w:pPr>
      <w:r>
        <w:rPr>
          <w:rFonts w:ascii="宋体" w:eastAsia="宋体" w:hAnsi="宋体" w:cs="宋体" w:hint="eastAsia"/>
          <w:szCs w:val="21"/>
        </w:rPr>
        <w:t>本合同经双方法定代表人或授权代表签字盖章后生效，至质保期结束终止。</w:t>
      </w:r>
    </w:p>
    <w:p>
      <w:pPr>
        <w:numPr>
          <w:ilvl w:val="0"/>
          <w:numId w:val="54"/>
        </w:numPr>
        <w:spacing w:line="360" w:lineRule="auto"/>
        <w:ind w:firstLine="420" w:firstLineChars="200"/>
        <w:rPr>
          <w:rFonts w:ascii="宋体" w:eastAsia="宋体" w:hAnsi="宋体" w:cs="宋体"/>
          <w:szCs w:val="21"/>
        </w:rPr>
      </w:pPr>
      <w:r>
        <w:rPr>
          <w:rFonts w:ascii="宋体" w:eastAsia="宋体" w:hAnsi="宋体" w:cs="宋体" w:hint="eastAsia"/>
          <w:szCs w:val="21"/>
        </w:rPr>
        <w:t>本合同一式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份，双方各执</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份，具有同等法律效力。</w:t>
      </w:r>
    </w:p>
    <w:p>
      <w:pPr>
        <w:ind w:firstLine="420" w:firstLineChars="200"/>
        <w:jc w:val="left"/>
        <w:rPr>
          <w:rFonts w:ascii="宋体" w:eastAsia="宋体" w:hAnsi="宋体" w:cs="宋体"/>
          <w:szCs w:val="21"/>
        </w:rPr>
      </w:pPr>
      <w:r>
        <w:rPr>
          <w:rFonts w:ascii="宋体" w:eastAsia="宋体" w:hAnsi="宋体" w:cs="宋体" w:hint="eastAsia"/>
          <w:szCs w:val="21"/>
        </w:rPr>
        <w:t>甲方：</w:t>
      </w:r>
      <w:r>
        <w:rPr>
          <w:rFonts w:ascii="宋体" w:eastAsia="宋体" w:hAnsi="宋体" w:cs="宋体" w:hint="eastAsia"/>
          <w:szCs w:val="21"/>
          <w:u w:val="single"/>
        </w:rPr>
        <w:t xml:space="preserve">            </w:t>
      </w:r>
      <w:r>
        <w:rPr>
          <w:rFonts w:ascii="宋体" w:eastAsia="宋体" w:hAnsi="宋体" w:cs="宋体" w:hint="eastAsia"/>
          <w:szCs w:val="21"/>
        </w:rPr>
        <w:t xml:space="preserve"> (盖章） </w:t>
      </w:r>
    </w:p>
    <w:p>
      <w:pPr>
        <w:ind w:firstLine="420" w:firstLineChars="200"/>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ind w:firstLine="420" w:firstLineChars="200"/>
        <w:rPr>
          <w:rFonts w:ascii="宋体" w:eastAsia="宋体" w:hAnsi="宋体" w:cs="宋体"/>
          <w:szCs w:val="21"/>
        </w:rPr>
      </w:pPr>
      <w:r>
        <w:rPr>
          <w:rFonts w:ascii="宋体" w:eastAsia="宋体" w:hAnsi="宋体" w:cs="宋体" w:hint="eastAsia"/>
          <w:szCs w:val="21"/>
        </w:rPr>
        <w:t>法定代表人/</w:t>
      </w:r>
      <w:r>
        <w:rPr>
          <w:rFonts w:ascii="宋体" w:eastAsia="宋体" w:hAnsi="宋体" w:cs="宋体" w:hint="eastAsia"/>
          <w:szCs w:val="21"/>
        </w:rPr>
        <w:t>授权</w:t>
      </w:r>
      <w:r>
        <w:rPr>
          <w:rFonts w:ascii="宋体" w:eastAsia="宋体" w:hAnsi="宋体" w:cs="宋体" w:hint="eastAsia"/>
          <w:szCs w:val="21"/>
        </w:rPr>
        <w:t>代理人：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p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w:t>
      </w:r>
      <w:r>
        <w:rPr>
          <w:rFonts w:ascii="宋体" w:eastAsia="宋体" w:hAnsi="宋体" w:cs="宋体" w:hint="eastAsia"/>
          <w:szCs w:val="21"/>
          <w:u w:val="single"/>
        </w:rPr>
        <w:t xml:space="preserve">             </w:t>
      </w:r>
      <w:r>
        <w:rPr>
          <w:rFonts w:ascii="宋体" w:eastAsia="宋体" w:hAnsi="宋体" w:cs="宋体" w:hint="eastAsia"/>
          <w:szCs w:val="21"/>
        </w:rPr>
        <w:t>（盖章）</w:t>
      </w:r>
    </w:p>
    <w:p>
      <w:pPr>
        <w:spacing w:line="360" w:lineRule="auto"/>
        <w:ind w:firstLine="420" w:firstLineChars="200"/>
        <w:jc w:val="left"/>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法定代表人/</w:t>
      </w:r>
      <w:r>
        <w:rPr>
          <w:rFonts w:ascii="宋体" w:eastAsia="宋体" w:hAnsi="宋体" w:cs="宋体" w:hint="eastAsia"/>
          <w:szCs w:val="21"/>
        </w:rPr>
        <w:t>授权</w:t>
      </w:r>
      <w:r>
        <w:rPr>
          <w:rFonts w:ascii="宋体" w:eastAsia="宋体" w:hAnsi="宋体" w:cs="宋体" w:hint="eastAsia"/>
          <w:szCs w:val="21"/>
        </w:rPr>
        <w:t>代理人：</w:t>
      </w:r>
      <w:r>
        <w:rPr>
          <w:rFonts w:ascii="宋体" w:eastAsia="宋体" w:hAnsi="宋体" w:cs="宋体" w:hint="eastAsia"/>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bookmarkEnd w:id="115"/>
    <w:p w:rsidR="00A77B3E"/>
    <w:p>
      <w:pPr>
        <w:spacing w:line="360" w:lineRule="auto"/>
        <w:ind w:firstLine="3066" w:firstLineChars="1460"/>
        <w:jc w:val="left"/>
        <w:rPr>
          <w:rFonts w:ascii="Times New Roman" w:eastAsia="宋体" w:hAnsi="Times New Roman" w:cs="Times New Roman"/>
          <w:b/>
          <w:bCs/>
          <w:szCs w:val="21"/>
        </w:rPr>
      </w:pPr>
      <w:bookmarkEnd w:id="114"/>
    </w:p>
    <w:p>
      <w:pPr>
        <w:rPr>
          <w:rFonts w:ascii="Calibri" w:hAnsi="Calibri"/>
          <w:szCs w:val="22"/>
          <w:highlight w:val="none"/>
        </w:rPr>
      </w:pPr>
    </w:p>
    <w:p>
      <w:pPr>
        <w:spacing w:line="360" w:lineRule="auto"/>
        <w:jc w:val="left"/>
        <w:rPr>
          <w:b/>
          <w:bCs/>
          <w:sz w:val="44"/>
          <w:szCs w:val="44"/>
          <w:highlight w:val="none"/>
        </w:rPr>
      </w:pPr>
    </w:p>
    <w:sectPr>
      <w:footerReference w:type="even" r:id="rId11"/>
      <w:footerReference w:type="default" r:id="rId12"/>
      <w:pgSz w:w="11906" w:h="16838"/>
      <w:pgMar w:top="1440" w:right="1800" w:bottom="1440" w:left="1800" w:header="851" w:footer="992" w:gutter="0"/>
      <w:cols w:num="1" w:space="72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altName w:val="DejaVu Sans"/>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altName w:val="DejaVu Sans"/>
    <w:panose1 w:val="020B0604020202020204"/>
    <w:charset w:val="CC"/>
    <w:family w:val="swiss"/>
    <w:pitch w:val="variable"/>
    <w:sig w:usb0="E0002EFF" w:usb1="C000785B"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altName w:val="DejaVu Sans"/>
    <w:panose1 w:val="020F0502020204030204"/>
    <w:charset w:val="00"/>
    <w:family w:val="swiss"/>
    <w:pitch w:val="default"/>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金山简黑体">
    <w:altName w:val="方正黑体_GBK"/>
    <w:panose1 w:val="00000000000000000000"/>
    <w:charset w:val="00"/>
    <w:family w:val="auto"/>
    <w:pitch w:val="default"/>
    <w:sig w:usb0="00000000" w:usb1="00000000" w:usb2="00000000" w:usb3="00000000" w:csb0="00040001" w:csb1="00000000"/>
  </w:font>
  <w:font w:name="方正黑体_GBK">
    <w:panose1 w:val="02000000000000000000"/>
    <w:charset w:val="86"/>
    <w:family w:val="auto"/>
    <w:pitch w:val="default"/>
    <w:sig w:usb0="00000001" w:usb1="08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10601030101010101"/>
    <w:charset w:val="86"/>
    <w:family w:val="auto"/>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framePr w:wrap="around" w:vAnchor="text" w:hAnchor="margin" w:xAlign="right" w:y="1"/>
      <w:widowControl w:val="0"/>
      <w:snapToGrid w:val="0"/>
      <w:jc w:val="left"/>
      <w:rPr>
        <w:rStyle w:val="PageNumber"/>
        <w:rFonts w:ascii="Times New Roman" w:eastAsia="宋体" w:hAnsi="Times New Roman" w:cs="Times New Roman"/>
        <w:sz w:val="18"/>
      </w:rPr>
    </w:pPr>
    <w:r>
      <w:rPr>
        <w:rFonts w:ascii="Times New Roman" w:eastAsia="宋体" w:hAnsi="Times New Roman" w:cs="Times New Roman"/>
        <w:kern w:val="2"/>
        <w:sz w:val="18"/>
        <w:lang w:val="en-US" w:eastAsia="zh-CN" w:bidi="ar-SA"/>
      </w:rPr>
      <w:fldChar w:fldCharType="begin"/>
    </w:r>
    <w:r>
      <w:rPr>
        <w:rStyle w:val="PageNumber"/>
        <w:rFonts w:ascii="Times New Roman" w:eastAsia="宋体" w:hAnsi="Times New Roman" w:cs="Times New Roman"/>
        <w:kern w:val="2"/>
        <w:sz w:val="21"/>
        <w:lang w:val="en-US" w:eastAsia="zh-CN" w:bidi="ar-SA"/>
      </w:rPr>
      <w:instrText xml:space="preserve">PAGE  </w:instrText>
    </w:r>
    <w:r>
      <w:rPr>
        <w:rFonts w:ascii="Times New Roman" w:eastAsia="宋体" w:hAnsi="Times New Roman" w:cs="Times New Roman"/>
        <w:kern w:val="2"/>
        <w:sz w:val="18"/>
        <w:lang w:val="en-US" w:eastAsia="zh-CN" w:bidi="ar-SA"/>
      </w:rPr>
      <w:fldChar w:fldCharType="separate"/>
    </w:r>
    <w:r>
      <w:rPr>
        <w:rFonts w:ascii="Times New Roman" w:eastAsia="宋体" w:hAnsi="Times New Roman" w:cs="Times New Roman"/>
        <w:kern w:val="2"/>
        <w:sz w:val="18"/>
        <w:lang w:val="en-US" w:eastAsia="zh-CN" w:bidi="ar-SA"/>
      </w:rPr>
      <w:fldChar w:fldCharType="end"/>
    </w:r>
  </w:p>
  <w:p>
    <w:pPr>
      <w:widowControl w:val="0"/>
      <w:snapToGrid w:val="0"/>
      <w:ind w:right="360"/>
      <w:jc w:val="left"/>
      <w:rPr>
        <w:rFonts w:ascii="Times New Roman" w:eastAsia="宋体" w:hAnsi="Times New Roman" w:cs="Times New Roman"/>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napToGrid w:val="0"/>
      <w:jc w:val="center"/>
      <w:rPr>
        <w:rFonts w:ascii="宋体" w:eastAsia="宋体" w:hAnsi="宋体" w:cs="Times New Roman"/>
        <w:szCs w:val="21"/>
      </w:rPr>
    </w:pPr>
    <w:r>
      <w:rPr>
        <w:rFonts w:ascii="宋体" w:eastAsia="宋体" w:hAnsi="宋体" w:cs="Times New Roman"/>
        <w:kern w:val="2"/>
        <w:sz w:val="21"/>
        <w:szCs w:val="21"/>
        <w:lang w:val="en-US" w:eastAsia="zh-CN" w:bidi="ar-SA"/>
      </w:rPr>
      <w:fldChar w:fldCharType="begin"/>
    </w:r>
    <w:r>
      <w:rPr>
        <w:rFonts w:ascii="宋体" w:eastAsia="宋体" w:hAnsi="宋体" w:cs="Times New Roman"/>
        <w:kern w:val="2"/>
        <w:sz w:val="21"/>
        <w:szCs w:val="21"/>
        <w:lang w:val="en-US" w:eastAsia="zh-CN" w:bidi="ar-SA"/>
      </w:rPr>
      <w:instrText>PAGE   \* MERGEFORMAT</w:instrText>
    </w:r>
    <w:r>
      <w:rPr>
        <w:rFonts w:ascii="宋体" w:eastAsia="宋体" w:hAnsi="宋体" w:cs="Times New Roman"/>
        <w:kern w:val="2"/>
        <w:sz w:val="21"/>
        <w:szCs w:val="21"/>
        <w:lang w:val="en-US" w:eastAsia="zh-CN" w:bidi="ar-SA"/>
      </w:rPr>
      <w:fldChar w:fldCharType="separate"/>
    </w:r>
    <w:r>
      <w:rPr>
        <w:rFonts w:ascii="宋体" w:eastAsia="宋体" w:hAnsi="宋体" w:cs="Times New Roman"/>
        <w:kern w:val="2"/>
        <w:sz w:val="21"/>
        <w:szCs w:val="21"/>
        <w:lang w:val="zh-CN" w:eastAsia="zh-CN" w:bidi="ar-SA"/>
      </w:rPr>
      <w:t>24</w:t>
    </w:r>
    <w:r>
      <w:rPr>
        <w:rFonts w:ascii="宋体" w:eastAsia="宋体" w:hAnsi="宋体" w:cs="Times New Roman"/>
        <w:kern w:val="2"/>
        <w:sz w:val="21"/>
        <w:szCs w:val="21"/>
        <w:lang w:val="en-US" w:eastAsia="zh-CN" w:bidi="ar-SA"/>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framePr w:wrap="around" w:vAnchor="text" w:hAnchor="margin" w:xAlign="right" w:y="1"/>
      <w:widowControl w:val="0"/>
      <w:snapToGrid w:val="0"/>
      <w:jc w:val="left"/>
      <w:rPr>
        <w:rStyle w:val="PageNumber"/>
        <w:rFonts w:ascii="Times New Roman" w:eastAsia="宋体" w:hAnsi="Times New Roman" w:cs="Times New Roman"/>
        <w:sz w:val="18"/>
      </w:rPr>
    </w:pPr>
    <w:r>
      <w:rPr>
        <w:rFonts w:ascii="Times New Roman" w:eastAsia="宋体" w:hAnsi="Times New Roman" w:cs="Times New Roman"/>
        <w:kern w:val="2"/>
        <w:sz w:val="18"/>
        <w:lang w:val="en-US" w:eastAsia="zh-CN" w:bidi="ar-SA"/>
      </w:rPr>
      <w:fldChar w:fldCharType="begin"/>
    </w:r>
    <w:r>
      <w:rPr>
        <w:rStyle w:val="PageNumber"/>
        <w:rFonts w:ascii="Times New Roman" w:eastAsia="宋体" w:hAnsi="Times New Roman" w:cs="Times New Roman"/>
        <w:kern w:val="2"/>
        <w:sz w:val="21"/>
        <w:lang w:val="en-US" w:eastAsia="zh-CN" w:bidi="ar-SA"/>
      </w:rPr>
      <w:instrText xml:space="preserve">PAGE  </w:instrText>
    </w:r>
    <w:r>
      <w:rPr>
        <w:rFonts w:ascii="Times New Roman" w:eastAsia="宋体" w:hAnsi="Times New Roman" w:cs="Times New Roman"/>
        <w:kern w:val="2"/>
        <w:sz w:val="18"/>
        <w:lang w:val="en-US" w:eastAsia="zh-CN" w:bidi="ar-SA"/>
      </w:rPr>
      <w:fldChar w:fldCharType="separate"/>
    </w:r>
    <w:r>
      <w:rPr>
        <w:rFonts w:ascii="Times New Roman" w:eastAsia="宋体" w:hAnsi="Times New Roman" w:cs="Times New Roman"/>
        <w:kern w:val="2"/>
        <w:sz w:val="18"/>
        <w:lang w:val="en-US" w:eastAsia="zh-CN" w:bidi="ar-SA"/>
      </w:rPr>
      <w:fldChar w:fldCharType="end"/>
    </w:r>
  </w:p>
  <w:p>
    <w:pPr>
      <w:widowControl w:val="0"/>
      <w:snapToGrid w:val="0"/>
      <w:ind w:right="360"/>
      <w:jc w:val="left"/>
      <w:rPr>
        <w:rFonts w:ascii="Times New Roman" w:eastAsia="宋体" w:hAnsi="Times New Roman" w:cs="Times New Roman"/>
        <w:sz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napToGrid w:val="0"/>
      <w:jc w:val="center"/>
      <w:rPr>
        <w:rFonts w:ascii="宋体" w:eastAsia="宋体" w:hAnsi="宋体" w:cs="Times New Roman"/>
        <w:szCs w:val="21"/>
      </w:rPr>
    </w:pPr>
    <w:r>
      <w:rPr>
        <w:rFonts w:ascii="宋体" w:eastAsia="宋体" w:hAnsi="宋体" w:cs="Times New Roman"/>
        <w:kern w:val="2"/>
        <w:sz w:val="21"/>
        <w:szCs w:val="21"/>
        <w:lang w:val="en-US" w:eastAsia="zh-CN" w:bidi="ar-SA"/>
      </w:rPr>
      <w:fldChar w:fldCharType="begin"/>
    </w:r>
    <w:r>
      <w:rPr>
        <w:rFonts w:ascii="宋体" w:eastAsia="宋体" w:hAnsi="宋体" w:cs="Times New Roman"/>
        <w:kern w:val="2"/>
        <w:sz w:val="21"/>
        <w:szCs w:val="21"/>
        <w:lang w:val="en-US" w:eastAsia="zh-CN" w:bidi="ar-SA"/>
      </w:rPr>
      <w:instrText>PAGE   \* MERGEFORMAT</w:instrText>
    </w:r>
    <w:r>
      <w:rPr>
        <w:rFonts w:ascii="宋体" w:eastAsia="宋体" w:hAnsi="宋体" w:cs="Times New Roman"/>
        <w:kern w:val="2"/>
        <w:sz w:val="21"/>
        <w:szCs w:val="21"/>
        <w:lang w:val="en-US" w:eastAsia="zh-CN" w:bidi="ar-SA"/>
      </w:rPr>
      <w:fldChar w:fldCharType="separate"/>
    </w:r>
    <w:r>
      <w:rPr>
        <w:rFonts w:ascii="宋体" w:eastAsia="宋体" w:hAnsi="宋体" w:cs="Times New Roman"/>
        <w:kern w:val="2"/>
        <w:sz w:val="21"/>
        <w:szCs w:val="21"/>
        <w:lang w:val="zh-CN" w:eastAsia="zh-CN" w:bidi="ar-SA"/>
      </w:rPr>
      <w:t>24</w:t>
    </w:r>
    <w:r>
      <w:rPr>
        <w:rFonts w:ascii="宋体" w:eastAsia="宋体" w:hAnsi="宋体" w:cs="Times New Roman"/>
        <w:kern w:val="2"/>
        <w:sz w:val="21"/>
        <w:szCs w:val="21"/>
        <w:lang w:val="en-US" w:eastAsia="zh-CN" w:bidi="ar-SA"/>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F9F7ACF"/>
    <w:multiLevelType w:val="singleLevel"/>
    <w:tmpl w:val="AF9F7ACF"/>
    <w:lvl w:ilvl="0">
      <w:start w:val="1"/>
      <w:numFmt w:val="decimal"/>
      <w:lvlText w:val="%1)"/>
      <w:lvlJc w:val="left"/>
      <w:pPr>
        <w:ind w:left="425" w:hanging="425"/>
      </w:pPr>
      <w:rPr>
        <w:rFonts w:hint="default"/>
      </w:rPr>
    </w:lvl>
  </w:abstractNum>
  <w:abstractNum w:abstractNumId="4">
    <w:nsid w:val="DF7A974B"/>
    <w:multiLevelType w:val="singleLevel"/>
    <w:tmpl w:val="DF7A974B"/>
    <w:lvl w:ilvl="0">
      <w:start w:val="1"/>
      <w:numFmt w:val="decimal"/>
      <w:lvlText w:val="%1)"/>
      <w:lvlJc w:val="left"/>
      <w:pPr>
        <w:ind w:left="425" w:hanging="425"/>
      </w:pPr>
      <w:rPr>
        <w:rFonts w:hint="default"/>
      </w:rPr>
    </w:lvl>
  </w:abstractNum>
  <w:abstractNum w:abstractNumId="5">
    <w:nsid w:val="DFBE2221"/>
    <w:multiLevelType w:val="singleLevel"/>
    <w:tmpl w:val="DFBE2221"/>
    <w:lvl w:ilvl="0">
      <w:start w:val="1"/>
      <w:numFmt w:val="decimal"/>
      <w:lvlText w:val="%1)"/>
      <w:lvlJc w:val="left"/>
      <w:pPr>
        <w:ind w:left="425" w:hanging="425"/>
      </w:pPr>
      <w:rPr>
        <w:rFonts w:hint="default"/>
      </w:rPr>
    </w:lvl>
  </w:abstractNum>
  <w:abstractNum w:abstractNumId="6">
    <w:nsid w:val="DFCE4441"/>
    <w:multiLevelType w:val="singleLevel"/>
    <w:tmpl w:val="DFCE4441"/>
    <w:lvl w:ilvl="0">
      <w:start w:val="1"/>
      <w:numFmt w:val="decimal"/>
      <w:lvlText w:val="%1)"/>
      <w:lvlJc w:val="left"/>
      <w:pPr>
        <w:ind w:left="425" w:hanging="425"/>
      </w:pPr>
      <w:rPr>
        <w:rFonts w:hint="default"/>
      </w:rPr>
    </w:lvl>
  </w:abstractNum>
  <w:abstractNum w:abstractNumId="7">
    <w:nsid w:val="E7F65004"/>
    <w:multiLevelType w:val="singleLevel"/>
    <w:tmpl w:val="E7F65004"/>
    <w:lvl w:ilvl="0">
      <w:start w:val="1"/>
      <w:numFmt w:val="decimal"/>
      <w:lvlText w:val="%1)"/>
      <w:lvlJc w:val="left"/>
      <w:pPr>
        <w:ind w:left="425" w:hanging="425"/>
      </w:pPr>
      <w:rPr>
        <w:rFonts w:hint="default"/>
      </w:rPr>
    </w:lvl>
  </w:abstractNum>
  <w:abstractNum w:abstractNumId="8">
    <w:nsid w:val="EDECB7AC"/>
    <w:multiLevelType w:val="singleLevel"/>
    <w:tmpl w:val="EDECB7AC"/>
    <w:lvl w:ilvl="0">
      <w:start w:val="1"/>
      <w:numFmt w:val="decimal"/>
      <w:lvlText w:val="%1)"/>
      <w:lvlJc w:val="left"/>
      <w:pPr>
        <w:ind w:left="425" w:hanging="425"/>
      </w:pPr>
      <w:rPr>
        <w:rFonts w:hint="default"/>
      </w:rPr>
    </w:lvl>
  </w:abstractNum>
  <w:abstractNum w:abstractNumId="9">
    <w:nsid w:val="EFF96211"/>
    <w:multiLevelType w:val="singleLevel"/>
    <w:tmpl w:val="EFF96211"/>
    <w:lvl w:ilvl="0">
      <w:start w:val="1"/>
      <w:numFmt w:val="decimal"/>
      <w:lvlText w:val="%1)"/>
      <w:lvlJc w:val="left"/>
      <w:pPr>
        <w:ind w:left="425" w:hanging="425"/>
      </w:pPr>
      <w:rPr>
        <w:rFonts w:hint="default"/>
      </w:rPr>
    </w:lvl>
  </w:abstractNum>
  <w:abstractNum w:abstractNumId="10">
    <w:nsid w:val="F4CECE12"/>
    <w:multiLevelType w:val="multilevel"/>
    <w:tmpl w:val="F4CECE12"/>
    <w:lvl w:ilvl="0">
      <w:start w:val="1"/>
      <w:numFmt w:val="decimal"/>
      <w:lvlText w:val="（%1）"/>
      <w:lvlJc w:val="left"/>
      <w:pPr>
        <w:ind w:left="440" w:hanging="440"/>
      </w:pPr>
      <w:rPr>
        <w:rFonts w:ascii="仿宋_GB2312" w:eastAsia="仿宋_GB2312" w:hAnsi="仿宋_GB2312" w:cs="仿宋_GB2312"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
    <w:nsid w:val="FCFBA019"/>
    <w:multiLevelType w:val="singleLevel"/>
    <w:tmpl w:val="FCFBA019"/>
    <w:lvl w:ilvl="0">
      <w:start w:val="1"/>
      <w:numFmt w:val="decimal"/>
      <w:lvlText w:val="%1)"/>
      <w:lvlJc w:val="left"/>
      <w:pPr>
        <w:ind w:left="425" w:hanging="425"/>
      </w:pPr>
      <w:rPr>
        <w:rFonts w:hint="default"/>
      </w:rPr>
    </w:lvl>
  </w:abstractNum>
  <w:abstractNum w:abstractNumId="12">
    <w:nsid w:val="FDBF5E33"/>
    <w:multiLevelType w:val="singleLevel"/>
    <w:tmpl w:val="FDBF5E33"/>
    <w:lvl w:ilvl="0">
      <w:start w:val="1"/>
      <w:numFmt w:val="decimal"/>
      <w:lvlText w:val="%1."/>
      <w:lvlJc w:val="left"/>
      <w:pPr>
        <w:ind w:left="425" w:hanging="425"/>
      </w:pPr>
      <w:rPr>
        <w:rFonts w:hint="default"/>
      </w:rPr>
    </w:lvl>
  </w:abstractNum>
  <w:abstractNum w:abstractNumId="13">
    <w:nsid w:val="FF3F1685"/>
    <w:multiLevelType w:val="singleLevel"/>
    <w:tmpl w:val="FF3F1685"/>
    <w:lvl w:ilvl="0">
      <w:start w:val="1"/>
      <w:numFmt w:val="decimal"/>
      <w:lvlText w:val="%1)"/>
      <w:lvlJc w:val="left"/>
      <w:pPr>
        <w:ind w:left="425" w:hanging="425"/>
      </w:pPr>
      <w:rPr>
        <w:rFonts w:hint="default"/>
      </w:rPr>
    </w:lvl>
  </w:abstractNum>
  <w:abstractNum w:abstractNumId="14">
    <w:nsid w:val="FFFEE893"/>
    <w:multiLevelType w:val="singleLevel"/>
    <w:tmpl w:val="FFFEE893"/>
    <w:lvl w:ilvl="0">
      <w:start w:val="1"/>
      <w:numFmt w:val="decimal"/>
      <w:lvlText w:val="%1)"/>
      <w:lvlJc w:val="left"/>
      <w:pPr>
        <w:ind w:left="425" w:hanging="425"/>
      </w:pPr>
      <w:rPr>
        <w:rFonts w:hint="default"/>
      </w:rPr>
    </w:lvl>
  </w:abstractNum>
  <w:abstractNum w:abstractNumId="15">
    <w:nsid w:val="FFFEFF75"/>
    <w:multiLevelType w:val="singleLevel"/>
    <w:tmpl w:val="FFFEFF75"/>
    <w:lvl w:ilvl="0">
      <w:start w:val="1"/>
      <w:numFmt w:val="decimal"/>
      <w:lvlText w:val="%1)"/>
      <w:lvlJc w:val="left"/>
      <w:pPr>
        <w:ind w:left="425" w:hanging="425"/>
      </w:pPr>
      <w:rPr>
        <w:rFonts w:hint="default"/>
      </w:rPr>
    </w:lvl>
  </w:abstractNum>
  <w:abstractNum w:abstractNumId="1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7">
    <w:nsid w:val="00000004"/>
    <w:multiLevelType w:val="multilevel"/>
    <w:tmpl w:val="0000000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
    <w:nsid w:val="00000005"/>
    <w:multiLevelType w:val="multilevel"/>
    <w:tmpl w:val="00000005"/>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9">
    <w:nsid w:val="00000006"/>
    <w:multiLevelType w:val="multilevel"/>
    <w:tmpl w:val="00000006"/>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0">
    <w:nsid w:val="00000008"/>
    <w:multiLevelType w:val="multilevel"/>
    <w:tmpl w:val="00000008"/>
    <w:lvl w:ilvl="0">
      <w:start w:val="1"/>
      <w:numFmt w:val="decimal"/>
      <w:lvlText w:val="（%1）"/>
      <w:lvlJc w:val="left"/>
      <w:pPr>
        <w:ind w:left="440" w:hanging="440"/>
      </w:pPr>
      <w:rPr>
        <w:rFonts w:ascii="仿宋_GB2312" w:eastAsia="仿宋_GB2312" w:hAnsi="仿宋_GB2312" w:cs="仿宋_GB2312"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1">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2">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3">
    <w:nsid w:val="04A78FC1"/>
    <w:multiLevelType w:val="singleLevel"/>
    <w:tmpl w:val="93FE6617"/>
    <w:lvl w:ilvl="0">
      <w:start w:val="1"/>
      <w:numFmt w:val="decimal"/>
      <w:lvlText w:val="%1."/>
      <w:lvlJc w:val="left"/>
      <w:pPr>
        <w:tabs>
          <w:tab w:val="left" w:pos="880"/>
        </w:tabs>
      </w:pPr>
    </w:lvl>
  </w:abstractNum>
  <w:abstractNum w:abstractNumId="24">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0">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1">
    <w:nsid w:val="23D976CF"/>
    <w:multiLevelType w:val="singleLevel"/>
    <w:tmpl w:val="93FE6617"/>
    <w:lvl w:ilvl="0">
      <w:start w:val="1"/>
      <w:numFmt w:val="decimal"/>
      <w:lvlText w:val="%1."/>
      <w:lvlJc w:val="left"/>
      <w:pPr>
        <w:tabs>
          <w:tab w:val="left" w:pos="880"/>
        </w:tabs>
      </w:pPr>
    </w:lvl>
  </w:abstractNum>
  <w:abstractNum w:abstractNumId="32">
    <w:nsid w:val="24BEF9C2"/>
    <w:multiLevelType w:val="singleLevel"/>
    <w:tmpl w:val="93FE6617"/>
    <w:lvl w:ilvl="0">
      <w:start w:val="1"/>
      <w:numFmt w:val="decimal"/>
      <w:lvlText w:val="%1."/>
      <w:lvlJc w:val="left"/>
      <w:pPr>
        <w:tabs>
          <w:tab w:val="left" w:pos="880"/>
        </w:tabs>
      </w:pPr>
    </w:lvl>
  </w:abstractNum>
  <w:abstractNum w:abstractNumId="33">
    <w:nsid w:val="2E5F6798"/>
    <w:multiLevelType w:val="singleLevel"/>
    <w:tmpl w:val="2E5F6798"/>
    <w:lvl w:ilvl="0">
      <w:start w:val="1"/>
      <w:numFmt w:val="decimalEnclosedCircleChinese"/>
      <w:suff w:val="nothing"/>
      <w:lvlText w:val="%1　"/>
      <w:lvlJc w:val="left"/>
      <w:pPr>
        <w:ind w:left="0" w:firstLine="400"/>
      </w:pPr>
      <w:rPr>
        <w:rFonts w:hint="eastAsia"/>
      </w:rPr>
    </w:lvl>
  </w:abstractNum>
  <w:abstractNum w:abstractNumId="34">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36">
    <w:nsid w:val="3CB1DE04"/>
    <w:multiLevelType w:val="multilevel"/>
    <w:tmpl w:val="3CB1DE04"/>
    <w:lvl w:ilvl="0">
      <w:start w:val="1"/>
      <w:numFmt w:val="decimal"/>
      <w:lvlText w:val="（%1）"/>
      <w:lvlJc w:val="left"/>
      <w:pPr>
        <w:ind w:left="440" w:hanging="440"/>
      </w:pPr>
      <w:rPr>
        <w:rFonts w:ascii="仿宋_GB2312" w:eastAsia="仿宋_GB2312" w:hAnsi="仿宋_GB2312" w:cs="仿宋_GB2312"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7">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8">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9">
    <w:nsid w:val="45C0B4DA"/>
    <w:multiLevelType w:val="singleLevel"/>
    <w:tmpl w:val="45C0B4DA"/>
    <w:lvl w:ilvl="0">
      <w:start w:val="1"/>
      <w:numFmt w:val="decimalEnclosedCircleChinese"/>
      <w:suff w:val="nothing"/>
      <w:lvlText w:val="%1　"/>
      <w:lvlJc w:val="left"/>
      <w:pPr>
        <w:ind w:left="0" w:firstLine="400"/>
      </w:pPr>
      <w:rPr>
        <w:rFonts w:hint="eastAsia"/>
      </w:rPr>
    </w:lvl>
  </w:abstractNum>
  <w:abstractNum w:abstractNumId="40">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nsid w:val="48ACD801"/>
    <w:multiLevelType w:val="singleLevel"/>
    <w:tmpl w:val="93FE6617"/>
    <w:lvl w:ilvl="0">
      <w:start w:val="1"/>
      <w:numFmt w:val="decimal"/>
      <w:lvlText w:val="%1."/>
      <w:lvlJc w:val="left"/>
      <w:pPr>
        <w:tabs>
          <w:tab w:val="left" w:pos="880"/>
        </w:tabs>
      </w:pPr>
    </w:lvl>
  </w:abstractNum>
  <w:abstractNum w:abstractNumId="42">
    <w:nsid w:val="4C7A993F"/>
    <w:multiLevelType w:val="singleLevel"/>
    <w:tmpl w:val="4C7A993F"/>
    <w:lvl w:ilvl="0">
      <w:start w:val="1"/>
      <w:numFmt w:val="decimal"/>
      <w:lvlText w:val="%1)"/>
      <w:lvlJc w:val="left"/>
      <w:pPr>
        <w:ind w:left="425" w:hanging="425"/>
      </w:pPr>
      <w:rPr>
        <w:rFonts w:hint="default"/>
      </w:rPr>
    </w:lvl>
  </w:abstractNum>
  <w:abstractNum w:abstractNumId="43">
    <w:nsid w:val="552AAD93"/>
    <w:multiLevelType w:val="singleLevel"/>
    <w:tmpl w:val="93FE6617"/>
    <w:lvl w:ilvl="0">
      <w:start w:val="1"/>
      <w:numFmt w:val="decimal"/>
      <w:lvlText w:val="%1."/>
      <w:lvlJc w:val="left"/>
      <w:pPr>
        <w:tabs>
          <w:tab w:val="left" w:pos="880"/>
        </w:tabs>
      </w:pPr>
    </w:lvl>
  </w:abstractNum>
  <w:abstractNum w:abstractNumId="44">
    <w:nsid w:val="57FFC18B"/>
    <w:multiLevelType w:val="singleLevel"/>
    <w:tmpl w:val="57FFC18B"/>
    <w:lvl w:ilvl="0">
      <w:start w:val="1"/>
      <w:numFmt w:val="decimal"/>
      <w:lvlText w:val="%1)"/>
      <w:lvlJc w:val="left"/>
      <w:pPr>
        <w:ind w:left="425" w:hanging="425"/>
      </w:pPr>
      <w:rPr>
        <w:rFonts w:hint="default"/>
      </w:rPr>
    </w:lvl>
  </w:abstractNum>
  <w:abstractNum w:abstractNumId="45">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6">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47">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8">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9">
    <w:nsid w:val="696C98B9"/>
    <w:multiLevelType w:val="singleLevel"/>
    <w:tmpl w:val="93FE6617"/>
    <w:lvl w:ilvl="0">
      <w:start w:val="1"/>
      <w:numFmt w:val="decimal"/>
      <w:lvlText w:val="%1."/>
      <w:lvlJc w:val="left"/>
      <w:pPr>
        <w:tabs>
          <w:tab w:val="left" w:pos="880"/>
        </w:tabs>
      </w:pPr>
    </w:lvl>
  </w:abstractNum>
  <w:abstractNum w:abstractNumId="50">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1">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52">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3">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4">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5">
    <w:nsid w:val="79F8DDAB"/>
    <w:multiLevelType w:val="singleLevel"/>
    <w:tmpl w:val="79F8DDAB"/>
    <w:lvl w:ilvl="0">
      <w:start w:val="1"/>
      <w:numFmt w:val="decimal"/>
      <w:lvlText w:val="%1)"/>
      <w:lvlJc w:val="left"/>
      <w:pPr>
        <w:ind w:left="425" w:hanging="425"/>
      </w:pPr>
      <w:rPr>
        <w:rFonts w:hint="default"/>
      </w:rPr>
    </w:lvl>
  </w:abstractNum>
  <w:abstractNum w:abstractNumId="56">
    <w:nsid w:val="7BF79D3F"/>
    <w:multiLevelType w:val="singleLevel"/>
    <w:tmpl w:val="7BF79D3F"/>
    <w:lvl w:ilvl="0">
      <w:start w:val="1"/>
      <w:numFmt w:val="decimal"/>
      <w:lvlText w:val="%1)"/>
      <w:lvlJc w:val="left"/>
      <w:pPr>
        <w:ind w:left="425" w:hanging="425"/>
      </w:pPr>
      <w:rPr>
        <w:rFonts w:hint="default"/>
      </w:rPr>
    </w:lvl>
  </w:abstractNum>
  <w:abstractNum w:abstractNumId="57">
    <w:nsid w:val="7C12562F"/>
    <w:multiLevelType w:val="singleLevel"/>
    <w:tmpl w:val="93FE6617"/>
    <w:lvl w:ilvl="0">
      <w:start w:val="1"/>
      <w:numFmt w:val="decimal"/>
      <w:lvlText w:val="%1."/>
      <w:lvlJc w:val="left"/>
      <w:pPr>
        <w:tabs>
          <w:tab w:val="left" w:pos="880"/>
        </w:tabs>
      </w:pPr>
    </w:lvl>
  </w:abstractNum>
  <w:abstractNum w:abstractNumId="58">
    <w:nsid w:val="7FAFA353"/>
    <w:multiLevelType w:val="singleLevel"/>
    <w:tmpl w:val="7FAFA353"/>
    <w:lvl w:ilvl="0">
      <w:start w:val="1"/>
      <w:numFmt w:val="decimal"/>
      <w:lvlText w:val="%1)"/>
      <w:lvlJc w:val="left"/>
      <w:pPr>
        <w:ind w:left="425" w:hanging="425"/>
      </w:pPr>
      <w:rPr>
        <w:rFonts w:hint="default"/>
      </w:rPr>
    </w:lvl>
  </w:abstractNum>
  <w:abstractNum w:abstractNumId="59">
    <w:nsid w:val="7FDAC479"/>
    <w:multiLevelType w:val="singleLevel"/>
    <w:tmpl w:val="7FDAC479"/>
    <w:lvl w:ilvl="0">
      <w:start w:val="1"/>
      <w:numFmt w:val="decimal"/>
      <w:lvlText w:val="%1)"/>
      <w:lvlJc w:val="left"/>
      <w:pPr>
        <w:ind w:left="425" w:hanging="425"/>
      </w:pPr>
      <w:rPr>
        <w:rFonts w:hint="default"/>
      </w:rPr>
    </w:lvl>
  </w:abstractNum>
  <w:abstractNum w:abstractNumId="60">
    <w:nsid w:val="7FF73EAD"/>
    <w:multiLevelType w:val="singleLevel"/>
    <w:tmpl w:val="7FF73EAD"/>
    <w:lvl w:ilvl="0">
      <w:start w:val="1"/>
      <w:numFmt w:val="decimal"/>
      <w:lvlText w:val="%1)"/>
      <w:lvlJc w:val="left"/>
      <w:pPr>
        <w:ind w:left="425" w:hanging="425"/>
      </w:pPr>
      <w:rPr>
        <w:rFonts w:hint="default"/>
      </w:rPr>
    </w:lvl>
  </w:abstractNum>
  <w:abstractNum w:abstractNumId="61">
    <w:nsid w:val="7FFFA005"/>
    <w:multiLevelType w:val="singleLevel"/>
    <w:tmpl w:val="7FFFA005"/>
    <w:lvl w:ilvl="0">
      <w:start w:val="1"/>
      <w:numFmt w:val="decimal"/>
      <w:lvlText w:val="%1)"/>
      <w:lvlJc w:val="left"/>
      <w:pPr>
        <w:ind w:left="425" w:hanging="425"/>
      </w:pPr>
      <w:rPr>
        <w:rFonts w:hint="default"/>
      </w:rPr>
    </w:lvl>
  </w:abstractNum>
  <w:num w:numId="1">
    <w:abstractNumId w:val="21"/>
  </w:num>
  <w:num w:numId="2">
    <w:abstractNumId w:val="16"/>
  </w:num>
  <w:num w:numId="3">
    <w:abstractNumId w:val="25"/>
  </w:num>
  <w:num w:numId="4">
    <w:abstractNumId w:val="18"/>
  </w:num>
  <w:num w:numId="5">
    <w:abstractNumId w:val="17"/>
  </w:num>
  <w:num w:numId="6">
    <w:abstractNumId w:val="20"/>
  </w:num>
  <w:num w:numId="7">
    <w:abstractNumId w:val="36"/>
  </w:num>
  <w:num w:numId="8">
    <w:abstractNumId w:val="10"/>
  </w:num>
  <w:num w:numId="9">
    <w:abstractNumId w:val="19"/>
  </w:num>
  <w:num w:numId="10">
    <w:abstractNumId w:val="39"/>
  </w:num>
  <w:num w:numId="11">
    <w:abstractNumId w:val="33"/>
  </w:num>
  <w:num w:numId="12">
    <w:abstractNumId w:val="0"/>
  </w:num>
  <w:num w:numId="13">
    <w:abstractNumId w:val="30"/>
  </w:num>
  <w:num w:numId="14">
    <w:abstractNumId w:val="51"/>
  </w:num>
  <w:num w:numId="15">
    <w:abstractNumId w:val="29"/>
  </w:num>
  <w:num w:numId="16">
    <w:abstractNumId w:val="54"/>
  </w:num>
  <w:num w:numId="17">
    <w:abstractNumId w:val="3"/>
  </w:num>
  <w:num w:numId="18">
    <w:abstractNumId w:val="60"/>
  </w:num>
  <w:num w:numId="19">
    <w:abstractNumId w:val="6"/>
  </w:num>
  <w:num w:numId="20">
    <w:abstractNumId w:val="50"/>
  </w:num>
  <w:num w:numId="21">
    <w:abstractNumId w:val="14"/>
  </w:num>
  <w:num w:numId="22">
    <w:abstractNumId w:val="48"/>
  </w:num>
  <w:num w:numId="23">
    <w:abstractNumId w:val="47"/>
  </w:num>
  <w:num w:numId="24">
    <w:abstractNumId w:val="24"/>
  </w:num>
  <w:num w:numId="25">
    <w:abstractNumId w:val="53"/>
  </w:num>
  <w:num w:numId="26">
    <w:abstractNumId w:val="2"/>
  </w:num>
  <w:num w:numId="27">
    <w:abstractNumId w:val="55"/>
  </w:num>
  <w:num w:numId="28">
    <w:abstractNumId w:val="56"/>
  </w:num>
  <w:num w:numId="29">
    <w:abstractNumId w:val="44"/>
  </w:num>
  <w:num w:numId="30">
    <w:abstractNumId w:val="35"/>
  </w:num>
  <w:num w:numId="31">
    <w:abstractNumId w:val="8"/>
  </w:num>
  <w:num w:numId="32">
    <w:abstractNumId w:val="1"/>
  </w:num>
  <w:num w:numId="33">
    <w:abstractNumId w:val="27"/>
  </w:num>
  <w:num w:numId="34">
    <w:abstractNumId w:val="58"/>
  </w:num>
  <w:num w:numId="35">
    <w:abstractNumId w:val="42"/>
  </w:num>
  <w:num w:numId="36">
    <w:abstractNumId w:val="37"/>
  </w:num>
  <w:num w:numId="37">
    <w:abstractNumId w:val="59"/>
  </w:num>
  <w:num w:numId="38">
    <w:abstractNumId w:val="7"/>
  </w:num>
  <w:num w:numId="39">
    <w:abstractNumId w:val="52"/>
  </w:num>
  <w:num w:numId="40">
    <w:abstractNumId w:val="9"/>
  </w:num>
  <w:num w:numId="41">
    <w:abstractNumId w:val="5"/>
  </w:num>
  <w:num w:numId="42">
    <w:abstractNumId w:val="61"/>
  </w:num>
  <w:num w:numId="43">
    <w:abstractNumId w:val="13"/>
  </w:num>
  <w:num w:numId="44">
    <w:abstractNumId w:val="40"/>
  </w:num>
  <w:num w:numId="45">
    <w:abstractNumId w:val="45"/>
  </w:num>
  <w:num w:numId="46">
    <w:abstractNumId w:val="26"/>
  </w:num>
  <w:num w:numId="47">
    <w:abstractNumId w:val="15"/>
  </w:num>
  <w:num w:numId="48">
    <w:abstractNumId w:val="28"/>
  </w:num>
  <w:num w:numId="49">
    <w:abstractNumId w:val="12"/>
  </w:num>
  <w:num w:numId="50">
    <w:abstractNumId w:val="46"/>
  </w:num>
  <w:num w:numId="51">
    <w:abstractNumId w:val="4"/>
  </w:num>
  <w:num w:numId="52">
    <w:abstractNumId w:val="11"/>
  </w:num>
  <w:num w:numId="53">
    <w:abstractNumId w:val="22"/>
  </w:num>
  <w:num w:numId="54">
    <w:abstractNumId w:val="38"/>
  </w:num>
  <w:num w:numId="55">
    <w:abstractNumId w:val="34"/>
  </w:num>
  <w:num w:numId="56">
    <w:abstractNumId w:val="57"/>
  </w:num>
  <w:num w:numId="57">
    <w:abstractNumId w:val="43"/>
  </w:num>
  <w:num w:numId="58">
    <w:abstractNumId w:val="49"/>
  </w:num>
  <w:num w:numId="59">
    <w:abstractNumId w:val="31"/>
  </w:num>
  <w:num w:numId="60">
    <w:abstractNumId w:val="41"/>
  </w:num>
  <w:num w:numId="61">
    <w:abstractNumId w:val="23"/>
  </w:num>
  <w:num w:numId="62">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B">
    <w:name w:val="B表头样式"/>
    <w:next w:val="Normal"/>
    <w:qFormat/>
    <w:pPr>
      <w:jc w:val="center"/>
    </w:pPr>
    <w:rPr>
      <w:rFonts w:ascii="Calibri" w:eastAsia="黑体" w:hAnsi="Calibri"/>
      <w:b/>
      <w:kern w:val="2"/>
      <w:sz w:val="21"/>
      <w:szCs w:val="21"/>
      <w:lang w:eastAsia="zh-CN"/>
    </w:rPr>
  </w:style>
  <w:style w:type="paragraph" w:styleId="NormalIndent">
    <w:name w:val="Normal Indent"/>
    <w:basedOn w:val="Normal"/>
    <w:qFormat/>
    <w:pPr>
      <w:spacing w:line="360" w:lineRule="auto"/>
      <w:ind w:firstLine="420" w:firstLineChars="200"/>
    </w:pPr>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footer" Target="footer7.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2025-07-01T07:55:09Z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