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2026年中国气象局综合信息管理系统运行维护项目-2026年气政通多应用及一体化政务服务平台运维</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2026年中国气象局综合信息管理系统运行维护项目-2026年气政通多应用及一体化政务服务平台运维</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自合同签订之日起至合同期结束履约</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2026年07月13日 00:00:00</w:t>
      </w:r>
      <w:bookmarkEnd w:id="26"/>
      <w:r>
        <w:rPr>
          <w:rFonts w:ascii="宋体" w:hint="eastAsia"/>
          <w:szCs w:val="21"/>
          <w:highlight w:val="none"/>
        </w:rPr>
        <w:t>至</w:t>
      </w:r>
      <w:bookmarkStart w:id="27" w:name="项目公告_signUpLastTime"/>
      <w:r>
        <w:rPr>
          <w:rFonts w:ascii="宋体" w:hint="eastAsia"/>
          <w:szCs w:val="21"/>
          <w:highlight w:val="none"/>
        </w:rPr>
        <w:t>2026年07月20日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2026年08月07日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王甫棣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010-58994129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8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 2026年中国气象局综合信息管理系统运行维护项目-2026年气政通多应用及一体化政务服务平台运维，属于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是，代理服务费：2.2万元。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184.000000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184.000000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(24)</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ISO9000系列或GJB9001B质量管理体系认证；</w:t>
              <w:cr/>
              <w:t>2、投标人具有ISO20000信息技术服务管理体系认证；</w:t>
              <w:cr/>
              <w:t>3、投标人具有ISO27001信息安全管理体系认证或信息安全服务资质认证；</w:t>
              <w:cr/>
              <w:t>4、投标人具有ISO22301业务连续性管理体系认证；</w:t>
              <w:cr/>
              <w:t>每提供1个得2分，最高得8分。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(16)</w:t>
            </w:r>
          </w:p>
        </w:tc>
        <w:tc>
          <w:tcPr/>
          <w:p>
            <w:r>
              <w:t>评审标准：</w:t>
            </w:r>
          </w:p>
          <w:p>
            <w:r>
              <w:t>投标人应组成本项目开发服务团队，团队组织结构清晰，应设服务团队项目经理人员专业背景齐全。具体如下：</w:t>
              <w:cr/>
              <w:t>1、服务团队人员不少于8人，且驻场人员不少于8人，得5分；</w:t>
              <w:cr/>
              <w:t>2、项目经理具有信息系统项目管理师证书，得4分，否则不得分。；</w:t>
              <w:cr/>
              <w:t>3、其他团队成员中（不含项目经理）每有一人具有注册信息安全员(CISP) 的，得2分，最多得4分；</w:t>
              <w:cr/>
              <w:t>4、其他团队成员中（不含项目经理）具有高级软件测试工程师的，得3分。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培训方案</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 xml:space="preserve">一档：未提供培训方案； </w:t>
              <w:cr/>
              <w:t xml:space="preserve">二档：培训方案不完整（指缺失培训计划、培训材料（讲义）、培训课表、主要授课教师介绍任意一项）； </w:t>
              <w:cr/>
              <w:t xml:space="preserve">三档：培训方案完整，但课程设计重点不突出或针对性不强，基本满足采购文件需求； </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项目需求分析</w:t>
            </w:r>
          </w:p>
        </w:tc>
        <w:tc>
          <w:tcPr/>
          <w:p>
            <w:r>
              <w:t>勾选打分</w:t>
            </w:r>
            <w:r>
              <w:t>(2)</w:t>
            </w:r>
          </w:p>
        </w:tc>
        <w:tc>
          <w:tcPr/>
          <w:p>
            <w:r>
              <w:t>评审标准：</w:t>
            </w:r>
          </w:p>
          <w:p>
            <w:r>
              <w:t>一档0分</w:t>
              <w:cr/>
              <w:t>二档0.5分</w:t>
              <w:cr/>
              <w:t>三档1分</w:t>
              <w:cr/>
              <w:t>四档2分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9</w:t>
            </w:r>
          </w:p>
        </w:tc>
        <w:tc>
          <w:tcPr>
            <w:vMerge/>
          </w:tcPr>
          <w:p>
            <w:r>
              <w:t>服务部分</w:t>
            </w:r>
          </w:p>
        </w:tc>
        <w:tc>
          <w:tcPr/>
          <w:p>
            <w:r>
              <w:t>总体服务方案</w:t>
            </w:r>
          </w:p>
        </w:tc>
        <w:tc>
          <w:tcPr/>
          <w:p>
            <w:r>
              <w:t>勾选打分</w:t>
            </w:r>
            <w:r>
              <w:t>(4)</w:t>
            </w:r>
          </w:p>
        </w:tc>
        <w:tc>
          <w:tcPr/>
          <w:p>
            <w:r>
              <w:t>评审标准：</w:t>
            </w:r>
          </w:p>
          <w:p>
            <w:r>
              <w:t>有完备的运维服务方案，内容包括：服务承诺、服务原则与策略、技术服务优势、服务总体框架、服务组织机构、服务指标与标准、服务模板、运维服务流程、运维服务方式。</w:t>
              <w:cr/>
              <w:t>一档0分</w:t>
              <w:cr/>
              <w:t>二档1分</w:t>
              <w:cr/>
              <w:t>三档2分</w:t>
              <w:cr/>
              <w:t>四档4分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10</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1、系统巡检方案</w:t>
              <w:cr/>
              <w:t>2、值班检查方案</w:t>
              <w:cr/>
              <w:t>3、业务变更方案</w:t>
              <w:cr/>
              <w:t>4、应急故障处理方案</w:t>
              <w:cr/>
              <w:t>5、安全保密方案</w:t>
              <w:cr/>
              <w:t>以上每项服务内容：</w:t>
              <w:cr/>
              <w:t>一档0分</w:t>
              <w:cr/>
              <w:t>二档1分</w:t>
              <w:cr/>
              <w:t>三档2分</w:t>
              <w:cr/>
              <w:t>四档4分</w:t>
              <w:cr/>
              <w:t>以上共计5项服务内容，满分20分。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(4)</w:t>
            </w:r>
          </w:p>
        </w:tc>
        <w:tc>
          <w:tcPr/>
          <w:p>
            <w:r>
              <w:t>评审标准：</w:t>
            </w:r>
          </w:p>
          <w:p>
            <w:r>
              <w:t>每提供一条合理化建议得1分，满分4分。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b/>
          <w:sz w:val="30"/>
          <w:szCs w:val="30"/>
          <w:highlight w:val="none"/>
        </w:rPr>
      </w:pPr>
      <w:r>
        <w:rPr>
          <w:bCs/>
          <w:szCs w:val="21"/>
          <w:highlight w:val="none"/>
        </w:rPr>
        <w:br w:type="page"/>
      </w:r>
      <w:bookmarkStart w:id="58" w:name="插入_采购需求书"/>
      <w:r>
        <w:rPr>
          <w:rFonts w:ascii="宋体" w:eastAsia="宋体" w:hAnsi="宋体" w:cs="Times New Roman" w:hint="eastAsia"/>
          <w:b/>
          <w:sz w:val="30"/>
          <w:szCs w:val="30"/>
          <w:highlight w:val="none"/>
        </w:rPr>
        <w:t>第七章  采购需求</w:t>
      </w:r>
    </w:p>
    <w:p>
      <w:pPr>
        <w:jc w:val="left"/>
        <w:rPr>
          <w:rFonts w:ascii="Times New Roman" w:eastAsia="宋体" w:hAnsi="Times New Roman" w:cs="Times New Roman"/>
          <w:b/>
          <w:szCs w:val="21"/>
          <w:highlight w:val="none"/>
        </w:rPr>
      </w:pPr>
    </w:p>
    <w:p>
      <w:pPr>
        <w:pStyle w:val="Heading1"/>
        <w:numPr>
          <w:ilvl w:val="0"/>
          <w:numId w:val="4"/>
        </w:numPr>
        <w:spacing w:before="120" w:after="120" w:line="480" w:lineRule="auto"/>
        <w:ind w:left="425" w:hanging="425"/>
        <w:rPr>
          <w:rFonts w:ascii="宋体" w:hAnsi="宋体"/>
          <w:color w:val="auto"/>
          <w:sz w:val="28"/>
          <w:highlight w:val="none"/>
        </w:rPr>
      </w:pPr>
      <w:bookmarkStart w:id="59" w:name="_Toc1387"/>
      <w:bookmarkStart w:id="60" w:name="_Toc136003995"/>
      <w:bookmarkStart w:id="61" w:name="_Toc531336028"/>
      <w:r>
        <w:rPr>
          <w:rFonts w:ascii="宋体" w:eastAsia="宋体" w:hAnsi="宋体" w:cs="Times New Roman" w:hint="eastAsia"/>
          <w:color w:val="auto"/>
          <w:sz w:val="28"/>
          <w:highlight w:val="none"/>
        </w:rPr>
        <w:t>项目背景</w:t>
      </w:r>
      <w:bookmarkEnd w:id="59"/>
      <w:bookmarkEnd w:id="60"/>
      <w:bookmarkEnd w:id="61"/>
    </w:p>
    <w:p>
      <w:pPr>
        <w:tabs>
          <w:tab w:val="left" w:pos="5580"/>
        </w:tabs>
        <w:spacing w:line="360" w:lineRule="auto"/>
        <w:ind w:firstLine="480" w:firstLineChars="200"/>
        <w:rPr>
          <w:rFonts w:ascii="宋体" w:eastAsia="宋体" w:hAnsi="宋体" w:cs="Times New Roman"/>
          <w:color w:val="auto"/>
          <w:highlight w:val="none"/>
        </w:rPr>
      </w:pPr>
      <w:bookmarkStart w:id="62" w:name="_Toc531336029"/>
      <w:r>
        <w:rPr>
          <w:rFonts w:ascii="宋体" w:eastAsia="宋体" w:hAnsi="宋体" w:cs="Times New Roman" w:hint="eastAsia"/>
          <w:color w:val="auto"/>
          <w:sz w:val="24"/>
          <w:szCs w:val="24"/>
          <w:highlight w:val="none"/>
        </w:rPr>
        <w:t>气政通（气象政务管理信息系统）运行网络环境全部依托气象业务网和国省集约化资源池；通过统一用户、统一认证和单点登录、消息服务、个人菜单等集成接口技术规范，开展与预报预测管理、计财联网监控、机关事务等20多个政务和业务多应用接口技术协调和集成对接。该平台集成应用系统囊括办公、财务、人事、党务、培训、后勤、业务和科研管理等各类管理职能，为行政办公、科学智慧决策、信息资源共享、职能管理提供坚强的技术支撑。</w:t>
      </w:r>
    </w:p>
    <w:p>
      <w:pPr>
        <w:tabs>
          <w:tab w:val="left" w:pos="5580"/>
        </w:tabs>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为了使得气政通平台及应用在全国气象部门正常运行，需要开展所有软件的支持工作，包括：软件运维、服务运行环境保障、系统支持等。同时，还通过本项目满足中国气象局一体化政务服务平台的技术支持、面向气象部门的政务安全邮件系统</w:t>
      </w:r>
      <w:r>
        <w:rPr>
          <w:rFonts w:ascii="宋体" w:eastAsia="宋体" w:hAnsi="宋体" w:cs="Times New Roman" w:hint="eastAsia"/>
          <w:color w:val="auto"/>
          <w:sz w:val="24"/>
          <w:szCs w:val="24"/>
          <w:highlight w:val="none"/>
          <w:lang w:val="en-US" w:eastAsia="zh-CN"/>
        </w:rPr>
        <w:t>、门户信息发布系统及政务公开</w:t>
      </w:r>
      <w:r>
        <w:rPr>
          <w:rFonts w:ascii="宋体" w:eastAsia="宋体" w:hAnsi="宋体" w:cs="Times New Roman" w:hint="eastAsia"/>
          <w:color w:val="auto"/>
          <w:sz w:val="24"/>
          <w:szCs w:val="24"/>
          <w:highlight w:val="none"/>
        </w:rPr>
        <w:t>技术服务支持保障服务，为气象部门的政务管理提供有效支撑。</w:t>
      </w:r>
    </w:p>
    <w:p>
      <w:pPr>
        <w:pStyle w:val="Heading1"/>
        <w:numPr>
          <w:ilvl w:val="0"/>
          <w:numId w:val="4"/>
        </w:numPr>
        <w:spacing w:before="120" w:after="120" w:line="480" w:lineRule="auto"/>
        <w:ind w:left="425" w:hanging="425"/>
        <w:rPr>
          <w:rFonts w:ascii="宋体" w:hAnsi="宋体"/>
          <w:color w:val="auto"/>
          <w:sz w:val="28"/>
          <w:highlight w:val="none"/>
        </w:rPr>
      </w:pPr>
      <w:bookmarkStart w:id="63" w:name="_Toc26053"/>
      <w:bookmarkStart w:id="64" w:name="_Toc136003996"/>
      <w:r>
        <w:rPr>
          <w:rFonts w:ascii="宋体" w:eastAsia="宋体" w:hAnsi="宋体" w:cs="Times New Roman" w:hint="eastAsia"/>
          <w:color w:val="auto"/>
          <w:sz w:val="28"/>
          <w:highlight w:val="none"/>
        </w:rPr>
        <w:t>运维</w:t>
      </w:r>
      <w:bookmarkEnd w:id="62"/>
      <w:r>
        <w:rPr>
          <w:rFonts w:ascii="宋体" w:eastAsia="宋体" w:hAnsi="宋体" w:cs="Times New Roman" w:hint="eastAsia"/>
          <w:color w:val="auto"/>
          <w:sz w:val="28"/>
          <w:highlight w:val="none"/>
        </w:rPr>
        <w:t>目标</w:t>
      </w:r>
      <w:bookmarkEnd w:id="63"/>
      <w:bookmarkEnd w:id="64"/>
    </w:p>
    <w:p>
      <w:pPr>
        <w:tabs>
          <w:tab w:val="left" w:pos="5580"/>
        </w:tabs>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通过对各应用服务提供持续运维服务，承建方须建立完整的系统运维框架、技术标准。</w:t>
      </w:r>
    </w:p>
    <w:p>
      <w:pPr>
        <w:tabs>
          <w:tab w:val="left" w:pos="5580"/>
        </w:tabs>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依照采购人相关运行维护管理制度建立自身服务完整的管理制度、上下互动的沟通机制，制定统一的标准规范，根据统一标准规范进行有条不紊的运维服务。同时在运维服务过程中不断完善管理制度以及运维方案，根据系统的变化发展进行不断改进。</w:t>
      </w:r>
    </w:p>
    <w:p>
      <w:pPr>
        <w:tabs>
          <w:tab w:val="left" w:pos="5580"/>
        </w:tabs>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优化运维管理流程加大对重大系统故障的应急预案编制力度，强化对运维工作的技术总结，提高运维工作的处理能力和效率。</w:t>
      </w:r>
    </w:p>
    <w:p>
      <w:pPr>
        <w:tabs>
          <w:tab w:val="left" w:pos="5580"/>
        </w:tabs>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提高工作人员的计算机应用水平和对专业系统的业务使用技能，加强技术人员的专业技能培训，多学习新的IT技术；提高技术人员的实际处理问题能力，有条件的情况下通过实验环境、培训环境进行IT 运维模拟实践。</w:t>
      </w:r>
    </w:p>
    <w:p>
      <w:pPr>
        <w:tabs>
          <w:tab w:val="left" w:pos="5580"/>
        </w:tabs>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 xml:space="preserve">为确保中国气象局办公系统高效、稳定、安全的运行，提供必要的系统日常运维，对系统进行有序的运维服务和管理，包括运维技术支持和运维管理服务。服务方式主要为驻场服务、电话支持。 </w:t>
      </w:r>
    </w:p>
    <w:p>
      <w:pPr>
        <w:tabs>
          <w:tab w:val="left" w:pos="5580"/>
        </w:tabs>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实现：</w:t>
      </w:r>
    </w:p>
    <w:p>
      <w:pPr>
        <w:numPr>
          <w:ilvl w:val="0"/>
          <w:numId w:val="5"/>
        </w:numPr>
        <w:adjustRightInd w:val="0"/>
        <w:snapToGrid w:val="0"/>
        <w:spacing w:line="560" w:lineRule="exact"/>
        <w:ind w:left="840"/>
        <w:jc w:val="left"/>
        <w:rPr>
          <w:rFonts w:ascii="宋体" w:eastAsia="宋体" w:hAnsi="宋体" w:cs="宋体"/>
          <w:color w:val="auto"/>
          <w:highlight w:val="none"/>
        </w:rPr>
      </w:pPr>
      <w:r>
        <w:rPr>
          <w:rFonts w:ascii="宋体" w:eastAsia="宋体" w:hAnsi="宋体" w:cs="宋体" w:hint="eastAsia"/>
          <w:color w:val="auto"/>
          <w:sz w:val="24"/>
          <w:szCs w:val="24"/>
          <w:highlight w:val="none"/>
        </w:rPr>
        <w:t>驻场运维服务，</w:t>
      </w:r>
      <w:r>
        <w:rPr>
          <w:rFonts w:ascii="宋体" w:eastAsia="宋体" w:hAnsi="宋体" w:cs="Times New Roman" w:hint="eastAsia"/>
          <w:color w:val="auto"/>
          <w:sz w:val="24"/>
          <w:szCs w:val="20"/>
          <w:highlight w:val="none"/>
        </w:rPr>
        <w:t>负责中国气象局办公系统的技术支持</w:t>
      </w:r>
      <w:r>
        <w:rPr>
          <w:rFonts w:ascii="宋体" w:eastAsia="宋体" w:hAnsi="宋体" w:cs="宋体" w:hint="eastAsia"/>
          <w:color w:val="auto"/>
          <w:sz w:val="24"/>
          <w:szCs w:val="24"/>
          <w:highlight w:val="none"/>
        </w:rPr>
        <w:t>；</w:t>
      </w:r>
    </w:p>
    <w:p>
      <w:pPr>
        <w:numPr>
          <w:ilvl w:val="0"/>
          <w:numId w:val="5"/>
        </w:numPr>
        <w:adjustRightInd w:val="0"/>
        <w:snapToGrid w:val="0"/>
        <w:spacing w:line="560" w:lineRule="exact"/>
        <w:ind w:left="840"/>
        <w:jc w:val="left"/>
        <w:rPr>
          <w:rFonts w:ascii="宋体" w:eastAsia="宋体" w:hAnsi="宋体" w:cs="宋体"/>
          <w:color w:val="auto"/>
          <w:highlight w:val="none"/>
        </w:rPr>
      </w:pPr>
      <w:r>
        <w:rPr>
          <w:rFonts w:ascii="宋体" w:eastAsia="宋体" w:hAnsi="宋体" w:cs="Times New Roman" w:hint="eastAsia"/>
          <w:color w:val="auto"/>
          <w:sz w:val="24"/>
          <w:szCs w:val="20"/>
          <w:highlight w:val="none"/>
        </w:rPr>
        <w:t>定期巡检，保障各系统服务环境正常运行，服务器巡检、应用系统巡检、数据库巡检、程序及数据库备份巡检、软件配置管理、运维流程管理、应急保障服务、文档管理服务及其他服务</w:t>
      </w:r>
      <w:r>
        <w:rPr>
          <w:rFonts w:ascii="宋体" w:eastAsia="宋体" w:hAnsi="宋体" w:cs="宋体" w:hint="eastAsia"/>
          <w:color w:val="auto"/>
          <w:sz w:val="24"/>
          <w:szCs w:val="24"/>
          <w:highlight w:val="none"/>
        </w:rPr>
        <w:t>；</w:t>
      </w:r>
    </w:p>
    <w:p>
      <w:pPr>
        <w:numPr>
          <w:ilvl w:val="0"/>
          <w:numId w:val="5"/>
        </w:numPr>
        <w:adjustRightInd w:val="0"/>
        <w:snapToGrid w:val="0"/>
        <w:spacing w:line="560" w:lineRule="exact"/>
        <w:ind w:left="840"/>
        <w:jc w:val="left"/>
        <w:rPr>
          <w:rFonts w:ascii="宋体" w:eastAsia="宋体" w:hAnsi="宋体" w:cs="宋体"/>
          <w:color w:val="auto"/>
          <w:highlight w:val="none"/>
        </w:rPr>
      </w:pPr>
      <w:r>
        <w:rPr>
          <w:rFonts w:ascii="宋体" w:eastAsia="宋体" w:hAnsi="宋体" w:cs="Times New Roman" w:hint="eastAsia"/>
          <w:color w:val="auto"/>
          <w:sz w:val="24"/>
          <w:szCs w:val="20"/>
          <w:highlight w:val="none"/>
        </w:rPr>
        <w:t>对各系统使用提供运维支持服务，包括疑问解答、异常数据处理，根据疫情防控的要求可能安排进行远程技术服务、电话转接方式</w:t>
      </w:r>
      <w:r>
        <w:rPr>
          <w:rFonts w:ascii="宋体" w:eastAsia="宋体" w:hAnsi="宋体" w:cs="宋体" w:hint="eastAsia"/>
          <w:color w:val="auto"/>
          <w:sz w:val="24"/>
          <w:szCs w:val="24"/>
          <w:highlight w:val="none"/>
        </w:rPr>
        <w:t>。</w:t>
      </w:r>
    </w:p>
    <w:p>
      <w:pPr>
        <w:pStyle w:val="Heading1"/>
        <w:numPr>
          <w:ilvl w:val="0"/>
          <w:numId w:val="4"/>
        </w:numPr>
        <w:spacing w:before="120" w:after="120" w:line="480" w:lineRule="auto"/>
        <w:ind w:left="425" w:hanging="425"/>
        <w:rPr>
          <w:rFonts w:ascii="宋体" w:hAnsi="宋体"/>
          <w:color w:val="auto"/>
          <w:sz w:val="28"/>
          <w:highlight w:val="none"/>
        </w:rPr>
      </w:pPr>
      <w:bookmarkStart w:id="65" w:name="_Toc14349"/>
      <w:bookmarkStart w:id="66" w:name="_Toc136003997"/>
      <w:r>
        <w:rPr>
          <w:rFonts w:ascii="宋体" w:eastAsia="宋体" w:hAnsi="宋体" w:cs="Times New Roman" w:hint="eastAsia"/>
          <w:color w:val="auto"/>
          <w:sz w:val="28"/>
          <w:highlight w:val="none"/>
        </w:rPr>
        <w:t>运维子系统</w:t>
      </w:r>
      <w:bookmarkEnd w:id="65"/>
      <w:bookmarkEnd w:id="66"/>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本项目涉及到的运维子系统包括：</w:t>
      </w:r>
    </w:p>
    <w:p>
      <w:pPr>
        <w:pStyle w:val="ListParagraph"/>
        <w:numPr>
          <w:ilvl w:val="0"/>
          <w:numId w:val="6"/>
        </w:numPr>
        <w:adjustRightInd w:val="0"/>
        <w:snapToGrid w:val="0"/>
        <w:spacing w:line="360" w:lineRule="auto"/>
        <w:ind w:firstLine="154" w:firstLineChars="0"/>
        <w:rPr>
          <w:rFonts w:ascii="宋体" w:eastAsia="宋体" w:hAnsi="宋体" w:cs="宋体"/>
          <w:color w:val="auto"/>
          <w:sz w:val="24"/>
          <w:highlight w:val="none"/>
        </w:rPr>
      </w:pPr>
      <w:r>
        <w:rPr>
          <w:rFonts w:ascii="宋体" w:eastAsia="宋体" w:hAnsi="宋体" w:cs="宋体" w:hint="eastAsia"/>
          <w:color w:val="auto"/>
          <w:sz w:val="24"/>
          <w:highlight w:val="none"/>
        </w:rPr>
        <w:t>门户信息发布</w:t>
      </w:r>
      <w:r>
        <w:rPr>
          <w:rFonts w:ascii="宋体" w:eastAsia="宋体" w:hAnsi="宋体" w:cs="宋体" w:hint="eastAsia"/>
          <w:color w:val="auto"/>
          <w:sz w:val="24"/>
          <w:highlight w:val="none"/>
          <w:lang w:val="en-US" w:eastAsia="zh-CN"/>
        </w:rPr>
        <w:t>与政务公开</w:t>
      </w:r>
      <w:r>
        <w:rPr>
          <w:rFonts w:ascii="宋体" w:eastAsia="宋体" w:hAnsi="宋体" w:cs="宋体" w:hint="eastAsia"/>
          <w:color w:val="auto"/>
          <w:sz w:val="24"/>
          <w:highlight w:val="none"/>
        </w:rPr>
        <w:t>系统</w:t>
      </w:r>
    </w:p>
    <w:p>
      <w:pPr>
        <w:pStyle w:val="ListParagraph"/>
        <w:numPr>
          <w:ilvl w:val="0"/>
          <w:numId w:val="6"/>
        </w:numPr>
        <w:adjustRightInd w:val="0"/>
        <w:snapToGrid w:val="0"/>
        <w:spacing w:line="360" w:lineRule="auto"/>
        <w:ind w:firstLine="154" w:firstLineChars="0"/>
        <w:rPr>
          <w:rFonts w:ascii="宋体" w:eastAsia="宋体" w:hAnsi="宋体" w:cs="宋体"/>
          <w:color w:val="auto"/>
          <w:sz w:val="24"/>
          <w:highlight w:val="none"/>
        </w:rPr>
      </w:pPr>
      <w:r>
        <w:rPr>
          <w:rFonts w:ascii="宋体" w:eastAsia="宋体" w:hAnsi="宋体" w:cs="宋体" w:hint="eastAsia"/>
          <w:color w:val="auto"/>
          <w:sz w:val="24"/>
          <w:highlight w:val="none"/>
        </w:rPr>
        <w:t>政务办公管理多应用系统</w:t>
      </w:r>
    </w:p>
    <w:p>
      <w:pPr>
        <w:pStyle w:val="ListParagraph"/>
        <w:numPr>
          <w:ilvl w:val="0"/>
          <w:numId w:val="6"/>
        </w:numPr>
        <w:adjustRightInd w:val="0"/>
        <w:snapToGrid w:val="0"/>
        <w:spacing w:line="360" w:lineRule="auto"/>
        <w:ind w:firstLine="154" w:firstLineChars="0"/>
        <w:rPr>
          <w:rFonts w:ascii="宋体" w:eastAsia="宋体" w:hAnsi="宋体" w:cs="宋体"/>
          <w:color w:val="auto"/>
          <w:sz w:val="24"/>
          <w:highlight w:val="none"/>
        </w:rPr>
      </w:pPr>
      <w:r>
        <w:rPr>
          <w:rFonts w:ascii="宋体" w:eastAsia="宋体" w:hAnsi="宋体" w:cs="宋体" w:hint="eastAsia"/>
          <w:color w:val="auto"/>
          <w:sz w:val="24"/>
          <w:highlight w:val="none"/>
        </w:rPr>
        <w:t>中国气象局一体化政务服务平台</w:t>
      </w:r>
    </w:p>
    <w:p>
      <w:pPr>
        <w:pStyle w:val="ListParagraph"/>
        <w:numPr>
          <w:ilvl w:val="0"/>
          <w:numId w:val="6"/>
        </w:numPr>
        <w:adjustRightInd w:val="0"/>
        <w:snapToGrid w:val="0"/>
        <w:spacing w:line="360" w:lineRule="auto"/>
        <w:ind w:firstLine="154" w:firstLineChars="0"/>
        <w:rPr>
          <w:rFonts w:ascii="宋体" w:eastAsia="宋体" w:hAnsi="宋体" w:cs="宋体"/>
          <w:color w:val="auto"/>
          <w:sz w:val="24"/>
          <w:highlight w:val="none"/>
        </w:rPr>
      </w:pPr>
      <w:r>
        <w:rPr>
          <w:rFonts w:ascii="宋体" w:eastAsia="宋体" w:hAnsi="宋体" w:cs="宋体" w:hint="eastAsia"/>
          <w:sz w:val="24"/>
        </w:rPr>
        <w:t>气象政务邮件系统</w:t>
      </w:r>
    </w:p>
    <w:p>
      <w:pPr>
        <w:pStyle w:val="ListParagraph"/>
        <w:numPr>
          <w:ilvl w:val="0"/>
          <w:numId w:val="6"/>
        </w:numPr>
        <w:adjustRightInd w:val="0"/>
        <w:snapToGrid w:val="0"/>
        <w:spacing w:line="360" w:lineRule="auto"/>
        <w:ind w:firstLine="154" w:firstLineChars="0"/>
        <w:rPr>
          <w:rFonts w:ascii="宋体" w:eastAsia="宋体" w:hAnsi="宋体" w:cs="宋体"/>
          <w:color w:val="auto"/>
          <w:sz w:val="24"/>
          <w:highlight w:val="none"/>
        </w:rPr>
      </w:pPr>
      <w:r>
        <w:rPr>
          <w:rFonts w:ascii="宋体" w:eastAsia="宋体" w:hAnsi="宋体" w:cs="宋体" w:hint="eastAsia"/>
          <w:i w:val="0"/>
          <w:iCs w:val="0"/>
          <w:caps w:val="0"/>
          <w:color w:val="auto"/>
          <w:spacing w:val="0"/>
          <w:kern w:val="2"/>
          <w:sz w:val="24"/>
          <w:szCs w:val="24"/>
          <w:highlight w:val="none"/>
          <w:lang w:val="en-US" w:eastAsia="zh-CN" w:bidi="ar"/>
        </w:rPr>
        <w:t>智能文件交换系统两套</w:t>
      </w:r>
    </w:p>
    <w:p>
      <w:pPr>
        <w:pStyle w:val="ListParagraph"/>
        <w:numPr>
          <w:ilvl w:val="0"/>
          <w:numId w:val="6"/>
        </w:numPr>
        <w:adjustRightInd w:val="0"/>
        <w:snapToGrid w:val="0"/>
        <w:spacing w:line="360" w:lineRule="auto"/>
        <w:ind w:firstLine="154" w:firstLineChars="0"/>
        <w:rPr>
          <w:rFonts w:ascii="宋体" w:eastAsia="宋体" w:hAnsi="宋体" w:cs="宋体"/>
          <w:color w:val="auto"/>
          <w:sz w:val="24"/>
          <w:highlight w:val="none"/>
        </w:rPr>
      </w:pPr>
      <w:r>
        <w:rPr>
          <w:rFonts w:ascii="宋体" w:eastAsia="宋体" w:hAnsi="宋体" w:cs="宋体" w:hint="eastAsia"/>
          <w:i w:val="0"/>
          <w:iCs w:val="0"/>
          <w:caps w:val="0"/>
          <w:color w:val="auto"/>
          <w:spacing w:val="0"/>
          <w:kern w:val="2"/>
          <w:sz w:val="24"/>
          <w:szCs w:val="24"/>
          <w:highlight w:val="none"/>
          <w:lang w:val="en-US" w:eastAsia="zh-CN" w:bidi="ar"/>
        </w:rPr>
        <w:t>气象行政执法证件管理系统</w:t>
      </w:r>
    </w:p>
    <w:p>
      <w:pPr>
        <w:pStyle w:val="ListParagraph"/>
        <w:numPr>
          <w:ilvl w:val="0"/>
          <w:numId w:val="6"/>
        </w:numPr>
        <w:adjustRightInd w:val="0"/>
        <w:snapToGrid w:val="0"/>
        <w:spacing w:line="360" w:lineRule="auto"/>
        <w:ind w:firstLine="154" w:firstLineChars="0"/>
        <w:rPr>
          <w:rFonts w:ascii="宋体" w:eastAsia="宋体" w:hAnsi="宋体" w:cs="宋体"/>
          <w:color w:val="auto"/>
          <w:sz w:val="24"/>
          <w:highlight w:val="none"/>
        </w:rPr>
      </w:pPr>
      <w:r>
        <w:rPr>
          <w:rFonts w:ascii="宋体" w:eastAsia="宋体" w:hAnsi="宋体" w:cs="宋体" w:hint="eastAsia"/>
          <w:i w:val="0"/>
          <w:iCs w:val="0"/>
          <w:caps w:val="0"/>
          <w:color w:val="auto"/>
          <w:spacing w:val="0"/>
          <w:kern w:val="2"/>
          <w:sz w:val="24"/>
          <w:szCs w:val="24"/>
          <w:highlight w:val="none"/>
          <w:lang w:val="en-US" w:eastAsia="zh-CN" w:bidi="ar"/>
        </w:rPr>
        <w:t>党建系统</w:t>
      </w:r>
    </w:p>
    <w:p>
      <w:pPr>
        <w:pStyle w:val="Heading1"/>
        <w:numPr>
          <w:ilvl w:val="0"/>
          <w:numId w:val="4"/>
        </w:numPr>
        <w:spacing w:before="120" w:after="120" w:line="480" w:lineRule="auto"/>
        <w:ind w:left="425" w:hanging="425"/>
        <w:rPr>
          <w:rFonts w:ascii="宋体" w:hAnsi="宋体"/>
          <w:color w:val="auto"/>
          <w:sz w:val="28"/>
          <w:highlight w:val="none"/>
        </w:rPr>
      </w:pPr>
      <w:bookmarkStart w:id="67" w:name="_Toc136003998"/>
      <w:bookmarkStart w:id="68" w:name="_Toc8162"/>
      <w:r>
        <w:rPr>
          <w:rFonts w:ascii="宋体" w:eastAsia="宋体" w:hAnsi="宋体" w:cs="Times New Roman" w:hint="eastAsia"/>
          <w:color w:val="auto"/>
          <w:sz w:val="28"/>
          <w:highlight w:val="none"/>
        </w:rPr>
        <w:t>运维周期</w:t>
      </w:r>
      <w:bookmarkEnd w:id="67"/>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本项目的运维周期为202</w:t>
      </w:r>
      <w:r>
        <w:rPr>
          <w:rFonts w:ascii="宋体" w:eastAsia="宋体" w:hAnsi="宋体" w:cs="Times New Roman" w:hint="eastAsia"/>
          <w:color w:val="auto"/>
          <w:sz w:val="24"/>
          <w:szCs w:val="24"/>
          <w:highlight w:val="none"/>
          <w:lang w:val="en-US" w:eastAsia="zh-CN"/>
        </w:rPr>
        <w:t>6</w:t>
      </w:r>
      <w:r>
        <w:rPr>
          <w:rFonts w:ascii="宋体" w:eastAsia="宋体" w:hAnsi="宋体" w:cs="Times New Roman" w:hint="eastAsia"/>
          <w:color w:val="auto"/>
          <w:sz w:val="24"/>
          <w:szCs w:val="24"/>
          <w:highlight w:val="none"/>
        </w:rPr>
        <w:t>年9月1日至202</w:t>
      </w:r>
      <w:r>
        <w:rPr>
          <w:rFonts w:ascii="宋体" w:eastAsia="宋体" w:hAnsi="宋体" w:cs="Times New Roman" w:hint="eastAsia"/>
          <w:color w:val="auto"/>
          <w:sz w:val="24"/>
          <w:szCs w:val="24"/>
          <w:highlight w:val="none"/>
          <w:lang w:val="en-US" w:eastAsia="zh-CN"/>
        </w:rPr>
        <w:t>7</w:t>
      </w:r>
      <w:r>
        <w:rPr>
          <w:rFonts w:ascii="宋体" w:eastAsia="宋体" w:hAnsi="宋体" w:cs="Times New Roman" w:hint="eastAsia"/>
          <w:color w:val="auto"/>
          <w:sz w:val="24"/>
          <w:szCs w:val="24"/>
          <w:highlight w:val="none"/>
        </w:rPr>
        <w:t>年8月31日。</w:t>
      </w:r>
    </w:p>
    <w:p>
      <w:pPr>
        <w:pStyle w:val="Heading1"/>
        <w:numPr>
          <w:ilvl w:val="0"/>
          <w:numId w:val="4"/>
        </w:numPr>
        <w:spacing w:before="120" w:after="120" w:line="480" w:lineRule="auto"/>
        <w:ind w:left="425" w:hanging="425"/>
        <w:rPr>
          <w:rFonts w:ascii="宋体" w:hAnsi="宋体"/>
          <w:color w:val="auto"/>
          <w:sz w:val="28"/>
          <w:highlight w:val="none"/>
        </w:rPr>
      </w:pPr>
      <w:bookmarkStart w:id="69" w:name="_Toc136003999"/>
      <w:r>
        <w:rPr>
          <w:rFonts w:ascii="宋体" w:eastAsia="宋体" w:hAnsi="宋体" w:cs="Times New Roman" w:hint="eastAsia"/>
          <w:color w:val="auto"/>
          <w:sz w:val="28"/>
          <w:highlight w:val="none"/>
        </w:rPr>
        <w:t>运维内容</w:t>
      </w:r>
      <w:bookmarkEnd w:id="68"/>
      <w:bookmarkEnd w:id="69"/>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运维内容包括：应用服务环境运维、系统使用支持运维、上门服务。</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（1）应用服务环境运维：对各系统涉及到的系统软件和应用服务软件提供运维服务，保障服务正常运行，服务包括：系统巡检、值班检查、故障排除。（不包括原厂服务）。</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w:t>
      </w:r>
      <w:r>
        <w:rPr>
          <w:rFonts w:ascii="宋体" w:eastAsia="宋体" w:hAnsi="宋体" w:cs="Times New Roman"/>
          <w:color w:val="auto"/>
          <w:sz w:val="24"/>
          <w:szCs w:val="24"/>
          <w:highlight w:val="none"/>
        </w:rPr>
        <w:t>2</w:t>
      </w:r>
      <w:r>
        <w:rPr>
          <w:rFonts w:ascii="宋体" w:eastAsia="宋体" w:hAnsi="宋体" w:cs="Times New Roman" w:hint="eastAsia"/>
          <w:color w:val="auto"/>
          <w:sz w:val="24"/>
          <w:szCs w:val="24"/>
          <w:highlight w:val="none"/>
        </w:rPr>
        <w:t>）系统使用支持运维：各系统对用户使用过程中的疑问解答、异常数据处理、原系统bug处理。</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w:t>
      </w:r>
      <w:r>
        <w:rPr>
          <w:rFonts w:ascii="宋体" w:eastAsia="宋体" w:hAnsi="宋体" w:cs="Times New Roman"/>
          <w:color w:val="auto"/>
          <w:sz w:val="24"/>
          <w:szCs w:val="24"/>
          <w:highlight w:val="none"/>
        </w:rPr>
        <w:t>3</w:t>
      </w:r>
      <w:r>
        <w:rPr>
          <w:rFonts w:ascii="宋体" w:eastAsia="宋体" w:hAnsi="宋体" w:cs="Times New Roman" w:hint="eastAsia"/>
          <w:color w:val="auto"/>
          <w:sz w:val="24"/>
          <w:szCs w:val="24"/>
          <w:highlight w:val="none"/>
        </w:rPr>
        <w:t>）上门服务：对以上系统需要使用的终端环境，需要时提供对局大院用户上门技术服务（不包括网络和设备检修服务）；</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（4）重大任务保障期间（不定期），配合开展应急演练工作，响应需5分钟到达现场，所产生的费用由投标人承担。</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（5）负责年度等保测评</w:t>
      </w:r>
      <w:r>
        <w:rPr>
          <w:rFonts w:ascii="宋体" w:eastAsia="宋体" w:hAnsi="宋体" w:cs="Times New Roman" w:hint="eastAsia"/>
          <w:color w:val="auto"/>
          <w:sz w:val="24"/>
          <w:szCs w:val="24"/>
          <w:highlight w:val="none"/>
          <w:lang w:eastAsia="zh-CN"/>
        </w:rPr>
        <w:t>和密码测评</w:t>
      </w:r>
      <w:r>
        <w:rPr>
          <w:rFonts w:ascii="宋体" w:eastAsia="宋体" w:hAnsi="宋体" w:cs="Times New Roman" w:hint="eastAsia"/>
          <w:color w:val="auto"/>
          <w:sz w:val="24"/>
          <w:szCs w:val="24"/>
          <w:highlight w:val="none"/>
        </w:rPr>
        <w:t>安全完善整改的任务。</w:t>
      </w:r>
    </w:p>
    <w:p>
      <w:pPr>
        <w:pStyle w:val="Heading1"/>
        <w:numPr>
          <w:ilvl w:val="0"/>
          <w:numId w:val="4"/>
        </w:numPr>
        <w:spacing w:before="120" w:after="120" w:line="480" w:lineRule="auto"/>
        <w:ind w:left="425" w:hanging="425"/>
        <w:rPr>
          <w:rFonts w:ascii="宋体" w:hAnsi="宋体"/>
          <w:color w:val="auto"/>
          <w:sz w:val="28"/>
          <w:highlight w:val="none"/>
        </w:rPr>
      </w:pPr>
      <w:bookmarkStart w:id="70" w:name="_Toc25164"/>
      <w:bookmarkStart w:id="71" w:name="_Toc136004000"/>
      <w:r>
        <w:rPr>
          <w:rFonts w:ascii="宋体" w:eastAsia="宋体" w:hAnsi="宋体" w:cs="Times New Roman" w:hint="eastAsia"/>
          <w:color w:val="auto"/>
          <w:sz w:val="28"/>
          <w:highlight w:val="none"/>
        </w:rPr>
        <w:t>运维方式</w:t>
      </w:r>
      <w:bookmarkEnd w:id="70"/>
      <w:bookmarkEnd w:id="71"/>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各系统承建商需要提供电话、上门、呼叫中心工单系统转发三种方式的运维服务。</w:t>
      </w:r>
    </w:p>
    <w:p>
      <w:pPr>
        <w:pStyle w:val="Heading3"/>
        <w:numPr>
          <w:ilvl w:val="1"/>
          <w:numId w:val="4"/>
        </w:numPr>
        <w:spacing w:before="240" w:after="240" w:line="360" w:lineRule="auto"/>
        <w:ind w:left="16" w:hanging="16" w:firstLineChars="0"/>
        <w:rPr>
          <w:rFonts w:ascii="宋体" w:hAnsi="宋体"/>
          <w:color w:val="auto"/>
          <w:sz w:val="28"/>
          <w:highlight w:val="none"/>
        </w:rPr>
      </w:pPr>
      <w:bookmarkStart w:id="72" w:name="_Toc11134"/>
      <w:bookmarkStart w:id="73" w:name="_Toc37233789"/>
      <w:bookmarkStart w:id="74" w:name="_Toc136004001"/>
      <w:r>
        <w:rPr>
          <w:rFonts w:ascii="宋体" w:eastAsia="宋体" w:hAnsi="宋体" w:cs="Times New Roman" w:hint="eastAsia"/>
          <w:color w:val="auto"/>
          <w:sz w:val="28"/>
          <w:highlight w:val="none"/>
        </w:rPr>
        <w:t>电话支持</w:t>
      </w:r>
      <w:bookmarkEnd w:id="72"/>
      <w:bookmarkEnd w:id="73"/>
      <w:bookmarkEnd w:id="74"/>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支持人员通过电话为系统用户提供支持服务，要求支持人员做到：</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（1）了解支持内容、支持时间要求、之前支持情况以及遗留问题等，并与用户确认；</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（2）支持结束后，经过客户确认是否已经解决问题，并得到客户确认后，记为一次电话客户支持；</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3）为保证对客户服务需求的响应时间，乙方配备专用值班手机，并安排工程师进行非工作时间值班，以保障非工作时间应急响应服务；要求非工作时间（包括节假日）手机24小时值班，特殊情况下如果不宜接听手机，要求工程师也不得关机并且在15分钟内给与回电；值班工程师接到用户电话后立即进行问题处理，同时通知甲方、项目经理和部门值班经理，以便协调其它工程师或为到现场救援做好准备。</w:t>
      </w:r>
    </w:p>
    <w:p>
      <w:pPr>
        <w:pStyle w:val="Heading3"/>
        <w:numPr>
          <w:ilvl w:val="1"/>
          <w:numId w:val="4"/>
        </w:numPr>
        <w:spacing w:before="240" w:after="240" w:line="360" w:lineRule="auto"/>
        <w:ind w:left="16" w:hanging="16" w:firstLineChars="0"/>
        <w:rPr>
          <w:rFonts w:ascii="宋体" w:hAnsi="宋体"/>
          <w:color w:val="auto"/>
          <w:sz w:val="28"/>
          <w:highlight w:val="none"/>
        </w:rPr>
      </w:pPr>
      <w:bookmarkStart w:id="75" w:name="_Toc136004002"/>
      <w:bookmarkStart w:id="76" w:name="_Toc25601"/>
      <w:bookmarkStart w:id="77" w:name="_Toc37233790"/>
      <w:bookmarkStart w:id="78" w:name="_Toc37233791"/>
      <w:r>
        <w:rPr>
          <w:rFonts w:ascii="宋体" w:eastAsia="宋体" w:hAnsi="宋体" w:cs="Times New Roman" w:hint="eastAsia"/>
          <w:color w:val="auto"/>
          <w:sz w:val="28"/>
          <w:highlight w:val="none"/>
        </w:rPr>
        <w:t>上门支持</w:t>
      </w:r>
      <w:bookmarkEnd w:id="75"/>
      <w:bookmarkEnd w:id="76"/>
      <w:bookmarkEnd w:id="77"/>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根据客户要求，到达客户现场提供支持服务，要求支持人员做到：</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（1）了解现场支持内容、到达时间要求、之前支持情况以及遗留问题，并与用户确认；</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（2）携带必要的应用工具、资料和需要用户签署确认的现场服务单；</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（3）根据现场支持的要求，提前做好准备工作；</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（4）与用户确认服务内容和操作流程后进行实施；</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（5）严格遵守用户现场的管理制度；</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（6）如果遇到无法解决的问题或用户提出额外要求，应及时向相关管理部门汇报，得到授权后再做处理；</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（7）解决问题结束后，签署上门服务单，确认现场服务工作情况；</w:t>
      </w:r>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（8）定期向客户提交上门服务单。</w:t>
      </w:r>
    </w:p>
    <w:p>
      <w:pPr>
        <w:pStyle w:val="Heading3"/>
        <w:numPr>
          <w:ilvl w:val="1"/>
          <w:numId w:val="4"/>
        </w:numPr>
        <w:spacing w:before="240" w:after="240" w:line="360" w:lineRule="auto"/>
        <w:ind w:left="16" w:hanging="16" w:firstLineChars="0"/>
        <w:rPr>
          <w:rFonts w:ascii="宋体" w:hAnsi="宋体"/>
          <w:color w:val="auto"/>
          <w:sz w:val="28"/>
          <w:highlight w:val="none"/>
        </w:rPr>
      </w:pPr>
      <w:bookmarkStart w:id="79" w:name="_Toc136004003"/>
      <w:bookmarkStart w:id="80" w:name="_Toc28129"/>
      <w:r>
        <w:rPr>
          <w:rFonts w:ascii="宋体" w:eastAsia="宋体" w:hAnsi="宋体" w:cs="Times New Roman"/>
          <w:color w:val="auto"/>
          <w:sz w:val="28"/>
          <w:highlight w:val="none"/>
        </w:rPr>
        <w:t>呼</w:t>
      </w:r>
      <w:r>
        <w:rPr>
          <w:rFonts w:ascii="宋体" w:eastAsia="宋体" w:hAnsi="宋体" w:cs="Times New Roman" w:hint="eastAsia"/>
          <w:color w:val="auto"/>
          <w:sz w:val="28"/>
          <w:highlight w:val="none"/>
        </w:rPr>
        <w:t>叫中心工单系统</w:t>
      </w:r>
      <w:bookmarkEnd w:id="79"/>
      <w:bookmarkEnd w:id="80"/>
    </w:p>
    <w:p>
      <w:p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系统支持人员</w:t>
      </w:r>
      <w:r>
        <w:rPr>
          <w:rFonts w:ascii="宋体" w:eastAsia="宋体" w:hAnsi="宋体" w:cs="Times New Roman" w:hint="eastAsia"/>
          <w:color w:val="auto"/>
          <w:sz w:val="24"/>
          <w:szCs w:val="24"/>
          <w:highlight w:val="none"/>
          <w:lang w:val="en-US" w:eastAsia="zh-CN"/>
        </w:rPr>
        <w:t>面向</w:t>
      </w:r>
      <w:r>
        <w:rPr>
          <w:rFonts w:ascii="宋体" w:eastAsia="宋体" w:hAnsi="宋体" w:cs="Times New Roman" w:hint="eastAsia"/>
          <w:color w:val="auto"/>
          <w:sz w:val="24"/>
          <w:szCs w:val="24"/>
          <w:highlight w:val="none"/>
        </w:rPr>
        <w:t>国家局</w:t>
      </w:r>
      <w:r>
        <w:rPr>
          <w:rFonts w:ascii="宋体" w:eastAsia="宋体" w:hAnsi="宋体" w:cs="Times New Roman" w:hint="eastAsia"/>
          <w:color w:val="auto"/>
          <w:sz w:val="24"/>
          <w:szCs w:val="24"/>
          <w:highlight w:val="none"/>
          <w:lang w:val="en-US" w:eastAsia="zh-CN"/>
        </w:rPr>
        <w:t>和直属单位</w:t>
      </w:r>
      <w:r>
        <w:rPr>
          <w:rFonts w:ascii="宋体" w:eastAsia="宋体" w:hAnsi="宋体" w:cs="Times New Roman" w:hint="eastAsia"/>
          <w:color w:val="auto"/>
          <w:sz w:val="24"/>
          <w:szCs w:val="24"/>
          <w:highlight w:val="none"/>
        </w:rPr>
        <w:t>用户提供呼叫中心的支持服务，为系统用户提供</w:t>
      </w:r>
      <w:r>
        <w:rPr>
          <w:rFonts w:ascii="宋体" w:eastAsia="宋体" w:hAnsi="宋体" w:cs="宋体" w:hint="eastAsia"/>
          <w:color w:val="auto"/>
          <w:sz w:val="24"/>
          <w:szCs w:val="24"/>
          <w:highlight w:val="none"/>
          <w:lang w:val="en-US" w:eastAsia="zh-CN"/>
        </w:rPr>
        <w:t>各类</w:t>
      </w:r>
      <w:r>
        <w:rPr>
          <w:rFonts w:ascii="宋体" w:eastAsia="宋体" w:hAnsi="宋体" w:cs="宋体" w:hint="eastAsia"/>
          <w:color w:val="auto"/>
          <w:sz w:val="24"/>
          <w:szCs w:val="20"/>
          <w:highlight w:val="none"/>
        </w:rPr>
        <w:t>政务办公管理多应用系统</w:t>
      </w:r>
      <w:r>
        <w:rPr>
          <w:rFonts w:ascii="宋体" w:eastAsia="宋体" w:hAnsi="宋体" w:cs="宋体" w:hint="eastAsia"/>
          <w:color w:val="auto"/>
          <w:sz w:val="24"/>
          <w:szCs w:val="20"/>
          <w:highlight w:val="none"/>
          <w:lang w:val="en-US" w:eastAsia="zh-CN"/>
        </w:rPr>
        <w:t>的</w:t>
      </w:r>
      <w:r>
        <w:rPr>
          <w:rFonts w:ascii="宋体" w:eastAsia="宋体" w:hAnsi="宋体" w:cs="Times New Roman" w:hint="eastAsia"/>
          <w:color w:val="auto"/>
          <w:sz w:val="24"/>
          <w:szCs w:val="24"/>
          <w:highlight w:val="none"/>
        </w:rPr>
        <w:t>支持服务，要求支持人员做到：</w:t>
      </w:r>
    </w:p>
    <w:p>
      <w:pPr>
        <w:numPr>
          <w:ilvl w:val="0"/>
          <w:numId w:val="7"/>
        </w:num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了解支持内容、支持时间要求、录入支持记录，并与用户确认；</w:t>
      </w:r>
    </w:p>
    <w:p>
      <w:pPr>
        <w:numPr>
          <w:ilvl w:val="0"/>
          <w:numId w:val="7"/>
        </w:num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根据要求，在呼叫中心工单系统中录入任务单，根据任务划分，把不同类型的任务单提交给相应供应商的支持人员，由各供应商支持人员解决支持问题；</w:t>
      </w:r>
    </w:p>
    <w:p>
      <w:pPr>
        <w:numPr>
          <w:ilvl w:val="0"/>
          <w:numId w:val="7"/>
        </w:num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各系统供应商支持人员解决任务之后，在工单系统上填写解决方案，提交服务小结，关闭任务。</w:t>
      </w:r>
    </w:p>
    <w:p>
      <w:pPr>
        <w:numPr>
          <w:ilvl w:val="0"/>
          <w:numId w:val="7"/>
        </w:numPr>
        <w:adjustRightInd w:val="0"/>
        <w:snapToGrid w:val="0"/>
        <w:spacing w:line="360" w:lineRule="auto"/>
        <w:ind w:firstLine="480" w:firstLineChars="200"/>
        <w:rPr>
          <w:rFonts w:ascii="宋体" w:eastAsia="宋体" w:hAnsi="宋体" w:cs="Times New Roman"/>
          <w:color w:val="auto"/>
          <w:highlight w:val="none"/>
        </w:rPr>
      </w:pPr>
      <w:r>
        <w:rPr>
          <w:rFonts w:ascii="宋体" w:eastAsia="宋体" w:hAnsi="宋体" w:cs="Times New Roman" w:hint="eastAsia"/>
          <w:color w:val="auto"/>
          <w:sz w:val="24"/>
          <w:szCs w:val="24"/>
          <w:highlight w:val="none"/>
        </w:rPr>
        <w:t>呼叫中心的范围不仅包括本项目实施运维的部分，还包括局机关</w:t>
      </w:r>
      <w:r>
        <w:rPr>
          <w:rFonts w:ascii="宋体" w:hAnsi="宋体" w:cs="Times New Roman" w:hint="eastAsia"/>
          <w:color w:val="auto"/>
          <w:sz w:val="24"/>
          <w:szCs w:val="24"/>
          <w:highlight w:val="none"/>
          <w:lang w:eastAsia="zh-CN"/>
        </w:rPr>
        <w:t>业务网</w:t>
      </w:r>
      <w:r>
        <w:rPr>
          <w:rFonts w:ascii="宋体" w:eastAsia="宋体" w:hAnsi="宋体" w:cs="Times New Roman" w:hint="eastAsia"/>
          <w:color w:val="auto"/>
          <w:sz w:val="24"/>
          <w:szCs w:val="24"/>
          <w:highlight w:val="none"/>
        </w:rPr>
        <w:t>、无线网络、国产化终端等相关用户问题的接入、咨询以及转接服务。</w:t>
      </w:r>
    </w:p>
    <w:bookmarkEnd w:id="78"/>
    <w:p>
      <w:pPr>
        <w:pStyle w:val="Heading1"/>
        <w:numPr>
          <w:ilvl w:val="0"/>
          <w:numId w:val="4"/>
        </w:numPr>
        <w:spacing w:before="120" w:after="120" w:line="480" w:lineRule="auto"/>
        <w:ind w:left="425" w:hanging="425"/>
        <w:rPr>
          <w:rFonts w:ascii="宋体" w:hAnsi="宋体"/>
          <w:color w:val="auto"/>
          <w:sz w:val="28"/>
          <w:highlight w:val="none"/>
        </w:rPr>
      </w:pPr>
      <w:bookmarkStart w:id="81" w:name="_Toc9977"/>
      <w:bookmarkStart w:id="82" w:name="_Toc136004004"/>
      <w:r>
        <w:rPr>
          <w:rFonts w:ascii="宋体" w:eastAsia="宋体" w:hAnsi="宋体" w:cs="Times New Roman" w:hint="eastAsia"/>
          <w:color w:val="auto"/>
          <w:sz w:val="28"/>
          <w:highlight w:val="none"/>
        </w:rPr>
        <w:t>运维范围</w:t>
      </w:r>
      <w:bookmarkEnd w:id="81"/>
      <w:bookmarkEnd w:id="82"/>
    </w:p>
    <w:p>
      <w:pPr>
        <w:spacing w:line="360" w:lineRule="auto"/>
        <w:ind w:firstLine="482"/>
        <w:rPr>
          <w:rFonts w:ascii="宋体" w:eastAsia="宋体" w:hAnsi="宋体" w:cs="Times New Roman"/>
          <w:color w:val="auto"/>
          <w:highlight w:val="none"/>
        </w:rPr>
      </w:pPr>
      <w:r>
        <w:rPr>
          <w:rFonts w:ascii="宋体" w:eastAsia="宋体" w:hAnsi="宋体" w:cs="Times New Roman" w:hint="eastAsia"/>
          <w:color w:val="auto"/>
          <w:sz w:val="24"/>
          <w:szCs w:val="24"/>
          <w:highlight w:val="none"/>
        </w:rPr>
        <w:t>本项目运维范围为各系统涉及到的应用服务、数据库服务、应用子系统系统支持服务、上门终端运维服务，协助提供各类运维基线文档，各系统的运维服务由各系统承建单位负责。</w:t>
      </w:r>
    </w:p>
    <w:p>
      <w:pPr>
        <w:spacing w:line="360" w:lineRule="auto"/>
        <w:ind w:firstLine="482"/>
        <w:rPr>
          <w:rFonts w:ascii="宋体" w:eastAsia="宋体" w:hAnsi="宋体" w:cs="Times New Roman"/>
          <w:color w:val="auto"/>
          <w:highlight w:val="none"/>
        </w:rPr>
      </w:pPr>
      <w:r>
        <w:rPr>
          <w:rFonts w:ascii="宋体" w:eastAsia="宋体" w:hAnsi="宋体" w:cs="Times New Roman" w:hint="eastAsia"/>
          <w:color w:val="auto"/>
          <w:sz w:val="24"/>
          <w:szCs w:val="24"/>
          <w:highlight w:val="none"/>
        </w:rPr>
        <w:t>各系统的运维范围如下：</w:t>
      </w:r>
    </w:p>
    <w:p>
      <w:pPr>
        <w:pStyle w:val="Heading3"/>
        <w:numPr>
          <w:ilvl w:val="1"/>
          <w:numId w:val="4"/>
        </w:numPr>
        <w:spacing w:before="240" w:after="240" w:line="360" w:lineRule="auto"/>
        <w:ind w:left="16" w:hanging="16" w:firstLineChars="0"/>
        <w:rPr>
          <w:rFonts w:ascii="宋体" w:hAnsi="宋体"/>
          <w:color w:val="auto"/>
          <w:sz w:val="28"/>
          <w:highlight w:val="none"/>
        </w:rPr>
      </w:pPr>
      <w:r>
        <w:rPr>
          <w:rFonts w:ascii="宋体" w:eastAsia="宋体" w:hAnsi="宋体" w:cs="Times New Roman" w:hint="eastAsia"/>
          <w:color w:val="auto"/>
          <w:sz w:val="28"/>
          <w:highlight w:val="none"/>
        </w:rPr>
        <w:t>门户信息发布与政务公开系统</w:t>
      </w:r>
    </w:p>
    <w:p>
      <w:pPr>
        <w:pStyle w:val="Heading4"/>
        <w:numPr>
          <w:ilvl w:val="0"/>
          <w:numId w:val="0"/>
        </w:numPr>
        <w:adjustRightInd w:val="0"/>
        <w:snapToGrid w:val="0"/>
        <w:spacing w:line="360" w:lineRule="auto"/>
        <w:ind w:left="630"/>
        <w:rPr>
          <w:rFonts w:ascii="Times New Roman" w:eastAsia="宋体" w:hAnsi="Times New Roman" w:hint="default"/>
          <w:bCs/>
          <w:color w:val="auto"/>
          <w:sz w:val="24"/>
          <w:szCs w:val="24"/>
          <w:highlight w:val="none"/>
        </w:rPr>
      </w:pPr>
      <w:r>
        <w:rPr>
          <w:rFonts w:ascii="Times New Roman" w:eastAsia="宋体" w:hAnsi="Times New Roman" w:cs="Times New Roman" w:hint="default"/>
          <w:bCs/>
          <w:color w:val="auto"/>
          <w:sz w:val="24"/>
          <w:szCs w:val="24"/>
          <w:highlight w:val="none"/>
          <w:lang w:val="en-US" w:eastAsia="zh-CN"/>
        </w:rPr>
        <w:t>7.</w:t>
      </w:r>
      <w:r>
        <w:rPr>
          <w:rFonts w:ascii="Times New Roman" w:eastAsia="宋体" w:hAnsi="Times New Roman" w:cs="Times New Roman" w:hint="default"/>
          <w:b/>
          <w:bCs/>
          <w:color w:val="auto"/>
          <w:sz w:val="24"/>
          <w:szCs w:val="24"/>
          <w:highlight w:val="none"/>
          <w:lang w:val="en-US" w:eastAsia="zh-CN"/>
        </w:rPr>
        <w:t>1</w:t>
      </w:r>
      <w:r>
        <w:rPr>
          <w:rFonts w:ascii="Times New Roman" w:eastAsia="宋体" w:hAnsi="Times New Roman" w:cs="Times New Roman" w:hint="default"/>
          <w:bCs/>
          <w:color w:val="auto"/>
          <w:sz w:val="24"/>
          <w:szCs w:val="24"/>
          <w:highlight w:val="none"/>
          <w:lang w:val="en-US" w:eastAsia="zh-CN"/>
        </w:rPr>
        <w:t>.</w:t>
      </w:r>
      <w:r>
        <w:rPr>
          <w:rFonts w:ascii="Times New Roman" w:eastAsia="宋体" w:hAnsi="Times New Roman" w:cs="Times New Roman" w:hint="eastAsia"/>
          <w:bCs/>
          <w:color w:val="auto"/>
          <w:sz w:val="24"/>
          <w:szCs w:val="24"/>
          <w:highlight w:val="none"/>
          <w:lang w:val="en-US" w:eastAsia="zh-CN"/>
        </w:rPr>
        <w:t>1</w:t>
      </w:r>
      <w:r>
        <w:rPr>
          <w:rFonts w:ascii="Times New Roman" w:eastAsia="宋体" w:hAnsi="Times New Roman" w:cs="Times New Roman" w:hint="default"/>
          <w:bCs/>
          <w:color w:val="auto"/>
          <w:sz w:val="24"/>
          <w:szCs w:val="24"/>
          <w:highlight w:val="none"/>
          <w:lang w:val="en-US" w:eastAsia="zh-CN"/>
        </w:rPr>
        <w:t xml:space="preserve"> 门户信息发布系统两套</w:t>
      </w:r>
    </w:p>
    <w:p>
      <w:pPr>
        <w:pStyle w:val="ListParagraph"/>
        <w:numPr>
          <w:ilvl w:val="0"/>
          <w:numId w:val="8"/>
        </w:numPr>
        <w:adjustRightInd w:val="0"/>
        <w:snapToGrid w:val="0"/>
        <w:spacing w:line="360" w:lineRule="auto"/>
        <w:ind w:firstLineChars="0"/>
        <w:rPr>
          <w:rFonts w:ascii="宋体" w:eastAsia="宋体" w:hAnsi="宋体" w:cs="宋体" w:hint="eastAsia"/>
          <w:color w:val="auto"/>
          <w:sz w:val="24"/>
          <w:highlight w:val="none"/>
        </w:rPr>
      </w:pPr>
      <w:r>
        <w:rPr>
          <w:rFonts w:ascii="宋体" w:eastAsia="宋体" w:hAnsi="宋体" w:cs="宋体" w:hint="eastAsia"/>
          <w:color w:val="auto"/>
          <w:sz w:val="24"/>
          <w:highlight w:val="none"/>
          <w:lang w:val="en-US" w:eastAsia="zh-CN"/>
        </w:rPr>
        <w:t>完成国家级5个以内专栏制作和发布</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国家级机关、直属单位、省级气政通门户网站</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国家级机关门户专栏的维护、变更和调整</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国家级机关、直属单位、省级气政通门户人员情况</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国家级机关、直属单位、省级气政通门户发文发电</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国家级机关门户领导讲话</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国家级机关、直属单位、省级气政通钉钉门户</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国家级机关、直属单位、省级气政通钉钉通知公告</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国家级机关、直属单位、省级气政通钉钉图片新闻</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规章制度区</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气象政务管理平台机构、用户同步</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气象政务管理平台个性化导航</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气象政务管理平台订阅收藏</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气象政务管理平台内部公告</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气象政务管理平台文章点击量</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气象政务管理平台门户检索</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维护</w:t>
      </w:r>
      <w:r>
        <w:rPr>
          <w:rFonts w:ascii="宋体" w:eastAsia="宋体" w:hAnsi="宋体" w:cs="宋体" w:hint="eastAsia"/>
          <w:color w:val="auto"/>
          <w:sz w:val="24"/>
          <w:highlight w:val="none"/>
          <w:lang w:eastAsia="zh-CN"/>
        </w:rPr>
        <w:t>业务网</w:t>
      </w:r>
      <w:r>
        <w:rPr>
          <w:rFonts w:ascii="宋体" w:eastAsia="宋体" w:hAnsi="宋体" w:cs="宋体" w:hint="eastAsia"/>
          <w:color w:val="auto"/>
          <w:sz w:val="24"/>
          <w:highlight w:val="none"/>
        </w:rPr>
        <w:t>领导主站、部门概况(部门简介，部门职责，内设机构，直属单位，省区市气象局)、通讯录、相关服务(办事指南，在线下载)、友情链接、新闻资讯(时政要闻，气象要闻，媒体关注，科技创新，图片新闻)的自动更新和定期更新</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系统每日巡检</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default"/>
          <w:color w:val="auto"/>
          <w:sz w:val="24"/>
          <w:szCs w:val="24"/>
          <w:highlight w:val="none"/>
          <w:lang w:val="en-US" w:eastAsia="zh-CN"/>
        </w:rPr>
        <w:t>系统故障问题解决</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配合测评检查和整改</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系统安全漏洞修复</w:t>
      </w:r>
    </w:p>
    <w:p>
      <w:pPr>
        <w:pStyle w:val="Heading4"/>
        <w:numPr>
          <w:ilvl w:val="0"/>
          <w:numId w:val="0"/>
        </w:numPr>
        <w:adjustRightInd w:val="0"/>
        <w:snapToGrid w:val="0"/>
        <w:spacing w:line="360" w:lineRule="auto"/>
        <w:ind w:left="630"/>
        <w:rPr>
          <w:rFonts w:ascii="Times New Roman" w:eastAsia="宋体" w:hAnsi="Times New Roman" w:hint="default"/>
          <w:bCs/>
          <w:color w:val="auto"/>
          <w:sz w:val="24"/>
          <w:szCs w:val="24"/>
          <w:highlight w:val="none"/>
        </w:rPr>
      </w:pPr>
      <w:r>
        <w:rPr>
          <w:rFonts w:ascii="Times New Roman" w:eastAsia="宋体" w:hAnsi="Times New Roman" w:cs="Times New Roman" w:hint="default"/>
          <w:bCs/>
          <w:color w:val="auto"/>
          <w:sz w:val="24"/>
          <w:szCs w:val="24"/>
          <w:highlight w:val="none"/>
          <w:lang w:val="en-US" w:eastAsia="zh-CN"/>
        </w:rPr>
        <w:t>7.</w:t>
      </w:r>
      <w:r>
        <w:rPr>
          <w:rFonts w:ascii="Times New Roman" w:eastAsia="宋体" w:hAnsi="Times New Roman" w:cs="Times New Roman" w:hint="default"/>
          <w:b/>
          <w:bCs/>
          <w:color w:val="auto"/>
          <w:sz w:val="24"/>
          <w:szCs w:val="24"/>
          <w:highlight w:val="none"/>
          <w:lang w:val="en-US" w:eastAsia="zh-CN"/>
        </w:rPr>
        <w:t>1</w:t>
      </w:r>
      <w:r>
        <w:rPr>
          <w:rFonts w:ascii="Times New Roman" w:eastAsia="宋体" w:hAnsi="Times New Roman" w:cs="Times New Roman" w:hint="default"/>
          <w:bCs/>
          <w:color w:val="auto"/>
          <w:sz w:val="24"/>
          <w:szCs w:val="24"/>
          <w:highlight w:val="none"/>
          <w:lang w:val="en-US" w:eastAsia="zh-CN"/>
        </w:rPr>
        <w:t>.</w:t>
      </w:r>
      <w:r>
        <w:rPr>
          <w:rFonts w:ascii="Times New Roman" w:eastAsia="宋体" w:hAnsi="Times New Roman" w:cs="Times New Roman" w:hint="eastAsia"/>
          <w:bCs/>
          <w:color w:val="auto"/>
          <w:sz w:val="24"/>
          <w:szCs w:val="24"/>
          <w:highlight w:val="none"/>
          <w:lang w:val="en-US" w:eastAsia="zh-CN"/>
        </w:rPr>
        <w:t>2</w:t>
      </w:r>
      <w:r>
        <w:rPr>
          <w:rFonts w:ascii="Times New Roman" w:eastAsia="宋体" w:hAnsi="Times New Roman" w:cs="Times New Roman" w:hint="default"/>
          <w:bCs/>
          <w:color w:val="auto"/>
          <w:sz w:val="24"/>
          <w:szCs w:val="24"/>
          <w:highlight w:val="none"/>
          <w:lang w:val="en-US" w:eastAsia="zh-CN"/>
        </w:rPr>
        <w:t xml:space="preserve"> 政务公开</w:t>
      </w:r>
      <w:r>
        <w:rPr>
          <w:rFonts w:ascii="Times New Roman" w:eastAsia="宋体" w:hAnsi="Times New Roman" w:cs="Times New Roman" w:hint="default"/>
          <w:b/>
          <w:bCs/>
          <w:color w:val="auto"/>
          <w:sz w:val="24"/>
          <w:szCs w:val="24"/>
          <w:highlight w:val="none"/>
          <w:lang w:val="en-US" w:eastAsia="zh-CN"/>
        </w:rPr>
        <w:t>与留言办理平台</w:t>
      </w:r>
    </w:p>
    <w:p>
      <w:pPr>
        <w:pStyle w:val="ListParagraph"/>
        <w:numPr>
          <w:ilvl w:val="0"/>
          <w:numId w:val="8"/>
        </w:numPr>
        <w:adjustRightInd w:val="0"/>
        <w:snapToGrid w:val="0"/>
        <w:spacing w:line="360" w:lineRule="auto"/>
        <w:ind w:firstLineChars="0"/>
        <w:rPr>
          <w:rFonts w:ascii="宋体" w:eastAsia="宋体" w:hAnsi="宋体" w:cs="宋体" w:hint="default"/>
          <w:color w:val="auto"/>
          <w:sz w:val="24"/>
          <w:highlight w:val="none"/>
        </w:rPr>
      </w:pPr>
      <w:r>
        <w:rPr>
          <w:rFonts w:ascii="宋体" w:eastAsia="宋体" w:hAnsi="宋体" w:cs="宋体" w:hint="default"/>
          <w:color w:val="auto"/>
          <w:sz w:val="24"/>
          <w:highlight w:val="none"/>
          <w:lang w:val="en-US" w:eastAsia="zh-CN"/>
        </w:rPr>
        <w:t>专栏的维护、变更和调整</w:t>
      </w:r>
    </w:p>
    <w:p>
      <w:pPr>
        <w:pStyle w:val="ListParagraph"/>
        <w:numPr>
          <w:ilvl w:val="0"/>
          <w:numId w:val="8"/>
        </w:numPr>
        <w:adjustRightInd w:val="0"/>
        <w:snapToGrid w:val="0"/>
        <w:spacing w:line="360" w:lineRule="auto"/>
        <w:ind w:firstLineChars="0"/>
        <w:rPr>
          <w:rFonts w:ascii="宋体" w:eastAsia="宋体" w:hAnsi="宋体" w:cs="宋体" w:hint="default"/>
          <w:color w:val="auto"/>
          <w:sz w:val="24"/>
          <w:highlight w:val="none"/>
        </w:rPr>
      </w:pPr>
      <w:r>
        <w:rPr>
          <w:rFonts w:ascii="宋体" w:eastAsia="宋体" w:hAnsi="宋体" w:cs="宋体" w:hint="default"/>
          <w:color w:val="auto"/>
          <w:sz w:val="24"/>
          <w:highlight w:val="none"/>
          <w:lang w:val="en-US" w:eastAsia="zh-CN"/>
        </w:rPr>
        <w:t>系统安全漏洞修复</w:t>
      </w:r>
    </w:p>
    <w:p>
      <w:pPr>
        <w:pStyle w:val="ListParagraph"/>
        <w:numPr>
          <w:ilvl w:val="0"/>
          <w:numId w:val="8"/>
        </w:numPr>
        <w:adjustRightInd w:val="0"/>
        <w:snapToGrid w:val="0"/>
        <w:spacing w:line="360" w:lineRule="auto"/>
        <w:ind w:firstLineChars="0"/>
        <w:rPr>
          <w:rFonts w:ascii="宋体" w:eastAsia="宋体" w:hAnsi="宋体" w:cs="宋体" w:hint="default"/>
          <w:color w:val="auto"/>
          <w:sz w:val="24"/>
          <w:highlight w:val="none"/>
        </w:rPr>
      </w:pPr>
      <w:r>
        <w:rPr>
          <w:rFonts w:ascii="宋体" w:eastAsia="宋体" w:hAnsi="宋体" w:cs="宋体" w:hint="default"/>
          <w:color w:val="auto"/>
          <w:sz w:val="24"/>
          <w:highlight w:val="none"/>
          <w:lang w:val="en-US" w:eastAsia="zh-CN"/>
        </w:rPr>
        <w:t>系统故障问题解决</w:t>
      </w:r>
    </w:p>
    <w:p>
      <w:pPr>
        <w:pStyle w:val="ListParagraph"/>
        <w:numPr>
          <w:ilvl w:val="0"/>
          <w:numId w:val="8"/>
        </w:numPr>
        <w:adjustRightInd w:val="0"/>
        <w:snapToGrid w:val="0"/>
        <w:spacing w:line="360" w:lineRule="auto"/>
        <w:ind w:firstLineChars="0"/>
        <w:rPr>
          <w:rFonts w:ascii="宋体" w:eastAsia="宋体" w:hAnsi="宋体" w:cs="宋体" w:hint="default"/>
          <w:color w:val="auto"/>
          <w:sz w:val="24"/>
          <w:highlight w:val="none"/>
        </w:rPr>
      </w:pPr>
      <w:r>
        <w:rPr>
          <w:rFonts w:ascii="宋体" w:eastAsia="宋体" w:hAnsi="宋体" w:cs="宋体" w:hint="default"/>
          <w:color w:val="auto"/>
          <w:sz w:val="24"/>
          <w:highlight w:val="none"/>
          <w:lang w:val="en-US" w:eastAsia="zh-CN"/>
        </w:rPr>
        <w:t>用户使用问题支持</w:t>
      </w:r>
    </w:p>
    <w:p>
      <w:pPr>
        <w:pStyle w:val="ListParagraph"/>
        <w:numPr>
          <w:ilvl w:val="0"/>
          <w:numId w:val="8"/>
        </w:numPr>
        <w:adjustRightInd w:val="0"/>
        <w:snapToGrid w:val="0"/>
        <w:spacing w:line="360" w:lineRule="auto"/>
        <w:ind w:firstLineChars="0"/>
        <w:rPr>
          <w:rFonts w:ascii="宋体" w:eastAsia="宋体" w:hAnsi="宋体" w:cs="宋体" w:hint="default"/>
          <w:color w:val="auto"/>
          <w:sz w:val="24"/>
          <w:highlight w:val="none"/>
        </w:rPr>
      </w:pPr>
      <w:r>
        <w:rPr>
          <w:rFonts w:ascii="宋体" w:eastAsia="宋体" w:hAnsi="宋体" w:cs="宋体" w:hint="default"/>
          <w:color w:val="auto"/>
          <w:sz w:val="24"/>
          <w:highlight w:val="none"/>
          <w:lang w:val="en-US" w:eastAsia="zh-CN"/>
        </w:rPr>
        <w:t>系统技术支持</w:t>
      </w:r>
    </w:p>
    <w:p>
      <w:pPr>
        <w:pStyle w:val="Heading4"/>
        <w:numPr>
          <w:ilvl w:val="0"/>
          <w:numId w:val="0"/>
        </w:numPr>
        <w:adjustRightInd w:val="0"/>
        <w:snapToGrid w:val="0"/>
        <w:ind w:left="630"/>
        <w:rPr>
          <w:rFonts w:ascii="Times New Roman" w:eastAsia="宋体" w:hAnsi="Times New Roman" w:hint="default"/>
          <w:bCs/>
          <w:color w:val="auto"/>
          <w:sz w:val="24"/>
          <w:szCs w:val="24"/>
          <w:highlight w:val="none"/>
        </w:rPr>
      </w:pPr>
      <w:r>
        <w:rPr>
          <w:rFonts w:ascii="Times New Roman" w:eastAsia="宋体" w:hAnsi="Times New Roman" w:cs="Times New Roman" w:hint="default"/>
          <w:b/>
          <w:bCs/>
          <w:color w:val="auto"/>
          <w:sz w:val="24"/>
          <w:szCs w:val="24"/>
          <w:highlight w:val="none"/>
          <w:lang w:val="en-US" w:eastAsia="zh-CN"/>
        </w:rPr>
        <w:t>7.1.</w:t>
      </w:r>
      <w:r>
        <w:rPr>
          <w:rFonts w:ascii="Times New Roman" w:eastAsia="宋体" w:hAnsi="Times New Roman" w:cs="Times New Roman" w:hint="eastAsia"/>
          <w:b/>
          <w:bCs/>
          <w:color w:val="auto"/>
          <w:sz w:val="24"/>
          <w:szCs w:val="24"/>
          <w:highlight w:val="none"/>
          <w:lang w:val="en-US" w:eastAsia="zh-CN"/>
        </w:rPr>
        <w:t>3</w:t>
      </w:r>
      <w:r>
        <w:rPr>
          <w:rFonts w:ascii="Times New Roman" w:eastAsia="宋体" w:hAnsi="Times New Roman" w:cs="Times New Roman" w:hint="default"/>
          <w:b/>
          <w:bCs/>
          <w:color w:val="auto"/>
          <w:sz w:val="24"/>
          <w:szCs w:val="24"/>
          <w:highlight w:val="none"/>
          <w:lang w:val="en-US" w:eastAsia="zh-CN"/>
        </w:rPr>
        <w:t xml:space="preserve"> 其他</w:t>
      </w:r>
    </w:p>
    <w:p>
      <w:pPr>
        <w:pStyle w:val="ListParagraph"/>
        <w:numPr>
          <w:ilvl w:val="0"/>
          <w:numId w:val="8"/>
        </w:numPr>
        <w:adjustRightInd w:val="0"/>
        <w:snapToGrid w:val="0"/>
        <w:spacing w:line="360" w:lineRule="auto"/>
        <w:ind w:left="1049" w:hanging="420" w:firstLineChars="0"/>
        <w:rPr>
          <w:rFonts w:ascii="宋体" w:eastAsia="宋体" w:hAnsi="宋体" w:cs="宋体" w:hint="default"/>
          <w:color w:val="auto"/>
          <w:sz w:val="24"/>
          <w:highlight w:val="none"/>
        </w:rPr>
      </w:pPr>
      <w:r>
        <w:rPr>
          <w:rFonts w:ascii="宋体" w:eastAsia="宋体" w:hAnsi="宋体" w:cs="宋体" w:hint="eastAsia"/>
          <w:color w:val="auto"/>
          <w:sz w:val="24"/>
          <w:szCs w:val="24"/>
          <w:highlight w:val="none"/>
          <w:lang w:val="en-US" w:eastAsia="zh-CN"/>
        </w:rPr>
        <w:t>购置</w:t>
      </w:r>
      <w:r>
        <w:rPr>
          <w:rFonts w:ascii="宋体" w:eastAsia="宋体" w:hAnsi="宋体" w:cs="宋体" w:hint="default"/>
          <w:color w:val="auto"/>
          <w:sz w:val="24"/>
          <w:szCs w:val="24"/>
          <w:highlight w:val="none"/>
        </w:rPr>
        <w:t>永中的流转版插件</w:t>
      </w:r>
      <w:r>
        <w:rPr>
          <w:rFonts w:ascii="宋体" w:eastAsia="宋体" w:hAnsi="宋体" w:cs="宋体" w:hint="eastAsia"/>
          <w:color w:val="auto"/>
          <w:sz w:val="24"/>
          <w:szCs w:val="24"/>
          <w:highlight w:val="none"/>
          <w:lang w:val="en-US" w:eastAsia="zh-CN"/>
        </w:rPr>
        <w:t>服务</w:t>
      </w:r>
    </w:p>
    <w:p>
      <w:pPr>
        <w:pStyle w:val="ListParagraph"/>
        <w:numPr>
          <w:ilvl w:val="0"/>
          <w:numId w:val="8"/>
        </w:numPr>
        <w:adjustRightInd w:val="0"/>
        <w:snapToGrid w:val="0"/>
        <w:spacing w:line="360" w:lineRule="auto"/>
        <w:ind w:left="1049" w:hanging="420" w:firstLineChars="0"/>
        <w:rPr>
          <w:rFonts w:ascii="宋体" w:eastAsia="宋体" w:hAnsi="宋体" w:cs="宋体" w:hint="default"/>
          <w:color w:val="auto"/>
          <w:sz w:val="24"/>
          <w:highlight w:val="none"/>
        </w:rPr>
      </w:pPr>
      <w:r>
        <w:rPr>
          <w:rFonts w:ascii="宋体" w:eastAsia="宋体" w:hAnsi="宋体" w:cs="宋体" w:hint="default"/>
          <w:color w:val="auto"/>
          <w:sz w:val="24"/>
          <w:szCs w:val="24"/>
          <w:highlight w:val="none"/>
        </w:rPr>
        <w:t>门户</w:t>
      </w:r>
      <w:r>
        <w:rPr>
          <w:rFonts w:ascii="宋体" w:eastAsia="宋体" w:hAnsi="宋体" w:cs="宋体" w:hint="eastAsia"/>
          <w:color w:val="auto"/>
          <w:sz w:val="24"/>
          <w:szCs w:val="24"/>
          <w:highlight w:val="none"/>
          <w:lang w:val="en-US" w:eastAsia="zh-CN"/>
        </w:rPr>
        <w:t>信息发布系统及政务公开</w:t>
      </w:r>
      <w:r>
        <w:rPr>
          <w:rFonts w:ascii="宋体" w:eastAsia="宋体" w:hAnsi="宋体" w:cs="宋体" w:hint="default"/>
          <w:color w:val="auto"/>
          <w:sz w:val="24"/>
          <w:szCs w:val="24"/>
          <w:highlight w:val="none"/>
        </w:rPr>
        <w:t>商用密码改造</w:t>
      </w:r>
    </w:p>
    <w:p>
      <w:pPr>
        <w:pStyle w:val="ListParagraph"/>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1049" w:hanging="420" w:firstLineChars="0"/>
        <w:textAlignment w:val="auto"/>
        <w:rPr>
          <w:rFonts w:ascii="宋体" w:eastAsia="宋体" w:hAnsi="宋体" w:cs="宋体" w:hint="eastAsia"/>
          <w:b w:val="0"/>
          <w:bCs w:val="0"/>
          <w:color w:val="auto"/>
          <w:sz w:val="24"/>
          <w:highlight w:val="none"/>
        </w:rPr>
      </w:pPr>
      <w:r>
        <w:rPr>
          <w:rFonts w:ascii="宋体" w:eastAsia="宋体" w:hAnsi="宋体" w:cs="宋体" w:hint="default"/>
          <w:color w:val="auto"/>
          <w:sz w:val="24"/>
          <w:szCs w:val="24"/>
          <w:highlight w:val="none"/>
        </w:rPr>
        <w:t>配合开展科技管理系统门户建设</w:t>
      </w:r>
    </w:p>
    <w:p>
      <w:pPr>
        <w:pStyle w:val="ListParagraph"/>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1049" w:hanging="420" w:firstLineChars="0"/>
        <w:textAlignment w:val="auto"/>
        <w:rPr>
          <w:rFonts w:ascii="宋体" w:eastAsia="宋体" w:hAnsi="宋体" w:cs="宋体" w:hint="eastAsia"/>
          <w:b w:val="0"/>
          <w:bCs w:val="0"/>
          <w:color w:val="auto"/>
          <w:sz w:val="24"/>
          <w:highlight w:val="none"/>
        </w:rPr>
      </w:pPr>
      <w:r>
        <w:rPr>
          <w:rFonts w:ascii="宋体" w:eastAsia="宋体" w:hAnsi="宋体" w:cs="宋体" w:hint="eastAsia"/>
          <w:color w:val="auto"/>
          <w:sz w:val="24"/>
          <w:szCs w:val="24"/>
          <w:highlight w:val="none"/>
          <w:lang w:val="en-US" w:eastAsia="zh-CN"/>
        </w:rPr>
        <w:t>配合开展政务智能应用建设</w:t>
      </w:r>
    </w:p>
    <w:p>
      <w:pPr>
        <w:pStyle w:val="Heading3"/>
        <w:numPr>
          <w:ilvl w:val="1"/>
          <w:numId w:val="4"/>
        </w:numPr>
        <w:spacing w:before="240" w:after="240" w:line="360" w:lineRule="auto"/>
        <w:ind w:left="16" w:hanging="16" w:firstLineChars="0"/>
        <w:rPr>
          <w:rFonts w:ascii="宋体" w:hAnsi="宋体"/>
          <w:color w:val="auto"/>
          <w:sz w:val="28"/>
          <w:highlight w:val="none"/>
        </w:rPr>
      </w:pPr>
      <w:bookmarkStart w:id="83" w:name="_Toc136004012"/>
      <w:r>
        <w:rPr>
          <w:rFonts w:ascii="宋体" w:eastAsia="宋体" w:hAnsi="宋体" w:cs="Times New Roman" w:hint="eastAsia"/>
          <w:color w:val="auto"/>
          <w:sz w:val="28"/>
          <w:highlight w:val="none"/>
        </w:rPr>
        <w:t>政务办公管理多应用系统</w:t>
      </w:r>
      <w:bookmarkEnd w:id="83"/>
    </w:p>
    <w:p>
      <w:pPr>
        <w:pStyle w:val="B"/>
        <w:keepNext w:val="0"/>
        <w:keepLines w:val="0"/>
        <w:pageBreakBefore w:val="0"/>
        <w:widowControl w:val="0"/>
        <w:kinsoku/>
        <w:wordWrap/>
        <w:overflowPunct/>
        <w:topLinePunct w:val="0"/>
        <w:autoSpaceDE/>
        <w:autoSpaceDN/>
        <w:bidi w:val="0"/>
        <w:ind w:firstLine="480"/>
        <w:textAlignment w:val="auto"/>
        <w:rPr>
          <w:rFonts w:ascii="宋体" w:hAnsi="宋体"/>
          <w:color w:val="auto"/>
          <w:sz w:val="24"/>
          <w:szCs w:val="24"/>
          <w:highlight w:val="none"/>
        </w:rPr>
      </w:pPr>
      <w:r>
        <w:rPr>
          <w:rFonts w:ascii="宋体" w:eastAsia="宋体" w:hAnsi="宋体" w:cs="Times New Roman" w:hint="eastAsia"/>
          <w:color w:val="auto"/>
          <w:sz w:val="24"/>
          <w:szCs w:val="24"/>
          <w:highlight w:val="none"/>
        </w:rPr>
        <w:t>包括对政务办公管理</w:t>
      </w:r>
      <w:r>
        <w:rPr>
          <w:rFonts w:ascii="宋体" w:eastAsia="宋体" w:hAnsi="宋体" w:cs="Times New Roman" w:hint="eastAsia"/>
          <w:color w:val="auto"/>
          <w:sz w:val="24"/>
          <w:szCs w:val="24"/>
          <w:highlight w:val="none"/>
          <w:lang w:val="en-US" w:eastAsia="zh-CN"/>
        </w:rPr>
        <w:t>多应用各类系统，包括</w:t>
      </w:r>
      <w:r>
        <w:rPr>
          <w:rFonts w:ascii="宋体" w:eastAsia="宋体" w:hAnsi="宋体" w:cs="Times New Roman" w:hint="eastAsia"/>
          <w:color w:val="auto"/>
          <w:sz w:val="24"/>
          <w:szCs w:val="24"/>
          <w:highlight w:val="none"/>
        </w:rPr>
        <w:t>出差/请假出差</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领导日程</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会议管理</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督查督办</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综合考评</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创新评比</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内设机构任务单办理</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设备申请/固定资产办理</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议事协调机构</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年度重点工作计划系统</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国内开放合作管理系统</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安全生产</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阳光信访</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办公用房</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公寓管理</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气象史料（老干部口述史料）采集资源综合管理平台</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公务用车（含直属单位公车管理、局机关及省局公务用车）</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政策法规管理分系统（含气象行政执法证件管理）</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巡视巡查管理系统</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因公出国（境）管理系统</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三公管理（用印管理、参观接待、公务接待、外事管理、合同管理（信息中心））</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气象信息网络资源申请</w:t>
      </w:r>
      <w:r>
        <w:rPr>
          <w:rFonts w:ascii="宋体" w:eastAsia="宋体" w:hAnsi="宋体" w:cs="Times New Roman" w:hint="eastAsia"/>
          <w:color w:val="auto"/>
          <w:sz w:val="24"/>
          <w:szCs w:val="24"/>
          <w:highlight w:val="none"/>
          <w:lang w:eastAsia="zh-CN"/>
        </w:rPr>
        <w:t>、</w:t>
      </w:r>
      <w:r>
        <w:rPr>
          <w:rFonts w:ascii="宋体" w:eastAsia="宋体" w:hAnsi="宋体" w:cs="Times New Roman" w:hint="eastAsia"/>
          <w:color w:val="auto"/>
          <w:sz w:val="24"/>
          <w:szCs w:val="24"/>
          <w:highlight w:val="none"/>
        </w:rPr>
        <w:t>咨询评审审批（信息中心）</w:t>
      </w:r>
      <w:r>
        <w:rPr>
          <w:rFonts w:ascii="宋体" w:eastAsia="宋体" w:hAnsi="宋体" w:cs="Times New Roman" w:hint="eastAsia"/>
          <w:color w:val="auto"/>
          <w:sz w:val="24"/>
          <w:szCs w:val="24"/>
          <w:highlight w:val="none"/>
          <w:lang w:val="en-US" w:eastAsia="zh-CN"/>
        </w:rPr>
        <w:t>的运行维护</w:t>
      </w:r>
      <w:r>
        <w:rPr>
          <w:rFonts w:ascii="宋体" w:eastAsia="宋体" w:hAnsi="宋体" w:cs="Times New Roman" w:hint="eastAsia"/>
          <w:color w:val="auto"/>
          <w:sz w:val="24"/>
          <w:szCs w:val="24"/>
          <w:highlight w:val="none"/>
        </w:rPr>
        <w:t>，包括但不限于：</w:t>
      </w:r>
    </w:p>
    <w:p>
      <w:pPr>
        <w:pStyle w:val="ListParagraph"/>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firstLineChars="0"/>
        <w:textAlignment w:val="auto"/>
        <w:rPr>
          <w:rFonts w:ascii="宋体" w:eastAsia="宋体" w:hAnsi="宋体" w:cs="宋体"/>
          <w:color w:val="auto"/>
          <w:sz w:val="24"/>
          <w:highlight w:val="none"/>
        </w:rPr>
      </w:pPr>
      <w:r>
        <w:rPr>
          <w:rFonts w:ascii="宋体" w:eastAsia="宋体" w:hAnsi="宋体" w:cs="宋体" w:hint="eastAsia"/>
          <w:color w:val="auto"/>
          <w:sz w:val="24"/>
          <w:highlight w:val="none"/>
        </w:rPr>
        <w:t>系统安全漏洞修复</w:t>
      </w:r>
    </w:p>
    <w:p>
      <w:pPr>
        <w:pStyle w:val="ListParagraph"/>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firstLineChars="0"/>
        <w:textAlignment w:val="auto"/>
        <w:rPr>
          <w:rFonts w:ascii="宋体" w:eastAsia="宋体" w:hAnsi="宋体" w:cs="宋体"/>
          <w:color w:val="auto"/>
          <w:sz w:val="24"/>
          <w:highlight w:val="none"/>
        </w:rPr>
      </w:pPr>
      <w:r>
        <w:rPr>
          <w:rFonts w:ascii="宋体" w:eastAsia="宋体" w:hAnsi="宋体" w:cs="宋体" w:hint="eastAsia"/>
          <w:color w:val="auto"/>
          <w:sz w:val="24"/>
          <w:highlight w:val="none"/>
        </w:rPr>
        <w:t>系统故障问题解决</w:t>
      </w:r>
    </w:p>
    <w:p>
      <w:pPr>
        <w:pStyle w:val="ListParagraph"/>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firstLineChars="0"/>
        <w:textAlignment w:val="auto"/>
        <w:rPr>
          <w:rFonts w:ascii="宋体" w:eastAsia="宋体" w:hAnsi="宋体" w:cs="宋体"/>
          <w:color w:val="auto"/>
          <w:sz w:val="24"/>
          <w:highlight w:val="none"/>
        </w:rPr>
      </w:pPr>
      <w:r>
        <w:rPr>
          <w:rFonts w:ascii="宋体" w:eastAsia="宋体" w:hAnsi="宋体" w:cs="宋体" w:hint="eastAsia"/>
          <w:color w:val="auto"/>
          <w:sz w:val="24"/>
          <w:highlight w:val="none"/>
        </w:rPr>
        <w:t>用户使用问题支持</w:t>
      </w:r>
    </w:p>
    <w:p>
      <w:pPr>
        <w:pStyle w:val="ListParagraph"/>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firstLineChars="0"/>
        <w:textAlignment w:val="auto"/>
        <w:rPr>
          <w:rFonts w:ascii="宋体" w:eastAsia="宋体" w:hAnsi="宋体" w:cs="宋体" w:hint="eastAsia"/>
          <w:color w:val="auto"/>
          <w:sz w:val="24"/>
          <w:highlight w:val="none"/>
        </w:rPr>
      </w:pPr>
      <w:r>
        <w:rPr>
          <w:rFonts w:ascii="宋体" w:eastAsia="宋体" w:hAnsi="宋体" w:cs="宋体" w:hint="eastAsia"/>
          <w:color w:val="auto"/>
          <w:sz w:val="24"/>
          <w:highlight w:val="none"/>
        </w:rPr>
        <w:t>系统技术支持</w:t>
      </w:r>
    </w:p>
    <w:p>
      <w:pPr>
        <w:pStyle w:val="ListParagraph"/>
        <w:numPr>
          <w:ilvl w:val="0"/>
          <w:numId w:val="8"/>
        </w:numPr>
        <w:adjustRightInd w:val="0"/>
        <w:snapToGrid w:val="0"/>
        <w:spacing w:line="360" w:lineRule="auto"/>
        <w:ind w:firstLineChars="0"/>
        <w:rPr>
          <w:rFonts w:ascii="宋体" w:eastAsia="宋体" w:hAnsi="宋体" w:cs="宋体" w:hint="eastAsia"/>
          <w:color w:val="auto"/>
          <w:sz w:val="24"/>
          <w:highlight w:val="none"/>
        </w:rPr>
      </w:pPr>
      <w:r>
        <w:rPr>
          <w:rFonts w:ascii="宋体" w:eastAsia="宋体" w:hAnsi="宋体" w:cs="宋体" w:hint="eastAsia"/>
          <w:color w:val="auto"/>
          <w:sz w:val="24"/>
          <w:highlight w:val="none"/>
          <w:lang w:eastAsia="zh-CN"/>
        </w:rPr>
        <w:t>系统简单的表单功能及审核流程调整</w:t>
      </w:r>
    </w:p>
    <w:p>
      <w:pPr>
        <w:pStyle w:val="ListParagraph"/>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firstLineChars="0"/>
        <w:textAlignment w:val="auto"/>
        <w:rPr>
          <w:rFonts w:ascii="宋体" w:eastAsia="宋体" w:hAnsi="宋体" w:cs="宋体" w:hint="eastAsia"/>
          <w:color w:val="auto"/>
          <w:sz w:val="24"/>
          <w:highlight w:val="none"/>
        </w:rPr>
      </w:pPr>
      <w:r>
        <w:rPr>
          <w:rFonts w:ascii="宋体" w:eastAsia="宋体" w:hAnsi="宋体" w:cs="宋体" w:hint="eastAsia"/>
          <w:color w:val="auto"/>
          <w:sz w:val="24"/>
          <w:highlight w:val="none"/>
        </w:rPr>
        <w:t>完成不超过5人月的软件功能优化和配置调整</w:t>
      </w:r>
    </w:p>
    <w:p>
      <w:pPr>
        <w:pStyle w:val="Heading3"/>
        <w:numPr>
          <w:ilvl w:val="1"/>
          <w:numId w:val="4"/>
        </w:numPr>
        <w:spacing w:before="240" w:after="240" w:line="360" w:lineRule="auto"/>
        <w:ind w:left="16" w:hanging="16" w:firstLineChars="0"/>
        <w:rPr>
          <w:rFonts w:ascii="宋体" w:hAnsi="宋体"/>
          <w:color w:val="auto"/>
          <w:sz w:val="28"/>
          <w:highlight w:val="none"/>
        </w:rPr>
      </w:pPr>
      <w:bookmarkStart w:id="84" w:name="_Toc136004014"/>
      <w:r>
        <w:rPr>
          <w:rFonts w:ascii="宋体" w:eastAsia="宋体" w:hAnsi="宋体" w:cs="Times New Roman" w:hint="eastAsia"/>
          <w:color w:val="auto"/>
          <w:sz w:val="28"/>
          <w:highlight w:val="none"/>
        </w:rPr>
        <w:t>中国气象局一体化政务服务平台</w:t>
      </w:r>
      <w:bookmarkEnd w:id="84"/>
    </w:p>
    <w:p>
      <w:pPr>
        <w:adjustRightInd w:val="0"/>
        <w:snapToGrid w:val="0"/>
        <w:spacing w:line="360" w:lineRule="auto"/>
        <w:ind w:firstLine="480" w:firstLineChars="200"/>
        <w:rPr>
          <w:rFonts w:ascii="宋体" w:eastAsia="宋体" w:hAnsi="宋体" w:cs="宋体"/>
          <w:color w:val="auto"/>
          <w:highlight w:val="none"/>
        </w:rPr>
      </w:pPr>
      <w:r>
        <w:rPr>
          <w:rFonts w:ascii="Times New Roman" w:eastAsia="宋体" w:hAnsi="Times New Roman" w:cs="Times New Roman" w:hint="eastAsia"/>
          <w:color w:val="auto"/>
          <w:sz w:val="24"/>
          <w:szCs w:val="24"/>
          <w:highlight w:val="none"/>
        </w:rPr>
        <w:t>各系统包括的应用子系统如下</w:t>
      </w:r>
      <w:r>
        <w:rPr>
          <w:rFonts w:ascii="宋体" w:eastAsia="宋体" w:hAnsi="宋体" w:cs="宋体" w:hint="eastAsia"/>
          <w:color w:val="auto"/>
          <w:sz w:val="24"/>
          <w:szCs w:val="24"/>
          <w:highlight w:val="none"/>
        </w:rPr>
        <w:t>：</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对外服务网站</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气象台站迁建审批办理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新建扩建改建建设工程避免危害气象探测环境审批办理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气象专用技术装备（含人工影响天气作业设备）使用审批办理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防雷装置设计审核和竣工验收办理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防雷装置检测单位资质认定办理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外国组织和个人在华从事气象活动审批办理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升放无人驾驶自由气球系留气球单位资质认定办理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升放无人驾驶自由气球或者系留气球活动审批办理</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一体化小程序</w:t>
      </w:r>
    </w:p>
    <w:p>
      <w:pPr>
        <w:pStyle w:val="ListParagraph"/>
        <w:numPr>
          <w:ilvl w:val="0"/>
          <w:numId w:val="0"/>
        </w:numPr>
        <w:adjustRightInd w:val="0"/>
        <w:snapToGrid w:val="0"/>
        <w:spacing w:line="360" w:lineRule="auto"/>
        <w:ind w:left="630" w:firstLine="0" w:firstLineChars="0"/>
        <w:rPr>
          <w:rFonts w:ascii="宋体" w:eastAsia="宋体" w:hAnsi="宋体" w:cs="宋体" w:hint="default"/>
          <w:color w:val="auto"/>
          <w:sz w:val="24"/>
          <w:highlight w:val="none"/>
        </w:rPr>
      </w:pPr>
      <w:r>
        <w:rPr>
          <w:rFonts w:ascii="宋体" w:eastAsia="宋体" w:hAnsi="宋体" w:cs="宋体" w:hint="eastAsia"/>
          <w:color w:val="auto"/>
          <w:sz w:val="24"/>
          <w:highlight w:val="none"/>
          <w:lang w:eastAsia="zh-CN"/>
        </w:rPr>
        <w:t>需要完成工作包括：</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按季度提交一体化平台运行报告</w:t>
      </w:r>
      <w:r>
        <w:rPr>
          <w:rFonts w:ascii="宋体" w:eastAsia="宋体" w:hAnsi="宋体" w:cs="宋体" w:hint="eastAsia"/>
          <w:color w:val="auto"/>
          <w:sz w:val="24"/>
          <w:highlight w:val="none"/>
          <w:lang w:eastAsia="zh-CN"/>
        </w:rPr>
        <w:t>的相关数据</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配合等保测评检查和整改</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配合日常安全检查和漏洞整改</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lang w:eastAsia="zh-CN"/>
        </w:rPr>
        <w:t>配合密评整改，与密码服务平台对接，</w:t>
      </w:r>
      <w:r>
        <w:rPr>
          <w:rFonts w:ascii="宋体" w:eastAsia="宋体" w:hAnsi="宋体" w:cs="宋体" w:hint="eastAsia"/>
          <w:color w:val="auto"/>
          <w:sz w:val="24"/>
          <w:highlight w:val="none"/>
        </w:rPr>
        <w:t>编制与密码服务平台对接测试方案</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lang w:eastAsia="zh-CN"/>
        </w:rPr>
        <w:t>配合完成量子密码跨网安全测试工作</w:t>
      </w:r>
    </w:p>
    <w:p>
      <w:pPr>
        <w:pStyle w:val="Heading3"/>
        <w:numPr>
          <w:ilvl w:val="1"/>
          <w:numId w:val="4"/>
        </w:numPr>
        <w:adjustRightInd w:val="0"/>
        <w:snapToGrid w:val="0"/>
        <w:spacing w:before="240" w:after="240" w:line="360" w:lineRule="auto"/>
        <w:ind w:left="16" w:hanging="16" w:firstLineChars="0"/>
        <w:jc w:val="left"/>
        <w:rPr>
          <w:rFonts w:ascii="宋体" w:hAnsi="宋体" w:cs="宋体"/>
          <w:color w:val="auto"/>
          <w:sz w:val="28"/>
          <w:szCs w:val="28"/>
          <w:highlight w:val="none"/>
        </w:rPr>
      </w:pPr>
      <w:r>
        <w:rPr>
          <w:rFonts w:ascii="宋体" w:eastAsia="宋体" w:hAnsi="宋体" w:cs="宋体" w:hint="eastAsia"/>
          <w:color w:val="auto"/>
          <w:sz w:val="28"/>
          <w:szCs w:val="28"/>
          <w:highlight w:val="none"/>
          <w:lang w:val="en-US" w:eastAsia="zh-CN"/>
        </w:rPr>
        <w:t>智能文件交换系统</w:t>
      </w:r>
      <w:r>
        <w:rPr>
          <w:rFonts w:ascii="宋体" w:hAnsi="宋体" w:cs="宋体" w:hint="eastAsia"/>
          <w:color w:val="auto"/>
          <w:sz w:val="28"/>
          <w:szCs w:val="28"/>
          <w:highlight w:val="none"/>
          <w:lang w:val="en-US" w:eastAsia="zh-CN"/>
        </w:rPr>
        <w:t>两套</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lang w:eastAsia="zh-CN"/>
        </w:rPr>
        <w:t>每半年现场系统巡检</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系统安全漏洞修复</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系统故障问题解决</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用户使用问题支持</w:t>
      </w:r>
    </w:p>
    <w:p>
      <w:pPr>
        <w:pStyle w:val="ListParagraph"/>
        <w:numPr>
          <w:ilvl w:val="0"/>
          <w:numId w:val="8"/>
        </w:numPr>
        <w:adjustRightInd w:val="0"/>
        <w:snapToGrid w:val="0"/>
        <w:spacing w:line="360" w:lineRule="auto"/>
        <w:ind w:firstLineChars="0"/>
        <w:rPr>
          <w:rFonts w:ascii="宋体" w:eastAsia="宋体" w:hAnsi="宋体" w:cs="宋体" w:hint="eastAsia"/>
          <w:color w:val="auto"/>
          <w:sz w:val="24"/>
          <w:highlight w:val="none"/>
        </w:rPr>
      </w:pPr>
      <w:r>
        <w:rPr>
          <w:rFonts w:ascii="宋体" w:eastAsia="宋体" w:hAnsi="宋体" w:cs="宋体" w:hint="eastAsia"/>
          <w:color w:val="auto"/>
          <w:sz w:val="24"/>
          <w:highlight w:val="none"/>
        </w:rPr>
        <w:t>配合测评检查和整改</w:t>
      </w:r>
    </w:p>
    <w:p>
      <w:pPr>
        <w:pStyle w:val="Heading3"/>
        <w:numPr>
          <w:ilvl w:val="1"/>
          <w:numId w:val="4"/>
        </w:numPr>
        <w:spacing w:before="240" w:after="240"/>
        <w:ind w:left="16" w:hanging="16" w:firstLineChars="0"/>
        <w:rPr>
          <w:rFonts w:ascii="宋体" w:hAnsi="宋体" w:hint="default"/>
          <w:color w:val="auto"/>
          <w:sz w:val="28"/>
          <w:highlight w:val="none"/>
        </w:rPr>
      </w:pPr>
      <w:r>
        <w:rPr>
          <w:rFonts w:ascii="宋体" w:eastAsia="宋体" w:hAnsi="宋体" w:cs="Times New Roman" w:hint="eastAsia"/>
          <w:i w:val="0"/>
          <w:iCs w:val="0"/>
          <w:caps w:val="0"/>
          <w:color w:val="auto"/>
          <w:spacing w:val="0"/>
          <w:kern w:val="2"/>
          <w:sz w:val="28"/>
          <w:szCs w:val="32"/>
          <w:highlight w:val="none"/>
          <w:lang w:val="en-US" w:eastAsia="zh-CN" w:bidi="ar"/>
        </w:rPr>
        <w:t>气象行政执法证件管理系统</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系统安全漏洞修复</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系统故障问题解决</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用户使用问题支持</w:t>
      </w:r>
    </w:p>
    <w:p>
      <w:pPr>
        <w:pStyle w:val="ListParagraph"/>
        <w:numPr>
          <w:ilvl w:val="0"/>
          <w:numId w:val="8"/>
        </w:numPr>
        <w:adjustRightInd w:val="0"/>
        <w:snapToGrid w:val="0"/>
        <w:spacing w:line="360" w:lineRule="auto"/>
        <w:ind w:firstLineChars="0"/>
        <w:rPr>
          <w:rFonts w:ascii="宋体" w:hAnsi="宋体"/>
          <w:color w:val="auto"/>
          <w:sz w:val="24"/>
          <w:highlight w:val="none"/>
        </w:rPr>
      </w:pPr>
      <w:r>
        <w:rPr>
          <w:rFonts w:ascii="宋体" w:eastAsia="宋体" w:hAnsi="宋体" w:cs="宋体" w:hint="eastAsia"/>
          <w:color w:val="auto"/>
          <w:sz w:val="24"/>
          <w:highlight w:val="none"/>
        </w:rPr>
        <w:t>系统技术支持</w:t>
      </w:r>
    </w:p>
    <w:p>
      <w:pPr>
        <w:pStyle w:val="ListParagraph"/>
        <w:numPr>
          <w:ilvl w:val="0"/>
          <w:numId w:val="8"/>
        </w:numPr>
        <w:adjustRightInd w:val="0"/>
        <w:snapToGrid w:val="0"/>
        <w:spacing w:line="360" w:lineRule="auto"/>
        <w:ind w:firstLineChars="0"/>
        <w:rPr>
          <w:rFonts w:ascii="Times New Roman" w:eastAsia="宋体" w:hAnsi="Times New Roman" w:hint="eastAsia"/>
          <w:color w:val="auto"/>
          <w:highlight w:val="none"/>
        </w:rPr>
      </w:pPr>
      <w:r>
        <w:rPr>
          <w:rFonts w:ascii="宋体" w:eastAsia="宋体" w:hAnsi="宋体" w:cs="宋体" w:hint="eastAsia"/>
          <w:color w:val="auto"/>
          <w:sz w:val="24"/>
          <w:highlight w:val="none"/>
          <w:lang w:eastAsia="zh-CN"/>
        </w:rPr>
        <w:t>系统简单的表单功能及审核流程调整</w:t>
      </w:r>
    </w:p>
    <w:p>
      <w:pPr>
        <w:pStyle w:val="Heading3"/>
        <w:numPr>
          <w:ilvl w:val="1"/>
          <w:numId w:val="4"/>
        </w:numPr>
        <w:spacing w:before="240" w:after="240"/>
        <w:ind w:left="16" w:hanging="16" w:firstLineChars="0"/>
        <w:rPr>
          <w:rFonts w:ascii="宋体" w:hAnsi="宋体" w:hint="eastAsia"/>
          <w:color w:val="auto"/>
          <w:sz w:val="28"/>
          <w:highlight w:val="none"/>
        </w:rPr>
      </w:pPr>
      <w:r>
        <w:rPr>
          <w:rFonts w:ascii="宋体" w:eastAsia="宋体" w:hAnsi="宋体" w:cs="Times New Roman" w:hint="eastAsia"/>
          <w:i w:val="0"/>
          <w:iCs w:val="0"/>
          <w:caps w:val="0"/>
          <w:color w:val="auto"/>
          <w:spacing w:val="0"/>
          <w:kern w:val="2"/>
          <w:sz w:val="28"/>
          <w:szCs w:val="32"/>
          <w:highlight w:val="none"/>
          <w:lang w:val="en-US" w:eastAsia="zh-CN" w:bidi="ar"/>
        </w:rPr>
        <w:t>党建系统</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系统安全漏洞修复</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系统故障问题解决</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用户使用问题支持</w:t>
      </w:r>
    </w:p>
    <w:p>
      <w:pPr>
        <w:pStyle w:val="ListParagraph"/>
        <w:numPr>
          <w:ilvl w:val="0"/>
          <w:numId w:val="8"/>
        </w:numPr>
        <w:adjustRightInd w:val="0"/>
        <w:snapToGrid w:val="0"/>
        <w:spacing w:line="360" w:lineRule="auto"/>
        <w:ind w:firstLineChars="0"/>
        <w:rPr>
          <w:rFonts w:ascii="宋体" w:hAnsi="宋体" w:cs="宋体" w:hint="default"/>
          <w:color w:val="auto"/>
          <w:sz w:val="28"/>
          <w:szCs w:val="28"/>
          <w:highlight w:val="none"/>
        </w:rPr>
      </w:pPr>
      <w:r>
        <w:rPr>
          <w:rFonts w:ascii="宋体" w:eastAsia="宋体" w:hAnsi="宋体" w:cs="宋体" w:hint="eastAsia"/>
          <w:color w:val="auto"/>
          <w:sz w:val="24"/>
          <w:highlight w:val="none"/>
        </w:rPr>
        <w:t>系统技术支持</w:t>
      </w:r>
    </w:p>
    <w:p>
      <w:pPr>
        <w:pStyle w:val="Heading3"/>
        <w:numPr>
          <w:ilvl w:val="1"/>
          <w:numId w:val="4"/>
        </w:numPr>
        <w:spacing w:before="240" w:after="240"/>
        <w:ind w:left="16" w:hanging="16"/>
        <w:rPr>
          <w:rFonts w:ascii="宋体" w:hAnsi="宋体" w:cs="宋体" w:hint="eastAsia"/>
          <w:sz w:val="24"/>
          <w:highlight w:val="none"/>
        </w:rPr>
      </w:pPr>
      <w:r>
        <w:rPr>
          <w:rFonts w:ascii="宋体" w:eastAsia="宋体" w:hAnsi="宋体" w:cs="Times New Roman" w:hint="eastAsia"/>
          <w:color w:val="auto"/>
          <w:sz w:val="28"/>
          <w:highlight w:val="none"/>
          <w:lang w:val="en-US" w:eastAsia="zh-CN" w:bidi="ar"/>
        </w:rPr>
        <w:t>气象政务邮件系统</w:t>
      </w:r>
    </w:p>
    <w:p>
      <w:pPr>
        <w:pStyle w:val="ListParagraph"/>
        <w:numPr>
          <w:ilvl w:val="0"/>
          <w:numId w:val="8"/>
        </w:numPr>
        <w:adjustRightInd w:val="0"/>
        <w:snapToGrid w:val="0"/>
        <w:spacing w:line="360" w:lineRule="auto"/>
        <w:ind w:firstLineChars="0"/>
        <w:rPr>
          <w:rFonts w:ascii="宋体" w:eastAsia="宋体" w:hAnsi="宋体" w:cs="宋体" w:hint="eastAsia"/>
          <w:sz w:val="24"/>
          <w:highlight w:val="none"/>
        </w:rPr>
      </w:pPr>
      <w:r>
        <w:rPr>
          <w:rFonts w:ascii="宋体" w:eastAsia="宋体" w:hAnsi="宋体" w:cs="宋体" w:hint="eastAsia"/>
          <w:sz w:val="24"/>
          <w:highlight w:val="none"/>
        </w:rPr>
        <w:t>系统常见问题解决</w:t>
      </w:r>
    </w:p>
    <w:p>
      <w:pPr>
        <w:pStyle w:val="ListParagraph"/>
        <w:numPr>
          <w:ilvl w:val="0"/>
          <w:numId w:val="8"/>
        </w:numPr>
        <w:adjustRightInd w:val="0"/>
        <w:snapToGrid w:val="0"/>
        <w:spacing w:line="360" w:lineRule="auto"/>
        <w:ind w:firstLineChars="0"/>
        <w:rPr>
          <w:rFonts w:ascii="宋体" w:eastAsia="宋体" w:hAnsi="宋体" w:cs="宋体" w:hint="eastAsia"/>
          <w:sz w:val="24"/>
          <w:highlight w:val="none"/>
        </w:rPr>
      </w:pPr>
      <w:r>
        <w:rPr>
          <w:rFonts w:ascii="宋体" w:eastAsia="宋体" w:hAnsi="宋体" w:cs="宋体" w:hint="eastAsia"/>
          <w:sz w:val="24"/>
          <w:highlight w:val="none"/>
        </w:rPr>
        <w:t>安全管理</w:t>
      </w:r>
    </w:p>
    <w:p>
      <w:pPr>
        <w:pStyle w:val="ListParagraph"/>
        <w:numPr>
          <w:ilvl w:val="0"/>
          <w:numId w:val="8"/>
        </w:numPr>
        <w:adjustRightInd w:val="0"/>
        <w:snapToGrid w:val="0"/>
        <w:spacing w:line="360" w:lineRule="auto"/>
        <w:ind w:firstLineChars="0"/>
        <w:rPr>
          <w:rFonts w:ascii="宋体" w:eastAsia="宋体" w:hAnsi="宋体" w:cs="宋体" w:hint="eastAsia"/>
          <w:sz w:val="24"/>
          <w:highlight w:val="none"/>
        </w:rPr>
      </w:pPr>
      <w:r>
        <w:rPr>
          <w:rFonts w:ascii="宋体" w:eastAsia="宋体" w:hAnsi="宋体" w:cs="宋体" w:hint="eastAsia"/>
          <w:sz w:val="24"/>
          <w:highlight w:val="none"/>
        </w:rPr>
        <w:t>备份管理</w:t>
      </w:r>
    </w:p>
    <w:p>
      <w:pPr>
        <w:pStyle w:val="ListParagraph"/>
        <w:numPr>
          <w:ilvl w:val="0"/>
          <w:numId w:val="8"/>
        </w:numPr>
        <w:adjustRightInd w:val="0"/>
        <w:snapToGrid w:val="0"/>
        <w:spacing w:line="360" w:lineRule="auto"/>
        <w:ind w:firstLineChars="0"/>
        <w:rPr>
          <w:rFonts w:ascii="宋体" w:eastAsia="宋体" w:hAnsi="宋体" w:cs="宋体" w:hint="eastAsia"/>
          <w:sz w:val="24"/>
          <w:highlight w:val="none"/>
        </w:rPr>
      </w:pPr>
      <w:r>
        <w:rPr>
          <w:rFonts w:ascii="宋体" w:eastAsia="宋体" w:hAnsi="宋体" w:cs="宋体" w:hint="eastAsia"/>
          <w:sz w:val="24"/>
          <w:highlight w:val="none"/>
        </w:rPr>
        <w:t>系统配置管理</w:t>
      </w:r>
    </w:p>
    <w:p>
      <w:pPr>
        <w:pStyle w:val="ListParagraph"/>
        <w:numPr>
          <w:ilvl w:val="0"/>
          <w:numId w:val="8"/>
        </w:numPr>
        <w:adjustRightInd w:val="0"/>
        <w:snapToGrid w:val="0"/>
        <w:spacing w:line="360" w:lineRule="auto"/>
        <w:ind w:firstLineChars="0"/>
        <w:rPr>
          <w:rFonts w:ascii="宋体" w:eastAsia="宋体" w:hAnsi="宋体" w:cs="宋体" w:hint="eastAsia"/>
          <w:sz w:val="24"/>
          <w:highlight w:val="none"/>
        </w:rPr>
      </w:pPr>
      <w:r>
        <w:rPr>
          <w:rFonts w:ascii="宋体" w:eastAsia="宋体" w:hAnsi="宋体" w:cs="宋体" w:hint="eastAsia"/>
          <w:sz w:val="24"/>
          <w:highlight w:val="none"/>
        </w:rPr>
        <w:t>系统安全漏洞修复</w:t>
      </w:r>
    </w:p>
    <w:p>
      <w:pPr>
        <w:pStyle w:val="ListParagraph"/>
        <w:numPr>
          <w:ilvl w:val="0"/>
          <w:numId w:val="8"/>
        </w:numPr>
        <w:adjustRightInd w:val="0"/>
        <w:snapToGrid w:val="0"/>
        <w:spacing w:line="360" w:lineRule="auto"/>
        <w:ind w:firstLineChars="0"/>
        <w:rPr>
          <w:rFonts w:ascii="宋体" w:eastAsia="宋体" w:hAnsi="宋体" w:cs="宋体" w:hint="eastAsia"/>
          <w:sz w:val="24"/>
          <w:highlight w:val="none"/>
        </w:rPr>
      </w:pPr>
      <w:r>
        <w:rPr>
          <w:rFonts w:ascii="宋体" w:eastAsia="宋体" w:hAnsi="宋体" w:cs="宋体" w:hint="eastAsia"/>
          <w:sz w:val="24"/>
          <w:highlight w:val="none"/>
        </w:rPr>
        <w:t>提交相关接口规范手册</w:t>
      </w:r>
    </w:p>
    <w:p>
      <w:pPr>
        <w:pStyle w:val="ListParagraph"/>
        <w:numPr>
          <w:ilvl w:val="0"/>
          <w:numId w:val="8"/>
        </w:numPr>
        <w:adjustRightInd w:val="0"/>
        <w:snapToGrid w:val="0"/>
        <w:spacing w:line="360" w:lineRule="auto"/>
        <w:ind w:firstLineChars="0"/>
        <w:rPr>
          <w:rFonts w:ascii="宋体" w:eastAsia="宋体" w:hAnsi="宋体" w:cs="宋体" w:hint="eastAsia"/>
          <w:sz w:val="24"/>
          <w:highlight w:val="none"/>
        </w:rPr>
      </w:pPr>
      <w:r>
        <w:rPr>
          <w:rFonts w:ascii="宋体" w:eastAsia="宋体" w:hAnsi="宋体" w:cs="宋体" w:hint="eastAsia"/>
          <w:sz w:val="24"/>
          <w:highlight w:val="none"/>
        </w:rPr>
        <w:t>商用密码测评改造</w:t>
      </w:r>
      <w:r>
        <w:rPr>
          <w:rFonts w:ascii="宋体" w:eastAsia="宋体" w:hAnsi="宋体" w:cs="宋体" w:hint="eastAsia"/>
          <w:sz w:val="24"/>
          <w:highlight w:val="none"/>
        </w:rPr>
        <w:tab/>
      </w:r>
      <w:r>
        <w:rPr>
          <w:rFonts w:ascii="宋体" w:eastAsia="宋体" w:hAnsi="宋体" w:cs="宋体" w:hint="eastAsia"/>
          <w:sz w:val="24"/>
          <w:highlight w:val="none"/>
        </w:rPr>
        <w:tab/>
      </w:r>
    </w:p>
    <w:p>
      <w:pPr>
        <w:pStyle w:val="ListParagraph"/>
        <w:numPr>
          <w:ilvl w:val="0"/>
          <w:numId w:val="8"/>
        </w:numPr>
        <w:adjustRightInd w:val="0"/>
        <w:snapToGrid w:val="0"/>
        <w:spacing w:line="360" w:lineRule="auto"/>
        <w:ind w:firstLineChars="0"/>
        <w:rPr>
          <w:rFonts w:ascii="宋体" w:eastAsia="宋体" w:hAnsi="宋体" w:cs="宋体" w:hint="default"/>
          <w:color w:val="auto"/>
          <w:sz w:val="24"/>
          <w:highlight w:val="none"/>
        </w:rPr>
      </w:pPr>
      <w:r>
        <w:rPr>
          <w:rFonts w:ascii="宋体" w:eastAsia="宋体" w:hAnsi="宋体" w:cs="宋体" w:hint="eastAsia"/>
          <w:sz w:val="24"/>
          <w:highlight w:val="none"/>
        </w:rPr>
        <w:t>redis服务主从双机热备并支持自动故障转移和主从切换</w:t>
      </w:r>
    </w:p>
    <w:p>
      <w:pPr>
        <w:pStyle w:val="Heading1"/>
        <w:numPr>
          <w:ilvl w:val="0"/>
          <w:numId w:val="4"/>
        </w:numPr>
        <w:spacing w:before="120" w:after="120" w:line="480" w:lineRule="auto"/>
        <w:ind w:left="425" w:hanging="425"/>
        <w:rPr>
          <w:rFonts w:ascii="宋体" w:hAnsi="宋体"/>
          <w:color w:val="auto"/>
          <w:sz w:val="28"/>
          <w:highlight w:val="none"/>
        </w:rPr>
      </w:pPr>
      <w:bookmarkStart w:id="85" w:name="_Toc32766"/>
      <w:bookmarkStart w:id="86" w:name="_Toc136004016"/>
      <w:bookmarkStart w:id="87" w:name="_Toc531336031"/>
      <w:r>
        <w:rPr>
          <w:rFonts w:ascii="宋体" w:eastAsia="宋体" w:hAnsi="宋体" w:cs="Times New Roman" w:hint="eastAsia"/>
          <w:color w:val="auto"/>
          <w:sz w:val="28"/>
          <w:highlight w:val="none"/>
        </w:rPr>
        <w:t>项目约束</w:t>
      </w:r>
      <w:bookmarkEnd w:id="85"/>
      <w:bookmarkEnd w:id="86"/>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根据国家气象信息中心制定的《气政通运行管理办法》、《业务变更管理流程》、《业务故障管理流程》等管理办法及要求执行运维工作。</w:t>
      </w:r>
    </w:p>
    <w:p>
      <w:pPr>
        <w:pStyle w:val="Heading1"/>
        <w:numPr>
          <w:ilvl w:val="0"/>
          <w:numId w:val="4"/>
        </w:numPr>
        <w:spacing w:before="120" w:after="120" w:line="480" w:lineRule="auto"/>
        <w:ind w:left="425" w:hanging="425"/>
        <w:rPr>
          <w:rFonts w:ascii="宋体" w:hAnsi="宋体"/>
          <w:color w:val="auto"/>
          <w:sz w:val="28"/>
          <w:highlight w:val="none"/>
        </w:rPr>
      </w:pPr>
      <w:bookmarkStart w:id="88" w:name="_Toc20982"/>
      <w:bookmarkStart w:id="89" w:name="_Toc136004017"/>
      <w:r>
        <w:rPr>
          <w:rFonts w:ascii="宋体" w:eastAsia="宋体" w:hAnsi="宋体" w:cs="Times New Roman" w:hint="eastAsia"/>
          <w:color w:val="auto"/>
          <w:sz w:val="28"/>
          <w:highlight w:val="none"/>
        </w:rPr>
        <w:t>运维要求</w:t>
      </w:r>
      <w:bookmarkEnd w:id="87"/>
      <w:bookmarkEnd w:id="88"/>
      <w:bookmarkEnd w:id="89"/>
    </w:p>
    <w:p>
      <w:pPr>
        <w:pStyle w:val="Heading3"/>
        <w:numPr>
          <w:ilvl w:val="1"/>
          <w:numId w:val="4"/>
        </w:numPr>
        <w:spacing w:before="240" w:after="240" w:line="360" w:lineRule="auto"/>
        <w:ind w:left="16" w:hanging="16" w:firstLineChars="0"/>
        <w:rPr>
          <w:rFonts w:ascii="宋体" w:hAnsi="宋体" w:hint="eastAsia"/>
          <w:color w:val="auto"/>
          <w:sz w:val="28"/>
          <w:highlight w:val="none"/>
        </w:rPr>
      </w:pPr>
      <w:r>
        <w:rPr>
          <w:rFonts w:ascii="宋体" w:eastAsia="宋体" w:hAnsi="宋体" w:cs="Times New Roman" w:hint="eastAsia"/>
          <w:color w:val="auto"/>
          <w:sz w:val="28"/>
          <w:highlight w:val="none"/>
          <w:lang w:val="en-US" w:eastAsia="zh-CN"/>
        </w:rPr>
        <w:t>运维基线文档要求</w:t>
      </w:r>
    </w:p>
    <w:p>
      <w:pPr>
        <w:pStyle w:val="ListParagraph"/>
        <w:adjustRightInd w:val="0"/>
        <w:snapToGrid w:val="0"/>
        <w:spacing w:line="360" w:lineRule="auto"/>
        <w:ind w:left="630" w:firstLine="0"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各系统协助提供运维基线文档如下：</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系统资产文档：覆盖生产系统、备份系统和测试仿真系统的资产基本信息，包括但不限于主机、网络端口、云平台、数据库、中间件、第三方软件等</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巡检手册：系统日常巡检维护工作的内容、频次、技术操作步骤及异常判定标准，包括但不限于服务器资源使用情况、系统软件和应用软件运行状态、应用和数据备份情况等；巡检工作记录，包括但不限于巡检时间、巡检人员、巡检内容、发现的问题等</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配置和运维手册：系统核心配置文件的配置参数及调整方法，应用启停、集群扩展、应用升级的过程、方法及技术操作步骤，应用主要日志文件及日志信息等</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故障处理手册：系统常见运行故障的发生场景、表现现象、判定方法、排查手段、解决方法、故障恢复技术操作步骤和故障排除验证方法等</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系统用户手册：系统面向不同用户群的具体使用方法和操作步骤等</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气象服务保障工作方案（暨应急预案）：系统的保障任务和保障措施，以及重要政务应用发生业务故障、网络安全事件时的应急预案，包括应急处理流程、处置步骤和操作方法</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汛期检查手册：汛期检查工作的检查内容、检查人员、检查结果、发现的问题、解决措施和计划、备份系统或措施以及应急处置方案</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lang w:bidi="ar"/>
        </w:rPr>
      </w:pPr>
      <w:r>
        <w:rPr>
          <w:rFonts w:ascii="宋体" w:eastAsia="宋体" w:hAnsi="宋体" w:cs="宋体" w:hint="eastAsia"/>
          <w:color w:val="auto"/>
          <w:sz w:val="24"/>
          <w:highlight w:val="none"/>
          <w:lang w:bidi="ar"/>
        </w:rPr>
        <w:t>汛期应急演练方案：包括但不限于系统汛期演练的过程及操作规程，模拟核心数据库及多应用生产系统的多种故障场景，演练如何切换至备份系统，以及生产系统恢复后的系统回切，验证操作步骤及备份系统的有效性</w:t>
      </w:r>
    </w:p>
    <w:p>
      <w:pPr>
        <w:pStyle w:val="ListParagraph"/>
        <w:numPr>
          <w:ilvl w:val="0"/>
          <w:numId w:val="8"/>
        </w:numPr>
        <w:adjustRightInd w:val="0"/>
        <w:snapToGrid w:val="0"/>
        <w:spacing w:line="360" w:lineRule="auto"/>
        <w:ind w:firstLineChars="0"/>
        <w:rPr>
          <w:rFonts w:ascii="宋体" w:hAnsi="宋体" w:hint="default"/>
          <w:color w:val="auto"/>
          <w:sz w:val="28"/>
          <w:highlight w:val="none"/>
        </w:rPr>
      </w:pPr>
      <w:r>
        <w:rPr>
          <w:rFonts w:ascii="宋体" w:eastAsia="宋体" w:hAnsi="宋体" w:cs="宋体" w:hint="eastAsia"/>
          <w:color w:val="auto"/>
          <w:sz w:val="24"/>
          <w:highlight w:val="none"/>
          <w:lang w:bidi="ar"/>
        </w:rPr>
        <w:t>培训课件：提供每年2期气政通管理员全国培训班要求的课件，包括但不限于功能介绍、用户使用、系统管理、技术交流等，并开展技术培训</w:t>
      </w:r>
    </w:p>
    <w:p>
      <w:pPr>
        <w:pStyle w:val="Heading3"/>
        <w:numPr>
          <w:ilvl w:val="1"/>
          <w:numId w:val="4"/>
        </w:numPr>
        <w:spacing w:before="240" w:after="240" w:line="360" w:lineRule="auto"/>
        <w:ind w:left="16" w:hanging="16" w:firstLineChars="0"/>
        <w:rPr>
          <w:rFonts w:ascii="宋体" w:hAnsi="宋体" w:hint="default"/>
          <w:color w:val="auto"/>
          <w:sz w:val="28"/>
          <w:highlight w:val="none"/>
        </w:rPr>
      </w:pPr>
      <w:r>
        <w:rPr>
          <w:rFonts w:ascii="宋体" w:eastAsia="宋体" w:hAnsi="宋体" w:cs="Times New Roman" w:hint="eastAsia"/>
          <w:color w:val="auto"/>
          <w:sz w:val="28"/>
          <w:highlight w:val="none"/>
          <w:lang w:val="en-US" w:eastAsia="zh-CN"/>
        </w:rPr>
        <w:t>服务及响应要求</w:t>
      </w:r>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本项目要求各系统承建商安排有专门服务人员驻国家气象信息中心，提供驻场技术支持服务，具体服务指标要求如下：</w:t>
      </w:r>
    </w:p>
    <w:p>
      <w:pPr>
        <w:pStyle w:val="ListParagraph"/>
        <w:numPr>
          <w:ilvl w:val="0"/>
          <w:numId w:val="8"/>
        </w:numPr>
        <w:adjustRightInd w:val="0"/>
        <w:snapToGrid w:val="0"/>
        <w:spacing w:line="360" w:lineRule="auto"/>
        <w:ind w:firstLineChars="0"/>
        <w:rPr>
          <w:rFonts w:ascii="宋体" w:hAnsi="宋体" w:cs="宋体"/>
          <w:color w:val="auto"/>
          <w:sz w:val="24"/>
          <w:highlight w:val="none"/>
        </w:rPr>
      </w:pPr>
      <w:r>
        <w:rPr>
          <w:rFonts w:ascii="宋体" w:eastAsia="宋体" w:hAnsi="宋体" w:cs="宋体" w:hint="eastAsia"/>
          <w:color w:val="auto"/>
          <w:sz w:val="24"/>
          <w:highlight w:val="none"/>
        </w:rPr>
        <w:t>提供不少于</w:t>
      </w:r>
      <w:r>
        <w:rPr>
          <w:rFonts w:ascii="宋体" w:eastAsia="宋体" w:hAnsi="宋体" w:cs="宋体" w:hint="eastAsia"/>
          <w:color w:val="auto"/>
          <w:sz w:val="24"/>
          <w:highlight w:val="none"/>
          <w:lang w:val="en-US" w:eastAsia="zh-CN"/>
        </w:rPr>
        <w:t>8</w:t>
      </w:r>
      <w:r>
        <w:rPr>
          <w:rFonts w:ascii="宋体" w:eastAsia="宋体" w:hAnsi="宋体" w:cs="宋体" w:hint="eastAsia"/>
          <w:color w:val="auto"/>
          <w:sz w:val="24"/>
          <w:highlight w:val="none"/>
        </w:rPr>
        <w:t>人的驻场运维及技术支持服务，其中</w:t>
      </w:r>
      <w:r>
        <w:rPr>
          <w:rFonts w:ascii="宋体" w:eastAsia="宋体" w:hAnsi="宋体" w:cs="宋体" w:hint="eastAsia"/>
          <w:i w:val="0"/>
          <w:iCs w:val="0"/>
          <w:caps w:val="0"/>
          <w:color w:val="auto"/>
          <w:spacing w:val="0"/>
          <w:kern w:val="2"/>
          <w:sz w:val="24"/>
          <w:szCs w:val="24"/>
          <w:highlight w:val="none"/>
          <w:lang w:val="en-US" w:eastAsia="zh-CN" w:bidi="ar"/>
        </w:rPr>
        <w:t>统一呼叫中心驻场服务</w:t>
      </w:r>
      <w:r>
        <w:rPr>
          <w:rFonts w:ascii="宋体" w:eastAsia="宋体" w:hAnsi="宋体" w:cs="宋体" w:hint="eastAsia"/>
          <w:color w:val="auto"/>
          <w:sz w:val="24"/>
          <w:highlight w:val="none"/>
        </w:rPr>
        <w:t>不少于</w:t>
      </w:r>
      <w:r>
        <w:rPr>
          <w:rFonts w:ascii="宋体" w:eastAsia="宋体" w:hAnsi="宋体" w:cs="宋体" w:hint="eastAsia"/>
          <w:color w:val="auto"/>
          <w:sz w:val="24"/>
          <w:highlight w:val="none"/>
          <w:lang w:val="en-US" w:eastAsia="zh-CN"/>
        </w:rPr>
        <w:t>6</w:t>
      </w:r>
      <w:r>
        <w:rPr>
          <w:rFonts w:ascii="宋体" w:eastAsia="宋体" w:hAnsi="宋体" w:cs="宋体" w:hint="eastAsia"/>
          <w:color w:val="auto"/>
          <w:sz w:val="24"/>
          <w:highlight w:val="none"/>
        </w:rPr>
        <w:t>人</w:t>
      </w:r>
      <w:r>
        <w:rPr>
          <w:rFonts w:ascii="宋体" w:eastAsia="宋体" w:hAnsi="宋体" w:cs="宋体" w:hint="eastAsia"/>
          <w:color w:val="auto"/>
          <w:sz w:val="24"/>
          <w:highlight w:val="none"/>
          <w:lang w:eastAsia="zh-CN"/>
        </w:rPr>
        <w:t>，</w:t>
      </w:r>
      <w:r>
        <w:rPr>
          <w:rFonts w:ascii="宋体" w:eastAsia="宋体" w:hAnsi="宋体" w:cs="宋体" w:hint="eastAsia"/>
          <w:i w:val="0"/>
          <w:iCs w:val="0"/>
          <w:caps w:val="0"/>
          <w:color w:val="auto"/>
          <w:spacing w:val="0"/>
          <w:kern w:val="2"/>
          <w:sz w:val="24"/>
          <w:szCs w:val="24"/>
          <w:highlight w:val="none"/>
          <w:lang w:val="en-US" w:eastAsia="zh-CN" w:bidi="ar"/>
        </w:rPr>
        <w:t>门户信息发布和政务公开驻场服务不少于1人</w:t>
      </w:r>
      <w:r>
        <w:rPr>
          <w:rFonts w:ascii="宋体" w:eastAsia="宋体" w:hAnsi="宋体" w:cs="宋体" w:hint="eastAsia"/>
          <w:color w:val="auto"/>
          <w:sz w:val="24"/>
          <w:highlight w:val="none"/>
          <w:lang w:eastAsia="zh-CN"/>
        </w:rPr>
        <w:t>，</w:t>
      </w:r>
      <w:r>
        <w:rPr>
          <w:rFonts w:ascii="宋体" w:eastAsia="宋体" w:hAnsi="宋体" w:cs="宋体" w:hint="eastAsia"/>
          <w:color w:val="auto"/>
          <w:sz w:val="24"/>
          <w:highlight w:val="none"/>
          <w:lang w:val="en-US" w:eastAsia="zh-CN"/>
        </w:rPr>
        <w:t>气政邮驻场服务不少于1人。</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驻场运维工程师5×10小时（工作日 7:30-18:00（国家法定节假日除外），18:00-19:00需要至少1人留守响应）常驻中国气象局现场，专职为甲方服务，驻现场运维工程师的作息时间与甲方保持一致，第一时间解决和处理系统日常运行中的问题及突发事件</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工作日早7:30需要现场方式进行一次系统状况检查</w:t>
      </w:r>
      <w:r>
        <w:rPr>
          <w:rFonts w:ascii="宋体" w:eastAsia="宋体" w:hAnsi="宋体" w:cs="宋体" w:hint="eastAsia"/>
          <w:color w:val="auto"/>
          <w:sz w:val="24"/>
          <w:highlight w:val="none"/>
          <w:lang w:eastAsia="zh-CN"/>
        </w:rPr>
        <w:t>，包括</w:t>
      </w:r>
      <w:r>
        <w:rPr>
          <w:rFonts w:ascii="宋体" w:eastAsia="宋体" w:hAnsi="宋体" w:cs="宋体" w:hint="eastAsia"/>
          <w:color w:val="auto"/>
          <w:sz w:val="24"/>
          <w:highlight w:val="none"/>
          <w:lang w:val="en-US" w:eastAsia="zh-CN"/>
        </w:rPr>
        <w:t>各类多应用是否能正常使用，并进行零故障报告</w:t>
      </w:r>
    </w:p>
    <w:p>
      <w:pPr>
        <w:pStyle w:val="ListParagraph"/>
        <w:numPr>
          <w:ilvl w:val="0"/>
          <w:numId w:val="8"/>
        </w:numPr>
        <w:adjustRightInd w:val="0"/>
        <w:snapToGrid w:val="0"/>
        <w:spacing w:line="360" w:lineRule="auto"/>
        <w:ind w:firstLineChars="0"/>
        <w:rPr>
          <w:rFonts w:ascii="宋体" w:eastAsia="宋体" w:hAnsi="宋体" w:cs="宋体"/>
          <w:color w:val="auto"/>
          <w:sz w:val="24"/>
          <w:highlight w:val="none"/>
        </w:rPr>
      </w:pPr>
      <w:r>
        <w:rPr>
          <w:rFonts w:ascii="宋体" w:eastAsia="宋体" w:hAnsi="宋体" w:cs="宋体" w:hint="eastAsia"/>
          <w:color w:val="auto"/>
          <w:sz w:val="24"/>
          <w:highlight w:val="none"/>
        </w:rPr>
        <w:t>非工作时间需有专人保持手机24小时畅通</w:t>
      </w:r>
    </w:p>
    <w:p>
      <w:pPr>
        <w:pStyle w:val="ListParagraph"/>
        <w:numPr>
          <w:ilvl w:val="0"/>
          <w:numId w:val="8"/>
        </w:numPr>
        <w:adjustRightInd w:val="0"/>
        <w:snapToGrid w:val="0"/>
        <w:spacing w:line="360" w:lineRule="auto"/>
        <w:ind w:firstLineChars="0"/>
        <w:rPr>
          <w:rFonts w:ascii="宋体" w:eastAsia="宋体" w:hAnsi="宋体" w:cs="宋体"/>
          <w:color w:val="auto"/>
          <w:szCs w:val="21"/>
          <w:highlight w:val="none"/>
        </w:rPr>
      </w:pPr>
      <w:r>
        <w:rPr>
          <w:rFonts w:ascii="宋体" w:eastAsia="宋体" w:hAnsi="宋体" w:cs="宋体" w:hint="eastAsia"/>
          <w:color w:val="auto"/>
          <w:sz w:val="24"/>
          <w:highlight w:val="none"/>
        </w:rPr>
        <w:t>驻场人员需掌握所辖系统具体情况，运维期间确定驻场人员后无特殊原因不可自行更换</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17"/>
        <w:gridCol w:w="2268"/>
        <w:gridCol w:w="2268"/>
        <w:gridCol w:w="316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817"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序号</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服务指标</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指标计算说明</w:t>
            </w:r>
          </w:p>
        </w:tc>
        <w:tc>
          <w:tcPr>
            <w:tcW w:w="3169" w:type="dxa"/>
            <w:noWrap w:val="0"/>
            <w:vAlign w:val="top"/>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目标值</w:t>
            </w:r>
          </w:p>
        </w:tc>
      </w:tr>
      <w:tr>
        <w:tblPrEx>
          <w:tblW w:w="0" w:type="auto"/>
          <w:tblInd w:w="0" w:type="dxa"/>
          <w:tblCellMar>
            <w:top w:w="0" w:type="dxa"/>
            <w:left w:w="108" w:type="dxa"/>
            <w:bottom w:w="0" w:type="dxa"/>
            <w:right w:w="108" w:type="dxa"/>
          </w:tblCellMar>
        </w:tblPrEx>
        <w:tc>
          <w:tcPr>
            <w:tcW w:w="817"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1</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终端运维-应用服务运维支持响应</w:t>
            </w:r>
          </w:p>
        </w:tc>
        <w:tc>
          <w:tcPr>
            <w:tcW w:w="2268" w:type="dxa"/>
            <w:vMerge w:val="restart"/>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从接听服务电话到开始服务的时间</w:t>
            </w:r>
          </w:p>
        </w:tc>
        <w:tc>
          <w:tcPr>
            <w:tcW w:w="3169" w:type="dxa"/>
            <w:vMerge w:val="restart"/>
            <w:noWrap w:val="0"/>
            <w:vAlign w:val="center"/>
          </w:tcPr>
          <w:p>
            <w:pPr>
              <w:pStyle w:val="NormalWeb"/>
              <w:numPr>
                <w:ilvl w:val="0"/>
                <w:numId w:val="9"/>
              </w:numPr>
              <w:spacing w:before="0" w:beforeAutospacing="0" w:after="0" w:afterAutospacing="0"/>
              <w:ind w:left="420" w:hanging="420"/>
              <w:rPr>
                <w:color w:val="auto"/>
                <w:kern w:val="2"/>
                <w:sz w:val="21"/>
                <w:szCs w:val="21"/>
                <w:highlight w:val="none"/>
              </w:rPr>
            </w:pPr>
            <w:r>
              <w:rPr>
                <w:rFonts w:eastAsia="宋体" w:hint="eastAsia"/>
                <w:color w:val="auto"/>
                <w:kern w:val="2"/>
                <w:sz w:val="21"/>
                <w:szCs w:val="21"/>
                <w:highlight w:val="none"/>
              </w:rPr>
              <w:t>重点用户15分钟内响应并提供服务</w:t>
            </w:r>
          </w:p>
          <w:p>
            <w:pPr>
              <w:pStyle w:val="NormalWeb"/>
              <w:numPr>
                <w:ilvl w:val="0"/>
                <w:numId w:val="9"/>
              </w:numPr>
              <w:spacing w:before="0" w:beforeAutospacing="0" w:after="0" w:afterAutospacing="0"/>
              <w:ind w:left="420" w:hanging="420"/>
              <w:rPr>
                <w:color w:val="auto"/>
                <w:kern w:val="2"/>
                <w:sz w:val="21"/>
                <w:szCs w:val="21"/>
                <w:highlight w:val="none"/>
              </w:rPr>
            </w:pPr>
            <w:r>
              <w:rPr>
                <w:rFonts w:eastAsia="宋体" w:hint="eastAsia"/>
                <w:color w:val="auto"/>
                <w:kern w:val="2"/>
                <w:sz w:val="21"/>
                <w:szCs w:val="21"/>
                <w:highlight w:val="none"/>
              </w:rPr>
              <w:t>其他人员30分钟内提供远程或电话支持；</w:t>
            </w:r>
          </w:p>
          <w:p>
            <w:pPr>
              <w:pStyle w:val="NormalWeb"/>
              <w:spacing w:before="0" w:beforeAutospacing="0" w:after="0" w:afterAutospacing="0"/>
              <w:rPr>
                <w:color w:val="auto"/>
                <w:kern w:val="2"/>
                <w:sz w:val="21"/>
                <w:szCs w:val="21"/>
                <w:highlight w:val="none"/>
              </w:rPr>
            </w:pPr>
            <w:r>
              <w:rPr>
                <w:rFonts w:eastAsia="宋体" w:hint="eastAsia"/>
                <w:color w:val="auto"/>
                <w:kern w:val="2"/>
                <w:sz w:val="21"/>
                <w:szCs w:val="21"/>
                <w:highlight w:val="none"/>
              </w:rPr>
              <w:t>如需现场服务1小时以内到场</w:t>
            </w:r>
          </w:p>
        </w:tc>
      </w:tr>
      <w:tr>
        <w:tblPrEx>
          <w:tblW w:w="0" w:type="auto"/>
          <w:tblInd w:w="0" w:type="dxa"/>
          <w:tblCellMar>
            <w:top w:w="0" w:type="dxa"/>
            <w:left w:w="108" w:type="dxa"/>
            <w:bottom w:w="0" w:type="dxa"/>
            <w:right w:w="108" w:type="dxa"/>
          </w:tblCellMar>
        </w:tblPrEx>
        <w:tc>
          <w:tcPr>
            <w:tcW w:w="817"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2</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终端运维-新机器安装后综合管理信息系统所需的配置</w:t>
            </w:r>
          </w:p>
        </w:tc>
        <w:tc>
          <w:tcPr>
            <w:tcW w:w="2268" w:type="dxa"/>
            <w:vMerge/>
            <w:noWrap w:val="0"/>
            <w:vAlign w:val="center"/>
          </w:tcPr>
          <w:p>
            <w:pPr>
              <w:rPr>
                <w:rFonts w:ascii="宋体" w:eastAsia="宋体" w:hAnsi="宋体" w:cs="宋体"/>
                <w:color w:val="auto"/>
                <w:kern w:val="0"/>
                <w:szCs w:val="21"/>
                <w:highlight w:val="none"/>
              </w:rPr>
            </w:pPr>
          </w:p>
        </w:tc>
        <w:tc>
          <w:tcPr>
            <w:tcW w:w="3169" w:type="dxa"/>
            <w:vMerge/>
            <w:noWrap w:val="0"/>
            <w:vAlign w:val="center"/>
          </w:tcPr>
          <w:p>
            <w:pPr>
              <w:rPr>
                <w:rFonts w:ascii="宋体" w:eastAsia="宋体" w:hAnsi="宋体" w:cs="宋体"/>
                <w:color w:val="auto"/>
                <w:kern w:val="0"/>
                <w:szCs w:val="21"/>
                <w:highlight w:val="none"/>
              </w:rPr>
            </w:pPr>
          </w:p>
        </w:tc>
      </w:tr>
      <w:tr>
        <w:tblPrEx>
          <w:tblW w:w="0" w:type="auto"/>
          <w:tblInd w:w="0" w:type="dxa"/>
          <w:tblCellMar>
            <w:top w:w="0" w:type="dxa"/>
            <w:left w:w="108" w:type="dxa"/>
            <w:bottom w:w="0" w:type="dxa"/>
            <w:right w:w="108" w:type="dxa"/>
          </w:tblCellMar>
        </w:tblPrEx>
        <w:tc>
          <w:tcPr>
            <w:tcW w:w="817"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3</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应用服务运维支持响应</w:t>
            </w:r>
          </w:p>
        </w:tc>
        <w:tc>
          <w:tcPr>
            <w:tcW w:w="2268" w:type="dxa"/>
            <w:vMerge/>
            <w:noWrap w:val="0"/>
            <w:vAlign w:val="center"/>
          </w:tcPr>
          <w:p>
            <w:pPr>
              <w:rPr>
                <w:rFonts w:ascii="宋体" w:eastAsia="宋体" w:hAnsi="宋体" w:cs="宋体"/>
                <w:color w:val="auto"/>
                <w:kern w:val="0"/>
                <w:szCs w:val="21"/>
                <w:highlight w:val="none"/>
              </w:rPr>
            </w:pPr>
          </w:p>
        </w:tc>
        <w:tc>
          <w:tcPr>
            <w:tcW w:w="3169" w:type="dxa"/>
            <w:vMerge/>
            <w:noWrap w:val="0"/>
            <w:vAlign w:val="center"/>
          </w:tcPr>
          <w:p>
            <w:pPr>
              <w:rPr>
                <w:rFonts w:ascii="宋体" w:eastAsia="宋体" w:hAnsi="宋体" w:cs="宋体"/>
                <w:color w:val="auto"/>
                <w:kern w:val="0"/>
                <w:szCs w:val="21"/>
                <w:highlight w:val="none"/>
              </w:rPr>
            </w:pPr>
          </w:p>
        </w:tc>
      </w:tr>
      <w:tr>
        <w:tblPrEx>
          <w:tblW w:w="0" w:type="auto"/>
          <w:tblInd w:w="0" w:type="dxa"/>
          <w:tblCellMar>
            <w:top w:w="0" w:type="dxa"/>
            <w:left w:w="108" w:type="dxa"/>
            <w:bottom w:w="0" w:type="dxa"/>
            <w:right w:w="108" w:type="dxa"/>
          </w:tblCellMar>
        </w:tblPrEx>
        <w:tc>
          <w:tcPr>
            <w:tcW w:w="817"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4</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应用服务环境故障处理电话响应</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主动发现故障或接到甲方故障报告电话时到开始处理故障的时间</w:t>
            </w:r>
          </w:p>
        </w:tc>
        <w:tc>
          <w:tcPr>
            <w:tcW w:w="3169"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工作时间响应时间不超过15分钟，非工作时间响应时间不超过2小时</w:t>
            </w:r>
          </w:p>
        </w:tc>
      </w:tr>
      <w:tr>
        <w:tblPrEx>
          <w:tblW w:w="0" w:type="auto"/>
          <w:tblInd w:w="0" w:type="dxa"/>
          <w:tblCellMar>
            <w:top w:w="0" w:type="dxa"/>
            <w:left w:w="108" w:type="dxa"/>
            <w:bottom w:w="0" w:type="dxa"/>
            <w:right w:w="108" w:type="dxa"/>
          </w:tblCellMar>
        </w:tblPrEx>
        <w:tc>
          <w:tcPr>
            <w:tcW w:w="817"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5</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协助用户处理文件</w:t>
            </w:r>
          </w:p>
        </w:tc>
        <w:tc>
          <w:tcPr>
            <w:tcW w:w="2268"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包括流程结束后意见错别字处理等临时问题处理</w:t>
            </w:r>
          </w:p>
        </w:tc>
        <w:tc>
          <w:tcPr>
            <w:tcW w:w="3169" w:type="dxa"/>
            <w:noWrap w:val="0"/>
            <w:vAlign w:val="center"/>
          </w:tcPr>
          <w:p>
            <w:pPr>
              <w:rPr>
                <w:rFonts w:ascii="宋体" w:eastAsia="宋体" w:hAnsi="宋体" w:cs="宋体"/>
                <w:color w:val="auto"/>
                <w:kern w:val="0"/>
                <w:szCs w:val="21"/>
                <w:highlight w:val="none"/>
              </w:rPr>
            </w:pPr>
            <w:r>
              <w:rPr>
                <w:rFonts w:ascii="宋体" w:eastAsia="宋体" w:hAnsi="宋体" w:cs="宋体" w:hint="eastAsia"/>
                <w:color w:val="auto"/>
                <w:kern w:val="0"/>
                <w:szCs w:val="21"/>
                <w:highlight w:val="none"/>
              </w:rPr>
              <w:t>在与客户商议的时间范围内解决</w:t>
            </w:r>
          </w:p>
        </w:tc>
      </w:tr>
    </w:tbl>
    <w:p>
      <w:pPr>
        <w:pStyle w:val="Heading1"/>
        <w:numPr>
          <w:ilvl w:val="0"/>
          <w:numId w:val="4"/>
        </w:numPr>
        <w:spacing w:before="120" w:after="120" w:line="480" w:lineRule="auto"/>
        <w:ind w:left="425" w:hanging="425"/>
        <w:rPr>
          <w:rFonts w:ascii="宋体" w:hAnsi="宋体"/>
          <w:color w:val="auto"/>
          <w:sz w:val="28"/>
          <w:highlight w:val="none"/>
        </w:rPr>
      </w:pPr>
      <w:bookmarkStart w:id="90" w:name="_Toc24755"/>
      <w:bookmarkStart w:id="91" w:name="_Toc136004018"/>
      <w:bookmarkStart w:id="92" w:name="_Toc531336049"/>
      <w:bookmarkStart w:id="93" w:name="_Toc426535975"/>
      <w:bookmarkStart w:id="94" w:name="_Toc461180270"/>
      <w:r>
        <w:rPr>
          <w:rFonts w:ascii="宋体" w:eastAsia="宋体" w:hAnsi="宋体" w:cs="Times New Roman" w:hint="eastAsia"/>
          <w:color w:val="auto"/>
          <w:sz w:val="28"/>
          <w:highlight w:val="none"/>
        </w:rPr>
        <w:t>项目交付物</w:t>
      </w:r>
      <w:bookmarkEnd w:id="90"/>
      <w:bookmarkEnd w:id="91"/>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本项目要求的提交物包括：</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运行维护手册；</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系统部署及配置说明书；</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支持记录；</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运维报告；</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系统巡检操作手册</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系统巡检报告；</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故障报告（按需）；</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重大气象服务报告（按需）；</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季度气政通平台和应用、一体化政务服务平台数据报告</w:t>
      </w:r>
      <w:r>
        <w:rPr>
          <w:rFonts w:ascii="Times New Roman" w:eastAsia="宋体" w:hAnsi="Times New Roman" w:cs="Times New Roman" w:hint="eastAsia"/>
          <w:color w:val="auto"/>
          <w:sz w:val="24"/>
          <w:szCs w:val="24"/>
          <w:highlight w:val="none"/>
          <w:lang w:eastAsia="zh-CN"/>
        </w:rPr>
        <w:t>（配合提供数据统计）；</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用户满意度调查表及统计情况</w:t>
      </w:r>
      <w:r>
        <w:rPr>
          <w:rFonts w:ascii="Times New Roman" w:eastAsia="宋体" w:hAnsi="Times New Roman" w:cs="Times New Roman" w:hint="eastAsia"/>
          <w:color w:val="auto"/>
          <w:sz w:val="24"/>
          <w:szCs w:val="24"/>
          <w:highlight w:val="none"/>
          <w:lang w:eastAsia="zh-CN"/>
        </w:rPr>
        <w:t>；</w:t>
      </w:r>
    </w:p>
    <w:p>
      <w:pPr>
        <w:numPr>
          <w:ilvl w:val="0"/>
          <w:numId w:val="10"/>
        </w:numPr>
        <w:adjustRightInd w:val="0"/>
        <w:snapToGrid w:val="0"/>
        <w:spacing w:line="360" w:lineRule="auto"/>
        <w:ind w:firstLine="480" w:firstLineChars="200"/>
        <w:rPr>
          <w:rFonts w:ascii="Times New Roman" w:eastAsia="宋体" w:hAnsi="Times New Roman" w:cs="Times New Roman" w:hint="eastAsia"/>
          <w:color w:val="auto"/>
          <w:highlight w:val="none"/>
        </w:rPr>
      </w:pPr>
      <w:r>
        <w:rPr>
          <w:rFonts w:ascii="Times New Roman" w:eastAsia="宋体" w:hAnsi="Times New Roman" w:cs="Times New Roman" w:hint="eastAsia"/>
          <w:color w:val="auto"/>
          <w:sz w:val="24"/>
          <w:szCs w:val="24"/>
          <w:highlight w:val="none"/>
        </w:rPr>
        <w:t>故障处理手册</w:t>
      </w:r>
      <w:r>
        <w:rPr>
          <w:rFonts w:ascii="Times New Roman" w:eastAsia="宋体" w:hAnsi="Times New Roman" w:cs="Times New Roman" w:hint="eastAsia"/>
          <w:color w:val="auto"/>
          <w:sz w:val="24"/>
          <w:szCs w:val="24"/>
          <w:highlight w:val="none"/>
          <w:lang w:eastAsia="zh-CN"/>
        </w:rPr>
        <w:t>；</w:t>
      </w:r>
    </w:p>
    <w:p>
      <w:pPr>
        <w:numPr>
          <w:ilvl w:val="0"/>
          <w:numId w:val="10"/>
        </w:numPr>
        <w:adjustRightInd w:val="0"/>
        <w:snapToGrid w:val="0"/>
        <w:spacing w:line="360" w:lineRule="auto"/>
        <w:ind w:firstLine="480" w:firstLineChars="200"/>
        <w:rPr>
          <w:rFonts w:ascii="Times New Roman" w:eastAsia="宋体" w:hAnsi="Times New Roman" w:cs="Times New Roman"/>
          <w:color w:val="auto"/>
          <w:highlight w:val="none"/>
        </w:rPr>
      </w:pPr>
      <w:r>
        <w:rPr>
          <w:rFonts w:ascii="Times New Roman" w:eastAsia="宋体" w:hAnsi="Times New Roman" w:cs="Times New Roman" w:hint="eastAsia"/>
          <w:color w:val="auto"/>
          <w:sz w:val="24"/>
          <w:szCs w:val="24"/>
          <w:highlight w:val="none"/>
        </w:rPr>
        <w:t>汛期自查手册和汛期演练方案</w:t>
      </w:r>
      <w:r>
        <w:rPr>
          <w:rFonts w:ascii="Times New Roman" w:eastAsia="宋体" w:hAnsi="Times New Roman" w:cs="Times New Roman" w:hint="eastAsia"/>
          <w:color w:val="auto"/>
          <w:sz w:val="24"/>
          <w:szCs w:val="24"/>
          <w:highlight w:val="none"/>
          <w:lang w:eastAsia="zh-CN"/>
        </w:rPr>
        <w:t>（配合提供）</w:t>
      </w:r>
    </w:p>
    <w:p>
      <w:pPr>
        <w:pStyle w:val="Heading1"/>
        <w:numPr>
          <w:ilvl w:val="0"/>
          <w:numId w:val="4"/>
        </w:numPr>
        <w:spacing w:before="120" w:after="120" w:line="480" w:lineRule="auto"/>
        <w:ind w:left="425" w:hanging="425"/>
        <w:rPr>
          <w:rFonts w:ascii="宋体" w:hAnsi="宋体"/>
          <w:color w:val="auto"/>
          <w:sz w:val="28"/>
          <w:highlight w:val="none"/>
        </w:rPr>
      </w:pPr>
      <w:bookmarkStart w:id="95" w:name="_Toc23356"/>
      <w:bookmarkStart w:id="96" w:name="_Toc136004019"/>
      <w:r>
        <w:rPr>
          <w:rFonts w:ascii="宋体" w:eastAsia="宋体" w:hAnsi="宋体" w:cs="Times New Roman" w:hint="eastAsia"/>
          <w:color w:val="auto"/>
          <w:sz w:val="28"/>
          <w:highlight w:val="none"/>
        </w:rPr>
        <w:t>培训要求</w:t>
      </w:r>
      <w:bookmarkEnd w:id="95"/>
      <w:bookmarkEnd w:id="96"/>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制定详细的应用培训方案和技术培训方案，服务期内提供不少于1次应用和技术培训，提供</w:t>
      </w:r>
      <w:r>
        <w:rPr>
          <w:rFonts w:ascii="宋体" w:eastAsia="宋体" w:hAnsi="宋体" w:cs="宋体" w:hint="eastAsia"/>
          <w:color w:val="auto"/>
          <w:sz w:val="24"/>
          <w:szCs w:val="24"/>
          <w:highlight w:val="none"/>
          <w:lang w:eastAsia="zh-CN"/>
        </w:rPr>
        <w:t>用户培训所</w:t>
      </w:r>
      <w:r>
        <w:rPr>
          <w:rFonts w:ascii="宋体" w:eastAsia="宋体" w:hAnsi="宋体" w:cs="宋体" w:hint="eastAsia"/>
          <w:color w:val="auto"/>
          <w:sz w:val="24"/>
          <w:szCs w:val="24"/>
          <w:highlight w:val="none"/>
        </w:rPr>
        <w:t>要求的课件。</w:t>
      </w:r>
    </w:p>
    <w:p>
      <w:pPr>
        <w:pStyle w:val="Heading1"/>
        <w:numPr>
          <w:ilvl w:val="0"/>
          <w:numId w:val="4"/>
        </w:numPr>
        <w:spacing w:before="120" w:after="120" w:line="480" w:lineRule="auto"/>
        <w:ind w:left="425" w:hanging="425"/>
        <w:rPr>
          <w:rFonts w:ascii="宋体" w:hAnsi="宋体"/>
          <w:color w:val="auto"/>
          <w:sz w:val="28"/>
          <w:highlight w:val="none"/>
        </w:rPr>
      </w:pPr>
      <w:bookmarkStart w:id="97" w:name="_Toc6481"/>
      <w:bookmarkStart w:id="98" w:name="_Toc136004020"/>
      <w:r>
        <w:rPr>
          <w:rFonts w:ascii="宋体" w:eastAsia="宋体" w:hAnsi="宋体" w:cs="Times New Roman" w:hint="eastAsia"/>
          <w:color w:val="auto"/>
          <w:sz w:val="28"/>
          <w:highlight w:val="none"/>
        </w:rPr>
        <w:t>项目的人员及组织结构要求</w:t>
      </w:r>
      <w:bookmarkEnd w:id="92"/>
      <w:bookmarkEnd w:id="93"/>
      <w:bookmarkEnd w:id="94"/>
      <w:bookmarkEnd w:id="97"/>
      <w:bookmarkEnd w:id="98"/>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投标人必须成立合理的组织机构，建立健全保障运维工作顺利实施的各项管理制度和质量保证体系，安排好足够的高素质人才参加本项目工作。</w:t>
      </w:r>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在组织机构中应该明确各岗位的职责、任职资格及成果、确保项目顺利实施，应分别配备有项目经理。</w:t>
      </w:r>
    </w:p>
    <w:p>
      <w:pPr>
        <w:adjustRightInd w:val="0"/>
        <w:snapToGrid w:val="0"/>
        <w:spacing w:line="360" w:lineRule="auto"/>
        <w:ind w:firstLine="480" w:firstLineChars="200"/>
        <w:rPr>
          <w:rFonts w:ascii="宋体" w:eastAsia="宋体" w:hAnsi="宋体" w:cs="宋体"/>
          <w:color w:val="auto"/>
          <w:highlight w:val="none"/>
        </w:rPr>
      </w:pPr>
      <w:r>
        <w:rPr>
          <w:rFonts w:ascii="宋体" w:eastAsia="宋体" w:hAnsi="宋体" w:cs="宋体" w:hint="eastAsia"/>
          <w:color w:val="auto"/>
          <w:sz w:val="24"/>
          <w:szCs w:val="24"/>
          <w:highlight w:val="none"/>
        </w:rPr>
        <w:t>运维服务要求团队人员数不得</w:t>
      </w:r>
      <w:bookmarkStart w:id="99" w:name="_Toc531336052"/>
      <w:bookmarkStart w:id="100" w:name="_Toc426535978"/>
      <w:bookmarkStart w:id="101" w:name="_Toc461180273"/>
      <w:r>
        <w:rPr>
          <w:rFonts w:ascii="宋体" w:eastAsia="宋体" w:hAnsi="宋体" w:cs="宋体" w:hint="eastAsia"/>
          <w:color w:val="auto"/>
          <w:sz w:val="24"/>
          <w:szCs w:val="24"/>
          <w:highlight w:val="none"/>
        </w:rPr>
        <w:t>少于</w:t>
      </w:r>
      <w:r>
        <w:rPr>
          <w:rFonts w:ascii="宋体" w:eastAsia="宋体" w:hAnsi="宋体" w:cs="宋体" w:hint="eastAsia"/>
          <w:color w:val="auto"/>
          <w:sz w:val="24"/>
          <w:szCs w:val="24"/>
          <w:highlight w:val="none"/>
          <w:lang w:val="en-US" w:eastAsia="zh-CN"/>
        </w:rPr>
        <w:t>8</w:t>
      </w:r>
      <w:r>
        <w:rPr>
          <w:rFonts w:ascii="宋体" w:eastAsia="宋体" w:hAnsi="宋体" w:cs="宋体" w:hint="eastAsia"/>
          <w:color w:val="auto"/>
          <w:sz w:val="24"/>
          <w:szCs w:val="24"/>
          <w:highlight w:val="none"/>
        </w:rPr>
        <w:t>人的驻场团队运维支持。</w:t>
      </w:r>
    </w:p>
    <w:p>
      <w:pPr>
        <w:pStyle w:val="Heading1"/>
        <w:numPr>
          <w:ilvl w:val="0"/>
          <w:numId w:val="4"/>
        </w:numPr>
        <w:spacing w:before="120" w:after="120" w:line="480" w:lineRule="auto"/>
        <w:ind w:left="425" w:hanging="425"/>
        <w:rPr>
          <w:rFonts w:ascii="宋体" w:hAnsi="宋体"/>
          <w:color w:val="auto"/>
          <w:sz w:val="28"/>
          <w:highlight w:val="none"/>
        </w:rPr>
      </w:pPr>
      <w:bookmarkStart w:id="102" w:name="_Toc12336"/>
      <w:bookmarkStart w:id="103" w:name="_Toc136004021"/>
      <w:r>
        <w:rPr>
          <w:rFonts w:ascii="宋体" w:eastAsia="宋体" w:hAnsi="宋体" w:cs="Times New Roman" w:hint="eastAsia"/>
          <w:color w:val="auto"/>
          <w:sz w:val="28"/>
          <w:highlight w:val="none"/>
        </w:rPr>
        <w:t>安全保密要求</w:t>
      </w:r>
      <w:bookmarkEnd w:id="99"/>
      <w:bookmarkEnd w:id="100"/>
      <w:bookmarkEnd w:id="101"/>
      <w:bookmarkEnd w:id="102"/>
      <w:bookmarkEnd w:id="103"/>
    </w:p>
    <w:p>
      <w:pPr>
        <w:adjustRightInd w:val="0"/>
        <w:snapToGrid w:val="0"/>
        <w:spacing w:line="360" w:lineRule="auto"/>
        <w:ind w:firstLine="480" w:firstLineChars="200"/>
        <w:rPr>
          <w:rFonts w:ascii="Times New Roman" w:eastAsia="宋体" w:hAnsi="Times New Roman" w:cs="Times New Roman"/>
          <w:color w:val="auto"/>
          <w:szCs w:val="20"/>
          <w:highlight w:val="none"/>
        </w:rPr>
      </w:pPr>
      <w:r>
        <w:rPr>
          <w:rFonts w:ascii="宋体" w:eastAsia="宋体" w:hAnsi="宋体" w:cs="宋体" w:hint="eastAsia"/>
          <w:color w:val="auto"/>
          <w:sz w:val="24"/>
          <w:szCs w:val="24"/>
          <w:highlight w:val="none"/>
        </w:rPr>
        <w:t>投标人必须对项目技术文件以及由甲方提供的所有内部资料、技术文档和信息予以保密。投标人必须遵守与甲方签订的保密协议，未经甲方书面许可，投标人不得以任何形式向第三方透露本项目标书以及本项目的任何内容。</w:t>
      </w:r>
    </w:p>
    <w:p>
      <w:pPr>
        <w:spacing w:line="360" w:lineRule="auto"/>
        <w:ind w:firstLine="420" w:firstLineChars="200"/>
        <w:rPr>
          <w:rFonts w:ascii="宋体" w:eastAsia="宋体" w:hAnsi="宋体" w:cs="Times New Roman"/>
          <w:szCs w:val="21"/>
          <w:highlight w:val="none"/>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rsidR="0022230A">
      <w:pPr>
        <w:spacing w:before="156" w:beforeLines="50" w:line="360" w:lineRule="auto"/>
        <w:jc w:val="center"/>
        <w:outlineLvl w:val="1"/>
        <w:rPr>
          <w:rFonts w:ascii="宋体" w:hAnsi="宋体"/>
          <w:b/>
          <w:sz w:val="30"/>
          <w:szCs w:val="30"/>
        </w:rPr>
      </w:pPr>
      <w:bookmarkStart w:id="104"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22230A">
      <w:pPr>
        <w:adjustRightInd w:val="0"/>
        <w:snapToGrid w:val="0"/>
        <w:spacing w:before="156" w:beforeLines="50" w:line="360" w:lineRule="auto"/>
        <w:rPr>
          <w:rFonts w:ascii="宋体" w:hAnsi="宋体"/>
          <w:szCs w:val="21"/>
        </w:rPr>
      </w:pPr>
    </w:p>
    <w:p w:rsidR="0022230A">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86F1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22230A">
            <w:pPr>
              <w:rPr>
                <w:sz w:val="18"/>
                <w:szCs w:val="18"/>
              </w:rPr>
            </w:pPr>
            <w:r>
              <w:rPr>
                <w:rFonts w:hint="eastAsia"/>
                <w:sz w:val="18"/>
                <w:szCs w:val="18"/>
              </w:rPr>
              <w:t>序号</w:t>
            </w:r>
          </w:p>
        </w:tc>
        <w:tc>
          <w:tcPr>
            <w:tcW w:w="898" w:type="dxa"/>
            <w:vAlign w:val="center"/>
          </w:tcPr>
          <w:p w:rsidR="0022230A">
            <w:pPr>
              <w:jc w:val="center"/>
              <w:rPr>
                <w:sz w:val="18"/>
                <w:szCs w:val="18"/>
              </w:rPr>
            </w:pPr>
            <w:r>
              <w:rPr>
                <w:rFonts w:hint="eastAsia"/>
                <w:sz w:val="18"/>
                <w:szCs w:val="18"/>
              </w:rPr>
              <w:t>对应</w:t>
            </w:r>
          </w:p>
          <w:p w:rsidR="0022230A">
            <w:pPr>
              <w:jc w:val="center"/>
              <w:rPr>
                <w:sz w:val="18"/>
                <w:szCs w:val="18"/>
              </w:rPr>
            </w:pPr>
            <w:r>
              <w:rPr>
                <w:rFonts w:hint="eastAsia"/>
                <w:sz w:val="18"/>
                <w:szCs w:val="18"/>
              </w:rPr>
              <w:t>条款号</w:t>
            </w:r>
          </w:p>
        </w:tc>
        <w:tc>
          <w:tcPr>
            <w:tcW w:w="7347" w:type="dxa"/>
            <w:vAlign w:val="center"/>
          </w:tcPr>
          <w:p w:rsidR="0022230A">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86F1B">
        <w:tblPrEx>
          <w:tblW w:w="8789" w:type="dxa"/>
          <w:tblLayout w:type="fixed"/>
          <w:tblLook w:val="04A0"/>
        </w:tblPrEx>
        <w:trPr>
          <w:cantSplit/>
        </w:trPr>
        <w:tc>
          <w:tcPr>
            <w:tcW w:w="8789" w:type="dxa"/>
            <w:gridSpan w:val="3"/>
            <w:vAlign w:val="center"/>
          </w:tcPr>
          <w:p w:rsidR="0022230A">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486F1B">
        <w:tblPrEx>
          <w:tblW w:w="8789" w:type="dxa"/>
          <w:tblLayout w:type="fixed"/>
          <w:tblLook w:val="04A0"/>
        </w:tblPrEx>
        <w:trPr>
          <w:cantSplit/>
        </w:trPr>
        <w:tc>
          <w:tcPr>
            <w:tcW w:w="544" w:type="dxa"/>
            <w:vAlign w:val="center"/>
          </w:tcPr>
          <w:p w:rsidR="0022230A">
            <w:pPr>
              <w:numPr>
                <w:ilvl w:val="0"/>
                <w:numId w:val="14"/>
              </w:numPr>
              <w:rPr>
                <w:rFonts w:ascii="宋体" w:hAnsi="宋体"/>
                <w:sz w:val="18"/>
                <w:szCs w:val="18"/>
              </w:rPr>
            </w:pPr>
          </w:p>
        </w:tc>
        <w:tc>
          <w:tcPr>
            <w:tcW w:w="898" w:type="dxa"/>
            <w:vAlign w:val="center"/>
          </w:tcPr>
          <w:p w:rsidR="0022230A">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22230A">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486F1B">
        <w:tblPrEx>
          <w:tblW w:w="8789" w:type="dxa"/>
          <w:tblLayout w:type="fixed"/>
          <w:tblLook w:val="04A0"/>
        </w:tblPrEx>
        <w:trPr>
          <w:cantSplit/>
        </w:trPr>
        <w:tc>
          <w:tcPr>
            <w:tcW w:w="8789" w:type="dxa"/>
            <w:gridSpan w:val="3"/>
            <w:vAlign w:val="center"/>
          </w:tcPr>
          <w:p w:rsidR="0022230A">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86F1B">
        <w:tblPrEx>
          <w:tblW w:w="8789" w:type="dxa"/>
          <w:tblLayout w:type="fixed"/>
          <w:tblLook w:val="04A0"/>
        </w:tblPrEx>
        <w:trPr>
          <w:cantSplit/>
        </w:trPr>
        <w:tc>
          <w:tcPr>
            <w:tcW w:w="544" w:type="dxa"/>
            <w:vAlign w:val="center"/>
          </w:tcPr>
          <w:p w:rsidR="0022230A">
            <w:pPr>
              <w:numPr>
                <w:ilvl w:val="0"/>
                <w:numId w:val="14"/>
              </w:numPr>
              <w:rPr>
                <w:rFonts w:ascii="宋体" w:hAnsi="宋体"/>
                <w:sz w:val="18"/>
                <w:szCs w:val="18"/>
              </w:rPr>
            </w:pPr>
          </w:p>
        </w:tc>
        <w:tc>
          <w:tcPr>
            <w:tcW w:w="898" w:type="dxa"/>
            <w:vAlign w:val="center"/>
          </w:tcPr>
          <w:p w:rsidR="0022230A">
            <w:pPr>
              <w:jc w:val="center"/>
              <w:rPr>
                <w:rFonts w:ascii="宋体" w:hAnsi="宋体"/>
                <w:sz w:val="18"/>
                <w:szCs w:val="18"/>
              </w:rPr>
            </w:pPr>
          </w:p>
        </w:tc>
        <w:tc>
          <w:tcPr>
            <w:tcW w:w="7347" w:type="dxa"/>
            <w:vAlign w:val="center"/>
          </w:tcPr>
          <w:p w:rsidR="0022230A">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22230A">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22230A">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10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8D05DD">
      <w:pPr>
        <w:numPr>
          <w:ilvl w:val="0"/>
          <w:numId w:val="11"/>
        </w:numPr>
        <w:spacing w:line="360" w:lineRule="auto"/>
        <w:ind w:firstLine="3066" w:firstLineChars="1460"/>
        <w:jc w:val="left"/>
        <w:rPr>
          <w:rFonts w:ascii="Times New Roman" w:eastAsia="宋体" w:hAnsi="Times New Roman" w:cs="Times New Roman"/>
          <w:b/>
          <w:bCs/>
          <w:szCs w:val="21"/>
        </w:rPr>
      </w:pPr>
      <w:bookmarkStart w:id="105"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8D05DD">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8D05DD">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8D05DD">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8D05DD">
      <w:pPr>
        <w:rPr>
          <w:rFonts w:ascii="宋体" w:eastAsia="宋体" w:hAnsi="宋体" w:cs="宋体"/>
          <w:b/>
          <w:bCs/>
          <w:spacing w:val="-20"/>
          <w:kern w:val="44"/>
          <w:sz w:val="40"/>
          <w:szCs w:val="40"/>
        </w:rPr>
      </w:pPr>
    </w:p>
    <w:p w:rsidR="008D05DD">
      <w:pPr>
        <w:rPr>
          <w:rFonts w:ascii="宋体" w:eastAsia="宋体" w:hAnsi="宋体" w:cs="宋体"/>
          <w:b/>
          <w:bCs/>
          <w:spacing w:val="-20"/>
          <w:kern w:val="44"/>
          <w:sz w:val="40"/>
          <w:szCs w:val="40"/>
        </w:rPr>
      </w:pPr>
    </w:p>
    <w:p w:rsidR="008D05DD">
      <w:pPr>
        <w:rPr>
          <w:rFonts w:ascii="宋体" w:eastAsia="宋体" w:hAnsi="宋体" w:cs="宋体"/>
          <w:b/>
          <w:bCs/>
          <w:spacing w:val="-20"/>
          <w:kern w:val="44"/>
          <w:sz w:val="40"/>
          <w:szCs w:val="40"/>
        </w:rPr>
      </w:pPr>
    </w:p>
    <w:p w:rsidR="008D05DD">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8D05DD">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8D05DD">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8D05DD">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8D05DD">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8D05DD">
      <w:pPr>
        <w:rPr>
          <w:rFonts w:ascii="Times New Roman" w:eastAsia="宋体" w:hAnsi="Times New Roman" w:cs="Times New Roman"/>
          <w:szCs w:val="20"/>
        </w:rPr>
      </w:pPr>
    </w:p>
    <w:p w:rsidR="008D05DD">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8D05DD">
      <w:pPr>
        <w:rPr>
          <w:rFonts w:ascii="Times New Roman" w:eastAsia="黑体" w:hAnsi="Times New Roman" w:cs="Times New Roman"/>
          <w:sz w:val="44"/>
          <w:szCs w:val="44"/>
        </w:rPr>
      </w:pPr>
    </w:p>
    <w:p w:rsidR="008D05DD">
      <w:pPr>
        <w:rPr>
          <w:rFonts w:ascii="Times New Roman" w:eastAsia="黑体" w:hAnsi="Times New Roman" w:cs="Times New Roman"/>
          <w:sz w:val="44"/>
          <w:szCs w:val="44"/>
        </w:rPr>
      </w:pPr>
    </w:p>
    <w:p w:rsidR="008D05DD">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8D05DD">
      <w:pPr>
        <w:ind w:firstLine="640" w:firstLineChars="200"/>
        <w:rPr>
          <w:rFonts w:ascii="仿宋_GB2312" w:eastAsia="仿宋_GB2312" w:hAnsi="仿宋_GB2312" w:cs="仿宋_GB2312"/>
          <w:sz w:val="32"/>
          <w:szCs w:val="32"/>
        </w:rPr>
      </w:pPr>
    </w:p>
    <w:p w:rsidR="008D05DD">
      <w:pPr>
        <w:numPr>
          <w:ilvl w:val="0"/>
          <w:numId w:val="12"/>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8D05DD">
      <w:pPr>
        <w:numPr>
          <w:ilvl w:val="0"/>
          <w:numId w:val="12"/>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8D05DD">
      <w:pPr>
        <w:numPr>
          <w:ilvl w:val="0"/>
          <w:numId w:val="12"/>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8D05DD">
      <w:pPr>
        <w:widowControl/>
        <w:jc w:val="left"/>
        <w:rPr>
          <w:rFonts w:ascii="宋体" w:eastAsia="宋体" w:hAnsi="宋体" w:cs="Times New Roman"/>
          <w:szCs w:val="21"/>
        </w:rPr>
      </w:pPr>
      <w:r>
        <w:rPr>
          <w:rFonts w:ascii="宋体" w:eastAsia="宋体" w:hAnsi="宋体" w:cs="Times New Roman"/>
          <w:szCs w:val="21"/>
        </w:rPr>
        <w:br w:type="page"/>
      </w:r>
    </w:p>
    <w:p w:rsidR="008D05DD">
      <w:pPr>
        <w:snapToGrid w:val="0"/>
        <w:spacing w:line="360" w:lineRule="auto"/>
        <w:ind w:firstLine="420"/>
        <w:rPr>
          <w:rFonts w:ascii="宋体" w:eastAsia="宋体" w:hAnsi="宋体" w:cs="Times New Roman"/>
          <w:szCs w:val="21"/>
        </w:rPr>
      </w:pPr>
    </w:p>
    <w:p w:rsidR="008D05DD">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8D05DD">
      <w:pPr>
        <w:snapToGrid w:val="0"/>
        <w:spacing w:line="360" w:lineRule="auto"/>
        <w:ind w:firstLine="420"/>
        <w:jc w:val="center"/>
        <w:rPr>
          <w:rFonts w:ascii="宋体" w:eastAsia="宋体" w:hAnsi="宋体" w:cs="Times New Roman"/>
          <w:szCs w:val="21"/>
        </w:rPr>
      </w:pPr>
    </w:p>
    <w:p w:rsidR="008D05D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8D05D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8D05D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8D05DD">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8D05DD">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8D05DD">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8D05DD">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8D05DD">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8D05DD">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8D05DD">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8D05DD">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8D05DD">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8D05DD">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8D05DD">
            <w:pPr>
              <w:tabs>
                <w:tab w:val="left" w:pos="1573"/>
              </w:tabs>
              <w:autoSpaceDE w:val="0"/>
              <w:autoSpaceDN w:val="0"/>
              <w:adjustRightInd w:val="0"/>
              <w:snapToGrid w:val="0"/>
              <w:spacing w:line="360" w:lineRule="auto"/>
              <w:rPr>
                <w:rFonts w:ascii="宋体" w:eastAsia="宋体" w:hAnsi="宋体" w:cs="Times New Roman"/>
                <w:szCs w:val="21"/>
              </w:rPr>
            </w:pPr>
          </w:p>
        </w:tc>
      </w:tr>
    </w:tbl>
    <w:p w:rsidR="008D05DD">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E0564A" w:rsidP="00E0564A">
      <w:pPr>
        <w:adjustRightInd w:val="0"/>
        <w:snapToGrid w:val="0"/>
        <w:spacing w:line="360" w:lineRule="auto"/>
        <w:ind w:firstLine="420" w:firstLineChars="200"/>
        <w:rPr>
          <w:rFonts w:ascii="宋体" w:hAnsi="宋体" w:hint="eastAsia"/>
          <w:bCs/>
          <w:szCs w:val="21"/>
          <w:highlight w:val="cyan"/>
          <w:shd w:val="clear" w:color="auto" w:fill="FFFF00"/>
        </w:rPr>
      </w:pPr>
      <w:r>
        <w:rPr>
          <w:rFonts w:ascii="宋体" w:hAnsi="宋体" w:hint="eastAsia"/>
          <w:bCs/>
          <w:szCs w:val="21"/>
          <w:highlight w:val="cyan"/>
          <w:shd w:val="clear" w:color="auto" w:fill="FFFF00"/>
        </w:rPr>
        <w:t>1.合同总金额为人民币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w:t>
      </w:r>
    </w:p>
    <w:p w:rsidR="00E0564A" w:rsidP="00E0564A">
      <w:pPr>
        <w:adjustRightInd w:val="0"/>
        <w:snapToGrid w:val="0"/>
        <w:spacing w:line="360" w:lineRule="auto"/>
        <w:ind w:firstLine="420" w:firstLineChars="200"/>
        <w:rPr>
          <w:rFonts w:ascii="宋体" w:hAnsi="宋体" w:hint="eastAsia"/>
          <w:bCs/>
          <w:szCs w:val="21"/>
          <w:highlight w:val="cyan"/>
          <w:shd w:val="clear" w:color="auto" w:fill="FFFF00"/>
        </w:rPr>
      </w:pPr>
      <w:r>
        <w:rPr>
          <w:rFonts w:ascii="宋体" w:hAnsi="宋体" w:hint="eastAsia"/>
          <w:bCs/>
          <w:szCs w:val="21"/>
          <w:highlight w:val="cyan"/>
          <w:shd w:val="clear" w:color="auto" w:fill="FFFF00"/>
        </w:rPr>
        <w:t>2.甲乙双方签署合同后</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个工作日内，乙方向甲方提供合同总金额</w:t>
      </w:r>
      <w:r>
        <w:rPr>
          <w:rFonts w:ascii="宋体" w:hAnsi="宋体" w:hint="eastAsia"/>
          <w:bCs/>
          <w:szCs w:val="21"/>
          <w:highlight w:val="cyan"/>
          <w:u w:val="single"/>
          <w:shd w:val="clear" w:color="auto" w:fill="FFFF00"/>
        </w:rPr>
        <w:t>30%</w:t>
      </w:r>
      <w:r>
        <w:rPr>
          <w:rFonts w:ascii="宋体" w:hAnsi="宋体" w:hint="eastAsia"/>
          <w:bCs/>
          <w:szCs w:val="21"/>
          <w:highlight w:val="cyan"/>
          <w:shd w:val="clear" w:color="auto" w:fill="FFFF00"/>
        </w:rPr>
        <w:t xml:space="preserve"> 的预付款保函，即人民币：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元（小写），有效期截止</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年</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月</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日。甲方收到乙方提供的预付款保函后</w:t>
      </w:r>
      <w:r>
        <w:rPr>
          <w:rFonts w:ascii="宋体" w:hAnsi="宋体" w:hint="eastAsia"/>
          <w:bCs/>
          <w:szCs w:val="21"/>
          <w:highlight w:val="cyan"/>
          <w:u w:val="single"/>
          <w:shd w:val="clear" w:color="auto" w:fill="FFFF00"/>
        </w:rPr>
        <w:t xml:space="preserve"> 10</w:t>
      </w:r>
      <w:r>
        <w:rPr>
          <w:rFonts w:ascii="宋体" w:hAnsi="宋体" w:hint="eastAsia"/>
          <w:bCs/>
          <w:szCs w:val="21"/>
          <w:highlight w:val="cyan"/>
          <w:shd w:val="clear" w:color="auto" w:fill="FFFF00"/>
        </w:rPr>
        <w:t>个工作日内，向乙方支付合同总金额的</w:t>
      </w:r>
      <w:r>
        <w:rPr>
          <w:rFonts w:ascii="宋体" w:hAnsi="宋体" w:hint="eastAsia"/>
          <w:bCs/>
          <w:szCs w:val="21"/>
          <w:highlight w:val="cyan"/>
          <w:u w:val="single"/>
          <w:shd w:val="clear" w:color="auto" w:fill="FFFF00"/>
        </w:rPr>
        <w:t>100%</w:t>
      </w:r>
      <w:r>
        <w:rPr>
          <w:rFonts w:ascii="宋体" w:hAnsi="宋体" w:hint="eastAsia"/>
          <w:bCs/>
          <w:szCs w:val="21"/>
          <w:highlight w:val="cyan"/>
          <w:shd w:val="clear" w:color="auto" w:fill="FFFF00"/>
        </w:rPr>
        <w:t>，即人民币         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元（小写）。甲方组织完成本服务合同履约情况评审且评审通过后，将退还乙方前述预付款保函；同时乙方向甲方提供合同总金额</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的履约保函，即人民币：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 xml:space="preserve"> 元（小写），有效期截止</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年</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月</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日。</w:t>
      </w:r>
    </w:p>
    <w:p w:rsidR="008D05DD" w:rsidP="00E0564A">
      <w:pPr>
        <w:tabs>
          <w:tab w:val="left" w:pos="1573"/>
        </w:tabs>
        <w:adjustRightInd w:val="0"/>
        <w:snapToGrid w:val="0"/>
        <w:spacing w:line="360" w:lineRule="auto"/>
        <w:ind w:firstLine="412" w:firstLineChars="196"/>
        <w:jc w:val="left"/>
        <w:rPr>
          <w:rFonts w:ascii="宋体" w:hAnsi="宋体"/>
          <w:bCs/>
          <w:szCs w:val="21"/>
          <w:highlight w:val="cyan"/>
          <w:shd w:val="clear" w:color="auto" w:fill="FFFF00"/>
        </w:rPr>
      </w:pPr>
      <w:r>
        <w:rPr>
          <w:rFonts w:ascii="宋体" w:hAnsi="宋体" w:hint="eastAsia"/>
          <w:bCs/>
          <w:szCs w:val="21"/>
          <w:highlight w:val="cyan"/>
          <w:shd w:val="clear" w:color="auto" w:fill="FFFF00"/>
        </w:rPr>
        <w:t>3.项目终验合格且收到终验合格证明</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个工作日内，甲方退还乙方履约保函。</w:t>
      </w:r>
    </w:p>
    <w:p w:rsidR="008D05DD">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8D05DD">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8D05DD">
      <w:pPr>
        <w:tabs>
          <w:tab w:val="left" w:pos="1573"/>
        </w:tabs>
        <w:adjustRightInd w:val="0"/>
        <w:snapToGrid w:val="0"/>
        <w:spacing w:line="360" w:lineRule="auto"/>
        <w:ind w:firstLine="412" w:firstLineChars="196"/>
        <w:jc w:val="left"/>
        <w:rPr>
          <w:rFonts w:ascii="宋体" w:eastAsia="宋体" w:hAnsi="宋体" w:cs="Times New Roman"/>
          <w:szCs w:val="28"/>
        </w:rPr>
      </w:pPr>
    </w:p>
    <w:p w:rsidR="008D05DD">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8D05D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8D05D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8D05D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8D05DD">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8D05DD">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8D05DD">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8D05DD">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8D05DD">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8D05DD">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8D05DD">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8D05DD">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w:t>
      </w:r>
      <w:r>
        <w:rPr>
          <w:rFonts w:ascii="宋体" w:eastAsia="宋体" w:hAnsi="宋体" w:cs="Times New Roman" w:hint="eastAsia"/>
          <w:szCs w:val="20"/>
        </w:rPr>
        <w:t>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的可能性、影响程度进行研判，明确管控责任，提出有针对性的处置措施和替代方案。如本项目不属于上述项目，“八、风险管理”可省略）</w:t>
      </w:r>
    </w:p>
    <w:p w:rsidR="008D05DD">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8D05DD">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8D05DD">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8D05D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8D05DD">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8D05DD">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8D05DD">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8D05DD">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8D05DD">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8D05DD">
      <w:pPr>
        <w:tabs>
          <w:tab w:val="left" w:pos="1573"/>
        </w:tabs>
        <w:adjustRightInd w:val="0"/>
        <w:snapToGrid w:val="0"/>
        <w:ind w:firstLine="315" w:firstLineChars="150"/>
        <w:jc w:val="left"/>
        <w:rPr>
          <w:rFonts w:ascii="宋体" w:eastAsia="宋体" w:hAnsi="宋体" w:cs="Times New Roman"/>
          <w:szCs w:val="21"/>
          <w:u w:val="single"/>
        </w:rPr>
      </w:pPr>
    </w:p>
    <w:p w:rsidR="008D05DD">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8D05DD">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8D05DD">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8D05DD">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8D05DD">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8D05DD">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8D05DD">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8D05DD">
      <w:pPr>
        <w:tabs>
          <w:tab w:val="left" w:pos="1573"/>
        </w:tabs>
        <w:adjustRightInd w:val="0"/>
        <w:snapToGrid w:val="0"/>
        <w:spacing w:line="360" w:lineRule="auto"/>
        <w:ind w:firstLine="420" w:firstLineChars="200"/>
        <w:jc w:val="left"/>
        <w:rPr>
          <w:rFonts w:ascii="宋体" w:eastAsia="宋体" w:hAnsi="宋体" w:cs="Times New Roman"/>
          <w:b/>
          <w:szCs w:val="28"/>
        </w:rPr>
      </w:pPr>
    </w:p>
    <w:p w:rsidR="008D05DD">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8D05D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w:t>
      </w:r>
      <w:r>
        <w:rPr>
          <w:rFonts w:ascii="宋体" w:eastAsia="宋体" w:hAnsi="宋体" w:cs="Times New Roman" w:hint="eastAsia"/>
          <w:szCs w:val="21"/>
        </w:rPr>
        <w:t>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8D05DD">
      <w:pPr>
        <w:tabs>
          <w:tab w:val="left" w:pos="1573"/>
        </w:tabs>
        <w:adjustRightInd w:val="0"/>
        <w:snapToGrid w:val="0"/>
        <w:spacing w:line="360" w:lineRule="auto"/>
        <w:ind w:firstLine="412" w:firstLineChars="196"/>
        <w:jc w:val="left"/>
        <w:rPr>
          <w:rFonts w:ascii="宋体" w:eastAsia="宋体" w:hAnsi="宋体" w:cs="Times New Roman"/>
          <w:b/>
          <w:szCs w:val="28"/>
        </w:rPr>
      </w:pPr>
    </w:p>
    <w:p w:rsidR="008D05DD">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8D05DD">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8D05DD">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8D05DD">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8D05DD">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p>
    <w:p w:rsidR="008D05DD">
      <w:pPr>
        <w:widowControl/>
        <w:jc w:val="left"/>
        <w:rPr>
          <w:rFonts w:ascii="宋体" w:eastAsia="宋体" w:hAnsi="宋体" w:cs="Times New Roman"/>
          <w:b/>
          <w:szCs w:val="21"/>
        </w:rPr>
      </w:pPr>
      <w:r>
        <w:rPr>
          <w:rFonts w:ascii="宋体" w:eastAsia="宋体" w:hAnsi="宋体" w:cs="Times New Roman"/>
          <w:b/>
          <w:szCs w:val="21"/>
        </w:rPr>
        <w:br w:type="page"/>
      </w:r>
    </w:p>
    <w:p w:rsidR="008D05DD">
      <w:pPr>
        <w:spacing w:line="360" w:lineRule="auto"/>
        <w:jc w:val="left"/>
        <w:rPr>
          <w:rFonts w:ascii="Times New Roman" w:eastAsia="宋体" w:hAnsi="Times New Roman" w:cs="Times New Roman"/>
          <w:b/>
          <w:bCs/>
          <w:sz w:val="44"/>
          <w:szCs w:val="44"/>
        </w:rPr>
      </w:pPr>
    </w:p>
    <w:p w:rsidR="008D05DD">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8D05DD">
      <w:pPr>
        <w:tabs>
          <w:tab w:val="left" w:pos="1573"/>
        </w:tabs>
        <w:snapToGrid w:val="0"/>
        <w:spacing w:line="360" w:lineRule="auto"/>
        <w:jc w:val="center"/>
        <w:rPr>
          <w:rFonts w:ascii="宋体" w:eastAsia="宋体" w:hAnsi="宋体" w:cs="Times New Roman"/>
          <w:szCs w:val="21"/>
        </w:rPr>
      </w:pPr>
    </w:p>
    <w:p w:rsidR="008D05DD">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8D05D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合同条款</w:t>
      </w:r>
      <w:r>
        <w:rPr>
          <w:rFonts w:ascii="宋体" w:eastAsia="宋体" w:hAnsi="宋体" w:cs="Times New Roman" w:hint="eastAsia"/>
          <w:szCs w:val="21"/>
        </w:rPr>
        <w:t>通用部分</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8D05DD">
      <w:pPr>
        <w:numPr>
          <w:ilvl w:val="0"/>
          <w:numId w:val="13"/>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8D05DD">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8D05DD">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8D05DD">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8D05DD">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8D05DD">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w:t>
      </w:r>
      <w:r>
        <w:rPr>
          <w:rFonts w:ascii="宋体" w:eastAsia="宋体" w:hAnsi="宋体" w:cs="Times New Roman" w:hint="eastAsia"/>
          <w:kern w:val="0"/>
          <w:szCs w:val="20"/>
        </w:rPr>
        <w:t>最终结款。</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w:t>
      </w:r>
      <w:r>
        <w:rPr>
          <w:rFonts w:ascii="宋体" w:eastAsia="宋体" w:hAnsi="宋体" w:cs="Times New Roman" w:hint="eastAsia"/>
          <w:szCs w:val="21"/>
        </w:rPr>
        <w:t>任何及所有责任均应当全部给予赔偿。</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8D05DD">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8D05DD">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8D05DD">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r>
        <w:rPr>
          <w:rFonts w:ascii="宋体" w:eastAsia="宋体" w:hAnsi="宋体" w:cs="Times New Roman" w:hint="eastAsia"/>
          <w:szCs w:val="21"/>
        </w:rPr>
        <w:t>，守约方有权解除合同，并要求违约方赔偿由此造成的损失。</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w:t>
      </w:r>
      <w:r>
        <w:rPr>
          <w:rFonts w:ascii="宋体" w:eastAsia="宋体" w:hAnsi="宋体" w:cs="Times New Roman" w:hint="eastAsia"/>
          <w:szCs w:val="21"/>
        </w:rPr>
        <w:t>三方提供或者转让项目资料的；</w:t>
      </w:r>
    </w:p>
    <w:p w:rsidR="008D05DD">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8D05DD">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8D05DD">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w:t>
      </w:r>
      <w:r>
        <w:rPr>
          <w:rFonts w:ascii="宋体" w:eastAsia="宋体" w:hAnsi="宋体" w:cs="Times New Roman" w:hint="eastAsia"/>
          <w:szCs w:val="21"/>
        </w:rPr>
        <w:t>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8D05DD">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w:t>
      </w:r>
      <w:r>
        <w:rPr>
          <w:rFonts w:ascii="宋体" w:eastAsia="宋体" w:hAnsi="宋体" w:cs="Times New Roman" w:hint="eastAsia"/>
          <w:szCs w:val="21"/>
        </w:rPr>
        <w:t>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w:t>
      </w:r>
      <w:r>
        <w:rPr>
          <w:rFonts w:ascii="宋体" w:eastAsia="宋体" w:hAnsi="宋体" w:cs="Times New Roman" w:hint="eastAsia"/>
          <w:szCs w:val="21"/>
        </w:rPr>
        <w:t>、动乱、瘟疫、严重火灾、洪水、地震、风暴或其他自然灾害，以及本合同各方不可预见、不可防止并不能避免或克服的一切其他因素及事件。</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w:t>
      </w:r>
      <w:r>
        <w:rPr>
          <w:rFonts w:ascii="宋体" w:eastAsia="宋体" w:hAnsi="宋体" w:cs="Times New Roman" w:hint="eastAsia"/>
          <w:szCs w:val="21"/>
        </w:rPr>
        <w:t>为送达；如果以传真方式发送，发件人在收到传真报告后视为送达；如果采用电话或电子邮件的方式，则应在发送后由对方以书面方式予以确认。</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w:t>
      </w:r>
      <w:r>
        <w:rPr>
          <w:rFonts w:ascii="宋体" w:eastAsia="宋体" w:hAnsi="宋体" w:cs="Times New Roman" w:hint="eastAsia"/>
          <w:szCs w:val="21"/>
        </w:rPr>
        <w:t>密负有保密义务。</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中标人已经泄露或公开的，无须再承担保密责任。</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w:t>
      </w:r>
      <w:r>
        <w:rPr>
          <w:rFonts w:ascii="宋体" w:eastAsia="宋体" w:hAnsi="宋体" w:cs="Times New Roman" w:hint="eastAsia"/>
          <w:szCs w:val="21"/>
        </w:rPr>
        <w:t>密和国家秘密。保密期限自任何一方获知该商业秘密和国家秘密之日起至本条规定的秘密成为公众信息之日止。</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、对本合同的任何解释均应以书面作出。</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8D05D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w:t>
      </w:r>
      <w:r>
        <w:rPr>
          <w:rFonts w:ascii="宋体" w:eastAsia="宋体" w:hAnsi="宋体" w:cs="Times New Roman" w:hint="eastAsia"/>
          <w:szCs w:val="21"/>
        </w:rPr>
        <w:t>本合同因下列原因而终止：</w:t>
      </w:r>
    </w:p>
    <w:p w:rsidR="008D05D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8D05D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8D05D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8D05D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w:t>
      </w:r>
      <w:r>
        <w:rPr>
          <w:rFonts w:ascii="宋体" w:eastAsia="宋体" w:hAnsi="宋体" w:cs="Times New Roman" w:hint="eastAsia"/>
          <w:szCs w:val="21"/>
        </w:rPr>
        <w:t>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w:t>
      </w:r>
      <w:r>
        <w:rPr>
          <w:rFonts w:ascii="宋体" w:eastAsia="宋体" w:hAnsi="宋体" w:cs="Times New Roman" w:hint="eastAsia"/>
          <w:szCs w:val="21"/>
        </w:rPr>
        <w:t>败诉方承担。</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8D05DD">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w:t>
      </w:r>
      <w:r>
        <w:rPr>
          <w:rFonts w:ascii="宋体" w:eastAsia="宋体" w:hAnsi="宋体" w:cs="Times New Roman" w:hint="eastAsia"/>
          <w:szCs w:val="21"/>
        </w:rPr>
        <w:t>和变化以及对合同条款的影响等。</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w:t>
      </w:r>
      <w:r>
        <w:rPr>
          <w:rFonts w:ascii="宋体" w:eastAsia="宋体" w:hAnsi="宋体" w:cs="Times New Roman" w:hint="eastAsia"/>
          <w:szCs w:val="21"/>
        </w:rPr>
        <w:t>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8D05DD">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8D05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8D05DD">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8D05D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w:t>
      </w:r>
      <w:r>
        <w:rPr>
          <w:rFonts w:ascii="宋体" w:eastAsia="宋体" w:hAnsi="宋体" w:cs="Times New Roman" w:hint="eastAsia"/>
          <w:szCs w:val="21"/>
        </w:rPr>
        <w:t>服务委托等须事先取得采购人书面同意并且须遵守相关法律、法规；有关联合投标须在本次招标允许的情况下并须符合本次招标的全部规定。</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8D05D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、本合同涉及的招标文件和投标文件，正本由中国气象局政府采购中心保存。</w:t>
      </w:r>
    </w:p>
    <w:p w:rsidR="008D05DD">
      <w:pPr>
        <w:tabs>
          <w:tab w:val="left" w:pos="1573"/>
        </w:tabs>
        <w:adjustRightInd w:val="0"/>
        <w:snapToGrid w:val="0"/>
        <w:spacing w:line="360" w:lineRule="auto"/>
        <w:ind w:firstLine="412" w:firstLineChars="196"/>
        <w:jc w:val="left"/>
        <w:rPr>
          <w:rFonts w:ascii="宋体" w:eastAsia="宋体" w:hAnsi="宋体" w:cs="Times New Roman"/>
          <w:szCs w:val="21"/>
        </w:rPr>
      </w:pPr>
    </w:p>
    <w:p w:rsidR="008D05DD"/>
    <w:p w:rsidR="00A77B3E"/>
    <w:p>
      <w:pPr>
        <w:spacing w:line="360" w:lineRule="auto"/>
        <w:ind w:firstLine="3066" w:firstLineChars="1460"/>
        <w:jc w:val="left"/>
        <w:rPr>
          <w:b/>
          <w:bCs/>
          <w:szCs w:val="21"/>
          <w:highlight w:val="none"/>
        </w:rPr>
      </w:pPr>
      <w:bookmarkEnd w:id="105"/>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variable"/>
    <w:sig w:usb0="00000203" w:usb1="288F0000" w:usb2="00000006" w:usb3="00000000" w:csb0="00040001" w:csb1="00000000"/>
  </w:font>
  <w:font w:name="Arial">
    <w:altName w:val="Times New Roman"/>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等线">
    <w:altName w:val="微软雅黑"/>
    <w:panose1 w:val="02010600030101010101"/>
    <w:charset w:val="00"/>
    <w:family w:val="auto"/>
    <w:pitch w:val="default"/>
    <w:sig w:usb0="00000000" w:usb1="00000000" w:usb2="00000016" w:usb3="00000000" w:csb0="0004000F" w:csb1="00000000"/>
  </w:font>
  <w:font w:name="Microsoft YaHei">
    <w:panose1 w:val="020B0503020204020204"/>
    <w:charset w:val="86"/>
    <w:family w:val="auto"/>
    <w:pitch w:val="default"/>
    <w:sig w:usb0="80000287" w:usb1="280F3C52"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FDCC6D"/>
    <w:multiLevelType w:val="multilevel"/>
    <w:tmpl w:val="83FDCC6D"/>
    <w:lvl w:ilvl="0">
      <w:start w:val="1"/>
      <w:numFmt w:val="decimal"/>
      <w:lvlText w:val="%1."/>
      <w:lvlJc w:val="left"/>
      <w:pPr>
        <w:ind w:left="425" w:hanging="425"/>
      </w:pPr>
    </w:lvl>
    <w:lvl w:ilvl="1">
      <w:start w:val="1"/>
      <w:numFmt w:val="decimal"/>
      <w:lvlText w:val="%1.%2."/>
      <w:lvlJc w:val="left"/>
      <w:pPr>
        <w:ind w:left="16" w:hanging="16"/>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nsid w:val="93FE6617"/>
    <w:multiLevelType w:val="singleLevel"/>
    <w:tmpl w:val="93FE6617"/>
    <w:lvl w:ilvl="0">
      <w:start w:val="1"/>
      <w:numFmt w:val="decimal"/>
      <w:lvlText w:val="%1."/>
      <w:lvlJc w:val="left"/>
      <w:pPr>
        <w:tabs>
          <w:tab w:val="left" w:pos="880"/>
        </w:tabs>
      </w:pPr>
    </w:lvl>
  </w:abstractNum>
  <w:abstractNum w:abstractNumId="2">
    <w:nsid w:val="9BDEECA8"/>
    <w:multiLevelType w:val="singleLevel"/>
    <w:tmpl w:val="9BDEECA8"/>
    <w:lvl w:ilvl="0">
      <w:start w:val="9"/>
      <w:numFmt w:val="chineseCounting"/>
      <w:suff w:val="space"/>
      <w:lvlText w:val="第%1章"/>
      <w:lvlJc w:val="left"/>
      <w:rPr>
        <w:rFonts w:hint="eastAsia"/>
      </w:rPr>
    </w:lvl>
  </w:abstractNum>
  <w:abstractNum w:abstractNumId="3">
    <w:nsid w:val="AF656DE8"/>
    <w:multiLevelType w:val="singleLevel"/>
    <w:tmpl w:val="AF656DE8"/>
    <w:lvl w:ilvl="0">
      <w:start w:val="1"/>
      <w:numFmt w:val="bullet"/>
      <w:lvlText w:val=""/>
      <w:lvlJc w:val="left"/>
      <w:pPr>
        <w:ind w:left="420" w:hanging="420"/>
      </w:pPr>
      <w:rPr>
        <w:rFonts w:ascii="Wingdings" w:hAnsi="Wingdings" w:hint="default"/>
      </w:rPr>
    </w:lvl>
  </w:abstractNum>
  <w:abstractNum w:abstractNumId="4">
    <w:nsid w:val="DD306ED1"/>
    <w:multiLevelType w:val="multilevel"/>
    <w:tmpl w:val="DD306ED1"/>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64CF424"/>
    <w:multiLevelType w:val="singleLevel"/>
    <w:tmpl w:val="164CF424"/>
    <w:lvl w:ilvl="0">
      <w:start w:val="1"/>
      <w:numFmt w:val="decimal"/>
      <w:suff w:val="nothing"/>
      <w:lvlText w:val="（%1）"/>
      <w:lvlJc w:val="left"/>
    </w:lvl>
  </w:abstractNum>
  <w:abstractNum w:abstractNumId="9">
    <w:nsid w:val="1A6F3CC2"/>
    <w:multiLevelType w:val="multilevel"/>
    <w:tmpl w:val="1A6F3CC2"/>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0">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1">
    <w:nsid w:val="2E616CF6"/>
    <w:multiLevelType w:val="multilevel"/>
    <w:tmpl w:val="2E616CF6"/>
    <w:lvl w:ilvl="0">
      <w:start w:val="1"/>
      <w:numFmt w:val="bullet"/>
      <w:lvlText w:val=""/>
      <w:lvlJc w:val="left"/>
      <w:pPr>
        <w:ind w:left="105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69CA7FC"/>
    <w:multiLevelType w:val="singleLevel"/>
    <w:tmpl w:val="369CA7FC"/>
    <w:lvl w:ilvl="0">
      <w:start w:val="1"/>
      <w:numFmt w:val="decimal"/>
      <w:suff w:val="nothing"/>
      <w:lvlText w:val="（%1）"/>
      <w:lvlJc w:val="left"/>
    </w:lvl>
  </w:abstractNum>
  <w:num w:numId="1">
    <w:abstractNumId w:val="6"/>
  </w:num>
  <w:num w:numId="2">
    <w:abstractNumId w:val="5"/>
  </w:num>
  <w:num w:numId="3">
    <w:abstractNumId w:val="7"/>
  </w:num>
  <w:num w:numId="4">
    <w:abstractNumId w:val="0"/>
  </w:num>
  <w:num w:numId="5">
    <w:abstractNumId w:val="3"/>
  </w:num>
  <w:num w:numId="6">
    <w:abstractNumId w:val="9"/>
  </w:num>
  <w:num w:numId="7">
    <w:abstractNumId w:val="8"/>
  </w:num>
  <w:num w:numId="8">
    <w:abstractNumId w:val="11"/>
  </w:num>
  <w:num w:numId="9">
    <w:abstractNumId w:val="4"/>
  </w:num>
  <w:num w:numId="10">
    <w:abstractNumId w:val="13"/>
  </w:num>
  <w:num w:numId="11">
    <w:abstractNumId w:val="2"/>
  </w:num>
  <w:num w:numId="12">
    <w:abstractNumId w:val="1"/>
  </w:num>
  <w:num w:numId="13">
    <w:abstractNumId w:val="10"/>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230A"/>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05DD"/>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564A"/>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B">
    <w:name w:val="B正文"/>
    <w:qFormat/>
    <w:pPr>
      <w:widowControl w:val="0"/>
      <w:spacing w:line="360" w:lineRule="auto"/>
      <w:ind w:firstLine="200" w:firstLineChars="200"/>
    </w:pPr>
    <w:rPr>
      <w:bCs/>
      <w:kern w:val="2"/>
      <w:sz w:val="28"/>
      <w:szCs w:val="28"/>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