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X波段全固态双偏振天气雷达购置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中国气象局武汉暴雨研究所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X波段全固态双偏振天气雷达购置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中国气象局武汉暴雨研究所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张文刚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027-81804913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湖北省武汉市东湖新技术开发区金融港二路6号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中国气象局武汉暴雨研究所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设有，核心产品为X波段双线偏振多普勒天气雷达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标的：X波段全固态双偏振天气雷达，属于工业行业；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335.000000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(5)</w:t>
            </w:r>
          </w:p>
        </w:tc>
        <w:tc>
          <w:tcPr/>
          <w:p>
            <w:r>
              <w:t>评审标准：</w:t>
            </w:r>
          </w:p>
          <w:p>
            <w:r>
              <w:t>投标人具备天气雷达协同组网应用软件开发能力，并提供协同组网原始取得软件著作权登记证书的，每具备1个得1分，本项最多得5分。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销售合同必须包括X波段双偏振天气雷达，每提供1份合同得1分，最多得5分。否则不得分。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根据投标人提供的培训承诺及方案进行评分。具体标准评分如下：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针对本项目采购的X波段双偏振天气雷达，</w:t>
              <w:cr/>
              <w:t>承诺每提前1天交货的得0.2分，最多得1分。否则不得分。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(5)</w:t>
            </w:r>
          </w:p>
        </w:tc>
        <w:tc>
          <w:tcPr/>
          <w:p>
            <w:r>
              <w:t>评审标准：</w:t>
            </w:r>
          </w:p>
          <w:p>
            <w:r>
              <w:t>1、项目负责人1名：具有电子信息/电子技术/机械工程/气象等雷达制造相关专业高级及以上专业技术职称的，得2分；</w:t>
              <w:cr/>
              <w:t>2、技术负责人1名：具有电子信息/电子技术/机械工程/气象等雷达制造相关专业高级及以上专业技术职称的，得1分；</w:t>
              <w:cr/>
              <w:t>3、除项目负责人和技术负责人外，项目团队每有一位成员专业为大气科学或气象学方向的得 1 分，最高得 2 分，未提供不得分。</w:t>
            </w:r>
          </w:p>
          <w:p>
            <w:r>
              <w:t>评审标准说明：</w:t>
            </w:r>
          </w:p>
          <w:p>
            <w:r>
              <w:t>一人持有多证的，不重复计分。负责人须提供职称证书复印件、团队人员须提供毕业证复印件；全员提供在投标人近6个月内任一个月的社保缴纳证明，并加盖投标人公章。（因公司成立时间或员工入职时间不足1月的，可提供劳动（务）合同复印件）。</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(36)</w:t>
            </w:r>
          </w:p>
        </w:tc>
        <w:tc>
          <w:tcPr/>
          <w:p>
            <w:r>
              <w:t>评审标准：</w:t>
            </w:r>
          </w:p>
          <w:p>
            <w:r>
              <w:t>标注#的重要指标共18项，每满足1项（如有多个下级指标，则每个下级指标均应满足）得2分，满分36分。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投标产品的环境适应性（客观分）</w:t>
            </w:r>
          </w:p>
        </w:tc>
        <w:tc>
          <w:tcPr/>
          <w:p>
            <w:r>
              <w:t>勾选打分</w:t>
            </w:r>
            <w:r>
              <w:t>(3)</w:t>
            </w:r>
          </w:p>
        </w:tc>
        <w:tc>
          <w:tcPr/>
          <w:p>
            <w:r>
              <w:t>评审标准：</w:t>
            </w:r>
          </w:p>
          <w:p>
            <w:r>
              <w:t>投标人提供针对X波段双偏振天气雷达的环境适应性测试报告，测试报告应涵盖沙尘、振动、辐射抗扰等内容，每包含一项得1分，最多得3分。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12</w:t>
            </w:r>
          </w:p>
        </w:tc>
        <w:tc>
          <w:tcPr>
            <w:vMerge/>
          </w:tcPr>
          <w:p>
            <w:r>
              <w:t>技术部分</w:t>
            </w:r>
          </w:p>
        </w:tc>
        <w:tc>
          <w:tcPr/>
          <w:p>
            <w:r>
              <w:t>投标产品软件兼容性（客观分）</w:t>
            </w:r>
          </w:p>
        </w:tc>
        <w:tc>
          <w:tcPr/>
          <w:p>
            <w:r>
              <w:t>勾选打分</w:t>
            </w:r>
            <w:r>
              <w:t>(5)</w:t>
            </w:r>
          </w:p>
        </w:tc>
        <w:tc>
          <w:tcPr/>
          <w:p>
            <w:r>
              <w:t>评审标准：</w:t>
            </w:r>
          </w:p>
          <w:p>
            <w:r>
              <w:t>投标人每提供一个3部及以上天气雷达（s/c/x波段）组网协同监测预警应用案例的，得1分，最高得5分。</w:t>
            </w:r>
          </w:p>
          <w:p>
            <w:r>
              <w:t>评审标准说明：</w:t>
            </w:r>
          </w:p>
          <w:p>
            <w:r>
              <w:t>投标人需提供探测应用案例证明材料，包括但不限于已部署应用的具备组网、协同和预警相关功能的二次应用软件产品界面彩色截图（需标明雷达站址和应用区域）、应用案例说明等，不提供不得分。</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A133B9">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A133B9">
      <w:pPr>
        <w:spacing w:line="360" w:lineRule="auto"/>
        <w:ind w:firstLine="420" w:firstLineChars="200"/>
        <w:rPr>
          <w:rFonts w:ascii="宋体" w:hAnsi="宋体"/>
          <w:szCs w:val="21"/>
        </w:rPr>
      </w:pPr>
      <w:r>
        <w:rPr>
          <w:rFonts w:ascii="宋体" w:hAnsi="宋体" w:hint="eastAsia"/>
          <w:szCs w:val="21"/>
        </w:rPr>
        <w:t>一、项目概况及总体要求</w:t>
      </w:r>
    </w:p>
    <w:p w:rsidR="00A133B9">
      <w:pPr>
        <w:spacing w:line="360" w:lineRule="auto"/>
        <w:ind w:firstLine="420" w:firstLineChars="200"/>
        <w:rPr>
          <w:rFonts w:ascii="宋体" w:hAnsi="宋体"/>
          <w:szCs w:val="21"/>
        </w:rPr>
      </w:pPr>
      <w:r>
        <w:rPr>
          <w:rFonts w:ascii="宋体" w:hAnsi="宋体" w:hint="eastAsia"/>
          <w:szCs w:val="21"/>
        </w:rPr>
        <w:t>1.1.</w:t>
      </w:r>
      <w:r>
        <w:rPr>
          <w:rFonts w:ascii="宋体" w:hAnsi="宋体" w:hint="eastAsia"/>
          <w:szCs w:val="21"/>
        </w:rPr>
        <w:t>项目概况</w:t>
      </w:r>
    </w:p>
    <w:p w:rsidR="00A133B9">
      <w:pPr>
        <w:spacing w:line="360" w:lineRule="auto"/>
        <w:ind w:firstLine="420" w:firstLineChars="200"/>
        <w:rPr>
          <w:rFonts w:ascii="宋体" w:hAnsi="宋体"/>
          <w:szCs w:val="21"/>
        </w:rPr>
      </w:pPr>
      <w:r>
        <w:rPr>
          <w:rFonts w:ascii="宋体" w:hAnsi="宋体" w:hint="eastAsia"/>
          <w:szCs w:val="21"/>
        </w:rPr>
        <w:t>项目计划购置</w:t>
      </w:r>
      <w:r>
        <w:rPr>
          <w:rFonts w:ascii="宋体" w:hAnsi="宋体" w:hint="eastAsia"/>
          <w:szCs w:val="21"/>
        </w:rPr>
        <w:t>1</w:t>
      </w:r>
      <w:r>
        <w:rPr>
          <w:rFonts w:ascii="宋体" w:hAnsi="宋体" w:hint="eastAsia"/>
          <w:szCs w:val="21"/>
        </w:rPr>
        <w:t>部</w:t>
      </w:r>
      <w:r>
        <w:rPr>
          <w:rFonts w:ascii="宋体" w:hAnsi="宋体" w:hint="eastAsia"/>
          <w:szCs w:val="21"/>
        </w:rPr>
        <w:t>X</w:t>
      </w:r>
      <w:r>
        <w:rPr>
          <w:rFonts w:ascii="宋体" w:hAnsi="宋体" w:hint="eastAsia"/>
          <w:szCs w:val="21"/>
        </w:rPr>
        <w:t>波段全</w:t>
      </w:r>
      <w:r>
        <w:rPr>
          <w:rFonts w:ascii="宋体" w:hAnsi="宋体" w:hint="eastAsia"/>
          <w:szCs w:val="21"/>
        </w:rPr>
        <w:t>固态双</w:t>
      </w:r>
      <w:r>
        <w:rPr>
          <w:rFonts w:ascii="宋体" w:hAnsi="宋体" w:hint="eastAsia"/>
          <w:szCs w:val="21"/>
        </w:rPr>
        <w:t>偏振天气雷达，采用双线偏振模式，包括天线罩、天线、伺服、发射机、馈线、接收机、配电机柜（综合机柜）、雷达系统软件、雷达标准输入输出子系统等。辅助设施包括</w:t>
      </w:r>
      <w:r>
        <w:rPr>
          <w:rFonts w:ascii="宋体" w:hAnsi="宋体" w:hint="eastAsia"/>
          <w:szCs w:val="21"/>
        </w:rPr>
        <w:t>UPS</w:t>
      </w:r>
      <w:r>
        <w:rPr>
          <w:rFonts w:ascii="宋体" w:hAnsi="宋体" w:hint="eastAsia"/>
          <w:szCs w:val="21"/>
        </w:rPr>
        <w:t>不间断电源、雷达设备防雷设施等。</w:t>
      </w:r>
    </w:p>
    <w:p w:rsidR="00A133B9">
      <w:pPr>
        <w:spacing w:line="360" w:lineRule="auto"/>
        <w:ind w:firstLine="420" w:firstLineChars="200"/>
        <w:rPr>
          <w:rFonts w:ascii="宋体" w:hAnsi="宋体"/>
          <w:szCs w:val="21"/>
        </w:rPr>
      </w:pPr>
      <w:r>
        <w:rPr>
          <w:rFonts w:ascii="宋体" w:hAnsi="宋体" w:hint="eastAsia"/>
          <w:szCs w:val="21"/>
        </w:rPr>
        <w:t>雷达站与周边业务</w:t>
      </w:r>
      <w:r>
        <w:rPr>
          <w:rFonts w:ascii="宋体" w:hAnsi="宋体" w:hint="eastAsia"/>
          <w:szCs w:val="21"/>
        </w:rPr>
        <w:t>S</w:t>
      </w:r>
      <w:r>
        <w:rPr>
          <w:rFonts w:ascii="宋体" w:hAnsi="宋体" w:hint="eastAsia"/>
          <w:szCs w:val="21"/>
        </w:rPr>
        <w:t>波段双</w:t>
      </w:r>
      <w:r>
        <w:rPr>
          <w:rFonts w:ascii="宋体" w:hAnsi="宋体" w:hint="eastAsia"/>
          <w:szCs w:val="21"/>
        </w:rPr>
        <w:t>偏振雷达和</w:t>
      </w:r>
      <w:r>
        <w:rPr>
          <w:rFonts w:ascii="宋体" w:hAnsi="宋体" w:hint="eastAsia"/>
          <w:szCs w:val="21"/>
        </w:rPr>
        <w:t>X</w:t>
      </w:r>
      <w:r>
        <w:rPr>
          <w:rFonts w:ascii="宋体" w:hAnsi="宋体" w:hint="eastAsia"/>
          <w:szCs w:val="21"/>
        </w:rPr>
        <w:t>波段双</w:t>
      </w:r>
      <w:r>
        <w:rPr>
          <w:rFonts w:ascii="宋体" w:hAnsi="宋体" w:hint="eastAsia"/>
          <w:szCs w:val="21"/>
        </w:rPr>
        <w:t>偏振雷达组网，实施开展多波段天气雷达协同观测，为针对快速演变的强对流系统开展跟踪观测与机理研究奠定了良好的观测试验基础。</w:t>
      </w:r>
    </w:p>
    <w:p w:rsidR="00A133B9">
      <w:pPr>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rPr>
        <w:t>总体要求</w:t>
      </w:r>
    </w:p>
    <w:p w:rsidR="00A133B9">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）投标人提供的设备与软件必须满足标书提出的功能和规格描述。</w:t>
      </w:r>
    </w:p>
    <w:p w:rsidR="00A133B9">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）投标人提供的系统软、硬件的性能应达到或超过招标书所列技术指标。投标人在响应建议中必须就有关技术指标列出具体数值，否则将视为不符合技术性能需求。</w:t>
      </w:r>
    </w:p>
    <w:p w:rsidR="00A133B9">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）投标人的设备报价表应尽量具体详细，报价表中要明确设备厂家、型号和价格等。</w:t>
      </w:r>
    </w:p>
    <w:p w:rsidR="00A133B9">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）所列性能指标要求只是最低标准，还需要考察性能高低和方案（包括技术和售后服务）优劣以及设备价格，择性价比最优者选用。</w:t>
      </w:r>
    </w:p>
    <w:p w:rsidR="00A133B9">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）供货商提供的设备的性能指标，按照投标时厂家公开公布的实际性能指标参数如实填写，填写“将来支</w:t>
      </w:r>
      <w:r>
        <w:rPr>
          <w:rFonts w:ascii="宋体" w:hAnsi="宋体" w:hint="eastAsia"/>
          <w:szCs w:val="21"/>
        </w:rPr>
        <w:t>持或未来支持等不确切的性能指标参数”，即为不支持；若发现弄虚作假，即废标，并追究投标人和生产厂家递交虚假资料的法律责任。</w:t>
      </w:r>
    </w:p>
    <w:p w:rsidR="00A133B9">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A133B9">
      <w:pPr>
        <w:spacing w:line="360" w:lineRule="auto"/>
        <w:ind w:firstLine="420" w:firstLineChars="200"/>
        <w:rPr>
          <w:rFonts w:ascii="宋体" w:hAnsi="宋体"/>
          <w:szCs w:val="21"/>
        </w:rPr>
      </w:pPr>
      <w:r>
        <w:rPr>
          <w:rFonts w:ascii="宋体" w:hAnsi="宋体" w:hint="eastAsia"/>
          <w:szCs w:val="21"/>
        </w:rPr>
        <w:t>三、技术性能指标</w:t>
      </w:r>
    </w:p>
    <w:p w:rsidR="00A133B9">
      <w:pPr>
        <w:spacing w:line="360" w:lineRule="auto"/>
        <w:ind w:firstLine="420" w:firstLineChars="200"/>
        <w:rPr>
          <w:rFonts w:ascii="宋体" w:hAnsi="宋体"/>
          <w:b/>
          <w:bCs/>
          <w:szCs w:val="21"/>
        </w:rPr>
      </w:pPr>
      <w:r>
        <w:rPr>
          <w:rFonts w:ascii="宋体" w:hAnsi="宋体" w:hint="eastAsia"/>
          <w:b/>
          <w:bCs/>
          <w:szCs w:val="21"/>
        </w:rPr>
        <w:t>3.1.</w:t>
      </w:r>
      <w:r>
        <w:rPr>
          <w:rFonts w:ascii="宋体" w:hAnsi="宋体" w:hint="eastAsia"/>
          <w:b/>
          <w:bCs/>
          <w:szCs w:val="21"/>
        </w:rPr>
        <w:t>雷达总体性能指标</w:t>
      </w:r>
    </w:p>
    <w:p w:rsidR="00A133B9">
      <w:pPr>
        <w:spacing w:line="360" w:lineRule="auto"/>
        <w:ind w:firstLine="420" w:firstLineChars="200"/>
        <w:rPr>
          <w:rFonts w:ascii="宋体" w:hAnsi="宋体"/>
          <w:szCs w:val="21"/>
        </w:rPr>
      </w:pPr>
      <w:r>
        <w:rPr>
          <w:rFonts w:ascii="宋体" w:hAnsi="宋体" w:hint="eastAsia"/>
          <w:szCs w:val="21"/>
        </w:rPr>
        <w:t>X</w:t>
      </w:r>
      <w:r>
        <w:rPr>
          <w:rFonts w:ascii="宋体" w:hAnsi="宋体" w:hint="eastAsia"/>
          <w:szCs w:val="21"/>
        </w:rPr>
        <w:t>波段天气雷达系统主要技术性能指标至少满足《</w:t>
      </w:r>
      <w:r>
        <w:rPr>
          <w:rFonts w:ascii="宋体" w:hAnsi="宋体" w:hint="eastAsia"/>
          <w:szCs w:val="21"/>
        </w:rPr>
        <w:t>X</w:t>
      </w:r>
      <w:r>
        <w:rPr>
          <w:rFonts w:ascii="宋体" w:hAnsi="宋体" w:hint="eastAsia"/>
          <w:szCs w:val="21"/>
        </w:rPr>
        <w:t>波段双线偏振多普勒天气雷达系统功能规格需求书（第一版）》（</w:t>
      </w:r>
      <w:r>
        <w:rPr>
          <w:rFonts w:ascii="宋体" w:hAnsi="宋体" w:hint="eastAsia"/>
          <w:szCs w:val="21"/>
        </w:rPr>
        <w:t>气测函〔</w:t>
      </w:r>
      <w:r>
        <w:rPr>
          <w:rFonts w:ascii="宋体" w:hAnsi="宋体" w:hint="eastAsia"/>
          <w:szCs w:val="21"/>
        </w:rPr>
        <w:t>2019</w:t>
      </w:r>
      <w:r>
        <w:rPr>
          <w:rFonts w:ascii="宋体" w:hAnsi="宋体" w:hint="eastAsia"/>
          <w:szCs w:val="21"/>
        </w:rPr>
        <w:t>〕</w:t>
      </w:r>
      <w:r>
        <w:rPr>
          <w:rFonts w:ascii="宋体" w:hAnsi="宋体" w:hint="eastAsia"/>
          <w:szCs w:val="21"/>
        </w:rPr>
        <w:t>36</w:t>
      </w:r>
      <w:r>
        <w:rPr>
          <w:rFonts w:ascii="宋体" w:hAnsi="宋体" w:hint="eastAsia"/>
          <w:szCs w:val="21"/>
        </w:rPr>
        <w:t>号）要求，详见下表。</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8"/>
        <w:gridCol w:w="2038"/>
        <w:gridCol w:w="510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06"/>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项目</w:t>
            </w:r>
          </w:p>
        </w:tc>
        <w:tc>
          <w:tcPr>
            <w:tcW w:w="5104" w:type="dxa"/>
            <w:tcBorders>
              <w:top w:val="single" w:sz="4" w:space="0" w:color="auto"/>
              <w:left w:val="single" w:sz="4" w:space="0" w:color="auto"/>
              <w:right w:val="single" w:sz="4" w:space="0" w:color="auto"/>
            </w:tcBorders>
            <w:vAlign w:val="center"/>
          </w:tcPr>
          <w:p w:rsidR="00A133B9">
            <w:pPr>
              <w:spacing w:line="380" w:lineRule="exact"/>
              <w:jc w:val="center"/>
            </w:pPr>
            <w:r>
              <w:rPr>
                <w:rFonts w:hint="eastAsia"/>
              </w:rPr>
              <w:t>性能指标</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雷达体制</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全</w:t>
            </w:r>
            <w:r>
              <w:rPr>
                <w:rFonts w:hint="eastAsia"/>
              </w:rPr>
              <w:t>固态双偏阵</w:t>
            </w:r>
            <w:r>
              <w:rPr>
                <w:rFonts w:hint="eastAsia"/>
              </w:rPr>
              <w:t>X</w:t>
            </w:r>
            <w:r>
              <w:rPr>
                <w:rFonts w:hint="eastAsia"/>
              </w:rPr>
              <w:t>波段天气雷达</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工作频率</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9.3</w:t>
            </w:r>
            <w:r>
              <w:rPr>
                <w:rFonts w:hint="eastAsia"/>
              </w:rPr>
              <w:t>～</w:t>
            </w:r>
            <w:r>
              <w:t>9.5GHz</w:t>
            </w:r>
            <w:r>
              <w:rPr>
                <w:rFonts w:hint="eastAsia"/>
              </w:rPr>
              <w:t>范围内可选</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整机寿命</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≥15</w:t>
            </w:r>
            <w:r>
              <w:rPr>
                <w:rFonts w:hint="eastAsia"/>
              </w:rPr>
              <w:t>年</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探测距离范围</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警戒</w:t>
            </w:r>
            <w:r>
              <w:t xml:space="preserve">  ≥150km</w:t>
            </w:r>
          </w:p>
          <w:p w:rsidR="00A133B9">
            <w:pPr>
              <w:spacing w:line="380" w:lineRule="exact"/>
            </w:pPr>
            <w:r>
              <w:rPr>
                <w:rFonts w:hint="eastAsia"/>
              </w:rPr>
              <w:t>定量</w:t>
            </w:r>
            <w:r>
              <w:t xml:space="preserve">  ≥75km</w:t>
            </w:r>
          </w:p>
        </w:tc>
      </w:tr>
      <w:tr>
        <w:tblPrEx>
          <w:tblW w:w="8760" w:type="dxa"/>
          <w:jc w:val="center"/>
          <w:tblLayout w:type="fixed"/>
          <w:tblLook w:val="04A0"/>
        </w:tblPrEx>
        <w:trPr>
          <w:trHeight w:val="524"/>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近距离盲区范围</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≤500m</w:t>
            </w:r>
          </w:p>
        </w:tc>
      </w:tr>
      <w:tr>
        <w:tblPrEx>
          <w:tblW w:w="8760" w:type="dxa"/>
          <w:jc w:val="center"/>
          <w:tblLayout w:type="fixed"/>
          <w:tblLook w:val="04A0"/>
        </w:tblPrEx>
        <w:trPr>
          <w:jc w:val="center"/>
        </w:trPr>
        <w:tc>
          <w:tcPr>
            <w:tcW w:w="1618"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分辨率</w:t>
            </w: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距离</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≤75m</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角度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w:t>
            </w:r>
          </w:p>
        </w:tc>
      </w:tr>
      <w:tr>
        <w:tblPrEx>
          <w:tblW w:w="8760" w:type="dxa"/>
          <w:jc w:val="center"/>
          <w:tblLayout w:type="fixed"/>
          <w:tblLook w:val="04A0"/>
        </w:tblPrEx>
        <w:trPr>
          <w:jc w:val="center"/>
        </w:trPr>
        <w:tc>
          <w:tcPr>
            <w:tcW w:w="1618"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测量范围</w:t>
            </w: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强度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-15</w:t>
            </w:r>
            <w:r>
              <w:rPr>
                <w:rFonts w:hint="eastAsia"/>
              </w:rPr>
              <w:t>～</w:t>
            </w:r>
            <w:r>
              <w:t>+80dBZ</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速度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w:t>
            </w:r>
            <w:r>
              <w:t>48m/s</w:t>
            </w:r>
            <w:r>
              <w:rPr>
                <w:rFonts w:hint="eastAsia"/>
              </w:rPr>
              <w:t>～</w:t>
            </w:r>
            <w:r>
              <w:rPr>
                <w:rFonts w:hint="eastAsia"/>
              </w:rPr>
              <w:t>+</w:t>
            </w:r>
            <w:r>
              <w:t>48m/s</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谱宽</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w:t>
            </w:r>
            <w:r>
              <w:rPr>
                <w:rFonts w:hint="eastAsia"/>
              </w:rPr>
              <w:t>～</w:t>
            </w:r>
            <w:r>
              <w:t>16m/s</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差分反射率因子</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-7.9dB</w:t>
            </w:r>
            <w:r>
              <w:rPr>
                <w:rFonts w:hint="eastAsia"/>
              </w:rPr>
              <w:t>～</w:t>
            </w:r>
            <w:r>
              <w:t>+7.9dB</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差分传播相移</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-180°</w:t>
            </w:r>
            <w:r>
              <w:rPr>
                <w:rFonts w:hint="eastAsia"/>
              </w:rPr>
              <w:t>～</w:t>
            </w:r>
            <w:r>
              <w:t>+180°</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差分传播相移率</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 xml:space="preserve">-2°/km </w:t>
            </w:r>
            <w:r>
              <w:rPr>
                <w:rFonts w:hint="eastAsia"/>
              </w:rPr>
              <w:t>～</w:t>
            </w:r>
            <w:r>
              <w:t>+10°/km</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退偏振比</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w:t>
            </w:r>
            <w:r>
              <w:rPr>
                <w:rFonts w:hint="eastAsia"/>
              </w:rPr>
              <w:t>35</w:t>
            </w:r>
            <w:r>
              <w:t xml:space="preserve"> dB </w:t>
            </w:r>
            <w:r>
              <w:rPr>
                <w:rFonts w:hint="eastAsia"/>
              </w:rPr>
              <w:t>～</w:t>
            </w:r>
            <w:r>
              <w:t>6dB</w:t>
            </w:r>
            <w:r>
              <w:rPr>
                <w:rFonts w:hint="eastAsia"/>
              </w:rPr>
              <w:t>（单发双收模式）</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相关系数</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w:t>
            </w:r>
            <w:r>
              <w:rPr>
                <w:rFonts w:hint="eastAsia"/>
              </w:rPr>
              <w:t>～</w:t>
            </w:r>
            <w:r>
              <w:t>1</w:t>
            </w:r>
          </w:p>
        </w:tc>
      </w:tr>
      <w:tr>
        <w:tblPrEx>
          <w:tblW w:w="8760" w:type="dxa"/>
          <w:jc w:val="center"/>
          <w:tblLayout w:type="fixed"/>
          <w:tblLook w:val="04A0"/>
        </w:tblPrEx>
        <w:trPr>
          <w:jc w:val="center"/>
        </w:trPr>
        <w:tc>
          <w:tcPr>
            <w:tcW w:w="1618"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参数测</w:t>
            </w:r>
          </w:p>
          <w:p w:rsidR="00A133B9">
            <w:pPr>
              <w:spacing w:line="380" w:lineRule="exact"/>
              <w:jc w:val="center"/>
            </w:pPr>
            <w:r>
              <w:rPr>
                <w:rFonts w:hint="eastAsia"/>
              </w:rPr>
              <w:t>量精度</w:t>
            </w:r>
          </w:p>
          <w:p w:rsidR="00A133B9">
            <w:pPr>
              <w:spacing w:line="380" w:lineRule="exact"/>
              <w:jc w:val="center"/>
            </w:pPr>
            <w:r>
              <w:rPr>
                <w:rFonts w:hint="eastAsia"/>
              </w:rPr>
              <w:t>（均方误差）</w:t>
            </w: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距离</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≤75m</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强度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≤1dB</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速度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≤1m/s</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谱宽</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≤1m/s</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差分反射率因子</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≤0.2dB</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差分传播相移</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≤3°</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差分传播相移率</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≤0.2°/km</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相关系数</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≤0.01</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100</w:t>
            </w:r>
            <w:r>
              <w:rPr>
                <w:rFonts w:hint="eastAsia"/>
              </w:rPr>
              <w:t>千米处可探测的最小反射率因子（同</w:t>
            </w:r>
            <w:r>
              <w:rPr>
                <w:rFonts w:hint="eastAsia"/>
              </w:rPr>
              <w:t>发同收</w:t>
            </w:r>
            <w:r>
              <w:rPr>
                <w:rFonts w:hint="eastAsia"/>
              </w:rPr>
              <w:t>，参考值）</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eastAsia="仿宋" w:hint="eastAsia"/>
              </w:rPr>
              <w:t>≤</w:t>
            </w:r>
            <w:r>
              <w:rPr>
                <w:rFonts w:eastAsia="仿宋"/>
              </w:rPr>
              <w:t>8dBZ</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系统相位噪声</w:t>
            </w:r>
          </w:p>
        </w:tc>
        <w:tc>
          <w:tcPr>
            <w:tcW w:w="5104" w:type="dxa"/>
            <w:tcBorders>
              <w:top w:val="single" w:sz="4" w:space="0" w:color="auto"/>
              <w:left w:val="single" w:sz="4" w:space="0" w:color="auto"/>
              <w:bottom w:val="single" w:sz="4" w:space="0" w:color="auto"/>
              <w:right w:val="single" w:sz="4" w:space="0" w:color="auto"/>
            </w:tcBorders>
          </w:tcPr>
          <w:p w:rsidR="00A133B9">
            <w:pPr>
              <w:spacing w:line="380" w:lineRule="exact"/>
            </w:pPr>
            <w:r>
              <w:rPr>
                <w:rFonts w:hint="eastAsia"/>
              </w:rPr>
              <w:t>≤</w:t>
            </w:r>
            <w:r>
              <w:t>0.</w:t>
            </w:r>
            <w:r>
              <w:rPr>
                <w:rFonts w:hint="eastAsia"/>
              </w:rPr>
              <w:t>1</w:t>
            </w:r>
            <w:r>
              <w:t>°</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地物杂波抑制比</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≥50dB</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输出参数</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强度、速度、谱宽、差分反射率因子、差分传播相移、差分传播相移率、退偏振比（根据工作模式可选）、相关系数</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电源要求</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单相</w:t>
            </w:r>
            <w:r>
              <w:t>AC220V±10%</w:t>
            </w:r>
            <w:r>
              <w:rPr>
                <w:rFonts w:hint="eastAsia"/>
              </w:rPr>
              <w:t>或三相</w:t>
            </w:r>
            <w:r>
              <w:t>AC380V±10%</w:t>
            </w:r>
            <w:r>
              <w:rPr>
                <w:rFonts w:hint="eastAsia"/>
              </w:rPr>
              <w:t>，</w:t>
            </w:r>
            <w:r>
              <w:t>50Hz±5%</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重量（标准配置，参考值）</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≤1200kg</w:t>
            </w:r>
            <w:r>
              <w:rPr>
                <w:rFonts w:hint="eastAsia"/>
              </w:rPr>
              <w:t>（不包括天线罩）</w:t>
            </w:r>
          </w:p>
        </w:tc>
      </w:tr>
      <w:tr>
        <w:tblPrEx>
          <w:tblW w:w="8760" w:type="dxa"/>
          <w:jc w:val="center"/>
          <w:tblLayout w:type="fixed"/>
          <w:tblLook w:val="04A0"/>
        </w:tblPrEx>
        <w:trPr>
          <w:jc w:val="center"/>
        </w:trPr>
        <w:tc>
          <w:tcPr>
            <w:tcW w:w="1618"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环境要求</w:t>
            </w: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工作温度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舱外装置：</w:t>
            </w:r>
            <w:r>
              <w:t>-40</w:t>
            </w:r>
            <w:r>
              <w:rPr>
                <w:rFonts w:hint="eastAsia"/>
              </w:rPr>
              <w:t>～</w:t>
            </w:r>
            <w:r>
              <w:t>+50</w:t>
            </w:r>
            <w:r>
              <w:rPr>
                <w:rFonts w:ascii="宋体" w:hAnsi="宋体" w:cs="宋体"/>
              </w:rPr>
              <w:t>℃</w:t>
            </w:r>
            <w:r>
              <w:rPr>
                <w:rFonts w:hint="eastAsia"/>
              </w:rPr>
              <w:t>，舱内装置：</w:t>
            </w:r>
            <w:r>
              <w:t>0</w:t>
            </w:r>
            <w:r>
              <w:rPr>
                <w:rFonts w:hint="eastAsia"/>
              </w:rPr>
              <w:t>～</w:t>
            </w:r>
            <w:r>
              <w:t>+40</w:t>
            </w:r>
            <w:r>
              <w:rPr>
                <w:rFonts w:ascii="宋体" w:hAnsi="宋体" w:cs="宋体"/>
              </w:rPr>
              <w:t>℃</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贮存温度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-40</w:t>
            </w:r>
            <w:r>
              <w:rPr>
                <w:rFonts w:hint="eastAsia"/>
              </w:rPr>
              <w:t>～</w:t>
            </w:r>
            <w:r>
              <w:t>+60</w:t>
            </w:r>
            <w:r>
              <w:rPr>
                <w:rFonts w:ascii="宋体" w:hAnsi="宋体" w:cs="宋体"/>
              </w:rPr>
              <w:t>℃</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最大湿度（</w:t>
            </w:r>
            <w:r>
              <w:t>+30</w:t>
            </w:r>
            <w:r>
              <w:rPr>
                <w:rFonts w:ascii="宋体" w:hAnsi="宋体" w:cs="宋体"/>
              </w:rPr>
              <w:t>℃</w:t>
            </w:r>
            <w:r>
              <w:rPr>
                <w:rFonts w:hint="eastAsia"/>
              </w:rPr>
              <w:t>）</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舱外装置：</w:t>
            </w:r>
            <w:r>
              <w:t>≤95%</w:t>
            </w:r>
            <w:r>
              <w:rPr>
                <w:rFonts w:hint="eastAsia"/>
              </w:rPr>
              <w:t>，舱内装置：</w:t>
            </w:r>
            <w:r>
              <w:t>≤90%</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工作高度</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海拔高度：≤</w:t>
            </w:r>
            <w:r>
              <w:t>5000m</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冲击、振动、淋雨</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符合国家有关部门规定，且满足野外运输要求。</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抗干扰</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电源干扰、电磁干扰、无线电频率干扰</w:t>
            </w:r>
          </w:p>
        </w:tc>
      </w:tr>
      <w:tr>
        <w:tblPrEx>
          <w:tblW w:w="8760" w:type="dxa"/>
          <w:jc w:val="center"/>
          <w:tblLayout w:type="fixed"/>
          <w:tblLook w:val="04A0"/>
        </w:tblPrEx>
        <w:trPr>
          <w:jc w:val="center"/>
        </w:trPr>
        <w:tc>
          <w:tcPr>
            <w:tcW w:w="1618"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203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其它</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防水、防霉、防盐雾</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整机功耗（峰值）</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≤3kW</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平均无故障时间（</w:t>
            </w:r>
            <w:r>
              <w:t>MTBF</w:t>
            </w:r>
            <w:r>
              <w:rPr>
                <w:rFonts w:hint="eastAsia"/>
              </w:rPr>
              <w:t>）</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w:t>
            </w:r>
            <w:r>
              <w:t>5000h</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平均故障修复时间（</w:t>
            </w:r>
            <w:r>
              <w:t>MTTR</w:t>
            </w:r>
            <w:r>
              <w:rPr>
                <w:rFonts w:hint="eastAsia"/>
              </w:rPr>
              <w:t>）</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≤0.5h</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架设方式</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固定架设</w:t>
            </w:r>
          </w:p>
        </w:tc>
      </w:tr>
      <w:tr>
        <w:tblPrEx>
          <w:tblW w:w="8760" w:type="dxa"/>
          <w:jc w:val="center"/>
          <w:tblLayout w:type="fixed"/>
          <w:tblLook w:val="04A0"/>
        </w:tblPrEx>
        <w:trPr>
          <w:trHeight w:val="68"/>
          <w:jc w:val="center"/>
        </w:trPr>
        <w:tc>
          <w:tcPr>
            <w:tcW w:w="3656" w:type="dxa"/>
            <w:gridSpan w:val="2"/>
            <w:tcBorders>
              <w:top w:val="single" w:sz="4" w:space="0" w:color="auto"/>
              <w:left w:val="single" w:sz="4" w:space="0" w:color="auto"/>
              <w:bottom w:val="single" w:sz="4" w:space="0" w:color="auto"/>
              <w:right w:val="single" w:sz="4" w:space="0" w:color="auto"/>
            </w:tcBorders>
          </w:tcPr>
          <w:p w:rsidR="00A133B9">
            <w:pPr>
              <w:spacing w:line="380" w:lineRule="exact"/>
            </w:pPr>
            <w:r>
              <w:rPr>
                <w:rFonts w:hint="eastAsia"/>
              </w:rPr>
              <w:t>开机时间</w:t>
            </w:r>
          </w:p>
        </w:tc>
        <w:tc>
          <w:tcPr>
            <w:tcW w:w="5104" w:type="dxa"/>
            <w:tcBorders>
              <w:top w:val="single" w:sz="4" w:space="0" w:color="auto"/>
              <w:left w:val="single" w:sz="4" w:space="0" w:color="auto"/>
              <w:bottom w:val="single" w:sz="4" w:space="0" w:color="auto"/>
              <w:right w:val="single" w:sz="4" w:space="0" w:color="auto"/>
            </w:tcBorders>
          </w:tcPr>
          <w:p w:rsidR="00A133B9">
            <w:pPr>
              <w:spacing w:line="380" w:lineRule="exact"/>
            </w:pPr>
            <w:r>
              <w:t>≤5min</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微波辐射安全性</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雷达微波漏能功率密度应符合</w:t>
            </w:r>
            <w:r>
              <w:t>GJB5313-2004</w:t>
            </w:r>
            <w:r>
              <w:rPr>
                <w:rFonts w:hint="eastAsia"/>
              </w:rPr>
              <w:t>的要求。</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安全标识</w:t>
            </w:r>
          </w:p>
        </w:tc>
        <w:tc>
          <w:tcPr>
            <w:tcW w:w="5104" w:type="dxa"/>
            <w:tcBorders>
              <w:top w:val="single" w:sz="4" w:space="0" w:color="auto"/>
              <w:left w:val="single" w:sz="4" w:space="0" w:color="auto"/>
              <w:bottom w:val="single" w:sz="4" w:space="0" w:color="auto"/>
              <w:right w:val="single" w:sz="4" w:space="0" w:color="auto"/>
            </w:tcBorders>
          </w:tcPr>
          <w:p w:rsidR="00A133B9">
            <w:pPr>
              <w:spacing w:line="380" w:lineRule="exact"/>
            </w:pPr>
            <w:r>
              <w:rPr>
                <w:rFonts w:hint="eastAsia"/>
              </w:rPr>
              <w:t>微波泄漏部位、机械转动部位、危险电压部位等应有清晰、醒目的安全警示标记。</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互换性</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雷达备份零件、部件、组件和功能单元均能在现场更换，无需调整而正常工作。</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电磁兼容性</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雷达具有市电滤波和防电磁干扰的能力，设置静电屏蔽、电磁屏蔽，模拟地线、数字地线和安全地线严格分开，油机地线和避雷地线要单独接地。</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安全性</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雷达应有安全性设计，确保雷达按规定条件进行制造、安装、运输、贮存、使用和维护时的人身安全和设备安全。</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防雷要求（根据需要）</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雷达站避雷针接地系统应与建筑物接地系统分开，避雷针接地电阻应不大于</w:t>
            </w:r>
            <w:r>
              <w:t>4Ω</w:t>
            </w:r>
            <w:r>
              <w:rPr>
                <w:rFonts w:hint="eastAsia"/>
              </w:rPr>
              <w:t>。雷达电源线</w:t>
            </w:r>
            <w:r>
              <w:rPr>
                <w:rFonts w:hint="eastAsia"/>
              </w:rPr>
              <w:t>输入端应加装</w:t>
            </w:r>
            <w:r>
              <w:rPr>
                <w:rFonts w:hint="eastAsia"/>
              </w:rPr>
              <w:t>防雷滤波器，室外电缆一律采用屏蔽电缆或光缆。</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绝缘性</w:t>
            </w:r>
          </w:p>
        </w:tc>
        <w:tc>
          <w:tcPr>
            <w:tcW w:w="5104" w:type="dxa"/>
            <w:tcBorders>
              <w:top w:val="single" w:sz="4" w:space="0" w:color="auto"/>
              <w:left w:val="single" w:sz="4" w:space="0" w:color="auto"/>
              <w:bottom w:val="single" w:sz="4" w:space="0" w:color="auto"/>
              <w:right w:val="single" w:sz="4" w:space="0" w:color="auto"/>
            </w:tcBorders>
          </w:tcPr>
          <w:p w:rsidR="00A133B9">
            <w:pPr>
              <w:spacing w:line="380" w:lineRule="exact"/>
            </w:pPr>
            <w:r>
              <w:rPr>
                <w:rFonts w:hint="eastAsia"/>
              </w:rPr>
              <w:t>雷达各初级电源与大地间绝缘电阻应大于</w:t>
            </w:r>
            <w:r>
              <w:t>1MΩ</w:t>
            </w:r>
            <w:r>
              <w:rPr>
                <w:rFonts w:hint="eastAsia"/>
              </w:rPr>
              <w:t>。</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外观质量</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雷达整体形象应协调一致。外表面应无凹痕、碰伤、裂痕和变形等缺陷；</w:t>
            </w:r>
            <w:r>
              <w:rPr>
                <w:rFonts w:hint="eastAsia"/>
              </w:rPr>
              <w:t>镀</w:t>
            </w:r>
            <w:r>
              <w:rPr>
                <w:rFonts w:hint="eastAsia"/>
              </w:rPr>
              <w:t>涂层</w:t>
            </w:r>
            <w:r>
              <w:rPr>
                <w:rFonts w:hint="eastAsia"/>
              </w:rPr>
              <w:t>不</w:t>
            </w:r>
            <w:r>
              <w:rPr>
                <w:rFonts w:hint="eastAsia"/>
              </w:rPr>
              <w:t>起泡、龟裂和脱落；金属零件无锈蚀、毛刺及其它机械损伤。</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标记与代号</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机箱、机箱、插件和线缆等应有统一的编号和标记，符合国家标准。</w:t>
            </w:r>
          </w:p>
          <w:p w:rsidR="00A133B9">
            <w:pPr>
              <w:spacing w:line="380" w:lineRule="exact"/>
            </w:pPr>
            <w:r>
              <w:rPr>
                <w:rFonts w:hint="eastAsia"/>
              </w:rPr>
              <w:t>印制板、主要元器件等应在相应位置印有与电路图中项目代号相符的标记。</w:t>
            </w:r>
          </w:p>
          <w:p w:rsidR="00A133B9">
            <w:pPr>
              <w:spacing w:line="380" w:lineRule="exact"/>
            </w:pPr>
            <w:r>
              <w:rPr>
                <w:rFonts w:hint="eastAsia"/>
              </w:rPr>
              <w:t>标记的文字、字母和符号应完整、规范、清晰和牢固，且便于识读。</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环境噪声要求</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发射机和接收机的噪音应低于</w:t>
            </w:r>
            <w:r>
              <w:t>85dB</w:t>
            </w:r>
            <w:r>
              <w:rPr>
                <w:rFonts w:hint="eastAsia"/>
              </w:rPr>
              <w:t>。</w:t>
            </w:r>
          </w:p>
        </w:tc>
      </w:tr>
      <w:tr>
        <w:tblPrEx>
          <w:tblW w:w="8760" w:type="dxa"/>
          <w:jc w:val="center"/>
          <w:tblLayout w:type="fixed"/>
          <w:tblLook w:val="04A0"/>
        </w:tblPrEx>
        <w:trPr>
          <w:jc w:val="center"/>
        </w:trPr>
        <w:tc>
          <w:tcPr>
            <w:tcW w:w="3656"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雷达应有的铭牌包括的内容</w:t>
            </w:r>
          </w:p>
        </w:tc>
        <w:tc>
          <w:tcPr>
            <w:tcW w:w="5104"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雷达的名称、型号（代号）；出厂编号；出厂年月；制造厂商标。</w:t>
            </w:r>
          </w:p>
        </w:tc>
      </w:tr>
    </w:tbl>
    <w:p w:rsidR="00A133B9"/>
    <w:p w:rsidR="00A133B9">
      <w:pPr>
        <w:spacing w:line="360" w:lineRule="auto"/>
        <w:ind w:firstLine="420" w:firstLineChars="200"/>
        <w:rPr>
          <w:rFonts w:ascii="宋体" w:hAnsi="宋体"/>
          <w:b/>
          <w:bCs/>
          <w:szCs w:val="21"/>
        </w:rPr>
      </w:pPr>
      <w:r>
        <w:rPr>
          <w:rFonts w:ascii="宋体" w:hAnsi="宋体" w:hint="eastAsia"/>
          <w:b/>
          <w:bCs/>
          <w:szCs w:val="21"/>
        </w:rPr>
        <w:t>3.2.</w:t>
      </w:r>
      <w:r>
        <w:rPr>
          <w:rFonts w:ascii="宋体" w:hAnsi="宋体" w:hint="eastAsia"/>
          <w:b/>
          <w:bCs/>
          <w:szCs w:val="21"/>
        </w:rPr>
        <w:t>天馈线技术指标</w:t>
      </w:r>
    </w:p>
    <w:tbl>
      <w:tblPr>
        <w:tblStyle w:val="TableNormal"/>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86"/>
        <w:gridCol w:w="1786"/>
        <w:gridCol w:w="4978"/>
      </w:tblGrid>
      <w:tr>
        <w:tblPrEx>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32"/>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rPr>
                <w:b/>
              </w:rPr>
            </w:pPr>
            <w:r>
              <w:rPr>
                <w:rFonts w:hint="eastAsia"/>
              </w:rPr>
              <w:t>项目</w:t>
            </w:r>
          </w:p>
        </w:tc>
        <w:tc>
          <w:tcPr>
            <w:tcW w:w="4978" w:type="dxa"/>
            <w:tcBorders>
              <w:top w:val="single" w:sz="4" w:space="0" w:color="auto"/>
              <w:left w:val="single" w:sz="4" w:space="0" w:color="auto"/>
              <w:right w:val="single" w:sz="4" w:space="0" w:color="auto"/>
            </w:tcBorders>
          </w:tcPr>
          <w:p w:rsidR="00A133B9">
            <w:pPr>
              <w:spacing w:line="380" w:lineRule="exact"/>
              <w:jc w:val="center"/>
            </w:pPr>
            <w:r>
              <w:rPr>
                <w:rFonts w:hint="eastAsia"/>
              </w:rPr>
              <w:t>性能指标</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天线形式</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圆形旋转抛物面反射体天线，喇叭中心馈电</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频率</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9.3</w:t>
            </w:r>
            <w:r>
              <w:rPr>
                <w:rFonts w:hint="eastAsia"/>
              </w:rPr>
              <w:t>～</w:t>
            </w:r>
            <w:r>
              <w:t>9.5GHz</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极化方式</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线性水平、垂直极化</w:t>
            </w:r>
          </w:p>
        </w:tc>
      </w:tr>
      <w:tr>
        <w:tblPrEx>
          <w:tblW w:w="8550" w:type="dxa"/>
          <w:jc w:val="center"/>
          <w:tblLayout w:type="fixed"/>
          <w:tblLook w:val="04A0"/>
        </w:tblPrEx>
        <w:trPr>
          <w:trHeight w:val="625"/>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反射面直径</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≥2.4m</w:t>
            </w:r>
          </w:p>
        </w:tc>
      </w:tr>
      <w:tr>
        <w:tblPrEx>
          <w:tblW w:w="8550" w:type="dxa"/>
          <w:jc w:val="center"/>
          <w:tblLayout w:type="fixed"/>
          <w:tblLook w:val="04A0"/>
        </w:tblPrEx>
        <w:trPr>
          <w:trHeight w:val="479"/>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水平波束宽度（</w:t>
            </w:r>
            <w:r>
              <w:t>3dB</w:t>
            </w:r>
            <w:r>
              <w:rPr>
                <w:rFonts w:hint="eastAsia"/>
              </w:rPr>
              <w:t>）</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垂直波束宽度（</w:t>
            </w:r>
            <w:r>
              <w:t>3dB</w:t>
            </w:r>
            <w:r>
              <w:rPr>
                <w:rFonts w:hint="eastAsia"/>
              </w:rPr>
              <w:t>）</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3dB</w:t>
            </w:r>
            <w:r>
              <w:rPr>
                <w:rFonts w:hint="eastAsia"/>
              </w:rPr>
              <w:t>波束宽度差</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≤0.05°</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波束（电轴）指向方向差</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≤0.05°</w:t>
            </w:r>
          </w:p>
        </w:tc>
      </w:tr>
      <w:tr>
        <w:tblPrEx>
          <w:tblW w:w="8550" w:type="dxa"/>
          <w:jc w:val="center"/>
          <w:tblLayout w:type="fixed"/>
          <w:tblLook w:val="04A0"/>
        </w:tblPrEx>
        <w:trPr>
          <w:jc w:val="center"/>
        </w:trPr>
        <w:tc>
          <w:tcPr>
            <w:tcW w:w="1786"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ascii="宋体" w:hAnsi="宋体" w:cs="宋体" w:hint="eastAsia"/>
                <w:b/>
                <w:bCs/>
              </w:rPr>
              <w:t>#</w:t>
            </w:r>
            <w:r>
              <w:rPr>
                <w:rFonts w:hint="eastAsia"/>
              </w:rPr>
              <w:t>增益</w:t>
            </w: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水平</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≥44dB</w:t>
            </w:r>
          </w:p>
        </w:tc>
      </w:tr>
      <w:tr>
        <w:tblPrEx>
          <w:tblW w:w="8550" w:type="dxa"/>
          <w:jc w:val="center"/>
          <w:tblLayout w:type="fixed"/>
          <w:tblLook w:val="04A0"/>
        </w:tblPrEx>
        <w:trPr>
          <w:trHeight w:val="482"/>
          <w:jc w:val="center"/>
        </w:trPr>
        <w:tc>
          <w:tcPr>
            <w:tcW w:w="1786"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垂直</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≥44dB</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天线增益差</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≤0.1dB</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第一副瓣电平</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≤-29dB</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远端副瓣电平（</w:t>
            </w:r>
            <w:r>
              <w:t>±10°</w:t>
            </w:r>
            <w:r>
              <w:rPr>
                <w:rFonts w:hint="eastAsia"/>
              </w:rPr>
              <w:t>以外）</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≤-35dB</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交叉极化隔离度</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≥35dB</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驻波比</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≤1.5</w:t>
            </w:r>
          </w:p>
        </w:tc>
      </w:tr>
      <w:tr>
        <w:tblPrEx>
          <w:tblW w:w="8550" w:type="dxa"/>
          <w:jc w:val="center"/>
          <w:tblLayout w:type="fixed"/>
          <w:tblLook w:val="04A0"/>
        </w:tblPrEx>
        <w:trPr>
          <w:jc w:val="center"/>
        </w:trPr>
        <w:tc>
          <w:tcPr>
            <w:tcW w:w="3572" w:type="dxa"/>
            <w:gridSpan w:val="2"/>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抗风能力（阵风）</w:t>
            </w:r>
          </w:p>
        </w:tc>
        <w:tc>
          <w:tcPr>
            <w:tcW w:w="497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天线罩：</w:t>
            </w:r>
            <w:r>
              <w:t>60m/s</w:t>
            </w:r>
            <w:r>
              <w:rPr>
                <w:rFonts w:hint="eastAsia"/>
              </w:rPr>
              <w:t>不损坏</w:t>
            </w:r>
          </w:p>
        </w:tc>
      </w:tr>
      <w:tr>
        <w:tblPrEx>
          <w:tblW w:w="8550" w:type="dxa"/>
          <w:jc w:val="center"/>
          <w:tblLayout w:type="fixed"/>
          <w:tblLook w:val="04A0"/>
        </w:tblPrEx>
        <w:trPr>
          <w:trHeight w:val="639"/>
          <w:jc w:val="center"/>
        </w:trPr>
        <w:tc>
          <w:tcPr>
            <w:tcW w:w="1786"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80" w:lineRule="exact"/>
              <w:rPr>
                <w:i/>
              </w:rPr>
            </w:pPr>
            <w:r>
              <w:rPr>
                <w:rFonts w:hint="eastAsia"/>
              </w:rPr>
              <w:t>天线罩</w:t>
            </w: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直径</w:t>
            </w:r>
          </w:p>
        </w:tc>
        <w:tc>
          <w:tcPr>
            <w:tcW w:w="4978" w:type="dxa"/>
            <w:tcBorders>
              <w:top w:val="single" w:sz="4" w:space="0" w:color="auto"/>
              <w:left w:val="single" w:sz="4" w:space="0" w:color="auto"/>
              <w:bottom w:val="single" w:sz="4" w:space="0" w:color="auto"/>
              <w:right w:val="single" w:sz="4" w:space="0" w:color="auto"/>
            </w:tcBorders>
            <w:vAlign w:val="center"/>
          </w:tcPr>
          <w:p w:rsidR="00A133B9">
            <w:r>
              <w:rPr>
                <w:rFonts w:hint="eastAsia"/>
              </w:rPr>
              <w:t>≥</w:t>
            </w:r>
            <w:r>
              <w:t>4</w:t>
            </w:r>
            <w:r>
              <w:rPr>
                <w:rFonts w:hint="eastAsia"/>
              </w:rPr>
              <w:t>.5</w:t>
            </w:r>
            <w:r>
              <w:t>m</w:t>
            </w:r>
            <w:r>
              <w:rPr>
                <w:rFonts w:hint="eastAsia"/>
              </w:rPr>
              <w:t>（白色，</w:t>
            </w:r>
            <w:r>
              <w:rPr>
                <w:rFonts w:hint="eastAsia"/>
              </w:rPr>
              <w:t>9/10D</w:t>
            </w:r>
            <w:r>
              <w:rPr>
                <w:rFonts w:hint="eastAsia"/>
              </w:rPr>
              <w:t>截球壳，偏差不超过</w:t>
            </w:r>
            <w:r>
              <w:rPr>
                <w:rFonts w:hint="eastAsia"/>
              </w:rPr>
              <w:t>5%</w:t>
            </w:r>
            <w:r>
              <w:rPr>
                <w:rFonts w:hint="eastAsia"/>
              </w:rPr>
              <w:t>）</w:t>
            </w:r>
          </w:p>
        </w:tc>
      </w:tr>
      <w:tr>
        <w:tblPrEx>
          <w:tblW w:w="8550" w:type="dxa"/>
          <w:jc w:val="center"/>
          <w:tblLayout w:type="fixed"/>
          <w:tblLook w:val="04A0"/>
        </w:tblPrEx>
        <w:trPr>
          <w:trHeight w:val="694"/>
          <w:jc w:val="center"/>
        </w:trPr>
        <w:tc>
          <w:tcPr>
            <w:tcW w:w="1786" w:type="dxa"/>
            <w:vMerge/>
            <w:tcBorders>
              <w:top w:val="single" w:sz="4" w:space="0" w:color="auto"/>
              <w:left w:val="single" w:sz="4" w:space="0" w:color="auto"/>
              <w:bottom w:val="single" w:sz="4" w:space="0" w:color="auto"/>
              <w:right w:val="single" w:sz="4" w:space="0" w:color="auto"/>
            </w:tcBorders>
            <w:vAlign w:val="center"/>
          </w:tcPr>
          <w:p w:rsidR="00A133B9">
            <w:pPr>
              <w:widowControl/>
              <w:rPr>
                <w:i/>
              </w:rPr>
            </w:pP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损耗</w:t>
            </w:r>
          </w:p>
        </w:tc>
        <w:tc>
          <w:tcPr>
            <w:tcW w:w="4978" w:type="dxa"/>
            <w:tcBorders>
              <w:top w:val="single" w:sz="4" w:space="0" w:color="auto"/>
              <w:left w:val="single" w:sz="4" w:space="0" w:color="auto"/>
              <w:bottom w:val="single" w:sz="4" w:space="0" w:color="auto"/>
              <w:right w:val="single" w:sz="4" w:space="0" w:color="auto"/>
            </w:tcBorders>
            <w:vAlign w:val="center"/>
          </w:tcPr>
          <w:p w:rsidR="00A133B9">
            <w:r>
              <w:t>≤0.6dB</w:t>
            </w:r>
          </w:p>
        </w:tc>
      </w:tr>
      <w:tr>
        <w:tblPrEx>
          <w:tblW w:w="8550" w:type="dxa"/>
          <w:jc w:val="center"/>
          <w:tblLayout w:type="fixed"/>
          <w:tblLook w:val="04A0"/>
        </w:tblPrEx>
        <w:trPr>
          <w:jc w:val="center"/>
        </w:trPr>
        <w:tc>
          <w:tcPr>
            <w:tcW w:w="1786" w:type="dxa"/>
            <w:vMerge/>
            <w:tcBorders>
              <w:top w:val="single" w:sz="4" w:space="0" w:color="auto"/>
              <w:left w:val="single" w:sz="4" w:space="0" w:color="auto"/>
              <w:bottom w:val="single" w:sz="4" w:space="0" w:color="auto"/>
              <w:right w:val="single" w:sz="4" w:space="0" w:color="auto"/>
            </w:tcBorders>
            <w:vAlign w:val="center"/>
          </w:tcPr>
          <w:p w:rsidR="00A133B9">
            <w:pPr>
              <w:widowControl/>
              <w:rPr>
                <w:i/>
              </w:rPr>
            </w:pP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引入波束偏差</w:t>
            </w:r>
          </w:p>
        </w:tc>
        <w:tc>
          <w:tcPr>
            <w:tcW w:w="4978" w:type="dxa"/>
            <w:tcBorders>
              <w:top w:val="single" w:sz="4" w:space="0" w:color="auto"/>
              <w:left w:val="single" w:sz="4" w:space="0" w:color="auto"/>
              <w:bottom w:val="single" w:sz="4" w:space="0" w:color="auto"/>
              <w:right w:val="single" w:sz="4" w:space="0" w:color="auto"/>
            </w:tcBorders>
            <w:vAlign w:val="center"/>
          </w:tcPr>
          <w:p w:rsidR="00A133B9">
            <w:r>
              <w:t>≤0.05°</w:t>
            </w:r>
          </w:p>
        </w:tc>
      </w:tr>
      <w:tr>
        <w:tblPrEx>
          <w:tblW w:w="8550" w:type="dxa"/>
          <w:jc w:val="center"/>
          <w:tblLayout w:type="fixed"/>
          <w:tblLook w:val="04A0"/>
        </w:tblPrEx>
        <w:trPr>
          <w:jc w:val="center"/>
        </w:trPr>
        <w:tc>
          <w:tcPr>
            <w:tcW w:w="1786" w:type="dxa"/>
            <w:vMerge/>
            <w:tcBorders>
              <w:top w:val="single" w:sz="4" w:space="0" w:color="auto"/>
              <w:left w:val="single" w:sz="4" w:space="0" w:color="auto"/>
              <w:bottom w:val="single" w:sz="4" w:space="0" w:color="auto"/>
              <w:right w:val="single" w:sz="4" w:space="0" w:color="auto"/>
            </w:tcBorders>
            <w:vAlign w:val="center"/>
          </w:tcPr>
          <w:p w:rsidR="00A133B9">
            <w:pPr>
              <w:widowControl/>
              <w:rPr>
                <w:i/>
              </w:rPr>
            </w:pPr>
          </w:p>
        </w:tc>
        <w:tc>
          <w:tcPr>
            <w:tcW w:w="1786"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引入波束展宽</w:t>
            </w:r>
          </w:p>
        </w:tc>
        <w:tc>
          <w:tcPr>
            <w:tcW w:w="4978" w:type="dxa"/>
            <w:tcBorders>
              <w:top w:val="single" w:sz="4" w:space="0" w:color="auto"/>
              <w:left w:val="single" w:sz="4" w:space="0" w:color="auto"/>
              <w:bottom w:val="single" w:sz="4" w:space="0" w:color="auto"/>
              <w:right w:val="single" w:sz="4" w:space="0" w:color="auto"/>
            </w:tcBorders>
            <w:vAlign w:val="center"/>
          </w:tcPr>
          <w:p w:rsidR="00A133B9">
            <w:r>
              <w:t>≤0.05°</w:t>
            </w:r>
          </w:p>
        </w:tc>
      </w:tr>
    </w:tbl>
    <w:p w:rsidR="00A133B9"/>
    <w:p w:rsidR="00A133B9">
      <w:pPr>
        <w:spacing w:line="360" w:lineRule="auto"/>
        <w:ind w:firstLine="420" w:firstLineChars="200"/>
        <w:rPr>
          <w:rFonts w:ascii="宋体" w:hAnsi="宋体"/>
          <w:b/>
          <w:bCs/>
          <w:szCs w:val="21"/>
        </w:rPr>
      </w:pPr>
      <w:r>
        <w:rPr>
          <w:rFonts w:ascii="宋体" w:hAnsi="宋体" w:hint="eastAsia"/>
          <w:b/>
          <w:bCs/>
          <w:szCs w:val="21"/>
        </w:rPr>
        <w:t>3.3.</w:t>
      </w:r>
      <w:r>
        <w:rPr>
          <w:rFonts w:ascii="宋体" w:hAnsi="宋体" w:hint="eastAsia"/>
          <w:b/>
          <w:bCs/>
          <w:szCs w:val="21"/>
        </w:rPr>
        <w:t>伺服系统技术指标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85"/>
        <w:gridCol w:w="1701"/>
        <w:gridCol w:w="445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tcPr>
          <w:p w:rsidR="00A133B9">
            <w:pPr>
              <w:spacing w:line="460" w:lineRule="exact"/>
              <w:jc w:val="center"/>
            </w:pPr>
            <w:r>
              <w:rPr>
                <w:rFonts w:hint="eastAsia"/>
              </w:rPr>
              <w:t>项目</w:t>
            </w:r>
          </w:p>
        </w:tc>
        <w:tc>
          <w:tcPr>
            <w:tcW w:w="4451" w:type="dxa"/>
            <w:tcBorders>
              <w:top w:val="single" w:sz="4" w:space="0" w:color="auto"/>
              <w:left w:val="single" w:sz="4" w:space="0" w:color="auto"/>
              <w:bottom w:val="single" w:sz="4" w:space="0" w:color="auto"/>
              <w:right w:val="single" w:sz="4" w:space="0" w:color="auto"/>
            </w:tcBorders>
          </w:tcPr>
          <w:p w:rsidR="00A133B9">
            <w:pPr>
              <w:spacing w:line="460" w:lineRule="exact"/>
              <w:jc w:val="center"/>
            </w:pPr>
            <w:r>
              <w:rPr>
                <w:rFonts w:hint="eastAsia"/>
              </w:rPr>
              <w:t>性能指标</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天线扫描方式</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t>PPI</w:t>
            </w:r>
            <w:r>
              <w:rPr>
                <w:rFonts w:hint="eastAsia"/>
              </w:rPr>
              <w:t>、</w:t>
            </w:r>
            <w:r>
              <w:t>RHI</w:t>
            </w:r>
            <w:r>
              <w:rPr>
                <w:rFonts w:hint="eastAsia"/>
              </w:rPr>
              <w:t>、体扫、扇扫、任意指向</w:t>
            </w:r>
          </w:p>
        </w:tc>
      </w:tr>
      <w:tr>
        <w:tblPrEx>
          <w:tblW w:w="0" w:type="auto"/>
          <w:jc w:val="center"/>
          <w:tblLayout w:type="fixed"/>
          <w:tblLook w:val="04A0"/>
        </w:tblPrEx>
        <w:trPr>
          <w:trHeight w:val="160"/>
          <w:jc w:val="center"/>
        </w:trPr>
        <w:tc>
          <w:tcPr>
            <w:tcW w:w="2185"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天线扫描范围</w:t>
            </w: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方位</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t>0</w:t>
            </w:r>
            <w:r>
              <w:rPr>
                <w:rFonts w:hint="eastAsia"/>
              </w:rPr>
              <w:t>～</w:t>
            </w:r>
            <w:r>
              <w:t>360°</w:t>
            </w:r>
            <w:r>
              <w:rPr>
                <w:rFonts w:hint="eastAsia"/>
              </w:rPr>
              <w:t>连续扫描</w:t>
            </w:r>
          </w:p>
        </w:tc>
      </w:tr>
      <w:tr>
        <w:tblPrEx>
          <w:tblW w:w="0" w:type="auto"/>
          <w:jc w:val="center"/>
          <w:tblLayout w:type="fixed"/>
          <w:tblLook w:val="04A0"/>
        </w:tblPrEx>
        <w:trPr>
          <w:trHeight w:val="160"/>
          <w:jc w:val="center"/>
        </w:trPr>
        <w:tc>
          <w:tcPr>
            <w:tcW w:w="2185"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俯仰</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t>-2</w:t>
            </w:r>
            <w:r>
              <w:rPr>
                <w:rFonts w:hint="eastAsia"/>
              </w:rPr>
              <w:t>～</w:t>
            </w:r>
            <w:r>
              <w:t>+90°</w:t>
            </w:r>
            <w:r>
              <w:rPr>
                <w:rFonts w:hint="eastAsia"/>
              </w:rPr>
              <w:t>往返扫描</w:t>
            </w:r>
          </w:p>
        </w:tc>
      </w:tr>
      <w:tr>
        <w:tblPrEx>
          <w:tblW w:w="0" w:type="auto"/>
          <w:jc w:val="center"/>
          <w:tblLayout w:type="fixed"/>
          <w:tblLook w:val="04A0"/>
        </w:tblPrEx>
        <w:trPr>
          <w:trHeight w:val="160"/>
          <w:jc w:val="center"/>
        </w:trPr>
        <w:tc>
          <w:tcPr>
            <w:tcW w:w="2185" w:type="dxa"/>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PPI</w:t>
            </w:r>
            <w:r>
              <w:rPr>
                <w:rFonts w:hint="eastAsia"/>
              </w:rPr>
              <w:t>扫描范围</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t>0</w:t>
            </w:r>
            <w:r>
              <w:rPr>
                <w:rFonts w:hint="eastAsia"/>
              </w:rPr>
              <w:t>～</w:t>
            </w:r>
            <w:r>
              <w:t>360°</w:t>
            </w:r>
          </w:p>
        </w:tc>
      </w:tr>
      <w:tr>
        <w:tblPrEx>
          <w:tblW w:w="0" w:type="auto"/>
          <w:jc w:val="center"/>
          <w:tblLayout w:type="fixed"/>
          <w:tblLook w:val="04A0"/>
        </w:tblPrEx>
        <w:trPr>
          <w:trHeight w:val="160"/>
          <w:jc w:val="center"/>
        </w:trPr>
        <w:tc>
          <w:tcPr>
            <w:tcW w:w="2185" w:type="dxa"/>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RHI</w:t>
            </w:r>
            <w:r>
              <w:rPr>
                <w:rFonts w:hint="eastAsia"/>
              </w:rPr>
              <w:t>扫描范围</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t>0</w:t>
            </w:r>
            <w:r>
              <w:rPr>
                <w:rFonts w:hint="eastAsia"/>
              </w:rPr>
              <w:t>～</w:t>
            </w:r>
            <w:r>
              <w:t>30°</w:t>
            </w:r>
          </w:p>
        </w:tc>
      </w:tr>
      <w:tr>
        <w:tblPrEx>
          <w:tblW w:w="0" w:type="auto"/>
          <w:jc w:val="center"/>
          <w:tblLayout w:type="fixed"/>
          <w:tblLook w:val="04A0"/>
        </w:tblPrEx>
        <w:trPr>
          <w:trHeight w:val="315"/>
          <w:jc w:val="center"/>
        </w:trPr>
        <w:tc>
          <w:tcPr>
            <w:tcW w:w="2185" w:type="dxa"/>
            <w:vMerge w:val="restart"/>
            <w:tcBorders>
              <w:top w:val="single" w:sz="4" w:space="0" w:color="auto"/>
              <w:left w:val="single" w:sz="4" w:space="0" w:color="auto"/>
              <w:right w:val="single" w:sz="4" w:space="0" w:color="auto"/>
            </w:tcBorders>
            <w:vAlign w:val="center"/>
          </w:tcPr>
          <w:p w:rsidR="00A133B9">
            <w:pPr>
              <w:spacing w:line="460" w:lineRule="exact"/>
            </w:pPr>
            <w:r>
              <w:rPr>
                <w:rFonts w:ascii="宋体" w:hAnsi="宋体" w:cs="宋体" w:hint="eastAsia"/>
                <w:b/>
                <w:bCs/>
              </w:rPr>
              <w:t>#</w:t>
            </w:r>
            <w:r>
              <w:rPr>
                <w:rFonts w:hint="eastAsia"/>
              </w:rPr>
              <w:t>天线扫描速度</w:t>
            </w:r>
          </w:p>
        </w:tc>
        <w:tc>
          <w:tcPr>
            <w:tcW w:w="1701" w:type="dxa"/>
            <w:tcBorders>
              <w:top w:val="single" w:sz="4" w:space="0" w:color="auto"/>
              <w:left w:val="single" w:sz="4" w:space="0" w:color="auto"/>
              <w:right w:val="single" w:sz="4" w:space="0" w:color="auto"/>
            </w:tcBorders>
            <w:vAlign w:val="center"/>
          </w:tcPr>
          <w:p w:rsidR="00A133B9">
            <w:pPr>
              <w:spacing w:line="460" w:lineRule="exact"/>
            </w:pPr>
            <w:r>
              <w:rPr>
                <w:rFonts w:hint="eastAsia"/>
              </w:rPr>
              <w:t>方位</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0</w:t>
            </w:r>
            <w:r>
              <w:rPr>
                <w:rFonts w:hint="eastAsia"/>
              </w:rPr>
              <w:t>～</w:t>
            </w:r>
            <w:r>
              <w:rPr>
                <w:rFonts w:hint="eastAsia"/>
              </w:rPr>
              <w:t>36</w:t>
            </w:r>
            <w:r>
              <w:rPr>
                <w:rFonts w:hint="eastAsia"/>
              </w:rPr>
              <w:t>°</w:t>
            </w:r>
            <w:r>
              <w:rPr>
                <w:rFonts w:hint="eastAsia"/>
              </w:rPr>
              <w:t>/s</w:t>
            </w:r>
            <w:r>
              <w:rPr>
                <w:rFonts w:hint="eastAsia"/>
              </w:rPr>
              <w:t>，误差不大于</w:t>
            </w:r>
            <w:r>
              <w:rPr>
                <w:rFonts w:hint="eastAsia"/>
              </w:rPr>
              <w:t>5%</w:t>
            </w:r>
          </w:p>
        </w:tc>
      </w:tr>
      <w:tr>
        <w:tblPrEx>
          <w:tblW w:w="0" w:type="auto"/>
          <w:jc w:val="center"/>
          <w:tblLayout w:type="fixed"/>
          <w:tblLook w:val="04A0"/>
        </w:tblPrEx>
        <w:trPr>
          <w:trHeight w:val="315"/>
          <w:jc w:val="center"/>
        </w:trPr>
        <w:tc>
          <w:tcPr>
            <w:tcW w:w="2185" w:type="dxa"/>
            <w:vMerge/>
            <w:tcBorders>
              <w:left w:val="single" w:sz="4" w:space="0" w:color="auto"/>
              <w:bottom w:val="single" w:sz="4" w:space="0" w:color="auto"/>
              <w:right w:val="single" w:sz="4" w:space="0" w:color="auto"/>
            </w:tcBorders>
            <w:vAlign w:val="center"/>
          </w:tcPr>
          <w:p w:rsidR="00A133B9">
            <w:pPr>
              <w:spacing w:line="460" w:lineRule="exact"/>
              <w:rPr>
                <w:rFonts w:ascii="仿宋" w:hAnsi="仿宋" w:cs="仿宋"/>
              </w:rPr>
            </w:pPr>
          </w:p>
        </w:tc>
        <w:tc>
          <w:tcPr>
            <w:tcW w:w="1701" w:type="dxa"/>
            <w:tcBorders>
              <w:left w:val="single" w:sz="4" w:space="0" w:color="auto"/>
              <w:bottom w:val="single" w:sz="4" w:space="0" w:color="auto"/>
              <w:right w:val="single" w:sz="4" w:space="0" w:color="auto"/>
            </w:tcBorders>
            <w:vAlign w:val="center"/>
          </w:tcPr>
          <w:p w:rsidR="00A133B9">
            <w:pPr>
              <w:spacing w:line="460" w:lineRule="exact"/>
            </w:pPr>
            <w:r>
              <w:rPr>
                <w:rFonts w:hint="eastAsia"/>
              </w:rPr>
              <w:t>俯仰</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0</w:t>
            </w:r>
            <w:r>
              <w:rPr>
                <w:rFonts w:hint="eastAsia"/>
              </w:rPr>
              <w:t>～</w:t>
            </w:r>
            <w:r>
              <w:rPr>
                <w:rFonts w:hint="eastAsia"/>
              </w:rPr>
              <w:t>12</w:t>
            </w:r>
            <w:r>
              <w:rPr>
                <w:rFonts w:hint="eastAsia"/>
              </w:rPr>
              <w:t>°</w:t>
            </w:r>
            <w:r>
              <w:rPr>
                <w:rFonts w:hint="eastAsia"/>
              </w:rPr>
              <w:t>/s</w:t>
            </w:r>
            <w:r>
              <w:rPr>
                <w:rFonts w:hint="eastAsia"/>
              </w:rPr>
              <w:t>，误差不大于</w:t>
            </w:r>
            <w:r>
              <w:rPr>
                <w:rFonts w:hint="eastAsia"/>
              </w:rPr>
              <w:t>5%</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天线控制方式</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预置全自动、人工干预自动</w:t>
            </w:r>
            <w:r>
              <w:t>/</w:t>
            </w:r>
            <w:r>
              <w:rPr>
                <w:rFonts w:hint="eastAsia"/>
              </w:rPr>
              <w:t>手动控制</w:t>
            </w:r>
          </w:p>
        </w:tc>
      </w:tr>
      <w:tr>
        <w:tblPrEx>
          <w:tblW w:w="0" w:type="auto"/>
          <w:jc w:val="center"/>
          <w:tblLayout w:type="fixed"/>
          <w:tblLook w:val="04A0"/>
        </w:tblPrEx>
        <w:trPr>
          <w:trHeight w:val="305"/>
          <w:jc w:val="center"/>
        </w:trPr>
        <w:tc>
          <w:tcPr>
            <w:tcW w:w="2185"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ascii="宋体" w:hAnsi="宋体" w:cs="宋体" w:hint="eastAsia"/>
                <w:b/>
                <w:bCs/>
              </w:rPr>
              <w:t>#</w:t>
            </w:r>
            <w:r>
              <w:rPr>
                <w:rFonts w:hint="eastAsia"/>
              </w:rPr>
              <w:t>天线控制精度误差</w:t>
            </w: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方位</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0.05°</w:t>
            </w:r>
            <w:r>
              <w:rPr>
                <w:rFonts w:hint="eastAsia"/>
              </w:rPr>
              <w:t>之间</w:t>
            </w:r>
          </w:p>
        </w:tc>
      </w:tr>
      <w:tr>
        <w:tblPrEx>
          <w:tblW w:w="0" w:type="auto"/>
          <w:jc w:val="center"/>
          <w:tblLayout w:type="fixed"/>
          <w:tblLook w:val="04A0"/>
        </w:tblPrEx>
        <w:trPr>
          <w:trHeight w:val="256"/>
          <w:jc w:val="center"/>
        </w:trPr>
        <w:tc>
          <w:tcPr>
            <w:tcW w:w="2185"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俯仰</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0.05°</w:t>
            </w:r>
            <w:r>
              <w:rPr>
                <w:rFonts w:hint="eastAsia"/>
              </w:rPr>
              <w:t>之间</w:t>
            </w:r>
          </w:p>
        </w:tc>
      </w:tr>
      <w:tr>
        <w:tblPrEx>
          <w:tblW w:w="0" w:type="auto"/>
          <w:jc w:val="center"/>
          <w:tblLayout w:type="fixed"/>
          <w:tblLook w:val="04A0"/>
        </w:tblPrEx>
        <w:trPr>
          <w:trHeight w:val="288"/>
          <w:jc w:val="center"/>
        </w:trPr>
        <w:tc>
          <w:tcPr>
            <w:tcW w:w="2185"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ascii="宋体" w:hAnsi="宋体" w:cs="宋体" w:hint="eastAsia"/>
                <w:b/>
                <w:bCs/>
              </w:rPr>
              <w:t>#</w:t>
            </w:r>
            <w:r>
              <w:rPr>
                <w:rFonts w:hint="eastAsia"/>
              </w:rPr>
              <w:t>天线波束指向误差</w:t>
            </w: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方位</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0.05°</w:t>
            </w:r>
            <w:r>
              <w:rPr>
                <w:rFonts w:hint="eastAsia"/>
              </w:rPr>
              <w:t>之间</w:t>
            </w:r>
          </w:p>
        </w:tc>
      </w:tr>
      <w:tr>
        <w:tblPrEx>
          <w:tblW w:w="0" w:type="auto"/>
          <w:jc w:val="center"/>
          <w:tblLayout w:type="fixed"/>
          <w:tblLook w:val="04A0"/>
        </w:tblPrEx>
        <w:trPr>
          <w:trHeight w:val="291"/>
          <w:jc w:val="center"/>
        </w:trPr>
        <w:tc>
          <w:tcPr>
            <w:tcW w:w="2185"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70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俯仰</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0.05°</w:t>
            </w:r>
            <w:r>
              <w:rPr>
                <w:rFonts w:hint="eastAsia"/>
              </w:rPr>
              <w:t>之间</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天线控制字长</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16</w:t>
            </w:r>
            <w:r>
              <w:rPr>
                <w:rFonts w:hint="eastAsia"/>
              </w:rPr>
              <w:t>位</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角度编码器字长</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t>16</w:t>
            </w:r>
            <w:r>
              <w:rPr>
                <w:rFonts w:hint="eastAsia"/>
              </w:rPr>
              <w:t>位</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角码传输延迟</w:t>
            </w:r>
            <w:r>
              <w:rPr>
                <w:rFonts w:hint="eastAsia"/>
              </w:rPr>
              <w:t>时间</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w:t>
            </w:r>
            <w:r>
              <w:rPr>
                <w:rFonts w:hint="eastAsia"/>
              </w:rPr>
              <w:t>5ms</w:t>
            </w:r>
          </w:p>
        </w:tc>
      </w:tr>
      <w:tr>
        <w:tblPrEx>
          <w:tblW w:w="0" w:type="auto"/>
          <w:jc w:val="center"/>
          <w:tblLayout w:type="fixed"/>
          <w:tblLook w:val="04A0"/>
        </w:tblPrEx>
        <w:trPr>
          <w:trHeight w:val="160"/>
          <w:jc w:val="center"/>
        </w:trPr>
        <w:tc>
          <w:tcPr>
            <w:tcW w:w="3886" w:type="dxa"/>
            <w:gridSpan w:val="2"/>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安全与保护</w:t>
            </w:r>
          </w:p>
        </w:tc>
        <w:tc>
          <w:tcPr>
            <w:tcW w:w="4451" w:type="dxa"/>
            <w:tcBorders>
              <w:top w:val="single" w:sz="4" w:space="0" w:color="auto"/>
              <w:left w:val="single" w:sz="4" w:space="0" w:color="auto"/>
              <w:bottom w:val="single" w:sz="4" w:space="0" w:color="auto"/>
              <w:right w:val="single" w:sz="4" w:space="0" w:color="auto"/>
            </w:tcBorders>
            <w:vAlign w:val="center"/>
          </w:tcPr>
          <w:p w:rsidR="00A133B9">
            <w:pPr>
              <w:spacing w:line="460" w:lineRule="exact"/>
            </w:pPr>
            <w:r>
              <w:rPr>
                <w:rFonts w:hint="eastAsia"/>
              </w:rPr>
              <w:t>天线在方位、俯仰机构上应有电气、机械安全设施，以保护天线在工作与运输过程中的安全。方位、俯仰控制应有保护电路；天线在俯仰角最低和最高处应有机械安全开关，保证天线</w:t>
            </w:r>
            <w:r>
              <w:rPr>
                <w:rFonts w:hint="eastAsia"/>
              </w:rPr>
              <w:t>上仰不超过</w:t>
            </w:r>
            <w:r>
              <w:rPr>
                <w:rFonts w:hint="eastAsia"/>
              </w:rPr>
              <w:t>最高限位，下俯不低于最低限位；天线在方位和俯仰角上均应有机械锁定机构，防止天线在运输和架设过程中发生晃动。具有俯仰电源、方位电源故障监测以及天线状态监测等</w:t>
            </w:r>
          </w:p>
        </w:tc>
      </w:tr>
    </w:tbl>
    <w:p w:rsidR="00A133B9"/>
    <w:p w:rsidR="00A133B9">
      <w:pPr>
        <w:spacing w:line="360" w:lineRule="auto"/>
        <w:ind w:firstLine="420" w:firstLineChars="200"/>
        <w:rPr>
          <w:rFonts w:ascii="宋体" w:hAnsi="宋体"/>
          <w:b/>
          <w:bCs/>
          <w:szCs w:val="21"/>
        </w:rPr>
      </w:pPr>
      <w:r>
        <w:rPr>
          <w:rFonts w:ascii="宋体" w:hAnsi="宋体" w:hint="eastAsia"/>
          <w:b/>
          <w:bCs/>
          <w:szCs w:val="21"/>
        </w:rPr>
        <w:t>3.4.</w:t>
      </w:r>
      <w:r>
        <w:rPr>
          <w:rFonts w:ascii="宋体" w:hAnsi="宋体" w:hint="eastAsia"/>
          <w:b/>
          <w:bCs/>
          <w:szCs w:val="21"/>
        </w:rPr>
        <w:t>发射机技术指标</w:t>
      </w:r>
    </w:p>
    <w:tbl>
      <w:tblPr>
        <w:tblStyle w:val="TableNormal"/>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20"/>
        <w:gridCol w:w="5468"/>
      </w:tblGrid>
      <w:tr>
        <w:tblPrEx>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4"/>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jc w:val="center"/>
            </w:pPr>
            <w:r>
              <w:rPr>
                <w:rFonts w:hint="eastAsia"/>
              </w:rPr>
              <w:t>项目</w:t>
            </w:r>
          </w:p>
        </w:tc>
        <w:tc>
          <w:tcPr>
            <w:tcW w:w="5468" w:type="dxa"/>
            <w:tcBorders>
              <w:top w:val="single" w:sz="4" w:space="0" w:color="auto"/>
              <w:left w:val="single" w:sz="4" w:space="0" w:color="auto"/>
              <w:right w:val="single" w:sz="4" w:space="0" w:color="auto"/>
            </w:tcBorders>
            <w:vAlign w:val="center"/>
          </w:tcPr>
          <w:p w:rsidR="00A133B9">
            <w:pPr>
              <w:spacing w:line="360" w:lineRule="exact"/>
              <w:jc w:val="center"/>
            </w:pPr>
            <w:r>
              <w:rPr>
                <w:rFonts w:hint="eastAsia"/>
              </w:rPr>
              <w:t>性能指标</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发射机形式</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全固态功率合成</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寿命</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全寿命周期</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工作频率</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9.3</w:t>
            </w:r>
            <w:r>
              <w:rPr>
                <w:rFonts w:hint="eastAsia"/>
              </w:rPr>
              <w:t>～</w:t>
            </w:r>
            <w:r>
              <w:t>9.5GHz</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ascii="宋体" w:hAnsi="宋体" w:cs="宋体" w:hint="eastAsia"/>
                <w:b/>
                <w:bCs/>
              </w:rPr>
              <w:t>#</w:t>
            </w:r>
            <w:r>
              <w:rPr>
                <w:rFonts w:hint="eastAsia"/>
              </w:rPr>
              <w:t>输出峰值功率（单通道）</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w:t>
            </w:r>
            <w:r>
              <w:rPr>
                <w:rFonts w:hint="eastAsia"/>
              </w:rPr>
              <w:t>500</w:t>
            </w:r>
            <w:r>
              <w:t>W</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脉冲重复频率</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500Hz</w:t>
            </w:r>
            <w:r>
              <w:rPr>
                <w:rFonts w:hint="eastAsia"/>
              </w:rPr>
              <w:t>～</w:t>
            </w:r>
            <w:r>
              <w:t>3000Hz</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机内功率检测波动</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≤0.2dB</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脉冲宽度</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0.5</w:t>
            </w:r>
            <w:r>
              <w:rPr>
                <w:rFonts w:hint="eastAsia"/>
              </w:rPr>
              <w:t>～</w:t>
            </w:r>
            <w:r>
              <w:t>200μs</w:t>
            </w:r>
            <w:r>
              <w:rPr>
                <w:rFonts w:hint="eastAsia"/>
              </w:rPr>
              <w:t>（可选）</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谐波和杂散抑制</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≥40dB</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改善因子</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t>≥50dB</w:t>
            </w:r>
          </w:p>
        </w:tc>
      </w:tr>
      <w:tr>
        <w:tblPrEx>
          <w:tblW w:w="8388" w:type="dxa"/>
          <w:jc w:val="center"/>
          <w:tblLayout w:type="fixed"/>
          <w:tblLook w:val="04A0"/>
        </w:tblPrEx>
        <w:trPr>
          <w:jc w:val="center"/>
        </w:trPr>
        <w:tc>
          <w:tcPr>
            <w:tcW w:w="2920" w:type="dxa"/>
            <w:tcBorders>
              <w:top w:val="single" w:sz="4" w:space="0" w:color="auto"/>
              <w:left w:val="single" w:sz="4" w:space="0" w:color="auto"/>
              <w:bottom w:val="single" w:sz="4" w:space="0" w:color="auto"/>
              <w:right w:val="single" w:sz="4" w:space="0" w:color="auto"/>
            </w:tcBorders>
            <w:vAlign w:val="center"/>
          </w:tcPr>
          <w:p w:rsidR="00A133B9">
            <w:pPr>
              <w:spacing w:line="360" w:lineRule="exact"/>
            </w:pPr>
            <w:r>
              <w:rPr>
                <w:rFonts w:hint="eastAsia"/>
              </w:rPr>
              <w:t>故障检测和保护</w:t>
            </w:r>
          </w:p>
        </w:tc>
        <w:tc>
          <w:tcPr>
            <w:tcW w:w="5468" w:type="dxa"/>
            <w:tcBorders>
              <w:top w:val="single" w:sz="4" w:space="0" w:color="auto"/>
              <w:left w:val="single" w:sz="4" w:space="0" w:color="auto"/>
              <w:bottom w:val="single" w:sz="4" w:space="0" w:color="auto"/>
              <w:right w:val="single" w:sz="4" w:space="0" w:color="auto"/>
            </w:tcBorders>
            <w:vAlign w:val="center"/>
          </w:tcPr>
          <w:p w:rsidR="00A133B9">
            <w:pPr>
              <w:spacing w:line="360" w:lineRule="auto"/>
            </w:pPr>
            <w:r>
              <w:rPr>
                <w:rFonts w:hint="eastAsia"/>
              </w:rPr>
              <w:t>发生过占空比、过脉宽、发生过温、过流等情况时可报警并实现自保；输出功率低时输出报警信号。</w:t>
            </w:r>
          </w:p>
        </w:tc>
      </w:tr>
    </w:tbl>
    <w:p w:rsidR="00A133B9"/>
    <w:p w:rsidR="00A133B9">
      <w:pPr>
        <w:spacing w:line="360" w:lineRule="auto"/>
        <w:ind w:firstLine="420" w:firstLineChars="200"/>
        <w:rPr>
          <w:rFonts w:ascii="宋体" w:hAnsi="宋体"/>
          <w:b/>
          <w:bCs/>
          <w:szCs w:val="21"/>
        </w:rPr>
      </w:pPr>
      <w:r>
        <w:rPr>
          <w:rFonts w:ascii="宋体" w:hAnsi="宋体" w:hint="eastAsia"/>
          <w:b/>
          <w:bCs/>
          <w:szCs w:val="21"/>
        </w:rPr>
        <w:t>3.5.</w:t>
      </w:r>
      <w:r>
        <w:rPr>
          <w:rFonts w:ascii="宋体" w:hAnsi="宋体" w:hint="eastAsia"/>
          <w:b/>
          <w:bCs/>
          <w:szCs w:val="21"/>
        </w:rPr>
        <w:t>接收机技术指标</w:t>
      </w:r>
    </w:p>
    <w:tbl>
      <w:tblPr>
        <w:tblStyle w:val="TableNormal"/>
        <w:tblW w:w="8398"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1800"/>
        <w:gridCol w:w="4798"/>
      </w:tblGrid>
      <w:tr>
        <w:tblPrEx>
          <w:tblW w:w="8398"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88"/>
        </w:trPr>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jc w:val="center"/>
            </w:pPr>
            <w:r>
              <w:rPr>
                <w:rFonts w:hint="eastAsia"/>
              </w:rPr>
              <w:t>项目</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jc w:val="center"/>
            </w:pPr>
            <w:r>
              <w:rPr>
                <w:rFonts w:hint="eastAsia"/>
              </w:rPr>
              <w:t>性能指标</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工作频率</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9.3</w:t>
            </w:r>
            <w:r>
              <w:rPr>
                <w:rFonts w:hint="eastAsia"/>
              </w:rPr>
              <w:t>～</w:t>
            </w:r>
            <w:r>
              <w:t>9.5GHz</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ascii="宋体" w:hAnsi="宋体" w:cs="宋体" w:hint="eastAsia"/>
                <w:b/>
                <w:bCs/>
              </w:rPr>
              <w:t>#</w:t>
            </w:r>
            <w:r>
              <w:rPr>
                <w:rFonts w:hint="eastAsia"/>
              </w:rPr>
              <w:t>噪声系数</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≤3dB</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ascii="宋体" w:hAnsi="宋体" w:cs="宋体" w:hint="eastAsia"/>
                <w:b/>
                <w:bCs/>
              </w:rPr>
              <w:t>#</w:t>
            </w:r>
            <w:r>
              <w:rPr>
                <w:rFonts w:hint="eastAsia"/>
              </w:rPr>
              <w:t>线性动态范围</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≥95dB</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最小可测功率（灵敏度）</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40" w:lineRule="exact"/>
            </w:pPr>
            <w:r>
              <w:t>≤-107dBm</w:t>
            </w:r>
            <w:r>
              <w:rPr>
                <w:rFonts w:hint="eastAsia"/>
              </w:rPr>
              <w:t>（带宽</w:t>
            </w:r>
            <w:r>
              <w:t>2MHz</w:t>
            </w:r>
            <w:r>
              <w:rPr>
                <w:rFonts w:hint="eastAsia"/>
              </w:rPr>
              <w:t>）；</w:t>
            </w:r>
          </w:p>
          <w:p w:rsidR="00A133B9">
            <w:pPr>
              <w:spacing w:line="340" w:lineRule="exact"/>
            </w:pPr>
            <w:r>
              <w:t>≤-110dBm</w:t>
            </w:r>
            <w:r>
              <w:rPr>
                <w:rFonts w:hint="eastAsia"/>
              </w:rPr>
              <w:t>（带宽</w:t>
            </w:r>
            <w:r>
              <w:t>1MHz</w:t>
            </w:r>
            <w:r>
              <w:rPr>
                <w:rFonts w:hint="eastAsia"/>
              </w:rPr>
              <w:t>）</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bookmarkStart w:id="60" w:name="_Hlk523994220"/>
            <w:r>
              <w:rPr>
                <w:rFonts w:hint="eastAsia"/>
              </w:rPr>
              <w:t>输出改善因子</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40" w:lineRule="exact"/>
            </w:pPr>
            <w:r>
              <w:t>≥52dB</w:t>
            </w:r>
          </w:p>
        </w:tc>
      </w:tr>
      <w:bookmarkEnd w:id="60"/>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温度波动范围（采用恒温接收机）</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40" w:lineRule="exact"/>
            </w:pPr>
            <w:r>
              <w:rPr>
                <w:rFonts w:ascii="宋体" w:hAnsi="宋体" w:hint="eastAsia"/>
              </w:rPr>
              <w:t>±</w:t>
            </w:r>
            <w:r>
              <w:t>2</w:t>
            </w:r>
            <w:r>
              <w:rPr>
                <w:rFonts w:hint="eastAsia"/>
              </w:rPr>
              <w:t>℃范围内（工作温度点）</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镜频抑制</w:t>
            </w:r>
            <w:r>
              <w:rPr>
                <w:rFonts w:hint="eastAsia"/>
              </w:rPr>
              <w:t>度</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≥60dB</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中频输出杂散</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≤-60dBc</w:t>
            </w:r>
          </w:p>
        </w:tc>
      </w:tr>
      <w:tr>
        <w:tblPrEx>
          <w:tblW w:w="8398" w:type="dxa"/>
          <w:tblInd w:w="344" w:type="dxa"/>
          <w:tblLayout w:type="fixed"/>
          <w:tblLook w:val="04A0"/>
        </w:tblPrEx>
        <w:trPr>
          <w:trHeight w:val="469"/>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相位噪声</w:t>
            </w:r>
          </w:p>
          <w:p w:rsidR="00A133B9">
            <w:pPr>
              <w:spacing w:line="320" w:lineRule="exact"/>
            </w:pPr>
            <w:r>
              <w:rPr>
                <w:rFonts w:hint="eastAsia"/>
              </w:rPr>
              <w:t>（本振）</w:t>
            </w:r>
          </w:p>
        </w:tc>
        <w:tc>
          <w:tcPr>
            <w:tcW w:w="1800"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@1KHz</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 xml:space="preserve">≤-110dBc/Hz </w:t>
            </w:r>
          </w:p>
        </w:tc>
      </w:tr>
      <w:tr>
        <w:tblPrEx>
          <w:tblW w:w="8398" w:type="dxa"/>
          <w:tblInd w:w="344" w:type="dxa"/>
          <w:tblLayout w:type="fixed"/>
          <w:tblLook w:val="04A0"/>
        </w:tblPrEx>
        <w:trPr>
          <w:trHeight w:val="468"/>
        </w:trPr>
        <w:tc>
          <w:tcPr>
            <w:tcW w:w="1800" w:type="dxa"/>
            <w:vMerge/>
            <w:tcBorders>
              <w:top w:val="single" w:sz="4" w:space="0" w:color="auto"/>
              <w:left w:val="single" w:sz="4" w:space="0" w:color="auto"/>
              <w:bottom w:val="single" w:sz="4" w:space="0" w:color="auto"/>
              <w:right w:val="single" w:sz="4" w:space="0" w:color="auto"/>
            </w:tcBorders>
            <w:vAlign w:val="center"/>
          </w:tcPr>
          <w:p w:rsidR="00A133B9">
            <w:pPr>
              <w:widowControl/>
            </w:pPr>
          </w:p>
        </w:tc>
        <w:tc>
          <w:tcPr>
            <w:tcW w:w="1800"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@10KHz</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 xml:space="preserve">≤-115dBc/Hz </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谐波和杂散抑制</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≥60dB</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本振中的射频信号抑制</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≥60dB</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数字中频</w:t>
            </w:r>
            <w:r>
              <w:t>A/D</w:t>
            </w:r>
            <w:r>
              <w:rPr>
                <w:rFonts w:hint="eastAsia"/>
              </w:rPr>
              <w:t>位数</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20" w:lineRule="exact"/>
            </w:pPr>
            <w:r>
              <w:t>≥16</w:t>
            </w:r>
            <w:r>
              <w:rPr>
                <w:rFonts w:hint="eastAsia"/>
              </w:rPr>
              <w:t>位</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温度动态范围（采用恒温接收机）</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60" w:lineRule="auto"/>
            </w:pPr>
            <w:r>
              <w:rPr>
                <w:rFonts w:hint="eastAsia"/>
              </w:rPr>
              <w:t>±</w:t>
            </w:r>
            <w:r>
              <w:rPr>
                <w:rFonts w:hint="eastAsia"/>
              </w:rPr>
              <w:t>2</w:t>
            </w:r>
            <w:r>
              <w:rPr>
                <w:rFonts w:hint="eastAsia"/>
              </w:rPr>
              <w:t>℃范围内（工作温度点）。当环境温度为</w:t>
            </w:r>
            <w:r>
              <w:rPr>
                <w:rFonts w:hint="eastAsia"/>
              </w:rPr>
              <w:t xml:space="preserve"> 0 </w:t>
            </w:r>
            <w:r>
              <w:rPr>
                <w:rFonts w:hint="eastAsia"/>
              </w:rPr>
              <w:t>度或</w:t>
            </w:r>
            <w:r>
              <w:rPr>
                <w:rFonts w:hint="eastAsia"/>
              </w:rPr>
              <w:t xml:space="preserve">+40 </w:t>
            </w:r>
            <w:r>
              <w:rPr>
                <w:rFonts w:hint="eastAsia"/>
              </w:rPr>
              <w:t>度，达到恒定温度的时间：不超过</w:t>
            </w:r>
            <w:r>
              <w:rPr>
                <w:rFonts w:hint="eastAsia"/>
              </w:rPr>
              <w:t xml:space="preserve"> 10 </w:t>
            </w:r>
            <w:r>
              <w:rPr>
                <w:rFonts w:hint="eastAsia"/>
              </w:rPr>
              <w:t>分钟；当环境温度为</w:t>
            </w:r>
            <w:r>
              <w:rPr>
                <w:rFonts w:hint="eastAsia"/>
              </w:rPr>
              <w:t xml:space="preserve">-30 </w:t>
            </w:r>
            <w:r>
              <w:rPr>
                <w:rFonts w:hint="eastAsia"/>
              </w:rPr>
              <w:t>度或</w:t>
            </w:r>
            <w:r>
              <w:rPr>
                <w:rFonts w:hint="eastAsia"/>
              </w:rPr>
              <w:t xml:space="preserve">+50 </w:t>
            </w:r>
            <w:r>
              <w:rPr>
                <w:rFonts w:hint="eastAsia"/>
              </w:rPr>
              <w:t>度，达到恒定温度的时间：不超过</w:t>
            </w:r>
            <w:r>
              <w:rPr>
                <w:rFonts w:hint="eastAsia"/>
              </w:rPr>
              <w:t xml:space="preserve"> 30 </w:t>
            </w:r>
            <w:r>
              <w:rPr>
                <w:rFonts w:hint="eastAsia"/>
              </w:rPr>
              <w:t>分钟。</w:t>
            </w:r>
          </w:p>
        </w:tc>
      </w:tr>
      <w:tr>
        <w:tblPrEx>
          <w:tblW w:w="8398" w:type="dxa"/>
          <w:tblInd w:w="344" w:type="dxa"/>
          <w:tblLayout w:type="fixed"/>
          <w:tblLook w:val="04A0"/>
        </w:tblPrEx>
        <w:tc>
          <w:tcPr>
            <w:tcW w:w="3600" w:type="dxa"/>
            <w:gridSpan w:val="2"/>
            <w:tcBorders>
              <w:top w:val="single" w:sz="4" w:space="0" w:color="auto"/>
              <w:left w:val="single" w:sz="4" w:space="0" w:color="auto"/>
              <w:bottom w:val="single" w:sz="4" w:space="0" w:color="auto"/>
              <w:right w:val="single" w:sz="4" w:space="0" w:color="auto"/>
            </w:tcBorders>
            <w:vAlign w:val="center"/>
          </w:tcPr>
          <w:p w:rsidR="00A133B9">
            <w:pPr>
              <w:spacing w:line="320" w:lineRule="exact"/>
            </w:pPr>
            <w:r>
              <w:rPr>
                <w:rFonts w:hint="eastAsia"/>
              </w:rPr>
              <w:t>故障检测和保护</w:t>
            </w:r>
          </w:p>
        </w:tc>
        <w:tc>
          <w:tcPr>
            <w:tcW w:w="4798" w:type="dxa"/>
            <w:tcBorders>
              <w:top w:val="single" w:sz="4" w:space="0" w:color="auto"/>
              <w:left w:val="single" w:sz="4" w:space="0" w:color="auto"/>
              <w:bottom w:val="single" w:sz="4" w:space="0" w:color="auto"/>
              <w:right w:val="single" w:sz="4" w:space="0" w:color="auto"/>
            </w:tcBorders>
            <w:vAlign w:val="center"/>
          </w:tcPr>
          <w:p w:rsidR="00A133B9">
            <w:pPr>
              <w:spacing w:line="360" w:lineRule="auto"/>
            </w:pPr>
            <w:r>
              <w:rPr>
                <w:rFonts w:hint="eastAsia"/>
              </w:rPr>
              <w:t>发生本振故障、激励故障、时钟故障、</w:t>
            </w:r>
            <w:r>
              <w:t>CW</w:t>
            </w:r>
            <w:r>
              <w:rPr>
                <w:rFonts w:hint="eastAsia"/>
              </w:rPr>
              <w:t>信号和</w:t>
            </w:r>
            <w:r>
              <w:t>RFD</w:t>
            </w:r>
            <w:r>
              <w:rPr>
                <w:rFonts w:hint="eastAsia"/>
              </w:rPr>
              <w:t>测量误差超限、噪声系数超限、地杂物抑制超限、双</w:t>
            </w:r>
            <w:r>
              <w:rPr>
                <w:rFonts w:hint="eastAsia"/>
              </w:rPr>
              <w:t>通道幅相一致性</w:t>
            </w:r>
            <w:r>
              <w:rPr>
                <w:rFonts w:hint="eastAsia"/>
              </w:rPr>
              <w:t>超限等情况时可报警。</w:t>
            </w:r>
            <w:r>
              <w:t xml:space="preserve"> </w:t>
            </w:r>
          </w:p>
        </w:tc>
      </w:tr>
    </w:tbl>
    <w:p w:rsidR="00A133B9"/>
    <w:p w:rsidR="00A133B9">
      <w:pPr>
        <w:spacing w:line="360" w:lineRule="auto"/>
        <w:ind w:firstLine="420" w:firstLineChars="200"/>
        <w:rPr>
          <w:rFonts w:ascii="宋体" w:hAnsi="宋体"/>
          <w:b/>
          <w:bCs/>
          <w:szCs w:val="21"/>
        </w:rPr>
      </w:pPr>
      <w:r>
        <w:rPr>
          <w:rFonts w:ascii="宋体" w:hAnsi="宋体" w:hint="eastAsia"/>
          <w:b/>
          <w:bCs/>
          <w:szCs w:val="21"/>
        </w:rPr>
        <w:t>3.6.</w:t>
      </w:r>
      <w:r>
        <w:rPr>
          <w:rFonts w:ascii="宋体" w:hAnsi="宋体" w:hint="eastAsia"/>
          <w:b/>
          <w:bCs/>
          <w:szCs w:val="21"/>
        </w:rPr>
        <w:t>信号处理器技术指标</w:t>
      </w:r>
    </w:p>
    <w:tbl>
      <w:tblPr>
        <w:tblStyle w:val="TableNormal"/>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8"/>
        <w:gridCol w:w="5105"/>
      </w:tblGrid>
      <w:tr>
        <w:tblPrEx>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03"/>
        </w:trPr>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项目</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jc w:val="center"/>
            </w:pPr>
            <w:r>
              <w:rPr>
                <w:rFonts w:hint="eastAsia"/>
              </w:rPr>
              <w:t>性能指标</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脉冲压缩主副瓣比</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w:t>
            </w:r>
            <w:r>
              <w:t>50dB</w:t>
            </w:r>
            <w:r>
              <w:rPr>
                <w:rFonts w:hint="eastAsia"/>
              </w:rPr>
              <w:t>（脉压比≥</w:t>
            </w:r>
            <w:r>
              <w:t>100</w:t>
            </w:r>
            <w:r>
              <w:rPr>
                <w:rFonts w:hint="eastAsia"/>
              </w:rPr>
              <w:t>）</w:t>
            </w:r>
          </w:p>
          <w:p w:rsidR="00A133B9">
            <w:pPr>
              <w:spacing w:line="380" w:lineRule="exact"/>
            </w:pPr>
            <w:r>
              <w:rPr>
                <w:rFonts w:hint="eastAsia"/>
              </w:rPr>
              <w:t>≥</w:t>
            </w:r>
            <w:r>
              <w:t>45dB</w:t>
            </w:r>
            <w:r>
              <w:rPr>
                <w:rFonts w:hint="eastAsia"/>
              </w:rPr>
              <w:t>（脉压比＜</w:t>
            </w:r>
            <w:r>
              <w:t>100</w:t>
            </w:r>
            <w:r>
              <w:rPr>
                <w:rFonts w:hint="eastAsia"/>
              </w:rPr>
              <w:t>）</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距离库长度</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≤75m</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距离库数</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≥2000</w:t>
            </w:r>
            <w:r>
              <w:rPr>
                <w:rFonts w:hint="eastAsia"/>
              </w:rPr>
              <w:t>个</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处理方式</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FFT/PPP</w:t>
            </w:r>
            <w:r>
              <w:rPr>
                <w:rFonts w:hint="eastAsia"/>
              </w:rPr>
              <w:t>等</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相关系数处理方式</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一</w:t>
            </w:r>
            <w:r>
              <w:rPr>
                <w:rFonts w:hint="eastAsia"/>
              </w:rPr>
              <w:t>阶相关</w:t>
            </w:r>
            <w:r>
              <w:rPr>
                <w:rFonts w:hint="eastAsia"/>
              </w:rPr>
              <w:t>或多</w:t>
            </w:r>
            <w:r>
              <w:rPr>
                <w:rFonts w:hint="eastAsia"/>
              </w:rPr>
              <w:t>阶相关</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处理对数</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16</w:t>
            </w:r>
            <w:r>
              <w:rPr>
                <w:rFonts w:hint="eastAsia"/>
              </w:rPr>
              <w:t>、</w:t>
            </w:r>
            <w:r>
              <w:t>32</w:t>
            </w:r>
            <w:r>
              <w:rPr>
                <w:rFonts w:hint="eastAsia"/>
              </w:rPr>
              <w:t>、</w:t>
            </w:r>
            <w:r>
              <w:t>64</w:t>
            </w:r>
            <w:r>
              <w:rPr>
                <w:rFonts w:hint="eastAsia"/>
              </w:rPr>
              <w:t>、</w:t>
            </w:r>
            <w:r>
              <w:t>128</w:t>
            </w:r>
            <w:r>
              <w:rPr>
                <w:rFonts w:hint="eastAsia"/>
              </w:rPr>
              <w:t>、</w:t>
            </w:r>
            <w:r>
              <w:t>256</w:t>
            </w:r>
            <w:r>
              <w:rPr>
                <w:rFonts w:hint="eastAsia"/>
              </w:rPr>
              <w:t>等可选</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地物杂波抑制比</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≥50dB</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bookmarkStart w:id="61" w:name="_Hlk523994884"/>
            <w:r>
              <w:rPr>
                <w:rFonts w:hint="eastAsia"/>
              </w:rPr>
              <w:t>距离退模糊方法</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相位编码或其他等效方法</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速度退模糊方法</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双</w:t>
            </w:r>
            <w:r>
              <w:t>PRF</w:t>
            </w:r>
            <w:r>
              <w:rPr>
                <w:rFonts w:hint="eastAsia"/>
              </w:rPr>
              <w:t>或其它等效方法</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故障检测和保护</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t>IQ</w:t>
            </w:r>
            <w:r>
              <w:rPr>
                <w:rFonts w:hint="eastAsia"/>
              </w:rPr>
              <w:t>数据、数据丢包、参数输出等故障</w:t>
            </w:r>
          </w:p>
        </w:tc>
      </w:tr>
      <w:tr>
        <w:tblPrEx>
          <w:tblW w:w="8363" w:type="dxa"/>
          <w:tblInd w:w="392" w:type="dxa"/>
          <w:tblLayout w:type="fixed"/>
          <w:tblLook w:val="04A0"/>
        </w:tblPrEx>
        <w:tc>
          <w:tcPr>
            <w:tcW w:w="3258" w:type="dxa"/>
            <w:tcBorders>
              <w:top w:val="single" w:sz="4" w:space="0" w:color="auto"/>
              <w:left w:val="single" w:sz="4" w:space="0" w:color="auto"/>
              <w:bottom w:val="single" w:sz="4" w:space="0" w:color="auto"/>
              <w:right w:val="single" w:sz="4" w:space="0" w:color="auto"/>
            </w:tcBorders>
            <w:vAlign w:val="center"/>
          </w:tcPr>
          <w:p w:rsidR="00A133B9">
            <w:pPr>
              <w:spacing w:line="380" w:lineRule="exact"/>
            </w:pPr>
            <w:r>
              <w:rPr>
                <w:rFonts w:hint="eastAsia"/>
              </w:rPr>
              <w:t>其他</w:t>
            </w:r>
          </w:p>
        </w:tc>
        <w:tc>
          <w:tcPr>
            <w:tcW w:w="5105" w:type="dxa"/>
            <w:tcBorders>
              <w:top w:val="single" w:sz="4" w:space="0" w:color="auto"/>
              <w:left w:val="single" w:sz="4" w:space="0" w:color="auto"/>
              <w:bottom w:val="single" w:sz="4" w:space="0" w:color="auto"/>
              <w:right w:val="single" w:sz="4" w:space="0" w:color="auto"/>
            </w:tcBorders>
            <w:vAlign w:val="center"/>
          </w:tcPr>
          <w:p w:rsidR="00A133B9">
            <w:pPr>
              <w:adjustRightInd w:val="0"/>
              <w:snapToGrid w:val="0"/>
              <w:spacing w:line="360" w:lineRule="auto"/>
              <w:rPr>
                <w:rFonts w:ascii="宋体" w:hAnsi="宋体"/>
                <w:szCs w:val="21"/>
              </w:rPr>
            </w:pPr>
            <w:r>
              <w:rPr>
                <w:rFonts w:ascii="宋体" w:hAnsi="宋体" w:hint="eastAsia"/>
                <w:szCs w:val="21"/>
              </w:rPr>
              <w:t>具有与信号带宽相匹配的数字下变频滤波处理和</w:t>
            </w:r>
            <w:r>
              <w:rPr>
                <w:rFonts w:ascii="宋体" w:hAnsi="宋体" w:hint="eastAsia"/>
                <w:szCs w:val="21"/>
              </w:rPr>
              <w:t>NLFM</w:t>
            </w:r>
            <w:r>
              <w:rPr>
                <w:rFonts w:ascii="宋体" w:hAnsi="宋体" w:hint="eastAsia"/>
                <w:szCs w:val="21"/>
              </w:rPr>
              <w:t>信号的脉冲压缩运算能力。</w:t>
            </w:r>
          </w:p>
          <w:p w:rsidR="00A133B9">
            <w:pPr>
              <w:adjustRightInd w:val="0"/>
              <w:snapToGrid w:val="0"/>
              <w:spacing w:line="360" w:lineRule="auto"/>
              <w:rPr>
                <w:rFonts w:ascii="宋体" w:hAnsi="宋体"/>
                <w:szCs w:val="21"/>
              </w:rPr>
            </w:pPr>
            <w:r>
              <w:rPr>
                <w:rFonts w:ascii="宋体" w:hAnsi="宋体" w:hint="eastAsia"/>
                <w:szCs w:val="21"/>
              </w:rPr>
              <w:t>采用先动态</w:t>
            </w:r>
            <w:r>
              <w:rPr>
                <w:rFonts w:ascii="宋体" w:hAnsi="宋体" w:hint="eastAsia"/>
                <w:szCs w:val="21"/>
              </w:rPr>
              <w:t>识别再</w:t>
            </w:r>
            <w:r>
              <w:rPr>
                <w:rFonts w:ascii="宋体" w:hAnsi="宋体" w:hint="eastAsia"/>
                <w:szCs w:val="21"/>
              </w:rPr>
              <w:t>进行自适应频域滤波的方法进行杂波过滤。</w:t>
            </w:r>
          </w:p>
          <w:p w:rsidR="00A133B9">
            <w:pPr>
              <w:adjustRightInd w:val="0"/>
              <w:snapToGrid w:val="0"/>
              <w:spacing w:line="360" w:lineRule="auto"/>
            </w:pPr>
            <w:r>
              <w:rPr>
                <w:rFonts w:ascii="宋体" w:hAnsi="宋体" w:hint="eastAsia"/>
                <w:szCs w:val="21"/>
              </w:rPr>
              <w:t>风电杂波抑制和恢复。</w:t>
            </w:r>
          </w:p>
        </w:tc>
      </w:tr>
      <w:bookmarkEnd w:id="61"/>
    </w:tbl>
    <w:p w:rsidR="00A133B9"/>
    <w:p w:rsidR="00A133B9">
      <w:pPr>
        <w:spacing w:line="360" w:lineRule="auto"/>
        <w:ind w:firstLine="420" w:firstLineChars="200"/>
        <w:rPr>
          <w:rFonts w:ascii="宋体" w:hAnsi="宋体"/>
          <w:b/>
          <w:bCs/>
          <w:szCs w:val="21"/>
        </w:rPr>
      </w:pPr>
      <w:r>
        <w:rPr>
          <w:rFonts w:ascii="宋体" w:hAnsi="宋体" w:hint="eastAsia"/>
          <w:b/>
          <w:bCs/>
          <w:szCs w:val="21"/>
        </w:rPr>
        <w:t>3.7.</w:t>
      </w:r>
      <w:r>
        <w:rPr>
          <w:rFonts w:ascii="宋体" w:hAnsi="宋体" w:hint="eastAsia"/>
          <w:b/>
          <w:bCs/>
          <w:szCs w:val="21"/>
        </w:rPr>
        <w:t>系统组成</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X</w:t>
      </w:r>
      <w:r>
        <w:rPr>
          <w:rFonts w:ascii="宋体" w:hAnsi="宋体" w:hint="eastAsia"/>
          <w:szCs w:val="21"/>
        </w:rPr>
        <w:t>波段雷达具备数据采集、处理、传输、存储、标定、质量控制、状态监控和远程配置及软件升级等功能。</w:t>
      </w:r>
    </w:p>
    <w:p w:rsidR="00A133B9">
      <w:pPr>
        <w:spacing w:line="360" w:lineRule="auto"/>
        <w:ind w:firstLine="420" w:firstLineChars="200"/>
        <w:rPr>
          <w:rFonts w:ascii="宋体" w:hAnsi="宋体"/>
          <w:b/>
          <w:bCs/>
          <w:szCs w:val="21"/>
        </w:rPr>
      </w:pPr>
      <w:r>
        <w:rPr>
          <w:rFonts w:ascii="宋体" w:hAnsi="宋体" w:hint="eastAsia"/>
          <w:b/>
          <w:bCs/>
          <w:szCs w:val="21"/>
        </w:rPr>
        <w:t>3.8.</w:t>
      </w:r>
      <w:r>
        <w:rPr>
          <w:rFonts w:ascii="宋体" w:hAnsi="宋体" w:hint="eastAsia"/>
          <w:b/>
          <w:bCs/>
          <w:szCs w:val="21"/>
        </w:rPr>
        <w:t>显示与控制终端技术性能要求</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实时显示雷达工作状态和参数，实时显示雷达回波图像。软件设计应符合国家标准，软件结构应便于修改升级与维护，各子程序之间、模块之间和程序单元之间的依赖关系应减少到最低限度。</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）气象产品数据需满足中国气象局下发的《</w:t>
      </w:r>
      <w:r>
        <w:rPr>
          <w:rFonts w:ascii="宋体" w:hAnsi="宋体" w:hint="eastAsia"/>
          <w:szCs w:val="21"/>
        </w:rPr>
        <w:t>X</w:t>
      </w:r>
      <w:r>
        <w:rPr>
          <w:rFonts w:ascii="宋体" w:hAnsi="宋体" w:hint="eastAsia"/>
          <w:szCs w:val="21"/>
        </w:rPr>
        <w:t>波段双线偏振多普勒天气雷达系统功能规格需求书》，包括不限于数据格式、数据上传等。</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）图形处理</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各仰角图形显示</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多画面显示</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图形放大</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背景图加载</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游标引导：显示游标所在点的方位、高度、距离、</w:t>
      </w:r>
      <w:r>
        <w:rPr>
          <w:rFonts w:ascii="宋体" w:hAnsi="宋体" w:hint="eastAsia"/>
          <w:szCs w:val="21"/>
        </w:rPr>
        <w:t>数值等数据。</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）性能与状态监控</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具有远程控制功能，可通过气象部门内网（局域网）和公网（广域网）控制远程开关机、观测模式切换等。</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本地、远程在线监测和显示雷达机内测试结果、上</w:t>
      </w:r>
      <w:r>
        <w:rPr>
          <w:rFonts w:ascii="宋体" w:hAnsi="宋体" w:hint="eastAsia"/>
          <w:szCs w:val="21"/>
        </w:rPr>
        <w:t>传基础</w:t>
      </w:r>
      <w:r>
        <w:rPr>
          <w:rFonts w:ascii="宋体" w:hAnsi="宋体" w:hint="eastAsia"/>
          <w:szCs w:val="21"/>
        </w:rPr>
        <w:t>参数、附属设备状态参数等，其中基础参数包括：雷达静态参数、雷达运行模式参数、运行环境参数、雷达在线定时标定参数、雷达在线实时标定参数等。</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完整记录雷达维护维修信息、关键器件更换信息，其中维护维修信息包括适配参数变更、软件更迭、在线标定结果等。</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具有远程软件升级功能。</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）关键参数传输及在线分析能力</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运行监控关键参数可实时上传到云端。</w:t>
      </w:r>
      <w:r>
        <w:rPr>
          <w:rFonts w:ascii="宋体" w:hAnsi="宋体" w:hint="eastAsia"/>
          <w:szCs w:val="21"/>
        </w:rPr>
        <w:t></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具备雷达运行情况综合分析能力，并在线给出健康指数。健康指数由雷达关键运行参数计算得到。</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具备监测的所有实时参数超限告警提示功能。</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具备监测参数和分析结果存储、回放、统计分析等功能。</w:t>
      </w:r>
    </w:p>
    <w:p w:rsidR="00A133B9">
      <w:pPr>
        <w:adjustRightInd w:val="0"/>
        <w:snapToGrid w:val="0"/>
        <w:spacing w:line="360" w:lineRule="auto"/>
        <w:ind w:firstLine="420" w:firstLineChars="200"/>
        <w:rPr>
          <w:rFonts w:ascii="宋体" w:hAnsi="宋体"/>
          <w:szCs w:val="21"/>
        </w:rPr>
      </w:pPr>
      <w:r>
        <w:rPr>
          <w:rFonts w:ascii="Wingdings" w:hAnsi="Wingdings"/>
          <w:szCs w:val="21"/>
        </w:rPr>
        <w:sym w:font="Wingdings" w:char="F0D8"/>
      </w:r>
      <w:r>
        <w:rPr>
          <w:rFonts w:ascii="宋体" w:hAnsi="宋体" w:hint="eastAsia"/>
          <w:szCs w:val="21"/>
        </w:rPr>
        <w:t>具有计算机局域网、计算机广域网等（由用户任选）软件和硬件接口，所需的网络通信条件由采购方提供。</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）协同观测控制</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预留雷达控制接口，能够远程控制雷达切换观测模式、配置扫描参数表，给出详细的说明文档，并配合采购方完成协同观测软硬件调试。</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）软件运行环境要求</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支持主流操作系统，支持</w:t>
      </w:r>
      <w:r>
        <w:rPr>
          <w:rFonts w:ascii="宋体" w:hAnsi="宋体" w:hint="eastAsia"/>
          <w:szCs w:val="21"/>
        </w:rPr>
        <w:t>1000M</w:t>
      </w:r>
      <w:r>
        <w:rPr>
          <w:rFonts w:ascii="宋体" w:hAnsi="宋体" w:hint="eastAsia"/>
          <w:szCs w:val="21"/>
        </w:rPr>
        <w:t>自适应以太网，</w:t>
      </w:r>
      <w:r>
        <w:rPr>
          <w:rFonts w:ascii="宋体" w:hAnsi="宋体" w:hint="eastAsia"/>
          <w:szCs w:val="21"/>
        </w:rPr>
        <w:t>TCP/IP</w:t>
      </w:r>
      <w:r>
        <w:rPr>
          <w:rFonts w:ascii="宋体" w:hAnsi="宋体" w:hint="eastAsia"/>
          <w:szCs w:val="21"/>
        </w:rPr>
        <w:t>或</w:t>
      </w:r>
      <w:r>
        <w:rPr>
          <w:rFonts w:ascii="宋体" w:hAnsi="宋体" w:hint="eastAsia"/>
          <w:szCs w:val="21"/>
        </w:rPr>
        <w:t>UDP</w:t>
      </w:r>
      <w:r>
        <w:rPr>
          <w:rFonts w:ascii="宋体" w:hAnsi="宋体" w:hint="eastAsia"/>
          <w:szCs w:val="21"/>
        </w:rPr>
        <w:t>协议，分辨率至少为</w:t>
      </w:r>
      <w:r>
        <w:rPr>
          <w:rFonts w:ascii="宋体" w:hAnsi="宋体" w:hint="eastAsia"/>
          <w:szCs w:val="21"/>
        </w:rPr>
        <w:t>1280</w:t>
      </w:r>
      <w:r>
        <w:rPr>
          <w:rFonts w:ascii="宋体" w:hAnsi="宋体" w:hint="eastAsia"/>
          <w:szCs w:val="21"/>
        </w:rPr>
        <w:t>×</w:t>
      </w:r>
      <w:r>
        <w:rPr>
          <w:rFonts w:ascii="宋体" w:hAnsi="宋体" w:hint="eastAsia"/>
          <w:szCs w:val="21"/>
        </w:rPr>
        <w:t>1024</w:t>
      </w:r>
      <w:r>
        <w:rPr>
          <w:rFonts w:ascii="宋体" w:hAnsi="宋体" w:hint="eastAsia"/>
          <w:szCs w:val="21"/>
        </w:rPr>
        <w:t>的显示器。</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）系统承载要求</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中标人提供系统运行和应用所必要</w:t>
      </w:r>
      <w:r>
        <w:rPr>
          <w:rFonts w:ascii="宋体" w:hAnsi="宋体" w:hint="eastAsia"/>
          <w:szCs w:val="21"/>
        </w:rPr>
        <w:t>的算力等</w:t>
      </w:r>
      <w:r>
        <w:rPr>
          <w:rFonts w:ascii="宋体" w:hAnsi="宋体" w:hint="eastAsia"/>
          <w:szCs w:val="21"/>
        </w:rPr>
        <w:t>支撑环境，包括但不限于至少</w:t>
      </w:r>
      <w:r>
        <w:rPr>
          <w:rFonts w:ascii="宋体" w:hAnsi="宋体" w:hint="eastAsia"/>
          <w:szCs w:val="21"/>
        </w:rPr>
        <w:t>两台算力资源</w:t>
      </w:r>
      <w:r>
        <w:rPr>
          <w:rFonts w:ascii="宋体" w:hAnsi="宋体" w:hint="eastAsia"/>
          <w:szCs w:val="21"/>
        </w:rPr>
        <w:t>和四台应用终端。</w:t>
      </w:r>
    </w:p>
    <w:p w:rsidR="00A133B9">
      <w:pPr>
        <w:spacing w:line="360" w:lineRule="auto"/>
        <w:ind w:firstLine="420" w:firstLineChars="200"/>
        <w:rPr>
          <w:rFonts w:ascii="宋体" w:hAnsi="宋体"/>
          <w:b/>
          <w:bCs/>
          <w:szCs w:val="21"/>
        </w:rPr>
      </w:pPr>
      <w:r>
        <w:rPr>
          <w:rFonts w:ascii="宋体" w:hAnsi="宋体" w:hint="eastAsia"/>
          <w:b/>
          <w:bCs/>
          <w:szCs w:val="21"/>
        </w:rPr>
        <w:t>3.9.</w:t>
      </w:r>
      <w:r>
        <w:rPr>
          <w:rFonts w:ascii="宋体" w:hAnsi="宋体" w:hint="eastAsia"/>
          <w:b/>
          <w:bCs/>
          <w:szCs w:val="21"/>
        </w:rPr>
        <w:t>环境适应性要求</w:t>
      </w:r>
    </w:p>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）高温的环境适应性要求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5681" w:type="dxa"/>
            <w:gridSpan w:val="2"/>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工作温度（℃）</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贮存温度（℃）</w:t>
            </w:r>
          </w:p>
        </w:tc>
      </w:tr>
      <w:tr>
        <w:tblPrEx>
          <w:tblW w:w="0" w:type="auto"/>
          <w:jc w:val="center"/>
          <w:tblLayout w:type="fixed"/>
          <w:tblLook w:val="04A0"/>
        </w:tblPrEx>
        <w:trPr>
          <w:jc w:val="center"/>
        </w:trPr>
        <w:tc>
          <w:tcPr>
            <w:tcW w:w="284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舱外装置</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舱内装置</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全部设备</w:t>
            </w:r>
          </w:p>
        </w:tc>
      </w:tr>
      <w:tr>
        <w:tblPrEx>
          <w:tblW w:w="0" w:type="auto"/>
          <w:jc w:val="center"/>
          <w:tblLayout w:type="fixed"/>
          <w:tblLook w:val="04A0"/>
        </w:tblPrEx>
        <w:trPr>
          <w:jc w:val="center"/>
        </w:trPr>
        <w:tc>
          <w:tcPr>
            <w:tcW w:w="284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+50</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+40</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+60</w:t>
            </w:r>
          </w:p>
        </w:tc>
      </w:tr>
    </w:tbl>
    <w:p w:rsidR="00A133B9"/>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）低温的环境适应性要求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5681" w:type="dxa"/>
            <w:gridSpan w:val="2"/>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工作温度（℃）</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贮存温度（℃）</w:t>
            </w:r>
          </w:p>
        </w:tc>
      </w:tr>
      <w:tr>
        <w:tblPrEx>
          <w:tblW w:w="0" w:type="auto"/>
          <w:jc w:val="center"/>
          <w:tblLayout w:type="fixed"/>
          <w:tblLook w:val="04A0"/>
        </w:tblPrEx>
        <w:trPr>
          <w:jc w:val="center"/>
        </w:trPr>
        <w:tc>
          <w:tcPr>
            <w:tcW w:w="284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舱外装置</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舱内装置</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全部设备</w:t>
            </w:r>
          </w:p>
        </w:tc>
      </w:tr>
      <w:tr>
        <w:tblPrEx>
          <w:tblW w:w="0" w:type="auto"/>
          <w:jc w:val="center"/>
          <w:tblLayout w:type="fixed"/>
          <w:tblLook w:val="04A0"/>
        </w:tblPrEx>
        <w:trPr>
          <w:jc w:val="center"/>
        </w:trPr>
        <w:tc>
          <w:tcPr>
            <w:tcW w:w="284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-40</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0</w:t>
            </w:r>
          </w:p>
        </w:tc>
        <w:tc>
          <w:tcPr>
            <w:tcW w:w="284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-40</w:t>
            </w:r>
          </w:p>
        </w:tc>
      </w:tr>
    </w:tbl>
    <w:p w:rsidR="00A133B9"/>
    <w:p w:rsidR="00A133B9">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）恒定湿热的环境适应性要求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0"/>
        <w:gridCol w:w="2131"/>
        <w:gridCol w:w="2130"/>
        <w:gridCol w:w="213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使用场所</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相对湿度（</w:t>
            </w:r>
            <w:r>
              <w:rPr>
                <w:rFonts w:ascii="宋体" w:hAnsi="宋体" w:cs="宋体" w:hint="eastAsia"/>
                <w:szCs w:val="21"/>
              </w:rPr>
              <w:t>%</w:t>
            </w:r>
            <w:r>
              <w:rPr>
                <w:rFonts w:ascii="宋体" w:hAnsi="宋体" w:cs="宋体" w:hint="eastAsia"/>
                <w:szCs w:val="21"/>
              </w:rPr>
              <w:t>）</w:t>
            </w:r>
          </w:p>
        </w:tc>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环境温度（℃）</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试验时间（</w:t>
            </w:r>
            <w:r>
              <w:rPr>
                <w:rFonts w:ascii="宋体" w:hAnsi="宋体" w:cs="宋体" w:hint="eastAsia"/>
                <w:szCs w:val="21"/>
              </w:rPr>
              <w:t>h</w:t>
            </w:r>
            <w:r>
              <w:rPr>
                <w:rFonts w:ascii="宋体" w:hAnsi="宋体" w:cs="宋体" w:hint="eastAsia"/>
                <w:szCs w:val="21"/>
              </w:rPr>
              <w:t>）</w:t>
            </w:r>
          </w:p>
        </w:tc>
      </w:tr>
      <w:tr>
        <w:tblPrEx>
          <w:tblW w:w="0" w:type="auto"/>
          <w:jc w:val="center"/>
          <w:tblLayout w:type="fixed"/>
          <w:tblLook w:val="04A0"/>
        </w:tblPrEx>
        <w:trPr>
          <w:jc w:val="center"/>
        </w:trPr>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舱外装置</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95</w:t>
            </w:r>
          </w:p>
        </w:tc>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+35</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48</w:t>
            </w:r>
          </w:p>
        </w:tc>
      </w:tr>
      <w:tr>
        <w:tblPrEx>
          <w:tblW w:w="0" w:type="auto"/>
          <w:jc w:val="center"/>
          <w:tblLayout w:type="fixed"/>
          <w:tblLook w:val="04A0"/>
        </w:tblPrEx>
        <w:trPr>
          <w:jc w:val="center"/>
        </w:trPr>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舱内装置</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90</w:t>
            </w:r>
          </w:p>
        </w:tc>
        <w:tc>
          <w:tcPr>
            <w:tcW w:w="2130"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+30</w:t>
            </w:r>
          </w:p>
        </w:tc>
        <w:tc>
          <w:tcPr>
            <w:tcW w:w="2131" w:type="dxa"/>
            <w:tcBorders>
              <w:top w:val="single" w:sz="4" w:space="0" w:color="auto"/>
              <w:left w:val="single" w:sz="4" w:space="0" w:color="auto"/>
              <w:bottom w:val="single" w:sz="4" w:space="0" w:color="auto"/>
              <w:right w:val="single" w:sz="4" w:space="0" w:color="auto"/>
            </w:tcBorders>
          </w:tcPr>
          <w:p w:rsidR="00A133B9">
            <w:pPr>
              <w:spacing w:line="360" w:lineRule="exact"/>
              <w:rPr>
                <w:rFonts w:ascii="宋体" w:hAnsi="宋体" w:cs="宋体"/>
                <w:szCs w:val="21"/>
              </w:rPr>
            </w:pPr>
            <w:r>
              <w:rPr>
                <w:rFonts w:ascii="宋体" w:hAnsi="宋体" w:cs="宋体" w:hint="eastAsia"/>
                <w:szCs w:val="21"/>
              </w:rPr>
              <w:t>48</w:t>
            </w:r>
          </w:p>
        </w:tc>
      </w:tr>
    </w:tbl>
    <w:p w:rsidR="00A133B9">
      <w:pPr>
        <w:spacing w:line="360" w:lineRule="auto"/>
        <w:ind w:firstLine="420" w:firstLineChars="200"/>
        <w:rPr>
          <w:rFonts w:ascii="宋体" w:hAnsi="宋体"/>
          <w:szCs w:val="21"/>
        </w:rPr>
      </w:pPr>
      <w:r>
        <w:rPr>
          <w:rFonts w:ascii="宋体" w:hAnsi="宋体" w:hint="eastAsia"/>
          <w:szCs w:val="21"/>
        </w:rPr>
        <w:t>四、检验考核要求</w:t>
      </w:r>
    </w:p>
    <w:p w:rsidR="00A133B9">
      <w:pPr>
        <w:snapToGrid w:val="0"/>
        <w:spacing w:line="360" w:lineRule="auto"/>
        <w:ind w:firstLine="420" w:firstLineChars="200"/>
        <w:rPr>
          <w:rFonts w:ascii="宋体" w:hAnsi="宋体" w:cs="宋体"/>
          <w:szCs w:val="21"/>
        </w:rPr>
      </w:pPr>
      <w:r>
        <w:rPr>
          <w:rFonts w:ascii="宋体" w:hAnsi="宋体" w:cs="宋体" w:hint="eastAsia"/>
          <w:szCs w:val="21"/>
        </w:rPr>
        <w:t>X</w:t>
      </w:r>
      <w:r>
        <w:rPr>
          <w:rFonts w:ascii="宋体" w:hAnsi="宋体" w:cs="宋体" w:hint="eastAsia"/>
          <w:szCs w:val="21"/>
        </w:rPr>
        <w:t>波段全</w:t>
      </w:r>
      <w:r>
        <w:rPr>
          <w:rFonts w:ascii="宋体" w:hAnsi="宋体" w:cs="宋体" w:hint="eastAsia"/>
          <w:szCs w:val="21"/>
        </w:rPr>
        <w:t>固态双</w:t>
      </w:r>
      <w:r>
        <w:rPr>
          <w:rFonts w:ascii="宋体" w:hAnsi="宋体" w:cs="宋体" w:hint="eastAsia"/>
          <w:szCs w:val="21"/>
        </w:rPr>
        <w:t>偏振天气雷达获取</w:t>
      </w:r>
      <w:r>
        <w:rPr>
          <w:rFonts w:ascii="宋体" w:hAnsi="宋体" w:cs="宋体" w:hint="eastAsia"/>
          <w:szCs w:val="21"/>
        </w:rPr>
        <w:t>75km</w:t>
      </w:r>
      <w:r>
        <w:rPr>
          <w:rFonts w:ascii="宋体" w:hAnsi="宋体" w:cs="宋体" w:hint="eastAsia"/>
          <w:szCs w:val="21"/>
        </w:rPr>
        <w:t>范围内降水回波结构和径向风场信息。雷达主机包括天线、天线罩、伺服系统、发射机、接收机与信号处理系统，性能指标符合中国气象局综合观测司于</w:t>
      </w:r>
      <w:r>
        <w:rPr>
          <w:rFonts w:ascii="宋体" w:hAnsi="宋体" w:cs="宋体" w:hint="eastAsia"/>
          <w:szCs w:val="21"/>
        </w:rPr>
        <w:t>2019</w:t>
      </w:r>
      <w:r>
        <w:rPr>
          <w:rFonts w:ascii="宋体" w:hAnsi="宋体" w:cs="宋体" w:hint="eastAsia"/>
          <w:szCs w:val="21"/>
        </w:rPr>
        <w:t>年发布的《</w:t>
      </w:r>
      <w:r>
        <w:rPr>
          <w:rFonts w:ascii="宋体" w:hAnsi="宋体" w:cs="宋体" w:hint="eastAsia"/>
          <w:szCs w:val="21"/>
        </w:rPr>
        <w:t>X</w:t>
      </w:r>
      <w:r>
        <w:rPr>
          <w:rFonts w:ascii="宋体" w:hAnsi="宋体" w:cs="宋体" w:hint="eastAsia"/>
          <w:szCs w:val="21"/>
        </w:rPr>
        <w:t>波段双线偏振天气雷达系统功能规格需求书》的要求。</w:t>
      </w:r>
    </w:p>
    <w:p w:rsidR="00A133B9">
      <w:pPr>
        <w:snapToGrid w:val="0"/>
        <w:spacing w:line="360" w:lineRule="auto"/>
        <w:ind w:firstLine="420" w:firstLineChars="200"/>
        <w:rPr>
          <w:rFonts w:ascii="宋体" w:hAnsi="宋体" w:cs="宋体"/>
          <w:szCs w:val="21"/>
        </w:rPr>
      </w:pPr>
      <w:r>
        <w:rPr>
          <w:rFonts w:ascii="宋体" w:hAnsi="宋体" w:cs="宋体" w:hint="eastAsia"/>
          <w:szCs w:val="21"/>
        </w:rPr>
        <w:t>主要技术指标：</w:t>
      </w:r>
    </w:p>
    <w:p w:rsidR="00A133B9">
      <w:pPr>
        <w:snapToGrid w:val="0"/>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）总体指标</w:t>
      </w:r>
    </w:p>
    <w:p w:rsidR="00A133B9">
      <w:pPr>
        <w:snapToGrid w:val="0"/>
        <w:spacing w:line="360" w:lineRule="auto"/>
        <w:ind w:firstLine="420" w:firstLineChars="200"/>
        <w:rPr>
          <w:rFonts w:ascii="宋体" w:hAnsi="宋体" w:cs="宋体"/>
          <w:szCs w:val="21"/>
        </w:rPr>
      </w:pPr>
      <w:r>
        <w:rPr>
          <w:rFonts w:ascii="宋体" w:hAnsi="宋体" w:cs="宋体" w:hint="eastAsia"/>
          <w:szCs w:val="21"/>
        </w:rPr>
        <w:t>雷达体制</w:t>
      </w:r>
      <w:r>
        <w:rPr>
          <w:rFonts w:ascii="宋体" w:hAnsi="宋体" w:cs="宋体" w:hint="eastAsia"/>
          <w:szCs w:val="21"/>
        </w:rPr>
        <w:tab/>
        <w:t>X</w:t>
      </w:r>
      <w:r>
        <w:rPr>
          <w:rFonts w:ascii="宋体" w:hAnsi="宋体" w:cs="宋体" w:hint="eastAsia"/>
          <w:szCs w:val="21"/>
        </w:rPr>
        <w:t>波段全固态机械扫描式双偏振多普勒天气雷达</w:t>
      </w:r>
    </w:p>
    <w:p w:rsidR="00A133B9">
      <w:pPr>
        <w:snapToGrid w:val="0"/>
        <w:spacing w:line="360" w:lineRule="auto"/>
        <w:ind w:firstLine="420" w:firstLineChars="200"/>
        <w:rPr>
          <w:rFonts w:ascii="宋体" w:hAnsi="宋体" w:cs="宋体"/>
          <w:szCs w:val="21"/>
        </w:rPr>
      </w:pPr>
      <w:r>
        <w:rPr>
          <w:rFonts w:ascii="宋体" w:hAnsi="宋体" w:cs="宋体" w:hint="eastAsia"/>
          <w:szCs w:val="21"/>
        </w:rPr>
        <w:t>工作频率</w:t>
      </w:r>
      <w:r>
        <w:rPr>
          <w:rFonts w:ascii="宋体" w:hAnsi="宋体" w:cs="宋体" w:hint="eastAsia"/>
          <w:szCs w:val="21"/>
        </w:rPr>
        <w:tab/>
        <w:t>9.3</w:t>
      </w:r>
      <w:r>
        <w:rPr>
          <w:rFonts w:ascii="宋体" w:hAnsi="宋体" w:cs="宋体" w:hint="eastAsia"/>
          <w:szCs w:val="21"/>
        </w:rPr>
        <w:t>～</w:t>
      </w:r>
      <w:r>
        <w:rPr>
          <w:rFonts w:ascii="宋体" w:hAnsi="宋体" w:cs="宋体" w:hint="eastAsia"/>
          <w:szCs w:val="21"/>
        </w:rPr>
        <w:t>9.5 GHz</w:t>
      </w:r>
      <w:r>
        <w:rPr>
          <w:rFonts w:ascii="宋体" w:hAnsi="宋体" w:cs="宋体" w:hint="eastAsia"/>
          <w:szCs w:val="21"/>
        </w:rPr>
        <w:t>范围内可选</w:t>
      </w:r>
    </w:p>
    <w:p w:rsidR="00A133B9">
      <w:pPr>
        <w:snapToGrid w:val="0"/>
        <w:spacing w:line="360" w:lineRule="auto"/>
        <w:ind w:firstLine="420" w:firstLineChars="200"/>
        <w:rPr>
          <w:rFonts w:ascii="宋体" w:hAnsi="宋体" w:cs="宋体"/>
          <w:szCs w:val="21"/>
        </w:rPr>
      </w:pPr>
      <w:r>
        <w:rPr>
          <w:rFonts w:ascii="宋体" w:hAnsi="宋体" w:cs="宋体" w:hint="eastAsia"/>
          <w:szCs w:val="21"/>
        </w:rPr>
        <w:t>整机寿命</w:t>
      </w:r>
      <w:r>
        <w:rPr>
          <w:rFonts w:ascii="宋体" w:hAnsi="宋体" w:cs="宋体" w:hint="eastAsia"/>
          <w:szCs w:val="21"/>
        </w:rPr>
        <w:tab/>
      </w:r>
      <w:r>
        <w:rPr>
          <w:rFonts w:ascii="宋体" w:hAnsi="宋体" w:cs="宋体" w:hint="eastAsia"/>
          <w:szCs w:val="21"/>
        </w:rPr>
        <w:t>≥</w:t>
      </w:r>
      <w:r>
        <w:rPr>
          <w:rFonts w:ascii="宋体" w:hAnsi="宋体" w:cs="宋体" w:hint="eastAsia"/>
          <w:szCs w:val="21"/>
        </w:rPr>
        <w:t>15</w:t>
      </w:r>
      <w:r>
        <w:rPr>
          <w:rFonts w:ascii="宋体" w:hAnsi="宋体" w:cs="宋体" w:hint="eastAsia"/>
          <w:szCs w:val="21"/>
        </w:rPr>
        <w:t>年</w:t>
      </w:r>
    </w:p>
    <w:p w:rsidR="00A133B9">
      <w:pPr>
        <w:snapToGrid w:val="0"/>
        <w:spacing w:line="360" w:lineRule="auto"/>
        <w:ind w:firstLine="420" w:firstLineChars="200"/>
        <w:rPr>
          <w:rFonts w:ascii="宋体" w:hAnsi="宋体" w:cs="宋体"/>
          <w:szCs w:val="21"/>
        </w:rPr>
      </w:pPr>
      <w:r>
        <w:rPr>
          <w:rFonts w:ascii="宋体" w:hAnsi="宋体" w:cs="宋体" w:hint="eastAsia"/>
          <w:szCs w:val="21"/>
        </w:rPr>
        <w:t>探测距离范围</w:t>
      </w:r>
      <w:r>
        <w:rPr>
          <w:rFonts w:ascii="宋体" w:hAnsi="宋体" w:cs="宋体" w:hint="eastAsia"/>
          <w:szCs w:val="21"/>
        </w:rPr>
        <w:tab/>
      </w:r>
      <w:r>
        <w:rPr>
          <w:rFonts w:ascii="宋体" w:hAnsi="宋体" w:cs="宋体" w:hint="eastAsia"/>
          <w:szCs w:val="21"/>
        </w:rPr>
        <w:t>警戒</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150 km</w:t>
      </w:r>
      <w:r>
        <w:rPr>
          <w:rFonts w:ascii="宋体" w:hAnsi="宋体" w:cs="宋体" w:hint="eastAsia"/>
          <w:szCs w:val="21"/>
        </w:rPr>
        <w:t>，定量</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75 km</w:t>
      </w:r>
    </w:p>
    <w:p w:rsidR="00A133B9">
      <w:pPr>
        <w:snapToGrid w:val="0"/>
        <w:spacing w:line="360" w:lineRule="auto"/>
        <w:ind w:firstLine="420" w:firstLineChars="200"/>
        <w:rPr>
          <w:rFonts w:ascii="宋体" w:hAnsi="宋体" w:cs="宋体"/>
          <w:szCs w:val="21"/>
        </w:rPr>
      </w:pPr>
      <w:r>
        <w:rPr>
          <w:rFonts w:ascii="宋体" w:hAnsi="宋体" w:cs="宋体" w:hint="eastAsia"/>
          <w:szCs w:val="21"/>
        </w:rPr>
        <w:t>分辨率</w:t>
      </w:r>
      <w:r>
        <w:rPr>
          <w:rFonts w:ascii="宋体" w:hAnsi="宋体" w:cs="宋体" w:hint="eastAsia"/>
          <w:szCs w:val="21"/>
        </w:rPr>
        <w:tab/>
      </w:r>
      <w:r>
        <w:rPr>
          <w:rFonts w:ascii="宋体" w:hAnsi="宋体" w:cs="宋体" w:hint="eastAsia"/>
          <w:szCs w:val="21"/>
        </w:rPr>
        <w:t>距离</w:t>
      </w:r>
      <w:r>
        <w:rPr>
          <w:rFonts w:ascii="宋体" w:hAnsi="宋体" w:cs="宋体" w:hint="eastAsia"/>
          <w:szCs w:val="21"/>
        </w:rPr>
        <w:tab/>
      </w:r>
      <w:r>
        <w:rPr>
          <w:rFonts w:ascii="宋体" w:hAnsi="宋体" w:cs="宋体" w:hint="eastAsia"/>
          <w:szCs w:val="21"/>
        </w:rPr>
        <w:t>≤</w:t>
      </w:r>
      <w:r>
        <w:rPr>
          <w:rFonts w:ascii="宋体" w:hAnsi="宋体" w:cs="宋体" w:hint="eastAsia"/>
          <w:szCs w:val="21"/>
        </w:rPr>
        <w:t>75 m</w:t>
      </w:r>
      <w:r>
        <w:rPr>
          <w:rFonts w:ascii="宋体" w:hAnsi="宋体" w:cs="宋体" w:hint="eastAsia"/>
          <w:szCs w:val="21"/>
        </w:rPr>
        <w:t>，角度</w:t>
      </w:r>
      <w:r>
        <w:rPr>
          <w:rFonts w:ascii="宋体" w:hAnsi="宋体" w:cs="宋体" w:hint="eastAsia"/>
          <w:szCs w:val="21"/>
        </w:rPr>
        <w:tab/>
      </w: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p>
    <w:p w:rsidR="00A133B9">
      <w:pPr>
        <w:snapToGrid w:val="0"/>
        <w:spacing w:line="360" w:lineRule="auto"/>
        <w:ind w:firstLine="420" w:firstLineChars="200"/>
        <w:rPr>
          <w:rFonts w:ascii="宋体" w:hAnsi="宋体" w:cs="宋体"/>
          <w:szCs w:val="21"/>
        </w:rPr>
      </w:pPr>
      <w:r>
        <w:rPr>
          <w:rFonts w:ascii="宋体" w:hAnsi="宋体" w:cs="宋体" w:hint="eastAsia"/>
          <w:szCs w:val="21"/>
        </w:rPr>
        <w:t>参数测量精度（均方误差）</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距离</w:t>
      </w:r>
      <w:r>
        <w:rPr>
          <w:rFonts w:ascii="宋体" w:hAnsi="宋体" w:cs="宋体" w:hint="eastAsia"/>
          <w:szCs w:val="21"/>
        </w:rPr>
        <w:tab/>
      </w:r>
      <w:r>
        <w:rPr>
          <w:rFonts w:ascii="宋体" w:hAnsi="宋体" w:cs="宋体" w:hint="eastAsia"/>
          <w:szCs w:val="21"/>
        </w:rPr>
        <w:t>≤</w:t>
      </w:r>
      <w:r>
        <w:rPr>
          <w:rFonts w:ascii="宋体" w:hAnsi="宋体" w:cs="宋体" w:hint="eastAsia"/>
          <w:szCs w:val="21"/>
        </w:rPr>
        <w:t>75 m</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强度</w:t>
      </w:r>
      <w:r>
        <w:rPr>
          <w:rFonts w:ascii="宋体" w:hAnsi="宋体" w:cs="宋体" w:hint="eastAsia"/>
          <w:szCs w:val="21"/>
        </w:rPr>
        <w:tab/>
      </w:r>
      <w:r>
        <w:rPr>
          <w:rFonts w:ascii="宋体" w:hAnsi="宋体" w:cs="宋体" w:hint="eastAsia"/>
          <w:szCs w:val="21"/>
        </w:rPr>
        <w:t>≤±</w:t>
      </w:r>
      <w:r>
        <w:rPr>
          <w:rFonts w:ascii="宋体" w:hAnsi="宋体" w:cs="宋体" w:hint="eastAsia"/>
          <w:szCs w:val="21"/>
        </w:rPr>
        <w:t>1 dB</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速度</w:t>
      </w:r>
      <w:r>
        <w:rPr>
          <w:rFonts w:ascii="宋体" w:hAnsi="宋体" w:cs="宋体" w:hint="eastAsia"/>
          <w:szCs w:val="21"/>
        </w:rPr>
        <w:tab/>
      </w:r>
      <w:r>
        <w:rPr>
          <w:rFonts w:ascii="宋体" w:hAnsi="宋体" w:cs="宋体" w:hint="eastAsia"/>
          <w:szCs w:val="21"/>
        </w:rPr>
        <w:t>≤±</w:t>
      </w:r>
      <w:r>
        <w:rPr>
          <w:rFonts w:ascii="宋体" w:hAnsi="宋体" w:cs="宋体" w:hint="eastAsia"/>
          <w:szCs w:val="21"/>
        </w:rPr>
        <w:t>1 m/s</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谱宽</w:t>
      </w:r>
      <w:r>
        <w:rPr>
          <w:rFonts w:ascii="宋体" w:hAnsi="宋体" w:cs="宋体" w:hint="eastAsia"/>
          <w:szCs w:val="21"/>
        </w:rPr>
        <w:tab/>
      </w:r>
      <w:r>
        <w:rPr>
          <w:rFonts w:ascii="宋体" w:hAnsi="宋体" w:cs="宋体" w:hint="eastAsia"/>
          <w:szCs w:val="21"/>
        </w:rPr>
        <w:t>≤</w:t>
      </w:r>
      <w:r>
        <w:rPr>
          <w:rFonts w:ascii="宋体" w:hAnsi="宋体" w:cs="宋体" w:hint="eastAsia"/>
          <w:szCs w:val="21"/>
        </w:rPr>
        <w:t>1 m/s</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差分反射率因子</w:t>
      </w:r>
      <w:r>
        <w:rPr>
          <w:rFonts w:ascii="宋体" w:hAnsi="宋体" w:cs="宋体" w:hint="eastAsia"/>
          <w:szCs w:val="21"/>
        </w:rPr>
        <w:tab/>
      </w:r>
      <w:r>
        <w:rPr>
          <w:rFonts w:ascii="宋体" w:hAnsi="宋体" w:cs="宋体" w:hint="eastAsia"/>
          <w:szCs w:val="21"/>
        </w:rPr>
        <w:t>≤</w:t>
      </w:r>
      <w:r>
        <w:rPr>
          <w:rFonts w:ascii="宋体" w:hAnsi="宋体" w:cs="宋体" w:hint="eastAsia"/>
          <w:szCs w:val="21"/>
        </w:rPr>
        <w:t>0.2 dB</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差分传播相移</w:t>
      </w:r>
      <w:r>
        <w:rPr>
          <w:rFonts w:ascii="宋体" w:hAnsi="宋体" w:cs="宋体" w:hint="eastAsia"/>
          <w:szCs w:val="21"/>
        </w:rPr>
        <w:tab/>
      </w:r>
      <w:r>
        <w:rPr>
          <w:rFonts w:ascii="宋体" w:hAnsi="宋体" w:cs="宋体" w:hint="eastAsia"/>
          <w:szCs w:val="21"/>
        </w:rPr>
        <w:t>≤</w:t>
      </w:r>
      <w:r>
        <w:rPr>
          <w:rFonts w:ascii="宋体" w:hAnsi="宋体" w:cs="宋体" w:hint="eastAsia"/>
          <w:szCs w:val="21"/>
        </w:rPr>
        <w:t>3</w:t>
      </w:r>
      <w:r>
        <w:rPr>
          <w:rFonts w:ascii="宋体" w:hAnsi="宋体" w:cs="宋体" w:hint="eastAsia"/>
          <w:szCs w:val="21"/>
        </w:rPr>
        <w:t>°</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差分传播相移率</w:t>
      </w:r>
      <w:r>
        <w:rPr>
          <w:rFonts w:ascii="宋体" w:hAnsi="宋体" w:cs="宋体" w:hint="eastAsia"/>
          <w:szCs w:val="21"/>
        </w:rPr>
        <w:tab/>
      </w:r>
      <w:r>
        <w:rPr>
          <w:rFonts w:ascii="宋体" w:hAnsi="宋体" w:cs="宋体" w:hint="eastAsia"/>
          <w:szCs w:val="21"/>
        </w:rPr>
        <w:t>≤</w:t>
      </w:r>
      <w:r>
        <w:rPr>
          <w:rFonts w:ascii="宋体" w:hAnsi="宋体" w:cs="宋体" w:hint="eastAsia"/>
          <w:szCs w:val="21"/>
        </w:rPr>
        <w:t>0.2</w:t>
      </w:r>
      <w:r>
        <w:rPr>
          <w:rFonts w:ascii="宋体" w:hAnsi="宋体" w:cs="宋体" w:hint="eastAsia"/>
          <w:szCs w:val="21"/>
        </w:rPr>
        <w:t>°</w:t>
      </w:r>
      <w:r>
        <w:rPr>
          <w:rFonts w:ascii="宋体" w:hAnsi="宋体" w:cs="宋体" w:hint="eastAsia"/>
          <w:szCs w:val="21"/>
        </w:rPr>
        <w:t>/km</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退偏振比</w:t>
      </w:r>
      <w:r>
        <w:rPr>
          <w:rFonts w:ascii="宋体" w:hAnsi="宋体" w:cs="宋体" w:hint="eastAsia"/>
          <w:szCs w:val="21"/>
        </w:rPr>
        <w:tab/>
      </w:r>
      <w:r>
        <w:rPr>
          <w:rFonts w:ascii="宋体" w:hAnsi="宋体" w:cs="宋体" w:hint="eastAsia"/>
          <w:szCs w:val="21"/>
        </w:rPr>
        <w:t>≤</w:t>
      </w:r>
      <w:r>
        <w:rPr>
          <w:rFonts w:ascii="宋体" w:hAnsi="宋体" w:cs="宋体" w:hint="eastAsia"/>
          <w:szCs w:val="21"/>
        </w:rPr>
        <w:t>0.3 dB</w:t>
      </w:r>
      <w:r>
        <w:rPr>
          <w:rFonts w:ascii="宋体" w:hAnsi="宋体" w:cs="宋体" w:hint="eastAsia"/>
          <w:szCs w:val="21"/>
        </w:rPr>
        <w:t>（根据工作模式可选）</w:t>
      </w:r>
    </w:p>
    <w:p w:rsidR="00A133B9">
      <w:pPr>
        <w:snapToGrid w:val="0"/>
        <w:spacing w:line="360" w:lineRule="auto"/>
        <w:ind w:firstLine="420" w:firstLineChars="200"/>
        <w:rPr>
          <w:rFonts w:ascii="宋体" w:hAnsi="宋体" w:cs="宋体"/>
          <w:szCs w:val="21"/>
        </w:rPr>
      </w:pPr>
      <w:r>
        <w:rPr>
          <w:rFonts w:ascii="宋体" w:hAnsi="宋体" w:cs="宋体" w:hint="eastAsia"/>
          <w:szCs w:val="21"/>
        </w:rPr>
        <w:tab/>
      </w:r>
      <w:r>
        <w:rPr>
          <w:rFonts w:ascii="宋体" w:hAnsi="宋体" w:cs="宋体" w:hint="eastAsia"/>
          <w:szCs w:val="21"/>
        </w:rPr>
        <w:t>相关系数</w:t>
      </w:r>
      <w:r>
        <w:rPr>
          <w:rFonts w:ascii="宋体" w:hAnsi="宋体" w:cs="宋体" w:hint="eastAsia"/>
          <w:szCs w:val="21"/>
        </w:rPr>
        <w:tab/>
      </w:r>
      <w:r>
        <w:rPr>
          <w:rFonts w:ascii="宋体" w:hAnsi="宋体" w:cs="宋体" w:hint="eastAsia"/>
          <w:szCs w:val="21"/>
        </w:rPr>
        <w:t>≤</w:t>
      </w:r>
      <w:r>
        <w:rPr>
          <w:rFonts w:ascii="宋体" w:hAnsi="宋体" w:cs="宋体" w:hint="eastAsia"/>
          <w:szCs w:val="21"/>
        </w:rPr>
        <w:t>0.01</w:t>
      </w:r>
    </w:p>
    <w:p w:rsidR="00A133B9">
      <w:pPr>
        <w:snapToGrid w:val="0"/>
        <w:spacing w:line="360" w:lineRule="auto"/>
        <w:ind w:firstLine="420" w:firstLineChars="200"/>
        <w:rPr>
          <w:rFonts w:ascii="宋体" w:hAnsi="宋体" w:cs="宋体"/>
          <w:szCs w:val="21"/>
        </w:rPr>
      </w:pPr>
      <w:r>
        <w:rPr>
          <w:rFonts w:ascii="宋体" w:hAnsi="宋体" w:cs="宋体" w:hint="eastAsia"/>
          <w:szCs w:val="21"/>
        </w:rPr>
        <w:t>100</w:t>
      </w:r>
      <w:r>
        <w:rPr>
          <w:rFonts w:ascii="宋体" w:hAnsi="宋体" w:cs="宋体" w:hint="eastAsia"/>
          <w:szCs w:val="21"/>
        </w:rPr>
        <w:t>千米处可探测的最小反射率因子（同</w:t>
      </w:r>
      <w:r>
        <w:rPr>
          <w:rFonts w:ascii="宋体" w:hAnsi="宋体" w:cs="宋体" w:hint="eastAsia"/>
          <w:szCs w:val="21"/>
        </w:rPr>
        <w:t>发同收</w:t>
      </w:r>
      <w:r>
        <w:rPr>
          <w:rFonts w:ascii="宋体" w:hAnsi="宋体" w:cs="宋体" w:hint="eastAsia"/>
          <w:szCs w:val="21"/>
        </w:rPr>
        <w:t>，参考值）</w:t>
      </w:r>
      <w:r>
        <w:rPr>
          <w:rFonts w:ascii="宋体" w:hAnsi="宋体" w:cs="宋体" w:hint="eastAsia"/>
          <w:szCs w:val="21"/>
        </w:rPr>
        <w:tab/>
      </w:r>
      <w:r>
        <w:rPr>
          <w:rFonts w:ascii="宋体" w:hAnsi="宋体" w:cs="宋体" w:hint="eastAsia"/>
          <w:szCs w:val="21"/>
        </w:rPr>
        <w:t>≤</w:t>
      </w:r>
      <w:r>
        <w:rPr>
          <w:rFonts w:ascii="宋体" w:hAnsi="宋体" w:cs="宋体" w:hint="eastAsia"/>
          <w:szCs w:val="21"/>
        </w:rPr>
        <w:t xml:space="preserve">8 </w:t>
      </w:r>
      <w:r>
        <w:rPr>
          <w:rFonts w:ascii="宋体" w:hAnsi="宋体" w:cs="宋体" w:hint="eastAsia"/>
          <w:szCs w:val="21"/>
        </w:rPr>
        <w:t>dBZ</w:t>
      </w:r>
    </w:p>
    <w:p w:rsidR="00A133B9">
      <w:pPr>
        <w:snapToGrid w:val="0"/>
        <w:spacing w:line="360" w:lineRule="auto"/>
        <w:ind w:firstLine="420" w:firstLineChars="200"/>
        <w:rPr>
          <w:rFonts w:ascii="宋体" w:hAnsi="宋体" w:cs="宋体"/>
          <w:szCs w:val="21"/>
        </w:rPr>
      </w:pPr>
      <w:r>
        <w:rPr>
          <w:rFonts w:ascii="宋体" w:hAnsi="宋体" w:cs="宋体" w:hint="eastAsia"/>
          <w:szCs w:val="21"/>
        </w:rPr>
        <w:t>输</w:t>
      </w:r>
      <w:r>
        <w:rPr>
          <w:rFonts w:ascii="宋体" w:hAnsi="宋体" w:cs="宋体" w:hint="eastAsia"/>
          <w:szCs w:val="21"/>
        </w:rPr>
        <w:t>出参数</w:t>
      </w:r>
      <w:r>
        <w:rPr>
          <w:rFonts w:ascii="宋体" w:hAnsi="宋体" w:cs="宋体" w:hint="eastAsia"/>
          <w:szCs w:val="21"/>
        </w:rPr>
        <w:tab/>
      </w:r>
      <w:r>
        <w:rPr>
          <w:rFonts w:ascii="宋体" w:hAnsi="宋体" w:cs="宋体" w:hint="eastAsia"/>
          <w:szCs w:val="21"/>
        </w:rPr>
        <w:t>强度、速度、谱宽、差分反射率因子、差分传播相移、差分传播相移率、退偏振比（根据工作模式可选）、相关系数</w:t>
      </w:r>
    </w:p>
    <w:p w:rsidR="00A133B9">
      <w:pPr>
        <w:snapToGrid w:val="0"/>
        <w:spacing w:line="360" w:lineRule="auto"/>
        <w:ind w:firstLine="420" w:firstLineChars="200"/>
        <w:rPr>
          <w:rFonts w:ascii="宋体" w:hAnsi="宋体" w:cs="宋体"/>
          <w:szCs w:val="21"/>
        </w:rPr>
      </w:pPr>
      <w:r>
        <w:rPr>
          <w:rFonts w:ascii="宋体" w:hAnsi="宋体" w:cs="宋体" w:hint="eastAsia"/>
          <w:szCs w:val="21"/>
        </w:rPr>
        <w:t>电源要求</w:t>
      </w:r>
      <w:r>
        <w:rPr>
          <w:rFonts w:ascii="宋体" w:hAnsi="宋体" w:cs="宋体" w:hint="eastAsia"/>
          <w:szCs w:val="21"/>
        </w:rPr>
        <w:tab/>
      </w:r>
      <w:r>
        <w:rPr>
          <w:rFonts w:ascii="宋体" w:hAnsi="宋体" w:cs="宋体" w:hint="eastAsia"/>
          <w:szCs w:val="21"/>
        </w:rPr>
        <w:t>单相</w:t>
      </w:r>
      <w:r>
        <w:rPr>
          <w:rFonts w:ascii="宋体" w:hAnsi="宋体" w:cs="宋体" w:hint="eastAsia"/>
          <w:szCs w:val="21"/>
        </w:rPr>
        <w:t>AC 220V</w:t>
      </w:r>
      <w:r>
        <w:rPr>
          <w:rFonts w:ascii="宋体" w:hAnsi="宋体" w:cs="宋体" w:hint="eastAsia"/>
          <w:szCs w:val="21"/>
        </w:rPr>
        <w:t>±</w:t>
      </w:r>
      <w:r>
        <w:rPr>
          <w:rFonts w:ascii="宋体" w:hAnsi="宋体" w:cs="宋体" w:hint="eastAsia"/>
          <w:szCs w:val="21"/>
        </w:rPr>
        <w:t>10%</w:t>
      </w:r>
      <w:r>
        <w:rPr>
          <w:rFonts w:ascii="宋体" w:hAnsi="宋体" w:cs="宋体" w:hint="eastAsia"/>
          <w:szCs w:val="21"/>
        </w:rPr>
        <w:t>或三相</w:t>
      </w:r>
      <w:r>
        <w:rPr>
          <w:rFonts w:ascii="宋体" w:hAnsi="宋体" w:cs="宋体" w:hint="eastAsia"/>
          <w:szCs w:val="21"/>
        </w:rPr>
        <w:t>AC 380V</w:t>
      </w:r>
      <w:r>
        <w:rPr>
          <w:rFonts w:ascii="宋体" w:hAnsi="宋体" w:cs="宋体" w:hint="eastAsia"/>
          <w:szCs w:val="21"/>
        </w:rPr>
        <w:t>±</w:t>
      </w:r>
      <w:r>
        <w:rPr>
          <w:rFonts w:ascii="宋体" w:hAnsi="宋体" w:cs="宋体" w:hint="eastAsia"/>
          <w:szCs w:val="21"/>
        </w:rPr>
        <w:t>10%</w:t>
      </w:r>
      <w:r>
        <w:rPr>
          <w:rFonts w:ascii="宋体" w:hAnsi="宋体" w:cs="宋体" w:hint="eastAsia"/>
          <w:szCs w:val="21"/>
        </w:rPr>
        <w:t>，</w:t>
      </w:r>
      <w:r>
        <w:rPr>
          <w:rFonts w:ascii="宋体" w:hAnsi="宋体" w:cs="宋体" w:hint="eastAsia"/>
          <w:szCs w:val="21"/>
        </w:rPr>
        <w:t>50 Hz</w:t>
      </w:r>
      <w:r>
        <w:rPr>
          <w:rFonts w:ascii="宋体" w:hAnsi="宋体" w:cs="宋体" w:hint="eastAsia"/>
          <w:szCs w:val="21"/>
        </w:rPr>
        <w:t>±</w:t>
      </w:r>
      <w:r>
        <w:rPr>
          <w:rFonts w:ascii="宋体" w:hAnsi="宋体" w:cs="宋体" w:hint="eastAsia"/>
          <w:szCs w:val="21"/>
        </w:rPr>
        <w:t>5%</w:t>
      </w:r>
    </w:p>
    <w:p w:rsidR="00A133B9">
      <w:pPr>
        <w:snapToGrid w:val="0"/>
        <w:spacing w:line="360" w:lineRule="auto"/>
        <w:ind w:firstLine="420" w:firstLineChars="200"/>
        <w:rPr>
          <w:rFonts w:ascii="宋体" w:hAnsi="宋体" w:cs="宋体"/>
          <w:szCs w:val="21"/>
        </w:rPr>
      </w:pPr>
      <w:r>
        <w:rPr>
          <w:rFonts w:ascii="宋体" w:hAnsi="宋体" w:cs="宋体" w:hint="eastAsia"/>
          <w:szCs w:val="21"/>
        </w:rPr>
        <w:t>重量（标准配置，参考值）</w:t>
      </w:r>
      <w:r>
        <w:rPr>
          <w:rFonts w:ascii="宋体" w:hAnsi="宋体" w:cs="宋体" w:hint="eastAsia"/>
          <w:szCs w:val="21"/>
        </w:rPr>
        <w:tab/>
      </w:r>
      <w:r>
        <w:rPr>
          <w:rFonts w:ascii="宋体" w:hAnsi="宋体" w:cs="宋体" w:hint="eastAsia"/>
          <w:szCs w:val="21"/>
        </w:rPr>
        <w:t>≤</w:t>
      </w:r>
      <w:r>
        <w:rPr>
          <w:rFonts w:ascii="宋体" w:hAnsi="宋体" w:cs="宋体" w:hint="eastAsia"/>
          <w:szCs w:val="21"/>
        </w:rPr>
        <w:t xml:space="preserve"> 1200kg</w:t>
      </w:r>
      <w:r>
        <w:rPr>
          <w:rFonts w:ascii="宋体" w:hAnsi="宋体" w:cs="宋体" w:hint="eastAsia"/>
          <w:szCs w:val="21"/>
        </w:rPr>
        <w:t>（不包括天线罩）</w:t>
      </w:r>
    </w:p>
    <w:p w:rsidR="00A133B9">
      <w:pPr>
        <w:snapToGrid w:val="0"/>
        <w:spacing w:line="360" w:lineRule="auto"/>
        <w:ind w:firstLine="420" w:firstLineChars="200"/>
        <w:rPr>
          <w:rFonts w:ascii="宋体" w:hAnsi="宋体" w:cs="宋体"/>
          <w:szCs w:val="21"/>
        </w:rPr>
      </w:pPr>
      <w:r>
        <w:rPr>
          <w:rFonts w:ascii="宋体" w:hAnsi="宋体" w:cs="宋体" w:hint="eastAsia"/>
          <w:szCs w:val="21"/>
        </w:rPr>
        <w:t>整机功耗（峰值）</w:t>
      </w:r>
      <w:r>
        <w:rPr>
          <w:rFonts w:ascii="宋体" w:hAnsi="宋体" w:cs="宋体" w:hint="eastAsia"/>
          <w:szCs w:val="21"/>
        </w:rPr>
        <w:tab/>
      </w:r>
      <w:r>
        <w:rPr>
          <w:rFonts w:ascii="宋体" w:hAnsi="宋体" w:cs="宋体" w:hint="eastAsia"/>
          <w:szCs w:val="21"/>
        </w:rPr>
        <w:t>≤</w:t>
      </w:r>
      <w:r>
        <w:rPr>
          <w:rFonts w:ascii="宋体" w:hAnsi="宋体" w:cs="宋体" w:hint="eastAsia"/>
          <w:szCs w:val="21"/>
        </w:rPr>
        <w:t xml:space="preserve"> 3kW</w:t>
      </w:r>
    </w:p>
    <w:p w:rsidR="00A133B9">
      <w:pPr>
        <w:snapToGrid w:val="0"/>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）输入输出标准控制器</w:t>
      </w:r>
    </w:p>
    <w:p w:rsidR="00A133B9">
      <w:pPr>
        <w:snapToGrid w:val="0"/>
        <w:spacing w:line="360" w:lineRule="auto"/>
        <w:ind w:firstLine="420" w:firstLineChars="200"/>
        <w:rPr>
          <w:rFonts w:ascii="宋体" w:hAnsi="宋体" w:cs="宋体"/>
          <w:szCs w:val="21"/>
        </w:rPr>
      </w:pPr>
      <w:r>
        <w:rPr>
          <w:rFonts w:ascii="宋体" w:hAnsi="宋体" w:cs="宋体" w:hint="eastAsia"/>
          <w:szCs w:val="21"/>
        </w:rPr>
        <w:t>在线监控显示雷达关键技术参数，完整记录各参数变化情况以及对应的分机性能变化情况；</w:t>
      </w:r>
    </w:p>
    <w:p w:rsidR="00A133B9">
      <w:pPr>
        <w:snapToGrid w:val="0"/>
        <w:spacing w:line="360" w:lineRule="auto"/>
        <w:ind w:firstLine="420" w:firstLineChars="200"/>
        <w:rPr>
          <w:rFonts w:ascii="宋体" w:hAnsi="宋体" w:cs="宋体"/>
          <w:szCs w:val="21"/>
        </w:rPr>
      </w:pPr>
      <w:r>
        <w:rPr>
          <w:rFonts w:ascii="宋体" w:hAnsi="宋体" w:cs="宋体" w:hint="eastAsia"/>
          <w:szCs w:val="21"/>
        </w:rPr>
        <w:t>对监测的所有实时参数超限以及资料传输逾限告警提示；</w:t>
      </w:r>
    </w:p>
    <w:p w:rsidR="00A133B9">
      <w:pPr>
        <w:snapToGrid w:val="0"/>
        <w:spacing w:line="360" w:lineRule="auto"/>
        <w:ind w:firstLine="420" w:firstLineChars="200"/>
        <w:rPr>
          <w:rFonts w:ascii="宋体" w:hAnsi="宋体" w:cs="宋体"/>
          <w:szCs w:val="21"/>
        </w:rPr>
      </w:pPr>
      <w:r>
        <w:rPr>
          <w:rFonts w:ascii="宋体" w:hAnsi="宋体" w:cs="宋体" w:hint="eastAsia"/>
          <w:szCs w:val="21"/>
        </w:rPr>
        <w:t>通过故障统计分析实现一般性故障的动态发生几率监测；</w:t>
      </w:r>
    </w:p>
    <w:p w:rsidR="00A133B9">
      <w:pPr>
        <w:snapToGrid w:val="0"/>
        <w:spacing w:line="360" w:lineRule="auto"/>
        <w:ind w:firstLine="420" w:firstLineChars="200"/>
        <w:rPr>
          <w:rFonts w:ascii="宋体" w:hAnsi="宋体" w:cs="宋体"/>
          <w:szCs w:val="21"/>
        </w:rPr>
      </w:pPr>
      <w:r>
        <w:rPr>
          <w:rFonts w:ascii="宋体" w:hAnsi="宋体" w:cs="宋体" w:hint="eastAsia"/>
          <w:szCs w:val="21"/>
        </w:rPr>
        <w:t>远程遥控实现雷</w:t>
      </w:r>
      <w:r>
        <w:rPr>
          <w:rFonts w:ascii="宋体" w:hAnsi="宋体" w:cs="宋体" w:hint="eastAsia"/>
          <w:szCs w:val="21"/>
        </w:rPr>
        <w:t>达远程开关控制、运行模式控制等，以满足无人值守雷达运行要求；</w:t>
      </w:r>
    </w:p>
    <w:p w:rsidR="00A133B9">
      <w:pPr>
        <w:snapToGrid w:val="0"/>
        <w:spacing w:line="360" w:lineRule="auto"/>
        <w:ind w:firstLine="420" w:firstLineChars="200"/>
        <w:rPr>
          <w:rFonts w:ascii="宋体" w:hAnsi="宋体" w:cs="宋体"/>
          <w:szCs w:val="21"/>
        </w:rPr>
      </w:pPr>
      <w:r>
        <w:rPr>
          <w:rFonts w:ascii="宋体" w:hAnsi="宋体" w:cs="宋体" w:hint="eastAsia"/>
          <w:szCs w:val="21"/>
        </w:rPr>
        <w:t>实时监测雷达运行环境——</w:t>
      </w:r>
      <w:r>
        <w:rPr>
          <w:rFonts w:ascii="宋体" w:hAnsi="宋体" w:cs="宋体" w:hint="eastAsia"/>
          <w:szCs w:val="21"/>
        </w:rPr>
        <w:t>UPS</w:t>
      </w:r>
      <w:r>
        <w:rPr>
          <w:rFonts w:ascii="宋体" w:hAnsi="宋体" w:cs="宋体" w:hint="eastAsia"/>
          <w:szCs w:val="21"/>
        </w:rPr>
        <w:t>、空调、发电机（预留）等状态，并对机房温湿度、发射机温度等关键监测点设置告警门限，实时监控其环境指标的变化状况。</w:t>
      </w:r>
    </w:p>
    <w:p w:rsidR="00A133B9">
      <w:pPr>
        <w:snapToGrid w:val="0"/>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）协同观测系统</w:t>
      </w:r>
    </w:p>
    <w:p w:rsidR="00A133B9">
      <w:pPr>
        <w:snapToGrid w:val="0"/>
        <w:spacing w:line="360" w:lineRule="auto"/>
        <w:ind w:firstLine="420" w:firstLineChars="200"/>
        <w:rPr>
          <w:rFonts w:ascii="宋体" w:hAnsi="宋体" w:cs="宋体"/>
          <w:szCs w:val="21"/>
        </w:rPr>
      </w:pPr>
      <w:r>
        <w:rPr>
          <w:rFonts w:ascii="宋体" w:hAnsi="宋体" w:cs="宋体" w:hint="eastAsia"/>
          <w:szCs w:val="21"/>
        </w:rPr>
        <w:t>实现基于深度学习的地物识别算法；</w:t>
      </w:r>
    </w:p>
    <w:p w:rsidR="00A133B9">
      <w:pPr>
        <w:snapToGrid w:val="0"/>
        <w:spacing w:line="360" w:lineRule="auto"/>
        <w:ind w:firstLine="420" w:firstLineChars="200"/>
        <w:rPr>
          <w:rFonts w:ascii="宋体" w:hAnsi="宋体" w:cs="宋体"/>
          <w:szCs w:val="21"/>
        </w:rPr>
      </w:pPr>
      <w:r>
        <w:rPr>
          <w:rFonts w:ascii="宋体" w:hAnsi="宋体" w:cs="宋体" w:hint="eastAsia"/>
          <w:szCs w:val="21"/>
        </w:rPr>
        <w:t>提供雷达协同观测控制的接口，支持接收和处理协同观测控制指令，进行扫描任务的切换和扫描参数的远程配置；</w:t>
      </w:r>
    </w:p>
    <w:p w:rsidR="00A133B9">
      <w:pPr>
        <w:snapToGrid w:val="0"/>
        <w:spacing w:line="360" w:lineRule="auto"/>
        <w:ind w:firstLine="420" w:firstLineChars="200"/>
        <w:rPr>
          <w:rFonts w:ascii="宋体" w:hAnsi="宋体" w:cs="宋体"/>
          <w:szCs w:val="21"/>
        </w:rPr>
      </w:pPr>
      <w:r>
        <w:rPr>
          <w:rFonts w:ascii="宋体" w:hAnsi="宋体" w:cs="宋体" w:hint="eastAsia"/>
          <w:szCs w:val="21"/>
        </w:rPr>
        <w:t>支持多种扫描方式的预设，包括</w:t>
      </w:r>
      <w:r>
        <w:rPr>
          <w:rFonts w:ascii="宋体" w:hAnsi="宋体" w:cs="宋体" w:hint="eastAsia"/>
          <w:szCs w:val="21"/>
        </w:rPr>
        <w:t>快速体扫模式</w:t>
      </w:r>
      <w:r>
        <w:rPr>
          <w:rFonts w:ascii="宋体" w:hAnsi="宋体" w:cs="宋体" w:hint="eastAsia"/>
          <w:szCs w:val="21"/>
        </w:rPr>
        <w:t>、</w:t>
      </w:r>
      <w:r>
        <w:rPr>
          <w:rFonts w:ascii="宋体" w:hAnsi="宋体" w:cs="宋体" w:hint="eastAsia"/>
          <w:szCs w:val="21"/>
        </w:rPr>
        <w:t>0</w:t>
      </w:r>
      <w:r>
        <w:rPr>
          <w:rFonts w:ascii="宋体" w:hAnsi="宋体" w:cs="宋体" w:hint="eastAsia"/>
          <w:szCs w:val="21"/>
        </w:rPr>
        <w:t>～</w:t>
      </w:r>
      <w:r>
        <w:rPr>
          <w:rFonts w:ascii="宋体" w:hAnsi="宋体" w:cs="宋体" w:hint="eastAsia"/>
          <w:szCs w:val="21"/>
        </w:rPr>
        <w:t>90</w:t>
      </w:r>
      <w:r>
        <w:rPr>
          <w:rFonts w:ascii="宋体" w:hAnsi="宋体" w:cs="宋体" w:hint="eastAsia"/>
          <w:szCs w:val="21"/>
        </w:rPr>
        <w:t>°的垂直扫描</w:t>
      </w:r>
      <w:r>
        <w:rPr>
          <w:rFonts w:ascii="宋体" w:hAnsi="宋体" w:cs="宋体" w:hint="eastAsia"/>
          <w:szCs w:val="21"/>
        </w:rPr>
        <w:t>RHI</w:t>
      </w:r>
      <w:r>
        <w:rPr>
          <w:rFonts w:ascii="宋体" w:hAnsi="宋体" w:cs="宋体" w:hint="eastAsia"/>
          <w:szCs w:val="21"/>
        </w:rPr>
        <w:t>模式、立体</w:t>
      </w:r>
      <w:r>
        <w:rPr>
          <w:rFonts w:ascii="宋体" w:hAnsi="宋体" w:cs="宋体" w:hint="eastAsia"/>
          <w:szCs w:val="21"/>
        </w:rPr>
        <w:t>RHI</w:t>
      </w:r>
      <w:r>
        <w:rPr>
          <w:rFonts w:ascii="宋体" w:hAnsi="宋体" w:cs="宋体" w:hint="eastAsia"/>
          <w:szCs w:val="21"/>
        </w:rPr>
        <w:t>等，实现扫描方式的智能切换和灵活组合，支持多部雷达组成网络进行协同观测。</w:t>
      </w:r>
    </w:p>
    <w:p w:rsidR="00A133B9">
      <w:pPr>
        <w:snapToGrid w:val="0"/>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w:t>
      </w:r>
      <w:r>
        <w:rPr>
          <w:rFonts w:ascii="宋体" w:hAnsi="宋体" w:cs="宋体" w:hint="eastAsia"/>
          <w:szCs w:val="21"/>
        </w:rPr>
        <w:t>UPS</w:t>
      </w:r>
      <w:r>
        <w:rPr>
          <w:rFonts w:ascii="宋体" w:hAnsi="宋体" w:cs="宋体" w:hint="eastAsia"/>
          <w:szCs w:val="21"/>
        </w:rPr>
        <w:t>不间断电源</w:t>
      </w:r>
    </w:p>
    <w:p w:rsidR="00A133B9">
      <w:pPr>
        <w:snapToGrid w:val="0"/>
        <w:spacing w:line="360" w:lineRule="auto"/>
        <w:ind w:firstLine="420" w:firstLineChars="200"/>
        <w:rPr>
          <w:rFonts w:ascii="宋体" w:hAnsi="宋体" w:cs="宋体"/>
          <w:szCs w:val="21"/>
        </w:rPr>
      </w:pPr>
      <w:r>
        <w:rPr>
          <w:rFonts w:ascii="宋体" w:hAnsi="宋体" w:cs="宋体" w:hint="eastAsia"/>
          <w:szCs w:val="21"/>
        </w:rPr>
        <w:t>配置</w:t>
      </w:r>
      <w:r>
        <w:rPr>
          <w:rFonts w:ascii="宋体" w:hAnsi="宋体" w:cs="宋体" w:hint="eastAsia"/>
          <w:szCs w:val="21"/>
        </w:rPr>
        <w:t>UPS</w:t>
      </w:r>
      <w:r>
        <w:rPr>
          <w:rFonts w:ascii="宋体" w:hAnsi="宋体" w:cs="宋体" w:hint="eastAsia"/>
          <w:szCs w:val="21"/>
        </w:rPr>
        <w:t>电源</w:t>
      </w:r>
      <w:r>
        <w:rPr>
          <w:rFonts w:ascii="宋体" w:hAnsi="宋体" w:cs="宋体" w:hint="eastAsia"/>
          <w:szCs w:val="21"/>
        </w:rPr>
        <w:t>1</w:t>
      </w:r>
      <w:r>
        <w:rPr>
          <w:rFonts w:ascii="宋体" w:hAnsi="宋体" w:cs="宋体" w:hint="eastAsia"/>
          <w:szCs w:val="21"/>
        </w:rPr>
        <w:t>台，主机负载</w:t>
      </w:r>
      <w:r>
        <w:rPr>
          <w:rFonts w:ascii="宋体" w:hAnsi="宋体" w:cs="宋体" w:hint="eastAsia"/>
          <w:szCs w:val="21"/>
        </w:rPr>
        <w:t>15 KVA</w:t>
      </w:r>
      <w:r>
        <w:rPr>
          <w:rFonts w:ascii="宋体" w:hAnsi="宋体" w:cs="宋体" w:hint="eastAsia"/>
          <w:szCs w:val="21"/>
        </w:rPr>
        <w:t>，三进单出（含电池）；</w:t>
      </w:r>
    </w:p>
    <w:p w:rsidR="00A133B9">
      <w:pPr>
        <w:snapToGrid w:val="0"/>
        <w:spacing w:line="360" w:lineRule="auto"/>
        <w:ind w:firstLine="420" w:firstLineChars="200"/>
        <w:rPr>
          <w:rFonts w:ascii="宋体" w:hAnsi="宋体" w:cs="宋体"/>
          <w:szCs w:val="21"/>
        </w:rPr>
      </w:pPr>
      <w:r>
        <w:rPr>
          <w:rFonts w:ascii="宋体" w:hAnsi="宋体" w:cs="宋体" w:hint="eastAsia"/>
          <w:szCs w:val="21"/>
        </w:rPr>
        <w:t xml:space="preserve">12V 100AH </w:t>
      </w:r>
      <w:r>
        <w:rPr>
          <w:rFonts w:ascii="宋体" w:hAnsi="宋体" w:cs="宋体" w:hint="eastAsia"/>
          <w:szCs w:val="21"/>
        </w:rPr>
        <w:t>电池组</w:t>
      </w:r>
      <w:r>
        <w:rPr>
          <w:rFonts w:ascii="宋体" w:hAnsi="宋体" w:cs="宋体" w:hint="eastAsia"/>
          <w:szCs w:val="21"/>
        </w:rPr>
        <w:t>*32</w:t>
      </w:r>
      <w:r>
        <w:rPr>
          <w:rFonts w:ascii="宋体" w:hAnsi="宋体" w:cs="宋体" w:hint="eastAsia"/>
          <w:szCs w:val="21"/>
        </w:rPr>
        <w:t>节</w:t>
      </w:r>
    </w:p>
    <w:p w:rsidR="00A133B9">
      <w:pPr>
        <w:snapToGrid w:val="0"/>
        <w:spacing w:line="360" w:lineRule="auto"/>
        <w:ind w:firstLine="420" w:firstLineChars="200"/>
        <w:rPr>
          <w:rFonts w:ascii="宋体" w:hAnsi="宋体" w:cs="宋体"/>
          <w:szCs w:val="21"/>
        </w:rPr>
      </w:pPr>
      <w:r>
        <w:rPr>
          <w:rFonts w:ascii="宋体" w:hAnsi="宋体" w:cs="宋体" w:hint="eastAsia"/>
          <w:szCs w:val="21"/>
        </w:rPr>
        <w:t>不间断工作时间：</w:t>
      </w:r>
      <w:r>
        <w:rPr>
          <w:rFonts w:ascii="宋体" w:hAnsi="宋体" w:cs="宋体" w:hint="eastAsia"/>
          <w:szCs w:val="21"/>
        </w:rPr>
        <w:t>6h</w:t>
      </w:r>
      <w:r>
        <w:rPr>
          <w:rFonts w:ascii="宋体" w:hAnsi="宋体" w:cs="宋体" w:hint="eastAsia"/>
          <w:szCs w:val="21"/>
        </w:rPr>
        <w:t>；</w:t>
      </w:r>
    </w:p>
    <w:p w:rsidR="00A133B9">
      <w:pPr>
        <w:snapToGrid w:val="0"/>
        <w:spacing w:line="360" w:lineRule="auto"/>
        <w:ind w:firstLine="420" w:firstLineChars="200"/>
        <w:rPr>
          <w:rFonts w:ascii="宋体" w:hAnsi="宋体" w:cs="宋体"/>
          <w:szCs w:val="21"/>
        </w:rPr>
      </w:pPr>
      <w:r>
        <w:rPr>
          <w:rFonts w:ascii="宋体" w:hAnsi="宋体" w:cs="宋体" w:hint="eastAsia"/>
          <w:szCs w:val="21"/>
        </w:rPr>
        <w:t>电池箱</w:t>
      </w:r>
      <w:r>
        <w:rPr>
          <w:rFonts w:ascii="宋体" w:hAnsi="宋体" w:cs="宋体" w:hint="eastAsia"/>
          <w:szCs w:val="21"/>
        </w:rPr>
        <w:t>A16*2</w:t>
      </w:r>
      <w:r>
        <w:rPr>
          <w:rFonts w:ascii="宋体" w:hAnsi="宋体" w:cs="宋体" w:hint="eastAsia"/>
          <w:szCs w:val="21"/>
        </w:rPr>
        <w:t>组；</w:t>
      </w:r>
    </w:p>
    <w:p w:rsidR="00A133B9">
      <w:pPr>
        <w:snapToGrid w:val="0"/>
        <w:spacing w:line="360" w:lineRule="auto"/>
        <w:ind w:firstLine="420" w:firstLineChars="200"/>
        <w:rPr>
          <w:rFonts w:ascii="宋体" w:hAnsi="宋体" w:cs="宋体"/>
          <w:szCs w:val="21"/>
        </w:rPr>
      </w:pPr>
      <w:r>
        <w:rPr>
          <w:rFonts w:ascii="宋体" w:hAnsi="宋体" w:cs="宋体" w:hint="eastAsia"/>
          <w:szCs w:val="21"/>
        </w:rPr>
        <w:t>支持远程监控。</w:t>
      </w:r>
    </w:p>
    <w:p w:rsidR="00A133B9">
      <w:pPr>
        <w:snapToGrid w:val="0"/>
        <w:spacing w:line="360" w:lineRule="auto"/>
        <w:ind w:firstLine="420" w:firstLineChars="200"/>
        <w:rPr>
          <w:rFonts w:ascii="宋体" w:hAnsi="宋体" w:cs="宋体"/>
          <w:szCs w:val="21"/>
        </w:rPr>
      </w:pPr>
      <w:r>
        <w:rPr>
          <w:rFonts w:ascii="宋体" w:hAnsi="宋体" w:cs="宋体" w:hint="eastAsia"/>
          <w:szCs w:val="21"/>
        </w:rPr>
        <w:t>智能配电柜：</w:t>
      </w:r>
      <w:r>
        <w:rPr>
          <w:rFonts w:ascii="宋体" w:hAnsi="宋体" w:cs="宋体" w:hint="eastAsia"/>
          <w:szCs w:val="21"/>
        </w:rPr>
        <w:t>ACU</w:t>
      </w:r>
      <w:r>
        <w:rPr>
          <w:rFonts w:ascii="宋体" w:hAnsi="宋体" w:cs="宋体" w:hint="eastAsia"/>
          <w:szCs w:val="21"/>
        </w:rPr>
        <w:t>控制箱，远程控制开关状态，手动控制启停。</w:t>
      </w:r>
    </w:p>
    <w:p w:rsidR="00A133B9">
      <w:pPr>
        <w:snapToGrid w:val="0"/>
        <w:spacing w:line="360" w:lineRule="auto"/>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）防雷设施</w:t>
      </w:r>
    </w:p>
    <w:p w:rsidR="00A133B9">
      <w:pPr>
        <w:spacing w:line="360" w:lineRule="auto"/>
        <w:ind w:firstLine="420" w:firstLineChars="200"/>
        <w:rPr>
          <w:rFonts w:ascii="宋体" w:hAnsi="宋体"/>
          <w:szCs w:val="21"/>
        </w:rPr>
      </w:pPr>
      <w:r>
        <w:rPr>
          <w:rFonts w:ascii="宋体" w:hAnsi="宋体" w:cs="宋体" w:hint="eastAsia"/>
          <w:szCs w:val="21"/>
        </w:rPr>
        <w:t>参照国家标准</w:t>
      </w:r>
      <w:r>
        <w:rPr>
          <w:rFonts w:ascii="宋体" w:hAnsi="宋体" w:cs="宋体" w:hint="eastAsia"/>
          <w:szCs w:val="21"/>
        </w:rPr>
        <w:t>QX/T2-2016</w:t>
      </w:r>
      <w:r>
        <w:rPr>
          <w:rFonts w:ascii="宋体" w:hAnsi="宋体" w:cs="宋体" w:hint="eastAsia"/>
          <w:szCs w:val="21"/>
        </w:rPr>
        <w:t>《中国新一代气象雷达站防雷技术规范》，雷达地网和接地体的接地</w:t>
      </w:r>
      <w:r>
        <w:rPr>
          <w:rFonts w:ascii="宋体" w:hAnsi="宋体" w:cs="宋体" w:hint="eastAsia"/>
          <w:szCs w:val="21"/>
        </w:rPr>
        <w:t>电阻值不大于</w:t>
      </w:r>
      <w:r>
        <w:rPr>
          <w:rFonts w:ascii="宋体" w:hAnsi="宋体" w:cs="宋体" w:hint="eastAsia"/>
          <w:szCs w:val="21"/>
        </w:rPr>
        <w:t>4</w:t>
      </w:r>
      <w:r>
        <w:rPr>
          <w:rFonts w:ascii="宋体" w:hAnsi="宋体" w:cs="宋体" w:hint="eastAsia"/>
          <w:szCs w:val="21"/>
        </w:rPr>
        <w:t>Ω。避雷针采用玻璃钢材质，最大限度减小对雷达波束的遮挡，以及对双偏振量的探测误差</w:t>
      </w:r>
      <w:r>
        <w:rPr>
          <w:rFonts w:ascii="宋体" w:hAnsi="宋体" w:hint="eastAsia"/>
          <w:szCs w:val="21"/>
        </w:rPr>
        <w:t>。</w:t>
      </w:r>
    </w:p>
    <w:p w:rsidR="00A133B9">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A133B9">
      <w:pPr>
        <w:spacing w:line="360" w:lineRule="auto"/>
        <w:ind w:firstLine="420" w:firstLineChars="200"/>
        <w:rPr>
          <w:rFonts w:ascii="宋体" w:hAnsi="宋体"/>
          <w:szCs w:val="21"/>
        </w:rPr>
      </w:pPr>
      <w:r>
        <w:rPr>
          <w:rFonts w:ascii="宋体" w:hAnsi="宋体" w:hint="eastAsia"/>
          <w:szCs w:val="21"/>
        </w:rPr>
        <w:t>5.1.</w:t>
      </w:r>
      <w:r>
        <w:rPr>
          <w:rFonts w:ascii="宋体" w:hAnsi="宋体" w:hint="eastAsia"/>
          <w:szCs w:val="21"/>
        </w:rPr>
        <w:t>技术材料</w:t>
      </w:r>
    </w:p>
    <w:p w:rsidR="00A133B9">
      <w:pPr>
        <w:spacing w:line="360" w:lineRule="auto"/>
        <w:ind w:firstLine="420" w:firstLineChars="200"/>
        <w:rPr>
          <w:rFonts w:ascii="宋体" w:hAnsi="宋体"/>
          <w:szCs w:val="21"/>
        </w:rPr>
      </w:pPr>
      <w:r>
        <w:rPr>
          <w:rFonts w:ascii="宋体" w:hAnsi="宋体" w:hint="eastAsia"/>
          <w:szCs w:val="21"/>
        </w:rPr>
        <w:t>设备供应商交货时需随机提供详细技术文档，包括但不限于：设备安装建设规范、设备工作原理、设备部件结构组成、设备操作手册、设备运行维护手册、设备软件使用手册、相关产品算法说明文档等。</w:t>
      </w:r>
    </w:p>
    <w:p w:rsidR="00A133B9">
      <w:pPr>
        <w:spacing w:line="360" w:lineRule="auto"/>
        <w:ind w:left="420" w:leftChars="200"/>
        <w:rPr>
          <w:rFonts w:ascii="宋体" w:hAnsi="宋体"/>
          <w:szCs w:val="21"/>
        </w:rPr>
      </w:pPr>
      <w:r>
        <w:rPr>
          <w:rFonts w:ascii="宋体" w:hAnsi="宋体" w:hint="eastAsia"/>
          <w:szCs w:val="21"/>
        </w:rPr>
        <w:t>5.2.</w:t>
      </w:r>
      <w:r>
        <w:rPr>
          <w:rFonts w:ascii="宋体" w:hAnsi="宋体" w:hint="eastAsia"/>
          <w:szCs w:val="21"/>
        </w:rPr>
        <w:t>售后服务</w:t>
      </w:r>
    </w:p>
    <w:p w:rsidR="00A133B9">
      <w:pPr>
        <w:spacing w:line="360" w:lineRule="auto"/>
        <w:ind w:left="420" w:leftChars="200"/>
        <w:rPr>
          <w:rFonts w:ascii="宋体" w:hAnsi="宋体"/>
          <w:szCs w:val="21"/>
        </w:rPr>
      </w:pPr>
      <w:r>
        <w:rPr>
          <w:rFonts w:ascii="宋体" w:hAnsi="宋体" w:hint="eastAsia"/>
          <w:szCs w:val="21"/>
        </w:rPr>
        <w:t>中标方需提供详细售后服务方案，包括设备售后服务组织机构、人员组成、技术支持文档等。</w:t>
      </w:r>
    </w:p>
    <w:p w:rsidR="00A133B9">
      <w:pPr>
        <w:spacing w:line="360" w:lineRule="auto"/>
        <w:ind w:left="420" w:leftChars="200"/>
        <w:rPr>
          <w:rFonts w:ascii="宋体" w:hAnsi="宋体"/>
          <w:szCs w:val="21"/>
        </w:rPr>
      </w:pPr>
      <w:r>
        <w:rPr>
          <w:rFonts w:ascii="宋体" w:hAnsi="宋体" w:hint="eastAsia"/>
          <w:szCs w:val="21"/>
        </w:rPr>
        <w:t>5.3.</w:t>
      </w:r>
      <w:r>
        <w:rPr>
          <w:rFonts w:ascii="宋体" w:hAnsi="宋体" w:hint="eastAsia"/>
          <w:szCs w:val="21"/>
        </w:rPr>
        <w:t>服务团队</w:t>
      </w:r>
    </w:p>
    <w:p w:rsidR="00A133B9">
      <w:pPr>
        <w:spacing w:line="360" w:lineRule="auto"/>
        <w:ind w:left="420" w:leftChars="200"/>
        <w:rPr>
          <w:rFonts w:ascii="宋体" w:hAnsi="宋体"/>
          <w:szCs w:val="21"/>
        </w:rPr>
      </w:pPr>
      <w:r>
        <w:rPr>
          <w:rFonts w:ascii="宋体" w:hAnsi="宋体" w:hint="eastAsia"/>
          <w:szCs w:val="21"/>
        </w:rPr>
        <w:t>中标方为本项目设立专业团队，负责项目中全部设备的安装、调试、故障排</w:t>
      </w:r>
      <w:r>
        <w:rPr>
          <w:rFonts w:ascii="宋体" w:hAnsi="宋体" w:hint="eastAsia"/>
          <w:szCs w:val="21"/>
        </w:rPr>
        <w:t>除和</w:t>
      </w:r>
      <w:r>
        <w:rPr>
          <w:rFonts w:ascii="宋体" w:hAnsi="宋体" w:hint="eastAsia"/>
          <w:szCs w:val="21"/>
        </w:rPr>
        <w:t>质保期</w:t>
      </w:r>
      <w:r>
        <w:rPr>
          <w:rFonts w:ascii="宋体" w:hAnsi="宋体" w:hint="eastAsia"/>
          <w:szCs w:val="21"/>
        </w:rPr>
        <w:t>内的其他相关工作。其中中标方应确保团队的稳定性和专业性，项目经理应具有必要的项目管理经验。</w:t>
      </w:r>
    </w:p>
    <w:p w:rsidR="00A133B9">
      <w:pPr>
        <w:spacing w:line="360" w:lineRule="auto"/>
        <w:ind w:left="420" w:leftChars="200"/>
        <w:rPr>
          <w:rFonts w:ascii="宋体" w:hAnsi="宋体"/>
          <w:szCs w:val="21"/>
        </w:rPr>
      </w:pPr>
      <w:r>
        <w:rPr>
          <w:rFonts w:ascii="宋体" w:hAnsi="宋体" w:hint="eastAsia"/>
          <w:szCs w:val="21"/>
        </w:rPr>
        <w:t>5.4.</w:t>
      </w:r>
      <w:r>
        <w:rPr>
          <w:rFonts w:ascii="宋体" w:hAnsi="宋体" w:hint="eastAsia"/>
          <w:szCs w:val="21"/>
        </w:rPr>
        <w:t>技术培训</w:t>
      </w:r>
    </w:p>
    <w:p w:rsidR="00A133B9">
      <w:pPr>
        <w:spacing w:line="360" w:lineRule="auto"/>
        <w:ind w:left="420" w:leftChars="200"/>
        <w:rPr>
          <w:rFonts w:ascii="宋体" w:hAnsi="宋体"/>
          <w:szCs w:val="21"/>
        </w:rPr>
      </w:pPr>
      <w:r>
        <w:rPr>
          <w:rFonts w:ascii="宋体" w:hAnsi="宋体" w:hint="eastAsia"/>
          <w:szCs w:val="21"/>
        </w:rPr>
        <w:t>中标方对投标产品提供至少</w:t>
      </w:r>
      <w:r>
        <w:rPr>
          <w:rFonts w:ascii="宋体" w:hAnsi="宋体" w:hint="eastAsia"/>
          <w:szCs w:val="21"/>
        </w:rPr>
        <w:t>2</w:t>
      </w:r>
      <w:r>
        <w:rPr>
          <w:rFonts w:ascii="宋体" w:hAnsi="宋体" w:hint="eastAsia"/>
          <w:szCs w:val="21"/>
        </w:rPr>
        <w:t>次技术培训，培训内容包括设备使用、日常维护、观测原理及产品应用，培训时间、地点及方式由双方协商确定。</w:t>
      </w:r>
    </w:p>
    <w:p w:rsidR="00A133B9">
      <w:pPr>
        <w:spacing w:line="360" w:lineRule="auto"/>
        <w:ind w:left="420" w:leftChars="200"/>
        <w:rPr>
          <w:rFonts w:ascii="宋体" w:hAnsi="宋体"/>
          <w:szCs w:val="21"/>
        </w:rPr>
      </w:pPr>
      <w:r>
        <w:rPr>
          <w:rFonts w:ascii="宋体" w:hAnsi="宋体" w:hint="eastAsia"/>
          <w:szCs w:val="21"/>
        </w:rPr>
        <w:t>5.5.</w:t>
      </w:r>
      <w:r>
        <w:rPr>
          <w:rFonts w:ascii="宋体" w:hAnsi="宋体" w:hint="eastAsia"/>
          <w:szCs w:val="21"/>
        </w:rPr>
        <w:t>质保期服务</w:t>
      </w:r>
    </w:p>
    <w:p w:rsidR="00A133B9">
      <w:pPr>
        <w:spacing w:line="360" w:lineRule="auto"/>
        <w:ind w:left="420" w:leftChars="200"/>
        <w:rPr>
          <w:rFonts w:ascii="宋体" w:hAnsi="宋体"/>
          <w:szCs w:val="21"/>
        </w:rPr>
      </w:pPr>
      <w:r>
        <w:rPr>
          <w:rFonts w:ascii="宋体" w:hAnsi="宋体" w:hint="eastAsia"/>
          <w:szCs w:val="21"/>
        </w:rPr>
        <w:t>中标方需提供完善的质保服务方案，并对质保期（保内、保外）政策进行阐述或承诺，列明有偿服务和无偿服务内容，</w:t>
      </w:r>
      <w:r w:rsidRPr="000A5301">
        <w:rPr>
          <w:rFonts w:ascii="宋体" w:hAnsi="宋体" w:hint="eastAsia"/>
          <w:szCs w:val="21"/>
          <w:highlight w:val="yellow"/>
        </w:rPr>
        <w:t>*</w:t>
      </w:r>
      <w:r>
        <w:rPr>
          <w:rFonts w:ascii="宋体" w:hAnsi="宋体" w:hint="eastAsia"/>
          <w:szCs w:val="21"/>
        </w:rPr>
        <w:t>设备整机质保</w:t>
      </w:r>
      <w:r>
        <w:rPr>
          <w:rFonts w:ascii="宋体" w:hAnsi="宋体" w:hint="eastAsia"/>
          <w:szCs w:val="21"/>
        </w:rPr>
        <w:t>8</w:t>
      </w:r>
      <w:r>
        <w:rPr>
          <w:rFonts w:ascii="宋体" w:hAnsi="宋体" w:hint="eastAsia"/>
          <w:szCs w:val="21"/>
        </w:rPr>
        <w:t>年。</w:t>
      </w:r>
    </w:p>
    <w:p w:rsidR="00A133B9">
      <w:pPr>
        <w:spacing w:line="360" w:lineRule="auto"/>
        <w:ind w:left="420" w:leftChars="200"/>
        <w:rPr>
          <w:rFonts w:ascii="宋体" w:hAnsi="宋体"/>
          <w:szCs w:val="21"/>
        </w:rPr>
      </w:pPr>
      <w:r>
        <w:rPr>
          <w:rFonts w:ascii="宋体" w:hAnsi="宋体" w:hint="eastAsia"/>
          <w:szCs w:val="21"/>
        </w:rPr>
        <w:t>5.6.</w:t>
      </w:r>
      <w:r>
        <w:rPr>
          <w:rFonts w:ascii="宋体" w:hAnsi="宋体" w:hint="eastAsia"/>
          <w:szCs w:val="21"/>
        </w:rPr>
        <w:t>交货期保证</w:t>
      </w:r>
      <w:r>
        <w:rPr>
          <w:rFonts w:ascii="宋体" w:hAnsi="宋体" w:hint="eastAsia"/>
          <w:szCs w:val="21"/>
        </w:rPr>
        <w:t xml:space="preserve"> </w:t>
      </w:r>
    </w:p>
    <w:p w:rsidR="00A133B9">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90</w:t>
      </w:r>
      <w:r>
        <w:rPr>
          <w:rFonts w:ascii="宋体" w:hAnsi="宋体" w:hint="eastAsia"/>
          <w:szCs w:val="21"/>
        </w:rPr>
        <w:t>天内交货</w:t>
      </w:r>
      <w:r w:rsidRPr="00F83304" w:rsidR="00F83304">
        <w:rPr>
          <w:rFonts w:ascii="宋体" w:hAnsi="宋体" w:hint="eastAsia"/>
          <w:szCs w:val="21"/>
        </w:rPr>
        <w:t>，180天内完成安装调试并具备验收条件</w:t>
      </w:r>
      <w:r>
        <w:rPr>
          <w:rFonts w:ascii="宋体" w:hAnsi="宋体" w:hint="eastAsia"/>
          <w:szCs w:val="21"/>
        </w:rPr>
        <w:t>。中标方需提供交货时间承诺函。</w:t>
      </w:r>
    </w:p>
    <w:p w:rsidR="00A133B9">
      <w:pPr>
        <w:spacing w:line="360" w:lineRule="auto"/>
        <w:ind w:firstLine="420" w:firstLineChars="200"/>
        <w:rPr>
          <w:rFonts w:ascii="宋体" w:eastAsia="宋体" w:hAnsi="宋体" w:cs="Times New Roman"/>
          <w:szCs w:val="21"/>
        </w:rPr>
      </w:pPr>
    </w:p>
    <w:p w:rsidR="00A133B9">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A133B9">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3"/>
        <w:gridCol w:w="2248"/>
        <w:gridCol w:w="1022"/>
        <w:gridCol w:w="1421"/>
        <w:gridCol w:w="1620"/>
        <w:gridCol w:w="1022"/>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X波段多普勒天气雷达（含大修及技术升级）</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X波段天气雷达辅助配套设施</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3,350,000.00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79"/>
        <w:gridCol w:w="1321"/>
        <w:gridCol w:w="2090"/>
        <w:gridCol w:w="579"/>
        <w:gridCol w:w="1321"/>
        <w:gridCol w:w="1101"/>
        <w:gridCol w:w="950"/>
        <w:gridCol w:w="5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暴雨所</w:t>
            </w:r>
          </w:p>
        </w:tc>
        <w:tc>
          <w:tcPr/>
          <w:p>
            <w:r>
              <w:t>X波段多普勒天气雷达（含大修及技术升级）</w:t>
            </w:r>
          </w:p>
        </w:tc>
        <w:tc>
          <w:tcPr/>
          <w:p>
            <w:r>
              <w:t>1</w:t>
            </w:r>
          </w:p>
        </w:tc>
        <w:tc>
          <w:tcPr/>
          <w:p>
            <w:r>
              <w:t>3200000.00</w:t>
            </w:r>
          </w:p>
        </w:tc>
        <w:tc>
          <w:tcPr>
            <w:vMerge w:val="restart"/>
          </w:tcPr>
          <w:p>
            <w:r>
              <w:t xml:space="preserve">3350000.00  </w:t>
            </w:r>
          </w:p>
        </w:tc>
        <w:tc>
          <w:tcPr/>
          <w:p>
            <w:r>
              <w:t>湖北</w:t>
            </w:r>
          </w:p>
        </w:tc>
        <w:tc>
          <w:tcPr/>
          <w:p/>
        </w:tc>
      </w:tr>
      <w:tr>
        <w:tblPrEx>
          <w:tblW w:w="5000" w:type="pct"/>
          <w:tblCellMar>
            <w:left w:w="108" w:type="dxa"/>
            <w:right w:w="108" w:type="dxa"/>
          </w:tblCellMar>
        </w:tblPrEx>
        <w:tc>
          <w:tcPr/>
          <w:p>
            <w:r>
              <w:t>2</w:t>
            </w:r>
          </w:p>
        </w:tc>
        <w:tc>
          <w:tcPr>
            <w:vMerge/>
          </w:tcPr>
          <w:p>
            <w:r>
              <w:t>暴雨所</w:t>
            </w:r>
          </w:p>
        </w:tc>
        <w:tc>
          <w:tcPr/>
          <w:p>
            <w:r>
              <w:t>X波段天气雷达辅助配套设施</w:t>
            </w:r>
          </w:p>
        </w:tc>
        <w:tc>
          <w:tcPr/>
          <w:p>
            <w:r>
              <w:t>1</w:t>
            </w:r>
          </w:p>
        </w:tc>
        <w:tc>
          <w:tcPr/>
          <w:p>
            <w:r>
              <w:t>150000.00</w:t>
            </w:r>
          </w:p>
        </w:tc>
        <w:tc>
          <w:tcPr>
            <w:vMerge/>
          </w:tcPr>
          <w:p>
            <w:r>
              <w:t xml:space="preserve">3350000.00  </w:t>
            </w:r>
          </w:p>
        </w:tc>
        <w:tc>
          <w:tcPr/>
          <w:p/>
        </w:tc>
        <w:tc>
          <w:tcP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003D8">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003D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181E1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003D8">
            <w:pPr>
              <w:rPr>
                <w:sz w:val="18"/>
                <w:szCs w:val="18"/>
              </w:rPr>
            </w:pPr>
            <w:r>
              <w:rPr>
                <w:rFonts w:hint="eastAsia"/>
                <w:sz w:val="18"/>
                <w:szCs w:val="18"/>
              </w:rPr>
              <w:t>序号</w:t>
            </w:r>
          </w:p>
        </w:tc>
        <w:tc>
          <w:tcPr>
            <w:tcW w:w="898" w:type="dxa"/>
            <w:vAlign w:val="center"/>
          </w:tcPr>
          <w:p w:rsidR="008003D8">
            <w:pPr>
              <w:jc w:val="center"/>
              <w:rPr>
                <w:sz w:val="18"/>
                <w:szCs w:val="18"/>
              </w:rPr>
            </w:pPr>
            <w:r>
              <w:rPr>
                <w:rFonts w:hint="eastAsia"/>
                <w:sz w:val="18"/>
                <w:szCs w:val="18"/>
              </w:rPr>
              <w:t>对应</w:t>
            </w:r>
          </w:p>
          <w:p w:rsidR="008003D8">
            <w:pPr>
              <w:jc w:val="center"/>
              <w:rPr>
                <w:sz w:val="18"/>
                <w:szCs w:val="18"/>
              </w:rPr>
            </w:pPr>
            <w:r>
              <w:rPr>
                <w:rFonts w:hint="eastAsia"/>
                <w:sz w:val="18"/>
                <w:szCs w:val="18"/>
              </w:rPr>
              <w:t>条款号</w:t>
            </w:r>
          </w:p>
        </w:tc>
        <w:tc>
          <w:tcPr>
            <w:tcW w:w="7347" w:type="dxa"/>
            <w:vAlign w:val="center"/>
          </w:tcPr>
          <w:p w:rsidR="008003D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181E17">
        <w:tblPrEx>
          <w:tblW w:w="8789" w:type="dxa"/>
          <w:tblLayout w:type="fixed"/>
          <w:tblLook w:val="04A0"/>
        </w:tblPrEx>
        <w:trPr>
          <w:cantSplit/>
        </w:trPr>
        <w:tc>
          <w:tcPr>
            <w:tcW w:w="8789" w:type="dxa"/>
            <w:gridSpan w:val="3"/>
            <w:vAlign w:val="center"/>
          </w:tcPr>
          <w:p w:rsidR="008003D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181E17">
        <w:tblPrEx>
          <w:tblW w:w="8789" w:type="dxa"/>
          <w:tblLayout w:type="fixed"/>
          <w:tblLook w:val="04A0"/>
        </w:tblPrEx>
        <w:trPr>
          <w:cantSplit/>
        </w:trPr>
        <w:tc>
          <w:tcPr>
            <w:tcW w:w="544" w:type="dxa"/>
            <w:vAlign w:val="center"/>
          </w:tcPr>
          <w:p w:rsidR="008003D8">
            <w:pPr>
              <w:numPr>
                <w:ilvl w:val="0"/>
                <w:numId w:val="13"/>
              </w:numPr>
              <w:rPr>
                <w:rFonts w:ascii="宋体" w:hAnsi="宋体"/>
                <w:sz w:val="18"/>
                <w:szCs w:val="18"/>
              </w:rPr>
            </w:pPr>
          </w:p>
        </w:tc>
        <w:tc>
          <w:tcPr>
            <w:tcW w:w="898" w:type="dxa"/>
            <w:vAlign w:val="center"/>
          </w:tcPr>
          <w:p w:rsidR="008003D8" w:rsidP="00181E17">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8003D8">
            <w:pPr>
              <w:tabs>
                <w:tab w:val="left" w:pos="709"/>
              </w:tabs>
              <w:spacing w:line="360" w:lineRule="auto"/>
              <w:jc w:val="left"/>
              <w:rPr>
                <w:rFonts w:ascii="宋体" w:hAnsi="宋体" w:cs="微软雅黑"/>
                <w:b/>
                <w:color w:val="0000FF"/>
                <w:kern w:val="0"/>
                <w:sz w:val="18"/>
                <w:szCs w:val="18"/>
              </w:rPr>
            </w:pPr>
            <w:r>
              <w:rPr>
                <w:rFonts w:asciiTheme="minorEastAsia" w:eastAsiaTheme="minorEastAsia" w:hAnsiTheme="minorEastAsia" w:cstheme="minorEastAsia" w:hint="eastAsia"/>
                <w:kern w:val="0"/>
                <w:szCs w:val="21"/>
              </w:rPr>
              <w:t>以下产品需要提供至投标截止日仍有效的《气象专用技术装备使用许可证》：1、X</w:t>
            </w:r>
            <w:r>
              <w:rPr>
                <w:rFonts w:asciiTheme="minorEastAsia" w:eastAsiaTheme="minorEastAsia" w:hAnsiTheme="minorEastAsia" w:cstheme="minorEastAsia" w:hint="eastAsia"/>
                <w:kern w:val="0"/>
                <w:szCs w:val="21"/>
              </w:rPr>
              <w:t>波段双</w:t>
            </w:r>
            <w:r>
              <w:rPr>
                <w:rFonts w:asciiTheme="minorEastAsia" w:eastAsiaTheme="minorEastAsia" w:hAnsiTheme="minorEastAsia" w:cstheme="minorEastAsia" w:hint="eastAsia"/>
                <w:kern w:val="0"/>
                <w:szCs w:val="21"/>
              </w:rPr>
              <w:t>线偏振多普勒天气雷达</w:t>
            </w:r>
          </w:p>
        </w:tc>
      </w:tr>
      <w:tr w:rsidTr="00181E17">
        <w:tblPrEx>
          <w:tblW w:w="8789" w:type="dxa"/>
          <w:tblLayout w:type="fixed"/>
          <w:tblLook w:val="04A0"/>
        </w:tblPrEx>
        <w:trPr>
          <w:cantSplit/>
        </w:trPr>
        <w:tc>
          <w:tcPr>
            <w:tcW w:w="8789" w:type="dxa"/>
            <w:gridSpan w:val="3"/>
            <w:vAlign w:val="center"/>
          </w:tcPr>
          <w:p w:rsidR="008003D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181E17">
        <w:tblPrEx>
          <w:tblW w:w="8789" w:type="dxa"/>
          <w:tblLayout w:type="fixed"/>
          <w:tblLook w:val="04A0"/>
        </w:tblPrEx>
        <w:trPr>
          <w:cantSplit/>
        </w:trPr>
        <w:tc>
          <w:tcPr>
            <w:tcW w:w="544" w:type="dxa"/>
            <w:vAlign w:val="center"/>
          </w:tcPr>
          <w:p w:rsidR="008003D8">
            <w:pPr>
              <w:numPr>
                <w:ilvl w:val="0"/>
                <w:numId w:val="13"/>
              </w:numPr>
              <w:rPr>
                <w:rFonts w:ascii="宋体" w:hAnsi="宋体"/>
                <w:sz w:val="18"/>
                <w:szCs w:val="18"/>
              </w:rPr>
            </w:pPr>
          </w:p>
        </w:tc>
        <w:tc>
          <w:tcPr>
            <w:tcW w:w="898" w:type="dxa"/>
            <w:vAlign w:val="center"/>
          </w:tcPr>
          <w:p w:rsidR="008003D8">
            <w:pPr>
              <w:jc w:val="center"/>
              <w:rPr>
                <w:rFonts w:ascii="宋体" w:hAnsi="宋体"/>
                <w:sz w:val="18"/>
                <w:szCs w:val="18"/>
              </w:rPr>
            </w:pPr>
            <w:r>
              <w:rPr>
                <w:rFonts w:ascii="宋体" w:hAnsi="宋体"/>
                <w:sz w:val="18"/>
                <w:szCs w:val="18"/>
              </w:rPr>
              <w:t>5.5</w:t>
            </w:r>
          </w:p>
        </w:tc>
        <w:tc>
          <w:tcPr>
            <w:tcW w:w="7347" w:type="dxa"/>
            <w:vAlign w:val="center"/>
          </w:tcPr>
          <w:p w:rsidR="008003D8">
            <w:pPr>
              <w:tabs>
                <w:tab w:val="left" w:pos="709"/>
              </w:tabs>
              <w:spacing w:line="360" w:lineRule="auto"/>
              <w:jc w:val="left"/>
              <w:rPr>
                <w:rFonts w:ascii="宋体" w:hAnsi="宋体"/>
                <w:sz w:val="18"/>
                <w:szCs w:val="18"/>
              </w:rPr>
            </w:pPr>
            <w:r w:rsidRPr="0075042C">
              <w:rPr>
                <w:rFonts w:ascii="宋体" w:hAnsi="宋体" w:hint="eastAsia"/>
                <w:szCs w:val="21"/>
                <w:highlight w:val="yellow"/>
              </w:rPr>
              <w:t>*</w:t>
            </w:r>
            <w:r>
              <w:rPr>
                <w:rFonts w:ascii="宋体" w:hAnsi="宋体" w:hint="eastAsia"/>
                <w:szCs w:val="21"/>
              </w:rPr>
              <w:t>设备整机质保8年。</w:t>
            </w:r>
          </w:p>
        </w:tc>
      </w:tr>
    </w:tbl>
    <w:p w:rsidR="008003D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合同签订后10个工作日内支付合同款的80%，完成核心产品交货后10个工作日内支付合同款的20%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301"/>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1E17"/>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042C"/>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3D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3B9"/>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3304"/>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