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青海省人工影响天气水资源保障工程（弹药保险箱）</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ZQCD-26031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2026年03月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青海省气象灾害防御技术中心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青海省人工影响天气水资源保障工程（弹药保险箱）</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ZQCD-26031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合同签订后60天内开始交货，160天内完成安装调试并具备验收条件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青海省境内指定地点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2026年03月31日 00:00:00</w:t>
      </w:r>
      <w:bookmarkEnd w:id="26"/>
      <w:r>
        <w:rPr>
          <w:rFonts w:ascii="宋体" w:hint="eastAsia"/>
          <w:szCs w:val="21"/>
          <w:highlight w:val="none"/>
        </w:rPr>
        <w:t>至</w:t>
      </w:r>
      <w:bookmarkStart w:id="27" w:name="项目公告_signUpLastTime"/>
      <w:r>
        <w:rPr>
          <w:rFonts w:ascii="宋体" w:hint="eastAsia"/>
          <w:szCs w:val="21"/>
          <w:highlight w:val="none"/>
        </w:rPr>
        <w:t>2026年04月07日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2026年04月21日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青海省气象灾害防御技术中心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张莉燕</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0971-6114398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青海省西宁市城西区五四大街19号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青海省气象灾害防御技术中心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不允许（仅针对以下产品：所有标的物不允许代理商投标）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（1）标的：青海省人工影响天气水资源保障工程（弹药保险箱）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kern w:val="0"/>
                <w:szCs w:val="21"/>
                <w:highlight w:val="none"/>
              </w:rPr>
            </w:pPr>
            <w:r>
              <w:rPr>
                <w:rFonts w:hint="eastAsia"/>
                <w:kern w:val="0"/>
                <w:szCs w:val="21"/>
                <w:highlight w:val="none"/>
                <w:lang w:val="en-US" w:eastAsia="zh-CN"/>
              </w:rPr>
              <w:t>否</w:t>
            </w:r>
            <w:bookmarkStart w:id="48" w:name="_GoBack"/>
            <w:bookmarkEnd w:id="48"/>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316.000000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316.000000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6" w:name="其他事项_ottherReemarks"/>
            <w:r>
              <w:rPr>
                <w:rFonts w:ascii="宋体" w:hAnsi="宋体" w:hint="eastAsia"/>
                <w:szCs w:val="21"/>
                <w:highlight w:val="none"/>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91"/>
        <w:gridCol w:w="314"/>
        <w:gridCol w:w="1292"/>
        <w:gridCol w:w="314"/>
        <w:gridCol w:w="689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报价分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w:t>
            </w:r>
          </w:p>
        </w:tc>
        <w:tc>
          <w:tcPr/>
          <w:p>
            <w:r>
              <w:t>勾选打分</w:t>
            </w:r>
            <w:r>
              <w:t>(2)</w:t>
            </w:r>
          </w:p>
        </w:tc>
        <w:tc>
          <w:tcPr/>
          <w:p>
            <w:r>
              <w:t>评审标准：</w:t>
            </w:r>
          </w:p>
          <w:p>
            <w:r>
              <w:t>投标人具有 ISO9001质量管理体系认证，得2分。否则不得分。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w:t>
            </w:r>
          </w:p>
        </w:tc>
        <w:tc>
          <w:tcPr/>
          <w:p>
            <w:r>
              <w:t>勾选打分</w:t>
            </w:r>
            <w:r>
              <w:t>(5)</w:t>
            </w:r>
          </w:p>
        </w:tc>
        <w:tc>
          <w:tcPr/>
          <w:p>
            <w:r>
              <w:t>评审标准：</w:t>
            </w:r>
          </w:p>
          <w:p>
            <w:r>
              <w:t>投标人提供技术指标符合或优于《人工影响天气作业用弹药保险柜（QX/T 328-2016）》的弹药保险箱 / 特种安防保险柜供货合同及相应的验收材料。每提供 1 份合同及相应验收材料得 1 分，最多5 分。</w:t>
            </w:r>
          </w:p>
          <w:p>
            <w:r>
              <w:t>评审标准说明：</w:t>
            </w:r>
          </w:p>
          <w:p>
            <w:r>
              <w:t>1、合同标的和验收材料中必须包括该项评审标准中要求的标的。</w:t>
              <w:cr/>
              <w:t>2、需提供投标人的销售合同和验收材料。如合同或验收材料不能证明相关标的物技术指标符合或优于QX/T 328-2016，应提供其他证明材料，如：标的物技术指标符合或优于QX/T 328-2016的第三方检测报告；标的物技术指标满足有关国家标准（或军工行业、安防行业的行业标准）且材料与结构、性能要求的技术指标不低于QX/T 328-2016的第三方检测报告等。</w:t>
              <w:cr/>
              <w:t>3、提供的合同（必须包括合同首页、金额页、标的页、签字盖章页）及相关证明材料，为复印件并加盖投标人公章。</w:t>
              <w:cr/>
              <w:t>4、合同签署日期为投标截止日前三年内。如合同无签署日期无效。</w:t>
              <w:cr/>
              <w:t>5、合同签字盖章页及验收材料必须有甲乙双方的签字和盖章。</w:t>
              <w:cr/>
              <w:t>6、所有复印件应清晰，不得有任何涂改、遮挡。</w:t>
              <w:cr/>
              <w:t>提供的材料不符合以上1-6要求的无效。</w:t>
            </w:r>
          </w:p>
          <w:p/>
        </w:tc>
      </w:tr>
      <w:tr>
        <w:tblPrEx>
          <w:tblW w:w="5000" w:type="pct"/>
          <w:tblCellMar>
            <w:left w:w="108" w:type="dxa"/>
            <w:right w:w="108" w:type="dxa"/>
          </w:tblCellMar>
        </w:tblPrEx>
        <w:tc>
          <w:tcPr/>
          <w:p>
            <w:r>
              <w:t>4</w:t>
            </w:r>
          </w:p>
        </w:tc>
        <w:tc>
          <w:tcPr>
            <w:vMerge/>
          </w:tcPr>
          <w:p>
            <w:r>
              <w:t>商务部分</w:t>
            </w:r>
          </w:p>
        </w:tc>
        <w:tc>
          <w:tcPr/>
          <w:p>
            <w:r>
              <w:t>质保服务方案</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 xml:space="preserve">四档：质保方案能按照招标文件的要求进行响应，详细具体，针对性强，与项目实际情况相契合，完全满足采购文件的需求。 </w:t>
            </w:r>
          </w:p>
          <w:p/>
        </w:tc>
      </w:tr>
      <w:tr>
        <w:tblPrEx>
          <w:tblW w:w="5000" w:type="pct"/>
          <w:tblCellMar>
            <w:left w:w="108" w:type="dxa"/>
            <w:right w:w="108" w:type="dxa"/>
          </w:tblCellMar>
        </w:tblPrEx>
        <w:tc>
          <w:tcPr/>
          <w:p>
            <w:r>
              <w:t>5</w:t>
            </w:r>
          </w:p>
        </w:tc>
        <w:tc>
          <w:tcPr>
            <w:vMerge/>
          </w:tcPr>
          <w:p>
            <w:r>
              <w:t>商务部分</w:t>
            </w:r>
          </w:p>
        </w:tc>
        <w:tc>
          <w:tcPr/>
          <w:p>
            <w:r>
              <w:t>质保期限</w:t>
            </w:r>
          </w:p>
        </w:tc>
        <w:tc>
          <w:tcPr/>
          <w:p>
            <w:r>
              <w:t>勾选打分</w:t>
            </w:r>
            <w:r>
              <w:t>(2)</w:t>
            </w:r>
          </w:p>
        </w:tc>
        <w:tc>
          <w:tcPr/>
          <w:p>
            <w:r>
              <w:t>评审标准：</w:t>
            </w:r>
          </w:p>
          <w:p>
            <w:r>
              <w:t>在满足采购需求免费3年质保期的基础上，投标人有延长免费质保承诺的，每延长1年得1分，最多得2分。</w:t>
            </w:r>
          </w:p>
          <w:p>
            <w:r>
              <w:t>评审标准说明：</w:t>
            </w:r>
          </w:p>
          <w:p>
            <w:r>
              <w:t>须提供承诺函。</w:t>
            </w:r>
          </w:p>
          <w:p/>
        </w:tc>
      </w:tr>
      <w:tr>
        <w:tblPrEx>
          <w:tblW w:w="5000" w:type="pct"/>
          <w:tblCellMar>
            <w:left w:w="108" w:type="dxa"/>
            <w:right w:w="108" w:type="dxa"/>
          </w:tblCellMar>
        </w:tblPrEx>
        <w:tc>
          <w:tcPr/>
          <w:p>
            <w:r>
              <w:t>6</w:t>
            </w:r>
          </w:p>
        </w:tc>
        <w:tc>
          <w:tcPr>
            <w:vMerge/>
          </w:tcPr>
          <w:p>
            <w:r>
              <w:t>商务部分</w:t>
            </w:r>
          </w:p>
        </w:tc>
        <w:tc>
          <w:tcPr/>
          <w:p>
            <w:r>
              <w:t>用户满意度证明</w:t>
            </w:r>
          </w:p>
        </w:tc>
        <w:tc>
          <w:tcPr/>
          <w:p>
            <w:r>
              <w:t>勾选打分</w:t>
            </w:r>
            <w:r>
              <w:t>(2)</w:t>
            </w:r>
          </w:p>
        </w:tc>
        <w:tc>
          <w:tcPr/>
          <w:p>
            <w:r>
              <w:t>评审标准：</w:t>
            </w:r>
          </w:p>
          <w:p>
            <w:r>
              <w:t>针对技术指标符合或优于《人工影响天气作业用弹药保险柜（QX/T 328-2016）》的弹药保险箱 / 特种安防保险柜，每提供1份用户满意证明材料得1分，最多得2分。否则不得分。</w:t>
            </w:r>
          </w:p>
          <w:p>
            <w:r>
              <w:t>评审标准说明：</w:t>
            </w:r>
          </w:p>
          <w:p>
            <w:r>
              <w:t>1、需提供在投标截止日前三年内出具的，涵盖稳定运行、实际应用情况等内容且用户评价为正面或满意的用户证明（含用户单位联系人、联系方式），并加盖投标人公章。</w:t>
              <w:cr/>
              <w:t>2、如用户满意证明材料未体现技术指标符合或优于《人工影响天气作业用弹药保险柜（QX/T 328-2016）》的弹药保险箱 / 特种安防保险柜，应提供其他补充材料，如：弹药保险箱 / 特种安防保险柜技术指标符合或优于QX/T 328-2016的第三方检测报告；弹药保险箱 / 特种安防保险柜技术指标满足有关国家标准（或军工行业、安防行业的行业标准）且材料与结构、性能要求的技术指标不低于QX/T 328-2016的第三方检测报告等。</w:t>
            </w:r>
          </w:p>
          <w:p/>
        </w:tc>
      </w:tr>
      <w:tr>
        <w:tblPrEx>
          <w:tblW w:w="5000" w:type="pct"/>
          <w:tblCellMar>
            <w:left w:w="108" w:type="dxa"/>
            <w:right w:w="108" w:type="dxa"/>
          </w:tblCellMar>
        </w:tblPrEx>
        <w:tc>
          <w:tcPr/>
          <w:p>
            <w:r>
              <w:t>7</w:t>
            </w:r>
          </w:p>
        </w:tc>
        <w:tc>
          <w:tcPr>
            <w:vMerge w:val="restart"/>
          </w:tcPr>
          <w:p>
            <w:r>
              <w:t>服务部分</w:t>
            </w:r>
          </w:p>
        </w:tc>
        <w:tc>
          <w:tcPr/>
          <w:p>
            <w:r>
              <w:t>售后服务</w:t>
            </w:r>
          </w:p>
        </w:tc>
        <w:tc>
          <w:tcPr/>
          <w:p>
            <w:r>
              <w:t>勾选打分</w:t>
            </w:r>
            <w:r>
              <w:t>(4)</w:t>
            </w:r>
          </w:p>
        </w:tc>
        <w:tc>
          <w:tcPr/>
          <w:p>
            <w:r>
              <w:t>评审标准：</w:t>
            </w:r>
          </w:p>
          <w:p>
            <w:r>
              <w:t>一档0分</w:t>
              <w:cr/>
              <w:t>二档1分</w:t>
              <w:cr/>
              <w:t>三档2分</w:t>
              <w:cr/>
              <w:t>四档4分</w:t>
            </w:r>
          </w:p>
          <w:p>
            <w:r>
              <w:t>评审标准说明：</w:t>
            </w:r>
          </w:p>
          <w:p>
            <w:r>
              <w:t>对投标人提供售后服务方案进行评分。售后服务方案应包括售后服务响应速度、售后服务承诺、技术支持服务、售后人员配置等。具体评分标准如下：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w:t>
            </w:r>
          </w:p>
          <w:p/>
        </w:tc>
      </w:tr>
      <w:tr>
        <w:tblPrEx>
          <w:tblW w:w="5000" w:type="pct"/>
          <w:tblCellMar>
            <w:left w:w="108" w:type="dxa"/>
            <w:right w:w="108" w:type="dxa"/>
          </w:tblCellMar>
        </w:tblPrEx>
        <w:tc>
          <w:tcPr/>
          <w:p>
            <w:r>
              <w:t>8</w:t>
            </w:r>
          </w:p>
        </w:tc>
        <w:tc>
          <w:tcPr>
            <w:vMerge/>
          </w:tcPr>
          <w:p>
            <w:r>
              <w:t>服务部分</w:t>
            </w:r>
          </w:p>
        </w:tc>
        <w:tc>
          <w:tcPr/>
          <w:p>
            <w:r>
              <w:t>培训方案</w:t>
            </w:r>
          </w:p>
        </w:tc>
        <w:tc>
          <w:tcPr/>
          <w:p>
            <w:r>
              <w:t>勾选打分</w:t>
            </w:r>
            <w:r>
              <w:t>(2)</w:t>
            </w:r>
          </w:p>
        </w:tc>
        <w:tc>
          <w:tcPr/>
          <w:p>
            <w:r>
              <w:t>评审标准：</w:t>
            </w:r>
          </w:p>
          <w:p>
            <w:r>
              <w:t xml:space="preserve"> 一档0分</w:t>
              <w:cr/>
              <w:t xml:space="preserve"> 二档1分</w:t>
              <w:cr/>
              <w:t xml:space="preserve"> 三档2分</w:t>
            </w:r>
          </w:p>
          <w:p>
            <w:r>
              <w:t>评审标准说明：</w:t>
            </w:r>
          </w:p>
          <w:p>
            <w:r>
              <w:t>对投标人针对设备使用人员的实操培训等方面提供的培训方案(包括但不限于培训时间计划，培训流程、主要培训内容等)。具体标准评分如下：</w:t>
              <w:cr/>
              <w:t>一档：未提供培训方案；</w:t>
              <w:cr/>
              <w:t>二档：提供培训方案，但培训方案不完整（指缺失培训计划、培训流程、主要培训内容）；</w:t>
              <w:cr/>
              <w:t>三档：提供培训方案完整，课程设计重点突出、针对性强，完全满足采购文件需求。</w:t>
            </w:r>
          </w:p>
          <w:p/>
        </w:tc>
      </w:tr>
      <w:tr>
        <w:tblPrEx>
          <w:tblW w:w="5000" w:type="pct"/>
          <w:tblCellMar>
            <w:left w:w="108" w:type="dxa"/>
            <w:right w:w="108" w:type="dxa"/>
          </w:tblCellMar>
        </w:tblPrEx>
        <w:tc>
          <w:tcPr/>
          <w:p>
            <w:r>
              <w:t>9</w:t>
            </w:r>
          </w:p>
        </w:tc>
        <w:tc>
          <w:tcPr>
            <w:vMerge w:val="restart"/>
          </w:tcPr>
          <w:p>
            <w:r>
              <w:t>技术部分</w:t>
            </w:r>
          </w:p>
        </w:tc>
        <w:tc>
          <w:tcPr/>
          <w:p>
            <w:r>
              <w:t>产品核心安防参数</w:t>
            </w:r>
          </w:p>
        </w:tc>
        <w:tc>
          <w:tcPr/>
          <w:p>
            <w:r>
              <w:t>勾选打分</w:t>
            </w:r>
            <w:r>
              <w:t>(15)</w:t>
            </w:r>
          </w:p>
        </w:tc>
        <w:tc>
          <w:tcPr/>
          <w:p>
            <w:r>
              <w:t>评审标准：</w:t>
            </w:r>
          </w:p>
          <w:p>
            <w:r>
              <w:t>1.箱体柜门钢板厚度≥8mm，得 5 分；</w:t>
              <w:cr/>
              <w:t>2.至少安装符合 GA/T 73 要求的1套机械密码锁及2套机械钥匙锁，得 5 分；</w:t>
              <w:cr/>
              <w:t>3.锁具具备应急安全开启机制，符合弹药管控规范，得 5 分；</w:t>
            </w:r>
          </w:p>
          <w:p>
            <w:r>
              <w:t>评审标准说明：</w:t>
            </w:r>
          </w:p>
          <w:p>
            <w:r>
              <w:t>需提供柜门钢板厚度证明材料。</w:t>
            </w:r>
          </w:p>
          <w:p/>
        </w:tc>
      </w:tr>
      <w:tr>
        <w:tblPrEx>
          <w:tblW w:w="5000" w:type="pct"/>
          <w:tblCellMar>
            <w:left w:w="108" w:type="dxa"/>
            <w:right w:w="108" w:type="dxa"/>
          </w:tblCellMar>
        </w:tblPrEx>
        <w:tc>
          <w:tcPr/>
          <w:p>
            <w:r>
              <w:t>10</w:t>
            </w:r>
          </w:p>
        </w:tc>
        <w:tc>
          <w:tcPr>
            <w:vMerge/>
          </w:tcPr>
          <w:p>
            <w:r>
              <w:t>技术部分</w:t>
            </w:r>
          </w:p>
        </w:tc>
        <w:tc>
          <w:tcPr/>
          <w:p>
            <w:r>
              <w:t>产品结构与功能设计</w:t>
            </w:r>
          </w:p>
        </w:tc>
        <w:tc>
          <w:tcPr/>
          <w:p>
            <w:r>
              <w:t>区间打分</w:t>
            </w:r>
            <w:r>
              <w:t>(22)</w:t>
            </w:r>
          </w:p>
        </w:tc>
        <w:tc>
          <w:tcPr/>
          <w:p>
            <w:r>
              <w:t>评审标准：</w:t>
            </w:r>
          </w:p>
          <w:p>
            <w:r>
              <w:t>所投产品全部技术参数需满足或优于招标文件要求，标注#的重要指标共10项，每满足1项（如有多个下级指标，则每个下级指标均应满足）得2分，其他11项指标均满足得2分。满分为22分。</w:t>
            </w:r>
          </w:p>
          <w:p>
            <w:r>
              <w:t>评审标准说明：</w:t>
            </w:r>
          </w:p>
          <w:p>
            <w:r>
              <w:t>需提供技术文档。响应且满足招标文件第七章详细技术指标要求，标注#的重要指标需提供第三方出具测试报告或者产品说明书或者官网截图等作为证明材料，并加盖投标人公章，没有证明材料的，视为不满足。未标注#的其他指标需要提供承诺。</w:t>
            </w:r>
          </w:p>
          <w:p/>
        </w:tc>
      </w:tr>
      <w:tr>
        <w:tblPrEx>
          <w:tblW w:w="5000" w:type="pct"/>
          <w:tblCellMar>
            <w:left w:w="108" w:type="dxa"/>
            <w:right w:w="108" w:type="dxa"/>
          </w:tblCellMar>
        </w:tblPrEx>
        <w:tc>
          <w:tcPr/>
          <w:p>
            <w:r>
              <w:t>11</w:t>
            </w:r>
          </w:p>
        </w:tc>
        <w:tc>
          <w:tcPr>
            <w:vMerge/>
          </w:tcPr>
          <w:p>
            <w:r>
              <w:t>技术部分</w:t>
            </w:r>
          </w:p>
        </w:tc>
        <w:tc>
          <w:tcPr/>
          <w:p>
            <w:r>
              <w:t>投标产品技术方案及综合性能</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或者产品说明书或者官网截图，并加盖投标人公章。其中，相关技术指标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安装调试方案</w:t>
            </w:r>
          </w:p>
        </w:tc>
        <w:tc>
          <w:tcPr/>
          <w:p>
            <w:r>
              <w:t>勾选打分</w:t>
            </w:r>
            <w:r>
              <w:t>(4)</w:t>
            </w:r>
          </w:p>
        </w:tc>
        <w:tc>
          <w:tcPr/>
          <w:p>
            <w:r>
              <w:t>评审标准：</w:t>
            </w:r>
          </w:p>
          <w:p>
            <w:r>
              <w:t>一档0分</w:t>
              <w:cr/>
              <w:t>二档1分</w:t>
              <w:cr/>
              <w:t>三档2分</w:t>
              <w:cr/>
              <w:t>四档4分</w:t>
            </w:r>
          </w:p>
          <w:p>
            <w:r>
              <w:t>评审标准说明：</w:t>
            </w:r>
          </w:p>
          <w:p>
            <w:r>
              <w:t>根据投标人提供的安装调试方案(包括但不限于安装计划及工期等)进行综合评审:</w:t>
              <w:cr/>
              <w:t>一档：未提供方案或方案不能满足项目要求</w:t>
              <w:cr/>
              <w:t>二档：方案针对性不强，有基本的交货流程说明，但内容不够全面，保障性不强:</w:t>
              <w:cr/>
              <w:t>三档：方案有一定的可行性，有基本的安装计划及工期、安装调试说明，简单易懂，基本能满足项目要求；</w:t>
              <w:cr/>
              <w:t>四档：方案详细，有完整的安装计划及工期、安装调试说明，内容科学易操作完全满足项目要求。</w:t>
            </w:r>
          </w:p>
          <w:p/>
        </w:tc>
      </w:tr>
      <w:tr>
        <w:tblPrEx>
          <w:tblW w:w="5000" w:type="pct"/>
          <w:tblCellMar>
            <w:left w:w="108" w:type="dxa"/>
            <w:right w:w="108" w:type="dxa"/>
          </w:tblCellMar>
        </w:tblPrEx>
        <w:tc>
          <w:tcPr/>
          <w:p>
            <w:r>
              <w:t>13</w:t>
            </w:r>
          </w:p>
        </w:tc>
        <w:tc>
          <w:tcPr>
            <w:vMerge/>
          </w:tcPr>
          <w:p>
            <w:r>
              <w:t>技术部分</w:t>
            </w:r>
          </w:p>
        </w:tc>
        <w:tc>
          <w:tcPr/>
          <w:p>
            <w:r>
              <w:t>应急保障措施</w:t>
            </w:r>
          </w:p>
        </w:tc>
        <w:tc>
          <w:tcPr/>
          <w:p>
            <w:r>
              <w:t>勾选打分</w:t>
            </w:r>
            <w:r>
              <w:t>(4)</w:t>
            </w:r>
          </w:p>
        </w:tc>
        <w:tc>
          <w:tcPr/>
          <w:p>
            <w:r>
              <w:t>评审标准：</w:t>
            </w:r>
          </w:p>
          <w:p>
            <w:r>
              <w:t>一档0分</w:t>
              <w:cr/>
              <w:t>二档1分</w:t>
              <w:cr/>
              <w:t>三档2分</w:t>
              <w:cr/>
              <w:t>四档4分</w:t>
            </w:r>
          </w:p>
          <w:p>
            <w:r>
              <w:t>评审标准说明：</w:t>
            </w:r>
          </w:p>
          <w:p>
            <w:r>
              <w:t>根据投标人提供的应急保障措施(包括1对于本项目可能存在的应急情况预判;2应急情况的预处理措施;3避免应急情况发生的前置保障措施)进行综合评审:</w:t>
              <w:cr/>
              <w:t>一档：未提供应急保障措施或应急保障措施不能满足项目要求；</w:t>
              <w:cr/>
              <w:t>二档：提供的应急保障措施有缺漏，其中1项的响应文件具有完整性、合理性、针对性，基本满足项目采购需求；</w:t>
              <w:cr/>
              <w:t>三档：提供的应急保障措施包含以上3项内容，其中2项的响应文件具有完整性、合理性、针对性，比较满足项目采购需求；</w:t>
              <w:cr/>
              <w:t>四档：提供的应急保障措施至少包含以上3项内容，响应文件与本项目切合度高，具有完整性、合理性、针对性，完全满足项目采购需求。</w:t>
            </w:r>
          </w:p>
          <w:p/>
        </w:tc>
      </w:tr>
    </w:tbl>
    <w:p w:rsidR="00A77B3E">
      <w:r>
        <w:t xml:space="preserve">      </w:t>
      </w:r>
    </w:p>
    <w:p w:rsidR="00A77B3E"/>
    <w:p w:rsidR="00A77B3E">
      <w:bookmarkEnd w:id="57"/>
    </w:p>
    <w:p>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hAnsi="宋体" w:hint="eastAsia"/>
          <w:b/>
          <w:sz w:val="30"/>
          <w:szCs w:val="30"/>
        </w:rPr>
        <w:t>第七章  采购需求</w:t>
      </w:r>
    </w:p>
    <w:p>
      <w:pPr>
        <w:spacing w:line="360" w:lineRule="auto"/>
        <w:ind w:firstLine="420" w:firstLineChars="200"/>
        <w:rPr>
          <w:rFonts w:ascii="宋体" w:hAnsi="宋体" w:hint="eastAsia"/>
          <w:szCs w:val="21"/>
        </w:rPr>
      </w:pPr>
      <w:r>
        <w:rPr>
          <w:rFonts w:ascii="宋体" w:hAnsi="宋体" w:hint="eastAsia"/>
          <w:szCs w:val="21"/>
        </w:rPr>
        <w:t>一、项目概况及总体要求</w:t>
      </w:r>
    </w:p>
    <w:p>
      <w:pPr>
        <w:snapToGrid w:val="0"/>
        <w:spacing w:line="520" w:lineRule="exact"/>
        <w:ind w:firstLine="420" w:firstLineChars="200"/>
        <w:jc w:val="left"/>
        <w:rPr>
          <w:rFonts w:ascii="宋体" w:hAnsi="宋体" w:hint="eastAsia"/>
          <w:szCs w:val="21"/>
        </w:rPr>
      </w:pPr>
      <w:r>
        <w:rPr>
          <w:rFonts w:ascii="宋体" w:hAnsi="宋体" w:hint="eastAsia"/>
          <w:szCs w:val="21"/>
        </w:rPr>
        <w:t>本次招标内容为青海省人工影响天气水资源保障工程-弹药保险箱项目，为提升青海省人工影响天气</w:t>
      </w:r>
      <w:r>
        <w:rPr>
          <w:rFonts w:ascii="宋体" w:hAnsi="宋体" w:hint="eastAsia"/>
          <w:szCs w:val="21"/>
          <w:lang w:val="en-US" w:eastAsia="zh-CN"/>
        </w:rPr>
        <w:t>安全</w:t>
      </w:r>
      <w:r>
        <w:rPr>
          <w:rFonts w:ascii="宋体" w:hAnsi="宋体" w:hint="eastAsia"/>
          <w:szCs w:val="21"/>
        </w:rPr>
        <w:t>作业能力，建设</w:t>
      </w:r>
      <w:r>
        <w:rPr>
          <w:rFonts w:ascii="宋体" w:hAnsi="宋体" w:hint="eastAsia"/>
          <w:szCs w:val="21"/>
          <w:lang w:val="en-US" w:eastAsia="zh-CN"/>
        </w:rPr>
        <w:t>158个</w:t>
      </w:r>
      <w:r>
        <w:rPr>
          <w:rFonts w:ascii="宋体" w:hAnsi="宋体" w:hint="eastAsia"/>
          <w:szCs w:val="21"/>
        </w:rPr>
        <w:t>弹药保险箱</w:t>
      </w:r>
      <w:r>
        <w:rPr>
          <w:rFonts w:ascii="宋体" w:hAnsi="宋体" w:hint="eastAsia"/>
          <w:szCs w:val="21"/>
          <w:lang w:eastAsia="zh-CN"/>
        </w:rPr>
        <w:t>，保险箱须符合气象行业标准《人工影响天气作业用弹药保险柜》（QX/T 328-2016）要求</w:t>
      </w:r>
      <w:r>
        <w:rPr>
          <w:rFonts w:ascii="宋体" w:hAnsi="宋体" w:hint="eastAsia"/>
          <w:szCs w:val="21"/>
        </w:rPr>
        <w:t>。</w:t>
      </w:r>
      <w:r>
        <w:rPr>
          <w:rFonts w:ascii="宋体" w:hAnsi="宋体" w:hint="eastAsia"/>
          <w:szCs w:val="21"/>
          <w:lang w:val="en-US" w:eastAsia="zh-CN"/>
        </w:rPr>
        <w:t>旨在</w:t>
      </w:r>
      <w:r>
        <w:rPr>
          <w:rFonts w:ascii="宋体" w:hAnsi="宋体" w:hint="eastAsia"/>
          <w:szCs w:val="21"/>
        </w:rPr>
        <w:t>确保</w:t>
      </w:r>
      <w:r>
        <w:rPr>
          <w:rFonts w:ascii="宋体" w:hAnsi="宋体" w:hint="eastAsia"/>
          <w:szCs w:val="21"/>
          <w:lang w:val="en-US" w:eastAsia="zh-CN"/>
        </w:rPr>
        <w:t>人影弹药</w:t>
      </w:r>
      <w:r>
        <w:rPr>
          <w:rFonts w:ascii="宋体" w:hAnsi="宋体" w:hint="eastAsia"/>
          <w:szCs w:val="21"/>
        </w:rPr>
        <w:t>在存储过程中能够有效抵御各种安全风险，如防火、防盗、防爆、防潮等。通过建设符合标准的弹药保险箱，消除人影弹药储存环节的系统性安全风险，实现弹药的安全存储，形成安全人影保障体系，形成安全规范、保障有力的人工影响天气气象服务新格局，加快我省人工影响天气工作的安全性转型发展，为人影作业的可持续开展构筑不可逾越的物理防线。</w:t>
      </w:r>
    </w:p>
    <w:p>
      <w:pPr>
        <w:spacing w:line="360" w:lineRule="auto"/>
        <w:ind w:firstLine="420" w:firstLineChars="200"/>
        <w:rPr>
          <w:rFonts w:ascii="宋体" w:hAnsi="宋体" w:hint="eastAsia"/>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hint="eastAsia"/>
          <w:szCs w:val="21"/>
        </w:rPr>
      </w:pPr>
      <w:r>
        <w:rPr>
          <w:rFonts w:ascii="宋体" w:hAnsi="宋体" w:hint="eastAsia"/>
          <w:szCs w:val="21"/>
        </w:rPr>
        <w:t>三、技术性能指标</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144"/>
        <w:gridCol w:w="1298"/>
        <w:gridCol w:w="4320"/>
        <w:gridCol w:w="175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1144" w:type="dxa"/>
            <w:noWrap w:val="0"/>
            <w:vAlign w:val="center"/>
          </w:tcPr>
          <w:p>
            <w:pPr>
              <w:snapToGrid w:val="0"/>
              <w:spacing w:line="520" w:lineRule="exact"/>
              <w:jc w:val="center"/>
              <w:rPr>
                <w:rFonts w:ascii="宋体" w:eastAsia="宋体" w:hAnsi="宋体" w:cs="Times New Roman" w:hint="default"/>
                <w:szCs w:val="21"/>
                <w:vertAlign w:val="baseline"/>
              </w:rPr>
            </w:pPr>
            <w:r>
              <w:rPr>
                <w:rFonts w:ascii="宋体" w:eastAsia="宋体" w:hAnsi="宋体" w:cs="Times New Roman" w:hint="eastAsia"/>
                <w:szCs w:val="21"/>
                <w:vertAlign w:val="baseline"/>
                <w:lang w:val="en-US" w:eastAsia="zh-CN"/>
              </w:rPr>
              <w:t>项目名称</w:t>
            </w:r>
          </w:p>
        </w:tc>
        <w:tc>
          <w:tcPr>
            <w:tcW w:w="1298" w:type="dxa"/>
            <w:noWrap w:val="0"/>
            <w:vAlign w:val="center"/>
          </w:tcPr>
          <w:p>
            <w:pPr>
              <w:snapToGrid w:val="0"/>
              <w:spacing w:line="520" w:lineRule="exact"/>
              <w:jc w:val="center"/>
              <w:rPr>
                <w:rFonts w:ascii="宋体" w:eastAsia="宋体" w:hAnsi="宋体" w:cs="Times New Roman" w:hint="default"/>
                <w:szCs w:val="21"/>
                <w:vertAlign w:val="baseline"/>
              </w:rPr>
            </w:pPr>
            <w:r>
              <w:rPr>
                <w:rFonts w:ascii="宋体" w:eastAsia="宋体" w:hAnsi="宋体" w:cs="Times New Roman" w:hint="eastAsia"/>
                <w:szCs w:val="21"/>
                <w:vertAlign w:val="baseline"/>
                <w:lang w:val="en-US" w:eastAsia="zh-CN"/>
              </w:rPr>
              <w:t>技术性能类别</w:t>
            </w:r>
          </w:p>
        </w:tc>
        <w:tc>
          <w:tcPr>
            <w:tcW w:w="4320" w:type="dxa"/>
            <w:noWrap w:val="0"/>
            <w:vAlign w:val="center"/>
          </w:tcPr>
          <w:p>
            <w:pPr>
              <w:snapToGrid w:val="0"/>
              <w:spacing w:line="520" w:lineRule="exact"/>
              <w:jc w:val="center"/>
              <w:rPr>
                <w:rFonts w:ascii="宋体" w:eastAsia="宋体" w:hAnsi="宋体" w:cs="Times New Roman" w:hint="default"/>
                <w:szCs w:val="21"/>
                <w:vertAlign w:val="baseline"/>
              </w:rPr>
            </w:pPr>
            <w:r>
              <w:rPr>
                <w:rFonts w:ascii="宋体" w:eastAsia="宋体" w:hAnsi="宋体" w:cs="Times New Roman" w:hint="eastAsia"/>
                <w:szCs w:val="21"/>
                <w:vertAlign w:val="baseline"/>
                <w:lang w:val="en-US" w:eastAsia="zh-CN"/>
              </w:rPr>
              <w:t>技术指标</w:t>
            </w:r>
          </w:p>
        </w:tc>
        <w:tc>
          <w:tcPr>
            <w:tcW w:w="1758" w:type="dxa"/>
            <w:noWrap w:val="0"/>
            <w:vAlign w:val="center"/>
          </w:tcPr>
          <w:p>
            <w:pPr>
              <w:snapToGrid w:val="0"/>
              <w:spacing w:line="520" w:lineRule="exact"/>
              <w:jc w:val="center"/>
              <w:rPr>
                <w:rFonts w:ascii="宋体" w:eastAsia="宋体" w:hAnsi="宋体" w:cs="Times New Roman" w:hint="default"/>
                <w:szCs w:val="21"/>
                <w:vertAlign w:val="baseline"/>
              </w:rPr>
            </w:pPr>
            <w:r>
              <w:rPr>
                <w:rFonts w:ascii="宋体" w:eastAsia="宋体" w:hAnsi="宋体" w:cs="Times New Roman" w:hint="eastAsia"/>
                <w:szCs w:val="21"/>
                <w:vertAlign w:val="baseline"/>
                <w:lang w:val="en-US" w:eastAsia="zh-CN"/>
              </w:rPr>
              <w:t>备注</w:t>
            </w:r>
          </w:p>
        </w:tc>
      </w:tr>
      <w:tr>
        <w:tblPrEx>
          <w:tblW w:w="0" w:type="auto"/>
          <w:jc w:val="center"/>
          <w:tblCellMar>
            <w:top w:w="0" w:type="dxa"/>
            <w:left w:w="108" w:type="dxa"/>
            <w:bottom w:w="0" w:type="dxa"/>
            <w:right w:w="108" w:type="dxa"/>
          </w:tblCellMar>
        </w:tblPrEx>
        <w:trPr>
          <w:jc w:val="center"/>
        </w:trPr>
        <w:tc>
          <w:tcPr>
            <w:tcW w:w="1144" w:type="dxa"/>
            <w:vMerge w:val="restart"/>
            <w:noWrap w:val="0"/>
            <w:vAlign w:val="center"/>
          </w:tcPr>
          <w:p>
            <w:pPr>
              <w:snapToGrid w:val="0"/>
              <w:spacing w:line="520" w:lineRule="exact"/>
              <w:jc w:val="center"/>
              <w:rPr>
                <w:rFonts w:ascii="宋体" w:eastAsia="宋体" w:hAnsi="宋体" w:cs="Times New Roman" w:hint="default"/>
                <w:szCs w:val="21"/>
                <w:vertAlign w:val="baseline"/>
              </w:rPr>
            </w:pPr>
            <w:r>
              <w:rPr>
                <w:rFonts w:ascii="宋体" w:eastAsia="宋体" w:hAnsi="宋体" w:cs="Times New Roman" w:hint="eastAsia"/>
                <w:szCs w:val="21"/>
                <w:vertAlign w:val="baseline"/>
                <w:lang w:val="en-US" w:eastAsia="zh-CN"/>
              </w:rPr>
              <w:t>弹药保险箱</w:t>
            </w:r>
          </w:p>
        </w:tc>
        <w:tc>
          <w:tcPr>
            <w:tcW w:w="1298" w:type="dxa"/>
            <w:vMerge w:val="restart"/>
            <w:noWrap w:val="0"/>
            <w:vAlign w:val="center"/>
          </w:tcPr>
          <w:p>
            <w:pPr>
              <w:snapToGrid w:val="0"/>
              <w:spacing w:line="520" w:lineRule="exact"/>
              <w:jc w:val="center"/>
              <w:rPr>
                <w:rFonts w:ascii="宋体" w:eastAsia="宋体" w:hAnsi="宋体" w:cs="Times New Roman" w:hint="default"/>
                <w:szCs w:val="21"/>
                <w:vertAlign w:val="baseline"/>
              </w:rPr>
            </w:pPr>
            <w:r>
              <w:rPr>
                <w:rFonts w:ascii="宋体" w:eastAsia="宋体" w:hAnsi="宋体" w:cs="Times New Roman" w:hint="eastAsia"/>
                <w:szCs w:val="21"/>
                <w:vertAlign w:val="baseline"/>
                <w:lang w:val="en-US" w:eastAsia="zh-CN"/>
              </w:rPr>
              <w:t>外观</w:t>
            </w:r>
          </w:p>
        </w:tc>
        <w:tc>
          <w:tcPr>
            <w:tcW w:w="4320" w:type="dxa"/>
            <w:noWrap w:val="0"/>
            <w:vAlign w:val="center"/>
          </w:tcPr>
          <w:p>
            <w:pPr>
              <w:snapToGrid w:val="0"/>
              <w:spacing w:line="520" w:lineRule="exact"/>
              <w:jc w:val="left"/>
              <w:rPr>
                <w:rFonts w:ascii="宋体" w:eastAsia="宋体" w:hAnsi="宋体" w:cs="Times New Roman" w:hint="eastAsia"/>
                <w:szCs w:val="21"/>
                <w:vertAlign w:val="baseline"/>
              </w:rPr>
            </w:pPr>
            <w:r>
              <w:rPr>
                <w:rFonts w:ascii="宋体" w:eastAsia="宋体" w:hAnsi="宋体" w:cs="Times New Roman" w:hint="eastAsia"/>
                <w:szCs w:val="21"/>
                <w:vertAlign w:val="baseline"/>
                <w:lang w:val="en-US" w:eastAsia="zh-CN"/>
              </w:rPr>
              <w:t>柜体表面应无明显的变形、裂纹、凹凸不平、毛刺、气泡、划痕、涂层脱落等缺陷。</w:t>
            </w:r>
          </w:p>
        </w:tc>
        <w:tc>
          <w:tcPr>
            <w:tcW w:w="1758" w:type="dxa"/>
            <w:vMerge w:val="restart"/>
            <w:noWrap w:val="0"/>
            <w:vAlign w:val="center"/>
          </w:tcPr>
          <w:p>
            <w:pPr>
              <w:snapToGrid w:val="0"/>
              <w:spacing w:line="520" w:lineRule="exact"/>
              <w:jc w:val="left"/>
              <w:rPr>
                <w:rFonts w:ascii="宋体" w:eastAsia="宋体" w:hAnsi="宋体" w:cs="Times New Roman" w:hint="eastAsia"/>
                <w:szCs w:val="21"/>
                <w:vertAlign w:val="baseline"/>
              </w:rPr>
            </w:pPr>
            <w:r>
              <w:rPr>
                <w:rFonts w:ascii="宋体" w:eastAsia="宋体" w:hAnsi="宋体" w:cs="宋体" w:hint="eastAsia"/>
                <w:spacing w:val="9"/>
                <w:sz w:val="20"/>
                <w:szCs w:val="20"/>
                <w:highlight w:val="yellow"/>
              </w:rPr>
              <w:t>标注“#”的重要指标提供产品说明书或检测报告或官网截图等证明材料</w:t>
            </w: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4320" w:type="dxa"/>
            <w:noWrap w:val="0"/>
            <w:vAlign w:val="center"/>
          </w:tcPr>
          <w:p>
            <w:pPr>
              <w:snapToGrid w:val="0"/>
              <w:spacing w:line="520" w:lineRule="exact"/>
              <w:jc w:val="left"/>
              <w:rPr>
                <w:rFonts w:ascii="宋体" w:eastAsia="宋体" w:hAnsi="宋体" w:cs="Times New Roman" w:hint="eastAsia"/>
                <w:szCs w:val="21"/>
                <w:vertAlign w:val="baseline"/>
              </w:rPr>
            </w:pPr>
            <w:r>
              <w:rPr>
                <w:rFonts w:ascii="Calibri" w:eastAsia="宋体" w:hAnsi="Calibri" w:cs="Times New Roman" w:hint="eastAsia"/>
                <w:spacing w:val="6"/>
                <w:sz w:val="20"/>
                <w:szCs w:val="20"/>
                <w:highlight w:val="yellow"/>
              </w:rPr>
              <w:t>#</w:t>
            </w:r>
            <w:r>
              <w:rPr>
                <w:rFonts w:ascii="宋体" w:eastAsia="宋体" w:hAnsi="宋体" w:cs="Times New Roman" w:hint="eastAsia"/>
                <w:szCs w:val="21"/>
                <w:highlight w:val="yellow"/>
                <w:vertAlign w:val="baseline"/>
                <w:lang w:val="en-US" w:eastAsia="zh-CN"/>
              </w:rPr>
              <w:t>所有外露钢制零部件的表面都应采取电镀、氧化和漆膜涂层等防腐蚀处理措施。</w:t>
            </w:r>
          </w:p>
        </w:tc>
        <w:tc>
          <w:tcPr>
            <w:tcW w:w="1758" w:type="dxa"/>
            <w:vMerge/>
            <w:noWrap w:val="0"/>
            <w:vAlign w:val="center"/>
          </w:tcPr>
          <w:p>
            <w:pPr>
              <w:snapToGrid w:val="0"/>
              <w:spacing w:line="520" w:lineRule="exact"/>
              <w:jc w:val="left"/>
              <w:rPr>
                <w:rFonts w:ascii="Calibri" w:eastAsia="宋体" w:hAnsi="Calibri" w:cs="Times New Roman" w:hint="eastAsia"/>
                <w:spacing w:val="6"/>
                <w:sz w:val="20"/>
                <w:szCs w:val="20"/>
                <w:highlight w:val="yellow"/>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4320" w:type="dxa"/>
            <w:noWrap w:val="0"/>
            <w:vAlign w:val="center"/>
          </w:tcPr>
          <w:p>
            <w:pPr>
              <w:snapToGrid w:val="0"/>
              <w:spacing w:line="520" w:lineRule="exact"/>
              <w:jc w:val="left"/>
              <w:rPr>
                <w:rFonts w:ascii="宋体" w:eastAsia="宋体" w:hAnsi="宋体" w:cs="Times New Roman" w:hint="eastAsia"/>
                <w:szCs w:val="21"/>
                <w:vertAlign w:val="baseline"/>
              </w:rPr>
            </w:pPr>
            <w:r>
              <w:rPr>
                <w:rFonts w:ascii="宋体" w:eastAsia="宋体" w:hAnsi="宋体" w:cs="Times New Roman" w:hint="eastAsia"/>
                <w:szCs w:val="21"/>
                <w:vertAlign w:val="baseline"/>
                <w:lang w:val="en-US" w:eastAsia="zh-CN"/>
              </w:rPr>
              <w:t>所有外露部件表面应色泽均匀，无明显的飞边、毛刺、划伤、裂纹、凹陷和变形。</w:t>
            </w:r>
          </w:p>
        </w:tc>
        <w:tc>
          <w:tcPr>
            <w:tcW w:w="1758" w:type="dxa"/>
            <w:vMerge/>
            <w:noWrap w:val="0"/>
            <w:vAlign w:val="center"/>
          </w:tcPr>
          <w:p>
            <w:pPr>
              <w:snapToGrid w:val="0"/>
              <w:spacing w:line="520" w:lineRule="exact"/>
              <w:jc w:val="left"/>
              <w:rPr>
                <w:rFonts w:ascii="宋体" w:eastAsia="宋体" w:hAnsi="宋体" w:cs="Times New Roman" w:hint="eastAsia"/>
                <w:szCs w:val="21"/>
                <w:vertAlign w:val="baseline"/>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4320" w:type="dxa"/>
            <w:noWrap w:val="0"/>
            <w:vAlign w:val="center"/>
          </w:tcPr>
          <w:p>
            <w:pPr>
              <w:snapToGrid w:val="0"/>
              <w:spacing w:line="520" w:lineRule="exact"/>
              <w:jc w:val="left"/>
              <w:rPr>
                <w:rFonts w:ascii="宋体" w:eastAsia="宋体" w:hAnsi="宋体" w:cs="Times New Roman" w:hint="eastAsia"/>
                <w:szCs w:val="21"/>
                <w:vertAlign w:val="baseline"/>
              </w:rPr>
            </w:pPr>
            <w:r>
              <w:rPr>
                <w:rFonts w:ascii="宋体" w:eastAsia="宋体" w:hAnsi="宋体" w:cs="Times New Roman" w:hint="eastAsia"/>
                <w:szCs w:val="21"/>
                <w:vertAlign w:val="baseline"/>
                <w:lang w:val="en-US" w:eastAsia="zh-CN"/>
              </w:rPr>
              <w:t>柜体正面上方中间位置喷涂“产品型号”、侧面位置应喷涂“严禁烟火”等标志，号码字形及字体的大小根据柜体大小而定，文字应清晰明显。</w:t>
            </w:r>
          </w:p>
        </w:tc>
        <w:tc>
          <w:tcPr>
            <w:tcW w:w="1758" w:type="dxa"/>
            <w:vMerge/>
            <w:noWrap w:val="0"/>
            <w:vAlign w:val="center"/>
          </w:tcPr>
          <w:p>
            <w:pPr>
              <w:snapToGrid w:val="0"/>
              <w:spacing w:line="520" w:lineRule="exact"/>
              <w:jc w:val="left"/>
              <w:rPr>
                <w:rFonts w:ascii="宋体" w:eastAsia="宋体" w:hAnsi="宋体" w:cs="Times New Roman" w:hint="eastAsia"/>
                <w:szCs w:val="21"/>
                <w:vertAlign w:val="baseline"/>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4320" w:type="dxa"/>
            <w:noWrap w:val="0"/>
            <w:vAlign w:val="center"/>
          </w:tcPr>
          <w:p>
            <w:pPr>
              <w:snapToGrid w:val="0"/>
              <w:spacing w:line="520" w:lineRule="exact"/>
              <w:jc w:val="left"/>
              <w:rPr>
                <w:rFonts w:ascii="宋体" w:eastAsia="宋体" w:hAnsi="宋体" w:cs="Times New Roman" w:hint="eastAsia"/>
                <w:szCs w:val="21"/>
                <w:vertAlign w:val="baseline"/>
              </w:rPr>
            </w:pPr>
            <w:r>
              <w:rPr>
                <w:rFonts w:ascii="宋体" w:eastAsia="宋体" w:hAnsi="宋体" w:cs="Times New Roman" w:hint="eastAsia"/>
                <w:szCs w:val="21"/>
                <w:vertAlign w:val="baseline"/>
                <w:lang w:val="en-US" w:eastAsia="zh-CN"/>
              </w:rPr>
              <w:t>柜体正面中间醒目位置应喷涂标志“火工品”;柜体侧面上方位置喷涂标志“向上”。标志尺寸及其他要求应符合相应产品图要求。</w:t>
            </w:r>
          </w:p>
        </w:tc>
        <w:tc>
          <w:tcPr>
            <w:tcW w:w="1758" w:type="dxa"/>
            <w:vMerge/>
            <w:noWrap w:val="0"/>
            <w:vAlign w:val="center"/>
          </w:tcPr>
          <w:p>
            <w:pPr>
              <w:snapToGrid w:val="0"/>
              <w:spacing w:line="520" w:lineRule="exact"/>
              <w:jc w:val="left"/>
              <w:rPr>
                <w:rFonts w:ascii="宋体" w:eastAsia="宋体" w:hAnsi="宋体" w:cs="Times New Roman" w:hint="eastAsia"/>
                <w:szCs w:val="21"/>
                <w:vertAlign w:val="baseline"/>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4320" w:type="dxa"/>
            <w:noWrap w:val="0"/>
            <w:vAlign w:val="center"/>
          </w:tcPr>
          <w:p>
            <w:pPr>
              <w:snapToGrid w:val="0"/>
              <w:spacing w:line="520" w:lineRule="exact"/>
              <w:jc w:val="left"/>
              <w:rPr>
                <w:rFonts w:ascii="宋体" w:eastAsia="宋体" w:hAnsi="宋体" w:cs="Times New Roman" w:hint="eastAsia"/>
                <w:szCs w:val="21"/>
                <w:vertAlign w:val="baseline"/>
              </w:rPr>
            </w:pPr>
            <w:r>
              <w:rPr>
                <w:rFonts w:ascii="宋体" w:eastAsia="宋体" w:hAnsi="宋体" w:cs="Times New Roman" w:hint="eastAsia"/>
                <w:szCs w:val="21"/>
                <w:vertAlign w:val="baseline"/>
                <w:lang w:val="en-US" w:eastAsia="zh-CN"/>
              </w:rPr>
              <w:t>柜体正面下方位置应喷涂生产厂家、柜体编号及出厂日期。</w:t>
            </w:r>
          </w:p>
        </w:tc>
        <w:tc>
          <w:tcPr>
            <w:tcW w:w="1758" w:type="dxa"/>
            <w:vMerge/>
            <w:noWrap w:val="0"/>
            <w:vAlign w:val="center"/>
          </w:tcPr>
          <w:p>
            <w:pPr>
              <w:snapToGrid w:val="0"/>
              <w:spacing w:line="520" w:lineRule="exact"/>
              <w:jc w:val="left"/>
              <w:rPr>
                <w:rFonts w:ascii="宋体" w:eastAsia="宋体" w:hAnsi="宋体" w:cs="Times New Roman" w:hint="eastAsia"/>
                <w:szCs w:val="21"/>
                <w:vertAlign w:val="baseline"/>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val="restart"/>
            <w:noWrap w:val="0"/>
            <w:vAlign w:val="center"/>
          </w:tcPr>
          <w:p>
            <w:pPr>
              <w:snapToGrid w:val="0"/>
              <w:spacing w:line="520" w:lineRule="exact"/>
              <w:jc w:val="left"/>
              <w:rPr>
                <w:rFonts w:ascii="宋体" w:eastAsia="宋体" w:hAnsi="宋体" w:cs="Times New Roman" w:hint="default"/>
                <w:szCs w:val="21"/>
                <w:vertAlign w:val="baseline"/>
              </w:rPr>
            </w:pPr>
            <w:r>
              <w:rPr>
                <w:rFonts w:ascii="宋体" w:eastAsia="宋体" w:hAnsi="宋体" w:cs="Times New Roman" w:hint="eastAsia"/>
                <w:szCs w:val="21"/>
                <w:vertAlign w:val="baseline"/>
                <w:lang w:val="en-US" w:eastAsia="zh-CN"/>
              </w:rPr>
              <w:t>材料与结构</w:t>
            </w:r>
          </w:p>
        </w:tc>
        <w:tc>
          <w:tcPr>
            <w:tcW w:w="4320" w:type="dxa"/>
            <w:noWrap w:val="0"/>
            <w:vAlign w:val="center"/>
          </w:tcPr>
          <w:p>
            <w:pPr>
              <w:snapToGrid w:val="0"/>
              <w:spacing w:line="520" w:lineRule="exact"/>
              <w:jc w:val="left"/>
              <w:rPr>
                <w:rFonts w:ascii="宋体" w:eastAsia="宋体" w:hAnsi="宋体" w:cs="Times New Roman" w:hint="default"/>
                <w:szCs w:val="21"/>
                <w:vertAlign w:val="baseline"/>
              </w:rPr>
            </w:pPr>
            <w:r>
              <w:rPr>
                <w:rFonts w:ascii="Calibri" w:eastAsia="宋体" w:hAnsi="Calibri" w:cs="Times New Roman" w:hint="eastAsia"/>
                <w:spacing w:val="6"/>
                <w:sz w:val="20"/>
                <w:szCs w:val="20"/>
                <w:highlight w:val="yellow"/>
              </w:rPr>
              <w:t>#</w:t>
            </w:r>
            <w:r>
              <w:rPr>
                <w:rFonts w:ascii="宋体" w:eastAsia="宋体" w:hAnsi="宋体" w:cs="Times New Roman" w:hint="eastAsia"/>
                <w:szCs w:val="21"/>
                <w:highlight w:val="yellow"/>
                <w:vertAlign w:val="baseline"/>
                <w:lang w:val="en-US" w:eastAsia="zh-CN"/>
              </w:rPr>
              <w:t>性能不低于牌号Q235的钢材。</w:t>
            </w:r>
          </w:p>
        </w:tc>
        <w:tc>
          <w:tcPr>
            <w:tcW w:w="1758" w:type="dxa"/>
            <w:vMerge/>
            <w:noWrap w:val="0"/>
            <w:vAlign w:val="center"/>
          </w:tcPr>
          <w:p>
            <w:pPr>
              <w:snapToGrid w:val="0"/>
              <w:spacing w:line="520" w:lineRule="exact"/>
              <w:jc w:val="left"/>
              <w:rPr>
                <w:rFonts w:ascii="Calibri" w:eastAsia="宋体" w:hAnsi="Calibri" w:cs="Times New Roman" w:hint="eastAsia"/>
                <w:spacing w:val="6"/>
                <w:sz w:val="20"/>
                <w:szCs w:val="20"/>
                <w:highlight w:val="yellow"/>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4320" w:type="dxa"/>
            <w:noWrap w:val="0"/>
            <w:vAlign w:val="center"/>
          </w:tcPr>
          <w:p>
            <w:pPr>
              <w:snapToGrid w:val="0"/>
              <w:spacing w:line="520" w:lineRule="exact"/>
              <w:jc w:val="left"/>
              <w:rPr>
                <w:rFonts w:ascii="宋体" w:eastAsia="宋体" w:hAnsi="宋体" w:cs="Times New Roman" w:hint="eastAsia"/>
                <w:szCs w:val="21"/>
                <w:highlight w:val="yellow"/>
                <w:vertAlign w:val="baseline"/>
              </w:rPr>
            </w:pPr>
            <w:r>
              <w:rPr>
                <w:rFonts w:ascii="Calibri" w:eastAsia="宋体" w:hAnsi="Calibri" w:cs="Times New Roman" w:hint="eastAsia"/>
                <w:spacing w:val="6"/>
                <w:sz w:val="20"/>
                <w:szCs w:val="20"/>
                <w:highlight w:val="yellow"/>
              </w:rPr>
              <w:t>#</w:t>
            </w:r>
            <w:r>
              <w:rPr>
                <w:rFonts w:ascii="宋体" w:eastAsia="宋体" w:hAnsi="宋体" w:cs="Times New Roman" w:hint="eastAsia"/>
                <w:szCs w:val="21"/>
                <w:highlight w:val="yellow"/>
                <w:vertAlign w:val="baseline"/>
                <w:lang w:val="en-US" w:eastAsia="zh-CN"/>
              </w:rPr>
              <w:t>柜体的后面、底面、上面和两侧面的内部应有足够的加强筋，保证柜体按标准负重后不变形。</w:t>
            </w:r>
          </w:p>
        </w:tc>
        <w:tc>
          <w:tcPr>
            <w:tcW w:w="1758" w:type="dxa"/>
            <w:vMerge/>
            <w:noWrap w:val="0"/>
            <w:vAlign w:val="center"/>
          </w:tcPr>
          <w:p>
            <w:pPr>
              <w:snapToGrid w:val="0"/>
              <w:spacing w:line="520" w:lineRule="exact"/>
              <w:jc w:val="left"/>
              <w:rPr>
                <w:rFonts w:ascii="Calibri" w:eastAsia="宋体" w:hAnsi="Calibri" w:cs="Times New Roman" w:hint="eastAsia"/>
                <w:spacing w:val="6"/>
                <w:sz w:val="20"/>
                <w:szCs w:val="20"/>
                <w:highlight w:val="yellow"/>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4320" w:type="dxa"/>
            <w:noWrap w:val="0"/>
            <w:vAlign w:val="center"/>
          </w:tcPr>
          <w:p>
            <w:pPr>
              <w:snapToGrid w:val="0"/>
              <w:spacing w:line="520" w:lineRule="exact"/>
              <w:jc w:val="left"/>
              <w:rPr>
                <w:rFonts w:ascii="宋体" w:eastAsia="宋体" w:hAnsi="宋体" w:cs="Times New Roman" w:hint="eastAsia"/>
                <w:szCs w:val="21"/>
                <w:highlight w:val="yellow"/>
                <w:vertAlign w:val="baseline"/>
              </w:rPr>
            </w:pPr>
            <w:r>
              <w:rPr>
                <w:rFonts w:ascii="Calibri" w:eastAsia="宋体" w:hAnsi="Calibri" w:cs="Times New Roman" w:hint="eastAsia"/>
                <w:spacing w:val="6"/>
                <w:sz w:val="20"/>
                <w:szCs w:val="20"/>
                <w:highlight w:val="yellow"/>
              </w:rPr>
              <w:t>#</w:t>
            </w:r>
            <w:r>
              <w:rPr>
                <w:rFonts w:ascii="宋体" w:eastAsia="宋体" w:hAnsi="宋体" w:cs="Times New Roman" w:hint="eastAsia"/>
                <w:szCs w:val="21"/>
                <w:highlight w:val="yellow"/>
                <w:vertAlign w:val="baseline"/>
                <w:lang w:val="en-US" w:eastAsia="zh-CN"/>
              </w:rPr>
              <w:t>柜门与门框之间不应有直接穿透性缝隙，门框应在柜体板厚的基础上采用加强结构。</w:t>
            </w:r>
          </w:p>
        </w:tc>
        <w:tc>
          <w:tcPr>
            <w:tcW w:w="1758" w:type="dxa"/>
            <w:vMerge/>
            <w:noWrap w:val="0"/>
            <w:vAlign w:val="center"/>
          </w:tcPr>
          <w:p>
            <w:pPr>
              <w:snapToGrid w:val="0"/>
              <w:spacing w:line="520" w:lineRule="exact"/>
              <w:jc w:val="left"/>
              <w:rPr>
                <w:rFonts w:ascii="Calibri" w:eastAsia="宋体" w:hAnsi="Calibri" w:cs="Times New Roman" w:hint="eastAsia"/>
                <w:spacing w:val="6"/>
                <w:sz w:val="20"/>
                <w:szCs w:val="20"/>
                <w:highlight w:val="yellow"/>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4320" w:type="dxa"/>
            <w:noWrap w:val="0"/>
            <w:vAlign w:val="center"/>
          </w:tcPr>
          <w:p>
            <w:pPr>
              <w:snapToGrid w:val="0"/>
              <w:spacing w:line="520" w:lineRule="exact"/>
              <w:jc w:val="left"/>
              <w:rPr>
                <w:rFonts w:ascii="宋体" w:eastAsia="宋体" w:hAnsi="宋体" w:cs="Times New Roman" w:hint="eastAsia"/>
                <w:szCs w:val="21"/>
                <w:highlight w:val="yellow"/>
                <w:vertAlign w:val="baseline"/>
              </w:rPr>
            </w:pPr>
            <w:r>
              <w:rPr>
                <w:rFonts w:ascii="Calibri" w:eastAsia="宋体" w:hAnsi="Calibri" w:cs="Times New Roman" w:hint="eastAsia"/>
                <w:spacing w:val="6"/>
                <w:sz w:val="20"/>
                <w:szCs w:val="20"/>
                <w:highlight w:val="yellow"/>
              </w:rPr>
              <w:t>#</w:t>
            </w:r>
            <w:r>
              <w:rPr>
                <w:rFonts w:ascii="宋体" w:eastAsia="宋体" w:hAnsi="宋体" w:cs="Times New Roman" w:hint="eastAsia"/>
                <w:szCs w:val="21"/>
                <w:highlight w:val="yellow"/>
                <w:vertAlign w:val="baseline"/>
                <w:lang w:val="en-US" w:eastAsia="zh-CN"/>
              </w:rPr>
              <w:t>柜体应由外、中、内3层组成:外层为厚度不小于4mm的钢板;中层为厚度不小于40mm硅酸铝防火材料;内层为镶嵌木板或防静电材料;柜体总厚度不小于50mm。</w:t>
            </w:r>
          </w:p>
        </w:tc>
        <w:tc>
          <w:tcPr>
            <w:tcW w:w="1758" w:type="dxa"/>
            <w:vMerge/>
            <w:noWrap w:val="0"/>
            <w:vAlign w:val="center"/>
          </w:tcPr>
          <w:p>
            <w:pPr>
              <w:snapToGrid w:val="0"/>
              <w:spacing w:line="520" w:lineRule="exact"/>
              <w:jc w:val="left"/>
              <w:rPr>
                <w:rFonts w:ascii="Calibri" w:eastAsia="宋体" w:hAnsi="Calibri" w:cs="Times New Roman" w:hint="eastAsia"/>
                <w:spacing w:val="6"/>
                <w:sz w:val="20"/>
                <w:szCs w:val="20"/>
                <w:highlight w:val="yellow"/>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4320" w:type="dxa"/>
            <w:noWrap w:val="0"/>
            <w:vAlign w:val="center"/>
          </w:tcPr>
          <w:p>
            <w:pPr>
              <w:snapToGrid w:val="0"/>
              <w:spacing w:line="520" w:lineRule="exact"/>
              <w:jc w:val="left"/>
              <w:rPr>
                <w:rFonts w:ascii="宋体" w:eastAsia="宋体" w:hAnsi="宋体" w:cs="Times New Roman" w:hint="eastAsia"/>
                <w:szCs w:val="21"/>
                <w:highlight w:val="yellow"/>
                <w:vertAlign w:val="baseline"/>
              </w:rPr>
            </w:pPr>
            <w:r>
              <w:rPr>
                <w:rFonts w:ascii="Calibri" w:eastAsia="宋体" w:hAnsi="Calibri" w:cs="Times New Roman" w:hint="eastAsia"/>
                <w:spacing w:val="6"/>
                <w:sz w:val="20"/>
                <w:szCs w:val="20"/>
                <w:highlight w:val="yellow"/>
              </w:rPr>
              <w:t>#</w:t>
            </w:r>
            <w:r>
              <w:rPr>
                <w:rFonts w:ascii="宋体" w:eastAsia="宋体" w:hAnsi="宋体" w:cs="Times New Roman" w:hint="eastAsia"/>
                <w:szCs w:val="21"/>
                <w:highlight w:val="yellow"/>
                <w:vertAlign w:val="baseline"/>
                <w:lang w:val="en-US" w:eastAsia="zh-CN"/>
              </w:rPr>
              <w:t>柜门外层应为厚度不小于6mm的钢板;中层为厚度不小于40mm硅酸铝防火材料;内层为镶嵌木板或防静电材料;柜体总厚度不小于50mm。</w:t>
            </w:r>
          </w:p>
        </w:tc>
        <w:tc>
          <w:tcPr>
            <w:tcW w:w="1758" w:type="dxa"/>
            <w:vMerge/>
            <w:noWrap w:val="0"/>
            <w:vAlign w:val="center"/>
          </w:tcPr>
          <w:p>
            <w:pPr>
              <w:snapToGrid w:val="0"/>
              <w:spacing w:line="520" w:lineRule="exact"/>
              <w:jc w:val="left"/>
              <w:rPr>
                <w:rFonts w:ascii="Calibri" w:eastAsia="宋体" w:hAnsi="Calibri" w:cs="Times New Roman" w:hint="eastAsia"/>
                <w:spacing w:val="6"/>
                <w:sz w:val="20"/>
                <w:szCs w:val="20"/>
                <w:highlight w:val="yellow"/>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4320" w:type="dxa"/>
            <w:noWrap w:val="0"/>
            <w:vAlign w:val="center"/>
          </w:tcPr>
          <w:p>
            <w:pPr>
              <w:snapToGrid w:val="0"/>
              <w:spacing w:line="520" w:lineRule="exact"/>
              <w:jc w:val="left"/>
              <w:rPr>
                <w:rFonts w:ascii="宋体" w:eastAsia="宋体" w:hAnsi="宋体" w:cs="Times New Roman" w:hint="eastAsia"/>
                <w:szCs w:val="21"/>
                <w:vertAlign w:val="baseline"/>
              </w:rPr>
            </w:pPr>
            <w:r>
              <w:rPr>
                <w:rFonts w:ascii="Calibri" w:eastAsia="宋体" w:hAnsi="Calibri" w:cs="Times New Roman" w:hint="eastAsia"/>
                <w:spacing w:val="6"/>
                <w:sz w:val="20"/>
                <w:szCs w:val="20"/>
                <w:highlight w:val="yellow"/>
              </w:rPr>
              <w:t>#</w:t>
            </w:r>
            <w:r>
              <w:rPr>
                <w:rFonts w:ascii="宋体" w:eastAsia="宋体" w:hAnsi="宋体" w:cs="Times New Roman" w:hint="eastAsia"/>
                <w:szCs w:val="21"/>
                <w:highlight w:val="yellow"/>
                <w:vertAlign w:val="baseline"/>
                <w:lang w:val="en-US" w:eastAsia="zh-CN"/>
              </w:rPr>
              <w:t>柜门的开启拉力应不大于49N,开启角度应大于90°。门铰链应转动灵活。</w:t>
            </w:r>
          </w:p>
        </w:tc>
        <w:tc>
          <w:tcPr>
            <w:tcW w:w="1758" w:type="dxa"/>
            <w:vMerge/>
            <w:noWrap w:val="0"/>
            <w:vAlign w:val="center"/>
          </w:tcPr>
          <w:p>
            <w:pPr>
              <w:snapToGrid w:val="0"/>
              <w:spacing w:line="520" w:lineRule="exact"/>
              <w:jc w:val="left"/>
              <w:rPr>
                <w:rFonts w:ascii="Calibri" w:eastAsia="宋体" w:hAnsi="Calibri" w:cs="Times New Roman" w:hint="eastAsia"/>
                <w:spacing w:val="6"/>
                <w:sz w:val="20"/>
                <w:szCs w:val="20"/>
                <w:highlight w:val="yellow"/>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4320" w:type="dxa"/>
            <w:noWrap w:val="0"/>
            <w:vAlign w:val="center"/>
          </w:tcPr>
          <w:p>
            <w:pPr>
              <w:snapToGrid w:val="0"/>
              <w:spacing w:line="520" w:lineRule="exact"/>
              <w:jc w:val="left"/>
              <w:rPr>
                <w:rFonts w:ascii="宋体" w:eastAsia="宋体" w:hAnsi="宋体" w:cs="Times New Roman" w:hint="eastAsia"/>
                <w:szCs w:val="21"/>
                <w:vertAlign w:val="baseline"/>
              </w:rPr>
            </w:pPr>
            <w:r>
              <w:rPr>
                <w:rFonts w:ascii="宋体" w:eastAsia="宋体" w:hAnsi="宋体" w:cs="Times New Roman" w:hint="eastAsia"/>
                <w:szCs w:val="21"/>
                <w:vertAlign w:val="baseline"/>
                <w:lang w:val="en-US" w:eastAsia="zh-CN"/>
              </w:rPr>
              <w:t>柜门上的固定锁栓单方向应不少于2个，上、下活动锁栓单方向应不少于2个,其直径应不小于20 mm，伸出长度应不小于25 mm。</w:t>
            </w:r>
          </w:p>
        </w:tc>
        <w:tc>
          <w:tcPr>
            <w:tcW w:w="1758" w:type="dxa"/>
            <w:vMerge/>
            <w:noWrap w:val="0"/>
            <w:vAlign w:val="center"/>
          </w:tcPr>
          <w:p>
            <w:pPr>
              <w:snapToGrid w:val="0"/>
              <w:spacing w:line="520" w:lineRule="exact"/>
              <w:jc w:val="left"/>
              <w:rPr>
                <w:rFonts w:ascii="宋体" w:eastAsia="宋体" w:hAnsi="宋体" w:cs="Times New Roman" w:hint="eastAsia"/>
                <w:szCs w:val="21"/>
                <w:vertAlign w:val="baseline"/>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4320" w:type="dxa"/>
            <w:noWrap w:val="0"/>
            <w:vAlign w:val="center"/>
          </w:tcPr>
          <w:p>
            <w:pPr>
              <w:snapToGrid w:val="0"/>
              <w:spacing w:line="520" w:lineRule="exact"/>
              <w:jc w:val="left"/>
              <w:rPr>
                <w:rFonts w:ascii="宋体" w:eastAsia="宋体" w:hAnsi="宋体" w:cs="Times New Roman" w:hint="eastAsia"/>
                <w:szCs w:val="21"/>
                <w:vertAlign w:val="baseline"/>
              </w:rPr>
            </w:pPr>
            <w:r>
              <w:rPr>
                <w:rFonts w:ascii="宋体" w:eastAsia="宋体" w:hAnsi="宋体" w:cs="Times New Roman" w:hint="eastAsia"/>
                <w:szCs w:val="21"/>
                <w:vertAlign w:val="baseline"/>
                <w:lang w:val="en-US" w:eastAsia="zh-CN"/>
              </w:rPr>
              <w:t>开启、锁闭锁栓结构的传动件经过3000次的循环动作后，应能正常使用。</w:t>
            </w:r>
          </w:p>
        </w:tc>
        <w:tc>
          <w:tcPr>
            <w:tcW w:w="1758" w:type="dxa"/>
            <w:vMerge/>
            <w:noWrap w:val="0"/>
            <w:vAlign w:val="center"/>
          </w:tcPr>
          <w:p>
            <w:pPr>
              <w:snapToGrid w:val="0"/>
              <w:spacing w:line="520" w:lineRule="exact"/>
              <w:jc w:val="left"/>
              <w:rPr>
                <w:rFonts w:ascii="宋体" w:eastAsia="宋体" w:hAnsi="宋体" w:cs="Times New Roman" w:hint="eastAsia"/>
                <w:szCs w:val="21"/>
                <w:vertAlign w:val="baseline"/>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val="restart"/>
            <w:noWrap w:val="0"/>
            <w:vAlign w:val="center"/>
          </w:tcPr>
          <w:p>
            <w:pPr>
              <w:snapToGrid w:val="0"/>
              <w:spacing w:line="520" w:lineRule="exact"/>
              <w:jc w:val="left"/>
              <w:rPr>
                <w:rFonts w:ascii="宋体" w:eastAsia="宋体" w:hAnsi="宋体" w:cs="Times New Roman" w:hint="default"/>
                <w:szCs w:val="21"/>
                <w:vertAlign w:val="baseline"/>
              </w:rPr>
            </w:pPr>
            <w:r>
              <w:rPr>
                <w:rFonts w:ascii="宋体" w:eastAsia="宋体" w:hAnsi="宋体" w:cs="Times New Roman" w:hint="eastAsia"/>
                <w:szCs w:val="21"/>
                <w:vertAlign w:val="baseline"/>
                <w:lang w:val="en-US" w:eastAsia="zh-CN"/>
              </w:rPr>
              <w:t>性能要求</w:t>
            </w:r>
          </w:p>
        </w:tc>
        <w:tc>
          <w:tcPr>
            <w:tcW w:w="4320" w:type="dxa"/>
            <w:noWrap w:val="0"/>
            <w:vAlign w:val="center"/>
          </w:tcPr>
          <w:p>
            <w:pPr>
              <w:snapToGrid w:val="0"/>
              <w:spacing w:line="520" w:lineRule="exact"/>
              <w:jc w:val="left"/>
              <w:rPr>
                <w:rFonts w:ascii="宋体" w:eastAsia="宋体" w:hAnsi="宋体" w:cs="Times New Roman" w:hint="eastAsia"/>
                <w:szCs w:val="21"/>
                <w:vertAlign w:val="baseline"/>
              </w:rPr>
            </w:pPr>
            <w:r>
              <w:rPr>
                <w:rFonts w:ascii="Calibri" w:eastAsia="宋体" w:hAnsi="Calibri" w:cs="Times New Roman" w:hint="eastAsia"/>
                <w:spacing w:val="6"/>
                <w:sz w:val="20"/>
                <w:szCs w:val="20"/>
                <w:highlight w:val="yellow"/>
              </w:rPr>
              <w:t>#</w:t>
            </w:r>
            <w:r>
              <w:rPr>
                <w:rFonts w:ascii="宋体" w:eastAsia="宋体" w:hAnsi="宋体" w:cs="Times New Roman" w:hint="eastAsia"/>
                <w:szCs w:val="21"/>
                <w:highlight w:val="yellow"/>
                <w:vertAlign w:val="baseline"/>
                <w:lang w:val="en-US" w:eastAsia="zh-CN"/>
              </w:rPr>
              <w:t>柜体应有防静电接地装置。</w:t>
            </w:r>
          </w:p>
        </w:tc>
        <w:tc>
          <w:tcPr>
            <w:tcW w:w="1758" w:type="dxa"/>
            <w:vMerge/>
            <w:noWrap w:val="0"/>
            <w:vAlign w:val="center"/>
          </w:tcPr>
          <w:p>
            <w:pPr>
              <w:snapToGrid w:val="0"/>
              <w:spacing w:line="520" w:lineRule="exact"/>
              <w:jc w:val="left"/>
              <w:rPr>
                <w:rFonts w:ascii="Calibri" w:eastAsia="宋体" w:hAnsi="Calibri" w:cs="Times New Roman" w:hint="eastAsia"/>
                <w:spacing w:val="6"/>
                <w:sz w:val="20"/>
                <w:szCs w:val="20"/>
                <w:highlight w:val="yellow"/>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4320" w:type="dxa"/>
            <w:noWrap w:val="0"/>
            <w:vAlign w:val="center"/>
          </w:tcPr>
          <w:p>
            <w:pPr>
              <w:snapToGrid w:val="0"/>
              <w:spacing w:line="520" w:lineRule="exact"/>
              <w:jc w:val="left"/>
              <w:rPr>
                <w:rFonts w:ascii="宋体" w:eastAsia="宋体" w:hAnsi="宋体" w:cs="Times New Roman" w:hint="eastAsia"/>
                <w:szCs w:val="21"/>
                <w:vertAlign w:val="baseline"/>
              </w:rPr>
            </w:pPr>
            <w:r>
              <w:rPr>
                <w:rFonts w:ascii="宋体" w:eastAsia="宋体" w:hAnsi="宋体" w:cs="Times New Roman" w:hint="eastAsia"/>
                <w:szCs w:val="21"/>
                <w:vertAlign w:val="baseline"/>
                <w:lang w:val="en-US" w:eastAsia="zh-CN"/>
              </w:rPr>
              <w:t>射频安全：采用射频电子报警设备的保险柜，应确保射频装置对弹药的安全。</w:t>
            </w:r>
          </w:p>
        </w:tc>
        <w:tc>
          <w:tcPr>
            <w:tcW w:w="1758" w:type="dxa"/>
            <w:vMerge/>
            <w:noWrap w:val="0"/>
            <w:vAlign w:val="center"/>
          </w:tcPr>
          <w:p>
            <w:pPr>
              <w:snapToGrid w:val="0"/>
              <w:spacing w:line="520" w:lineRule="exact"/>
              <w:jc w:val="left"/>
              <w:rPr>
                <w:rFonts w:ascii="宋体" w:eastAsia="宋体" w:hAnsi="宋体" w:cs="Times New Roman" w:hint="eastAsia"/>
                <w:szCs w:val="21"/>
                <w:vertAlign w:val="baseline"/>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4320" w:type="dxa"/>
            <w:noWrap w:val="0"/>
            <w:vAlign w:val="center"/>
          </w:tcPr>
          <w:p>
            <w:pPr>
              <w:snapToGrid w:val="0"/>
              <w:spacing w:line="520" w:lineRule="exact"/>
              <w:jc w:val="left"/>
              <w:rPr>
                <w:rFonts w:ascii="宋体" w:eastAsia="宋体" w:hAnsi="宋体" w:cs="Times New Roman" w:hint="eastAsia"/>
                <w:szCs w:val="21"/>
                <w:highlight w:val="yellow"/>
                <w:vertAlign w:val="baseline"/>
              </w:rPr>
            </w:pPr>
            <w:r>
              <w:rPr>
                <w:rFonts w:ascii="Calibri" w:eastAsia="宋体" w:hAnsi="Calibri" w:cs="Times New Roman" w:hint="eastAsia"/>
                <w:spacing w:val="6"/>
                <w:sz w:val="20"/>
                <w:szCs w:val="20"/>
                <w:highlight w:val="yellow"/>
              </w:rPr>
              <w:t>#</w:t>
            </w:r>
            <w:r>
              <w:rPr>
                <w:rFonts w:ascii="宋体" w:eastAsia="宋体" w:hAnsi="宋体" w:cs="Times New Roman" w:hint="eastAsia"/>
                <w:szCs w:val="21"/>
                <w:highlight w:val="yellow"/>
                <w:vertAlign w:val="baseline"/>
                <w:lang w:val="en-US" w:eastAsia="zh-CN"/>
              </w:rPr>
              <w:t>抗破坏：锁具应符合GA/T73要求，宜采用双锁。柜体及锁具应能确保在30min内无法破坏性打开或非法侵人。</w:t>
            </w:r>
          </w:p>
        </w:tc>
        <w:tc>
          <w:tcPr>
            <w:tcW w:w="1758" w:type="dxa"/>
            <w:vMerge/>
            <w:noWrap w:val="0"/>
            <w:vAlign w:val="center"/>
          </w:tcPr>
          <w:p>
            <w:pPr>
              <w:snapToGrid w:val="0"/>
              <w:spacing w:line="520" w:lineRule="exact"/>
              <w:jc w:val="left"/>
              <w:rPr>
                <w:rFonts w:ascii="Calibri" w:eastAsia="宋体" w:hAnsi="Calibri" w:cs="Times New Roman" w:hint="eastAsia"/>
                <w:spacing w:val="6"/>
                <w:sz w:val="20"/>
                <w:szCs w:val="20"/>
                <w:highlight w:val="yellow"/>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4320" w:type="dxa"/>
            <w:noWrap w:val="0"/>
            <w:vAlign w:val="center"/>
          </w:tcPr>
          <w:p>
            <w:pPr>
              <w:snapToGrid w:val="0"/>
              <w:spacing w:line="520" w:lineRule="exact"/>
              <w:jc w:val="left"/>
              <w:rPr>
                <w:rFonts w:ascii="宋体" w:eastAsia="宋体" w:hAnsi="宋体" w:cs="Times New Roman" w:hint="eastAsia"/>
                <w:szCs w:val="21"/>
                <w:highlight w:val="yellow"/>
                <w:vertAlign w:val="baseline"/>
              </w:rPr>
            </w:pPr>
            <w:r>
              <w:rPr>
                <w:rFonts w:ascii="宋体" w:eastAsia="宋体" w:hAnsi="宋体" w:cs="Times New Roman" w:hint="eastAsia"/>
                <w:szCs w:val="21"/>
                <w:highlight w:val="none"/>
                <w:vertAlign w:val="baseline"/>
                <w:lang w:val="en-US" w:eastAsia="zh-CN"/>
              </w:rPr>
              <w:t>抗冲击：保险柜自1.5m高处自由跌落后，柜体不应损坏，柜门与柜体不应分离。</w:t>
            </w:r>
          </w:p>
        </w:tc>
        <w:tc>
          <w:tcPr>
            <w:tcW w:w="1758" w:type="dxa"/>
            <w:vMerge/>
            <w:noWrap w:val="0"/>
            <w:vAlign w:val="center"/>
          </w:tcPr>
          <w:p>
            <w:pPr>
              <w:snapToGrid w:val="0"/>
              <w:spacing w:line="520" w:lineRule="exact"/>
              <w:jc w:val="left"/>
              <w:rPr>
                <w:rFonts w:ascii="Calibri" w:eastAsia="宋体" w:hAnsi="Calibri" w:cs="Times New Roman" w:hint="eastAsia"/>
                <w:spacing w:val="6"/>
                <w:sz w:val="20"/>
                <w:szCs w:val="20"/>
                <w:highlight w:val="yellow"/>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4320" w:type="dxa"/>
            <w:noWrap w:val="0"/>
            <w:vAlign w:val="center"/>
          </w:tcPr>
          <w:p>
            <w:pPr>
              <w:snapToGrid w:val="0"/>
              <w:spacing w:line="520" w:lineRule="exact"/>
              <w:jc w:val="left"/>
              <w:rPr>
                <w:rFonts w:ascii="宋体" w:eastAsia="宋体" w:hAnsi="宋体" w:cs="Times New Roman" w:hint="eastAsia"/>
                <w:szCs w:val="21"/>
                <w:highlight w:val="yellow"/>
                <w:vertAlign w:val="baseline"/>
              </w:rPr>
            </w:pPr>
            <w:r>
              <w:rPr>
                <w:rFonts w:ascii="Calibri" w:eastAsia="宋体" w:hAnsi="Calibri" w:cs="Times New Roman" w:hint="eastAsia"/>
                <w:spacing w:val="6"/>
                <w:sz w:val="20"/>
                <w:szCs w:val="20"/>
                <w:highlight w:val="yellow"/>
              </w:rPr>
              <w:t>#</w:t>
            </w:r>
            <w:r>
              <w:rPr>
                <w:rFonts w:ascii="宋体" w:eastAsia="宋体" w:hAnsi="宋体" w:cs="Times New Roman" w:hint="eastAsia"/>
                <w:szCs w:val="21"/>
                <w:highlight w:val="yellow"/>
                <w:vertAlign w:val="baseline"/>
                <w:lang w:val="en-US" w:eastAsia="zh-CN"/>
              </w:rPr>
              <w:t>抗压性：保险柜顶部在3t重压下静置24 h后，柜体不应出现明显的永久性变形。</w:t>
            </w:r>
          </w:p>
        </w:tc>
        <w:tc>
          <w:tcPr>
            <w:tcW w:w="1758" w:type="dxa"/>
            <w:vMerge/>
            <w:noWrap w:val="0"/>
            <w:vAlign w:val="center"/>
          </w:tcPr>
          <w:p>
            <w:pPr>
              <w:snapToGrid w:val="0"/>
              <w:spacing w:line="520" w:lineRule="exact"/>
              <w:jc w:val="left"/>
              <w:rPr>
                <w:rFonts w:ascii="Calibri" w:eastAsia="宋体" w:hAnsi="Calibri" w:cs="Times New Roman" w:hint="eastAsia"/>
                <w:spacing w:val="6"/>
                <w:sz w:val="20"/>
                <w:szCs w:val="20"/>
                <w:highlight w:val="yellow"/>
              </w:rPr>
            </w:pPr>
          </w:p>
        </w:tc>
      </w:tr>
      <w:tr>
        <w:tblPrEx>
          <w:tblW w:w="0" w:type="auto"/>
          <w:jc w:val="center"/>
          <w:tblCellMar>
            <w:top w:w="0" w:type="dxa"/>
            <w:left w:w="108" w:type="dxa"/>
            <w:bottom w:w="0" w:type="dxa"/>
            <w:right w:w="108" w:type="dxa"/>
          </w:tblCellMar>
        </w:tblPrEx>
        <w:trPr>
          <w:jc w:val="center"/>
        </w:trPr>
        <w:tc>
          <w:tcPr>
            <w:tcW w:w="1144"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center"/>
          </w:tcPr>
          <w:p>
            <w:pPr>
              <w:snapToGrid w:val="0"/>
              <w:spacing w:line="520" w:lineRule="exact"/>
              <w:jc w:val="left"/>
              <w:rPr>
                <w:rFonts w:ascii="宋体" w:eastAsia="宋体" w:hAnsi="宋体" w:cs="Times New Roman" w:hint="eastAsia"/>
                <w:szCs w:val="21"/>
                <w:vertAlign w:val="baseline"/>
              </w:rPr>
            </w:pPr>
          </w:p>
        </w:tc>
        <w:tc>
          <w:tcPr>
            <w:tcW w:w="4320" w:type="dxa"/>
            <w:noWrap w:val="0"/>
            <w:vAlign w:val="center"/>
          </w:tcPr>
          <w:p>
            <w:pPr>
              <w:snapToGrid w:val="0"/>
              <w:spacing w:line="520" w:lineRule="exact"/>
              <w:jc w:val="left"/>
              <w:rPr>
                <w:rFonts w:ascii="Calibri" w:eastAsia="宋体" w:hAnsi="Calibri" w:cs="Times New Roman" w:hint="eastAsia"/>
                <w:spacing w:val="6"/>
                <w:sz w:val="20"/>
                <w:szCs w:val="20"/>
                <w:highlight w:val="yellow"/>
              </w:rPr>
            </w:pPr>
            <w:r>
              <w:rPr>
                <w:rFonts w:ascii="宋体" w:eastAsia="宋体" w:hAnsi="宋体" w:cs="Times New Roman" w:hint="eastAsia"/>
                <w:szCs w:val="21"/>
                <w:vertAlign w:val="baseline"/>
                <w:lang w:val="en-US" w:eastAsia="zh-CN"/>
              </w:rPr>
              <w:t>耐火隔热：保险柜在遇火焰持续燃烧20min的情况下，柜体内温度应不高于100°C。</w:t>
            </w:r>
          </w:p>
        </w:tc>
        <w:tc>
          <w:tcPr>
            <w:tcW w:w="1758" w:type="dxa"/>
            <w:vMerge/>
            <w:noWrap w:val="0"/>
            <w:vAlign w:val="center"/>
          </w:tcPr>
          <w:p>
            <w:pPr>
              <w:snapToGrid w:val="0"/>
              <w:spacing w:line="520" w:lineRule="exact"/>
              <w:jc w:val="left"/>
              <w:rPr>
                <w:rFonts w:ascii="Calibri" w:eastAsia="宋体" w:hAnsi="Calibri" w:cs="Times New Roman" w:hint="eastAsia"/>
                <w:spacing w:val="6"/>
                <w:sz w:val="20"/>
                <w:szCs w:val="20"/>
                <w:highlight w:val="yellow"/>
              </w:rPr>
            </w:pPr>
          </w:p>
        </w:tc>
      </w:tr>
      <w:tr>
        <w:tblPrEx>
          <w:tblW w:w="0" w:type="auto"/>
          <w:jc w:val="center"/>
          <w:tblCellMar>
            <w:top w:w="0" w:type="dxa"/>
            <w:left w:w="108" w:type="dxa"/>
            <w:bottom w:w="0" w:type="dxa"/>
            <w:right w:w="108" w:type="dxa"/>
          </w:tblCellMar>
        </w:tblPrEx>
        <w:trPr>
          <w:jc w:val="center"/>
        </w:trPr>
        <w:tc>
          <w:tcPr>
            <w:tcW w:w="1144" w:type="dxa"/>
            <w:vMerge/>
            <w:noWrap w:val="0"/>
            <w:vAlign w:val="top"/>
          </w:tcPr>
          <w:p>
            <w:pPr>
              <w:snapToGrid w:val="0"/>
              <w:spacing w:line="520" w:lineRule="exact"/>
              <w:jc w:val="left"/>
              <w:rPr>
                <w:rFonts w:ascii="宋体" w:eastAsia="宋体" w:hAnsi="宋体" w:cs="Times New Roman" w:hint="eastAsia"/>
                <w:szCs w:val="21"/>
                <w:vertAlign w:val="baseline"/>
              </w:rPr>
            </w:pPr>
          </w:p>
        </w:tc>
        <w:tc>
          <w:tcPr>
            <w:tcW w:w="1298" w:type="dxa"/>
            <w:vMerge/>
            <w:noWrap w:val="0"/>
            <w:vAlign w:val="top"/>
          </w:tcPr>
          <w:p>
            <w:pPr>
              <w:snapToGrid w:val="0"/>
              <w:spacing w:line="520" w:lineRule="exact"/>
              <w:jc w:val="left"/>
              <w:rPr>
                <w:rFonts w:ascii="宋体" w:eastAsia="宋体" w:hAnsi="宋体" w:cs="Times New Roman" w:hint="eastAsia"/>
                <w:szCs w:val="21"/>
                <w:vertAlign w:val="baseline"/>
              </w:rPr>
            </w:pPr>
          </w:p>
        </w:tc>
        <w:tc>
          <w:tcPr>
            <w:tcW w:w="4320" w:type="dxa"/>
            <w:noWrap w:val="0"/>
            <w:vAlign w:val="top"/>
          </w:tcPr>
          <w:p>
            <w:pPr>
              <w:snapToGrid w:val="0"/>
              <w:spacing w:line="520" w:lineRule="exact"/>
              <w:jc w:val="left"/>
              <w:rPr>
                <w:rFonts w:ascii="宋体" w:eastAsia="宋体" w:hAnsi="宋体" w:cs="Times New Roman" w:hint="eastAsia"/>
                <w:szCs w:val="21"/>
                <w:vertAlign w:val="baseline"/>
              </w:rPr>
            </w:pPr>
            <w:r>
              <w:rPr>
                <w:rFonts w:ascii="宋体" w:eastAsia="宋体" w:hAnsi="宋体" w:cs="Times New Roman" w:hint="eastAsia"/>
                <w:szCs w:val="21"/>
                <w:vertAlign w:val="baseline"/>
                <w:lang w:val="en-US" w:eastAsia="zh-CN"/>
              </w:rPr>
              <w:t>经简单训练和练习，操作人员应可在30s内打开锁具。</w:t>
            </w:r>
          </w:p>
        </w:tc>
        <w:tc>
          <w:tcPr>
            <w:tcW w:w="1758" w:type="dxa"/>
            <w:vMerge/>
            <w:noWrap w:val="0"/>
            <w:vAlign w:val="top"/>
          </w:tcPr>
          <w:p>
            <w:pPr>
              <w:snapToGrid w:val="0"/>
              <w:spacing w:line="520" w:lineRule="exact"/>
              <w:jc w:val="left"/>
              <w:rPr>
                <w:rFonts w:ascii="宋体" w:eastAsia="宋体" w:hAnsi="宋体" w:cs="Times New Roman" w:hint="eastAsia"/>
                <w:szCs w:val="21"/>
                <w:vertAlign w:val="baseline"/>
              </w:rPr>
            </w:pPr>
          </w:p>
        </w:tc>
      </w:tr>
    </w:tbl>
    <w:p>
      <w:pPr>
        <w:spacing w:line="360" w:lineRule="auto"/>
        <w:ind w:firstLine="420" w:firstLineChars="200"/>
        <w:rPr>
          <w:rFonts w:ascii="宋体" w:hAnsi="宋体" w:hint="eastAsia"/>
          <w:szCs w:val="21"/>
        </w:rPr>
      </w:pPr>
      <w:r>
        <w:rPr>
          <w:rFonts w:ascii="宋体" w:hAnsi="宋体" w:hint="eastAsia"/>
          <w:szCs w:val="21"/>
        </w:rPr>
        <w:t>四、检验考核要求</w:t>
      </w:r>
    </w:p>
    <w:p>
      <w:pPr>
        <w:snapToGrid w:val="0"/>
        <w:spacing w:line="360" w:lineRule="auto"/>
        <w:ind w:firstLine="420" w:firstLineChars="200"/>
        <w:jc w:val="left"/>
        <w:rPr>
          <w:rFonts w:ascii="宋体" w:hAnsi="宋体"/>
          <w:szCs w:val="21"/>
        </w:rPr>
      </w:pPr>
      <w:r>
        <w:rPr>
          <w:rFonts w:ascii="宋体" w:eastAsia="宋体" w:hAnsi="宋体" w:cs="Times New Roman" w:hint="eastAsia"/>
          <w:szCs w:val="21"/>
        </w:rPr>
        <w:t>投标人完成采购交付后，需采购人与投标人</w:t>
      </w:r>
      <w:r>
        <w:rPr>
          <w:rFonts w:ascii="宋体" w:eastAsia="宋体" w:hAnsi="宋体" w:cs="Times New Roman" w:hint="eastAsia"/>
          <w:szCs w:val="21"/>
          <w:lang w:val="en-US" w:eastAsia="zh-CN"/>
        </w:rPr>
        <w:t>或投标人委托人员</w:t>
      </w:r>
      <w:r>
        <w:rPr>
          <w:rFonts w:ascii="宋体" w:eastAsia="宋体" w:hAnsi="宋体" w:cs="Times New Roman" w:hint="eastAsia"/>
          <w:szCs w:val="21"/>
        </w:rPr>
        <w:t>共同在现场完成设备的开箱、测试，有采购人委托的验收人员或代表签字确认，才能完成设备的交付验收。</w:t>
      </w:r>
    </w:p>
    <w:p>
      <w:pPr>
        <w:spacing w:line="360" w:lineRule="auto"/>
        <w:ind w:firstLine="420" w:firstLineChars="200"/>
        <w:rPr>
          <w:rFonts w:ascii="宋体" w:hAnsi="宋体" w:hint="eastAsia"/>
          <w:szCs w:val="21"/>
        </w:rPr>
      </w:pPr>
      <w:r>
        <w:rPr>
          <w:rFonts w:ascii="宋体" w:hAnsi="宋体" w:hint="eastAsia"/>
          <w:szCs w:val="21"/>
        </w:rPr>
        <w:t>五、技术服务和质保期服务要求</w:t>
      </w:r>
    </w:p>
    <w:p>
      <w:pPr>
        <w:numPr>
          <w:ilvl w:val="0"/>
          <w:numId w:val="4"/>
        </w:numPr>
        <w:spacing w:line="360" w:lineRule="auto"/>
        <w:ind w:firstLine="420" w:firstLineChars="200"/>
        <w:rPr>
          <w:rFonts w:ascii="宋体" w:eastAsia="宋体" w:hAnsi="宋体" w:hint="eastAsia"/>
          <w:szCs w:val="21"/>
        </w:rPr>
      </w:pPr>
      <w:r>
        <w:rPr>
          <w:rFonts w:ascii="宋体" w:eastAsia="宋体" w:hAnsi="宋体" w:hint="eastAsia"/>
          <w:szCs w:val="21"/>
          <w:lang w:val="en-US" w:eastAsia="zh-CN"/>
        </w:rPr>
        <w:t>弹药保险箱项目的报价</w:t>
      </w:r>
      <w:r>
        <w:rPr>
          <w:rFonts w:ascii="宋体" w:eastAsia="宋体" w:hAnsi="宋体" w:hint="eastAsia"/>
          <w:szCs w:val="21"/>
        </w:rPr>
        <w:t>包括货物</w:t>
      </w:r>
      <w:r>
        <w:rPr>
          <w:rFonts w:ascii="宋体" w:eastAsia="宋体" w:hAnsi="宋体" w:hint="eastAsia"/>
          <w:szCs w:val="21"/>
          <w:lang w:eastAsia="zh-CN"/>
        </w:rPr>
        <w:t>（</w:t>
      </w:r>
      <w:r>
        <w:rPr>
          <w:rFonts w:ascii="宋体" w:eastAsia="宋体" w:hAnsi="宋体" w:hint="eastAsia"/>
          <w:szCs w:val="21"/>
          <w:lang w:val="en-US" w:eastAsia="zh-CN"/>
        </w:rPr>
        <w:t>弹药保险箱、防爆头盔灯</w:t>
      </w:r>
      <w:r>
        <w:rPr>
          <w:rFonts w:ascii="宋体" w:eastAsia="宋体" w:hAnsi="宋体" w:hint="eastAsia"/>
          <w:szCs w:val="21"/>
          <w:lang w:eastAsia="zh-CN"/>
        </w:rPr>
        <w:t>）</w:t>
      </w:r>
      <w:r>
        <w:rPr>
          <w:rFonts w:ascii="宋体" w:eastAsia="宋体" w:hAnsi="宋体" w:hint="eastAsia"/>
          <w:szCs w:val="21"/>
        </w:rPr>
        <w:t>、包装、设施、产品、</w:t>
      </w:r>
      <w:r>
        <w:rPr>
          <w:rFonts w:ascii="宋体" w:eastAsia="宋体" w:hAnsi="宋体" w:hint="eastAsia"/>
          <w:szCs w:val="21"/>
          <w:lang w:val="en-US" w:eastAsia="zh-CN"/>
        </w:rPr>
        <w:t>专用工具、随机备件、备品备件及与设备价格有关的卖方所应交纳的税费；</w:t>
      </w:r>
    </w:p>
    <w:p>
      <w:pPr>
        <w:numPr>
          <w:ilvl w:val="0"/>
          <w:numId w:val="4"/>
        </w:numPr>
        <w:spacing w:line="360" w:lineRule="auto"/>
        <w:ind w:firstLine="420" w:firstLineChars="200"/>
        <w:rPr>
          <w:rFonts w:ascii="宋体" w:eastAsia="宋体" w:hAnsi="宋体" w:hint="eastAsia"/>
          <w:szCs w:val="21"/>
        </w:rPr>
      </w:pPr>
      <w:r>
        <w:rPr>
          <w:rFonts w:ascii="宋体" w:eastAsia="宋体" w:hAnsi="宋体" w:hint="eastAsia"/>
          <w:szCs w:val="21"/>
          <w:lang w:val="en-US" w:eastAsia="zh-CN"/>
        </w:rPr>
        <w:t>包括弹药库尺寸测量核对、安装、调试、性能测试、现场技术指导、培训、检验、技术服务等费用；</w:t>
      </w:r>
    </w:p>
    <w:p>
      <w:pPr>
        <w:numPr>
          <w:ilvl w:val="0"/>
          <w:numId w:val="4"/>
        </w:numPr>
        <w:spacing w:line="360" w:lineRule="auto"/>
        <w:ind w:firstLine="420" w:firstLineChars="200"/>
        <w:rPr>
          <w:rFonts w:ascii="宋体" w:eastAsia="宋体" w:hAnsi="宋体" w:hint="eastAsia"/>
          <w:szCs w:val="21"/>
        </w:rPr>
      </w:pPr>
      <w:r>
        <w:rPr>
          <w:rFonts w:ascii="宋体" w:eastAsia="宋体" w:hAnsi="宋体" w:hint="eastAsia"/>
          <w:szCs w:val="21"/>
          <w:lang w:val="en-US" w:eastAsia="zh-CN"/>
        </w:rPr>
        <w:t>包括合同货物的运保杂费：从始发站到买方现场交货点装卸费、运杂费、搬运费及二次搬运费、吊装费、保险费等费用。</w:t>
      </w:r>
    </w:p>
    <w:p>
      <w:pPr>
        <w:numPr>
          <w:ilvl w:val="0"/>
          <w:numId w:val="4"/>
        </w:numPr>
        <w:spacing w:line="360" w:lineRule="auto"/>
        <w:ind w:left="0" w:firstLine="420" w:leftChars="0" w:firstLineChars="200"/>
        <w:rPr>
          <w:rFonts w:ascii="宋体" w:eastAsia="宋体" w:hAnsi="宋体"/>
          <w:szCs w:val="21"/>
        </w:rPr>
      </w:pPr>
      <w:r>
        <w:rPr>
          <w:rFonts w:ascii="宋体" w:eastAsia="宋体" w:hAnsi="宋体" w:hint="eastAsia"/>
          <w:szCs w:val="21"/>
        </w:rPr>
        <w:t>技术服务</w:t>
      </w:r>
    </w:p>
    <w:p>
      <w:pPr>
        <w:numPr>
          <w:ilvl w:val="0"/>
          <w:numId w:val="5"/>
        </w:numPr>
        <w:spacing w:line="520" w:lineRule="exact"/>
        <w:ind w:firstLine="420" w:firstLineChars="200"/>
        <w:rPr>
          <w:rFonts w:ascii="宋体" w:hAnsi="宋体" w:hint="eastAsia"/>
          <w:color w:val="000000"/>
          <w:kern w:val="0"/>
          <w:szCs w:val="21"/>
        </w:rPr>
      </w:pPr>
      <w:r>
        <w:rPr>
          <w:rFonts w:ascii="宋体" w:hAnsi="宋体" w:hint="eastAsia"/>
          <w:color w:val="000000"/>
          <w:kern w:val="0"/>
          <w:szCs w:val="21"/>
        </w:rPr>
        <w:t>鉴于弹药保险箱的特殊性与运输便利性考量，所有弹药保险箱均采用拆分式运输策略，由专业物流公司承接运输任务。待运输至指定安装地点后，中标厂家将及时派遣资深技术人员赶赴现场开展组装及后续工作。技术人员依据厂家标准化安装流程，运用专业工具，对拆分部件进行精准拼接、紧固，严格把控各连接部位的安装精度，确保柜体结构稳固、密封性良好，完全符合安全存储弹药的相关标准要求。</w:t>
      </w:r>
    </w:p>
    <w:p>
      <w:pPr>
        <w:numPr>
          <w:ilvl w:val="0"/>
          <w:numId w:val="5"/>
        </w:numPr>
        <w:spacing w:line="520" w:lineRule="exact"/>
        <w:ind w:firstLine="420" w:firstLineChars="200"/>
        <w:rPr>
          <w:rFonts w:ascii="宋体" w:eastAsia="宋体" w:hAnsi="宋体"/>
          <w:szCs w:val="21"/>
          <w:highlight w:val="none"/>
        </w:rPr>
      </w:pPr>
      <w:r>
        <w:rPr>
          <w:rFonts w:ascii="宋体" w:hAnsi="宋体" w:hint="eastAsia"/>
          <w:color w:val="000000"/>
          <w:kern w:val="0"/>
          <w:szCs w:val="21"/>
        </w:rPr>
        <w:t>弹药保险箱的安装，由设备供应商专业安装技术团队负责完成，并由建设单位参与技术参数测试与验收，业务运行由运行执行单位与供应商负责仪器设备的正常运行，保修期内由运行执行单位与供应商负责设备的正常运行；保修期过后由运行执行单位负责设备的正常运行。</w:t>
      </w:r>
    </w:p>
    <w:p>
      <w:pPr>
        <w:numPr>
          <w:ilvl w:val="0"/>
          <w:numId w:val="5"/>
        </w:numPr>
        <w:spacing w:line="520" w:lineRule="exact"/>
        <w:ind w:firstLine="420" w:firstLineChars="200"/>
        <w:rPr>
          <w:rFonts w:ascii="宋体" w:hAnsi="宋体"/>
          <w:szCs w:val="21"/>
          <w:highlight w:val="none"/>
        </w:rPr>
      </w:pPr>
      <w:r>
        <w:rPr>
          <w:rFonts w:ascii="宋体" w:eastAsia="宋体" w:hAnsi="宋体" w:hint="eastAsia"/>
          <w:szCs w:val="21"/>
          <w:highlight w:val="none"/>
        </w:rPr>
        <w:t>对</w:t>
      </w:r>
      <w:r>
        <w:rPr>
          <w:rFonts w:ascii="宋体" w:eastAsia="宋体" w:hAnsi="宋体" w:hint="eastAsia"/>
          <w:szCs w:val="21"/>
          <w:highlight w:val="none"/>
          <w:lang w:val="en-US" w:eastAsia="zh-CN"/>
        </w:rPr>
        <w:t>使用弹药保险箱的相关</w:t>
      </w:r>
      <w:r>
        <w:rPr>
          <w:rFonts w:ascii="宋体" w:eastAsia="宋体" w:hAnsi="宋体" w:hint="eastAsia"/>
          <w:szCs w:val="21"/>
          <w:highlight w:val="none"/>
        </w:rPr>
        <w:t>人员进行必要的技术培训，确保其掌握</w:t>
      </w:r>
      <w:r>
        <w:rPr>
          <w:rFonts w:ascii="宋体" w:eastAsia="宋体" w:hAnsi="宋体" w:hint="eastAsia"/>
          <w:szCs w:val="21"/>
          <w:highlight w:val="none"/>
          <w:lang w:val="en-US" w:eastAsia="zh-CN"/>
        </w:rPr>
        <w:t>弹药保险箱</w:t>
      </w:r>
      <w:r>
        <w:rPr>
          <w:rFonts w:ascii="宋体" w:eastAsia="宋体" w:hAnsi="宋体" w:hint="eastAsia"/>
          <w:szCs w:val="21"/>
          <w:highlight w:val="none"/>
        </w:rPr>
        <w:t>的操作使用流程、维护保养知识和安全注意事项等</w:t>
      </w:r>
      <w:r>
        <w:rPr>
          <w:rFonts w:ascii="宋体" w:eastAsia="宋体" w:hAnsi="宋体" w:hint="eastAsia"/>
          <w:szCs w:val="21"/>
          <w:highlight w:val="none"/>
          <w:lang w:eastAsia="zh-CN"/>
        </w:rPr>
        <w:t>，培训时间及地点双方协商确定。</w:t>
      </w:r>
    </w:p>
    <w:p>
      <w:pPr>
        <w:numPr>
          <w:ilvl w:val="0"/>
          <w:numId w:val="5"/>
        </w:numPr>
        <w:spacing w:line="520" w:lineRule="exact"/>
        <w:ind w:firstLine="420" w:firstLineChars="200"/>
        <w:rPr>
          <w:rFonts w:ascii="宋体" w:eastAsia="宋体" w:hAnsi="宋体" w:hint="eastAsia"/>
          <w:szCs w:val="21"/>
          <w:highlight w:val="none"/>
        </w:rPr>
      </w:pPr>
      <w:r>
        <w:rPr>
          <w:rFonts w:ascii="宋体" w:eastAsia="宋体" w:hAnsi="宋体" w:hint="eastAsia"/>
          <w:szCs w:val="21"/>
          <w:highlight w:val="none"/>
        </w:rPr>
        <w:t>设备运行及维保期：</w:t>
      </w:r>
      <w:r>
        <w:rPr>
          <w:rFonts w:ascii="宋体" w:eastAsia="宋体" w:hAnsi="宋体" w:hint="eastAsia"/>
          <w:szCs w:val="21"/>
          <w:highlight w:val="none"/>
          <w:lang w:val="en-US" w:eastAsia="zh-CN"/>
        </w:rPr>
        <w:t>免费维保</w:t>
      </w:r>
      <w:r>
        <w:rPr>
          <w:rFonts w:ascii="宋体" w:eastAsia="宋体" w:hAnsi="宋体" w:hint="eastAsia"/>
          <w:szCs w:val="21"/>
          <w:highlight w:val="none"/>
        </w:rPr>
        <w:t xml:space="preserve"> ≥8 年并提供承诺函；</w:t>
      </w:r>
    </w:p>
    <w:p>
      <w:pPr>
        <w:numPr>
          <w:ilvl w:val="0"/>
          <w:numId w:val="5"/>
        </w:numPr>
        <w:spacing w:line="520" w:lineRule="exact"/>
        <w:ind w:firstLine="420" w:firstLineChars="200"/>
        <w:rPr>
          <w:rFonts w:ascii="宋体" w:eastAsia="宋体" w:hAnsi="宋体" w:hint="eastAsia"/>
          <w:szCs w:val="21"/>
          <w:highlight w:val="none"/>
        </w:rPr>
      </w:pPr>
      <w:r>
        <w:rPr>
          <w:rFonts w:ascii="宋体" w:eastAsia="宋体" w:hAnsi="宋体" w:hint="eastAsia"/>
          <w:szCs w:val="21"/>
          <w:highlight w:val="none"/>
        </w:rPr>
        <w:t>提供质保服务方案</w:t>
      </w:r>
      <w:r>
        <w:rPr>
          <w:rFonts w:ascii="宋体" w:eastAsia="宋体" w:hAnsi="宋体" w:hint="eastAsia"/>
          <w:szCs w:val="21"/>
          <w:highlight w:val="none"/>
          <w:lang w:eastAsia="zh-CN"/>
        </w:rPr>
        <w:t>。</w:t>
      </w:r>
    </w:p>
    <w:p>
      <w:pPr>
        <w:spacing w:line="360" w:lineRule="auto"/>
        <w:ind w:firstLine="420" w:firstLineChars="200"/>
        <w:rPr>
          <w:rFonts w:ascii="宋体" w:hAnsi="宋体" w:hint="eastAsia"/>
          <w:szCs w:val="21"/>
        </w:rPr>
      </w:pPr>
      <w:r>
        <w:rPr>
          <w:rFonts w:ascii="宋体" w:hAnsi="宋体" w:hint="eastAsia"/>
          <w:szCs w:val="21"/>
        </w:rPr>
        <w:t>六、其他要求</w:t>
      </w:r>
    </w:p>
    <w:p>
      <w:pPr>
        <w:spacing w:line="360" w:lineRule="auto"/>
        <w:ind w:firstLine="420" w:firstLineChars="200"/>
        <w:rPr>
          <w:rFonts w:ascii="宋体" w:eastAsia="宋体" w:hAnsi="宋体"/>
          <w:szCs w:val="21"/>
        </w:rPr>
      </w:pPr>
      <w:r>
        <w:rPr>
          <w:rFonts w:ascii="宋体" w:eastAsia="宋体" w:hAnsi="宋体" w:hint="eastAsia"/>
          <w:szCs w:val="21"/>
        </w:rPr>
        <w:t>1.售后方案：投标人需提供详细售后服务方案，包括设备售后服务组织机构、人员组成、技术支持文档等。售后服务组织机构设置合理，人员技术能力强，技术文档内容全面。</w:t>
      </w:r>
    </w:p>
    <w:p>
      <w:pPr>
        <w:spacing w:line="360" w:lineRule="auto"/>
        <w:ind w:firstLine="420" w:firstLineChars="200"/>
        <w:rPr>
          <w:rFonts w:ascii="宋体" w:eastAsia="宋体" w:hAnsi="宋体"/>
          <w:szCs w:val="21"/>
        </w:rPr>
      </w:pPr>
      <w:r>
        <w:rPr>
          <w:rFonts w:ascii="宋体" w:eastAsia="宋体" w:hAnsi="宋体" w:hint="eastAsia"/>
          <w:szCs w:val="21"/>
        </w:rPr>
        <w:t>2.质保服务方案：投标人需提供详细质保服务方案，包括设备安装建设规范、设备操作手册、设备运行维护手册说明文档等。</w:t>
      </w:r>
    </w:p>
    <w:p>
      <w:pPr>
        <w:spacing w:line="360" w:lineRule="auto"/>
        <w:ind w:firstLine="420" w:firstLineChars="200"/>
        <w:rPr>
          <w:rFonts w:ascii="宋体" w:eastAsia="宋体" w:hAnsi="宋体"/>
          <w:szCs w:val="21"/>
        </w:rPr>
      </w:pPr>
      <w:r>
        <w:rPr>
          <w:rFonts w:ascii="宋体" w:eastAsia="宋体" w:hAnsi="宋体" w:hint="eastAsia"/>
          <w:szCs w:val="21"/>
        </w:rPr>
        <w:t>3.培训方案：投标人需提供详细培训方案，方案中有本项目设备的基本结构和原理、操作规范和流程、使用方法，常规操作、日常维护、中小故障排除等相关内容。</w:t>
      </w:r>
    </w:p>
    <w:p>
      <w:pPr>
        <w:spacing w:line="360" w:lineRule="auto"/>
        <w:ind w:firstLine="420" w:firstLineChars="200"/>
        <w:rPr>
          <w:rFonts w:ascii="宋体" w:eastAsia="宋体" w:hAnsi="宋体"/>
          <w:szCs w:val="21"/>
        </w:rPr>
      </w:pPr>
      <w:r>
        <w:rPr>
          <w:rFonts w:ascii="宋体" w:eastAsia="宋体" w:hAnsi="宋体" w:hint="eastAsia"/>
          <w:szCs w:val="21"/>
        </w:rPr>
        <w:t>4.服务团队：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spacing w:line="360" w:lineRule="auto"/>
        <w:ind w:firstLine="420" w:firstLineChars="200"/>
        <w:rPr>
          <w:rFonts w:ascii="宋体" w:eastAsia="宋体" w:hAnsi="宋体"/>
          <w:szCs w:val="21"/>
        </w:rPr>
      </w:pPr>
      <w:r>
        <w:rPr>
          <w:rFonts w:ascii="宋体" w:eastAsia="宋体" w:hAnsi="宋体" w:hint="eastAsia"/>
          <w:szCs w:val="21"/>
        </w:rPr>
        <w:t>5.投标产品技术方案：投标人需提供详细技术方案，技术方案能按照招标文件的要求进行响应，详细具体，针对性强，与项目实际情况相契合，完全满足采购文件的需求。</w:t>
      </w:r>
    </w:p>
    <w:p>
      <w:pPr>
        <w:spacing w:line="360" w:lineRule="auto"/>
        <w:ind w:firstLine="420" w:firstLineChars="200"/>
        <w:rPr>
          <w:rFonts w:ascii="宋体" w:eastAsia="宋体" w:hAnsi="宋体"/>
          <w:szCs w:val="21"/>
        </w:rPr>
      </w:pPr>
      <w:r>
        <w:rPr>
          <w:rFonts w:ascii="宋体" w:eastAsia="宋体" w:hAnsi="宋体" w:hint="eastAsia"/>
          <w:szCs w:val="21"/>
        </w:rPr>
        <w:t>6.实施方案：投标人需提供详细实施方案，实施方案应结合采购需求，包括投标产品的生产、运输、安装、调试及试运行等。</w:t>
      </w:r>
    </w:p>
    <w:p>
      <w:pPr>
        <w:spacing w:line="360" w:lineRule="auto"/>
        <w:ind w:firstLine="420" w:firstLineChars="200"/>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ascii="宋体" w:hAnsi="宋体" w:hint="eastAsia"/>
          <w:b/>
          <w:bCs/>
          <w:szCs w:val="21"/>
        </w:rPr>
      </w:pPr>
      <w:r>
        <w:rPr>
          <w:rFonts w:ascii="宋体" w:hAnsi="宋体" w:hint="eastAsia"/>
          <w:b/>
          <w:bCs/>
          <w:szCs w:val="21"/>
          <w:lang w:eastAsia="zh-CN"/>
        </w:rPr>
        <w:t>（</w:t>
      </w:r>
      <w:r>
        <w:rPr>
          <w:rFonts w:ascii="宋体" w:hAnsi="宋体" w:hint="eastAsia"/>
          <w:b/>
          <w:bCs/>
          <w:szCs w:val="21"/>
          <w:lang w:val="en-US" w:eastAsia="zh-CN"/>
        </w:rPr>
        <w:t>1）建设内容</w:t>
      </w:r>
    </w:p>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ascii="宋体" w:eastAsia="宋体" w:hAnsi="宋体" w:cs="Times New Roman" w:hint="eastAsia"/>
          <w:szCs w:val="21"/>
          <w:highlight w:val="none"/>
        </w:rPr>
      </w:pPr>
      <w:r>
        <w:rPr>
          <w:rFonts w:ascii="宋体" w:hAnsi="宋体" w:hint="eastAsia"/>
          <w:szCs w:val="21"/>
          <w:highlight w:val="none"/>
        </w:rPr>
        <w:t>建设1</w:t>
      </w:r>
      <w:r>
        <w:rPr>
          <w:rFonts w:ascii="宋体" w:hAnsi="宋体" w:hint="eastAsia"/>
          <w:szCs w:val="21"/>
          <w:highlight w:val="none"/>
          <w:lang w:val="en-US" w:eastAsia="zh-CN"/>
        </w:rPr>
        <w:t>58</w:t>
      </w:r>
      <w:r>
        <w:rPr>
          <w:rFonts w:ascii="宋体" w:hAnsi="宋体" w:hint="eastAsia"/>
          <w:szCs w:val="21"/>
          <w:highlight w:val="none"/>
        </w:rPr>
        <w:t>个</w:t>
      </w:r>
      <w:r>
        <w:rPr>
          <w:rFonts w:ascii="宋体" w:hAnsi="宋体" w:hint="eastAsia"/>
          <w:szCs w:val="21"/>
          <w:highlight w:val="none"/>
          <w:lang w:val="en-US" w:eastAsia="zh-CN"/>
        </w:rPr>
        <w:t>人影作业</w:t>
      </w:r>
      <w:r>
        <w:rPr>
          <w:rFonts w:ascii="宋体" w:hAnsi="宋体" w:hint="eastAsia"/>
          <w:szCs w:val="21"/>
          <w:highlight w:val="none"/>
        </w:rPr>
        <w:t>弹药保险箱，其中</w:t>
      </w:r>
      <w:r>
        <w:rPr>
          <w:rFonts w:ascii="宋体" w:hAnsi="宋体" w:hint="eastAsia"/>
          <w:szCs w:val="21"/>
          <w:highlight w:val="none"/>
          <w:lang w:val="en-US" w:eastAsia="zh-CN"/>
        </w:rPr>
        <w:t>防雹高炮弹</w:t>
      </w:r>
      <w:r>
        <w:rPr>
          <w:rFonts w:ascii="宋体" w:hAnsi="宋体" w:hint="eastAsia"/>
          <w:szCs w:val="21"/>
          <w:highlight w:val="none"/>
        </w:rPr>
        <w:t>保险箱10</w:t>
      </w:r>
      <w:r>
        <w:rPr>
          <w:rFonts w:ascii="宋体" w:hAnsi="宋体" w:hint="eastAsia"/>
          <w:szCs w:val="21"/>
          <w:highlight w:val="none"/>
          <w:lang w:val="en-US" w:eastAsia="zh-CN"/>
        </w:rPr>
        <w:t>8</w:t>
      </w:r>
      <w:r>
        <w:rPr>
          <w:rFonts w:ascii="宋体" w:hAnsi="宋体" w:hint="eastAsia"/>
          <w:szCs w:val="21"/>
          <w:highlight w:val="none"/>
        </w:rPr>
        <w:t>个，</w:t>
      </w:r>
      <w:r>
        <w:rPr>
          <w:rFonts w:ascii="宋体" w:hAnsi="宋体" w:hint="eastAsia"/>
          <w:szCs w:val="21"/>
          <w:highlight w:val="none"/>
          <w:lang w:val="en-US" w:eastAsia="zh-CN"/>
        </w:rPr>
        <w:t>人影</w:t>
      </w:r>
      <w:r>
        <w:rPr>
          <w:rFonts w:ascii="宋体" w:hAnsi="宋体" w:hint="eastAsia"/>
          <w:szCs w:val="21"/>
          <w:highlight w:val="none"/>
        </w:rPr>
        <w:t>火箭弹保险箱5</w:t>
      </w:r>
      <w:r>
        <w:rPr>
          <w:rFonts w:ascii="宋体" w:hAnsi="宋体" w:hint="eastAsia"/>
          <w:szCs w:val="21"/>
          <w:highlight w:val="none"/>
          <w:lang w:val="en-US" w:eastAsia="zh-CN"/>
        </w:rPr>
        <w:t>0</w:t>
      </w:r>
      <w:r>
        <w:rPr>
          <w:rFonts w:ascii="宋体" w:hAnsi="宋体" w:hint="eastAsia"/>
          <w:szCs w:val="21"/>
          <w:highlight w:val="none"/>
        </w:rPr>
        <w:t>个。</w:t>
      </w:r>
      <w:r>
        <w:rPr>
          <w:rFonts w:ascii="宋体" w:eastAsia="宋体" w:hAnsi="宋体" w:cs="Times New Roman" w:hint="eastAsia"/>
          <w:szCs w:val="21"/>
          <w:highlight w:val="none"/>
          <w:lang w:val="en-US" w:eastAsia="zh-CN"/>
        </w:rPr>
        <w:t>根据各作业点弹药库大小及实际最大储弹量，定制五种规格的保险箱。高炮作业点弹药保险箱分为A、B两种规格，预计分别需要74个、34个，其中规格A要求可整箱存储200发37mm人工防雹弹，规格B要求可整箱存储400发37mm人工防雹弹。火箭作业点弹药保险箱分为C、D、E三种规格，预计分别需要19个、15个、16个，其中规格C要求可整箱存储30枚57mm</w:t>
      </w:r>
      <w:r>
        <w:rPr>
          <w:rFonts w:ascii="宋体" w:eastAsia="宋体" w:hAnsi="宋体" w:cs="Times New Roman" w:hint="eastAsia"/>
          <w:szCs w:val="21"/>
          <w:highlight w:val="none"/>
          <w:lang w:val="en-US" w:eastAsia="en-US"/>
        </w:rPr>
        <w:t>增雨防雹火箭</w:t>
      </w:r>
      <w:r>
        <w:rPr>
          <w:rFonts w:ascii="宋体" w:eastAsia="宋体" w:hAnsi="宋体" w:cs="Times New Roman" w:hint="eastAsia"/>
          <w:szCs w:val="21"/>
          <w:highlight w:val="none"/>
          <w:lang w:val="en-US" w:eastAsia="zh-CN"/>
        </w:rPr>
        <w:t>弹,规格D要求可整箱存储60枚57</w:t>
      </w:r>
      <w:r>
        <w:rPr>
          <w:rFonts w:ascii="宋体" w:eastAsia="宋体" w:hAnsi="宋体" w:cs="Times New Roman" w:hint="eastAsia"/>
          <w:szCs w:val="21"/>
          <w:highlight w:val="none"/>
          <w:lang w:val="en-US" w:eastAsia="zh-CN"/>
        </w:rPr>
        <w:t>mm</w:t>
      </w:r>
      <w:r>
        <w:rPr>
          <w:rFonts w:ascii="宋体" w:eastAsia="宋体" w:hAnsi="宋体" w:cs="Times New Roman" w:hint="eastAsia"/>
          <w:szCs w:val="21"/>
          <w:highlight w:val="none"/>
          <w:lang w:val="en-US" w:eastAsia="en-US"/>
        </w:rPr>
        <w:t>增雨防雹火箭</w:t>
      </w:r>
      <w:r>
        <w:rPr>
          <w:rFonts w:ascii="宋体" w:eastAsia="宋体" w:hAnsi="宋体" w:cs="Times New Roman" w:hint="eastAsia"/>
          <w:szCs w:val="21"/>
          <w:highlight w:val="none"/>
          <w:lang w:val="en-US" w:eastAsia="zh-CN"/>
        </w:rPr>
        <w:t>弹,规格E要求可整箱存储30枚66mm</w:t>
      </w:r>
      <w:r>
        <w:rPr>
          <w:rFonts w:ascii="宋体" w:eastAsia="宋体" w:hAnsi="宋体" w:cs="Times New Roman" w:hint="eastAsia"/>
          <w:szCs w:val="21"/>
          <w:highlight w:val="none"/>
          <w:lang w:val="en-US" w:eastAsia="en-US"/>
        </w:rPr>
        <w:t>增雨防雹火箭</w:t>
      </w:r>
      <w:r>
        <w:rPr>
          <w:rFonts w:ascii="宋体" w:eastAsia="宋体" w:hAnsi="宋体" w:cs="Times New Roman" w:hint="eastAsia"/>
          <w:szCs w:val="21"/>
          <w:highlight w:val="none"/>
          <w:lang w:val="en-US" w:eastAsia="zh-CN"/>
        </w:rPr>
        <w:t>弹。在安装过程中可根据各作业点的实际情况对弹药保险箱的规格和安装位置进行调整。同时为方便弹药拿取，为每个建设点配备一个可充电、具有“青海人影”标识的防爆头盔灯。</w:t>
      </w:r>
    </w:p>
    <w:p>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ascii="宋体" w:eastAsia="宋体" w:hAnsi="宋体" w:cs="Times New Roman" w:hint="eastAsia"/>
          <w:b/>
          <w:bCs/>
          <w:szCs w:val="21"/>
        </w:rPr>
      </w:pPr>
      <w:r>
        <w:rPr>
          <w:rFonts w:ascii="宋体" w:eastAsia="宋体" w:hAnsi="宋体" w:cs="Times New Roman" w:hint="eastAsia"/>
          <w:b/>
          <w:bCs/>
          <w:szCs w:val="21"/>
          <w:lang w:val="en-US" w:eastAsia="zh-CN"/>
        </w:rPr>
        <w:t>（2）建设地址</w:t>
      </w:r>
    </w:p>
    <w:p>
      <w:pPr>
        <w:keepNext w:val="0"/>
        <w:keepLines w:val="0"/>
        <w:pageBreakBefore w:val="0"/>
        <w:widowControl w:val="0"/>
        <w:kinsoku/>
        <w:wordWrap/>
        <w:overflowPunct/>
        <w:topLinePunct w:val="0"/>
        <w:autoSpaceDE w:val="0"/>
        <w:autoSpaceDN w:val="0"/>
        <w:bidi w:val="0"/>
        <w:adjustRightInd w:val="0"/>
        <w:snapToGrid w:val="0"/>
        <w:spacing w:before="0" w:line="560" w:lineRule="exact"/>
        <w:ind w:left="0" w:firstLine="420" w:firstLineChars="200"/>
        <w:jc w:val="both"/>
        <w:textAlignment w:val="baseline"/>
        <w:outlineLvl w:val="9"/>
        <w:rPr>
          <w:rFonts w:ascii="宋体" w:eastAsia="宋体" w:hAnsi="宋体" w:cs="宋体" w:hint="eastAsia"/>
          <w:snapToGrid w:val="0"/>
          <w:color w:val="000000"/>
          <w:spacing w:val="-3"/>
          <w:kern w:val="0"/>
          <w:szCs w:val="21"/>
          <w:highlight w:val="none"/>
        </w:rPr>
      </w:pPr>
      <w:r>
        <w:rPr>
          <w:rFonts w:ascii="宋体" w:eastAsia="宋体" w:hAnsi="宋体" w:cs="宋体" w:hint="eastAsia"/>
          <w:snapToGrid w:val="0"/>
          <w:color w:val="000000"/>
          <w:spacing w:val="-3"/>
          <w:kern w:val="0"/>
          <w:sz w:val="21"/>
          <w:szCs w:val="21"/>
          <w:highlight w:val="none"/>
          <w:lang w:val="en-US" w:eastAsia="zh-CN" w:bidi="ar-SA"/>
        </w:rPr>
        <w:t>全省防雹高炮弹药保险箱布设详见表1，全省火箭弹药保险箱布设详见表2。</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baseline"/>
        <w:rPr>
          <w:rFonts w:ascii="宋体" w:eastAsia="宋体" w:hAnsi="宋体" w:cs="宋体" w:hint="eastAsia"/>
          <w:snapToGrid w:val="0"/>
          <w:color w:val="000000"/>
          <w:spacing w:val="-2"/>
          <w:kern w:val="0"/>
          <w:szCs w:val="21"/>
        </w:rPr>
      </w:pPr>
      <w:r>
        <w:rPr>
          <w:rFonts w:ascii="宋体" w:eastAsia="宋体" w:hAnsi="宋体" w:cs="宋体" w:hint="eastAsia"/>
          <w:snapToGrid w:val="0"/>
          <w:color w:val="000000"/>
          <w:spacing w:val="-2"/>
          <w:kern w:val="0"/>
          <w:sz w:val="21"/>
          <w:szCs w:val="21"/>
          <w:lang w:val="en-US" w:eastAsia="zh-CN" w:bidi="ar-SA"/>
        </w:rPr>
        <w:t>表1 全省防雹高炮弹药保险箱布设表</w:t>
      </w:r>
    </w:p>
    <w:tbl>
      <w:tblPr>
        <w:tblStyle w:val="TableNormal"/>
        <w:tblpPr w:leftFromText="180" w:rightFromText="180" w:vertAnchor="text" w:horzAnchor="page" w:tblpX="1786" w:tblpY="413"/>
        <w:tblOverlap w:val="never"/>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ayout w:type="fixed"/>
        <w:tblCellMar>
          <w:top w:w="0" w:type="dxa"/>
          <w:left w:w="108" w:type="dxa"/>
          <w:bottom w:w="0" w:type="dxa"/>
          <w:right w:w="108" w:type="dxa"/>
        </w:tblCellMar>
      </w:tblPr>
      <w:tblGrid>
        <w:gridCol w:w="636"/>
        <w:gridCol w:w="897"/>
        <w:gridCol w:w="1158"/>
        <w:gridCol w:w="2055"/>
        <w:gridCol w:w="962"/>
        <w:gridCol w:w="962"/>
        <w:gridCol w:w="962"/>
        <w:gridCol w:w="890"/>
      </w:tblGrid>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ayout w:type="fixed"/>
          <w:tblCellMar>
            <w:top w:w="0" w:type="dxa"/>
            <w:left w:w="108" w:type="dxa"/>
            <w:bottom w:w="0" w:type="dxa"/>
            <w:right w:w="108" w:type="dxa"/>
          </w:tblCellMar>
        </w:tblPrEx>
        <w:trPr>
          <w:trHeight w:val="633"/>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序号</w:t>
            </w:r>
          </w:p>
        </w:tc>
        <w:tc>
          <w:tcPr>
            <w:tcW w:w="8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州市</w:t>
            </w:r>
          </w:p>
        </w:tc>
        <w:tc>
          <w:tcPr>
            <w:tcW w:w="11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区县</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作业点名称</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弹药库</w:t>
            </w:r>
            <w:r>
              <w:rPr>
                <w:rFonts w:ascii="Times New Roman" w:eastAsia="宋体" w:hAnsi="Times New Roman" w:cs="Times New Roman" w:hint="default"/>
                <w:i w:val="0"/>
                <w:iCs w:val="0"/>
                <w:color w:val="auto"/>
                <w:kern w:val="0"/>
                <w:sz w:val="21"/>
                <w:szCs w:val="21"/>
                <w:u w:val="none"/>
                <w:lang w:val="en-US" w:eastAsia="zh-CN" w:bidi="ar"/>
              </w:rPr>
              <w:br/>
            </w:r>
            <w:r>
              <w:rPr>
                <w:rFonts w:ascii="Times New Roman" w:eastAsia="宋体" w:hAnsi="Times New Roman" w:cs="Times New Roman" w:hint="default"/>
                <w:i w:val="0"/>
                <w:iCs w:val="0"/>
                <w:color w:val="auto"/>
                <w:kern w:val="0"/>
                <w:sz w:val="21"/>
                <w:szCs w:val="21"/>
                <w:u w:val="none"/>
                <w:lang w:val="en-US" w:eastAsia="zh-CN" w:bidi="ar"/>
              </w:rPr>
              <w:t>高（米）</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弹药库</w:t>
            </w:r>
            <w:r>
              <w:rPr>
                <w:rFonts w:ascii="Times New Roman" w:eastAsia="宋体" w:hAnsi="Times New Roman" w:cs="Times New Roman" w:hint="default"/>
                <w:i w:val="0"/>
                <w:iCs w:val="0"/>
                <w:color w:val="auto"/>
                <w:kern w:val="0"/>
                <w:sz w:val="21"/>
                <w:szCs w:val="21"/>
                <w:u w:val="none"/>
                <w:lang w:val="en-US" w:eastAsia="zh-CN" w:bidi="ar"/>
              </w:rPr>
              <w:br/>
            </w:r>
            <w:r>
              <w:rPr>
                <w:rFonts w:ascii="Times New Roman" w:eastAsia="宋体" w:hAnsi="Times New Roman" w:cs="Times New Roman" w:hint="default"/>
                <w:i w:val="0"/>
                <w:iCs w:val="0"/>
                <w:color w:val="auto"/>
                <w:kern w:val="0"/>
                <w:sz w:val="21"/>
                <w:szCs w:val="21"/>
                <w:u w:val="none"/>
                <w:lang w:val="en-US" w:eastAsia="zh-CN" w:bidi="ar"/>
              </w:rPr>
              <w:t>宽（米）</w:t>
            </w:r>
          </w:p>
        </w:tc>
        <w:tc>
          <w:tcPr>
            <w:tcW w:w="962"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弹药库</w:t>
            </w:r>
            <w:r>
              <w:rPr>
                <w:rFonts w:ascii="Times New Roman" w:eastAsia="宋体" w:hAnsi="Times New Roman" w:cs="Times New Roman" w:hint="default"/>
                <w:i w:val="0"/>
                <w:iCs w:val="0"/>
                <w:color w:val="auto"/>
                <w:kern w:val="0"/>
                <w:sz w:val="21"/>
                <w:szCs w:val="21"/>
                <w:u w:val="none"/>
                <w:lang w:val="en-US" w:eastAsia="zh-CN" w:bidi="ar"/>
              </w:rPr>
              <w:br/>
            </w:r>
            <w:r>
              <w:rPr>
                <w:rFonts w:ascii="Times New Roman" w:eastAsia="宋体" w:hAnsi="Times New Roman" w:cs="Times New Roman" w:hint="default"/>
                <w:i w:val="0"/>
                <w:iCs w:val="0"/>
                <w:color w:val="auto"/>
                <w:kern w:val="0"/>
                <w:sz w:val="21"/>
                <w:szCs w:val="21"/>
                <w:u w:val="none"/>
                <w:lang w:val="en-US" w:eastAsia="zh-CN" w:bidi="ar"/>
              </w:rPr>
              <w:t>长（米）</w:t>
            </w:r>
          </w:p>
        </w:tc>
        <w:tc>
          <w:tcPr>
            <w:tcW w:w="89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default"/>
              </w:rPr>
            </w:pPr>
            <w:r>
              <w:rPr>
                <w:rFonts w:hint="eastAsia"/>
                <w:lang w:val="en-US" w:eastAsia="zh-CN"/>
              </w:rPr>
              <w:t>保险箱规格</w:t>
            </w:r>
          </w:p>
        </w:tc>
      </w:tr>
      <w:tr>
        <w:tblPrEx>
          <w:tblW w:w="0" w:type="auto"/>
          <w:jc w:val="center"/>
          <w:shd w:val="clear" w:color="auto" w:fill="auto"/>
          <w:tblLayout w:type="fixed"/>
          <w:tblCellMar>
            <w:top w:w="0" w:type="dxa"/>
            <w:left w:w="108" w:type="dxa"/>
            <w:bottom w:w="0" w:type="dxa"/>
            <w:right w:w="108" w:type="dxa"/>
          </w:tblCellMar>
        </w:tblPrEx>
        <w:trPr>
          <w:trHeight w:val="577"/>
          <w:jc w:val="center"/>
        </w:trPr>
        <w:tc>
          <w:tcPr>
            <w:tcW w:w="636" w:type="dxa"/>
            <w:tcBorders>
              <w:top w:val="single" w:sz="4" w:space="0" w:color="000000"/>
              <w:left w:val="single" w:sz="4" w:space="0" w:color="000000"/>
              <w:bottom w:val="single" w:sz="4" w:space="0" w:color="auto"/>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w:t>
            </w:r>
          </w:p>
        </w:tc>
        <w:tc>
          <w:tcPr>
            <w:tcW w:w="897" w:type="dxa"/>
            <w:vMerge w:val="restart"/>
            <w:tcBorders>
              <w:top w:val="nil"/>
              <w:left w:val="single" w:sz="4" w:space="0" w:color="000000"/>
              <w:bottom w:val="single" w:sz="4" w:space="0" w:color="auto"/>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西宁市</w:t>
            </w:r>
          </w:p>
        </w:tc>
        <w:tc>
          <w:tcPr>
            <w:tcW w:w="1158" w:type="dxa"/>
            <w:tcBorders>
              <w:top w:val="nil"/>
              <w:left w:val="single" w:sz="4" w:space="0" w:color="000000"/>
              <w:bottom w:val="single" w:sz="4" w:space="0" w:color="auto"/>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湟中区</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徐家寨</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3.9</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7</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w:t>
            </w:r>
          </w:p>
        </w:tc>
        <w:tc>
          <w:tcPr>
            <w:tcW w:w="897" w:type="dxa"/>
            <w:vMerge/>
            <w:tcBorders>
              <w:top w:val="single" w:sz="4" w:space="0" w:color="auto"/>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大通县</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向化</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1.1</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2.5</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斜沟</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5.5</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413"/>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景阳</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6.5</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多林</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西山</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2.8</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7</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药草</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8</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黄家寨黄东</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6.5</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9</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新庄</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10</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青林毛合湾</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5.2</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11</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岗冲</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6.4</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12</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城关</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6.5</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13</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桥头</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6.5</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auto"/>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14</w:t>
            </w:r>
          </w:p>
        </w:tc>
        <w:tc>
          <w:tcPr>
            <w:tcW w:w="897" w:type="dxa"/>
            <w:vMerge/>
            <w:tcBorders>
              <w:top w:val="nil"/>
              <w:left w:val="single" w:sz="4" w:space="0" w:color="000000"/>
              <w:bottom w:val="single" w:sz="4" w:space="0" w:color="auto"/>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auto"/>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auto"/>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极乐</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6.5</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15</w:t>
            </w:r>
          </w:p>
        </w:tc>
        <w:tc>
          <w:tcPr>
            <w:tcW w:w="897" w:type="dxa"/>
            <w:vMerge/>
            <w:tcBorders>
              <w:top w:val="single" w:sz="4" w:space="0" w:color="auto"/>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auto"/>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逊让</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5.4</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16</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石山</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6.6</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17</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桦林</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6.4</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18</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长宁</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6.5</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19</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朔北</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6.5</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20</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青林林棵掌</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2.9</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21</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宝库</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6.5</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22</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黄家寨</w:t>
            </w:r>
            <w:r>
              <w:rPr>
                <w:rFonts w:ascii="Times New Roman" w:eastAsia="宋体" w:hAnsi="Times New Roman" w:cs="Times New Roman" w:hint="eastAsia"/>
                <w:i w:val="0"/>
                <w:iCs w:val="0"/>
                <w:color w:val="auto"/>
                <w:kern w:val="0"/>
                <w:sz w:val="21"/>
                <w:szCs w:val="21"/>
                <w:u w:val="none"/>
                <w:lang w:val="en-US" w:eastAsia="zh-CN" w:bidi="ar"/>
              </w:rPr>
              <w:t>清平</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6.4</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23</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湟源县</w:t>
            </w:r>
          </w:p>
        </w:tc>
        <w:tc>
          <w:tcPr>
            <w:tcW w:w="2055" w:type="dxa"/>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纳隆口</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24</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大华</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2.1</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25</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nil"/>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新寺</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5.7</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26</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大石头</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2.6</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后庄</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28</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白水</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3.1</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29</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上台</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2.4</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30</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上寨</w:t>
            </w:r>
            <w:r>
              <w:rPr>
                <w:rFonts w:ascii="宋体" w:eastAsia="宋体" w:hAnsi="宋体" w:cs="宋体" w:hint="eastAsia"/>
                <w:b w:val="0"/>
                <w:bCs w:val="0"/>
                <w:color w:val="auto"/>
                <w:kern w:val="2"/>
                <w:sz w:val="21"/>
                <w:szCs w:val="21"/>
                <w:lang w:val="en-US" w:eastAsia="zh-CN" w:bidi="ar-SA"/>
              </w:rPr>
              <w:t>村</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2.9</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2.4</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31</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后沟脑</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32</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元山</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5.7</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小茶石浪</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2.5</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34</w:t>
            </w:r>
          </w:p>
        </w:tc>
        <w:tc>
          <w:tcPr>
            <w:tcW w:w="897" w:type="dxa"/>
            <w:vMerge/>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曲布滩</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35</w:t>
            </w:r>
          </w:p>
        </w:tc>
        <w:tc>
          <w:tcPr>
            <w:tcW w:w="8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海东市</w:t>
            </w:r>
          </w:p>
        </w:tc>
        <w:tc>
          <w:tcPr>
            <w:tcW w:w="115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平安区</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三合</w:t>
            </w:r>
            <w:r>
              <w:rPr>
                <w:rFonts w:ascii="宋体" w:eastAsia="宋体" w:hAnsi="宋体" w:cs="宋体" w:hint="eastAsia"/>
                <w:b w:val="0"/>
                <w:bCs w:val="0"/>
                <w:color w:val="auto"/>
                <w:kern w:val="2"/>
                <w:sz w:val="21"/>
                <w:szCs w:val="21"/>
                <w:lang w:val="en-US" w:eastAsia="zh-CN" w:bidi="ar-SA"/>
              </w:rPr>
              <w:t>镇</w:t>
            </w:r>
            <w:r>
              <w:rPr>
                <w:rFonts w:ascii="Times New Roman" w:eastAsia="宋体" w:hAnsi="Times New Roman" w:cs="Times New Roman" w:hint="default"/>
                <w:i w:val="0"/>
                <w:iCs w:val="0"/>
                <w:color w:val="auto"/>
                <w:kern w:val="0"/>
                <w:sz w:val="21"/>
                <w:szCs w:val="21"/>
                <w:u w:val="none"/>
                <w:lang w:val="en-US" w:eastAsia="zh-CN" w:bidi="ar"/>
              </w:rPr>
              <w:t>仲家</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2.9</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36</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宋体" w:eastAsia="宋体" w:hAnsi="宋体" w:cs="宋体" w:hint="eastAsia"/>
                <w:b w:val="0"/>
                <w:bCs w:val="0"/>
                <w:color w:val="auto"/>
                <w:kern w:val="2"/>
                <w:sz w:val="21"/>
                <w:szCs w:val="21"/>
                <w:lang w:val="en-US" w:eastAsia="zh-CN" w:bidi="ar-SA"/>
              </w:rPr>
              <w:t>洪水泉乡永安</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37</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宋体" w:eastAsia="宋体" w:hAnsi="宋体" w:cs="宋体" w:hint="eastAsia"/>
                <w:b w:val="0"/>
                <w:bCs w:val="0"/>
                <w:color w:val="auto"/>
                <w:kern w:val="2"/>
                <w:sz w:val="21"/>
                <w:szCs w:val="21"/>
                <w:lang w:val="en-US" w:eastAsia="zh-CN" w:bidi="ar-SA"/>
              </w:rPr>
              <w:t>石灰窑乡石挂寺</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1.9</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2.9</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38</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宋体" w:eastAsia="宋体" w:hAnsi="宋体" w:cs="宋体" w:hint="eastAsia"/>
                <w:b w:val="0"/>
                <w:bCs w:val="0"/>
                <w:color w:val="auto"/>
                <w:kern w:val="2"/>
                <w:sz w:val="21"/>
                <w:szCs w:val="21"/>
                <w:lang w:val="en-US" w:eastAsia="zh-CN" w:bidi="ar-SA"/>
              </w:rPr>
              <w:t>古城乡牌楼沟村</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39</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乐都区</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瞿昙吴家台</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3.2</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40</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中岭大水泉</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3.2</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41</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宋体" w:eastAsia="宋体" w:hAnsi="宋体" w:cs="宋体" w:hint="eastAsia"/>
                <w:b w:val="0"/>
                <w:bCs w:val="0"/>
                <w:color w:val="auto"/>
                <w:kern w:val="2"/>
                <w:sz w:val="21"/>
                <w:szCs w:val="21"/>
                <w:lang w:val="en-US" w:eastAsia="zh-CN" w:bidi="ar-SA"/>
              </w:rPr>
              <w:t>瞿昙镇周家</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42</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宋体" w:eastAsia="宋体" w:hAnsi="宋体" w:cs="宋体" w:hint="eastAsia"/>
                <w:b w:val="0"/>
                <w:bCs w:val="0"/>
                <w:color w:val="auto"/>
                <w:kern w:val="2"/>
                <w:sz w:val="21"/>
                <w:szCs w:val="21"/>
                <w:lang w:val="en-US" w:eastAsia="zh-CN" w:bidi="ar-SA"/>
              </w:rPr>
              <w:t>共和乡磨石沟岭</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3.4</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43</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宋体" w:eastAsia="宋体" w:hAnsi="宋体" w:cs="宋体" w:hint="eastAsia"/>
                <w:b w:val="0"/>
                <w:bCs w:val="0"/>
                <w:color w:val="auto"/>
                <w:kern w:val="2"/>
                <w:sz w:val="21"/>
                <w:szCs w:val="21"/>
                <w:lang w:val="en-US" w:eastAsia="zh-CN" w:bidi="ar-SA"/>
              </w:rPr>
              <w:t>李家乡民族</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3.4</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44</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下营上掌</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45</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宋体" w:eastAsia="宋体" w:hAnsi="宋体" w:cs="宋体" w:hint="eastAsia"/>
                <w:b w:val="0"/>
                <w:bCs w:val="0"/>
                <w:color w:val="auto"/>
                <w:kern w:val="2"/>
                <w:sz w:val="21"/>
                <w:szCs w:val="21"/>
                <w:lang w:val="en-US" w:eastAsia="zh-CN" w:bidi="ar-SA"/>
              </w:rPr>
              <w:t>达拉乡宁过岭</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46</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蒲台黑窑洞</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47</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中坝泉脑</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48</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瞿昙朵巴营</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49</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宋体" w:eastAsia="宋体" w:hAnsi="宋体" w:cs="宋体" w:hint="eastAsia"/>
                <w:b w:val="0"/>
                <w:bCs w:val="0"/>
                <w:color w:val="auto"/>
                <w:kern w:val="2"/>
                <w:sz w:val="21"/>
                <w:szCs w:val="21"/>
                <w:lang w:val="en-US" w:eastAsia="zh-CN" w:bidi="ar-SA"/>
              </w:rPr>
              <w:t>马营乡占马墩</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50</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宋体" w:eastAsia="宋体" w:hAnsi="宋体" w:cs="宋体" w:hint="eastAsia"/>
                <w:b w:val="0"/>
                <w:bCs w:val="0"/>
                <w:color w:val="auto"/>
                <w:kern w:val="2"/>
                <w:sz w:val="21"/>
                <w:szCs w:val="21"/>
                <w:lang w:val="en-US" w:eastAsia="zh-CN" w:bidi="ar-SA"/>
              </w:rPr>
              <w:t>寿乐镇昂麻</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51</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峰堆下阳洼</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52</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宋体" w:eastAsia="宋体" w:hAnsi="宋体" w:cs="宋体" w:hint="eastAsia"/>
                <w:b w:val="0"/>
                <w:bCs w:val="0"/>
                <w:color w:val="auto"/>
                <w:kern w:val="2"/>
                <w:sz w:val="21"/>
                <w:szCs w:val="21"/>
                <w:lang w:val="en-US" w:eastAsia="zh-CN" w:bidi="ar-SA"/>
              </w:rPr>
              <w:t>马营乡龙王岗</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53</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宋体" w:eastAsia="宋体" w:hAnsi="宋体" w:cs="宋体" w:hint="eastAsia"/>
                <w:b w:val="0"/>
                <w:bCs w:val="0"/>
                <w:color w:val="auto"/>
                <w:kern w:val="2"/>
                <w:sz w:val="21"/>
                <w:szCs w:val="21"/>
                <w:lang w:val="en-US" w:eastAsia="zh-CN" w:bidi="ar-SA"/>
              </w:rPr>
              <w:t>城台拉尕邑岭</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3.4</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54</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宋体" w:eastAsia="宋体" w:hAnsi="宋体" w:cs="宋体" w:hint="eastAsia"/>
                <w:b w:val="0"/>
                <w:bCs w:val="0"/>
                <w:color w:val="auto"/>
                <w:kern w:val="2"/>
                <w:sz w:val="21"/>
                <w:szCs w:val="21"/>
                <w:lang w:val="en-US" w:eastAsia="zh-CN" w:bidi="ar-SA"/>
              </w:rPr>
              <w:t>寿乐镇祁家山</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55</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宋体" w:eastAsia="宋体" w:hAnsi="宋体" w:cs="宋体" w:hint="eastAsia"/>
                <w:b w:val="0"/>
                <w:bCs w:val="0"/>
                <w:color w:val="auto"/>
                <w:kern w:val="2"/>
                <w:sz w:val="21"/>
                <w:szCs w:val="21"/>
                <w:lang w:val="en-US" w:eastAsia="zh-CN" w:bidi="ar-SA"/>
              </w:rPr>
              <w:t>芦化乡寺院</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auto"/>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56</w:t>
            </w:r>
          </w:p>
        </w:tc>
        <w:tc>
          <w:tcPr>
            <w:tcW w:w="897" w:type="dxa"/>
            <w:vMerge/>
            <w:tcBorders>
              <w:top w:val="single" w:sz="4" w:space="0" w:color="000000"/>
              <w:left w:val="single" w:sz="4" w:space="0" w:color="000000"/>
              <w:bottom w:val="single" w:sz="4" w:space="0" w:color="auto"/>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互助县</w:t>
            </w:r>
          </w:p>
        </w:tc>
        <w:tc>
          <w:tcPr>
            <w:tcW w:w="2055" w:type="dxa"/>
            <w:tcBorders>
              <w:top w:val="single" w:sz="4" w:space="0" w:color="000000"/>
              <w:left w:val="single" w:sz="4" w:space="0" w:color="000000"/>
              <w:bottom w:val="single" w:sz="4" w:space="0" w:color="auto"/>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塘川镇双树</w:t>
            </w:r>
          </w:p>
        </w:tc>
        <w:tc>
          <w:tcPr>
            <w:tcW w:w="962" w:type="dxa"/>
            <w:tcBorders>
              <w:top w:val="single" w:sz="4" w:space="0" w:color="000000"/>
              <w:left w:val="single" w:sz="4" w:space="0" w:color="000000"/>
              <w:bottom w:val="single" w:sz="4" w:space="0" w:color="auto"/>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3.5</w:t>
            </w:r>
          </w:p>
        </w:tc>
        <w:tc>
          <w:tcPr>
            <w:tcW w:w="962" w:type="dxa"/>
            <w:tcBorders>
              <w:top w:val="single" w:sz="4" w:space="0" w:color="000000"/>
              <w:left w:val="single" w:sz="4" w:space="0" w:color="000000"/>
              <w:bottom w:val="single" w:sz="4" w:space="0" w:color="auto"/>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auto"/>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auto"/>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57</w:t>
            </w:r>
          </w:p>
        </w:tc>
        <w:tc>
          <w:tcPr>
            <w:tcW w:w="897" w:type="dxa"/>
            <w:vMerge/>
            <w:tcBorders>
              <w:top w:val="single" w:sz="4" w:space="0" w:color="auto"/>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auto"/>
              <w:left w:val="single" w:sz="4" w:space="0" w:color="000000"/>
              <w:bottom w:val="nil"/>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五峰镇海子</w:t>
            </w:r>
          </w:p>
        </w:tc>
        <w:tc>
          <w:tcPr>
            <w:tcW w:w="962" w:type="dxa"/>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962" w:type="dxa"/>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auto"/>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58</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nil"/>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五峰镇七塔尔</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59</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nil"/>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台子乡上台子</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60</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nil"/>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南门峡老虎沟</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61</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nil"/>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林川保家</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62</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nil"/>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南门峡七塔尔</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3.1</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63</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nil"/>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东沟乡尔开</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3.1</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64</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nil"/>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丹麻镇拉庄</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6.6</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65</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nil"/>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五十镇巴洪</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3.9</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2.1</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2.6</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66</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nil"/>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威远镇安定</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3.1</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eastAsia"/>
                <w:i w:val="0"/>
                <w:iCs w:val="0"/>
                <w:color w:val="auto"/>
                <w:kern w:val="0"/>
                <w:szCs w:val="21"/>
                <w:u w:val="none"/>
                <w:lang w:bidi="ar"/>
              </w:rPr>
            </w:pPr>
            <w:r>
              <w:rPr>
                <w:rFonts w:ascii="Times New Roman" w:eastAsia="宋体" w:hAnsi="Times New Roman" w:cs="Times New Roman" w:hint="eastAsia"/>
                <w:i w:val="0"/>
                <w:iCs w:val="0"/>
                <w:color w:val="auto"/>
                <w:kern w:val="0"/>
                <w:sz w:val="21"/>
                <w:szCs w:val="21"/>
                <w:u w:val="none"/>
                <w:lang w:val="en-US" w:eastAsia="zh-CN" w:bidi="ar"/>
              </w:rPr>
              <w:t>6</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67</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nil"/>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林川乡马场</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3.1</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6.6</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68</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nil"/>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西山乡郭家沟</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69</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nil"/>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南门峡镇西山根</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70</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nil"/>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东和乡小桦林</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2.9</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71</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nil"/>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丹麻镇山城</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72</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nil"/>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东山乡沟脑</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73</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tcBorders>
              <w:top w:val="nil"/>
              <w:left w:val="single" w:sz="4" w:space="0" w:color="000000"/>
              <w:bottom w:val="nil"/>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五十镇桑士哥</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3.1</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3.1</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74</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highlight w:val="yellow"/>
                <w:u w:val="none"/>
              </w:rPr>
            </w:pPr>
          </w:p>
        </w:tc>
        <w:tc>
          <w:tcPr>
            <w:tcW w:w="115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循化县</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白庄乡何加</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 xml:space="preserve">2.7 </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75</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highlight w:val="yellow"/>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积石镇沙坝塘</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 xml:space="preserve">3.4 </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76</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highlight w:val="yellow"/>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文都抽子山</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 xml:space="preserve">2.8 </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2.6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2.6</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77</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道帏乡古雷</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2.7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78</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imes New Roman" w:eastAsia="宋体" w:hAnsi="Times New Roman" w:cs="Times New Roman" w:hint="default"/>
                <w:i w:val="0"/>
                <w:iCs w:val="0"/>
                <w:color w:val="auto"/>
                <w:szCs w:val="21"/>
                <w:u w:val="none"/>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查汉都斯乡下庄村</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 xml:space="preserve">3.0 </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79</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宋体" w:eastAsia="宋体" w:hAnsi="宋体" w:cs="宋体" w:hint="eastAsia"/>
                <w:b w:val="0"/>
                <w:bCs w:val="0"/>
                <w:color w:val="auto"/>
                <w:kern w:val="2"/>
                <w:sz w:val="21"/>
                <w:szCs w:val="21"/>
                <w:lang w:val="en-US" w:eastAsia="zh-CN" w:bidi="ar-SA"/>
              </w:rPr>
              <w:t>尕楞乡建设堂</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2.8</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80</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化隆县</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宋体" w:eastAsia="宋体" w:hAnsi="宋体" w:cs="宋体" w:hint="eastAsia"/>
                <w:b w:val="0"/>
                <w:bCs w:val="0"/>
                <w:color w:val="auto"/>
                <w:kern w:val="2"/>
                <w:sz w:val="21"/>
                <w:szCs w:val="21"/>
                <w:lang w:val="en-US" w:eastAsia="zh-CN" w:bidi="ar-SA"/>
              </w:rPr>
              <w:t>雄先乡华科村</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1.7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81</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宋体" w:eastAsia="宋体" w:hAnsi="宋体" w:cs="宋体" w:hint="eastAsia"/>
                <w:b w:val="0"/>
                <w:bCs w:val="0"/>
                <w:color w:val="auto"/>
                <w:kern w:val="2"/>
                <w:sz w:val="21"/>
                <w:szCs w:val="21"/>
                <w:lang w:val="en-US" w:eastAsia="zh-CN" w:bidi="ar-SA"/>
              </w:rPr>
              <w:t>查甫乡尕什加村</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82</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扎巴镇南滩</w:t>
            </w:r>
            <w:r>
              <w:rPr>
                <w:rFonts w:ascii="Times New Roman" w:eastAsia="宋体" w:hAnsi="Times New Roman" w:cs="Times New Roman" w:hint="eastAsia"/>
                <w:i w:val="0"/>
                <w:iCs w:val="0"/>
                <w:color w:val="auto"/>
                <w:kern w:val="0"/>
                <w:sz w:val="21"/>
                <w:szCs w:val="21"/>
                <w:u w:val="none"/>
                <w:lang w:val="en-US" w:eastAsia="zh-CN" w:bidi="ar"/>
              </w:rPr>
              <w:t>村</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83</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昂思多镇德加</w:t>
            </w:r>
            <w:r>
              <w:rPr>
                <w:rFonts w:ascii="Times New Roman" w:eastAsia="宋体" w:hAnsi="Times New Roman" w:cs="Times New Roman" w:hint="eastAsia"/>
                <w:i w:val="0"/>
                <w:iCs w:val="0"/>
                <w:color w:val="auto"/>
                <w:kern w:val="0"/>
                <w:sz w:val="21"/>
                <w:szCs w:val="21"/>
                <w:u w:val="none"/>
                <w:lang w:val="en-US" w:eastAsia="zh-CN" w:bidi="ar"/>
              </w:rPr>
              <w:t>村</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84</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巴燕镇李家庄</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85</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二塘乡香里</w:t>
            </w:r>
            <w:r>
              <w:rPr>
                <w:rFonts w:ascii="Times New Roman" w:eastAsia="宋体" w:hAnsi="Times New Roman" w:cs="Times New Roman" w:hint="eastAsia"/>
                <w:i w:val="0"/>
                <w:iCs w:val="0"/>
                <w:color w:val="auto"/>
                <w:kern w:val="0"/>
                <w:sz w:val="21"/>
                <w:szCs w:val="21"/>
                <w:u w:val="none"/>
                <w:lang w:val="en-US" w:eastAsia="zh-CN" w:bidi="ar"/>
              </w:rPr>
              <w:t>乎</w:t>
            </w:r>
            <w:r>
              <w:rPr>
                <w:rFonts w:ascii="Times New Roman" w:eastAsia="宋体" w:hAnsi="Times New Roman" w:cs="Times New Roman" w:hint="default"/>
                <w:i w:val="0"/>
                <w:iCs w:val="0"/>
                <w:color w:val="auto"/>
                <w:kern w:val="0"/>
                <w:sz w:val="21"/>
                <w:szCs w:val="21"/>
                <w:u w:val="none"/>
                <w:lang w:val="en-US" w:eastAsia="zh-CN" w:bidi="ar"/>
              </w:rPr>
              <w:t>拉</w:t>
            </w:r>
            <w:r>
              <w:rPr>
                <w:rFonts w:ascii="Times New Roman" w:eastAsia="宋体" w:hAnsi="Times New Roman" w:cs="Times New Roman" w:hint="eastAsia"/>
                <w:i w:val="0"/>
                <w:iCs w:val="0"/>
                <w:color w:val="auto"/>
                <w:kern w:val="0"/>
                <w:sz w:val="21"/>
                <w:szCs w:val="21"/>
                <w:u w:val="none"/>
                <w:lang w:val="en-US" w:eastAsia="zh-CN" w:bidi="ar"/>
              </w:rPr>
              <w:t>村</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8</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86</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谢家滩乡牙合</w:t>
            </w:r>
            <w:r>
              <w:rPr>
                <w:rFonts w:ascii="Times New Roman" w:eastAsia="宋体" w:hAnsi="Times New Roman" w:cs="Times New Roman" w:hint="eastAsia"/>
                <w:i w:val="0"/>
                <w:iCs w:val="0"/>
                <w:color w:val="auto"/>
                <w:kern w:val="0"/>
                <w:sz w:val="21"/>
                <w:szCs w:val="21"/>
                <w:u w:val="none"/>
                <w:lang w:val="en-US" w:eastAsia="zh-CN" w:bidi="ar"/>
              </w:rPr>
              <w:t>村</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87</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石大仓乡石大仓</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88</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初麻乡扎西庄</w:t>
            </w:r>
            <w:r>
              <w:rPr>
                <w:rFonts w:ascii="Times New Roman" w:eastAsia="宋体" w:hAnsi="Times New Roman" w:cs="Times New Roman" w:hint="eastAsia"/>
                <w:i w:val="0"/>
                <w:iCs w:val="0"/>
                <w:color w:val="auto"/>
                <w:kern w:val="0"/>
                <w:sz w:val="21"/>
                <w:szCs w:val="21"/>
                <w:u w:val="none"/>
                <w:lang w:val="en-US" w:eastAsia="zh-CN" w:bidi="ar"/>
              </w:rPr>
              <w:t>村</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3.7</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4</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633"/>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89</w:t>
            </w:r>
          </w:p>
        </w:tc>
        <w:tc>
          <w:tcPr>
            <w:tcW w:w="897" w:type="dxa"/>
            <w:tcBorders>
              <w:top w:val="nil"/>
              <w:left w:val="single" w:sz="4" w:space="0" w:color="000000"/>
              <w:bottom w:val="nil"/>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黄南州</w:t>
            </w:r>
          </w:p>
        </w:tc>
        <w:tc>
          <w:tcPr>
            <w:tcW w:w="1158" w:type="dxa"/>
            <w:tcBorders>
              <w:top w:val="nil"/>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同仁市</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依里</w:t>
            </w:r>
            <w:r>
              <w:rPr>
                <w:rFonts w:ascii="Times New Roman" w:eastAsia="宋体" w:hAnsi="Times New Roman" w:cs="Times New Roman" w:hint="eastAsia"/>
                <w:i w:val="0"/>
                <w:iCs w:val="0"/>
                <w:color w:val="auto"/>
                <w:kern w:val="0"/>
                <w:sz w:val="21"/>
                <w:szCs w:val="21"/>
                <w:u w:val="none"/>
                <w:lang w:val="en-US" w:eastAsia="zh-CN" w:bidi="ar"/>
              </w:rPr>
              <w:t>村</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3.3</w:t>
            </w:r>
          </w:p>
        </w:tc>
        <w:tc>
          <w:tcPr>
            <w:tcW w:w="96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6.6</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B</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90</w:t>
            </w:r>
          </w:p>
        </w:tc>
        <w:tc>
          <w:tcPr>
            <w:tcW w:w="8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海北州</w:t>
            </w:r>
          </w:p>
        </w:tc>
        <w:tc>
          <w:tcPr>
            <w:tcW w:w="115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门源县</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青石嘴镇药草梁村</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2.2</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91</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泉口镇大湾村</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2.2</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92</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浩门农场十一队机耕队</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2.2</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93</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浩门农场九大队</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2.2</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94</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军分区农场</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2.2</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95</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北山乡下金巴太</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2.2</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96</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西滩乡</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2.2</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97</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刚察县</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三角城羊场</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2.5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98</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青海湖农场</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2.5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99</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海晏县</w:t>
            </w:r>
          </w:p>
        </w:tc>
        <w:tc>
          <w:tcPr>
            <w:tcW w:w="2055" w:type="dxa"/>
            <w:tcBorders>
              <w:top w:val="nil"/>
              <w:left w:val="nil"/>
              <w:bottom w:val="nil"/>
              <w:right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三角城镇黄草掌</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10</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100</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哈勒景</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11</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9</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101</w:t>
            </w:r>
          </w:p>
        </w:tc>
        <w:tc>
          <w:tcPr>
            <w:tcW w:w="8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海南州</w:t>
            </w:r>
          </w:p>
        </w:tc>
        <w:tc>
          <w:tcPr>
            <w:tcW w:w="115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同德县</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巴沟</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2.2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2.2</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102</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巴滩</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2.2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2.2</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103</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拉家路</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2.2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2.2</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104</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共和县</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宋体" w:eastAsia="宋体" w:hAnsi="宋体" w:cs="宋体" w:hint="eastAsia"/>
                <w:b w:val="0"/>
                <w:bCs w:val="0"/>
                <w:color w:val="auto"/>
                <w:kern w:val="2"/>
                <w:sz w:val="21"/>
                <w:szCs w:val="21"/>
                <w:lang w:val="en-US" w:eastAsia="zh-CN" w:bidi="ar-SA"/>
              </w:rPr>
              <w:t>共和县江西沟乡</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2</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10</w:t>
            </w:r>
            <w:r>
              <w:rPr>
                <w:rFonts w:ascii="Times New Roman" w:eastAsia="宋体" w:hAnsi="Times New Roman" w:cs="Times New Roman" w:hint="eastAsia"/>
                <w:i w:val="0"/>
                <w:iCs w:val="0"/>
                <w:color w:val="auto"/>
                <w:kern w:val="0"/>
                <w:sz w:val="21"/>
                <w:szCs w:val="21"/>
                <w:u w:val="none"/>
                <w:lang w:val="en-US" w:eastAsia="zh-CN" w:bidi="ar"/>
              </w:rPr>
              <w:t>5</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贵南县</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农三队</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5.6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2.4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6.2</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106</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马一队</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2.4</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6.3</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322"/>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107</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马二队</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5.5</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7</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r>
        <w:tblPrEx>
          <w:tblW w:w="0" w:type="auto"/>
          <w:jc w:val="center"/>
          <w:shd w:val="clear" w:color="auto" w:fill="auto"/>
          <w:tblLayout w:type="fixed"/>
          <w:tblCellMar>
            <w:top w:w="0" w:type="dxa"/>
            <w:left w:w="108" w:type="dxa"/>
            <w:bottom w:w="0" w:type="dxa"/>
            <w:right w:w="108" w:type="dxa"/>
          </w:tblCellMar>
        </w:tblPrEx>
        <w:trPr>
          <w:trHeight w:val="643"/>
          <w:jc w:val="center"/>
        </w:trPr>
        <w:tc>
          <w:tcPr>
            <w:tcW w:w="6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108</w:t>
            </w:r>
          </w:p>
        </w:tc>
        <w:tc>
          <w:tcPr>
            <w:tcW w:w="8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p>
        </w:tc>
        <w:tc>
          <w:tcPr>
            <w:tcW w:w="11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兴海县</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河卡镇</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6</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kern w:val="0"/>
                <w:szCs w:val="21"/>
                <w:u w:val="none"/>
                <w:lang w:bidi="ar"/>
              </w:rPr>
            </w:pPr>
            <w:r>
              <w:rPr>
                <w:rFonts w:ascii="Times New Roman" w:eastAsia="宋体" w:hAnsi="Times New Roman" w:cs="Times New Roman" w:hint="default"/>
                <w:i w:val="0"/>
                <w:iCs w:val="0"/>
                <w:color w:val="auto"/>
                <w:kern w:val="0"/>
                <w:sz w:val="21"/>
                <w:szCs w:val="21"/>
                <w:u w:val="none"/>
                <w:lang w:val="en-US" w:eastAsia="zh-CN" w:bidi="ar"/>
              </w:rPr>
              <w:t>3</w:t>
            </w:r>
          </w:p>
        </w:tc>
        <w:tc>
          <w:tcPr>
            <w:tcW w:w="9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ascii="Times New Roman" w:eastAsia="宋体" w:hAnsi="Times New Roman" w:cs="Times New Roman" w:hint="default"/>
                <w:i w:val="0"/>
                <w:iCs w:val="0"/>
                <w:color w:val="auto"/>
                <w:szCs w:val="21"/>
                <w:u w:val="none"/>
              </w:rPr>
            </w:pPr>
            <w:r>
              <w:rPr>
                <w:rFonts w:ascii="Times New Roman" w:eastAsia="宋体" w:hAnsi="Times New Roman" w:cs="Times New Roman" w:hint="default"/>
                <w:i w:val="0"/>
                <w:iCs w:val="0"/>
                <w:color w:val="auto"/>
                <w:kern w:val="0"/>
                <w:sz w:val="21"/>
                <w:szCs w:val="21"/>
                <w:u w:val="none"/>
                <w:lang w:val="en-US" w:eastAsia="zh-CN" w:bidi="ar"/>
              </w:rPr>
              <w:t>5</w:t>
            </w:r>
          </w:p>
        </w:tc>
        <w:tc>
          <w:tcPr>
            <w:tcW w:w="8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A</w:t>
            </w:r>
          </w:p>
        </w:tc>
      </w:tr>
    </w:tbl>
    <w:p>
      <w:pPr>
        <w:keepNext w:val="0"/>
        <w:keepLines w:val="0"/>
        <w:pageBreakBefore w:val="0"/>
        <w:widowControl w:val="0"/>
        <w:kinsoku/>
        <w:wordWrap/>
        <w:overflowPunct/>
        <w:topLinePunct w:val="0"/>
        <w:autoSpaceDE w:val="0"/>
        <w:autoSpaceDN w:val="0"/>
        <w:bidi w:val="0"/>
        <w:adjustRightInd w:val="0"/>
        <w:snapToGrid w:val="0"/>
        <w:spacing w:before="185" w:line="223" w:lineRule="auto"/>
        <w:jc w:val="center"/>
        <w:textAlignment w:val="baseline"/>
        <w:rPr>
          <w:rFonts w:hint="eastAsia"/>
        </w:rPr>
      </w:pPr>
      <w:r>
        <w:rPr>
          <w:rFonts w:ascii="宋体" w:eastAsia="宋体" w:hAnsi="宋体" w:cs="宋体" w:hint="eastAsia"/>
          <w:snapToGrid w:val="0"/>
          <w:color w:val="000000"/>
          <w:spacing w:val="-2"/>
          <w:kern w:val="0"/>
          <w:sz w:val="21"/>
          <w:szCs w:val="21"/>
          <w:lang w:val="en-US" w:eastAsia="zh-CN" w:bidi="ar-SA"/>
        </w:rPr>
        <w:t>表2  全省火箭弹药保险箱布设表</w:t>
      </w:r>
    </w:p>
    <w:tbl>
      <w:tblPr>
        <w:tblStyle w:val="TableNormal"/>
        <w:tblpPr w:leftFromText="180" w:rightFromText="180" w:vertAnchor="text" w:horzAnchor="page" w:tblpXSpec="center" w:tblpY="329"/>
        <w:tblOverlap w:val="never"/>
        <w:tblW w:w="778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ayout w:type="fixed"/>
        <w:tblCellMar>
          <w:top w:w="0" w:type="dxa"/>
          <w:left w:w="108" w:type="dxa"/>
          <w:bottom w:w="0" w:type="dxa"/>
          <w:right w:w="108" w:type="dxa"/>
        </w:tblCellMar>
      </w:tblPr>
      <w:tblGrid>
        <w:gridCol w:w="662"/>
        <w:gridCol w:w="1447"/>
        <w:gridCol w:w="1692"/>
        <w:gridCol w:w="2278"/>
        <w:gridCol w:w="1703"/>
      </w:tblGrid>
      <w:tr>
        <w:tblPrEx>
          <w:tblW w:w="778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ayout w:type="fixed"/>
          <w:tblCellMar>
            <w:top w:w="0" w:type="dxa"/>
            <w:left w:w="108" w:type="dxa"/>
            <w:bottom w:w="0" w:type="dxa"/>
            <w:right w:w="108" w:type="dxa"/>
          </w:tblCellMar>
        </w:tblPrEx>
        <w:trPr>
          <w:trHeight w:val="31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序号</w:t>
            </w:r>
          </w:p>
        </w:tc>
        <w:tc>
          <w:tcPr>
            <w:tcW w:w="1447"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市州</w:t>
            </w:r>
          </w:p>
        </w:tc>
        <w:tc>
          <w:tcPr>
            <w:tcW w:w="169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县区</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布设点</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pPr>
              <w:keepNext w:val="0"/>
              <w:keepLines w:val="0"/>
              <w:widowControl/>
              <w:suppressLineNumbers w:val="0"/>
              <w:jc w:val="center"/>
              <w:textAlignment w:val="center"/>
              <w:rPr>
                <w:rFonts w:ascii="宋体" w:eastAsia="宋体" w:hAnsi="宋体" w:cs="宋体" w:hint="default"/>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保险箱规格</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1</w:t>
            </w:r>
          </w:p>
        </w:tc>
        <w:tc>
          <w:tcPr>
            <w:tcW w:w="144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Cs w:val="21"/>
                <w:u w:val="none"/>
                <w:lang w:bidi="ar"/>
              </w:rPr>
            </w:pPr>
            <w:r>
              <w:rPr>
                <w:rFonts w:ascii="宋体" w:eastAsia="宋体" w:hAnsi="宋体" w:cs="宋体" w:hint="eastAsia"/>
                <w:i w:val="0"/>
                <w:iCs w:val="0"/>
                <w:color w:val="000000"/>
                <w:kern w:val="0"/>
                <w:sz w:val="21"/>
                <w:szCs w:val="21"/>
                <w:u w:val="none"/>
                <w:lang w:val="en-US" w:eastAsia="zh-CN" w:bidi="ar"/>
              </w:rPr>
              <w:t>海西州</w:t>
            </w:r>
          </w:p>
        </w:tc>
        <w:tc>
          <w:tcPr>
            <w:tcW w:w="169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茫崖市</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县局</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D</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2</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天峻县</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县局</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D</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3</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德令哈市</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县局</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D</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4</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大柴旦行委</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县局</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D</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5</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乌兰县</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县局</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D</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6</w:t>
            </w:r>
          </w:p>
        </w:tc>
        <w:tc>
          <w:tcPr>
            <w:tcW w:w="144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海北州</w:t>
            </w:r>
          </w:p>
        </w:tc>
        <w:tc>
          <w:tcPr>
            <w:tcW w:w="169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门源县</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县局</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7</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祁连县</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县局</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8</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海晏县</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县局</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9</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刚察县</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县局</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10</w:t>
            </w:r>
          </w:p>
        </w:tc>
        <w:tc>
          <w:tcPr>
            <w:tcW w:w="144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Cs w:val="21"/>
                <w:u w:val="none"/>
                <w:lang w:bidi="ar"/>
              </w:rPr>
            </w:pPr>
            <w:r>
              <w:rPr>
                <w:rFonts w:ascii="宋体" w:eastAsia="宋体" w:hAnsi="宋体" w:cs="宋体" w:hint="eastAsia"/>
                <w:i w:val="0"/>
                <w:iCs w:val="0"/>
                <w:color w:val="000000"/>
                <w:kern w:val="0"/>
                <w:sz w:val="21"/>
                <w:szCs w:val="21"/>
                <w:u w:val="none"/>
                <w:lang w:val="en-US" w:eastAsia="zh-CN" w:bidi="ar"/>
              </w:rPr>
              <w:t>海南州</w:t>
            </w:r>
          </w:p>
          <w:p>
            <w:pPr>
              <w:keepNext w:val="0"/>
              <w:keepLines w:val="0"/>
              <w:widowControl/>
              <w:suppressLineNumbers w:val="0"/>
              <w:jc w:val="both"/>
              <w:textAlignment w:val="center"/>
              <w:rPr>
                <w:rFonts w:ascii="宋体" w:eastAsia="宋体" w:hAnsi="宋体" w:cs="宋体" w:hint="eastAsia"/>
                <w:i w:val="0"/>
                <w:iCs w:val="0"/>
                <w:color w:val="000000"/>
                <w:kern w:val="0"/>
                <w:szCs w:val="21"/>
                <w:u w:val="none"/>
                <w:lang w:bidi="ar"/>
              </w:rPr>
            </w:pPr>
          </w:p>
        </w:tc>
        <w:tc>
          <w:tcPr>
            <w:tcW w:w="169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同德县</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尕巴松多</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11</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科加村</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E</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12</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完科村</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E</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13</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兴海县</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河卡乡</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E</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14</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塘乃亥乡</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E</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15</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县局</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E</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16</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贵南县</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茫曲镇</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17</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马六队</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E</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18</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木格滩（马二队）</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E</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19</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过马营镇（二分公司）</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E</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20</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上达玉村（农三队）</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E</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21</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共和县</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石乃亥</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22</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龙羊新村</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E</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23</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沙珠玉</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E</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24</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贵德县</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新街</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E</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25</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新建坪村</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E</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26</w:t>
            </w:r>
          </w:p>
        </w:tc>
        <w:tc>
          <w:tcPr>
            <w:tcW w:w="144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Cs w:val="21"/>
                <w:u w:val="none"/>
                <w:lang w:bidi="ar"/>
              </w:rPr>
            </w:pPr>
            <w:r>
              <w:rPr>
                <w:rFonts w:ascii="宋体" w:eastAsia="宋体" w:hAnsi="宋体" w:cs="宋体" w:hint="eastAsia"/>
                <w:i w:val="0"/>
                <w:iCs w:val="0"/>
                <w:color w:val="000000"/>
                <w:kern w:val="0"/>
                <w:sz w:val="21"/>
                <w:szCs w:val="21"/>
                <w:u w:val="none"/>
                <w:lang w:val="en-US" w:eastAsia="zh-CN" w:bidi="ar"/>
              </w:rPr>
              <w:t>西宁市</w:t>
            </w:r>
          </w:p>
        </w:tc>
        <w:tc>
          <w:tcPr>
            <w:tcW w:w="169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大通县</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向化</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27</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新庄</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28</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青林毛合湾</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29</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良教</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30</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逊让</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31</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湟源县</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上台</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32</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上寨村</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33</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后沟脑</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34</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湟中区</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上红</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35</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加拉山</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36</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吊庄</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37</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大麻台</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C</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38</w:t>
            </w:r>
          </w:p>
        </w:tc>
        <w:tc>
          <w:tcPr>
            <w:tcW w:w="144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Cs w:val="21"/>
                <w:u w:val="none"/>
                <w:lang w:bidi="ar"/>
              </w:rPr>
            </w:pPr>
            <w:r>
              <w:rPr>
                <w:rFonts w:ascii="宋体" w:eastAsia="宋体" w:hAnsi="宋体" w:cs="宋体" w:hint="eastAsia"/>
                <w:i w:val="0"/>
                <w:iCs w:val="0"/>
                <w:color w:val="000000"/>
                <w:kern w:val="0"/>
                <w:sz w:val="21"/>
                <w:szCs w:val="21"/>
                <w:u w:val="none"/>
                <w:lang w:val="en-US" w:eastAsia="zh-CN" w:bidi="ar"/>
              </w:rPr>
              <w:t>格尔木市</w:t>
            </w:r>
          </w:p>
        </w:tc>
        <w:tc>
          <w:tcPr>
            <w:tcW w:w="169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格尔木市</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格尔木河西农场</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D</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39</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温泉</w:t>
            </w:r>
            <w:r>
              <w:rPr>
                <w:rStyle w:val="font41"/>
                <w:rFonts w:eastAsia="宋体"/>
                <w:sz w:val="21"/>
                <w:szCs w:val="21"/>
                <w:lang w:val="en-US" w:eastAsia="zh-CN" w:bidi="ar"/>
              </w:rPr>
              <w:t xml:space="preserve"> 2 </w:t>
            </w:r>
            <w:r>
              <w:rPr>
                <w:rFonts w:ascii="宋体" w:eastAsia="宋体" w:hAnsi="宋体" w:cs="宋体" w:hint="eastAsia"/>
                <w:i w:val="0"/>
                <w:iCs w:val="0"/>
                <w:color w:val="000000"/>
                <w:kern w:val="0"/>
                <w:sz w:val="21"/>
                <w:szCs w:val="21"/>
                <w:u w:val="none"/>
                <w:lang w:val="en-US" w:eastAsia="zh-CN" w:bidi="ar"/>
              </w:rPr>
              <w:t>号</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D</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40</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昆仑山门</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D</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41</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四道沟</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D</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42</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吾牛沟东</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D</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43</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那棱格勒</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D</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44</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乌乡政府</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E</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45</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托托河</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E</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46</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诺木洪</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E</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47</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巴隆牙日哈水库</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D</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48</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香加乡前进村</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D</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49</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西台水库</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D</w:t>
            </w:r>
          </w:p>
        </w:tc>
      </w:tr>
      <w:tr>
        <w:tblPrEx>
          <w:tblW w:w="7782" w:type="dxa"/>
          <w:jc w:val="center"/>
          <w:shd w:val="clear" w:color="auto" w:fill="auto"/>
          <w:tblLayout w:type="fixed"/>
          <w:tblCellMar>
            <w:top w:w="0" w:type="dxa"/>
            <w:left w:w="108" w:type="dxa"/>
            <w:bottom w:w="0" w:type="dxa"/>
            <w:right w:w="108" w:type="dxa"/>
          </w:tblCellMar>
        </w:tblPrEx>
        <w:trPr>
          <w:trHeight w:val="32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50</w:t>
            </w:r>
          </w:p>
        </w:tc>
        <w:tc>
          <w:tcPr>
            <w:tcW w:w="1447"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1692" w:type="dxa"/>
            <w:vMerge/>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pPr>
              <w:keepNext w:val="0"/>
              <w:keepLines w:val="0"/>
              <w:widowControl/>
              <w:suppressLineNumbers w:val="0"/>
              <w:jc w:val="center"/>
              <w:textAlignment w:val="center"/>
              <w:rPr>
                <w:rFonts w:ascii="宋体" w:eastAsia="宋体" w:hAnsi="宋体" w:cs="宋体" w:hint="eastAsia"/>
                <w:i w:val="0"/>
                <w:iCs w:val="0"/>
                <w:color w:val="000000"/>
                <w:szCs w:val="21"/>
                <w:u w:val="none"/>
              </w:rPr>
            </w:pPr>
            <w:r>
              <w:rPr>
                <w:rFonts w:ascii="宋体" w:eastAsia="宋体" w:hAnsi="宋体" w:cs="宋体" w:hint="eastAsia"/>
                <w:i w:val="0"/>
                <w:iCs w:val="0"/>
                <w:color w:val="000000"/>
                <w:kern w:val="0"/>
                <w:sz w:val="21"/>
                <w:szCs w:val="21"/>
                <w:u w:val="none"/>
                <w:lang w:val="en-US" w:eastAsia="zh-CN" w:bidi="ar"/>
              </w:rPr>
              <w:t>雪水河桥</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tcPr>
          <w:p>
            <w:pPr>
              <w:keepNext w:val="0"/>
              <w:keepLines w:val="0"/>
              <w:widowControl/>
              <w:suppressLineNumbers w:val="0"/>
              <w:jc w:val="center"/>
              <w:textAlignment w:val="center"/>
              <w:rPr>
                <w:rFonts w:ascii="宋体" w:eastAsia="宋体" w:hAnsi="宋体" w:cs="宋体" w:hint="eastAsia"/>
                <w:i w:val="0"/>
                <w:iCs w:val="0"/>
                <w:color w:val="000000"/>
                <w:sz w:val="22"/>
                <w:u w:val="none"/>
              </w:rPr>
            </w:pPr>
            <w:r>
              <w:rPr>
                <w:rFonts w:ascii="宋体" w:eastAsia="宋体" w:hAnsi="宋体" w:cs="宋体" w:hint="eastAsia"/>
                <w:i w:val="0"/>
                <w:iCs w:val="0"/>
                <w:color w:val="000000"/>
                <w:kern w:val="0"/>
                <w:sz w:val="22"/>
                <w:szCs w:val="22"/>
                <w:u w:val="none"/>
                <w:lang w:val="en-US" w:eastAsia="zh-CN" w:bidi="ar"/>
              </w:rPr>
              <w:t>D</w:t>
            </w:r>
          </w:p>
        </w:tc>
      </w:tr>
    </w:tbl>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54"/>
        <w:gridCol w:w="1086"/>
        <w:gridCol w:w="909"/>
        <w:gridCol w:w="1263"/>
        <w:gridCol w:w="1441"/>
        <w:gridCol w:w="909"/>
        <w:gridCol w:w="239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59" w:name="货物一览表_index"/>
            <w:r>
              <w:rPr>
                <w:rFonts w:asciiTheme="minorEastAsia" w:eastAsiaTheme="minorEastAsia" w:hAnsiTheme="minorEastAsia" w:cstheme="minorEastAsia" w:hint="eastAsia"/>
                <w:kern w:val="0"/>
                <w:szCs w:val="21"/>
              </w:rPr>
              <w:t>序号</w:t>
            </w:r>
            <w:bookmarkEnd w:id="59"/>
          </w:p>
        </w:tc>
        <w:tc>
          <w:tcPr>
            <w:tcW w:w="1135" w:type="dxa"/>
          </w:tcPr>
          <w:p>
            <w:pPr>
              <w:autoSpaceDE w:val="0"/>
              <w:jc w:val="center"/>
              <w:rPr>
                <w:rFonts w:asciiTheme="minorEastAsia" w:hAnsiTheme="minorEastAsia" w:cstheme="minorEastAsia"/>
                <w:kern w:val="0"/>
                <w:szCs w:val="21"/>
              </w:rPr>
            </w:pPr>
            <w:bookmarkStart w:id="60" w:name="货物一览表_goodsName"/>
            <w:r>
              <w:rPr>
                <w:rFonts w:asciiTheme="minorEastAsia" w:eastAsiaTheme="minorEastAsia" w:hAnsiTheme="minorEastAsia" w:cstheme="minorEastAsia" w:hint="eastAsia"/>
                <w:kern w:val="0"/>
                <w:szCs w:val="21"/>
              </w:rPr>
              <w:t>设备名称</w:t>
            </w:r>
            <w:bookmarkEnd w:id="60"/>
          </w:p>
        </w:tc>
        <w:tc>
          <w:tcPr>
            <w:tcW w:w="965" w:type="dxa"/>
          </w:tcPr>
          <w:p>
            <w:pPr>
              <w:autoSpaceDE w:val="0"/>
              <w:jc w:val="center"/>
              <w:rPr>
                <w:rFonts w:asciiTheme="minorEastAsia" w:hAnsiTheme="minorEastAsia" w:cstheme="minorEastAsia"/>
                <w:kern w:val="0"/>
                <w:szCs w:val="21"/>
              </w:rPr>
            </w:pPr>
            <w:bookmarkStart w:id="61" w:name="货物一览表_nums"/>
            <w:r>
              <w:rPr>
                <w:rFonts w:asciiTheme="minorEastAsia" w:eastAsiaTheme="minorEastAsia" w:hAnsiTheme="minorEastAsia" w:cstheme="minorEastAsia" w:hint="eastAsia"/>
                <w:kern w:val="0"/>
                <w:szCs w:val="21"/>
              </w:rPr>
              <w:t>采购数量</w:t>
            </w:r>
            <w:bookmarkEnd w:id="61"/>
          </w:p>
        </w:tc>
        <w:tc>
          <w:tcPr>
            <w:tcW w:w="1062" w:type="dxa"/>
          </w:tcPr>
          <w:p>
            <w:pPr>
              <w:autoSpaceDE w:val="0"/>
              <w:jc w:val="center"/>
              <w:rPr>
                <w:rFonts w:asciiTheme="minorEastAsia" w:hAnsiTheme="minorEastAsia" w:cstheme="minorEastAsia"/>
                <w:kern w:val="0"/>
                <w:szCs w:val="21"/>
              </w:rPr>
            </w:pPr>
            <w:bookmarkStart w:id="62" w:name="货物一览表_units"/>
            <w:r>
              <w:rPr>
                <w:rFonts w:asciiTheme="minorEastAsia" w:eastAsiaTheme="minorEastAsia" w:hAnsiTheme="minorEastAsia" w:cstheme="minorEastAsia" w:hint="eastAsia"/>
                <w:kern w:val="0"/>
                <w:szCs w:val="21"/>
              </w:rPr>
              <w:t>计量单位</w:t>
            </w:r>
            <w:bookmarkEnd w:id="62"/>
          </w:p>
        </w:tc>
        <w:tc>
          <w:tcPr>
            <w:tcW w:w="1220" w:type="dxa"/>
          </w:tcPr>
          <w:p>
            <w:pPr>
              <w:autoSpaceDE w:val="0"/>
              <w:jc w:val="center"/>
              <w:rPr>
                <w:rFonts w:asciiTheme="minorEastAsia" w:hAnsiTheme="minorEastAsia" w:cstheme="minorEastAsia"/>
                <w:kern w:val="0"/>
                <w:szCs w:val="21"/>
              </w:rPr>
            </w:pPr>
            <w:bookmarkStart w:id="63" w:name="货物一览表_procurementBudget"/>
            <w:r>
              <w:rPr>
                <w:rFonts w:asciiTheme="minorEastAsia" w:eastAsiaTheme="minorEastAsia" w:hAnsiTheme="minorEastAsia" w:cstheme="minorEastAsia" w:hint="eastAsia"/>
                <w:kern w:val="0"/>
                <w:szCs w:val="21"/>
              </w:rPr>
              <w:t>采购预算（元）</w:t>
            </w:r>
            <w:bookmarkEnd w:id="63"/>
          </w:p>
        </w:tc>
        <w:tc>
          <w:tcPr>
            <w:tcW w:w="1329" w:type="dxa"/>
          </w:tcPr>
          <w:p>
            <w:pPr>
              <w:autoSpaceDE w:val="0"/>
              <w:jc w:val="center"/>
              <w:rPr>
                <w:rFonts w:asciiTheme="minorEastAsia" w:hAnsiTheme="minorEastAsia" w:cstheme="minorEastAsia" w:hint="eastAsia"/>
                <w:kern w:val="0"/>
                <w:szCs w:val="21"/>
              </w:rPr>
            </w:pPr>
            <w:bookmarkStart w:id="64"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4"/>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5" w:name="货物一览表_remark"/>
            <w:r>
              <w:rPr>
                <w:rFonts w:asciiTheme="minorEastAsia" w:eastAsiaTheme="minorEastAsia" w:hAnsiTheme="minorEastAsia" w:cstheme="minorEastAsia" w:hint="eastAsia"/>
                <w:kern w:val="0"/>
                <w:szCs w:val="21"/>
              </w:rPr>
              <w:t>备注</w:t>
            </w:r>
            <w:bookmarkEnd w:id="65"/>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弹药保险箱</w:t>
            </w:r>
          </w:p>
        </w:tc>
        <w:tc>
          <w:tcPr/>
          <w:p>
            <w:pPr>
              <w:autoSpaceDE w:val="0"/>
              <w:jc w:val="center"/>
              <w:rPr>
                <w:rFonts w:asciiTheme="minorEastAsia" w:hAnsiTheme="minorEastAsia" w:cstheme="minorEastAsia"/>
                <w:kern w:val="0"/>
                <w:szCs w:val="21"/>
              </w:rPr>
            </w:pPr>
            <w:r>
              <w:t>158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3,160,000.00</w:t>
            </w:r>
          </w:p>
        </w:tc>
        <w:tc>
          <w:tcPr/>
          <w:p>
            <w:pPr>
              <w:autoSpaceDE w:val="0"/>
              <w:jc w:val="center"/>
              <w:rPr>
                <w:rFonts w:asciiTheme="minorEastAsia" w:hAnsiTheme="minorEastAsia" w:cstheme="minorEastAsia" w:hint="eastAsia"/>
                <w:kern w:val="0"/>
                <w:szCs w:val="21"/>
              </w:rPr>
            </w:pPr>
            <w:r>
              <w:t>160</w:t>
            </w:r>
          </w:p>
        </w:tc>
        <w:tc>
          <w:tcPr/>
          <w:p>
            <w:pPr>
              <w:autoSpaceDE w:val="0"/>
              <w:autoSpaceDN w:val="0"/>
              <w:adjustRightInd w:val="0"/>
              <w:spacing w:before="48"/>
              <w:ind w:right="-20"/>
              <w:jc w:val="center"/>
              <w:rPr>
                <w:rFonts w:asciiTheme="minorEastAsia" w:hAnsiTheme="minorEastAsia" w:cstheme="minorEastAsia"/>
                <w:kern w:val="0"/>
                <w:szCs w:val="21"/>
              </w:rPr>
            </w:pPr>
            <w:r>
              <w:t>免费设备运行及维保期：≥8 年并提供承诺函</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3,160,000.00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94"/>
        <w:gridCol w:w="2116"/>
        <w:gridCol w:w="1165"/>
        <w:gridCol w:w="594"/>
        <w:gridCol w:w="1355"/>
        <w:gridCol w:w="1129"/>
        <w:gridCol w:w="975"/>
        <w:gridCol w:w="59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6"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业务部(001057019005)</w:t>
            </w:r>
          </w:p>
        </w:tc>
        <w:tc>
          <w:tcPr/>
          <w:p>
            <w:r>
              <w:t>弹药保险箱</w:t>
            </w:r>
          </w:p>
        </w:tc>
        <w:tc>
          <w:tcPr/>
          <w:p>
            <w:r>
              <w:t>158</w:t>
            </w:r>
          </w:p>
        </w:tc>
        <w:tc>
          <w:tcPr/>
          <w:p>
            <w:r>
              <w:t>3160000.00</w:t>
            </w:r>
          </w:p>
        </w:tc>
        <w:tc>
          <w:tcPr/>
          <w:p>
            <w:r>
              <w:t xml:space="preserve">3160000.00  </w:t>
            </w:r>
          </w:p>
        </w:tc>
        <w:tc>
          <w:tcPr/>
          <w:p/>
        </w:tc>
        <w:tc>
          <w:tcPr/>
          <w:p/>
        </w:tc>
      </w:tr>
    </w:tbl>
    <w:p w:rsidR="00A77B3E"/>
    <w:p>
      <w:pPr>
        <w:spacing w:line="360" w:lineRule="auto"/>
        <w:rPr>
          <w:rFonts w:ascii="宋体" w:hAnsi="宋体"/>
          <w:szCs w:val="21"/>
        </w:rPr>
      </w:pPr>
      <w:bookmarkEnd w:id="66"/>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8"/>
    </w:p>
    <w:p>
      <w:pPr>
        <w:tabs>
          <w:tab w:val="left" w:pos="1573"/>
        </w:tabs>
        <w:adjustRightInd w:val="0"/>
        <w:snapToGrid w:val="0"/>
        <w:spacing w:line="360" w:lineRule="auto"/>
        <w:jc w:val="center"/>
        <w:outlineLvl w:val="1"/>
        <w:rPr>
          <w:b/>
          <w:bCs/>
          <w:sz w:val="30"/>
          <w:szCs w:val="30"/>
          <w:highlight w:val="none"/>
        </w:rPr>
      </w:pPr>
      <w:bookmarkStart w:id="67"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6"/>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6"/>
              </w:numPr>
              <w:rPr>
                <w:rFonts w:ascii="宋体" w:hAnsi="宋体" w:hint="eastAsia"/>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五</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eastAsia="zh-CN"/>
              </w:rPr>
              <w:t>（</w:t>
            </w:r>
            <w:r>
              <w:rPr>
                <w:rFonts w:ascii="宋体" w:hAnsi="宋体" w:cs="微软雅黑" w:hint="eastAsia"/>
                <w:b/>
                <w:color w:val="0000FF"/>
                <w:kern w:val="0"/>
                <w:sz w:val="18"/>
                <w:szCs w:val="18"/>
                <w:highlight w:val="none"/>
                <w:lang w:val="en-US" w:eastAsia="zh-CN"/>
              </w:rPr>
              <w:t>4</w:t>
            </w:r>
            <w:r>
              <w:rPr>
                <w:rFonts w:ascii="宋体" w:hAnsi="宋体" w:cs="微软雅黑" w:hint="eastAsia"/>
                <w:b/>
                <w:color w:val="0000FF"/>
                <w:kern w:val="0"/>
                <w:sz w:val="18"/>
                <w:szCs w:val="18"/>
                <w:highlight w:val="none"/>
                <w:lang w:eastAsia="zh-CN"/>
              </w:rPr>
              <w:t>）</w:t>
            </w:r>
            <w:r>
              <w:rPr>
                <w:rFonts w:ascii="宋体" w:hAnsi="宋体" w:cs="微软雅黑" w:hint="eastAsia"/>
                <w:b/>
                <w:color w:val="0000FF"/>
                <w:kern w:val="0"/>
                <w:sz w:val="18"/>
                <w:szCs w:val="18"/>
                <w:highlight w:val="none"/>
              </w:rPr>
              <w:t>*设备运行及维保期：</w:t>
            </w:r>
            <w:r>
              <w:rPr>
                <w:rFonts w:ascii="宋体" w:hAnsi="宋体" w:cs="微软雅黑" w:hint="eastAsia"/>
                <w:b/>
                <w:color w:val="0000FF"/>
                <w:kern w:val="0"/>
                <w:sz w:val="18"/>
                <w:szCs w:val="18"/>
                <w:highlight w:val="none"/>
                <w:lang w:val="en-US" w:eastAsia="zh-CN"/>
              </w:rPr>
              <w:t>免费维保期</w:t>
            </w:r>
            <w:r>
              <w:rPr>
                <w:rFonts w:ascii="宋体" w:hAnsi="宋体" w:cs="微软雅黑" w:hint="eastAsia"/>
                <w:b/>
                <w:color w:val="0000FF"/>
                <w:kern w:val="0"/>
                <w:sz w:val="18"/>
                <w:szCs w:val="18"/>
                <w:highlight w:val="none"/>
              </w:rPr>
              <w:t>≥8 年并提供承诺函</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7"/>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pStyle w:val="2"/>
        <w:keepNext w:val="0"/>
        <w:keepLines w:val="0"/>
        <w:spacing w:before="156" w:beforeLines="50" w:after="0" w:line="360" w:lineRule="auto"/>
        <w:ind w:left="0" w:firstLine="0"/>
        <w:jc w:val="center"/>
        <w:rPr>
          <w:b/>
          <w:color w:val="auto"/>
          <w:sz w:val="30"/>
          <w:szCs w:val="30"/>
        </w:rPr>
      </w:pPr>
      <w:bookmarkStart w:id="68" w:name="采购公告合同部分_ZBGGHT"/>
      <w:r>
        <w:rPr>
          <w:rFonts w:hint="eastAsia"/>
          <w:b/>
          <w:color w:val="auto"/>
          <w:sz w:val="30"/>
          <w:szCs w:val="30"/>
        </w:rPr>
        <w:t>第九章  合同条款专用部分</w:t>
      </w:r>
    </w:p>
    <w:p>
      <w:pPr>
        <w:spacing w:line="360" w:lineRule="auto"/>
        <w:ind w:right="-693" w:rightChars="-330"/>
        <w:rPr>
          <w:rFonts w:eastAsia="黑体" w:hint="default"/>
          <w:b w:val="0"/>
          <w:bCs w:val="0"/>
          <w:color w:val="auto"/>
          <w:sz w:val="28"/>
          <w:szCs w:val="28"/>
        </w:rPr>
      </w:pPr>
      <w:r>
        <w:rPr>
          <w:rFonts w:ascii="Times New Roman" w:eastAsia="黑体" w:hAnsi="Times New Roman" w:cs="Times New Roman" w:hint="default"/>
          <w:b w:val="0"/>
          <w:bCs w:val="0"/>
          <w:color w:val="auto"/>
          <w:sz w:val="28"/>
          <w:szCs w:val="28"/>
        </w:rPr>
        <w:t>合同编号：</w:t>
      </w:r>
    </w:p>
    <w:p>
      <w:pPr>
        <w:spacing w:line="360" w:lineRule="auto"/>
        <w:ind w:right="-693" w:rightChars="-330"/>
        <w:rPr>
          <w:rFonts w:eastAsia="黑体" w:hint="default"/>
          <w:b w:val="0"/>
          <w:bCs w:val="0"/>
          <w:color w:val="auto"/>
          <w:sz w:val="28"/>
          <w:szCs w:val="28"/>
        </w:rPr>
      </w:pPr>
    </w:p>
    <w:p>
      <w:pPr>
        <w:spacing w:line="360" w:lineRule="auto"/>
        <w:ind w:right="-693" w:rightChars="-330"/>
        <w:rPr>
          <w:rFonts w:hint="default"/>
          <w:color w:val="auto"/>
          <w:sz w:val="28"/>
        </w:rPr>
      </w:pPr>
      <w:r>
        <w:rPr>
          <w:rFonts w:ascii="Times New Roman" w:eastAsia="楷体_GB2312" w:hAnsi="Times New Roman" w:cs="Times New Roman" w:hint="default"/>
          <w:color w:val="auto"/>
          <w:sz w:val="28"/>
          <w:lang w:val="en-US" w:eastAsia="zh-CN"/>
        </w:rPr>
        <w:t>青海</w:t>
      </w:r>
      <w:r>
        <w:rPr>
          <w:rFonts w:ascii="Times New Roman" w:eastAsia="楷体_GB2312" w:hAnsi="Times New Roman" w:cs="Times New Roman" w:hint="eastAsia"/>
          <w:color w:val="auto"/>
          <w:sz w:val="28"/>
          <w:lang w:val="en-US" w:eastAsia="zh-CN"/>
        </w:rPr>
        <w:t>省人工影响天气水资源保障</w:t>
      </w:r>
      <w:r>
        <w:rPr>
          <w:rFonts w:ascii="Times New Roman" w:eastAsia="楷体_GB2312" w:hAnsi="Times New Roman" w:cs="Times New Roman" w:hint="default"/>
          <w:color w:val="auto"/>
          <w:sz w:val="28"/>
          <w:lang w:val="en-US" w:eastAsia="zh-CN"/>
        </w:rPr>
        <w:t>工程</w:t>
      </w:r>
    </w:p>
    <w:p>
      <w:pPr>
        <w:spacing w:line="360" w:lineRule="auto"/>
        <w:ind w:right="-693" w:rightChars="-330"/>
        <w:rPr>
          <w:rFonts w:hint="default"/>
          <w:color w:val="auto"/>
          <w:sz w:val="28"/>
        </w:rPr>
      </w:pPr>
    </w:p>
    <w:p>
      <w:pPr>
        <w:spacing w:line="360" w:lineRule="auto"/>
        <w:ind w:right="-693" w:rightChars="-330"/>
        <w:rPr>
          <w:rFonts w:eastAsia="黑体" w:hint="default"/>
          <w:color w:val="auto"/>
          <w:sz w:val="28"/>
        </w:rPr>
      </w:pPr>
    </w:p>
    <w:p>
      <w:pPr>
        <w:spacing w:line="360" w:lineRule="auto"/>
        <w:ind w:right="-693" w:rightChars="-330"/>
        <w:rPr>
          <w:rFonts w:hint="default"/>
          <w:color w:val="auto"/>
          <w:sz w:val="28"/>
        </w:rPr>
      </w:pPr>
    </w:p>
    <w:p>
      <w:pPr>
        <w:widowControl/>
        <w:autoSpaceDE/>
        <w:autoSpaceDN/>
        <w:spacing w:line="360" w:lineRule="auto"/>
        <w:ind w:right="0" w:rightChars="0"/>
        <w:jc w:val="center"/>
        <w:rPr>
          <w:rFonts w:eastAsia="黑体" w:hint="default"/>
          <w:b/>
          <w:bCs/>
          <w:color w:val="auto"/>
          <w:sz w:val="32"/>
          <w:szCs w:val="32"/>
        </w:rPr>
      </w:pPr>
      <w:r>
        <w:rPr>
          <w:rFonts w:ascii="方正楷体_GB2312" w:eastAsia="方正楷体_GB2312" w:hAnsi="方正楷体_GB2312" w:cs="方正楷体_GB2312" w:hint="eastAsia"/>
          <w:sz w:val="48"/>
          <w:szCs w:val="48"/>
          <w:lang w:val="en-US" w:eastAsia="zh-CN"/>
        </w:rPr>
        <w:t>弹药保险箱</w:t>
      </w:r>
    </w:p>
    <w:p>
      <w:pPr>
        <w:pStyle w:val="BodyTextFirstIndent2"/>
        <w:spacing w:line="360" w:lineRule="auto"/>
        <w:ind w:left="0" w:firstLine="0" w:leftChars="0"/>
        <w:rPr>
          <w:rFonts w:ascii="Times New Roman" w:hAnsi="Times New Roman" w:hint="default"/>
          <w:color w:val="auto"/>
        </w:rPr>
      </w:pPr>
    </w:p>
    <w:p>
      <w:pPr>
        <w:spacing w:line="360" w:lineRule="auto"/>
        <w:ind w:right="0" w:rightChars="0"/>
        <w:jc w:val="center"/>
        <w:rPr>
          <w:rFonts w:eastAsia="方正小标宋简体" w:hint="default"/>
          <w:b/>
          <w:color w:val="auto"/>
          <w:sz w:val="48"/>
          <w:szCs w:val="48"/>
        </w:rPr>
      </w:pPr>
    </w:p>
    <w:p>
      <w:pPr>
        <w:spacing w:line="360" w:lineRule="auto"/>
        <w:ind w:right="0" w:rightChars="0"/>
        <w:jc w:val="center"/>
        <w:rPr>
          <w:rFonts w:eastAsia="方正小标宋简体" w:hint="default"/>
          <w:b/>
          <w:color w:val="auto"/>
          <w:sz w:val="48"/>
          <w:szCs w:val="48"/>
        </w:rPr>
      </w:pPr>
    </w:p>
    <w:p>
      <w:pPr>
        <w:spacing w:line="360" w:lineRule="auto"/>
        <w:ind w:right="0" w:rightChars="0"/>
        <w:jc w:val="center"/>
        <w:rPr>
          <w:rFonts w:eastAsia="方正小标宋简体" w:hint="default"/>
          <w:b/>
          <w:color w:val="auto"/>
          <w:sz w:val="48"/>
          <w:szCs w:val="48"/>
        </w:rPr>
      </w:pPr>
      <w:r>
        <w:rPr>
          <w:rFonts w:ascii="Times New Roman" w:eastAsia="方正小标宋简体" w:hAnsi="Times New Roman" w:cs="Times New Roman" w:hint="default"/>
          <w:b/>
          <w:color w:val="auto"/>
          <w:sz w:val="48"/>
          <w:szCs w:val="48"/>
        </w:rPr>
        <w:t>采购合同书</w:t>
      </w:r>
    </w:p>
    <w:p>
      <w:pPr>
        <w:spacing w:line="360" w:lineRule="auto"/>
        <w:ind w:right="-693" w:firstLine="3840" w:rightChars="-330" w:firstLineChars="800"/>
        <w:jc w:val="both"/>
        <w:rPr>
          <w:rFonts w:hint="default"/>
          <w:b/>
          <w:color w:val="auto"/>
          <w:sz w:val="48"/>
          <w:szCs w:val="48"/>
        </w:rPr>
      </w:pPr>
    </w:p>
    <w:p>
      <w:pPr>
        <w:spacing w:line="360" w:lineRule="auto"/>
        <w:ind w:right="-693" w:firstLine="3840" w:rightChars="-330" w:firstLineChars="800"/>
        <w:jc w:val="both"/>
        <w:rPr>
          <w:rFonts w:hint="default"/>
          <w:b/>
          <w:color w:val="auto"/>
          <w:sz w:val="48"/>
          <w:szCs w:val="48"/>
        </w:rPr>
      </w:pPr>
    </w:p>
    <w:p>
      <w:pPr>
        <w:spacing w:line="360" w:lineRule="auto"/>
        <w:ind w:right="-693" w:firstLine="3840" w:rightChars="-330" w:firstLineChars="800"/>
        <w:jc w:val="both"/>
        <w:rPr>
          <w:rFonts w:hint="default"/>
          <w:b/>
          <w:color w:val="auto"/>
          <w:sz w:val="48"/>
          <w:szCs w:val="48"/>
        </w:rPr>
      </w:pPr>
    </w:p>
    <w:p>
      <w:pPr>
        <w:spacing w:line="360" w:lineRule="auto"/>
        <w:ind w:right="-693" w:firstLine="3840" w:rightChars="-330" w:firstLineChars="800"/>
        <w:jc w:val="both"/>
        <w:rPr>
          <w:rFonts w:hint="default"/>
          <w:b/>
          <w:color w:val="auto"/>
          <w:sz w:val="48"/>
          <w:szCs w:val="48"/>
        </w:rPr>
      </w:pPr>
    </w:p>
    <w:p>
      <w:pPr>
        <w:spacing w:line="360" w:lineRule="auto"/>
        <w:ind w:right="-693" w:firstLine="3840" w:rightChars="-330" w:firstLineChars="800"/>
        <w:jc w:val="both"/>
        <w:rPr>
          <w:rFonts w:hint="default"/>
          <w:b/>
          <w:color w:val="auto"/>
          <w:sz w:val="48"/>
          <w:szCs w:val="48"/>
        </w:rPr>
      </w:pPr>
    </w:p>
    <w:p>
      <w:pPr>
        <w:spacing w:line="360" w:lineRule="auto"/>
        <w:ind w:right="-693" w:firstLine="2240" w:rightChars="-330" w:firstLineChars="800"/>
        <w:jc w:val="both"/>
        <w:rPr>
          <w:rFonts w:hint="default"/>
          <w:color w:val="auto"/>
          <w:sz w:val="28"/>
        </w:rPr>
      </w:pPr>
    </w:p>
    <w:p>
      <w:pPr>
        <w:widowControl/>
        <w:spacing w:line="360" w:lineRule="auto"/>
        <w:ind w:firstLine="2240" w:firstLineChars="800"/>
        <w:rPr>
          <w:rFonts w:hint="default"/>
          <w:b/>
          <w:bCs/>
          <w:color w:val="auto"/>
          <w:sz w:val="28"/>
          <w:szCs w:val="28"/>
          <w:u w:val="single"/>
          <w:lang w:bidi="ar"/>
        </w:rPr>
      </w:pPr>
      <w:r>
        <w:rPr>
          <w:rFonts w:ascii="Times New Roman" w:eastAsia="宋体" w:hAnsi="Times New Roman" w:cs="Times New Roman" w:hint="default"/>
          <w:b/>
          <w:bCs/>
          <w:color w:val="auto"/>
          <w:sz w:val="28"/>
          <w:szCs w:val="28"/>
          <w:u w:val="single"/>
          <w:lang w:bidi="ar"/>
        </w:rPr>
        <w:t>甲方：</w:t>
      </w:r>
      <w:r>
        <w:rPr>
          <w:rFonts w:ascii="Times New Roman" w:hAnsi="Times New Roman" w:cs="Times New Roman" w:hint="default"/>
          <w:b/>
          <w:bCs/>
          <w:color w:val="auto"/>
          <w:sz w:val="28"/>
          <w:szCs w:val="28"/>
          <w:u w:val="single"/>
          <w:lang w:bidi="ar"/>
        </w:rPr>
        <w:t>青海省气象灾害防御技术中心</w:t>
      </w:r>
    </w:p>
    <w:p>
      <w:pPr>
        <w:widowControl/>
        <w:spacing w:line="360" w:lineRule="auto"/>
        <w:ind w:firstLine="2240" w:firstLineChars="800"/>
        <w:rPr>
          <w:rFonts w:hint="default"/>
          <w:color w:val="auto"/>
          <w:sz w:val="28"/>
        </w:rPr>
        <w:sectPr>
          <w:headerReference w:type="default" r:id="rId8"/>
          <w:footerReference w:type="default" r:id="rId9"/>
          <w:pgSz w:w="11906" w:h="16838"/>
          <w:pgMar w:top="1417" w:right="1701" w:bottom="1417" w:left="1701" w:header="851" w:footer="992" w:gutter="0"/>
          <w:pgNumType w:fmt="decimal"/>
          <w:cols w:num="1" w:space="720"/>
          <w:docGrid w:type="lines" w:linePitch="312" w:charSpace="0"/>
        </w:sectPr>
      </w:pPr>
      <w:r>
        <w:rPr>
          <w:rFonts w:ascii="Times New Roman" w:eastAsia="宋体" w:hAnsi="Times New Roman" w:cs="Times New Roman" w:hint="default"/>
          <w:b/>
          <w:bCs/>
          <w:color w:val="auto"/>
          <w:sz w:val="28"/>
          <w:szCs w:val="28"/>
          <w:u w:val="single"/>
          <w:lang w:bidi="ar"/>
        </w:rPr>
        <w:t>乙方：</w:t>
      </w:r>
      <w:r>
        <w:rPr>
          <w:rFonts w:ascii="Times New Roman" w:hAnsi="Times New Roman" w:cs="Times New Roman" w:hint="eastAsia"/>
          <w:b/>
          <w:bCs/>
          <w:color w:val="auto"/>
          <w:sz w:val="28"/>
          <w:szCs w:val="28"/>
          <w:u w:val="single"/>
          <w:lang w:val="en-US" w:eastAsia="zh-CN" w:bidi="ar"/>
        </w:rPr>
        <w:t xml:space="preserve">                 </w:t>
      </w:r>
      <w:r>
        <w:rPr>
          <w:rFonts w:ascii="Times New Roman" w:eastAsia="宋体" w:hAnsi="Times New Roman" w:cs="Times New Roman" w:hint="eastAsia"/>
          <w:b/>
          <w:bCs/>
          <w:color w:val="auto"/>
          <w:sz w:val="28"/>
          <w:szCs w:val="28"/>
          <w:u w:val="single"/>
          <w:lang w:bidi="ar"/>
        </w:rPr>
        <w:t>有限公司</w:t>
      </w:r>
      <w:r>
        <w:rPr>
          <w:rFonts w:ascii="Times New Roman" w:eastAsia="宋体" w:hAnsi="Times New Roman" w:cs="Times New Roman" w:hint="default"/>
          <w:b/>
          <w:bCs/>
          <w:color w:val="auto"/>
          <w:sz w:val="28"/>
          <w:szCs w:val="28"/>
          <w:u w:val="single"/>
          <w:lang w:val="en-US" w:eastAsia="zh-CN" w:bidi="ar"/>
        </w:rPr>
        <w:t xml:space="preserve">  </w:t>
      </w:r>
    </w:p>
    <w:p>
      <w:pPr>
        <w:pStyle w:val="BodyText"/>
        <w:tabs>
          <w:tab w:val="left" w:pos="2351"/>
          <w:tab w:val="left" w:pos="3084"/>
          <w:tab w:val="left" w:pos="3242"/>
          <w:tab w:val="left" w:pos="3926"/>
          <w:tab w:val="left" w:pos="5551"/>
        </w:tabs>
        <w:ind w:right="0"/>
        <w:rPr>
          <w:rFonts w:ascii="Times New Roman" w:hAnsi="Times New Roman" w:cs="Times New Roman" w:hint="default"/>
          <w:color w:val="auto"/>
          <w:sz w:val="28"/>
          <w:szCs w:val="28"/>
          <w:lang w:val="en-US"/>
        </w:rPr>
      </w:pP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甲方所需</w:t>
      </w:r>
      <w:r>
        <w:rPr>
          <w:rFonts w:ascii="Times New Roman" w:eastAsia="宋体" w:hAnsi="Times New Roman" w:cs="Times New Roman" w:hint="eastAsia"/>
          <w:color w:val="auto"/>
          <w:kern w:val="2"/>
          <w:sz w:val="28"/>
          <w:szCs w:val="28"/>
          <w:lang w:val="en-US" w:eastAsia="zh-CN" w:bidi="ar-SA"/>
        </w:rPr>
        <w:t>弹药保险箱</w:t>
      </w:r>
      <w:r>
        <w:rPr>
          <w:rFonts w:ascii="Times New Roman" w:eastAsia="宋体" w:hAnsi="Times New Roman" w:cs="Times New Roman" w:hint="default"/>
          <w:color w:val="auto"/>
          <w:kern w:val="2"/>
          <w:sz w:val="28"/>
          <w:szCs w:val="28"/>
          <w:lang w:val="en-US" w:eastAsia="zh-CN" w:bidi="ar-SA"/>
        </w:rPr>
        <w:t>由中国气象局政府采购中心于</w:t>
      </w:r>
      <w:r>
        <w:rPr>
          <w:rFonts w:ascii="Times New Roman" w:eastAsia="宋体" w:hAnsi="Times New Roman" w:cs="Times New Roman" w:hint="default"/>
          <w:color w:val="auto"/>
          <w:kern w:val="2"/>
          <w:sz w:val="28"/>
          <w:szCs w:val="28"/>
          <w:highlight w:val="none"/>
          <w:lang w:val="en-US" w:eastAsia="zh-CN" w:bidi="ar-SA"/>
        </w:rPr>
        <w:t>202</w:t>
      </w:r>
      <w:r>
        <w:rPr>
          <w:rFonts w:ascii="Times New Roman" w:eastAsia="宋体" w:hAnsi="Times New Roman" w:cs="Times New Roman" w:hint="eastAsia"/>
          <w:color w:val="auto"/>
          <w:kern w:val="2"/>
          <w:sz w:val="28"/>
          <w:szCs w:val="28"/>
          <w:highlight w:val="none"/>
          <w:lang w:val="en-US" w:eastAsia="zh-CN" w:bidi="ar-SA"/>
        </w:rPr>
        <w:t>6</w:t>
      </w:r>
      <w:r>
        <w:rPr>
          <w:rFonts w:ascii="Times New Roman" w:eastAsia="宋体" w:hAnsi="Times New Roman" w:cs="Times New Roman" w:hint="default"/>
          <w:color w:val="auto"/>
          <w:kern w:val="2"/>
          <w:sz w:val="28"/>
          <w:szCs w:val="28"/>
          <w:highlight w:val="none"/>
          <w:lang w:val="en-US" w:eastAsia="zh-CN" w:bidi="ar-SA"/>
        </w:rPr>
        <w:t>年</w:t>
      </w:r>
      <w:r>
        <w:rPr>
          <w:rFonts w:ascii="Times New Roman" w:eastAsia="宋体" w:hAnsi="Times New Roman" w:cs="Times New Roman" w:hint="eastAsia"/>
          <w:color w:val="auto"/>
          <w:kern w:val="2"/>
          <w:sz w:val="28"/>
          <w:szCs w:val="28"/>
          <w:highlight w:val="none"/>
          <w:lang w:val="en-US" w:eastAsia="zh-CN" w:bidi="ar-SA"/>
        </w:rPr>
        <w:t>4</w:t>
      </w:r>
      <w:r>
        <w:rPr>
          <w:rFonts w:ascii="Times New Roman" w:eastAsia="宋体" w:hAnsi="Times New Roman" w:cs="Times New Roman" w:hint="default"/>
          <w:color w:val="auto"/>
          <w:kern w:val="2"/>
          <w:sz w:val="28"/>
          <w:szCs w:val="28"/>
          <w:highlight w:val="none"/>
          <w:lang w:val="en-US" w:eastAsia="zh-CN" w:bidi="ar-SA"/>
        </w:rPr>
        <w:t>月</w:t>
      </w:r>
      <w:r>
        <w:rPr>
          <w:rFonts w:ascii="Times New Roman" w:eastAsia="宋体" w:hAnsi="Times New Roman" w:cs="Times New Roman" w:hint="eastAsia"/>
          <w:color w:val="auto"/>
          <w:kern w:val="2"/>
          <w:sz w:val="28"/>
          <w:szCs w:val="28"/>
          <w:highlight w:val="none"/>
          <w:lang w:val="en-US" w:eastAsia="zh-CN" w:bidi="ar-SA"/>
        </w:rPr>
        <w:t>20</w:t>
      </w:r>
      <w:r>
        <w:rPr>
          <w:rFonts w:ascii="Times New Roman" w:eastAsia="宋体" w:hAnsi="Times New Roman" w:cs="Times New Roman" w:hint="default"/>
          <w:color w:val="auto"/>
          <w:kern w:val="2"/>
          <w:sz w:val="28"/>
          <w:szCs w:val="28"/>
          <w:highlight w:val="none"/>
          <w:lang w:val="en-US" w:eastAsia="zh-CN" w:bidi="ar-SA"/>
        </w:rPr>
        <w:t>日在北京组织公开招标采购（项目编号ZQC-），</w:t>
      </w:r>
      <w:r>
        <w:rPr>
          <w:rFonts w:ascii="Times New Roman" w:eastAsia="宋体" w:hAnsi="Times New Roman" w:cs="Times New Roman" w:hint="default"/>
          <w:color w:val="auto"/>
          <w:kern w:val="2"/>
          <w:sz w:val="28"/>
          <w:szCs w:val="28"/>
          <w:lang w:val="en-US" w:eastAsia="zh-CN" w:bidi="ar-SA"/>
        </w:rPr>
        <w:t>经招标评审会评定，确定乙方中标。甲乙双方根据《中华人民共和国政府采购法》《中华人民共和国民法典》等相关法律法规以及本项目招标文件的规定，经平等协商达成合同如下：</w:t>
      </w:r>
    </w:p>
    <w:p>
      <w:pPr>
        <w:spacing w:line="360" w:lineRule="auto"/>
        <w:ind w:firstLine="560" w:firstLineChars="200"/>
        <w:rPr>
          <w:rFonts w:hint="default"/>
          <w:b/>
          <w:color w:val="auto"/>
          <w:sz w:val="28"/>
          <w:szCs w:val="28"/>
        </w:rPr>
      </w:pPr>
      <w:r>
        <w:rPr>
          <w:rFonts w:ascii="Times New Roman" w:hAnsi="Times New Roman" w:cs="Times New Roman" w:hint="default"/>
          <w:color w:val="auto"/>
          <w:sz w:val="28"/>
          <w:szCs w:val="28"/>
          <w:lang w:val="en-US" w:eastAsia="zh-CN"/>
        </w:rPr>
        <w:t>一</w:t>
      </w:r>
      <w:r>
        <w:rPr>
          <w:rFonts w:ascii="Times New Roman" w:hAnsi="Times New Roman" w:cs="Times New Roman" w:hint="default"/>
          <w:b/>
          <w:color w:val="auto"/>
          <w:spacing w:val="-3"/>
          <w:sz w:val="28"/>
          <w:szCs w:val="28"/>
        </w:rPr>
        <w:t>、定义</w:t>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1.采购人名称：青海省气象灾害防御技术中心</w:t>
      </w:r>
    </w:p>
    <w:p>
      <w:pPr>
        <w:widowControl/>
        <w:spacing w:line="360" w:lineRule="auto"/>
        <w:ind w:firstLine="560" w:firstLineChars="200"/>
        <w:rPr>
          <w:rFonts w:hint="default"/>
          <w:color w:val="auto"/>
          <w:sz w:val="28"/>
          <w:szCs w:val="28"/>
          <w:u w:val="single"/>
        </w:rPr>
      </w:pPr>
      <w:r>
        <w:rPr>
          <w:rFonts w:ascii="Times New Roman" w:hAnsi="Times New Roman" w:cs="Times New Roman" w:hint="default"/>
          <w:color w:val="auto"/>
          <w:spacing w:val="-2"/>
          <w:sz w:val="28"/>
          <w:szCs w:val="28"/>
          <w:lang w:val="en-US" w:eastAsia="zh-CN"/>
        </w:rPr>
        <w:t>2.</w:t>
      </w:r>
      <w:r>
        <w:rPr>
          <w:rFonts w:ascii="Times New Roman" w:hAnsi="Times New Roman" w:cs="Times New Roman" w:hint="default"/>
          <w:color w:val="auto"/>
          <w:spacing w:val="-2"/>
          <w:sz w:val="28"/>
          <w:szCs w:val="28"/>
        </w:rPr>
        <w:t>项目编号和分包号：</w:t>
      </w:r>
      <w:r>
        <w:rPr>
          <w:rFonts w:ascii="Times New Roman" w:hAnsi="Times New Roman" w:cs="Times New Roman" w:hint="default"/>
          <w:color w:val="auto"/>
          <w:sz w:val="28"/>
          <w:szCs w:val="28"/>
          <w:u w:val="single"/>
          <w:lang w:val="en-US" w:eastAsia="zh-CN"/>
        </w:rPr>
        <w:t>ZQC-</w:t>
      </w:r>
      <w:r>
        <w:rPr>
          <w:rFonts w:ascii="Times New Roman" w:hAnsi="Times New Roman" w:cs="Times New Roman" w:hint="default"/>
          <w:color w:val="auto"/>
          <w:sz w:val="28"/>
          <w:szCs w:val="28"/>
          <w:u w:val="single"/>
          <w:lang w:bidi="ar"/>
        </w:rPr>
        <w:t xml:space="preserve"> 、共1包</w:t>
      </w:r>
    </w:p>
    <w:p>
      <w:pPr>
        <w:widowControl/>
        <w:spacing w:line="360" w:lineRule="auto"/>
        <w:ind w:firstLine="560" w:firstLineChars="200"/>
        <w:rPr>
          <w:rFonts w:hint="default"/>
          <w:color w:val="auto"/>
          <w:sz w:val="28"/>
          <w:szCs w:val="28"/>
          <w:u w:val="none"/>
        </w:rPr>
      </w:pPr>
      <w:r>
        <w:rPr>
          <w:rFonts w:ascii="Times New Roman" w:hAnsi="Times New Roman" w:cs="Times New Roman" w:hint="default"/>
          <w:color w:val="auto"/>
          <w:spacing w:val="-2"/>
          <w:sz w:val="28"/>
          <w:szCs w:val="28"/>
          <w:lang w:val="en-US" w:eastAsia="zh-CN"/>
        </w:rPr>
        <w:t>3.</w:t>
      </w:r>
      <w:r>
        <w:rPr>
          <w:rFonts w:ascii="Times New Roman" w:hAnsi="Times New Roman" w:cs="Times New Roman" w:hint="default"/>
          <w:color w:val="auto"/>
          <w:spacing w:val="-2"/>
          <w:sz w:val="28"/>
          <w:szCs w:val="28"/>
        </w:rPr>
        <w:t>项目名称：</w:t>
      </w:r>
      <w:r>
        <w:rPr>
          <w:rFonts w:ascii="Times New Roman" w:hAnsi="Times New Roman" w:cs="Times New Roman" w:hint="default"/>
          <w:color w:val="auto"/>
          <w:sz w:val="28"/>
          <w:szCs w:val="28"/>
          <w:u w:val="single"/>
          <w:lang w:bidi="ar"/>
        </w:rPr>
        <w:t>青海省人工影响天气水资源保障工程-</w:t>
      </w:r>
      <w:r>
        <w:rPr>
          <w:rFonts w:ascii="Times New Roman" w:hAnsi="Times New Roman" w:cs="Times New Roman" w:hint="eastAsia"/>
          <w:color w:val="auto"/>
          <w:sz w:val="28"/>
          <w:szCs w:val="28"/>
          <w:u w:val="single"/>
          <w:lang w:val="en-US" w:eastAsia="zh-CN"/>
        </w:rPr>
        <w:t>弹药保险箱</w:t>
      </w:r>
      <w:r>
        <w:rPr>
          <w:rFonts w:ascii="Times New Roman" w:hAnsi="Times New Roman" w:cs="Times New Roman" w:hint="default"/>
          <w:color w:val="auto"/>
          <w:sz w:val="28"/>
          <w:szCs w:val="28"/>
          <w:u w:val="none"/>
          <w:lang w:eastAsia="zh-CN" w:bidi="ar"/>
        </w:rPr>
        <w:t>。</w:t>
      </w:r>
    </w:p>
    <w:p>
      <w:pPr>
        <w:spacing w:line="360" w:lineRule="auto"/>
        <w:ind w:firstLine="474"/>
        <w:rPr>
          <w:rFonts w:hint="default"/>
          <w:b/>
          <w:color w:val="auto"/>
          <w:sz w:val="28"/>
          <w:szCs w:val="28"/>
        </w:rPr>
      </w:pPr>
      <w:r>
        <w:rPr>
          <w:rFonts w:ascii="Times New Roman" w:hAnsi="Times New Roman" w:cs="Times New Roman" w:hint="default"/>
          <w:b/>
          <w:color w:val="auto"/>
          <w:spacing w:val="-2"/>
          <w:sz w:val="28"/>
          <w:szCs w:val="28"/>
          <w:lang w:val="en-US" w:eastAsia="zh-CN"/>
        </w:rPr>
        <w:t>二</w:t>
      </w:r>
      <w:r>
        <w:rPr>
          <w:rFonts w:ascii="Times New Roman" w:hAnsi="Times New Roman" w:cs="Times New Roman" w:hint="default"/>
          <w:b/>
          <w:color w:val="auto"/>
          <w:spacing w:val="-2"/>
          <w:sz w:val="28"/>
          <w:szCs w:val="28"/>
        </w:rPr>
        <w:t>、合同标的</w:t>
      </w:r>
    </w:p>
    <w:p>
      <w:pPr>
        <w:pStyle w:val="BodyText"/>
        <w:tabs>
          <w:tab w:val="left" w:pos="2351"/>
          <w:tab w:val="left" w:pos="3084"/>
          <w:tab w:val="left" w:pos="3242"/>
          <w:tab w:val="left" w:pos="3926"/>
          <w:tab w:val="left" w:pos="5551"/>
        </w:tabs>
        <w:ind w:right="-726" w:firstLine="480"/>
        <w:rPr>
          <w:rFonts w:ascii="Times New Roman" w:hAnsi="Times New Roman" w:cs="Times New Roman" w:hint="default"/>
          <w:color w:val="auto"/>
          <w:sz w:val="28"/>
          <w:szCs w:val="28"/>
        </w:rPr>
      </w:pPr>
      <w:r>
        <w:rPr>
          <w:rFonts w:ascii="Times New Roman" w:hAnsi="Times New Roman" w:cs="Times New Roman" w:hint="default"/>
          <w:color w:val="auto"/>
          <w:sz w:val="28"/>
          <w:szCs w:val="28"/>
        </w:rPr>
        <w:t>甲方同意从乙方购买，乙方同意向甲方出售下列产品</w:t>
      </w:r>
      <w:r>
        <w:rPr>
          <w:rFonts w:ascii="Times New Roman" w:hAnsi="Times New Roman" w:cs="Times New Roman" w:hint="eastAsia"/>
          <w:color w:val="auto"/>
          <w:sz w:val="28"/>
          <w:szCs w:val="28"/>
          <w:lang w:val="en-US" w:eastAsia="zh-CN"/>
        </w:rPr>
        <w:t>和</w:t>
      </w:r>
      <w:r>
        <w:rPr>
          <w:rFonts w:ascii="Times New Roman" w:hAnsi="Times New Roman" w:cs="Times New Roman" w:hint="default"/>
          <w:color w:val="auto"/>
          <w:sz w:val="28"/>
          <w:szCs w:val="28"/>
        </w:rPr>
        <w:t>服务：</w:t>
      </w:r>
    </w:p>
    <w:tbl>
      <w:tblPr>
        <w:tblStyle w:val="TableNormal"/>
        <w:tblW w:w="0" w:type="auto"/>
        <w:jc w:val="center"/>
        <w:tblLayout w:type="fixed"/>
        <w:tblCellMar>
          <w:top w:w="0" w:type="dxa"/>
          <w:left w:w="0" w:type="dxa"/>
          <w:bottom w:w="0" w:type="dxa"/>
          <w:right w:w="0" w:type="dxa"/>
        </w:tblCellMar>
      </w:tblPr>
      <w:tblGrid>
        <w:gridCol w:w="803"/>
        <w:gridCol w:w="1817"/>
        <w:gridCol w:w="1202"/>
        <w:gridCol w:w="1726"/>
        <w:gridCol w:w="1080"/>
        <w:gridCol w:w="1780"/>
      </w:tblGrid>
      <w:tr>
        <w:tblPrEx>
          <w:tblW w:w="0" w:type="auto"/>
          <w:jc w:val="center"/>
          <w:tblLayout w:type="fixed"/>
          <w:tblCellMar>
            <w:top w:w="0" w:type="dxa"/>
            <w:left w:w="0" w:type="dxa"/>
            <w:bottom w:w="0" w:type="dxa"/>
            <w:right w:w="0" w:type="dxa"/>
          </w:tblCellMar>
        </w:tblPrEx>
        <w:trPr>
          <w:trHeight w:hRule="exact" w:val="699"/>
          <w:jc w:val="center"/>
        </w:trPr>
        <w:tc>
          <w:tcPr>
            <w:tcW w:w="80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序号</w:t>
            </w:r>
          </w:p>
        </w:tc>
        <w:tc>
          <w:tcPr>
            <w:tcW w:w="1817"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设备名称</w:t>
            </w:r>
          </w:p>
        </w:tc>
        <w:tc>
          <w:tcPr>
            <w:tcW w:w="1202"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数量及单位</w:t>
            </w:r>
          </w:p>
        </w:tc>
        <w:tc>
          <w:tcPr>
            <w:tcW w:w="1726"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交货期</w:t>
            </w:r>
          </w:p>
        </w:tc>
        <w:tc>
          <w:tcPr>
            <w:tcW w:w="108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交货地点</w:t>
            </w:r>
          </w:p>
        </w:tc>
        <w:tc>
          <w:tcPr>
            <w:tcW w:w="178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autoSpaceDN/>
              <w:spacing w:before="0" w:beforeAutospacing="0" w:after="0" w:afterAutospacing="0"/>
              <w:ind w:left="0" w:right="0"/>
              <w:jc w:val="both"/>
              <w:rPr>
                <w:rFonts w:ascii="宋体" w:hAnsi="宋体" w:hint="default"/>
                <w:color w:val="000000"/>
                <w:szCs w:val="21"/>
              </w:rPr>
            </w:pPr>
          </w:p>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备注</w:t>
            </w:r>
          </w:p>
        </w:tc>
      </w:tr>
      <w:tr>
        <w:tblPrEx>
          <w:tblW w:w="0" w:type="auto"/>
          <w:jc w:val="center"/>
          <w:tblLayout w:type="fixed"/>
          <w:tblCellMar>
            <w:top w:w="0" w:type="dxa"/>
            <w:left w:w="0" w:type="dxa"/>
            <w:bottom w:w="0" w:type="dxa"/>
            <w:right w:w="0" w:type="dxa"/>
          </w:tblCellMar>
        </w:tblPrEx>
        <w:trPr>
          <w:trHeight w:hRule="exact" w:val="1264"/>
          <w:jc w:val="center"/>
        </w:trPr>
        <w:tc>
          <w:tcPr>
            <w:tcW w:w="80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default"/>
                <w:color w:val="000000"/>
                <w:szCs w:val="21"/>
              </w:rPr>
            </w:pPr>
            <w:r>
              <w:rPr>
                <w:rFonts w:ascii="宋体" w:eastAsia="宋体" w:hAnsi="宋体" w:cs="Times New Roman" w:hint="default"/>
                <w:color w:val="000000"/>
                <w:kern w:val="2"/>
                <w:sz w:val="21"/>
                <w:szCs w:val="21"/>
              </w:rPr>
              <w:t>1</w:t>
            </w:r>
          </w:p>
        </w:tc>
        <w:tc>
          <w:tcPr>
            <w:tcW w:w="1817"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0" w:right="0"/>
              <w:jc w:val="center"/>
              <w:rPr>
                <w:rFonts w:ascii="宋体" w:hAnsi="宋体" w:hint="eastAsia"/>
                <w:color w:val="000000"/>
                <w:szCs w:val="21"/>
              </w:rPr>
            </w:pPr>
            <w:r>
              <w:rPr>
                <w:rFonts w:cs="Times New Roman" w:hint="eastAsia"/>
                <w:color w:val="000000"/>
                <w:kern w:val="2"/>
                <w:sz w:val="21"/>
                <w:szCs w:val="21"/>
                <w:lang w:eastAsia="zh-CN"/>
              </w:rPr>
              <w:t>弹药保险箱</w:t>
            </w:r>
          </w:p>
        </w:tc>
        <w:tc>
          <w:tcPr>
            <w:tcW w:w="1202"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default"/>
                <w:color w:val="000000"/>
                <w:szCs w:val="21"/>
              </w:rPr>
            </w:pPr>
            <w:r>
              <w:rPr>
                <w:rFonts w:ascii="宋体" w:eastAsia="宋体" w:hAnsi="宋体" w:cs="Times New Roman" w:hint="eastAsia"/>
                <w:color w:val="000000"/>
                <w:kern w:val="2"/>
                <w:sz w:val="21"/>
                <w:szCs w:val="21"/>
              </w:rPr>
              <w:t>1</w:t>
            </w:r>
            <w:r>
              <w:rPr>
                <w:rFonts w:ascii="宋体" w:eastAsia="宋体" w:hAnsi="宋体" w:cs="Times New Roman" w:hint="eastAsia"/>
                <w:color w:val="000000"/>
                <w:kern w:val="2"/>
                <w:sz w:val="21"/>
                <w:szCs w:val="21"/>
                <w:lang w:val="en-US" w:eastAsia="zh-CN"/>
              </w:rPr>
              <w:t>58个</w:t>
            </w:r>
          </w:p>
        </w:tc>
        <w:tc>
          <w:tcPr>
            <w:tcW w:w="1726"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eastAsia"/>
                <w:color w:val="000000"/>
                <w:szCs w:val="21"/>
              </w:rPr>
            </w:pPr>
            <w:r>
              <w:rPr>
                <w:rFonts w:ascii="宋体" w:eastAsia="宋体" w:hAnsi="宋体" w:cs="Times New Roman" w:hint="eastAsia"/>
                <w:color w:val="000000"/>
                <w:kern w:val="2"/>
                <w:sz w:val="21"/>
                <w:szCs w:val="21"/>
                <w:highlight w:val="none"/>
              </w:rPr>
              <w:t>合同签订后</w:t>
            </w:r>
            <w:r>
              <w:rPr>
                <w:rFonts w:ascii="宋体" w:hAnsi="宋体" w:cs="Times New Roman" w:hint="eastAsia"/>
                <w:color w:val="000000"/>
                <w:kern w:val="2"/>
                <w:sz w:val="21"/>
                <w:szCs w:val="21"/>
                <w:highlight w:val="none"/>
                <w:lang w:val="en-US" w:eastAsia="zh-CN"/>
              </w:rPr>
              <w:t>160天</w:t>
            </w:r>
            <w:r>
              <w:rPr>
                <w:rFonts w:ascii="宋体" w:eastAsia="宋体" w:hAnsi="宋体" w:cs="Times New Roman" w:hint="eastAsia"/>
                <w:color w:val="000000"/>
                <w:kern w:val="2"/>
                <w:sz w:val="21"/>
                <w:szCs w:val="21"/>
                <w:highlight w:val="none"/>
              </w:rPr>
              <w:t>内</w:t>
            </w:r>
          </w:p>
        </w:tc>
        <w:tc>
          <w:tcPr>
            <w:tcW w:w="108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eastAsia"/>
                <w:color w:val="000000"/>
                <w:szCs w:val="21"/>
              </w:rPr>
            </w:pPr>
            <w:r>
              <w:rPr>
                <w:rFonts w:cs="Times New Roman" w:hint="eastAsia"/>
                <w:color w:val="000000"/>
                <w:kern w:val="2"/>
                <w:sz w:val="21"/>
                <w:szCs w:val="21"/>
                <w:lang w:val="en-US" w:eastAsia="zh-CN"/>
              </w:rPr>
              <w:t>青海省指定位置</w:t>
            </w:r>
            <w:r>
              <w:rPr>
                <w:rFonts w:ascii="宋体" w:eastAsia="宋体" w:hAnsi="宋体" w:cs="Times New Roman" w:hint="eastAsia"/>
                <w:color w:val="000000"/>
                <w:kern w:val="2"/>
                <w:sz w:val="21"/>
                <w:szCs w:val="21"/>
              </w:rPr>
              <w:t xml:space="preserve"> </w:t>
            </w:r>
          </w:p>
        </w:tc>
        <w:tc>
          <w:tcPr>
            <w:tcW w:w="178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default"/>
                <w:color w:val="000000"/>
                <w:szCs w:val="21"/>
              </w:rPr>
            </w:pPr>
            <w:r>
              <w:rPr>
                <w:rFonts w:cs="Times New Roman" w:hint="eastAsia"/>
                <w:color w:val="000000"/>
                <w:kern w:val="2"/>
                <w:sz w:val="21"/>
                <w:szCs w:val="21"/>
                <w:highlight w:val="none"/>
                <w:lang w:val="en-US" w:eastAsia="zh-CN"/>
              </w:rPr>
              <w:t>3</w:t>
            </w:r>
            <w:r>
              <w:rPr>
                <w:rFonts w:ascii="宋体" w:eastAsia="宋体" w:hAnsi="宋体" w:cs="Times New Roman" w:hint="eastAsia"/>
                <w:color w:val="000000"/>
                <w:kern w:val="2"/>
                <w:sz w:val="21"/>
                <w:szCs w:val="21"/>
                <w:highlight w:val="none"/>
              </w:rPr>
              <w:t>年质保，</w:t>
            </w:r>
            <w:r>
              <w:rPr>
                <w:rFonts w:cs="Times New Roman" w:hint="eastAsia"/>
                <w:color w:val="000000"/>
                <w:kern w:val="2"/>
                <w:sz w:val="21"/>
                <w:szCs w:val="21"/>
                <w:highlight w:val="none"/>
                <w:lang w:val="en-US" w:eastAsia="zh-CN"/>
              </w:rPr>
              <w:t>8</w:t>
            </w:r>
            <w:r>
              <w:rPr>
                <w:rFonts w:ascii="宋体" w:eastAsia="宋体" w:hAnsi="宋体" w:cs="Times New Roman" w:hint="eastAsia"/>
                <w:color w:val="000000"/>
                <w:kern w:val="2"/>
                <w:sz w:val="21"/>
                <w:szCs w:val="21"/>
                <w:highlight w:val="none"/>
              </w:rPr>
              <w:t>年维保</w:t>
            </w:r>
          </w:p>
        </w:tc>
      </w:tr>
    </w:tbl>
    <w:p>
      <w:pPr>
        <w:pStyle w:val="BodyText"/>
        <w:tabs>
          <w:tab w:val="left" w:pos="2351"/>
          <w:tab w:val="left" w:pos="3084"/>
          <w:tab w:val="left" w:pos="3242"/>
          <w:tab w:val="left" w:pos="3926"/>
          <w:tab w:val="left" w:pos="5551"/>
        </w:tabs>
        <w:ind w:right="-726" w:firstLine="480"/>
        <w:rPr>
          <w:rFonts w:ascii="Times New Roman" w:hAnsi="Times New Roman" w:cs="Times New Roman" w:hint="default"/>
          <w:color w:val="auto"/>
          <w:sz w:val="28"/>
          <w:szCs w:val="28"/>
        </w:rPr>
      </w:pPr>
    </w:p>
    <w:p>
      <w:pPr>
        <w:spacing w:line="360" w:lineRule="auto"/>
        <w:ind w:right="0" w:firstLine="560" w:firstLineChars="200"/>
        <w:jc w:val="both"/>
        <w:rPr>
          <w:rFonts w:hint="default"/>
          <w:color w:val="auto"/>
          <w:sz w:val="28"/>
          <w:szCs w:val="28"/>
        </w:rPr>
      </w:pPr>
      <w:r>
        <w:rPr>
          <w:rFonts w:ascii="Times New Roman" w:hAnsi="Times New Roman" w:cs="Times New Roman" w:hint="default"/>
          <w:b/>
          <w:color w:val="auto"/>
          <w:spacing w:val="-2"/>
          <w:sz w:val="28"/>
          <w:szCs w:val="28"/>
          <w:lang w:val="en-US" w:eastAsia="zh-CN"/>
        </w:rPr>
        <w:t>三</w:t>
      </w:r>
      <w:r>
        <w:rPr>
          <w:rFonts w:ascii="Times New Roman" w:hAnsi="Times New Roman" w:cs="Times New Roman" w:hint="default"/>
          <w:b/>
          <w:color w:val="auto"/>
          <w:spacing w:val="-2"/>
          <w:sz w:val="28"/>
          <w:szCs w:val="28"/>
        </w:rPr>
        <w:t>、质量标准及保证</w:t>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1.乙方保证提供的货物皆为符合国家标准的全新、未使用过的正品合格产品，且承诺为甲方提供符合或高于国家标准、行业的安全质量标准、环保标准及招标文件要求的服务，且若该货物在投标货物生产厂商中国总部对外公众网站上具有标准配置和服务的，乙方为甲方提供的产品及服务符合或高于其标准。</w:t>
      </w:r>
      <w:r>
        <w:rPr>
          <w:rFonts w:ascii="Times New Roman" w:eastAsia="宋体" w:hAnsi="Times New Roman" w:cs="Times New Roman" w:hint="default"/>
          <w:color w:val="auto"/>
          <w:kern w:val="2"/>
          <w:sz w:val="28"/>
          <w:szCs w:val="28"/>
          <w:lang w:val="en-US" w:eastAsia="zh-CN" w:bidi="ar-SA"/>
        </w:rPr>
        <w:tab/>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2.乙方应提供产品达到合格标准的自测报告和第三方测试报告。</w:t>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3.202</w:t>
      </w:r>
      <w:r>
        <w:rPr>
          <w:rFonts w:ascii="Times New Roman" w:eastAsia="宋体" w:hAnsi="Times New Roman" w:cs="Times New Roman" w:hint="eastAsia"/>
          <w:color w:val="auto"/>
          <w:kern w:val="2"/>
          <w:sz w:val="28"/>
          <w:szCs w:val="28"/>
          <w:lang w:val="en-US" w:eastAsia="zh-CN" w:bidi="ar-SA"/>
        </w:rPr>
        <w:t>6</w:t>
      </w:r>
      <w:r>
        <w:rPr>
          <w:rFonts w:ascii="Times New Roman" w:eastAsia="宋体" w:hAnsi="Times New Roman" w:cs="Times New Roman" w:hint="default"/>
          <w:color w:val="auto"/>
          <w:kern w:val="2"/>
          <w:sz w:val="28"/>
          <w:szCs w:val="28"/>
          <w:lang w:val="en-US" w:eastAsia="zh-CN" w:bidi="ar-SA"/>
        </w:rPr>
        <w:t>年</w:t>
      </w:r>
      <w:r>
        <w:rPr>
          <w:rFonts w:ascii="Times New Roman" w:eastAsia="宋体" w:hAnsi="Times New Roman" w:cs="Times New Roman" w:hint="eastAsia"/>
          <w:color w:val="auto"/>
          <w:kern w:val="2"/>
          <w:sz w:val="28"/>
          <w:szCs w:val="28"/>
          <w:lang w:val="en-US" w:eastAsia="zh-CN" w:bidi="ar-SA"/>
        </w:rPr>
        <w:t>6</w:t>
      </w:r>
      <w:r>
        <w:rPr>
          <w:rFonts w:ascii="Times New Roman" w:eastAsia="宋体" w:hAnsi="Times New Roman" w:cs="Times New Roman" w:hint="default"/>
          <w:color w:val="auto"/>
          <w:kern w:val="2"/>
          <w:sz w:val="28"/>
          <w:szCs w:val="28"/>
          <w:lang w:val="en-US" w:eastAsia="zh-CN" w:bidi="ar-SA"/>
        </w:rPr>
        <w:t>月1</w:t>
      </w:r>
      <w:r>
        <w:rPr>
          <w:rFonts w:ascii="Times New Roman" w:eastAsia="宋体" w:hAnsi="Times New Roman" w:cs="Times New Roman" w:hint="eastAsia"/>
          <w:color w:val="auto"/>
          <w:kern w:val="2"/>
          <w:sz w:val="28"/>
          <w:szCs w:val="28"/>
          <w:lang w:val="en-US" w:eastAsia="zh-CN" w:bidi="ar-SA"/>
        </w:rPr>
        <w:t>5</w:t>
      </w:r>
      <w:r>
        <w:rPr>
          <w:rFonts w:ascii="Times New Roman" w:eastAsia="宋体" w:hAnsi="Times New Roman" w:cs="Times New Roman" w:hint="default"/>
          <w:color w:val="auto"/>
          <w:kern w:val="2"/>
          <w:sz w:val="28"/>
          <w:szCs w:val="28"/>
          <w:lang w:val="en-US" w:eastAsia="zh-CN" w:bidi="ar-SA"/>
        </w:rPr>
        <w:t>日前，完成出厂测试。</w:t>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4.202</w:t>
      </w:r>
      <w:r>
        <w:rPr>
          <w:rFonts w:ascii="Times New Roman" w:eastAsia="宋体" w:hAnsi="Times New Roman" w:cs="Times New Roman" w:hint="eastAsia"/>
          <w:color w:val="auto"/>
          <w:kern w:val="2"/>
          <w:sz w:val="28"/>
          <w:szCs w:val="28"/>
          <w:lang w:val="en-US" w:eastAsia="zh-CN" w:bidi="ar-SA"/>
        </w:rPr>
        <w:t>6</w:t>
      </w:r>
      <w:r>
        <w:rPr>
          <w:rFonts w:ascii="Times New Roman" w:eastAsia="宋体" w:hAnsi="Times New Roman" w:cs="Times New Roman" w:hint="default"/>
          <w:color w:val="auto"/>
          <w:kern w:val="2"/>
          <w:sz w:val="28"/>
          <w:szCs w:val="28"/>
          <w:lang w:val="en-US" w:eastAsia="zh-CN" w:bidi="ar-SA"/>
        </w:rPr>
        <w:t>年</w:t>
      </w:r>
      <w:r>
        <w:rPr>
          <w:rFonts w:ascii="Times New Roman" w:eastAsia="宋体" w:hAnsi="Times New Roman" w:cs="Times New Roman" w:hint="eastAsia"/>
          <w:color w:val="auto"/>
          <w:kern w:val="2"/>
          <w:sz w:val="28"/>
          <w:szCs w:val="28"/>
          <w:lang w:val="en-US" w:eastAsia="zh-CN" w:bidi="ar-SA"/>
        </w:rPr>
        <w:t>9</w:t>
      </w:r>
      <w:r>
        <w:rPr>
          <w:rFonts w:ascii="Times New Roman" w:eastAsia="宋体" w:hAnsi="Times New Roman" w:cs="Times New Roman" w:hint="default"/>
          <w:color w:val="auto"/>
          <w:kern w:val="2"/>
          <w:sz w:val="28"/>
          <w:szCs w:val="28"/>
          <w:lang w:val="en-US" w:eastAsia="zh-CN" w:bidi="ar-SA"/>
        </w:rPr>
        <w:t>月</w:t>
      </w:r>
      <w:r>
        <w:rPr>
          <w:rFonts w:ascii="Times New Roman" w:eastAsia="宋体" w:hAnsi="Times New Roman" w:cs="Times New Roman" w:hint="eastAsia"/>
          <w:color w:val="auto"/>
          <w:kern w:val="2"/>
          <w:sz w:val="28"/>
          <w:szCs w:val="28"/>
          <w:lang w:val="en-US" w:eastAsia="zh-CN" w:bidi="ar-SA"/>
        </w:rPr>
        <w:t>30</w:t>
      </w:r>
      <w:r>
        <w:rPr>
          <w:rFonts w:ascii="Times New Roman" w:eastAsia="宋体" w:hAnsi="Times New Roman" w:cs="Times New Roman" w:hint="default"/>
          <w:color w:val="auto"/>
          <w:kern w:val="2"/>
          <w:sz w:val="28"/>
          <w:szCs w:val="28"/>
          <w:lang w:val="en-US" w:eastAsia="zh-CN" w:bidi="ar-SA"/>
        </w:rPr>
        <w:t>日前，完成</w:t>
      </w:r>
      <w:r>
        <w:rPr>
          <w:rFonts w:ascii="Times New Roman" w:eastAsia="宋体" w:hAnsi="Times New Roman" w:cs="Times New Roman" w:hint="eastAsia"/>
          <w:color w:val="auto"/>
          <w:kern w:val="2"/>
          <w:sz w:val="28"/>
          <w:szCs w:val="28"/>
          <w:lang w:val="en-US" w:eastAsia="zh-CN" w:bidi="ar-SA"/>
        </w:rPr>
        <w:t>到货及安装。</w:t>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5.202</w:t>
      </w:r>
      <w:r>
        <w:rPr>
          <w:rFonts w:ascii="Times New Roman" w:eastAsia="宋体" w:hAnsi="Times New Roman" w:cs="Times New Roman" w:hint="eastAsia"/>
          <w:color w:val="auto"/>
          <w:kern w:val="2"/>
          <w:sz w:val="28"/>
          <w:szCs w:val="28"/>
          <w:lang w:val="en-US" w:eastAsia="zh-CN" w:bidi="ar-SA"/>
        </w:rPr>
        <w:t>6</w:t>
      </w:r>
      <w:r>
        <w:rPr>
          <w:rFonts w:ascii="Times New Roman" w:eastAsia="宋体" w:hAnsi="Times New Roman" w:cs="Times New Roman" w:hint="default"/>
          <w:color w:val="auto"/>
          <w:kern w:val="2"/>
          <w:sz w:val="28"/>
          <w:szCs w:val="28"/>
          <w:lang w:val="en-US" w:eastAsia="zh-CN" w:bidi="ar-SA"/>
        </w:rPr>
        <w:t>年</w:t>
      </w:r>
      <w:r>
        <w:rPr>
          <w:rFonts w:ascii="Times New Roman" w:eastAsia="宋体" w:hAnsi="Times New Roman" w:cs="Times New Roman" w:hint="eastAsia"/>
          <w:color w:val="auto"/>
          <w:kern w:val="2"/>
          <w:sz w:val="28"/>
          <w:szCs w:val="28"/>
          <w:lang w:val="en-US" w:eastAsia="zh-CN" w:bidi="ar-SA"/>
        </w:rPr>
        <w:t>12</w:t>
      </w:r>
      <w:r>
        <w:rPr>
          <w:rFonts w:ascii="Times New Roman" w:eastAsia="宋体" w:hAnsi="Times New Roman" w:cs="Times New Roman" w:hint="default"/>
          <w:color w:val="auto"/>
          <w:kern w:val="2"/>
          <w:sz w:val="28"/>
          <w:szCs w:val="28"/>
          <w:lang w:val="en-US" w:eastAsia="zh-CN" w:bidi="ar-SA"/>
        </w:rPr>
        <w:t>月</w:t>
      </w:r>
      <w:r>
        <w:rPr>
          <w:rFonts w:ascii="Times New Roman" w:eastAsia="宋体" w:hAnsi="Times New Roman" w:cs="Times New Roman" w:hint="eastAsia"/>
          <w:color w:val="auto"/>
          <w:kern w:val="2"/>
          <w:sz w:val="28"/>
          <w:szCs w:val="28"/>
          <w:lang w:val="en-US" w:eastAsia="zh-CN" w:bidi="ar-SA"/>
        </w:rPr>
        <w:t>31</w:t>
      </w:r>
      <w:r>
        <w:rPr>
          <w:rFonts w:ascii="Times New Roman" w:eastAsia="宋体" w:hAnsi="Times New Roman" w:cs="Times New Roman" w:hint="default"/>
          <w:color w:val="auto"/>
          <w:kern w:val="2"/>
          <w:sz w:val="28"/>
          <w:szCs w:val="28"/>
          <w:lang w:val="en-US" w:eastAsia="zh-CN" w:bidi="ar-SA"/>
        </w:rPr>
        <w:t>日前，完成合同验收</w:t>
      </w:r>
      <w:r>
        <w:rPr>
          <w:rFonts w:ascii="Times New Roman" w:eastAsia="宋体" w:hAnsi="Times New Roman" w:cs="Times New Roman" w:hint="eastAsia"/>
          <w:color w:val="auto"/>
          <w:kern w:val="2"/>
          <w:sz w:val="28"/>
          <w:szCs w:val="28"/>
          <w:lang w:val="en-US" w:eastAsia="zh-CN" w:bidi="ar-SA"/>
        </w:rPr>
        <w:t>、业务验收</w:t>
      </w:r>
      <w:r>
        <w:rPr>
          <w:rFonts w:ascii="Times New Roman" w:eastAsia="宋体" w:hAnsi="Times New Roman" w:cs="Times New Roman" w:hint="default"/>
          <w:color w:val="auto"/>
          <w:kern w:val="2"/>
          <w:sz w:val="28"/>
          <w:szCs w:val="28"/>
          <w:lang w:val="en-US" w:eastAsia="zh-CN" w:bidi="ar-SA"/>
        </w:rPr>
        <w:t>。</w:t>
      </w:r>
    </w:p>
    <w:p>
      <w:pPr>
        <w:spacing w:before="0" w:line="360" w:lineRule="auto"/>
        <w:ind w:firstLine="560" w:firstLineChars="200"/>
        <w:jc w:val="both"/>
        <w:rPr>
          <w:rFonts w:hint="default"/>
          <w:b/>
          <w:color w:val="auto"/>
          <w:sz w:val="28"/>
          <w:szCs w:val="28"/>
        </w:rPr>
      </w:pPr>
      <w:r>
        <w:rPr>
          <w:rFonts w:ascii="Times New Roman" w:hAnsi="Times New Roman" w:cs="Times New Roman" w:hint="default"/>
          <w:b/>
          <w:color w:val="auto"/>
          <w:spacing w:val="-3"/>
          <w:sz w:val="28"/>
          <w:szCs w:val="28"/>
          <w:lang w:val="en-US" w:eastAsia="zh-CN"/>
        </w:rPr>
        <w:t>四</w:t>
      </w:r>
      <w:r>
        <w:rPr>
          <w:rFonts w:ascii="Times New Roman" w:hAnsi="Times New Roman" w:cs="Times New Roman" w:hint="default"/>
          <w:b/>
          <w:color w:val="auto"/>
          <w:spacing w:val="-3"/>
          <w:sz w:val="28"/>
          <w:szCs w:val="28"/>
        </w:rPr>
        <w:t>、验收</w:t>
      </w:r>
    </w:p>
    <w:p>
      <w:pPr>
        <w:tabs>
          <w:tab w:val="left" w:pos="709"/>
        </w:tabs>
        <w:autoSpaceDE/>
        <w:autoSpaceDN/>
        <w:adjustRightInd w:val="0"/>
        <w:snapToGrid/>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1.</w:t>
      </w:r>
      <w:r>
        <w:rPr>
          <w:rFonts w:ascii="Times New Roman" w:hAnsi="Times New Roman" w:cs="Times New Roman" w:hint="default"/>
          <w:color w:val="auto"/>
          <w:sz w:val="28"/>
          <w:szCs w:val="28"/>
        </w:rPr>
        <w:t>验收分为出厂验收、</w:t>
      </w:r>
      <w:r>
        <w:rPr>
          <w:rFonts w:ascii="Times New Roman" w:hAnsi="Times New Roman" w:cs="Times New Roman" w:hint="eastAsia"/>
          <w:color w:val="auto"/>
          <w:sz w:val="28"/>
          <w:szCs w:val="28"/>
          <w:lang w:val="en-US" w:eastAsia="zh-CN"/>
        </w:rPr>
        <w:t>业务</w:t>
      </w:r>
      <w:r>
        <w:rPr>
          <w:rFonts w:ascii="Times New Roman" w:hAnsi="Times New Roman" w:cs="Times New Roman" w:hint="default"/>
          <w:color w:val="auto"/>
          <w:sz w:val="28"/>
          <w:szCs w:val="28"/>
        </w:rPr>
        <w:t>验收及合同验收，</w:t>
      </w:r>
      <w:r>
        <w:rPr>
          <w:rFonts w:ascii="Times New Roman" w:hAnsi="Times New Roman" w:cs="Times New Roman" w:hint="default"/>
          <w:color w:val="auto"/>
          <w:sz w:val="28"/>
          <w:szCs w:val="28"/>
          <w:highlight w:val="none"/>
        </w:rPr>
        <w:t>乙方在完成安装调试并试运行</w:t>
      </w:r>
      <w:r>
        <w:rPr>
          <w:rFonts w:ascii="Times New Roman" w:hAnsi="Times New Roman" w:cs="Times New Roman" w:hint="default"/>
          <w:color w:val="auto"/>
          <w:sz w:val="28"/>
          <w:szCs w:val="28"/>
          <w:highlight w:val="none"/>
          <w:lang w:val="en-US" w:eastAsia="zh-CN"/>
        </w:rPr>
        <w:t>十五日</w:t>
      </w:r>
      <w:r>
        <w:rPr>
          <w:rFonts w:ascii="Times New Roman" w:hAnsi="Times New Roman" w:cs="Times New Roman" w:hint="default"/>
          <w:color w:val="auto"/>
          <w:sz w:val="28"/>
          <w:szCs w:val="28"/>
          <w:highlight w:val="none"/>
        </w:rPr>
        <w:t>后</w:t>
      </w:r>
      <w:r>
        <w:rPr>
          <w:rFonts w:ascii="Times New Roman" w:hAnsi="Times New Roman" w:cs="Times New Roman" w:hint="default"/>
          <w:color w:val="auto"/>
          <w:sz w:val="28"/>
          <w:szCs w:val="28"/>
        </w:rPr>
        <w:t>，向甲方提出验收申请，甲方接到申请后组织人员进行验收，验收前由乙方向甲方提供验收大纲，经甲方认可后执行，验收合格视为项目交付完成。</w:t>
      </w:r>
    </w:p>
    <w:p>
      <w:pPr>
        <w:tabs>
          <w:tab w:val="left" w:pos="709"/>
        </w:tabs>
        <w:autoSpaceDE/>
        <w:autoSpaceDN/>
        <w:adjustRightInd w:val="0"/>
        <w:snapToGrid/>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2.乙方</w:t>
      </w:r>
      <w:r>
        <w:rPr>
          <w:rFonts w:ascii="Times New Roman" w:hAnsi="Times New Roman" w:cs="Times New Roman" w:hint="eastAsia"/>
          <w:color w:val="auto"/>
          <w:sz w:val="28"/>
          <w:szCs w:val="28"/>
          <w:lang w:val="en-US" w:eastAsia="zh-CN"/>
        </w:rPr>
        <w:t>按照本合同技术说明书并</w:t>
      </w:r>
      <w:r>
        <w:rPr>
          <w:rFonts w:ascii="Times New Roman" w:hAnsi="Times New Roman" w:cs="Times New Roman" w:hint="default"/>
          <w:color w:val="auto"/>
          <w:sz w:val="28"/>
          <w:szCs w:val="28"/>
          <w:lang w:val="en-US" w:eastAsia="zh-CN"/>
        </w:rPr>
        <w:t>按照甲方要求提交合同实施情况报告、自测的产品性能测试报告、货物/服务接收清单、现场验收报告等。</w:t>
      </w:r>
    </w:p>
    <w:p>
      <w:pPr>
        <w:spacing w:line="360" w:lineRule="auto"/>
        <w:ind w:firstLine="560" w:firstLineChars="200"/>
        <w:jc w:val="both"/>
        <w:rPr>
          <w:rFonts w:hint="default"/>
          <w:b/>
          <w:color w:val="auto"/>
          <w:spacing w:val="-3"/>
          <w:sz w:val="28"/>
          <w:szCs w:val="28"/>
        </w:rPr>
      </w:pPr>
      <w:r>
        <w:rPr>
          <w:rFonts w:ascii="Times New Roman" w:hAnsi="Times New Roman" w:cs="Times New Roman" w:hint="default"/>
          <w:b/>
          <w:color w:val="auto"/>
          <w:spacing w:val="-3"/>
          <w:sz w:val="28"/>
          <w:szCs w:val="28"/>
          <w:lang w:val="en-US" w:eastAsia="zh-CN"/>
        </w:rPr>
        <w:t>五</w:t>
      </w:r>
      <w:r>
        <w:rPr>
          <w:rFonts w:ascii="Times New Roman" w:hAnsi="Times New Roman" w:cs="Times New Roman" w:hint="default"/>
          <w:b/>
          <w:color w:val="auto"/>
          <w:spacing w:val="-3"/>
          <w:sz w:val="28"/>
          <w:szCs w:val="28"/>
        </w:rPr>
        <w:t>、运输</w:t>
      </w:r>
    </w:p>
    <w:p>
      <w:pPr>
        <w:tabs>
          <w:tab w:val="left" w:pos="726"/>
          <w:tab w:val="left" w:pos="1873"/>
        </w:tabs>
        <w:spacing w:before="0" w:line="360" w:lineRule="auto"/>
        <w:ind w:right="0" w:firstLine="560" w:firstLineChars="200"/>
        <w:jc w:val="both"/>
        <w:rPr>
          <w:rFonts w:hint="default"/>
          <w:color w:val="auto"/>
          <w:spacing w:val="-4"/>
          <w:sz w:val="28"/>
          <w:szCs w:val="28"/>
        </w:rPr>
      </w:pPr>
      <w:r>
        <w:rPr>
          <w:rFonts w:ascii="Times New Roman" w:hAnsi="Times New Roman" w:cs="Times New Roman" w:hint="default"/>
          <w:color w:val="auto"/>
          <w:spacing w:val="-2"/>
          <w:sz w:val="28"/>
          <w:szCs w:val="28"/>
        </w:rPr>
        <w:t>1.本合同项下货物应由乙方承运至甲方指定地点，运输所产生的费用由乙方承担。乙方应同时承担运输过程中合同货物的所有在途风险，包括但不限于毁损、丢</w:t>
      </w:r>
      <w:r>
        <w:rPr>
          <w:rFonts w:ascii="Times New Roman" w:hAnsi="Times New Roman" w:cs="Times New Roman" w:hint="default"/>
          <w:color w:val="auto"/>
          <w:spacing w:val="-4"/>
          <w:sz w:val="28"/>
          <w:szCs w:val="28"/>
        </w:rPr>
        <w:t>失等。</w:t>
      </w:r>
    </w:p>
    <w:p>
      <w:pPr>
        <w:tabs>
          <w:tab w:val="left" w:pos="726"/>
          <w:tab w:val="left" w:pos="1873"/>
        </w:tabs>
        <w:spacing w:before="0" w:line="360" w:lineRule="auto"/>
        <w:ind w:right="0"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2.货物运输过程中出现的所有事故，由乙方自行负责，与甲方无关，如因此给甲方造成损失的，乙方应该承担相应的赔偿责任。</w:t>
      </w:r>
    </w:p>
    <w:p>
      <w:pPr>
        <w:tabs>
          <w:tab w:val="left" w:pos="726"/>
          <w:tab w:val="left" w:pos="1873"/>
        </w:tabs>
        <w:spacing w:before="0" w:line="360" w:lineRule="auto"/>
        <w:ind w:right="0"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3.货物运输途中发生的可对运输产生的不利影响的所有不可预计情况均由乙方自行协调解决。</w:t>
      </w:r>
    </w:p>
    <w:p>
      <w:pPr>
        <w:tabs>
          <w:tab w:val="left" w:pos="726"/>
          <w:tab w:val="left" w:pos="1873"/>
        </w:tabs>
        <w:spacing w:before="0" w:line="360" w:lineRule="auto"/>
        <w:ind w:right="0"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4.因自然灾害、政策变动等不可抗力因素导致送货延迟的，乙方须及时通知甲方，并取得相关证明，以便甲方处理后续工作。</w:t>
      </w:r>
    </w:p>
    <w:p>
      <w:pPr>
        <w:spacing w:line="360" w:lineRule="auto"/>
        <w:ind w:firstLine="560" w:firstLineChars="200"/>
        <w:jc w:val="both"/>
        <w:rPr>
          <w:rFonts w:hint="default"/>
          <w:b/>
          <w:color w:val="auto"/>
          <w:spacing w:val="-3"/>
          <w:sz w:val="28"/>
          <w:szCs w:val="28"/>
        </w:rPr>
      </w:pPr>
      <w:r>
        <w:rPr>
          <w:rFonts w:ascii="Times New Roman" w:hAnsi="Times New Roman" w:cs="Times New Roman" w:hint="default"/>
          <w:b/>
          <w:color w:val="auto"/>
          <w:spacing w:val="-3"/>
          <w:sz w:val="28"/>
          <w:szCs w:val="28"/>
          <w:lang w:val="en-US" w:eastAsia="zh-CN"/>
        </w:rPr>
        <w:t>六</w:t>
      </w:r>
      <w:r>
        <w:rPr>
          <w:rFonts w:ascii="Times New Roman" w:hAnsi="Times New Roman" w:cs="Times New Roman" w:hint="default"/>
          <w:b/>
          <w:color w:val="auto"/>
          <w:spacing w:val="-3"/>
          <w:sz w:val="28"/>
          <w:szCs w:val="28"/>
        </w:rPr>
        <w:t>、收货时间、地点</w:t>
      </w:r>
    </w:p>
    <w:p>
      <w:pPr>
        <w:pStyle w:val="BodyText"/>
        <w:tabs>
          <w:tab w:val="left" w:pos="2604"/>
          <w:tab w:val="left" w:pos="3242"/>
          <w:tab w:val="left" w:pos="3926"/>
          <w:tab w:val="left" w:pos="5551"/>
        </w:tabs>
        <w:ind w:right="0" w:firstLine="560" w:firstLineChars="200"/>
        <w:jc w:val="both"/>
        <w:rPr>
          <w:rFonts w:ascii="宋体" w:eastAsia="宋体" w:hAnsi="宋体" w:cs="宋体" w:hint="eastAsia"/>
          <w:color w:val="auto"/>
          <w:sz w:val="28"/>
          <w:szCs w:val="28"/>
        </w:rPr>
      </w:pPr>
      <w:r>
        <w:rPr>
          <w:rFonts w:ascii="宋体" w:eastAsia="宋体" w:hAnsi="宋体" w:cs="宋体" w:hint="eastAsia"/>
          <w:color w:val="auto"/>
          <w:sz w:val="28"/>
          <w:szCs w:val="28"/>
        </w:rPr>
        <w:t>乙方应于</w:t>
      </w:r>
      <w:r>
        <w:rPr>
          <w:rFonts w:ascii="宋体" w:eastAsia="宋体" w:hAnsi="宋体" w:cs="宋体" w:hint="eastAsia"/>
          <w:color w:val="auto"/>
          <w:spacing w:val="-42"/>
          <w:sz w:val="28"/>
          <w:szCs w:val="28"/>
          <w:highlight w:val="none"/>
          <w:u w:val="single"/>
        </w:rPr>
        <w:t xml:space="preserve"> </w:t>
      </w:r>
      <w:r>
        <w:rPr>
          <w:rFonts w:ascii="宋体" w:eastAsia="宋体" w:hAnsi="宋体" w:cs="宋体" w:hint="eastAsia"/>
          <w:color w:val="auto"/>
          <w:sz w:val="28"/>
          <w:szCs w:val="28"/>
          <w:highlight w:val="none"/>
          <w:u w:val="single"/>
        </w:rPr>
        <w:t>202</w:t>
      </w:r>
      <w:r>
        <w:rPr>
          <w:rFonts w:ascii="宋体" w:eastAsia="宋体" w:hAnsi="宋体" w:cs="宋体" w:hint="eastAsia"/>
          <w:color w:val="auto"/>
          <w:sz w:val="28"/>
          <w:szCs w:val="28"/>
          <w:highlight w:val="none"/>
          <w:u w:val="single"/>
          <w:lang w:val="en-US" w:eastAsia="zh-CN"/>
        </w:rPr>
        <w:t>6</w:t>
      </w:r>
      <w:r>
        <w:rPr>
          <w:rFonts w:ascii="宋体" w:eastAsia="宋体" w:hAnsi="宋体" w:cs="宋体" w:hint="eastAsia"/>
          <w:color w:val="auto"/>
          <w:sz w:val="28"/>
          <w:szCs w:val="28"/>
          <w:highlight w:val="none"/>
        </w:rPr>
        <w:t>年</w:t>
      </w:r>
      <w:r>
        <w:rPr>
          <w:rFonts w:ascii="宋体" w:eastAsia="宋体" w:hAnsi="宋体" w:cs="宋体" w:hint="eastAsia"/>
          <w:color w:val="auto"/>
          <w:sz w:val="28"/>
          <w:szCs w:val="28"/>
          <w:highlight w:val="none"/>
          <w:u w:val="single"/>
          <w:lang w:val="en-US" w:eastAsia="zh-CN"/>
        </w:rPr>
        <w:t>8</w:t>
      </w:r>
      <w:r>
        <w:rPr>
          <w:rFonts w:ascii="宋体" w:eastAsia="宋体" w:hAnsi="宋体" w:cs="宋体" w:hint="eastAsia"/>
          <w:color w:val="auto"/>
          <w:sz w:val="28"/>
          <w:szCs w:val="28"/>
          <w:highlight w:val="none"/>
        </w:rPr>
        <w:t>月</w:t>
      </w:r>
      <w:r>
        <w:rPr>
          <w:rFonts w:ascii="宋体" w:eastAsia="宋体" w:hAnsi="宋体" w:cs="宋体" w:hint="eastAsia"/>
          <w:color w:val="auto"/>
          <w:sz w:val="28"/>
          <w:szCs w:val="28"/>
          <w:highlight w:val="none"/>
          <w:u w:val="single"/>
          <w:lang w:val="en-US" w:eastAsia="zh-CN"/>
        </w:rPr>
        <w:t>30</w:t>
      </w:r>
      <w:r>
        <w:rPr>
          <w:rFonts w:ascii="宋体" w:eastAsia="宋体" w:hAnsi="宋体" w:cs="宋体" w:hint="eastAsia"/>
          <w:color w:val="auto"/>
          <w:sz w:val="28"/>
          <w:szCs w:val="28"/>
          <w:highlight w:val="none"/>
        </w:rPr>
        <w:t>日</w:t>
      </w:r>
      <w:r>
        <w:rPr>
          <w:rFonts w:ascii="宋体" w:eastAsia="宋体" w:hAnsi="宋体" w:cs="宋体" w:hint="eastAsia"/>
          <w:color w:val="auto"/>
          <w:sz w:val="28"/>
          <w:szCs w:val="28"/>
        </w:rPr>
        <w:t>前将本合同货物运至</w:t>
      </w:r>
      <w:r>
        <w:rPr>
          <w:rFonts w:ascii="宋体" w:eastAsia="宋体" w:hAnsi="宋体" w:cs="宋体" w:hint="eastAsia"/>
          <w:color w:val="auto"/>
          <w:sz w:val="28"/>
          <w:szCs w:val="28"/>
          <w:lang w:val="en-US" w:eastAsia="zh-CN"/>
        </w:rPr>
        <w:t>指定</w:t>
      </w:r>
      <w:r>
        <w:rPr>
          <w:rFonts w:ascii="宋体" w:eastAsia="宋体" w:hAnsi="宋体" w:cs="宋体" w:hint="eastAsia"/>
          <w:color w:val="auto"/>
          <w:sz w:val="28"/>
          <w:szCs w:val="28"/>
        </w:rPr>
        <w:t>地点：</w:t>
      </w:r>
    </w:p>
    <w:p>
      <w:pPr>
        <w:pStyle w:val="BodyText"/>
        <w:tabs>
          <w:tab w:val="left" w:pos="2351"/>
          <w:tab w:val="left" w:pos="3084"/>
          <w:tab w:val="left" w:pos="3242"/>
          <w:tab w:val="left" w:pos="3926"/>
          <w:tab w:val="left" w:pos="5551"/>
        </w:tabs>
        <w:ind w:right="0" w:firstLine="560" w:firstLineChars="200"/>
        <w:jc w:val="both"/>
        <w:rPr>
          <w:rFonts w:ascii="宋体" w:eastAsia="宋体" w:hAnsi="宋体" w:cs="宋体" w:hint="eastAsia"/>
          <w:color w:val="auto"/>
          <w:sz w:val="28"/>
          <w:szCs w:val="28"/>
        </w:rPr>
      </w:pPr>
      <w:r>
        <w:rPr>
          <w:rFonts w:ascii="宋体" w:eastAsia="宋体" w:hAnsi="宋体" w:cs="宋体" w:hint="eastAsia"/>
          <w:color w:val="auto"/>
          <w:sz w:val="28"/>
          <w:szCs w:val="28"/>
        </w:rPr>
        <w:t>收货单位：青海省气象灾害防御技术中心</w:t>
      </w:r>
    </w:p>
    <w:p>
      <w:pPr>
        <w:pStyle w:val="BodyText"/>
        <w:tabs>
          <w:tab w:val="left" w:pos="5470"/>
          <w:tab w:val="left" w:pos="5551"/>
          <w:tab w:val="left" w:pos="5610"/>
          <w:tab w:val="left" w:pos="5640"/>
        </w:tabs>
        <w:ind w:right="0" w:firstLine="560" w:firstLineChars="200"/>
        <w:jc w:val="both"/>
        <w:rPr>
          <w:rFonts w:ascii="宋体" w:eastAsia="宋体" w:hAnsi="宋体" w:cs="宋体" w:hint="eastAsia"/>
          <w:color w:val="auto"/>
          <w:sz w:val="28"/>
          <w:szCs w:val="28"/>
          <w:u w:val="single"/>
          <w:lang w:val="en-US"/>
        </w:rPr>
      </w:pPr>
      <w:r>
        <w:rPr>
          <w:rFonts w:ascii="宋体" w:eastAsia="宋体" w:hAnsi="宋体" w:cs="宋体" w:hint="eastAsia"/>
          <w:color w:val="auto"/>
          <w:sz w:val="28"/>
          <w:szCs w:val="28"/>
        </w:rPr>
        <w:t>收</w:t>
      </w:r>
      <w:r>
        <w:rPr>
          <w:rFonts w:ascii="宋体" w:eastAsia="宋体" w:hAnsi="宋体" w:cs="宋体" w:hint="eastAsia"/>
          <w:color w:val="auto"/>
          <w:sz w:val="28"/>
          <w:szCs w:val="28"/>
          <w:lang w:val="en-US" w:eastAsia="zh-CN"/>
        </w:rPr>
        <w:t xml:space="preserve"> </w:t>
      </w:r>
      <w:r>
        <w:rPr>
          <w:rFonts w:ascii="宋体" w:eastAsia="宋体" w:hAnsi="宋体" w:cs="宋体" w:hint="eastAsia"/>
          <w:color w:val="auto"/>
          <w:sz w:val="28"/>
          <w:szCs w:val="28"/>
        </w:rPr>
        <w:t>货</w:t>
      </w:r>
      <w:r>
        <w:rPr>
          <w:rFonts w:ascii="宋体" w:eastAsia="宋体" w:hAnsi="宋体" w:cs="宋体" w:hint="eastAsia"/>
          <w:color w:val="auto"/>
          <w:sz w:val="28"/>
          <w:szCs w:val="28"/>
          <w:lang w:val="en-US" w:eastAsia="zh-CN"/>
        </w:rPr>
        <w:t xml:space="preserve"> </w:t>
      </w:r>
      <w:r>
        <w:rPr>
          <w:rFonts w:ascii="宋体" w:eastAsia="宋体" w:hAnsi="宋体" w:cs="宋体" w:hint="eastAsia"/>
          <w:color w:val="auto"/>
          <w:sz w:val="28"/>
          <w:szCs w:val="28"/>
        </w:rPr>
        <w:t>人：</w:t>
      </w:r>
      <w:r>
        <w:rPr>
          <w:rFonts w:ascii="宋体" w:eastAsia="宋体" w:hAnsi="宋体" w:cs="宋体" w:hint="eastAsia"/>
          <w:color w:val="auto"/>
          <w:sz w:val="28"/>
          <w:szCs w:val="28"/>
          <w:u w:val="single"/>
          <w:lang w:val="en-US" w:eastAsia="zh-CN"/>
        </w:rPr>
        <w:t>张莉燕</w:t>
      </w:r>
    </w:p>
    <w:p>
      <w:pPr>
        <w:pStyle w:val="BodyText"/>
        <w:tabs>
          <w:tab w:val="left" w:pos="5230"/>
          <w:tab w:val="left" w:pos="5370"/>
          <w:tab w:val="left" w:pos="5400"/>
          <w:tab w:val="left" w:pos="5551"/>
        </w:tabs>
        <w:ind w:right="0" w:firstLine="560" w:firstLineChars="200"/>
        <w:jc w:val="both"/>
        <w:rPr>
          <w:rFonts w:ascii="宋体" w:eastAsia="宋体" w:hAnsi="宋体" w:cs="宋体" w:hint="eastAsia"/>
          <w:color w:val="auto"/>
          <w:sz w:val="28"/>
          <w:szCs w:val="28"/>
          <w:lang w:val="en-US"/>
        </w:rPr>
      </w:pPr>
      <w:r>
        <w:rPr>
          <w:rFonts w:ascii="宋体" w:eastAsia="宋体" w:hAnsi="宋体" w:cs="宋体" w:hint="eastAsia"/>
          <w:color w:val="auto"/>
          <w:sz w:val="28"/>
          <w:szCs w:val="28"/>
        </w:rPr>
        <w:t>电</w:t>
      </w:r>
      <w:r>
        <w:rPr>
          <w:rFonts w:ascii="宋体" w:eastAsia="宋体" w:hAnsi="宋体" w:cs="宋体" w:hint="eastAsia"/>
          <w:color w:val="auto"/>
          <w:sz w:val="28"/>
          <w:szCs w:val="28"/>
          <w:lang w:val="en-US" w:eastAsia="zh-CN"/>
        </w:rPr>
        <w:t xml:space="preserve">    </w:t>
      </w:r>
      <w:r>
        <w:rPr>
          <w:rFonts w:ascii="宋体" w:eastAsia="宋体" w:hAnsi="宋体" w:cs="宋体" w:hint="eastAsia"/>
          <w:color w:val="auto"/>
          <w:sz w:val="28"/>
          <w:szCs w:val="28"/>
        </w:rPr>
        <w:t>话：</w:t>
      </w:r>
      <w:r>
        <w:rPr>
          <w:rFonts w:ascii="宋体" w:eastAsia="宋体" w:hAnsi="宋体" w:cs="宋体" w:hint="eastAsia"/>
          <w:color w:val="auto"/>
          <w:sz w:val="28"/>
          <w:szCs w:val="28"/>
          <w:u w:val="single"/>
          <w:lang w:val="en-US" w:eastAsia="zh-CN"/>
        </w:rPr>
        <w:t>17860719363</w:t>
      </w:r>
    </w:p>
    <w:p>
      <w:pPr>
        <w:tabs>
          <w:tab w:val="left" w:pos="5636"/>
        </w:tabs>
        <w:spacing w:line="360" w:lineRule="auto"/>
        <w:ind w:right="0" w:firstLine="560" w:firstLineChars="200"/>
        <w:jc w:val="both"/>
        <w:rPr>
          <w:rFonts w:hint="default"/>
          <w:color w:val="auto"/>
          <w:sz w:val="28"/>
          <w:szCs w:val="28"/>
          <w:u w:val="single"/>
        </w:rPr>
      </w:pPr>
      <w:r>
        <w:rPr>
          <w:rFonts w:ascii="Times New Roman" w:hAnsi="Times New Roman" w:cs="Times New Roman" w:hint="default"/>
          <w:color w:val="auto"/>
          <w:spacing w:val="-2"/>
          <w:sz w:val="28"/>
          <w:szCs w:val="28"/>
        </w:rPr>
        <w:t>收货地址：</w:t>
      </w:r>
      <w:r>
        <w:rPr>
          <w:rFonts w:ascii="Times New Roman" w:hAnsi="Times New Roman" w:cs="Times New Roman" w:hint="default"/>
          <w:color w:val="auto"/>
          <w:sz w:val="28"/>
          <w:szCs w:val="28"/>
          <w:u w:val="single"/>
          <w:lang w:val="en-US" w:eastAsia="zh-CN"/>
        </w:rPr>
        <w:t>青海省西宁市城西区五四大街19号</w:t>
      </w:r>
    </w:p>
    <w:p>
      <w:pPr>
        <w:tabs>
          <w:tab w:val="left" w:pos="3242"/>
        </w:tabs>
        <w:spacing w:line="360" w:lineRule="auto"/>
        <w:ind w:right="0" w:firstLine="560" w:firstLineChars="200"/>
        <w:jc w:val="both"/>
        <w:rPr>
          <w:rFonts w:hint="default"/>
          <w:color w:val="auto"/>
          <w:sz w:val="28"/>
          <w:szCs w:val="28"/>
          <w:u w:val="single"/>
        </w:rPr>
      </w:pPr>
      <w:r>
        <w:rPr>
          <w:rFonts w:ascii="Times New Roman" w:hAnsi="Times New Roman" w:cs="Times New Roman" w:hint="default"/>
          <w:color w:val="auto"/>
          <w:spacing w:val="-2"/>
          <w:sz w:val="28"/>
          <w:szCs w:val="28"/>
        </w:rPr>
        <w:t>邮    编：</w:t>
      </w:r>
      <w:r>
        <w:rPr>
          <w:rFonts w:ascii="Times New Roman" w:hAnsi="Times New Roman" w:cs="Times New Roman" w:hint="default"/>
          <w:color w:val="auto"/>
          <w:sz w:val="28"/>
          <w:szCs w:val="28"/>
          <w:u w:val="single"/>
          <w:lang w:val="en-US" w:eastAsia="zh-CN"/>
        </w:rPr>
        <w:t>810001</w:t>
      </w:r>
    </w:p>
    <w:p>
      <w:pPr>
        <w:numPr>
          <w:ilvl w:val="0"/>
          <w:numId w:val="0"/>
        </w:numPr>
        <w:tabs>
          <w:tab w:val="left" w:pos="3242"/>
        </w:tabs>
        <w:spacing w:line="360" w:lineRule="auto"/>
        <w:ind w:left="420" w:firstLine="0" w:leftChars="200" w:firstLineChars="0"/>
        <w:jc w:val="both"/>
        <w:rPr>
          <w:rFonts w:hint="default"/>
          <w:b/>
          <w:color w:val="auto"/>
          <w:spacing w:val="-3"/>
          <w:sz w:val="28"/>
          <w:szCs w:val="28"/>
        </w:rPr>
      </w:pPr>
      <w:r>
        <w:rPr>
          <w:rFonts w:ascii="Times New Roman" w:hAnsi="Times New Roman" w:cs="Times New Roman" w:hint="default"/>
          <w:b/>
          <w:color w:val="auto"/>
          <w:spacing w:val="-3"/>
          <w:sz w:val="28"/>
          <w:szCs w:val="28"/>
          <w:lang w:val="en-US" w:eastAsia="zh-CN"/>
        </w:rPr>
        <w:t>七</w:t>
      </w:r>
      <w:r>
        <w:rPr>
          <w:rFonts w:ascii="Times New Roman" w:hAnsi="Times New Roman" w:cs="Times New Roman" w:hint="default"/>
          <w:b/>
          <w:color w:val="auto"/>
          <w:spacing w:val="-3"/>
          <w:sz w:val="28"/>
          <w:szCs w:val="28"/>
        </w:rPr>
        <w:t>、合同价格及付款方式</w:t>
      </w:r>
    </w:p>
    <w:p>
      <w:pPr>
        <w:wordWrap/>
        <w:autoSpaceDE/>
        <w:autoSpaceDN/>
        <w:spacing w:line="360" w:lineRule="auto"/>
        <w:ind w:firstLine="560" w:firstLineChars="200"/>
        <w:jc w:val="both"/>
        <w:rPr>
          <w:rFonts w:hint="default"/>
          <w:color w:val="auto"/>
          <w:sz w:val="28"/>
          <w:szCs w:val="28"/>
          <w:highlight w:val="none"/>
        </w:rPr>
      </w:pPr>
      <w:r>
        <w:rPr>
          <w:rFonts w:ascii="Times New Roman" w:hAnsi="Times New Roman" w:cs="Times New Roman" w:hint="default"/>
          <w:color w:val="auto"/>
          <w:sz w:val="28"/>
          <w:szCs w:val="28"/>
          <w:highlight w:val="none"/>
        </w:rPr>
        <w:t>1.合同总金额为人民币</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万元整</w:t>
      </w:r>
      <w:r>
        <w:rPr>
          <w:rFonts w:ascii="Times New Roman" w:hAnsi="Times New Roman" w:cs="Times New Roman" w:hint="default"/>
          <w:color w:val="auto"/>
          <w:sz w:val="28"/>
          <w:szCs w:val="28"/>
          <w:highlight w:val="none"/>
          <w:u w:val="none"/>
          <w:lang w:eastAsia="zh-CN"/>
        </w:rPr>
        <w:t>（</w:t>
      </w:r>
      <w:r>
        <w:rPr>
          <w:rFonts w:ascii="Times New Roman" w:hAnsi="Times New Roman" w:cs="Times New Roman" w:hint="default"/>
          <w:color w:val="auto"/>
          <w:sz w:val="28"/>
          <w:szCs w:val="28"/>
          <w:highlight w:val="none"/>
          <w:u w:val="none"/>
          <w:lang w:val="en-US" w:eastAsia="zh-CN"/>
        </w:rPr>
        <w:t>大写</w:t>
      </w:r>
      <w:r>
        <w:rPr>
          <w:rFonts w:ascii="Times New Roman" w:hAnsi="Times New Roman" w:cs="Times New Roman" w:hint="default"/>
          <w:color w:val="auto"/>
          <w:sz w:val="28"/>
          <w:szCs w:val="28"/>
          <w:highlight w:val="none"/>
          <w:u w:val="none"/>
          <w:lang w:eastAsia="zh-CN"/>
        </w:rPr>
        <w:t>），</w:t>
      </w:r>
      <w:r>
        <w:rPr>
          <w:rFonts w:ascii="Times New Roman" w:hAnsi="Times New Roman" w:cs="Times New Roman" w:hint="default"/>
          <w:color w:val="auto"/>
          <w:sz w:val="28"/>
          <w:szCs w:val="28"/>
          <w:highlight w:val="none"/>
          <w:u w:val="single"/>
        </w:rPr>
        <w:t>￥</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none"/>
          <w:lang w:eastAsia="zh-CN"/>
        </w:rPr>
        <w:t>（</w:t>
      </w:r>
      <w:r>
        <w:rPr>
          <w:rFonts w:ascii="Times New Roman" w:hAnsi="Times New Roman" w:cs="Times New Roman" w:hint="default"/>
          <w:color w:val="auto"/>
          <w:sz w:val="28"/>
          <w:szCs w:val="28"/>
          <w:highlight w:val="none"/>
          <w:u w:val="none"/>
          <w:lang w:val="en-US" w:eastAsia="zh-CN"/>
        </w:rPr>
        <w:t>小写</w:t>
      </w:r>
      <w:r>
        <w:rPr>
          <w:rFonts w:ascii="Times New Roman" w:hAnsi="Times New Roman" w:cs="Times New Roman" w:hint="default"/>
          <w:color w:val="auto"/>
          <w:sz w:val="28"/>
          <w:szCs w:val="28"/>
          <w:highlight w:val="none"/>
          <w:u w:val="none"/>
          <w:lang w:eastAsia="zh-CN"/>
        </w:rPr>
        <w:t>），</w:t>
      </w:r>
      <w:r>
        <w:rPr>
          <w:rFonts w:ascii="Times New Roman" w:eastAsia="宋体" w:hAnsi="Times New Roman" w:cs="Times New Roman" w:hint="default"/>
          <w:color w:val="auto"/>
          <w:kern w:val="0"/>
          <w:sz w:val="28"/>
          <w:szCs w:val="28"/>
          <w:highlight w:val="none"/>
          <w:lang w:val="en-US" w:eastAsia="zh-CN"/>
        </w:rPr>
        <w:t>包含设备购置、运输、安装、保险、税金等全部费用</w:t>
      </w:r>
      <w:r>
        <w:rPr>
          <w:rFonts w:ascii="Times New Roman" w:hAnsi="Times New Roman" w:cs="Times New Roman" w:hint="default"/>
          <w:color w:val="auto"/>
          <w:sz w:val="28"/>
          <w:szCs w:val="28"/>
          <w:highlight w:val="none"/>
          <w:u w:val="none"/>
        </w:rPr>
        <w:t>。</w:t>
      </w:r>
    </w:p>
    <w:p>
      <w:pPr>
        <w:spacing w:line="360" w:lineRule="auto"/>
        <w:ind w:firstLine="560" w:firstLineChars="200"/>
        <w:jc w:val="both"/>
        <w:rPr>
          <w:rFonts w:hint="default"/>
          <w:color w:val="auto"/>
          <w:kern w:val="0"/>
          <w:sz w:val="28"/>
          <w:szCs w:val="28"/>
          <w:highlight w:val="none"/>
        </w:rPr>
      </w:pPr>
      <w:r>
        <w:rPr>
          <w:rFonts w:ascii="Times New Roman" w:hAnsi="Times New Roman" w:cs="Times New Roman" w:hint="default"/>
          <w:color w:val="auto"/>
          <w:sz w:val="28"/>
          <w:szCs w:val="28"/>
          <w:highlight w:val="none"/>
        </w:rPr>
        <w:t>2.合同生效后付款：</w:t>
      </w:r>
      <w:r>
        <w:rPr>
          <w:rFonts w:ascii="Times New Roman" w:eastAsia="宋体" w:hAnsi="Times New Roman" w:cs="Times New Roman" w:hint="default"/>
          <w:color w:val="auto"/>
          <w:kern w:val="0"/>
          <w:sz w:val="28"/>
          <w:szCs w:val="28"/>
          <w:highlight w:val="none"/>
        </w:rPr>
        <w:t>双方签署合同后</w:t>
      </w:r>
      <w:r>
        <w:rPr>
          <w:rFonts w:cs="Times New Roman" w:hint="eastAsia"/>
          <w:color w:val="auto"/>
          <w:kern w:val="0"/>
          <w:sz w:val="28"/>
          <w:szCs w:val="28"/>
          <w:highlight w:val="none"/>
          <w:lang w:val="en-US" w:eastAsia="zh-CN"/>
        </w:rPr>
        <w:t>30</w:t>
      </w:r>
      <w:r>
        <w:rPr>
          <w:rFonts w:ascii="Times New Roman" w:eastAsia="宋体" w:hAnsi="Times New Roman" w:cs="Times New Roman" w:hint="default"/>
          <w:color w:val="auto"/>
          <w:kern w:val="0"/>
          <w:sz w:val="28"/>
          <w:szCs w:val="28"/>
          <w:highlight w:val="none"/>
        </w:rPr>
        <w:t>个工作日内，甲方向乙方支付合同总金额的</w:t>
      </w:r>
      <w:r>
        <w:rPr>
          <w:rFonts w:ascii="Times New Roman" w:eastAsia="宋体" w:hAnsi="Times New Roman" w:cs="Times New Roman" w:hint="default"/>
          <w:color w:val="auto"/>
          <w:kern w:val="0"/>
          <w:sz w:val="28"/>
          <w:szCs w:val="28"/>
          <w:highlight w:val="none"/>
          <w:lang w:val="en-US" w:eastAsia="zh-CN"/>
        </w:rPr>
        <w:t>60</w:t>
      </w:r>
      <w:r>
        <w:rPr>
          <w:rFonts w:ascii="Times New Roman" w:eastAsia="宋体" w:hAnsi="Times New Roman" w:cs="Times New Roman" w:hint="default"/>
          <w:color w:val="auto"/>
          <w:kern w:val="0"/>
          <w:sz w:val="28"/>
          <w:szCs w:val="28"/>
          <w:highlight w:val="none"/>
        </w:rPr>
        <w:t>%</w:t>
      </w:r>
      <w:r>
        <w:rPr>
          <w:rFonts w:ascii="Times New Roman" w:eastAsia="宋体" w:hAnsi="Times New Roman" w:cs="Times New Roman" w:hint="default"/>
          <w:color w:val="auto"/>
          <w:kern w:val="0"/>
          <w:sz w:val="28"/>
          <w:szCs w:val="28"/>
          <w:highlight w:val="none"/>
          <w:lang w:val="en-US" w:eastAsia="zh-CN"/>
        </w:rPr>
        <w:t>预付款</w:t>
      </w:r>
      <w:r>
        <w:rPr>
          <w:rFonts w:ascii="Times New Roman" w:eastAsia="宋体" w:hAnsi="Times New Roman" w:cs="Times New Roman" w:hint="default"/>
          <w:color w:val="auto"/>
          <w:kern w:val="0"/>
          <w:sz w:val="28"/>
          <w:szCs w:val="28"/>
          <w:highlight w:val="none"/>
        </w:rPr>
        <w:t>，即人民币</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元整</w:t>
      </w:r>
      <w:r>
        <w:rPr>
          <w:rFonts w:ascii="Times New Roman" w:hAnsi="Times New Roman" w:cs="Times New Roman" w:hint="default"/>
          <w:color w:val="auto"/>
          <w:sz w:val="28"/>
          <w:szCs w:val="28"/>
          <w:highlight w:val="none"/>
        </w:rPr>
        <w:t>（大写）</w:t>
      </w:r>
      <w:r>
        <w:rPr>
          <w:rFonts w:ascii="Times New Roman" w:hAnsi="Times New Roman" w:cs="Times New Roman" w:hint="default"/>
          <w:color w:val="auto"/>
          <w:sz w:val="28"/>
          <w:szCs w:val="28"/>
          <w:highlight w:val="none"/>
          <w:lang w:eastAsia="zh-CN"/>
        </w:rPr>
        <w:t>，</w:t>
      </w:r>
      <w:r>
        <w:rPr>
          <w:rFonts w:ascii="Times New Roman" w:hAnsi="Times New Roman" w:cs="Times New Roman" w:hint="default"/>
          <w:color w:val="auto"/>
          <w:sz w:val="28"/>
          <w:szCs w:val="28"/>
          <w:highlight w:val="none"/>
          <w:u w:val="single"/>
          <w:lang w:eastAsia="zh-CN"/>
        </w:rPr>
        <w:t>￥</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元</w:t>
      </w:r>
      <w:r>
        <w:rPr>
          <w:rFonts w:ascii="Times New Roman" w:hAnsi="Times New Roman" w:cs="Times New Roman" w:hint="default"/>
          <w:color w:val="auto"/>
          <w:sz w:val="28"/>
          <w:szCs w:val="28"/>
          <w:highlight w:val="none"/>
        </w:rPr>
        <w:t>（小写）</w:t>
      </w:r>
      <w:r>
        <w:rPr>
          <w:rFonts w:ascii="Times New Roman" w:hAnsi="Times New Roman" w:cs="Times New Roman" w:hint="default"/>
          <w:color w:val="auto"/>
          <w:sz w:val="28"/>
          <w:szCs w:val="28"/>
          <w:highlight w:val="none"/>
          <w:lang w:eastAsia="zh-CN"/>
        </w:rPr>
        <w:t>，</w:t>
      </w:r>
      <w:r>
        <w:rPr>
          <w:rFonts w:ascii="Times New Roman" w:eastAsia="宋体" w:hAnsi="Times New Roman" w:cs="Times New Roman" w:hint="default"/>
          <w:color w:val="auto"/>
          <w:kern w:val="0"/>
          <w:sz w:val="28"/>
          <w:szCs w:val="28"/>
          <w:highlight w:val="none"/>
          <w:lang w:eastAsia="zh-CN"/>
        </w:rPr>
        <w:t>设备到场现场开箱验收合格后预付款转为合同支付款。</w:t>
      </w:r>
    </w:p>
    <w:p>
      <w:pPr>
        <w:numPr>
          <w:ilvl w:val="0"/>
          <w:numId w:val="0"/>
        </w:numPr>
        <w:spacing w:line="360" w:lineRule="auto"/>
        <w:ind w:firstLine="560" w:firstLineChars="200"/>
        <w:jc w:val="both"/>
        <w:rPr>
          <w:rFonts w:hint="default"/>
          <w:color w:val="auto"/>
          <w:sz w:val="28"/>
          <w:szCs w:val="28"/>
          <w:highlight w:val="none"/>
        </w:rPr>
      </w:pPr>
      <w:r>
        <w:rPr>
          <w:rFonts w:ascii="Times New Roman" w:hAnsi="Times New Roman" w:cs="Times New Roman" w:hint="default"/>
          <w:color w:val="auto"/>
          <w:sz w:val="28"/>
          <w:szCs w:val="28"/>
          <w:highlight w:val="none"/>
          <w:lang w:val="en-US" w:eastAsia="zh-CN"/>
        </w:rPr>
        <w:t>3.</w:t>
      </w:r>
      <w:r>
        <w:rPr>
          <w:rFonts w:ascii="Times New Roman" w:eastAsia="宋体" w:hAnsi="Times New Roman" w:cs="Times New Roman" w:hint="default"/>
          <w:color w:val="auto"/>
          <w:kern w:val="0"/>
          <w:sz w:val="28"/>
          <w:szCs w:val="28"/>
          <w:highlight w:val="none"/>
          <w:lang w:eastAsia="zh-CN"/>
        </w:rPr>
        <w:t>设备测试业务验收后</w:t>
      </w:r>
      <w:r>
        <w:rPr>
          <w:rFonts w:cs="Times New Roman" w:hint="eastAsia"/>
          <w:color w:val="auto"/>
          <w:kern w:val="0"/>
          <w:sz w:val="28"/>
          <w:szCs w:val="28"/>
          <w:highlight w:val="none"/>
          <w:lang w:val="en-US" w:eastAsia="zh-CN"/>
        </w:rPr>
        <w:t>30</w:t>
      </w:r>
      <w:r>
        <w:rPr>
          <w:rFonts w:ascii="Times New Roman" w:eastAsia="宋体" w:hAnsi="Times New Roman" w:cs="Times New Roman" w:hint="default"/>
          <w:color w:val="auto"/>
          <w:kern w:val="0"/>
          <w:sz w:val="28"/>
          <w:szCs w:val="28"/>
          <w:highlight w:val="none"/>
          <w:lang w:val="en-US" w:eastAsia="zh-CN"/>
        </w:rPr>
        <w:t>个工作日内</w:t>
      </w:r>
      <w:r>
        <w:rPr>
          <w:rFonts w:ascii="Times New Roman" w:eastAsia="宋体" w:hAnsi="Times New Roman" w:cs="Times New Roman" w:hint="default"/>
          <w:color w:val="auto"/>
          <w:kern w:val="0"/>
          <w:sz w:val="28"/>
          <w:szCs w:val="28"/>
          <w:highlight w:val="none"/>
          <w:lang w:eastAsia="zh-CN"/>
        </w:rPr>
        <w:t>甲方向乙方支付合同总金额的</w:t>
      </w:r>
      <w:r>
        <w:rPr>
          <w:rFonts w:ascii="Times New Roman" w:eastAsia="宋体" w:hAnsi="Times New Roman" w:cs="Times New Roman" w:hint="default"/>
          <w:color w:val="auto"/>
          <w:kern w:val="0"/>
          <w:sz w:val="28"/>
          <w:szCs w:val="28"/>
          <w:highlight w:val="none"/>
          <w:lang w:val="en-US" w:eastAsia="zh-CN"/>
        </w:rPr>
        <w:t>3</w:t>
      </w:r>
      <w:r>
        <w:rPr>
          <w:rFonts w:ascii="Times New Roman" w:eastAsia="宋体" w:hAnsi="Times New Roman" w:cs="Times New Roman" w:hint="eastAsia"/>
          <w:color w:val="auto"/>
          <w:kern w:val="0"/>
          <w:sz w:val="28"/>
          <w:szCs w:val="28"/>
          <w:highlight w:val="none"/>
          <w:lang w:val="en-US" w:eastAsia="zh-CN"/>
        </w:rPr>
        <w:t>0</w:t>
      </w:r>
      <w:r>
        <w:rPr>
          <w:rFonts w:ascii="Times New Roman" w:eastAsia="宋体" w:hAnsi="Times New Roman" w:cs="Times New Roman" w:hint="default"/>
          <w:color w:val="auto"/>
          <w:kern w:val="0"/>
          <w:sz w:val="28"/>
          <w:szCs w:val="28"/>
          <w:highlight w:val="none"/>
          <w:lang w:val="en-US" w:eastAsia="zh-CN"/>
        </w:rPr>
        <w:t>%，</w:t>
      </w:r>
      <w:r>
        <w:rPr>
          <w:rFonts w:ascii="Times New Roman" w:hAnsi="Times New Roman" w:cs="Times New Roman" w:hint="default"/>
          <w:color w:val="auto"/>
          <w:sz w:val="28"/>
          <w:szCs w:val="28"/>
          <w:highlight w:val="none"/>
        </w:rPr>
        <w:t>即人民币</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元整</w:t>
      </w:r>
      <w:r>
        <w:rPr>
          <w:rFonts w:ascii="Times New Roman" w:hAnsi="Times New Roman" w:cs="Times New Roman" w:hint="default"/>
          <w:color w:val="auto"/>
          <w:sz w:val="28"/>
          <w:szCs w:val="28"/>
          <w:highlight w:val="none"/>
          <w:u w:val="none"/>
        </w:rPr>
        <w:t>（大写）</w:t>
      </w:r>
      <w:r>
        <w:rPr>
          <w:rFonts w:ascii="Times New Roman" w:hAnsi="Times New Roman" w:cs="Times New Roman" w:hint="default"/>
          <w:color w:val="auto"/>
          <w:sz w:val="28"/>
          <w:szCs w:val="28"/>
          <w:highlight w:val="none"/>
          <w:u w:val="none"/>
          <w:lang w:eastAsia="zh-CN"/>
        </w:rPr>
        <w:t>，</w:t>
      </w:r>
      <w:r>
        <w:rPr>
          <w:rFonts w:ascii="Times New Roman" w:hAnsi="Times New Roman" w:cs="Times New Roman" w:hint="default"/>
          <w:color w:val="auto"/>
          <w:sz w:val="28"/>
          <w:szCs w:val="28"/>
          <w:highlight w:val="none"/>
          <w:u w:val="single"/>
          <w:lang w:eastAsia="zh-CN"/>
        </w:rPr>
        <w:t>￥</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元</w:t>
      </w:r>
      <w:r>
        <w:rPr>
          <w:rFonts w:ascii="Times New Roman" w:hAnsi="Times New Roman" w:cs="Times New Roman" w:hint="default"/>
          <w:color w:val="auto"/>
          <w:sz w:val="28"/>
          <w:szCs w:val="28"/>
          <w:highlight w:val="none"/>
          <w:u w:val="none"/>
        </w:rPr>
        <w:t>（小写）</w:t>
      </w:r>
      <w:r>
        <w:rPr>
          <w:rFonts w:ascii="Times New Roman" w:hAnsi="Times New Roman" w:cs="Times New Roman" w:hint="default"/>
          <w:color w:val="auto"/>
          <w:sz w:val="28"/>
          <w:szCs w:val="28"/>
          <w:highlight w:val="none"/>
          <w:u w:val="none"/>
          <w:lang w:eastAsia="zh-CN"/>
        </w:rPr>
        <w:t>。</w:t>
      </w:r>
    </w:p>
    <w:p>
      <w:pPr>
        <w:spacing w:line="360" w:lineRule="auto"/>
        <w:ind w:firstLine="560" w:firstLineChars="200"/>
        <w:jc w:val="both"/>
        <w:rPr>
          <w:rFonts w:hint="default"/>
          <w:color w:val="auto"/>
          <w:sz w:val="28"/>
          <w:szCs w:val="28"/>
          <w:u w:val="none"/>
        </w:rPr>
      </w:pPr>
      <w:r>
        <w:rPr>
          <w:rFonts w:ascii="Times New Roman" w:hAnsi="Times New Roman" w:cs="Times New Roman" w:hint="default"/>
          <w:color w:val="auto"/>
          <w:sz w:val="28"/>
          <w:szCs w:val="28"/>
          <w:highlight w:val="none"/>
        </w:rPr>
        <w:t>4.</w:t>
      </w:r>
      <w:r>
        <w:rPr>
          <w:rFonts w:ascii="Times New Roman" w:eastAsia="宋体" w:hAnsi="Times New Roman" w:cs="Times New Roman" w:hint="default"/>
          <w:color w:val="auto"/>
          <w:kern w:val="0"/>
          <w:sz w:val="28"/>
          <w:szCs w:val="28"/>
          <w:highlight w:val="none"/>
          <w:lang w:val="en-US" w:eastAsia="zh-CN"/>
        </w:rPr>
        <w:t>项目合同验收后</w:t>
      </w:r>
      <w:r>
        <w:rPr>
          <w:rFonts w:cs="Times New Roman" w:hint="eastAsia"/>
          <w:color w:val="auto"/>
          <w:kern w:val="0"/>
          <w:sz w:val="28"/>
          <w:szCs w:val="28"/>
          <w:highlight w:val="none"/>
          <w:lang w:val="en-US" w:eastAsia="zh-CN"/>
        </w:rPr>
        <w:t>30</w:t>
      </w:r>
      <w:r>
        <w:rPr>
          <w:rFonts w:ascii="Times New Roman" w:eastAsia="宋体" w:hAnsi="Times New Roman" w:cs="Times New Roman" w:hint="default"/>
          <w:color w:val="auto"/>
          <w:kern w:val="0"/>
          <w:sz w:val="28"/>
          <w:szCs w:val="28"/>
          <w:highlight w:val="none"/>
          <w:lang w:val="en-US" w:eastAsia="zh-CN"/>
        </w:rPr>
        <w:t>个工作日内，</w:t>
      </w:r>
      <w:r>
        <w:rPr>
          <w:rFonts w:ascii="Times New Roman" w:hAnsi="Times New Roman" w:cs="Times New Roman" w:hint="default"/>
          <w:color w:val="auto"/>
          <w:sz w:val="28"/>
          <w:szCs w:val="28"/>
          <w:highlight w:val="none"/>
        </w:rPr>
        <w:t>甲方向乙方支付合同总金额的</w:t>
      </w:r>
      <w:r>
        <w:rPr>
          <w:rFonts w:ascii="Times New Roman" w:hAnsi="Times New Roman" w:cs="Times New Roman" w:hint="eastAsia"/>
          <w:color w:val="auto"/>
          <w:sz w:val="28"/>
          <w:szCs w:val="28"/>
          <w:highlight w:val="none"/>
          <w:lang w:val="en-US" w:eastAsia="zh-CN"/>
        </w:rPr>
        <w:t>10</w:t>
      </w:r>
      <w:r>
        <w:rPr>
          <w:rFonts w:ascii="Times New Roman" w:hAnsi="Times New Roman" w:cs="Times New Roman" w:hint="default"/>
          <w:color w:val="auto"/>
          <w:sz w:val="28"/>
          <w:szCs w:val="28"/>
          <w:highlight w:val="none"/>
        </w:rPr>
        <w:t>%，即人民币</w:t>
      </w:r>
      <w:r>
        <w:rPr>
          <w:rFonts w:ascii="Times New Roman" w:hAnsi="Times New Roman" w:cs="Times New Roman" w:hint="eastAsia"/>
          <w:color w:val="auto"/>
          <w:sz w:val="28"/>
          <w:szCs w:val="28"/>
          <w:highlight w:val="none"/>
          <w:lang w:val="en-US" w:eastAsia="zh-CN"/>
        </w:rPr>
        <w:t xml:space="preserve">  </w:t>
      </w:r>
      <w:r>
        <w:rPr>
          <w:rFonts w:ascii="Times New Roman" w:hAnsi="Times New Roman" w:cs="Times New Roman" w:hint="default"/>
          <w:color w:val="auto"/>
          <w:sz w:val="28"/>
          <w:szCs w:val="28"/>
          <w:highlight w:val="none"/>
          <w:u w:val="single"/>
        </w:rPr>
        <w:t>元整</w:t>
      </w:r>
      <w:r>
        <w:rPr>
          <w:rFonts w:ascii="Times New Roman" w:hAnsi="Times New Roman" w:cs="Times New Roman" w:hint="default"/>
          <w:color w:val="auto"/>
          <w:sz w:val="28"/>
          <w:szCs w:val="28"/>
          <w:highlight w:val="none"/>
          <w:u w:val="none"/>
        </w:rPr>
        <w:t>（大写）</w:t>
      </w:r>
      <w:r>
        <w:rPr>
          <w:rFonts w:ascii="Times New Roman" w:hAnsi="Times New Roman" w:cs="Times New Roman" w:hint="default"/>
          <w:color w:val="auto"/>
          <w:sz w:val="28"/>
          <w:szCs w:val="28"/>
          <w:highlight w:val="none"/>
          <w:u w:val="none"/>
          <w:lang w:eastAsia="zh-CN"/>
        </w:rPr>
        <w:t>，</w:t>
      </w:r>
      <w:r>
        <w:rPr>
          <w:rFonts w:ascii="Times New Roman" w:hAnsi="Times New Roman" w:cs="Times New Roman" w:hint="default"/>
          <w:color w:val="auto"/>
          <w:sz w:val="28"/>
          <w:szCs w:val="28"/>
          <w:highlight w:val="none"/>
          <w:u w:val="single"/>
          <w:lang w:eastAsia="zh-CN"/>
        </w:rPr>
        <w:t>￥</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元</w:t>
      </w:r>
      <w:r>
        <w:rPr>
          <w:rFonts w:ascii="Times New Roman" w:hAnsi="Times New Roman" w:cs="Times New Roman" w:hint="default"/>
          <w:color w:val="auto"/>
          <w:sz w:val="28"/>
          <w:szCs w:val="28"/>
          <w:highlight w:val="none"/>
          <w:u w:val="none"/>
        </w:rPr>
        <w:t>（小写）</w:t>
      </w:r>
      <w:r>
        <w:rPr>
          <w:rFonts w:ascii="Times New Roman" w:hAnsi="Times New Roman" w:cs="Times New Roman" w:hint="default"/>
          <w:color w:val="auto"/>
          <w:sz w:val="28"/>
          <w:szCs w:val="28"/>
          <w:u w:val="none"/>
          <w:lang w:eastAsia="zh-CN"/>
        </w:rPr>
        <w:t>。</w:t>
      </w:r>
    </w:p>
    <w:tbl>
      <w:tblPr>
        <w:tblStyle w:val="TableNormal"/>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22"/>
        <w:gridCol w:w="7081"/>
      </w:tblGrid>
      <w:tr>
        <w:tblPrEx>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7"/>
          <w:jc w:val="center"/>
        </w:trPr>
        <w:tc>
          <w:tcPr>
            <w:tcW w:w="9203" w:type="dxa"/>
            <w:gridSpan w:val="2"/>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b/>
                <w:color w:val="auto"/>
                <w:sz w:val="24"/>
                <w:szCs w:val="24"/>
              </w:rPr>
              <w:t>付款信息</w:t>
            </w:r>
          </w:p>
        </w:tc>
      </w:tr>
      <w:tr>
        <w:tblPrEx>
          <w:tblW w:w="9203" w:type="dxa"/>
          <w:jc w:val="center"/>
          <w:tblLayout w:type="fixed"/>
          <w:tblCellMar>
            <w:top w:w="0" w:type="dxa"/>
            <w:left w:w="108" w:type="dxa"/>
            <w:bottom w:w="0" w:type="dxa"/>
            <w:right w:w="108" w:type="dxa"/>
          </w:tblCellMar>
        </w:tblPrEx>
        <w:trPr>
          <w:trHeight w:val="9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color w:val="auto"/>
                <w:sz w:val="24"/>
                <w:szCs w:val="24"/>
              </w:rPr>
              <w:t>单位名称</w:t>
            </w:r>
          </w:p>
        </w:tc>
        <w:tc>
          <w:tcPr>
            <w:tcW w:w="7081" w:type="dxa"/>
            <w:noWrap w:val="0"/>
            <w:vAlign w:val="top"/>
          </w:tcPr>
          <w:p>
            <w:pPr>
              <w:keepNext w:val="0"/>
              <w:keepLines w:val="0"/>
              <w:suppressLineNumbers w:val="0"/>
              <w:adjustRightInd w:val="0"/>
              <w:snapToGrid w:val="0"/>
              <w:spacing w:before="0" w:beforeAutospacing="0" w:after="0" w:afterAutospacing="0"/>
              <w:ind w:left="0" w:right="0"/>
              <w:rPr>
                <w:rFonts w:hint="default"/>
                <w:color w:val="auto"/>
                <w:lang w:bidi="ar"/>
              </w:rPr>
            </w:pPr>
          </w:p>
        </w:tc>
      </w:tr>
      <w:tr>
        <w:tblPrEx>
          <w:tblW w:w="9203" w:type="dxa"/>
          <w:jc w:val="center"/>
          <w:tblLayout w:type="fixed"/>
          <w:tblCellMar>
            <w:top w:w="0" w:type="dxa"/>
            <w:left w:w="108" w:type="dxa"/>
            <w:bottom w:w="0" w:type="dxa"/>
            <w:right w:w="108" w:type="dxa"/>
          </w:tblCellMar>
        </w:tblPrEx>
        <w:trPr>
          <w:trHeight w:val="9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color w:val="auto"/>
                <w:sz w:val="24"/>
                <w:szCs w:val="24"/>
              </w:rPr>
              <w:t>开户银行</w:t>
            </w:r>
          </w:p>
        </w:tc>
        <w:tc>
          <w:tcPr>
            <w:tcW w:w="7081" w:type="dxa"/>
            <w:noWrap w:val="0"/>
            <w:vAlign w:val="top"/>
          </w:tcPr>
          <w:p>
            <w:pPr>
              <w:keepNext w:val="0"/>
              <w:keepLines w:val="0"/>
              <w:suppressLineNumbers w:val="0"/>
              <w:adjustRightInd w:val="0"/>
              <w:snapToGrid w:val="0"/>
              <w:spacing w:before="0" w:beforeAutospacing="0" w:after="0" w:afterAutospacing="0"/>
              <w:ind w:left="0" w:right="0"/>
              <w:rPr>
                <w:rFonts w:hint="default"/>
                <w:color w:val="auto"/>
                <w:lang w:bidi="ar"/>
              </w:rPr>
            </w:pPr>
          </w:p>
        </w:tc>
      </w:tr>
      <w:tr>
        <w:tblPrEx>
          <w:tblW w:w="9203" w:type="dxa"/>
          <w:jc w:val="center"/>
          <w:tblLayout w:type="fixed"/>
          <w:tblCellMar>
            <w:top w:w="0" w:type="dxa"/>
            <w:left w:w="108" w:type="dxa"/>
            <w:bottom w:w="0" w:type="dxa"/>
            <w:right w:w="108" w:type="dxa"/>
          </w:tblCellMar>
        </w:tblPrEx>
        <w:trPr>
          <w:trHeight w:val="9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color w:val="auto"/>
                <w:sz w:val="24"/>
                <w:szCs w:val="24"/>
              </w:rPr>
              <w:t>账号</w:t>
            </w:r>
          </w:p>
        </w:tc>
        <w:tc>
          <w:tcPr>
            <w:tcW w:w="7081" w:type="dxa"/>
            <w:noWrap w:val="0"/>
            <w:vAlign w:val="top"/>
          </w:tcPr>
          <w:p>
            <w:pPr>
              <w:keepNext w:val="0"/>
              <w:keepLines w:val="0"/>
              <w:suppressLineNumbers w:val="0"/>
              <w:adjustRightInd w:val="0"/>
              <w:snapToGrid w:val="0"/>
              <w:spacing w:before="0" w:beforeAutospacing="0" w:after="0" w:afterAutospacing="0"/>
              <w:ind w:left="0" w:right="0"/>
              <w:rPr>
                <w:rFonts w:hint="default"/>
                <w:color w:val="auto"/>
                <w:lang w:bidi="ar"/>
              </w:rPr>
            </w:pPr>
          </w:p>
        </w:tc>
      </w:tr>
      <w:tr>
        <w:tblPrEx>
          <w:tblW w:w="9203" w:type="dxa"/>
          <w:jc w:val="center"/>
          <w:tblLayout w:type="fixed"/>
          <w:tblCellMar>
            <w:top w:w="0" w:type="dxa"/>
            <w:left w:w="108" w:type="dxa"/>
            <w:bottom w:w="0" w:type="dxa"/>
            <w:right w:w="108" w:type="dxa"/>
          </w:tblCellMar>
        </w:tblPrEx>
        <w:trPr>
          <w:trHeight w:val="296"/>
          <w:jc w:val="center"/>
        </w:trPr>
        <w:tc>
          <w:tcPr>
            <w:tcW w:w="9203" w:type="dxa"/>
            <w:gridSpan w:val="2"/>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b/>
                <w:color w:val="auto"/>
                <w:sz w:val="24"/>
                <w:szCs w:val="24"/>
              </w:rPr>
              <w:t>开具发票信息</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color w:val="auto"/>
                <w:sz w:val="24"/>
                <w:szCs w:val="24"/>
              </w:rPr>
              <w:t>单位名称</w:t>
            </w:r>
          </w:p>
        </w:tc>
        <w:tc>
          <w:tcPr>
            <w:tcW w:w="7081" w:type="dxa"/>
            <w:noWrap w:val="0"/>
            <w:vAlign w:val="center"/>
          </w:tcPr>
          <w:p>
            <w:pPr>
              <w:keepNext w:val="0"/>
              <w:keepLines w:val="0"/>
              <w:suppressLineNumbers w:val="0"/>
              <w:adjustRightInd w:val="0"/>
              <w:snapToGrid w:val="0"/>
              <w:spacing w:before="0" w:beforeAutospacing="0" w:after="0" w:afterAutospacing="0"/>
              <w:ind w:left="0" w:right="0"/>
              <w:rPr>
                <w:rFonts w:hint="default"/>
                <w:color w:val="auto"/>
              </w:rPr>
            </w:pPr>
            <w:r>
              <w:rPr>
                <w:rFonts w:ascii="Times New Roman" w:hAnsi="Times New Roman" w:cs="Times New Roman" w:hint="default"/>
                <w:color w:val="auto"/>
                <w:sz w:val="24"/>
                <w:szCs w:val="24"/>
                <w:lang w:bidi="ar"/>
              </w:rPr>
              <w:t>青海省气象灾害防御技术中心</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highlight w:val="yellow"/>
              </w:rPr>
            </w:pPr>
            <w:r>
              <w:rPr>
                <w:rFonts w:ascii="Times New Roman" w:hAnsi="Times New Roman" w:cs="Times New Roman" w:hint="default"/>
                <w:color w:val="auto"/>
                <w:sz w:val="24"/>
                <w:szCs w:val="24"/>
                <w:highlight w:val="none"/>
              </w:rPr>
              <w:t>纳税人识别号</w:t>
            </w:r>
          </w:p>
        </w:tc>
        <w:tc>
          <w:tcPr>
            <w:tcW w:w="7081" w:type="dxa"/>
            <w:noWrap w:val="0"/>
            <w:vAlign w:val="center"/>
          </w:tcPr>
          <w:p>
            <w:pPr>
              <w:keepNext w:val="0"/>
              <w:keepLines w:val="0"/>
              <w:suppressLineNumbers w:val="0"/>
              <w:spacing w:before="0" w:beforeAutospacing="0" w:after="0" w:afterAutospacing="0" w:line="360" w:lineRule="auto"/>
              <w:ind w:left="0" w:right="0"/>
              <w:rPr>
                <w:rFonts w:hint="default"/>
                <w:color w:val="auto"/>
                <w:highlight w:val="yellow"/>
              </w:rPr>
            </w:pPr>
            <w:r>
              <w:rPr>
                <w:rFonts w:ascii="Times New Roman" w:hAnsi="Times New Roman" w:cs="Times New Roman" w:hint="default"/>
                <w:color w:val="auto"/>
                <w:highlight w:val="none"/>
              </w:rPr>
              <w:t>12630000710507172H</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color w:val="auto"/>
                <w:sz w:val="24"/>
                <w:szCs w:val="24"/>
              </w:rPr>
              <w:t>发票类型</w:t>
            </w:r>
          </w:p>
        </w:tc>
        <w:tc>
          <w:tcPr>
            <w:tcW w:w="7081" w:type="dxa"/>
            <w:noWrap w:val="0"/>
            <w:vAlign w:val="top"/>
          </w:tcPr>
          <w:p>
            <w:pPr>
              <w:keepNext w:val="0"/>
              <w:keepLines w:val="0"/>
              <w:suppressLineNumbers w:val="0"/>
              <w:spacing w:before="0" w:beforeAutospacing="0" w:after="0" w:afterAutospacing="0" w:line="360" w:lineRule="auto"/>
              <w:ind w:left="0" w:right="0"/>
              <w:rPr>
                <w:rFonts w:hint="default"/>
                <w:color w:val="auto"/>
              </w:rPr>
            </w:pPr>
            <w:r>
              <w:rPr>
                <w:rFonts w:ascii="Times New Roman" w:hAnsi="Times New Roman" w:cs="Times New Roman" w:hint="default"/>
                <w:color w:val="auto"/>
                <w:sz w:val="24"/>
                <w:szCs w:val="24"/>
              </w:rPr>
              <w:t>■增值税普通发票  □增值税专用发票</w:t>
            </w:r>
          </w:p>
        </w:tc>
      </w:tr>
    </w:tbl>
    <w:p>
      <w:pPr>
        <w:widowControl/>
        <w:spacing w:line="360" w:lineRule="auto"/>
        <w:ind w:firstLine="560" w:firstLineChars="200"/>
        <w:jc w:val="both"/>
        <w:rPr>
          <w:rFonts w:hint="default"/>
          <w:b/>
          <w:color w:val="auto"/>
          <w:spacing w:val="-2"/>
          <w:sz w:val="28"/>
          <w:szCs w:val="28"/>
        </w:rPr>
      </w:pPr>
      <w:r>
        <w:rPr>
          <w:rFonts w:ascii="Times New Roman" w:hAnsi="Times New Roman" w:cs="Times New Roman" w:hint="default"/>
          <w:color w:val="auto"/>
          <w:sz w:val="28"/>
          <w:szCs w:val="28"/>
          <w:lang w:val="en-US" w:eastAsia="zh-CN"/>
        </w:rPr>
        <w:t>八</w:t>
      </w:r>
      <w:r>
        <w:rPr>
          <w:rFonts w:ascii="Times New Roman" w:hAnsi="Times New Roman" w:cs="Times New Roman" w:hint="default"/>
          <w:b/>
          <w:color w:val="auto"/>
          <w:spacing w:val="-2"/>
          <w:sz w:val="28"/>
          <w:szCs w:val="28"/>
        </w:rPr>
        <w:t>、技术服务和保修责任方式</w:t>
      </w:r>
    </w:p>
    <w:p>
      <w:pPr>
        <w:widowControl/>
        <w:spacing w:line="360" w:lineRule="auto"/>
        <w:ind w:firstLine="560" w:firstLineChars="200"/>
        <w:jc w:val="both"/>
        <w:rPr>
          <w:rFonts w:hint="eastAsia"/>
          <w:color w:val="auto"/>
          <w:sz w:val="28"/>
          <w:szCs w:val="28"/>
        </w:rPr>
      </w:pPr>
      <w:r>
        <w:rPr>
          <w:rFonts w:ascii="Times New Roman" w:hAnsi="Times New Roman" w:cs="Times New Roman" w:hint="default"/>
          <w:color w:val="auto"/>
          <w:sz w:val="28"/>
          <w:szCs w:val="28"/>
          <w:lang w:bidi="ar"/>
        </w:rPr>
        <w:t>1</w:t>
      </w:r>
      <w:r>
        <w:rPr>
          <w:rFonts w:ascii="Times New Roman" w:hAnsi="Times New Roman" w:cs="Times New Roman" w:hint="default"/>
          <w:color w:val="auto"/>
          <w:sz w:val="28"/>
          <w:szCs w:val="28"/>
          <w:lang w:val="en-US" w:eastAsia="zh-CN" w:bidi="ar"/>
        </w:rPr>
        <w:t>.</w:t>
      </w:r>
      <w:r>
        <w:rPr>
          <w:rFonts w:ascii="Times New Roman" w:hAnsi="Times New Roman" w:cs="Times New Roman" w:hint="default"/>
          <w:color w:val="auto"/>
          <w:sz w:val="28"/>
          <w:szCs w:val="28"/>
        </w:rPr>
        <w:t>乙方对</w:t>
      </w:r>
      <w:r>
        <w:rPr>
          <w:rFonts w:ascii="Times New Roman" w:hAnsi="Times New Roman" w:cs="Times New Roman" w:hint="eastAsia"/>
          <w:color w:val="auto"/>
          <w:sz w:val="28"/>
          <w:szCs w:val="28"/>
          <w:lang w:val="en-US" w:eastAsia="zh-CN"/>
        </w:rPr>
        <w:t>弹药保险箱</w:t>
      </w:r>
      <w:r>
        <w:rPr>
          <w:rFonts w:ascii="Times New Roman" w:hAnsi="Times New Roman" w:cs="Times New Roman" w:hint="default"/>
          <w:color w:val="auto"/>
          <w:sz w:val="28"/>
          <w:szCs w:val="28"/>
        </w:rPr>
        <w:t>的售后维修服务为验收证书签署之日起</w:t>
      </w:r>
      <w:r>
        <w:rPr>
          <w:rFonts w:ascii="Times New Roman" w:hAnsi="Times New Roman" w:cs="Times New Roman" w:hint="default"/>
          <w:color w:val="auto"/>
          <w:sz w:val="28"/>
          <w:szCs w:val="28"/>
          <w:u w:val="single"/>
        </w:rPr>
        <w:t xml:space="preserve"> </w:t>
      </w:r>
      <w:r>
        <w:rPr>
          <w:rFonts w:ascii="Times New Roman" w:hAnsi="Times New Roman" w:cs="Times New Roman" w:hint="eastAsia"/>
          <w:color w:val="auto"/>
          <w:sz w:val="28"/>
          <w:szCs w:val="28"/>
          <w:u w:val="single"/>
          <w:lang w:val="en-US" w:eastAsia="zh-CN"/>
        </w:rPr>
        <w:t>8</w:t>
      </w:r>
      <w:r>
        <w:rPr>
          <w:rFonts w:ascii="Times New Roman" w:hAnsi="Times New Roman" w:cs="Times New Roman" w:hint="default"/>
          <w:color w:val="auto"/>
          <w:sz w:val="28"/>
          <w:szCs w:val="28"/>
          <w:u w:val="single"/>
        </w:rPr>
        <w:t xml:space="preserve"> </w:t>
      </w:r>
      <w:r>
        <w:rPr>
          <w:rFonts w:ascii="Times New Roman" w:hAnsi="Times New Roman" w:cs="Times New Roman" w:hint="eastAsia"/>
          <w:color w:val="auto"/>
          <w:sz w:val="28"/>
          <w:szCs w:val="28"/>
          <w:lang w:val="en-US" w:eastAsia="zh-CN"/>
        </w:rPr>
        <w:t>年</w:t>
      </w:r>
      <w:r>
        <w:rPr>
          <w:rFonts w:ascii="Times New Roman" w:hAnsi="Times New Roman" w:cs="Times New Roman" w:hint="eastAsia"/>
          <w:color w:val="auto"/>
          <w:sz w:val="28"/>
          <w:szCs w:val="28"/>
          <w:lang w:eastAsia="zh-CN"/>
        </w:rPr>
        <w:t>；</w:t>
      </w:r>
      <w:r>
        <w:rPr>
          <w:rFonts w:ascii="Times New Roman" w:hAnsi="Times New Roman" w:cs="Times New Roman" w:hint="default"/>
          <w:color w:val="auto"/>
          <w:sz w:val="28"/>
          <w:szCs w:val="28"/>
        </w:rPr>
        <w:t>对</w:t>
      </w:r>
      <w:r>
        <w:rPr>
          <w:rFonts w:ascii="Times New Roman" w:hAnsi="Times New Roman" w:cs="Times New Roman" w:hint="eastAsia"/>
          <w:color w:val="auto"/>
          <w:sz w:val="28"/>
          <w:szCs w:val="28"/>
          <w:lang w:val="en-US" w:eastAsia="zh-CN"/>
        </w:rPr>
        <w:t>弹药保险箱</w:t>
      </w:r>
      <w:r>
        <w:rPr>
          <w:rFonts w:ascii="Times New Roman" w:hAnsi="Times New Roman" w:cs="Times New Roman" w:hint="default"/>
          <w:color w:val="auto"/>
          <w:sz w:val="28"/>
          <w:szCs w:val="28"/>
        </w:rPr>
        <w:t>的</w:t>
      </w:r>
      <w:r>
        <w:rPr>
          <w:rFonts w:ascii="Times New Roman" w:hAnsi="Times New Roman" w:cs="Times New Roman" w:hint="eastAsia"/>
          <w:color w:val="auto"/>
          <w:sz w:val="28"/>
          <w:szCs w:val="28"/>
          <w:lang w:val="en-US" w:eastAsia="zh-CN"/>
        </w:rPr>
        <w:t>质量保证</w:t>
      </w:r>
      <w:r>
        <w:rPr>
          <w:rFonts w:ascii="Times New Roman" w:hAnsi="Times New Roman" w:cs="Times New Roman" w:hint="default"/>
          <w:color w:val="auto"/>
          <w:sz w:val="28"/>
          <w:szCs w:val="28"/>
        </w:rPr>
        <w:t>服务为验收证书签署之日起</w:t>
      </w:r>
      <w:r>
        <w:rPr>
          <w:rFonts w:ascii="Times New Roman" w:hAnsi="Times New Roman" w:cs="Times New Roman" w:hint="default"/>
          <w:color w:val="auto"/>
          <w:sz w:val="28"/>
          <w:szCs w:val="28"/>
          <w:u w:val="single"/>
        </w:rPr>
        <w:t xml:space="preserve"> </w:t>
      </w:r>
      <w:r>
        <w:rPr>
          <w:rFonts w:ascii="Times New Roman" w:hAnsi="Times New Roman" w:cs="Times New Roman" w:hint="eastAsia"/>
          <w:color w:val="auto"/>
          <w:sz w:val="28"/>
          <w:szCs w:val="28"/>
          <w:u w:val="single"/>
          <w:lang w:val="en-US" w:eastAsia="zh-CN"/>
        </w:rPr>
        <w:t>3</w:t>
      </w:r>
      <w:r>
        <w:rPr>
          <w:rFonts w:ascii="Times New Roman" w:hAnsi="Times New Roman" w:cs="Times New Roman" w:hint="default"/>
          <w:color w:val="auto"/>
          <w:sz w:val="28"/>
          <w:szCs w:val="28"/>
          <w:u w:val="single"/>
        </w:rPr>
        <w:t xml:space="preserve"> </w:t>
      </w:r>
      <w:r>
        <w:rPr>
          <w:rFonts w:ascii="Times New Roman" w:hAnsi="Times New Roman" w:cs="Times New Roman" w:hint="eastAsia"/>
          <w:color w:val="auto"/>
          <w:sz w:val="28"/>
          <w:szCs w:val="28"/>
          <w:lang w:val="en-US" w:eastAsia="zh-CN"/>
        </w:rPr>
        <w:t>年。</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2</w:t>
      </w:r>
      <w:r>
        <w:rPr>
          <w:rFonts w:ascii="Times New Roman" w:hAnsi="Times New Roman" w:cs="Times New Roman" w:hint="default"/>
          <w:color w:val="auto"/>
          <w:sz w:val="28"/>
          <w:szCs w:val="28"/>
          <w:lang w:val="en-US" w:eastAsia="zh-CN"/>
        </w:rPr>
        <w:t>.</w:t>
      </w:r>
      <w:r>
        <w:rPr>
          <w:rFonts w:ascii="Times New Roman" w:hAnsi="Times New Roman" w:cs="Times New Roman" w:hint="default"/>
          <w:color w:val="auto"/>
          <w:sz w:val="28"/>
          <w:szCs w:val="28"/>
        </w:rPr>
        <w:t>乙方在合同货物的质量保修期内，免费为甲方提供合同货物的技术指导和维修服务的时间是：每周7天</w:t>
      </w:r>
      <w:r>
        <w:rPr>
          <w:rFonts w:ascii="Arial" w:hAnsi="Arial" w:cs="Arial" w:hint="default"/>
          <w:color w:val="auto"/>
          <w:sz w:val="28"/>
          <w:szCs w:val="28"/>
        </w:rPr>
        <w:t>×</w:t>
      </w:r>
      <w:r>
        <w:rPr>
          <w:rFonts w:ascii="Times New Roman" w:hAnsi="Times New Roman" w:cs="Times New Roman" w:hint="default"/>
          <w:color w:val="auto"/>
          <w:sz w:val="28"/>
          <w:szCs w:val="28"/>
        </w:rPr>
        <w:t>24小时（工作时间）。</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3</w:t>
      </w:r>
      <w:r>
        <w:rPr>
          <w:rFonts w:ascii="Times New Roman" w:hAnsi="Times New Roman" w:cs="Times New Roman" w:hint="default"/>
          <w:color w:val="auto"/>
          <w:sz w:val="28"/>
          <w:szCs w:val="28"/>
          <w:lang w:val="en-US" w:eastAsia="zh-CN"/>
        </w:rPr>
        <w:t>.</w:t>
      </w:r>
      <w:r>
        <w:rPr>
          <w:rFonts w:ascii="Times New Roman" w:hAnsi="Times New Roman" w:cs="Times New Roman" w:hint="default"/>
          <w:color w:val="auto"/>
          <w:sz w:val="28"/>
          <w:szCs w:val="28"/>
        </w:rPr>
        <w:t>乙方保证在合同货物出现故障和缺陷时，或接到甲方提出的技术服务要求后</w:t>
      </w:r>
      <w:r>
        <w:rPr>
          <w:rFonts w:ascii="Times New Roman" w:hAnsi="Times New Roman" w:cs="Times New Roman" w:hint="default"/>
          <w:color w:val="auto"/>
          <w:sz w:val="28"/>
          <w:szCs w:val="28"/>
          <w:lang w:val="en-US" w:eastAsia="zh-CN"/>
        </w:rPr>
        <w:t>1</w:t>
      </w:r>
      <w:r>
        <w:rPr>
          <w:rFonts w:ascii="Times New Roman" w:hAnsi="Times New Roman" w:cs="Times New Roman" w:hint="default"/>
          <w:color w:val="auto"/>
          <w:sz w:val="28"/>
          <w:szCs w:val="28"/>
        </w:rPr>
        <w:t>小时内予以答复，如甲方有要求或必要时，乙方应在接到甲方通知后72小时内派员至甲方免费维修和提供现场指导。</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4</w:t>
      </w:r>
      <w:r>
        <w:rPr>
          <w:rFonts w:ascii="Times New Roman" w:hAnsi="Times New Roman" w:cs="Times New Roman" w:hint="default"/>
          <w:color w:val="auto"/>
          <w:sz w:val="28"/>
          <w:szCs w:val="28"/>
          <w:lang w:val="en-US" w:eastAsia="zh-CN"/>
        </w:rPr>
        <w:t>.</w:t>
      </w:r>
      <w:r>
        <w:rPr>
          <w:rFonts w:ascii="Times New Roman" w:hAnsi="Times New Roman" w:cs="Times New Roman" w:hint="default"/>
          <w:color w:val="auto"/>
          <w:sz w:val="28"/>
          <w:szCs w:val="28"/>
        </w:rPr>
        <w:t>如乙方在接到甲方维修通知后72小时仍不能修复有关货物，乙方应</w:t>
      </w:r>
      <w:r>
        <w:rPr>
          <w:rFonts w:ascii="Times New Roman" w:hAnsi="Times New Roman" w:cs="Times New Roman" w:hint="default"/>
          <w:color w:val="auto"/>
          <w:sz w:val="28"/>
          <w:szCs w:val="28"/>
          <w:lang w:val="en-US" w:eastAsia="zh-CN"/>
        </w:rPr>
        <w:t>免费</w:t>
      </w:r>
      <w:r>
        <w:rPr>
          <w:rFonts w:ascii="Times New Roman" w:hAnsi="Times New Roman" w:cs="Times New Roman" w:hint="default"/>
          <w:color w:val="auto"/>
          <w:sz w:val="28"/>
          <w:szCs w:val="28"/>
        </w:rPr>
        <w:t>提供与该货物同一型号的备用货物。</w:t>
      </w:r>
    </w:p>
    <w:p>
      <w:pPr>
        <w:keepNext w:val="0"/>
        <w:keepLines w:val="0"/>
        <w:widowControl/>
        <w:suppressLineNumbers w:val="0"/>
        <w:ind w:firstLine="560" w:firstLineChars="200"/>
        <w:jc w:val="left"/>
        <w:rPr>
          <w:rFonts w:hint="default"/>
          <w:color w:val="auto"/>
          <w:kern w:val="0"/>
          <w:sz w:val="28"/>
          <w:szCs w:val="28"/>
          <w:highlight w:val="none"/>
          <w:lang w:bidi="ar"/>
        </w:rPr>
      </w:pPr>
      <w:r>
        <w:rPr>
          <w:rFonts w:ascii="Times New Roman" w:hAnsi="Times New Roman" w:cs="Times New Roman" w:hint="default"/>
          <w:color w:val="auto"/>
          <w:sz w:val="28"/>
          <w:szCs w:val="28"/>
        </w:rPr>
        <w:t>5</w:t>
      </w:r>
      <w:r>
        <w:rPr>
          <w:rFonts w:ascii="Times New Roman" w:hAnsi="Times New Roman" w:cs="Times New Roman" w:hint="default"/>
          <w:color w:val="auto"/>
          <w:sz w:val="28"/>
          <w:szCs w:val="28"/>
          <w:lang w:val="en-US" w:eastAsia="zh-CN"/>
        </w:rPr>
        <w:t>.</w:t>
      </w:r>
      <w:r>
        <w:rPr>
          <w:rFonts w:ascii="Times New Roman" w:eastAsia="宋体" w:hAnsi="Times New Roman" w:cs="Times New Roman" w:hint="default"/>
          <w:color w:val="auto"/>
          <w:kern w:val="0"/>
          <w:sz w:val="28"/>
          <w:szCs w:val="28"/>
          <w:highlight w:val="none"/>
          <w:lang w:val="en-US" w:eastAsia="zh-CN" w:bidi="ar"/>
        </w:rPr>
        <w:t>如乙方在接到甲方提出的技术服务要求或维修通知后 24 小时内没有响应、拒绝或没有派员到达甲方提供技术服务、修理或退换货物，甲方有权委托第三人对合同货物进行维修或提供技术服务，相关费用从</w:t>
      </w:r>
      <w:r>
        <w:rPr>
          <w:rFonts w:ascii="Times New Roman" w:hAnsi="Times New Roman" w:cs="Times New Roman" w:hint="eastAsia"/>
          <w:color w:val="auto"/>
          <w:kern w:val="0"/>
          <w:sz w:val="28"/>
          <w:szCs w:val="28"/>
          <w:highlight w:val="none"/>
          <w:lang w:val="en-US" w:eastAsia="zh-CN" w:bidi="ar"/>
        </w:rPr>
        <w:t>银行</w:t>
      </w:r>
      <w:r>
        <w:rPr>
          <w:rFonts w:ascii="Times New Roman" w:eastAsia="宋体" w:hAnsi="Times New Roman" w:cs="Times New Roman" w:hint="default"/>
          <w:color w:val="auto"/>
          <w:kern w:val="0"/>
          <w:sz w:val="28"/>
          <w:szCs w:val="28"/>
          <w:highlight w:val="none"/>
          <w:lang w:val="en-US" w:eastAsia="zh-CN" w:bidi="ar"/>
        </w:rPr>
        <w:t>质</w:t>
      </w:r>
      <w:r>
        <w:rPr>
          <w:rFonts w:ascii="Times New Roman" w:hAnsi="Times New Roman" w:cs="Times New Roman" w:hint="eastAsia"/>
          <w:color w:val="auto"/>
          <w:kern w:val="0"/>
          <w:sz w:val="28"/>
          <w:szCs w:val="28"/>
          <w:highlight w:val="none"/>
          <w:lang w:val="en-US" w:eastAsia="zh-CN" w:bidi="ar"/>
        </w:rPr>
        <w:t>量保函</w:t>
      </w:r>
      <w:r>
        <w:rPr>
          <w:rFonts w:ascii="Times New Roman" w:eastAsia="宋体" w:hAnsi="Times New Roman" w:cs="Times New Roman" w:hint="default"/>
          <w:color w:val="auto"/>
          <w:kern w:val="0"/>
          <w:sz w:val="28"/>
          <w:szCs w:val="28"/>
          <w:highlight w:val="none"/>
          <w:lang w:val="en-US" w:eastAsia="zh-CN" w:bidi="ar"/>
        </w:rPr>
        <w:t>中扣除。</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6</w:t>
      </w:r>
      <w:r>
        <w:rPr>
          <w:rFonts w:ascii="Times New Roman" w:hAnsi="Times New Roman" w:cs="Times New Roman" w:hint="default"/>
          <w:color w:val="auto"/>
          <w:sz w:val="28"/>
          <w:szCs w:val="28"/>
          <w:lang w:val="en-US" w:eastAsia="zh-CN"/>
        </w:rPr>
        <w:t>.</w:t>
      </w:r>
      <w:r>
        <w:rPr>
          <w:rFonts w:ascii="Times New Roman" w:hAnsi="Times New Roman" w:cs="Times New Roman" w:hint="default"/>
          <w:color w:val="auto"/>
          <w:sz w:val="28"/>
          <w:szCs w:val="28"/>
        </w:rPr>
        <w:t>在合同货物保修期届满后，如果因合同货物硬件或软件的固有缺陷和瑕疵出现紧急故障和事故，乙方应在接到甲方通知之后72小时内到达现场。</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7.乙方应保证甲方在使用本合同项下的货物或其任何一部分时免受第三方提出侵犯其知识产权、商标权或工业设计权的起诉。如果发生此类问题，乙方应负责交涉并承担一切费用和责任。</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8.乙方应提供所交付货物的全套技术文件资料，包括操作使用说明书或使用指南、零配件手册、服务手册、维修保养说明书；产品的合格证、保修卡等；所有货物均要求技术资料完整，有中文资料的必须提供完整中文资料。</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9.由于乙方更换、修理和续补货物，而造成货物不得不停止使用，货物质量保修期应依照停止使用的实际时间加以延长，如有需要，乙方应当按照甲方的要求提供备用货物，如因此给甲方造成损失，乙方应负责赔偿。</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10.在质量保修期内，乙方必须按甲方要求及时免费维修、更换有缺陷的产品或部件。如发现产品有其它潜在缺陷及不符合标准要求，甲方有权退货或向乙方索赔。</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11.乙方应确保设备运行期间数据的存储及传输满足招标文件要求。</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12.乙方还应提供下列服务:货物的现场安装、启动、标定及试运行;提供货物组装和维修所需的工具;在质量保修期内对所交付货物提供运行监督、维修、保养等;在项目现场就货物的安装、启动、运行、维护等对甲方人员进行培训。</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13.乙方应按约定提供完善的培训服务，制定详实可行的培训计划，提供配套培训材料，对观测人员及设备维护人员制定有针对性的培训方案，有效组织和控制培训课程的顺利进行，确保培训质量。</w:t>
      </w:r>
    </w:p>
    <w:p>
      <w:pPr>
        <w:keepNext w:val="0"/>
        <w:keepLines w:val="0"/>
        <w:widowControl/>
        <w:suppressLineNumbers w:val="0"/>
        <w:ind w:firstLine="560" w:firstLineChars="200"/>
        <w:jc w:val="left"/>
        <w:rPr>
          <w:rFonts w:hint="eastAsia"/>
          <w:color w:val="auto"/>
          <w:sz w:val="28"/>
          <w:szCs w:val="28"/>
          <w:highlight w:val="none"/>
        </w:rPr>
      </w:pPr>
      <w:r>
        <w:rPr>
          <w:rFonts w:ascii="Times New Roman" w:hAnsi="Times New Roman" w:cs="Times New Roman" w:hint="default"/>
          <w:color w:val="auto"/>
          <w:sz w:val="28"/>
          <w:szCs w:val="28"/>
          <w:highlight w:val="none"/>
          <w:lang w:val="en-US" w:eastAsia="zh-CN"/>
        </w:rPr>
        <w:t>14.</w:t>
      </w:r>
      <w:r>
        <w:rPr>
          <w:rFonts w:ascii="Times New Roman" w:hAnsi="Times New Roman" w:cs="Times New Roman" w:hint="eastAsia"/>
          <w:color w:val="auto"/>
          <w:sz w:val="28"/>
          <w:szCs w:val="28"/>
          <w:highlight w:val="none"/>
          <w:lang w:val="en-US" w:eastAsia="zh-CN"/>
        </w:rPr>
        <w:t>本合同甲方所采购仪器设备中，其中弹药保险箱维保期为8年，其前3年为质保期。</w:t>
      </w:r>
    </w:p>
    <w:p>
      <w:pPr>
        <w:widowControl/>
        <w:spacing w:line="360" w:lineRule="auto"/>
        <w:ind w:firstLine="560" w:firstLineChars="200"/>
        <w:jc w:val="both"/>
        <w:rPr>
          <w:rFonts w:hint="default"/>
          <w:color w:val="auto"/>
          <w:kern w:val="0"/>
          <w:sz w:val="28"/>
          <w:szCs w:val="28"/>
          <w:highlight w:val="none"/>
          <w:lang w:bidi="ar"/>
        </w:rPr>
      </w:pPr>
      <w:r>
        <w:rPr>
          <w:rFonts w:ascii="Times New Roman" w:eastAsia="宋体" w:hAnsi="Times New Roman" w:cs="Times New Roman" w:hint="default"/>
          <w:color w:val="auto"/>
          <w:kern w:val="0"/>
          <w:sz w:val="28"/>
          <w:szCs w:val="28"/>
          <w:highlight w:val="none"/>
          <w:lang w:val="en-US" w:eastAsia="zh-CN" w:bidi="ar"/>
        </w:rPr>
        <w:t>质保期自合同验收之日起计算，质保期内实行三包（包修、包换、包更新）。维保期含质保期，维保期内实行跟踪保养及维修，不收取维修费和更换的零件费，维保期总期限包含质保期。质保期满后退回质保金前，乙方向甲方提供产品维护保养服务承诺函，甲方收到承诺函后退回银行质量保函。</w:t>
      </w:r>
    </w:p>
    <w:p>
      <w:pPr>
        <w:widowControl/>
        <w:spacing w:line="360" w:lineRule="auto"/>
        <w:ind w:firstLine="560" w:firstLineChars="200"/>
        <w:jc w:val="both"/>
        <w:rPr>
          <w:rFonts w:hint="default"/>
          <w:color w:val="auto"/>
          <w:sz w:val="28"/>
          <w:szCs w:val="28"/>
          <w:highlight w:val="none"/>
          <w:lang w:bidi="ar"/>
        </w:rPr>
      </w:pPr>
      <w:r>
        <w:rPr>
          <w:rFonts w:ascii="Times New Roman" w:hAnsi="Times New Roman" w:cs="Times New Roman" w:hint="default"/>
          <w:color w:val="auto"/>
          <w:sz w:val="28"/>
          <w:szCs w:val="28"/>
          <w:highlight w:val="none"/>
          <w:lang w:val="en-US" w:eastAsia="zh-CN"/>
        </w:rPr>
        <w:t>15.上述服务的费用应包含在合同总价中，不单独进行支付。</w:t>
      </w:r>
    </w:p>
    <w:p>
      <w:pPr>
        <w:widowControl/>
        <w:spacing w:line="360" w:lineRule="auto"/>
        <w:ind w:firstLine="560" w:firstLineChars="200"/>
        <w:jc w:val="both"/>
        <w:rPr>
          <w:rFonts w:hint="default"/>
          <w:b/>
          <w:color w:val="auto"/>
          <w:spacing w:val="-2"/>
          <w:sz w:val="28"/>
          <w:szCs w:val="28"/>
        </w:rPr>
      </w:pPr>
      <w:r>
        <w:rPr>
          <w:rFonts w:ascii="Times New Roman" w:hAnsi="Times New Roman" w:cs="Times New Roman" w:hint="default"/>
          <w:b/>
          <w:color w:val="auto"/>
          <w:spacing w:val="-2"/>
          <w:sz w:val="28"/>
          <w:szCs w:val="28"/>
          <w:lang w:val="en-US" w:eastAsia="zh-CN"/>
        </w:rPr>
        <w:t>九</w:t>
      </w:r>
      <w:r>
        <w:rPr>
          <w:rFonts w:ascii="Times New Roman" w:hAnsi="Times New Roman" w:cs="Times New Roman" w:hint="default"/>
          <w:b/>
          <w:color w:val="auto"/>
          <w:spacing w:val="-2"/>
          <w:sz w:val="28"/>
          <w:szCs w:val="28"/>
        </w:rPr>
        <w:t>、违约责任</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1.双方签订合同后，任何一方未能按合同条款履行各自应尽义务的，一律视为违约。双方另有约定的除外。</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w:t>
      </w:r>
      <w:r>
        <w:rPr>
          <w:rFonts w:ascii="Times New Roman" w:hAnsi="Times New Roman" w:cs="Times New Roman" w:hint="default"/>
          <w:color w:val="auto"/>
          <w:sz w:val="28"/>
          <w:szCs w:val="28"/>
        </w:rPr>
        <w:t>延期交付或延期付款的违约责任：如乙方延期交付或甲方延期付款，每逾期一天，违约方应按延期交货所折合的金额或延期付款金额每天0.3‰的比例向对方支付违约金，但该违约金累计不得超过合同总金额的5%；上述逾期超过90天，守约方有权解除合同，并要求违约方赔偿由此造成的损失。</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3.如因乙方提供的货物硬件或软件有缺陷，或乙方提供的技术资料有错误，或乙方的技术人员指导有错误而使货物不能达到合同规定的指标和技术性能，乙方应负责更换或修理，使货物运行指标和技术性能达到招标文件规定，由此引起的全部费用由乙方承担，并向甲方赔偿合同总金额20%的违约金。若因软件或硬件缺陷导致甲方损失或导致第三方受到损害的，全部赔偿责任均应由乙方承担。此时，相关货物的质量保修期及相关的其它期限也应相应顺延或重新起算。</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4.乙方无故解除合同的，承担合同总金额30%的违约金，乙方有违反本合同其他规定的情形均属于违约行为，应就每一单项违约向对方支付合同总金额5%的违约金。</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5.任何一方由于不可抗力原因不能按约履行合同时，应在不可抗力事件结束后3个工作日内向对方有效通报，以减轻可能给对方造成的损失，在取得有关机构的不可抗力证明或双方谅解并书面确认后，应当根据具体情况允许延期履行、修订或终止合同，并根据情况可部分或全部免于承担违约责任。</w:t>
      </w:r>
    </w:p>
    <w:p>
      <w:pPr>
        <w:widowControl/>
        <w:autoSpaceDE/>
        <w:autoSpaceDN/>
        <w:spacing w:line="360" w:lineRule="auto"/>
        <w:ind w:firstLine="560" w:firstLineChars="200"/>
        <w:jc w:val="both"/>
        <w:rPr>
          <w:rFonts w:hint="default"/>
          <w:b/>
          <w:color w:val="auto"/>
          <w:spacing w:val="-2"/>
          <w:sz w:val="28"/>
          <w:szCs w:val="28"/>
        </w:rPr>
      </w:pPr>
      <w:r>
        <w:rPr>
          <w:rFonts w:ascii="Times New Roman" w:hAnsi="Times New Roman" w:cs="Times New Roman" w:hint="default"/>
          <w:b/>
          <w:color w:val="auto"/>
          <w:spacing w:val="-2"/>
          <w:sz w:val="28"/>
          <w:szCs w:val="28"/>
        </w:rPr>
        <w:t>十、争议的解决</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1.合同签订后甲乙双方即直接产生权利与义务的关系，合同执行过程中出现的问题应按照《中华人民共和国民法典》等有关规定处理。合同在执行过程中，如有争议，双方协商解决；协商仍未解决，</w:t>
      </w:r>
      <w:r>
        <w:rPr>
          <w:rFonts w:ascii="Times New Roman" w:hAnsi="Times New Roman" w:cs="Times New Roman" w:hint="default"/>
          <w:color w:val="auto"/>
          <w:sz w:val="28"/>
          <w:szCs w:val="28"/>
          <w:lang w:val="en-US" w:eastAsia="zh-CN"/>
        </w:rPr>
        <w:t>可以向</w:t>
      </w:r>
      <w:r>
        <w:rPr>
          <w:rFonts w:ascii="Times New Roman" w:hAnsi="Times New Roman" w:cs="Times New Roman" w:hint="default"/>
          <w:color w:val="auto"/>
          <w:sz w:val="28"/>
          <w:szCs w:val="28"/>
        </w:rPr>
        <w:t>甲方所在地人民法院</w:t>
      </w:r>
      <w:r>
        <w:rPr>
          <w:rFonts w:ascii="Times New Roman" w:hAnsi="Times New Roman" w:cs="Times New Roman" w:hint="default"/>
          <w:color w:val="auto"/>
          <w:sz w:val="28"/>
          <w:szCs w:val="28"/>
          <w:lang w:val="en-US" w:eastAsia="zh-CN"/>
        </w:rPr>
        <w:t>提起诉讼</w:t>
      </w:r>
      <w:r>
        <w:rPr>
          <w:rFonts w:ascii="Times New Roman" w:hAnsi="Times New Roman" w:cs="Times New Roman" w:hint="default"/>
          <w:color w:val="auto"/>
          <w:sz w:val="28"/>
          <w:szCs w:val="28"/>
        </w:rPr>
        <w:t>。</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2.诉讼期间，本合同继续履行。</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3</w:t>
      </w:r>
      <w:r>
        <w:rPr>
          <w:rFonts w:ascii="Times New Roman" w:hAnsi="Times New Roman" w:cs="Times New Roman" w:hint="default"/>
          <w:color w:val="auto"/>
          <w:sz w:val="28"/>
          <w:szCs w:val="28"/>
        </w:rPr>
        <w:t>.未尽事宜，双方在不违背本合同和招标文件的原则下，协商解决。协商结果以书面形式签字盖章记录在案，作为本合同的附件，与本合同有同等效力。</w:t>
      </w:r>
    </w:p>
    <w:p>
      <w:pPr>
        <w:widowControl/>
        <w:spacing w:line="360" w:lineRule="auto"/>
        <w:ind w:firstLine="560" w:firstLineChars="200"/>
        <w:jc w:val="both"/>
        <w:rPr>
          <w:rFonts w:hint="default"/>
          <w:b/>
          <w:color w:val="auto"/>
          <w:spacing w:val="-2"/>
          <w:sz w:val="28"/>
          <w:szCs w:val="28"/>
        </w:rPr>
      </w:pPr>
      <w:r>
        <w:rPr>
          <w:rFonts w:ascii="Times New Roman" w:hAnsi="Times New Roman" w:cs="Times New Roman" w:hint="default"/>
          <w:b/>
          <w:color w:val="auto"/>
          <w:spacing w:val="-2"/>
          <w:sz w:val="28"/>
          <w:szCs w:val="28"/>
        </w:rPr>
        <w:t>十</w:t>
      </w:r>
      <w:r>
        <w:rPr>
          <w:rFonts w:ascii="Times New Roman" w:hAnsi="Times New Roman" w:cs="Times New Roman" w:hint="default"/>
          <w:b/>
          <w:color w:val="auto"/>
          <w:spacing w:val="-2"/>
          <w:sz w:val="28"/>
          <w:szCs w:val="28"/>
          <w:lang w:val="en-US" w:eastAsia="zh-CN"/>
        </w:rPr>
        <w:t>一</w:t>
      </w:r>
      <w:r>
        <w:rPr>
          <w:rFonts w:ascii="Times New Roman" w:hAnsi="Times New Roman" w:cs="Times New Roman" w:hint="default"/>
          <w:b/>
          <w:color w:val="auto"/>
          <w:spacing w:val="-2"/>
          <w:sz w:val="28"/>
          <w:szCs w:val="28"/>
        </w:rPr>
        <w:t>、联系与通知</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合同双方就合同中涉及各类通知、协议等文件以及就合同发生纠纷时相关文件和法律文书送达时的送达地址及法律后果作如下约定：</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1.一方基于本合同发出的任何通知或其他通信应全部满足以下条件，否则该等通知不应被视为完整、有效的正式书面通知：</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（1）以中文书面形式作出。</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（2）由通知发出方或其代表签署并加盖公章（用电子邮件发出的通知除外）。</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（3）按本条第3款所列地址送交相关方。</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2.通知可选择下述方式发送，并于下述对应时间视为送达：</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（1）亲自送达：送达双方指定的联系人签收之时。</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（2）采用邮寄方式：投递服务商记录的签收时间，或发件人按照经双方确认的地址寄送，邮件被退件或无法送达时，以邮件发出时间后的第五日为送达时间。</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3）采用传真方式：于通知到达各方确认的传真号码之时，或收到来自经双方确认号码的确认无中断无错误的传输报告之时，或发送至经双方确认的传真号码且发件人系统显示发送成功之时，或收到来自收件人的确认之时。</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4）电子邮件：于通知到达各方确认的电子邮件地址之时，或收到来自经双方确认的电子邮件地址的送达回执之时，或发送至经双方确认的电子邮件地址且发件人系统显示发送成功之时，或收到来自收件人的确认之时。</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3.通知或其他通信应被发送至：</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（1）甲方确认的其有效的送达地址为：</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甲方名称：【青海省气象灾害防御技术中心】</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甲方地址：【青海省西宁市五四大街19号】</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收件人（联系人）：【</w:t>
      </w:r>
      <w:r>
        <w:rPr>
          <w:rFonts w:ascii="Times New Roman" w:hAnsi="Times New Roman" w:cs="Times New Roman" w:hint="eastAsia"/>
          <w:color w:val="auto"/>
          <w:sz w:val="28"/>
          <w:szCs w:val="28"/>
          <w:lang w:val="en-US" w:eastAsia="zh-CN"/>
        </w:rPr>
        <w:t>张莉燕</w:t>
      </w:r>
      <w:r>
        <w:rPr>
          <w:rFonts w:ascii="Times New Roman" w:hAnsi="Times New Roman" w:cs="Times New Roman" w:hint="default"/>
          <w:color w:val="auto"/>
          <w:sz w:val="28"/>
          <w:szCs w:val="28"/>
          <w:lang w:val="en-US" w:eastAsia="zh-CN"/>
        </w:rPr>
        <w:t>】</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邮政编码：【810001】</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联系电话：【1</w:t>
      </w:r>
      <w:r>
        <w:rPr>
          <w:rFonts w:ascii="Times New Roman" w:hAnsi="Times New Roman" w:cs="Times New Roman" w:hint="eastAsia"/>
          <w:color w:val="auto"/>
          <w:sz w:val="28"/>
          <w:szCs w:val="28"/>
          <w:lang w:val="en-US" w:eastAsia="zh-CN"/>
        </w:rPr>
        <w:t>7860719363</w:t>
      </w:r>
      <w:r>
        <w:rPr>
          <w:rFonts w:ascii="Times New Roman" w:hAnsi="Times New Roman" w:cs="Times New Roman" w:hint="default"/>
          <w:color w:val="auto"/>
          <w:sz w:val="28"/>
          <w:szCs w:val="28"/>
          <w:lang w:val="en-US" w:eastAsia="zh-CN"/>
        </w:rPr>
        <w:t>】</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传真：【0971</w:t>
      </w:r>
      <w:r>
        <w:rPr>
          <w:rFonts w:ascii="Times New Roman" w:hAnsi="Times New Roman" w:cs="Times New Roman" w:hint="eastAsia"/>
          <w:color w:val="auto"/>
          <w:sz w:val="28"/>
          <w:szCs w:val="28"/>
          <w:lang w:val="en-US" w:eastAsia="zh-CN"/>
        </w:rPr>
        <w:t>-</w:t>
      </w:r>
      <w:r>
        <w:rPr>
          <w:rFonts w:ascii="Times New Roman" w:hAnsi="Times New Roman" w:cs="Times New Roman" w:hint="default"/>
          <w:color w:val="auto"/>
          <w:sz w:val="28"/>
          <w:szCs w:val="28"/>
          <w:lang w:val="en-US" w:eastAsia="zh-CN"/>
        </w:rPr>
        <w:t>61</w:t>
      </w:r>
      <w:r>
        <w:rPr>
          <w:rFonts w:ascii="Times New Roman" w:hAnsi="Times New Roman" w:cs="Times New Roman" w:hint="eastAsia"/>
          <w:color w:val="auto"/>
          <w:sz w:val="28"/>
          <w:szCs w:val="28"/>
          <w:lang w:val="en-US" w:eastAsia="zh-CN"/>
        </w:rPr>
        <w:t>44398</w:t>
      </w:r>
      <w:r>
        <w:rPr>
          <w:rFonts w:ascii="Times New Roman" w:hAnsi="Times New Roman" w:cs="Times New Roman" w:hint="default"/>
          <w:color w:val="auto"/>
          <w:sz w:val="28"/>
          <w:szCs w:val="28"/>
          <w:lang w:val="en-US" w:eastAsia="zh-CN"/>
        </w:rPr>
        <w:t>】</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（2）乙方确认的其有效的送达地址为：</w:t>
      </w:r>
    </w:p>
    <w:p>
      <w:pPr>
        <w:spacing w:line="360" w:lineRule="auto"/>
        <w:ind w:firstLine="560" w:firstLineChars="200"/>
        <w:jc w:val="both"/>
        <w:rPr>
          <w:rFonts w:hint="default"/>
          <w:color w:val="FF0000"/>
          <w:sz w:val="28"/>
          <w:szCs w:val="28"/>
        </w:rPr>
      </w:pPr>
      <w:r>
        <w:rPr>
          <w:rFonts w:ascii="Times New Roman" w:hAnsi="Times New Roman" w:cs="Times New Roman" w:hint="default"/>
          <w:color w:val="auto"/>
          <w:sz w:val="28"/>
          <w:szCs w:val="28"/>
          <w:lang w:val="en-US" w:eastAsia="zh-CN"/>
        </w:rPr>
        <w:t>乙方名称：</w:t>
      </w:r>
    </w:p>
    <w:p>
      <w:pPr>
        <w:spacing w:line="360" w:lineRule="auto"/>
        <w:ind w:firstLine="560" w:firstLineChars="200"/>
        <w:jc w:val="both"/>
        <w:rPr>
          <w:rFonts w:hint="default"/>
          <w:color w:val="FF0000"/>
          <w:sz w:val="28"/>
          <w:szCs w:val="28"/>
        </w:rPr>
      </w:pPr>
      <w:r>
        <w:rPr>
          <w:rFonts w:ascii="Times New Roman" w:hAnsi="Times New Roman" w:cs="Times New Roman" w:hint="default"/>
          <w:color w:val="auto"/>
          <w:sz w:val="28"/>
          <w:szCs w:val="28"/>
          <w:lang w:val="en-US" w:eastAsia="zh-CN"/>
        </w:rPr>
        <w:t>乙方地址：</w:t>
      </w:r>
    </w:p>
    <w:p>
      <w:pPr>
        <w:spacing w:line="360" w:lineRule="auto"/>
        <w:ind w:firstLine="560" w:firstLineChars="200"/>
        <w:jc w:val="both"/>
        <w:rPr>
          <w:rFonts w:hint="default"/>
          <w:color w:val="FF0000"/>
          <w:sz w:val="28"/>
          <w:szCs w:val="28"/>
          <w:u w:val="single"/>
        </w:rPr>
      </w:pPr>
      <w:r>
        <w:rPr>
          <w:rFonts w:ascii="Times New Roman" w:hAnsi="Times New Roman" w:cs="Times New Roman" w:hint="default"/>
          <w:color w:val="auto"/>
          <w:sz w:val="28"/>
          <w:szCs w:val="28"/>
        </w:rPr>
        <w:t>收件人（联系人）：</w:t>
      </w:r>
    </w:p>
    <w:p>
      <w:pPr>
        <w:spacing w:line="360" w:lineRule="auto"/>
        <w:ind w:firstLine="560" w:firstLineChars="200"/>
        <w:jc w:val="both"/>
        <w:rPr>
          <w:rFonts w:hint="default"/>
          <w:color w:val="FF0000"/>
          <w:sz w:val="28"/>
          <w:szCs w:val="28"/>
          <w:highlight w:val="yellow"/>
          <w:u w:val="single"/>
        </w:rPr>
      </w:pPr>
      <w:r>
        <w:rPr>
          <w:rFonts w:ascii="Times New Roman" w:hAnsi="Times New Roman" w:cs="Times New Roman" w:hint="default"/>
          <w:color w:val="auto"/>
          <w:sz w:val="28"/>
          <w:szCs w:val="28"/>
        </w:rPr>
        <w:t>邮政编码：</w:t>
      </w:r>
    </w:p>
    <w:p>
      <w:pPr>
        <w:spacing w:line="360" w:lineRule="auto"/>
        <w:ind w:firstLine="560" w:firstLineChars="200"/>
        <w:jc w:val="both"/>
        <w:rPr>
          <w:rFonts w:hint="default"/>
          <w:color w:val="FF0000"/>
          <w:sz w:val="28"/>
          <w:szCs w:val="28"/>
        </w:rPr>
      </w:pPr>
      <w:r>
        <w:rPr>
          <w:rFonts w:ascii="Times New Roman" w:hAnsi="Times New Roman" w:cs="Times New Roman" w:hint="default"/>
          <w:color w:val="auto"/>
          <w:sz w:val="28"/>
          <w:szCs w:val="28"/>
        </w:rPr>
        <w:t>联系电话：</w:t>
      </w:r>
    </w:p>
    <w:p>
      <w:pPr>
        <w:spacing w:line="360" w:lineRule="auto"/>
        <w:ind w:firstLine="560" w:firstLineChars="200"/>
        <w:jc w:val="both"/>
        <w:rPr>
          <w:rFonts w:hint="default"/>
          <w:color w:val="FF0000"/>
          <w:sz w:val="28"/>
          <w:szCs w:val="28"/>
          <w:u w:val="single"/>
        </w:rPr>
      </w:pPr>
      <w:r>
        <w:rPr>
          <w:rFonts w:ascii="Times New Roman" w:hAnsi="Times New Roman" w:cs="Times New Roman" w:hint="default"/>
          <w:color w:val="auto"/>
          <w:sz w:val="28"/>
          <w:szCs w:val="28"/>
        </w:rPr>
        <w:t>传真：</w:t>
      </w:r>
    </w:p>
    <w:p>
      <w:pPr>
        <w:spacing w:line="360" w:lineRule="auto"/>
        <w:ind w:firstLine="560" w:firstLineChars="200"/>
        <w:jc w:val="both"/>
        <w:rPr>
          <w:rFonts w:hint="default"/>
          <w:color w:val="FF0000"/>
          <w:sz w:val="28"/>
          <w:szCs w:val="28"/>
          <w:u w:val="single"/>
        </w:rPr>
      </w:pPr>
      <w:r>
        <w:rPr>
          <w:rFonts w:ascii="Times New Roman" w:hAnsi="Times New Roman" w:cs="Times New Roman" w:hint="default"/>
          <w:color w:val="auto"/>
          <w:sz w:val="28"/>
          <w:szCs w:val="28"/>
        </w:rPr>
        <w:t>电子邮件：</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4.任何对本条第3款所载的各方联系方式的修改根据本条第1款的规定通知另一方，该等修改应在通知中指明的修改的日期生效。如未通知另一方新修改的联系方式或新修改的联系方式无法接收送达，则另一方有权以双方在本合同中确认的送达地址按照本条第2款规定的方式进行送达，以本条第2款规定的时间即视为有效送达时间。</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5.双方的送达地址适用范围包括双方非诉时的各类通知、协议等文件，以及就合同发生纠纷时相关文件和法律文书的送达，同时包括在争议进入仲裁、民事诉讼程序后的一审、二审、再审和执行程序。</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6</w:t>
      </w:r>
      <w:r>
        <w:rPr>
          <w:rFonts w:ascii="Times New Roman" w:hAnsi="Times New Roman" w:cs="Times New Roman" w:hint="default"/>
          <w:color w:val="auto"/>
          <w:sz w:val="28"/>
          <w:szCs w:val="28"/>
        </w:rPr>
        <w:t>.上述发出通知、回复的费用由发出一方承担。</w:t>
      </w:r>
    </w:p>
    <w:p>
      <w:pPr>
        <w:widowControl/>
        <w:spacing w:line="360" w:lineRule="auto"/>
        <w:ind w:firstLine="560" w:firstLineChars="200"/>
        <w:jc w:val="both"/>
        <w:rPr>
          <w:rFonts w:hint="default"/>
          <w:b/>
          <w:color w:val="auto"/>
          <w:spacing w:val="-2"/>
          <w:sz w:val="28"/>
          <w:szCs w:val="28"/>
        </w:rPr>
      </w:pPr>
      <w:r>
        <w:rPr>
          <w:rFonts w:ascii="Times New Roman" w:hAnsi="Times New Roman" w:cs="Times New Roman" w:hint="default"/>
          <w:b/>
          <w:color w:val="auto"/>
          <w:spacing w:val="-2"/>
          <w:sz w:val="28"/>
          <w:szCs w:val="28"/>
        </w:rPr>
        <w:t>十</w:t>
      </w:r>
      <w:r>
        <w:rPr>
          <w:rFonts w:ascii="Times New Roman" w:hAnsi="Times New Roman" w:cs="Times New Roman" w:hint="default"/>
          <w:b/>
          <w:color w:val="auto"/>
          <w:spacing w:val="-2"/>
          <w:sz w:val="28"/>
          <w:szCs w:val="28"/>
          <w:lang w:val="en-US" w:eastAsia="zh-CN"/>
        </w:rPr>
        <w:t>二</w:t>
      </w:r>
      <w:r>
        <w:rPr>
          <w:rFonts w:ascii="Times New Roman" w:hAnsi="Times New Roman" w:cs="Times New Roman" w:hint="default"/>
          <w:b/>
          <w:color w:val="auto"/>
          <w:spacing w:val="-2"/>
          <w:sz w:val="28"/>
          <w:szCs w:val="28"/>
        </w:rPr>
        <w:t>、其他</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1.本合同经双方法定代表人或书面授权代表签名并加盖合同专用章或公章后生效。授权代表签署的，必须向对方提交代理权限及代理期限的授权文书。</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本合同签署后，任何一方不得擅自解除本合同（本合同另有约定的除外）。本合同项下所有权利义务不得转让给第三人。任何一方分立或与其它公司合并，则由其继承本合同项下权利义务的新公司继续履行本合同。</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3</w:t>
      </w:r>
      <w:r>
        <w:rPr>
          <w:rFonts w:ascii="Times New Roman" w:hAnsi="Times New Roman" w:cs="Times New Roman" w:hint="default"/>
          <w:color w:val="auto"/>
          <w:sz w:val="28"/>
          <w:szCs w:val="28"/>
        </w:rPr>
        <w:t>.因本合同履行而签署的变更协议、补充协议、</w:t>
      </w:r>
      <w:r>
        <w:rPr>
          <w:rFonts w:ascii="Times New Roman" w:hAnsi="Times New Roman" w:cs="Times New Roman" w:hint="eastAsia"/>
          <w:color w:val="auto"/>
          <w:sz w:val="28"/>
          <w:szCs w:val="28"/>
          <w:lang w:val="en-US" w:eastAsia="zh-CN"/>
        </w:rPr>
        <w:t>所有附件及</w:t>
      </w:r>
      <w:r>
        <w:rPr>
          <w:rFonts w:ascii="Times New Roman" w:hAnsi="Times New Roman" w:cs="Times New Roman" w:hint="default"/>
          <w:color w:val="auto"/>
          <w:sz w:val="28"/>
          <w:szCs w:val="28"/>
        </w:rPr>
        <w:t>配置明细表等均为本合同不可分割的一部分，与本合同具有同等法律效力。</w:t>
      </w:r>
    </w:p>
    <w:p>
      <w:pPr>
        <w:spacing w:line="360" w:lineRule="auto"/>
        <w:ind w:firstLine="560" w:firstLineChars="200"/>
        <w:jc w:val="both"/>
        <w:rPr>
          <w:rFonts w:hint="default"/>
          <w:color w:val="auto"/>
          <w:sz w:val="28"/>
          <w:szCs w:val="28"/>
          <w:highlight w:val="none"/>
        </w:rPr>
      </w:pPr>
      <w:r>
        <w:rPr>
          <w:rFonts w:ascii="Times New Roman" w:hAnsi="Times New Roman" w:cs="Times New Roman" w:hint="default"/>
          <w:color w:val="auto"/>
          <w:sz w:val="28"/>
          <w:szCs w:val="28"/>
          <w:lang w:val="en-US" w:eastAsia="zh-CN"/>
        </w:rPr>
        <w:t>4</w:t>
      </w:r>
      <w:r>
        <w:rPr>
          <w:rFonts w:ascii="Times New Roman" w:hAnsi="Times New Roman" w:cs="Times New Roman" w:hint="default"/>
          <w:color w:val="auto"/>
          <w:sz w:val="28"/>
          <w:szCs w:val="28"/>
        </w:rPr>
        <w:t>.</w:t>
      </w:r>
      <w:r>
        <w:rPr>
          <w:rFonts w:ascii="Times New Roman" w:hAnsi="Times New Roman" w:cs="Times New Roman" w:hint="default"/>
          <w:color w:val="auto"/>
          <w:sz w:val="28"/>
          <w:szCs w:val="28"/>
          <w:highlight w:val="none"/>
        </w:rPr>
        <w:t>本合同一式</w:t>
      </w:r>
      <w:r>
        <w:rPr>
          <w:rFonts w:ascii="Times New Roman" w:hAnsi="Times New Roman" w:cs="Times New Roman" w:hint="default"/>
          <w:color w:val="auto"/>
          <w:sz w:val="28"/>
          <w:szCs w:val="28"/>
          <w:highlight w:val="none"/>
          <w:lang w:val="en-US" w:eastAsia="zh-CN"/>
        </w:rPr>
        <w:t>陆</w:t>
      </w:r>
      <w:r>
        <w:rPr>
          <w:rFonts w:ascii="Times New Roman" w:hAnsi="Times New Roman" w:cs="Times New Roman" w:hint="default"/>
          <w:color w:val="auto"/>
          <w:sz w:val="28"/>
          <w:szCs w:val="28"/>
          <w:highlight w:val="none"/>
        </w:rPr>
        <w:t>份，甲</w:t>
      </w:r>
      <w:r>
        <w:rPr>
          <w:rFonts w:ascii="Times New Roman" w:hAnsi="Times New Roman" w:cs="Times New Roman" w:hint="default"/>
          <w:color w:val="auto"/>
          <w:sz w:val="28"/>
          <w:szCs w:val="28"/>
          <w:highlight w:val="none"/>
          <w:lang w:val="en-US" w:eastAsia="zh-CN"/>
        </w:rPr>
        <w:t>乙双方各持叁份，</w:t>
      </w:r>
      <w:r>
        <w:rPr>
          <w:rFonts w:ascii="Times New Roman" w:hAnsi="Times New Roman" w:cs="Times New Roman" w:hint="default"/>
          <w:color w:val="auto"/>
          <w:sz w:val="28"/>
          <w:szCs w:val="28"/>
          <w:highlight w:val="none"/>
        </w:rPr>
        <w:t>具有同等法律效力。</w:t>
      </w:r>
    </w:p>
    <w:p>
      <w:pPr>
        <w:spacing w:line="360" w:lineRule="auto"/>
        <w:ind w:firstLine="560" w:firstLineChars="200"/>
        <w:jc w:val="both"/>
        <w:rPr>
          <w:rFonts w:hint="default"/>
          <w:color w:val="auto"/>
          <w:kern w:val="0"/>
          <w:sz w:val="28"/>
          <w:szCs w:val="28"/>
          <w:highlight w:val="none"/>
        </w:rPr>
      </w:pPr>
      <w:r>
        <w:rPr>
          <w:rFonts w:ascii="Times New Roman" w:hAnsi="Times New Roman" w:cs="Times New Roman" w:hint="default"/>
          <w:color w:val="auto"/>
          <w:sz w:val="28"/>
          <w:szCs w:val="28"/>
          <w:highlight w:val="none"/>
          <w:lang w:val="en-US" w:eastAsia="zh-CN"/>
        </w:rPr>
        <w:t>5.合同</w:t>
      </w:r>
      <w:r>
        <w:rPr>
          <w:rFonts w:ascii="Times New Roman" w:eastAsia="宋体" w:hAnsi="Times New Roman" w:cs="Times New Roman" w:hint="default"/>
          <w:color w:val="auto"/>
          <w:kern w:val="0"/>
          <w:sz w:val="28"/>
          <w:szCs w:val="28"/>
          <w:highlight w:val="none"/>
          <w:lang w:val="en-US" w:eastAsia="zh-CN"/>
        </w:rPr>
        <w:t>签订后15个工作日内，乙方</w:t>
      </w:r>
      <w:r>
        <w:rPr>
          <w:rFonts w:ascii="Times New Roman" w:hAnsi="Times New Roman" w:cs="Times New Roman" w:hint="eastAsia"/>
          <w:color w:val="auto"/>
          <w:kern w:val="0"/>
          <w:sz w:val="28"/>
          <w:szCs w:val="28"/>
          <w:highlight w:val="none"/>
          <w:lang w:val="en-US" w:eastAsia="zh-CN"/>
        </w:rPr>
        <w:t>以银行履约保函的方式，</w:t>
      </w:r>
      <w:r>
        <w:rPr>
          <w:rFonts w:ascii="Times New Roman" w:eastAsia="宋体" w:hAnsi="Times New Roman" w:cs="Times New Roman" w:hint="default"/>
          <w:color w:val="auto"/>
          <w:kern w:val="0"/>
          <w:sz w:val="28"/>
          <w:szCs w:val="28"/>
          <w:highlight w:val="none"/>
          <w:lang w:val="en-US" w:eastAsia="zh-CN"/>
        </w:rPr>
        <w:t>向甲方提供合同总价5%</w:t>
      </w:r>
      <w:r>
        <w:rPr>
          <w:rFonts w:ascii="Times New Roman" w:hAnsi="Times New Roman" w:cs="Times New Roman" w:hint="eastAsia"/>
          <w:color w:val="auto"/>
          <w:kern w:val="0"/>
          <w:sz w:val="28"/>
          <w:szCs w:val="28"/>
          <w:highlight w:val="none"/>
          <w:lang w:val="en-US" w:eastAsia="zh-CN"/>
        </w:rPr>
        <w:t>的银行履约保函，保函</w:t>
      </w:r>
      <w:r>
        <w:rPr>
          <w:rFonts w:ascii="Times New Roman" w:eastAsia="宋体" w:hAnsi="Times New Roman" w:cs="Times New Roman" w:hint="default"/>
          <w:color w:val="auto"/>
          <w:kern w:val="0"/>
          <w:sz w:val="28"/>
          <w:szCs w:val="28"/>
          <w:highlight w:val="none"/>
          <w:lang w:val="en-US" w:eastAsia="zh-CN"/>
        </w:rPr>
        <w:t>有效期</w:t>
      </w:r>
      <w:r>
        <w:rPr>
          <w:rFonts w:ascii="Times New Roman" w:hAnsi="Times New Roman" w:cs="Times New Roman" w:hint="eastAsia"/>
          <w:color w:val="auto"/>
          <w:kern w:val="0"/>
          <w:sz w:val="28"/>
          <w:szCs w:val="28"/>
          <w:highlight w:val="none"/>
          <w:lang w:val="en-US" w:eastAsia="zh-CN"/>
        </w:rPr>
        <w:t>为</w:t>
      </w:r>
      <w:r>
        <w:rPr>
          <w:rFonts w:ascii="Times New Roman" w:eastAsia="宋体" w:hAnsi="Times New Roman" w:cs="Times New Roman" w:hint="default"/>
          <w:color w:val="auto"/>
          <w:kern w:val="0"/>
          <w:sz w:val="28"/>
          <w:szCs w:val="28"/>
          <w:highlight w:val="none"/>
          <w:lang w:val="en-US" w:eastAsia="zh-CN"/>
        </w:rPr>
        <w:t>4个月</w:t>
      </w:r>
      <w:r>
        <w:rPr>
          <w:rFonts w:ascii="Times New Roman" w:hAnsi="Times New Roman" w:cs="Times New Roman" w:hint="default"/>
          <w:color w:val="auto"/>
          <w:kern w:val="0"/>
          <w:sz w:val="28"/>
          <w:szCs w:val="28"/>
          <w:highlight w:val="none"/>
          <w:lang w:val="en-US" w:eastAsia="zh-CN"/>
        </w:rPr>
        <w:t>。</w:t>
      </w:r>
      <w:r>
        <w:rPr>
          <w:rFonts w:ascii="Times New Roman" w:hAnsi="Times New Roman" w:cs="Times New Roman" w:hint="eastAsia"/>
          <w:color w:val="auto"/>
          <w:kern w:val="0"/>
          <w:sz w:val="28"/>
          <w:szCs w:val="28"/>
          <w:highlight w:val="none"/>
          <w:lang w:val="en-US" w:eastAsia="zh-CN"/>
        </w:rPr>
        <w:t>合同验收后退回履约保函。</w:t>
      </w:r>
    </w:p>
    <w:p>
      <w:pPr>
        <w:spacing w:line="360" w:lineRule="auto"/>
        <w:ind w:firstLine="560" w:firstLineChars="200"/>
        <w:jc w:val="both"/>
        <w:rPr>
          <w:rFonts w:hint="default"/>
          <w:color w:val="auto"/>
          <w:kern w:val="0"/>
          <w:sz w:val="28"/>
          <w:szCs w:val="28"/>
          <w:highlight w:val="none"/>
        </w:rPr>
      </w:pPr>
      <w:r>
        <w:rPr>
          <w:rFonts w:ascii="Times New Roman" w:hAnsi="Times New Roman" w:cs="Times New Roman" w:hint="default"/>
          <w:color w:val="auto"/>
          <w:kern w:val="0"/>
          <w:sz w:val="28"/>
          <w:szCs w:val="28"/>
          <w:highlight w:val="none"/>
          <w:lang w:val="en-US" w:eastAsia="zh-CN"/>
        </w:rPr>
        <w:t>6.</w:t>
      </w:r>
      <w:r>
        <w:rPr>
          <w:rFonts w:ascii="Times New Roman" w:eastAsia="宋体" w:hAnsi="Times New Roman" w:cs="Times New Roman" w:hint="default"/>
          <w:color w:val="auto"/>
          <w:kern w:val="0"/>
          <w:sz w:val="28"/>
          <w:szCs w:val="28"/>
          <w:highlight w:val="none"/>
          <w:lang w:val="en-US" w:eastAsia="zh-CN"/>
        </w:rPr>
        <w:t>甲方收到货物并通过甲方组织的合同验收后5个工作日内，乙方</w:t>
      </w:r>
      <w:r>
        <w:rPr>
          <w:rFonts w:ascii="Times New Roman" w:hAnsi="Times New Roman" w:cs="Times New Roman" w:hint="eastAsia"/>
          <w:color w:val="auto"/>
          <w:kern w:val="0"/>
          <w:sz w:val="28"/>
          <w:szCs w:val="28"/>
          <w:highlight w:val="none"/>
          <w:lang w:val="en-US" w:eastAsia="zh-CN"/>
        </w:rPr>
        <w:t>以银行质量保函形式</w:t>
      </w:r>
      <w:r>
        <w:rPr>
          <w:rFonts w:ascii="Times New Roman" w:eastAsia="宋体" w:hAnsi="Times New Roman" w:cs="Times New Roman" w:hint="default"/>
          <w:color w:val="auto"/>
          <w:kern w:val="0"/>
          <w:sz w:val="28"/>
          <w:szCs w:val="28"/>
          <w:highlight w:val="none"/>
          <w:lang w:val="en-US" w:eastAsia="zh-CN"/>
        </w:rPr>
        <w:t>向甲方提供</w:t>
      </w:r>
      <w:r>
        <w:rPr>
          <w:rFonts w:ascii="Times New Roman" w:hAnsi="Times New Roman" w:cs="Times New Roman" w:hint="eastAsia"/>
          <w:color w:val="auto"/>
          <w:kern w:val="0"/>
          <w:sz w:val="28"/>
          <w:szCs w:val="28"/>
          <w:highlight w:val="none"/>
          <w:lang w:val="en-US" w:eastAsia="zh-CN"/>
        </w:rPr>
        <w:t>合同</w:t>
      </w:r>
      <w:r>
        <w:rPr>
          <w:rFonts w:ascii="Times New Roman" w:eastAsia="宋体" w:hAnsi="Times New Roman" w:cs="Times New Roman" w:hint="default"/>
          <w:color w:val="auto"/>
          <w:kern w:val="0"/>
          <w:sz w:val="28"/>
          <w:szCs w:val="28"/>
          <w:highlight w:val="none"/>
          <w:lang w:val="en-US" w:eastAsia="zh-CN"/>
        </w:rPr>
        <w:t>总价3%</w:t>
      </w:r>
      <w:r>
        <w:rPr>
          <w:rFonts w:ascii="Times New Roman" w:hAnsi="Times New Roman" w:cs="Times New Roman" w:hint="eastAsia"/>
          <w:color w:val="auto"/>
          <w:kern w:val="0"/>
          <w:sz w:val="28"/>
          <w:szCs w:val="28"/>
          <w:highlight w:val="none"/>
          <w:lang w:val="en-US" w:eastAsia="zh-CN"/>
        </w:rPr>
        <w:t xml:space="preserve">的银行质量保函。质量保函为   </w:t>
      </w:r>
      <w:r>
        <w:rPr>
          <w:rFonts w:ascii="Times New Roman" w:hAnsi="Times New Roman" w:cs="Times New Roman" w:hint="eastAsia"/>
          <w:color w:val="auto"/>
          <w:kern w:val="0"/>
          <w:sz w:val="28"/>
          <w:szCs w:val="28"/>
          <w:highlight w:val="none"/>
          <w:u w:val="single"/>
          <w:lang w:val="en-US" w:eastAsia="zh-CN"/>
        </w:rPr>
        <w:t xml:space="preserve">   元整</w:t>
      </w:r>
      <w:r>
        <w:rPr>
          <w:rFonts w:ascii="Times New Roman" w:hAnsi="Times New Roman" w:cs="Times New Roman" w:hint="eastAsia"/>
          <w:color w:val="auto"/>
          <w:kern w:val="0"/>
          <w:sz w:val="28"/>
          <w:szCs w:val="28"/>
          <w:highlight w:val="none"/>
          <w:lang w:val="en-US" w:eastAsia="zh-CN"/>
        </w:rPr>
        <w:t>（大写），</w:t>
      </w:r>
      <w:r>
        <w:rPr>
          <w:rFonts w:ascii="Times New Roman" w:hAnsi="Times New Roman" w:cs="Times New Roman" w:hint="default"/>
          <w:color w:val="auto"/>
          <w:sz w:val="28"/>
          <w:szCs w:val="28"/>
          <w:highlight w:val="none"/>
          <w:u w:val="none"/>
        </w:rPr>
        <w:t>￥</w:t>
      </w:r>
      <w:r>
        <w:rPr>
          <w:rFonts w:ascii="Times New Roman" w:hAnsi="Times New Roman" w:cs="Times New Roman" w:hint="eastAsia"/>
          <w:color w:val="auto"/>
          <w:kern w:val="0"/>
          <w:sz w:val="28"/>
          <w:szCs w:val="28"/>
          <w:highlight w:val="none"/>
          <w:u w:val="single"/>
          <w:lang w:val="en-US" w:eastAsia="zh-CN"/>
        </w:rPr>
        <w:t xml:space="preserve">     .00</w:t>
      </w:r>
      <w:r>
        <w:rPr>
          <w:rFonts w:ascii="Times New Roman" w:hAnsi="Times New Roman" w:cs="Times New Roman" w:hint="eastAsia"/>
          <w:color w:val="auto"/>
          <w:kern w:val="0"/>
          <w:sz w:val="28"/>
          <w:szCs w:val="28"/>
          <w:highlight w:val="none"/>
          <w:lang w:val="en-US" w:eastAsia="zh-CN"/>
        </w:rPr>
        <w:t>元，保函有效期为1年。</w:t>
      </w:r>
      <w:r>
        <w:rPr>
          <w:rFonts w:ascii="Times New Roman" w:eastAsia="宋体" w:hAnsi="Times New Roman" w:cs="Times New Roman" w:hint="default"/>
          <w:color w:val="auto"/>
          <w:kern w:val="0"/>
          <w:sz w:val="28"/>
          <w:szCs w:val="28"/>
          <w:highlight w:val="none"/>
          <w:lang w:val="en-US" w:eastAsia="zh-CN"/>
        </w:rPr>
        <w:t>质保期期满后退回</w:t>
      </w:r>
      <w:r>
        <w:rPr>
          <w:rFonts w:ascii="Times New Roman" w:hAnsi="Times New Roman" w:cs="Times New Roman" w:hint="eastAsia"/>
          <w:color w:val="auto"/>
          <w:kern w:val="0"/>
          <w:sz w:val="28"/>
          <w:szCs w:val="28"/>
          <w:highlight w:val="none"/>
          <w:lang w:val="en-US" w:eastAsia="zh-CN"/>
        </w:rPr>
        <w:t>质量保函</w:t>
      </w:r>
      <w:r>
        <w:rPr>
          <w:rFonts w:ascii="Times New Roman" w:hAnsi="Times New Roman" w:cs="Times New Roman" w:hint="default"/>
          <w:color w:val="auto"/>
          <w:kern w:val="0"/>
          <w:sz w:val="28"/>
          <w:szCs w:val="28"/>
          <w:highlight w:val="none"/>
          <w:lang w:val="en-US" w:eastAsia="zh-CN"/>
        </w:rPr>
        <w:t>。</w:t>
      </w:r>
    </w:p>
    <w:p>
      <w:pPr>
        <w:spacing w:line="360" w:lineRule="auto"/>
        <w:ind w:firstLine="560" w:firstLineChars="200"/>
        <w:jc w:val="both"/>
        <w:rPr>
          <w:rFonts w:hint="default"/>
          <w:b/>
          <w:bCs/>
          <w:color w:val="auto"/>
          <w:sz w:val="28"/>
          <w:szCs w:val="28"/>
        </w:rPr>
      </w:pPr>
      <w:r>
        <w:rPr>
          <w:rFonts w:ascii="Times New Roman" w:hAnsi="Times New Roman" w:cs="Times New Roman" w:hint="default"/>
          <w:b/>
          <w:bCs/>
          <w:color w:val="auto"/>
          <w:sz w:val="28"/>
          <w:szCs w:val="28"/>
        </w:rPr>
        <w:t>十三、合同附件</w:t>
      </w:r>
    </w:p>
    <w:p>
      <w:pPr>
        <w:spacing w:line="360" w:lineRule="auto"/>
        <w:ind w:firstLine="560" w:firstLineChars="200"/>
        <w:jc w:val="both"/>
        <w:rPr>
          <w:rFonts w:hint="default"/>
          <w:color w:val="auto"/>
          <w:sz w:val="28"/>
          <w:szCs w:val="28"/>
        </w:rPr>
      </w:pPr>
      <w:r>
        <w:rPr>
          <w:rFonts w:ascii="Times New Roman" w:hAnsi="Times New Roman" w:cs="Times New Roman" w:hint="default"/>
          <w:b/>
          <w:bCs/>
          <w:color w:val="auto"/>
          <w:sz w:val="28"/>
          <w:szCs w:val="28"/>
        </w:rPr>
        <w:t>附件</w:t>
      </w:r>
      <w:r>
        <w:rPr>
          <w:rFonts w:ascii="Times New Roman" w:hAnsi="Times New Roman" w:cs="Times New Roman" w:hint="default"/>
          <w:b/>
          <w:bCs/>
          <w:color w:val="auto"/>
          <w:sz w:val="28"/>
          <w:szCs w:val="28"/>
          <w:lang w:val="en-US" w:eastAsia="zh-CN"/>
        </w:rPr>
        <w:t>1</w:t>
      </w:r>
      <w:r>
        <w:rPr>
          <w:rFonts w:ascii="Times New Roman" w:hAnsi="Times New Roman" w:cs="Times New Roman" w:hint="default"/>
          <w:color w:val="auto"/>
          <w:sz w:val="28"/>
          <w:szCs w:val="28"/>
        </w:rPr>
        <w:t>：</w:t>
      </w:r>
      <w:r>
        <w:rPr>
          <w:rFonts w:ascii="Times New Roman" w:hAnsi="Times New Roman" w:cs="Times New Roman" w:hint="default"/>
          <w:color w:val="auto"/>
          <w:sz w:val="28"/>
          <w:szCs w:val="28"/>
          <w:lang w:val="en-US" w:eastAsia="zh-CN"/>
        </w:rPr>
        <w:t>中标通知书</w:t>
      </w:r>
      <w:r>
        <w:rPr>
          <w:rFonts w:ascii="Times New Roman" w:hAnsi="Times New Roman" w:cs="Times New Roman" w:hint="eastAsia"/>
          <w:color w:val="auto"/>
          <w:sz w:val="28"/>
          <w:szCs w:val="28"/>
          <w:lang w:val="en-US" w:eastAsia="zh-CN"/>
        </w:rPr>
        <w:t>；</w:t>
      </w:r>
    </w:p>
    <w:p>
      <w:pPr>
        <w:spacing w:line="360" w:lineRule="auto"/>
        <w:ind w:firstLine="560" w:firstLineChars="200"/>
        <w:jc w:val="both"/>
        <w:rPr>
          <w:rFonts w:hint="default"/>
          <w:color w:val="auto"/>
          <w:sz w:val="28"/>
          <w:szCs w:val="28"/>
        </w:rPr>
      </w:pPr>
      <w:r>
        <w:rPr>
          <w:rFonts w:ascii="Times New Roman" w:hAnsi="Times New Roman" w:cs="Times New Roman" w:hint="default"/>
          <w:b/>
          <w:bCs/>
          <w:color w:val="auto"/>
          <w:sz w:val="28"/>
          <w:szCs w:val="28"/>
          <w:lang w:val="en-US" w:eastAsia="zh-CN"/>
        </w:rPr>
        <w:t>附件2：</w:t>
      </w:r>
      <w:r>
        <w:rPr>
          <w:rFonts w:ascii="Times New Roman" w:hAnsi="Times New Roman" w:cs="Times New Roman" w:hint="eastAsia"/>
          <w:color w:val="auto"/>
          <w:sz w:val="28"/>
          <w:szCs w:val="28"/>
          <w:lang w:val="en-US" w:eastAsia="zh-CN"/>
        </w:rPr>
        <w:t>弹药保险箱</w:t>
      </w:r>
      <w:r>
        <w:rPr>
          <w:rFonts w:ascii="Times New Roman" w:hAnsi="Times New Roman" w:cs="Times New Roman" w:hint="default"/>
          <w:color w:val="auto"/>
          <w:sz w:val="28"/>
          <w:szCs w:val="28"/>
        </w:rPr>
        <w:t>招标文件</w:t>
      </w:r>
      <w:r>
        <w:rPr>
          <w:rFonts w:ascii="Times New Roman" w:hAnsi="Times New Roman" w:cs="Times New Roman" w:hint="default"/>
          <w:color w:val="auto"/>
          <w:sz w:val="28"/>
          <w:szCs w:val="28"/>
          <w:lang w:val="en-US" w:eastAsia="zh-CN"/>
        </w:rPr>
        <w:t>专用册第八章</w:t>
      </w:r>
      <w:r>
        <w:rPr>
          <w:rFonts w:ascii="Times New Roman" w:hAnsi="Times New Roman" w:cs="Times New Roman" w:hint="default"/>
          <w:color w:val="auto"/>
          <w:sz w:val="28"/>
          <w:szCs w:val="28"/>
        </w:rPr>
        <w:t>；</w:t>
      </w:r>
    </w:p>
    <w:p>
      <w:pPr>
        <w:spacing w:line="360" w:lineRule="auto"/>
        <w:ind w:firstLine="560" w:firstLineChars="200"/>
        <w:jc w:val="both"/>
        <w:rPr>
          <w:rFonts w:hint="eastAsia"/>
          <w:color w:val="auto"/>
          <w:sz w:val="28"/>
          <w:szCs w:val="28"/>
        </w:rPr>
      </w:pPr>
      <w:r>
        <w:rPr>
          <w:rFonts w:ascii="Times New Roman" w:hAnsi="Times New Roman" w:cs="Times New Roman" w:hint="default"/>
          <w:b/>
          <w:bCs/>
          <w:color w:val="auto"/>
          <w:sz w:val="28"/>
          <w:szCs w:val="28"/>
        </w:rPr>
        <w:t>附件</w:t>
      </w:r>
      <w:r>
        <w:rPr>
          <w:rFonts w:ascii="Times New Roman" w:hAnsi="Times New Roman" w:cs="Times New Roman" w:hint="default"/>
          <w:b/>
          <w:bCs/>
          <w:color w:val="auto"/>
          <w:sz w:val="28"/>
          <w:szCs w:val="28"/>
          <w:lang w:val="en-US" w:eastAsia="zh-CN"/>
        </w:rPr>
        <w:t>3</w:t>
      </w:r>
      <w:r>
        <w:rPr>
          <w:rFonts w:ascii="Times New Roman" w:hAnsi="Times New Roman" w:cs="Times New Roman" w:hint="default"/>
          <w:b/>
          <w:bCs/>
          <w:color w:val="auto"/>
          <w:sz w:val="28"/>
          <w:szCs w:val="28"/>
        </w:rPr>
        <w:t>：</w:t>
      </w:r>
      <w:r>
        <w:rPr>
          <w:rFonts w:ascii="Times New Roman" w:hAnsi="Times New Roman" w:cs="Times New Roman" w:hint="default"/>
          <w:color w:val="auto"/>
          <w:sz w:val="28"/>
          <w:szCs w:val="28"/>
        </w:rPr>
        <w:t>货物签收单</w:t>
      </w:r>
      <w:r>
        <w:rPr>
          <w:rFonts w:ascii="Times New Roman" w:hAnsi="Times New Roman" w:cs="Times New Roman" w:hint="eastAsia"/>
          <w:color w:val="auto"/>
          <w:sz w:val="28"/>
          <w:szCs w:val="28"/>
          <w:lang w:eastAsia="zh-CN"/>
        </w:rPr>
        <w:t>；</w:t>
      </w:r>
    </w:p>
    <w:p>
      <w:pPr>
        <w:spacing w:line="360" w:lineRule="auto"/>
        <w:ind w:firstLine="560" w:firstLineChars="200"/>
        <w:jc w:val="both"/>
        <w:rPr>
          <w:rFonts w:hint="eastAsia"/>
          <w:color w:val="auto"/>
          <w:sz w:val="28"/>
          <w:szCs w:val="28"/>
        </w:rPr>
      </w:pPr>
      <w:r>
        <w:rPr>
          <w:rFonts w:ascii="Times New Roman" w:hAnsi="Times New Roman" w:cs="Times New Roman" w:hint="eastAsia"/>
          <w:b/>
          <w:bCs/>
          <w:color w:val="auto"/>
          <w:sz w:val="28"/>
          <w:szCs w:val="28"/>
          <w:lang w:val="en-US" w:eastAsia="zh-CN"/>
        </w:rPr>
        <w:t>附件4：</w:t>
      </w:r>
      <w:r>
        <w:rPr>
          <w:rFonts w:ascii="Times New Roman" w:hAnsi="Times New Roman" w:cs="Times New Roman" w:hint="eastAsia"/>
          <w:color w:val="auto"/>
          <w:sz w:val="28"/>
          <w:szCs w:val="28"/>
          <w:lang w:val="en-US" w:eastAsia="zh-CN"/>
        </w:rPr>
        <w:t>弹药保险箱技术说明书。</w:t>
      </w:r>
    </w:p>
    <w:tbl>
      <w:tblPr>
        <w:tblStyle w:val="TableGrid"/>
        <w:tblpPr w:leftFromText="180" w:rightFromText="180" w:vertAnchor="text" w:horzAnchor="page" w:tblpX="1603" w:tblpY="360"/>
        <w:tblOverlap w:val="never"/>
        <w:tblW w:w="913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69"/>
        <w:gridCol w:w="4569"/>
      </w:tblGrid>
      <w:tr>
        <w:tblPrEx>
          <w:tblW w:w="913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61"/>
        </w:trPr>
        <w:tc>
          <w:tcPr>
            <w:tcW w:w="4569" w:type="dxa"/>
            <w:tcBorders>
              <w:top w:val="single" w:sz="4" w:space="0" w:color="auto"/>
              <w:left w:val="single" w:sz="4" w:space="0" w:color="auto"/>
              <w:bottom w:val="single" w:sz="4" w:space="0" w:color="auto"/>
              <w:right w:val="single" w:sz="4" w:space="0" w:color="auto"/>
            </w:tcBorders>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color w:val="auto"/>
                <w:spacing w:val="-10"/>
              </w:rPr>
            </w:pPr>
            <w:r>
              <w:rPr>
                <w:rFonts w:ascii="Times New Roman" w:hAnsi="Times New Roman" w:cs="Times New Roman" w:hint="default"/>
                <w:b/>
                <w:color w:val="auto"/>
                <w:sz w:val="24"/>
                <w:szCs w:val="24"/>
              </w:rPr>
              <w:t>甲方</w:t>
            </w:r>
            <w:r>
              <w:rPr>
                <w:rFonts w:ascii="Times New Roman" w:hAnsi="Times New Roman" w:cs="Times New Roman" w:hint="default"/>
                <w:b/>
                <w:color w:val="auto"/>
                <w:sz w:val="24"/>
                <w:szCs w:val="24"/>
                <w:lang w:val="en-US" w:eastAsia="zh-CN"/>
              </w:rPr>
              <w:t>(盖章)</w:t>
            </w:r>
            <w:r>
              <w:rPr>
                <w:rFonts w:ascii="Times New Roman" w:hAnsi="Times New Roman" w:cs="Times New Roman" w:hint="default"/>
                <w:b/>
                <w:color w:val="auto"/>
                <w:spacing w:val="-10"/>
                <w:sz w:val="24"/>
                <w:szCs w:val="24"/>
              </w:rPr>
              <w:t>：</w:t>
            </w:r>
          </w:p>
          <w:p>
            <w:pPr>
              <w:keepNext w:val="0"/>
              <w:keepLines w:val="0"/>
              <w:suppressLineNumbers w:val="0"/>
              <w:tabs>
                <w:tab w:val="left" w:pos="709"/>
              </w:tabs>
              <w:adjustRightInd w:val="0"/>
              <w:snapToGrid w:val="0"/>
              <w:spacing w:before="0" w:beforeAutospacing="0" w:after="0" w:afterAutospacing="0" w:line="360" w:lineRule="auto"/>
              <w:ind w:left="0" w:right="0"/>
              <w:rPr>
                <w:rFonts w:hint="default"/>
                <w:color w:val="auto"/>
              </w:rPr>
            </w:pPr>
            <w:r>
              <w:rPr>
                <w:rFonts w:ascii="Times New Roman" w:hAnsi="Times New Roman" w:cs="Times New Roman" w:hint="default"/>
                <w:b/>
                <w:color w:val="auto"/>
                <w:spacing w:val="-10"/>
                <w:sz w:val="24"/>
                <w:szCs w:val="24"/>
              </w:rPr>
              <w:t>青海省气象灾害防御技术中心</w:t>
            </w:r>
          </w:p>
        </w:tc>
        <w:tc>
          <w:tcPr>
            <w:tcW w:w="4569" w:type="dxa"/>
            <w:tcBorders>
              <w:top w:val="single" w:sz="4" w:space="0" w:color="auto"/>
              <w:left w:val="single" w:sz="4" w:space="0" w:color="auto"/>
              <w:bottom w:val="single" w:sz="4" w:space="0" w:color="auto"/>
              <w:right w:val="single" w:sz="4" w:space="0" w:color="auto"/>
            </w:tcBorders>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color w:val="auto"/>
                <w:spacing w:val="-10"/>
              </w:rPr>
            </w:pPr>
            <w:r>
              <w:rPr>
                <w:rFonts w:ascii="Times New Roman" w:hAnsi="Times New Roman" w:cs="Times New Roman" w:hint="default"/>
                <w:b/>
                <w:color w:val="auto"/>
                <w:spacing w:val="-2"/>
                <w:sz w:val="24"/>
                <w:szCs w:val="24"/>
              </w:rPr>
              <w:t>乙方(盖章)</w:t>
            </w:r>
            <w:r>
              <w:rPr>
                <w:rFonts w:ascii="Times New Roman" w:hAnsi="Times New Roman" w:cs="Times New Roman" w:hint="default"/>
                <w:b/>
                <w:color w:val="auto"/>
                <w:spacing w:val="-10"/>
                <w:sz w:val="24"/>
                <w:szCs w:val="24"/>
              </w:rPr>
              <w:t>：</w:t>
            </w:r>
          </w:p>
          <w:p>
            <w:pPr>
              <w:keepNext w:val="0"/>
              <w:keepLines w:val="0"/>
              <w:suppressLineNumbers w:val="0"/>
              <w:tabs>
                <w:tab w:val="left" w:pos="709"/>
              </w:tabs>
              <w:adjustRightInd w:val="0"/>
              <w:snapToGrid w:val="0"/>
              <w:spacing w:before="0" w:beforeAutospacing="0" w:after="0" w:afterAutospacing="0" w:line="360" w:lineRule="auto"/>
              <w:ind w:left="0" w:right="0"/>
              <w:rPr>
                <w:rFonts w:hint="default"/>
                <w:color w:val="auto"/>
              </w:rPr>
            </w:pPr>
            <w:r>
              <w:rPr>
                <w:rFonts w:ascii="Times New Roman" w:hAnsi="Times New Roman" w:cs="Times New Roman" w:hint="eastAsia"/>
                <w:b/>
                <w:color w:val="auto"/>
                <w:spacing w:val="-10"/>
                <w:sz w:val="24"/>
                <w:szCs w:val="24"/>
                <w:lang w:val="en-US" w:eastAsia="zh-CN"/>
              </w:rPr>
              <w:t>有限</w:t>
            </w:r>
            <w:r>
              <w:rPr>
                <w:rFonts w:ascii="Times New Roman" w:hAnsi="Times New Roman" w:cs="Times New Roman" w:hint="default"/>
                <w:b/>
                <w:color w:val="auto"/>
                <w:spacing w:val="-10"/>
                <w:sz w:val="24"/>
                <w:szCs w:val="24"/>
              </w:rPr>
              <w:t>公司</w:t>
            </w:r>
          </w:p>
        </w:tc>
      </w:tr>
      <w:tr>
        <w:tblPrEx>
          <w:tblW w:w="9138" w:type="dxa"/>
          <w:tblInd w:w="0" w:type="dxa"/>
          <w:tblCellMar>
            <w:top w:w="0" w:type="dxa"/>
            <w:left w:w="108" w:type="dxa"/>
            <w:bottom w:w="0" w:type="dxa"/>
            <w:right w:w="108" w:type="dxa"/>
          </w:tblCellMar>
        </w:tblPrEx>
        <w:trPr>
          <w:trHeight w:val="485"/>
        </w:trPr>
        <w:tc>
          <w:tcPr>
            <w:tcW w:w="4569" w:type="dxa"/>
            <w:tcBorders>
              <w:top w:val="nil"/>
            </w:tcBorders>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rPr>
            </w:pPr>
            <w:r>
              <w:rPr>
                <w:rFonts w:ascii="Times New Roman" w:hAnsi="Times New Roman" w:cs="Times New Roman" w:hint="default"/>
                <w:b/>
                <w:bCs/>
                <w:color w:val="auto"/>
                <w:sz w:val="24"/>
                <w:szCs w:val="24"/>
              </w:rPr>
              <w:t>地址</w:t>
            </w:r>
            <w:r>
              <w:rPr>
                <w:rFonts w:ascii="Times New Roman" w:hAnsi="Times New Roman" w:cs="Times New Roman" w:hint="default"/>
                <w:b/>
                <w:bCs/>
                <w:color w:val="auto"/>
                <w:sz w:val="24"/>
                <w:szCs w:val="24"/>
                <w:lang w:eastAsia="zh-CN"/>
              </w:rPr>
              <w:t>：青海省西宁市城西区五四大街19号</w:t>
            </w:r>
          </w:p>
        </w:tc>
        <w:tc>
          <w:tcPr>
            <w:tcW w:w="4569" w:type="dxa"/>
            <w:tcBorders>
              <w:top w:val="nil"/>
            </w:tcBorders>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color w:val="auto"/>
              </w:rPr>
            </w:pPr>
            <w:r>
              <w:rPr>
                <w:rFonts w:ascii="Times New Roman" w:hAnsi="Times New Roman" w:cs="Times New Roman" w:hint="default"/>
                <w:b/>
                <w:bCs/>
                <w:color w:val="auto"/>
                <w:sz w:val="24"/>
                <w:szCs w:val="24"/>
                <w:lang w:bidi="ar"/>
              </w:rPr>
              <w:t>地址：</w:t>
            </w:r>
          </w:p>
        </w:tc>
      </w:tr>
      <w:tr>
        <w:tblPrEx>
          <w:tblW w:w="9138" w:type="dxa"/>
          <w:tblInd w:w="0" w:type="dxa"/>
          <w:tblCellMar>
            <w:top w:w="0" w:type="dxa"/>
            <w:left w:w="108" w:type="dxa"/>
            <w:bottom w:w="0" w:type="dxa"/>
            <w:right w:w="108" w:type="dxa"/>
          </w:tblCellMar>
        </w:tblPrEx>
        <w:trPr>
          <w:trHeight w:val="561"/>
        </w:trPr>
        <w:tc>
          <w:tcPr>
            <w:tcW w:w="4569" w:type="dxa"/>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rPr>
            </w:pPr>
            <w:r>
              <w:rPr>
                <w:rFonts w:ascii="Times New Roman" w:hAnsi="Times New Roman" w:cs="Times New Roman" w:hint="default"/>
                <w:b/>
                <w:bCs/>
                <w:color w:val="auto"/>
                <w:sz w:val="24"/>
                <w:szCs w:val="24"/>
              </w:rPr>
              <w:t>电话：</w:t>
            </w:r>
            <w:r>
              <w:rPr>
                <w:rFonts w:ascii="Times New Roman" w:hAnsi="Times New Roman" w:cs="Times New Roman" w:hint="default"/>
                <w:b/>
                <w:bCs/>
                <w:color w:val="auto"/>
                <w:sz w:val="24"/>
                <w:szCs w:val="24"/>
                <w:lang w:val="en-US" w:eastAsia="zh-CN"/>
              </w:rPr>
              <w:t>0971-</w:t>
            </w:r>
            <w:r>
              <w:rPr>
                <w:rFonts w:ascii="Times New Roman" w:hAnsi="Times New Roman" w:cs="Times New Roman" w:hint="eastAsia"/>
                <w:b/>
                <w:bCs/>
                <w:color w:val="auto"/>
                <w:sz w:val="24"/>
                <w:szCs w:val="24"/>
                <w:lang w:val="en-US" w:eastAsia="zh-CN"/>
              </w:rPr>
              <w:t>6114398</w:t>
            </w:r>
          </w:p>
        </w:tc>
        <w:tc>
          <w:tcPr>
            <w:tcW w:w="4569" w:type="dxa"/>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rPr>
            </w:pPr>
            <w:r>
              <w:rPr>
                <w:rFonts w:ascii="Times New Roman" w:hAnsi="Times New Roman" w:cs="Times New Roman" w:hint="default"/>
                <w:b/>
                <w:bCs/>
                <w:color w:val="auto"/>
                <w:sz w:val="24"/>
                <w:szCs w:val="24"/>
              </w:rPr>
              <w:t>电话：</w:t>
            </w:r>
          </w:p>
        </w:tc>
      </w:tr>
      <w:tr>
        <w:tblPrEx>
          <w:tblW w:w="9138" w:type="dxa"/>
          <w:tblInd w:w="0" w:type="dxa"/>
          <w:tblCellMar>
            <w:top w:w="0" w:type="dxa"/>
            <w:left w:w="108" w:type="dxa"/>
            <w:bottom w:w="0" w:type="dxa"/>
            <w:right w:w="108" w:type="dxa"/>
          </w:tblCellMar>
        </w:tblPrEx>
        <w:trPr>
          <w:trHeight w:val="446"/>
        </w:trPr>
        <w:tc>
          <w:tcPr>
            <w:tcW w:w="4569" w:type="dxa"/>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rPr>
            </w:pPr>
            <w:r>
              <w:rPr>
                <w:rFonts w:ascii="Times New Roman" w:hAnsi="Times New Roman" w:cs="Times New Roman" w:hint="default"/>
                <w:b/>
                <w:bCs/>
                <w:color w:val="auto"/>
                <w:sz w:val="24"/>
                <w:szCs w:val="24"/>
              </w:rPr>
              <w:t>开户银行：</w:t>
            </w:r>
            <w:r>
              <w:rPr>
                <w:rFonts w:ascii="Times New Roman" w:hAnsi="Times New Roman" w:cs="Times New Roman" w:hint="default"/>
                <w:b/>
                <w:bCs/>
                <w:color w:val="auto"/>
                <w:sz w:val="24"/>
                <w:szCs w:val="24"/>
                <w:lang w:val="en-US" w:eastAsia="zh-CN"/>
              </w:rPr>
              <w:t>建行西宁市城西支行</w:t>
            </w:r>
          </w:p>
        </w:tc>
        <w:tc>
          <w:tcPr>
            <w:tcW w:w="4569" w:type="dxa"/>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rPr>
            </w:pPr>
            <w:r>
              <w:rPr>
                <w:rFonts w:ascii="Times New Roman" w:hAnsi="Times New Roman" w:cs="Times New Roman" w:hint="default"/>
                <w:b/>
                <w:bCs/>
                <w:color w:val="auto"/>
                <w:sz w:val="24"/>
                <w:szCs w:val="24"/>
                <w:lang w:bidi="ar"/>
              </w:rPr>
              <w:t>开户银行：</w:t>
            </w:r>
          </w:p>
        </w:tc>
      </w:tr>
      <w:tr>
        <w:tblPrEx>
          <w:tblW w:w="9138" w:type="dxa"/>
          <w:tblInd w:w="0" w:type="dxa"/>
          <w:tblCellMar>
            <w:top w:w="0" w:type="dxa"/>
            <w:left w:w="108" w:type="dxa"/>
            <w:bottom w:w="0" w:type="dxa"/>
            <w:right w:w="108" w:type="dxa"/>
          </w:tblCellMar>
        </w:tblPrEx>
        <w:trPr>
          <w:trHeight w:val="576"/>
        </w:trPr>
        <w:tc>
          <w:tcPr>
            <w:tcW w:w="4569" w:type="dxa"/>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rPr>
            </w:pPr>
            <w:r>
              <w:rPr>
                <w:rFonts w:ascii="Times New Roman" w:hAnsi="Times New Roman" w:cs="Times New Roman" w:hint="default"/>
                <w:b/>
                <w:bCs/>
                <w:color w:val="auto"/>
                <w:sz w:val="24"/>
                <w:szCs w:val="24"/>
              </w:rPr>
              <w:t>账号：</w:t>
            </w:r>
          </w:p>
        </w:tc>
        <w:tc>
          <w:tcPr>
            <w:tcW w:w="4569" w:type="dxa"/>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lang w:bidi="ar"/>
              </w:rPr>
            </w:pPr>
            <w:r>
              <w:rPr>
                <w:rFonts w:ascii="Times New Roman" w:hAnsi="Times New Roman" w:cs="Times New Roman" w:hint="default"/>
                <w:b/>
                <w:bCs/>
                <w:color w:val="auto"/>
                <w:sz w:val="24"/>
                <w:szCs w:val="24"/>
                <w:lang w:bidi="ar"/>
              </w:rPr>
              <w:t>账号</w:t>
            </w:r>
            <w:r>
              <w:rPr>
                <w:rFonts w:ascii="Times New Roman" w:hAnsi="Times New Roman" w:cs="Times New Roman" w:hint="default"/>
                <w:b/>
                <w:bCs/>
                <w:color w:val="auto"/>
                <w:sz w:val="24"/>
                <w:szCs w:val="24"/>
                <w:lang w:val="en-US" w:eastAsia="zh-CN"/>
              </w:rPr>
              <w:t>：</w:t>
            </w:r>
          </w:p>
        </w:tc>
      </w:tr>
      <w:tr>
        <w:tblPrEx>
          <w:tblW w:w="9138" w:type="dxa"/>
          <w:tblInd w:w="0" w:type="dxa"/>
          <w:tblCellMar>
            <w:top w:w="0" w:type="dxa"/>
            <w:left w:w="108" w:type="dxa"/>
            <w:bottom w:w="0" w:type="dxa"/>
            <w:right w:w="108" w:type="dxa"/>
          </w:tblCellMar>
        </w:tblPrEx>
        <w:trPr>
          <w:trHeight w:val="561"/>
        </w:trPr>
        <w:tc>
          <w:tcPr>
            <w:tcW w:w="4569" w:type="dxa"/>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rPr>
            </w:pPr>
            <w:r>
              <w:rPr>
                <w:rFonts w:ascii="Times New Roman" w:hAnsi="Times New Roman" w:cs="Times New Roman" w:hint="default"/>
                <w:b/>
                <w:bCs/>
                <w:color w:val="auto"/>
                <w:sz w:val="24"/>
                <w:szCs w:val="24"/>
              </w:rPr>
              <w:t>法定代表人</w:t>
            </w:r>
            <w:r>
              <w:rPr>
                <w:rFonts w:ascii="Times New Roman" w:hAnsi="Times New Roman" w:cs="Times New Roman" w:hint="default"/>
                <w:b/>
                <w:bCs/>
                <w:color w:val="auto"/>
                <w:sz w:val="24"/>
                <w:szCs w:val="24"/>
                <w:lang w:val="en-US" w:eastAsia="zh-CN"/>
              </w:rPr>
              <w:t>或授权代表（签章）</w:t>
            </w:r>
            <w:r>
              <w:rPr>
                <w:rFonts w:ascii="Times New Roman" w:hAnsi="Times New Roman" w:cs="Times New Roman" w:hint="default"/>
                <w:b/>
                <w:bCs/>
                <w:color w:val="auto"/>
                <w:sz w:val="24"/>
                <w:szCs w:val="24"/>
              </w:rPr>
              <w:t>：</w:t>
            </w:r>
          </w:p>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rPr>
            </w:pPr>
          </w:p>
        </w:tc>
        <w:tc>
          <w:tcPr>
            <w:tcW w:w="4569" w:type="dxa"/>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lang w:bidi="ar"/>
              </w:rPr>
            </w:pPr>
            <w:r>
              <w:rPr>
                <w:rFonts w:ascii="Times New Roman" w:hAnsi="Times New Roman" w:cs="Times New Roman" w:hint="default"/>
                <w:b/>
                <w:bCs/>
                <w:color w:val="auto"/>
                <w:sz w:val="24"/>
                <w:szCs w:val="24"/>
                <w:lang w:bidi="ar"/>
              </w:rPr>
              <w:t>法定代表人或授权代表（签章）：</w:t>
            </w:r>
          </w:p>
        </w:tc>
      </w:tr>
      <w:tr>
        <w:tblPrEx>
          <w:tblW w:w="9138" w:type="dxa"/>
          <w:tblInd w:w="0" w:type="dxa"/>
          <w:tblCellMar>
            <w:top w:w="0" w:type="dxa"/>
            <w:left w:w="108" w:type="dxa"/>
            <w:bottom w:w="0" w:type="dxa"/>
            <w:right w:w="108" w:type="dxa"/>
          </w:tblCellMar>
        </w:tblPrEx>
        <w:trPr>
          <w:trHeight w:val="539"/>
        </w:trPr>
        <w:tc>
          <w:tcPr>
            <w:tcW w:w="4569" w:type="dxa"/>
            <w:tcBorders>
              <w:top w:val="nil"/>
            </w:tcBorders>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rPr>
            </w:pPr>
            <w:r>
              <w:rPr>
                <w:rFonts w:ascii="Times New Roman" w:hAnsi="Times New Roman" w:cs="Times New Roman" w:hint="default"/>
                <w:b/>
                <w:bCs/>
                <w:color w:val="auto"/>
                <w:sz w:val="24"/>
                <w:szCs w:val="24"/>
              </w:rPr>
              <w:t>日期：</w:t>
            </w:r>
          </w:p>
        </w:tc>
        <w:tc>
          <w:tcPr>
            <w:tcW w:w="4569" w:type="dxa"/>
            <w:tcBorders>
              <w:top w:val="nil"/>
            </w:tcBorders>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lang w:bidi="ar"/>
              </w:rPr>
            </w:pPr>
            <w:r>
              <w:rPr>
                <w:rFonts w:ascii="Times New Roman" w:hAnsi="Times New Roman" w:cs="Times New Roman" w:hint="default"/>
                <w:b/>
                <w:bCs/>
                <w:color w:val="auto"/>
                <w:sz w:val="24"/>
                <w:szCs w:val="24"/>
                <w:lang w:bidi="ar"/>
              </w:rPr>
              <w:t>日期：</w:t>
            </w:r>
          </w:p>
        </w:tc>
      </w:tr>
    </w:tbl>
    <w:p>
      <w:pPr>
        <w:spacing w:line="240" w:lineRule="auto"/>
        <w:ind w:firstLine="0"/>
        <w:rPr>
          <w:rFonts w:hint="default"/>
          <w:color w:val="auto"/>
        </w:rPr>
      </w:pPr>
    </w:p>
    <w:p>
      <w:r>
        <w:rPr>
          <w:b/>
          <w:bCs/>
          <w:kern w:val="44"/>
          <w:szCs w:val="28"/>
        </w:rPr>
        <w:br w:type="page"/>
      </w:r>
    </w:p>
    <w:p w:rsidR="00A77B3E"/>
    <w:p>
      <w:pPr>
        <w:pStyle w:val="2"/>
        <w:keepNext w:val="0"/>
        <w:keepLines w:val="0"/>
        <w:spacing w:before="156" w:beforeLines="50" w:after="0" w:line="360" w:lineRule="auto"/>
        <w:ind w:left="0" w:firstLine="0"/>
        <w:jc w:val="center"/>
        <w:rPr>
          <w:b/>
          <w:color w:val="auto"/>
          <w:sz w:val="30"/>
          <w:szCs w:val="30"/>
        </w:rPr>
      </w:pPr>
      <w:bookmarkEnd w:id="68"/>
    </w:p>
    <w:sectPr>
      <w:headerReference w:type="default" r:id="rId10"/>
      <w:footerReference w:type="default" r:id="rId11"/>
      <w:pgSz w:w="11906" w:h="16838"/>
      <w:pgMar w:top="1417" w:right="1701" w:bottom="1417" w:left="1701" w:header="851" w:footer="992" w:gutter="0"/>
      <w:pgNumType w:fmt="decimal"/>
      <w:cols w:num="1" w:space="72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6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楷体_GB2312">
    <w:panose1 w:val="02010609030101010101"/>
    <w:charset w:val="86"/>
    <w:family w:val="auto"/>
    <w:pitch w:val="default"/>
    <w:sig w:usb0="00000001" w:usb1="080E0000" w:usb2="00000000" w:usb3="00000000" w:csb0="00040000" w:csb1="00000000"/>
  </w:font>
  <w:font w:name="方正楷体_GB2312">
    <w:panose1 w:val="02000000000000000000"/>
    <w:charset w:val="86"/>
    <w:family w:val="auto"/>
    <w:pitch w:val="default"/>
    <w:sig w:usb0="A00002BF" w:usb1="184F6CFA" w:usb2="00000012"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6192"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EDFBB3A"/>
    <w:multiLevelType w:val="singleLevel"/>
    <w:tmpl w:val="CEDFBB3A"/>
    <w:lvl w:ilvl="0">
      <w:start w:val="1"/>
      <w:numFmt w:val="decimal"/>
      <w:lvlText w:val="%1."/>
      <w:lvlJc w:val="left"/>
      <w:pPr>
        <w:tabs>
          <w:tab w:val="left" w:pos="312"/>
        </w:tabs>
      </w:pPr>
    </w:lvl>
  </w:abstractNum>
  <w:abstractNum w:abstractNumId="1">
    <w:nsid w:val="D1943698"/>
    <w:multiLevelType w:val="singleLevel"/>
    <w:tmpl w:val="D1943698"/>
    <w:lvl w:ilvl="0">
      <w:start w:val="1"/>
      <w:numFmt w:val="decimal"/>
      <w:suff w:val="nothing"/>
      <w:lvlText w:val="（%1）"/>
      <w:lvlJc w:val="left"/>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41">
    <w:name w:val="font41"/>
    <w:basedOn w:val="DefaultParagraphFont"/>
    <w:qFormat/>
    <w:rPr>
      <w:rFonts w:ascii="Times New Roman" w:hAnsi="Times New Roman" w:cs="Times New Roman"/>
      <w:color w:val="000000"/>
      <w:sz w:val="21"/>
      <w:szCs w:val="21"/>
      <w:u w:val="none"/>
    </w:rPr>
  </w:style>
  <w:style w:type="character" w:styleId="Emphasis">
    <w:name w:val="Emphasis"/>
    <w:qFormat/>
    <w:rPr>
      <w:i/>
    </w:rPr>
  </w:style>
  <w:style w:type="paragraph" w:styleId="BodyTextFirstIndent2">
    <w:name w:val="Body Text First Indent 2"/>
    <w:basedOn w:val="BodyTextIndent"/>
    <w:unhideWhenUsed/>
    <w:qFormat/>
    <w:pPr>
      <w:spacing w:after="0"/>
      <w:ind w:left="0" w:firstLine="420" w:leftChars="0" w:firstLineChars="200"/>
    </w:pPr>
    <w:rPr>
      <w:rFonts w:ascii="宋体" w:hAnsi="宋体"/>
      <w:color w:val="000000"/>
      <w:sz w:val="24"/>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