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2025年大气本底站高精度温室气体（CO2 CH4 H2O）浓度观测系统采购（重新招标）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ZQCD-25426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湖北省气候中心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2025年大气本底站高精度温室气体（CO2/CH4/H2O）浓度观测系统采购（重新招标）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ZQCD-25426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合同签订后200天内交货，交货后30天内完成安装调试并具备验收条件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湖北省神农架林区</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2025年12月01日 11:00:00</w:t>
      </w:r>
      <w:bookmarkEnd w:id="26"/>
      <w:r>
        <w:rPr>
          <w:rFonts w:ascii="宋体" w:hint="eastAsia"/>
          <w:szCs w:val="21"/>
          <w:highlight w:val="none"/>
        </w:rPr>
        <w:t>至</w:t>
      </w:r>
      <w:bookmarkStart w:id="27" w:name="项目公告_signUpLastTime"/>
      <w:r>
        <w:rPr>
          <w:rFonts w:ascii="宋体" w:hint="eastAsia"/>
          <w:szCs w:val="21"/>
          <w:highlight w:val="none"/>
        </w:rPr>
        <w:t>2025年12月08日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2025年12月23日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湖北省气候中心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岳岩裕</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027-67847975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湖北省武汉市洪山区东湖东路3号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湖北省气候中心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不允许（仅针对以下产品：CO2/CH4/H2O分析仪不允许代理商投标）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标的：CO2/CH4/H2O分析仪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275.000000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275.000000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销售合同必须包括高精度CO2/CH4/H2O分析仪（离轴积分腔输出光谱法），每提供1份合同得1分，最多得5分。否则不得分。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针对本项目采购的高精度CO2/CH4/H2O分析仪（离轴积分腔输出光谱法），承诺每提前10天交货的得0.5分，最多得1分。否则不得分。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针对高精度CO2/CH4/H2O分析仪（离轴积分腔输出光谱法），每提供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针对高精度CO2/CH4/H2O分析仪（离轴积分腔输出光谱法），测试报告应涵盖低温工作、高温工作、湿度、气压、静电放电抗干扰等内容，每包含一项得0.6分，最多得3分。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1085"/>
        <w:gridCol w:w="503"/>
        <w:gridCol w:w="1457"/>
        <w:gridCol w:w="5439"/>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3" w:type="pct"/>
            <w:gridSpan w:val="3"/>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3"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589" w:type="pct"/>
            <w:vMerge w:val="restart"/>
            <w:vAlign w:val="center"/>
          </w:tcPr>
          <w:p>
            <w:pPr>
              <w:rPr>
                <w:rFonts w:ascii="仿宋" w:eastAsia="仿宋" w:hAnsi="仿宋" w:cs="仿宋" w:hint="eastAsia"/>
              </w:rPr>
            </w:pPr>
            <w:r>
              <w:rPr>
                <w:rFonts w:ascii="仿宋" w:eastAsia="仿宋" w:hAnsi="仿宋" w:cs="仿宋" w:hint="eastAsia"/>
                <w:sz w:val="24"/>
              </w:rPr>
              <w:t>C0</w:t>
            </w:r>
            <w:r>
              <w:rPr>
                <w:rFonts w:ascii="仿宋" w:eastAsia="仿宋" w:hAnsi="仿宋" w:cs="仿宋" w:hint="eastAsia"/>
                <w:sz w:val="24"/>
                <w:vertAlign w:val="subscript"/>
              </w:rPr>
              <w:t>2</w:t>
            </w: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0分析仪(离轴积分腔输出光谱法)</w:t>
            </w:r>
          </w:p>
        </w:tc>
        <w:tc>
          <w:tcPr>
            <w:tcW w:w="4017" w:type="pct"/>
            <w:gridSpan w:val="3"/>
            <w:vAlign w:val="center"/>
          </w:tcPr>
          <w:p>
            <w:pPr>
              <w:rPr>
                <w:rFonts w:ascii="仿宋" w:eastAsia="仿宋" w:hAnsi="仿宋" w:cs="仿宋" w:hint="eastAsia"/>
              </w:rPr>
            </w:pPr>
            <w:r>
              <w:rPr>
                <w:rFonts w:ascii="仿宋" w:eastAsia="仿宋" w:hAnsi="仿宋" w:cs="仿宋" w:hint="eastAsia"/>
                <w:sz w:val="24"/>
                <w:highlight w:val="yellow"/>
              </w:rPr>
              <w:t>#在标气条件下（5min平均，1</w:t>
            </w:r>
            <w:r>
              <w:rPr>
                <w:rFonts w:ascii="仿宋" w:eastAsia="仿宋" w:hAnsi="仿宋" w:cs="仿宋" w:hint="eastAsia"/>
                <w:sz w:val="24"/>
                <w:highlight w:val="yellow"/>
              </w:rPr>
              <w:t>σ</w:t>
            </w: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浓度测量精度 &lt; 0.1</w:t>
            </w:r>
            <w:r>
              <w:rPr>
                <w:rFonts w:ascii="仿宋" w:eastAsia="仿宋" w:hAnsi="仿宋" w:cs="仿宋" w:hint="eastAsia"/>
                <w:sz w:val="24"/>
                <w:highlight w:val="yellow"/>
              </w:rPr>
              <w:t>μ</w:t>
            </w:r>
            <w:r>
              <w:rPr>
                <w:rFonts w:ascii="仿宋" w:eastAsia="仿宋" w:hAnsi="仿宋" w:cs="仿宋" w:hint="eastAsia"/>
                <w:sz w:val="24"/>
                <w:highlight w:val="yellow"/>
              </w:rPr>
              <w:t>mol/mol（ppm）  ；CH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浓度测量精度 &lt; 2 nmol/mol（ppb）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
              <w:numPr>
                <w:ilvl w:val="0"/>
                <w:numId w:val="4"/>
              </w:numPr>
              <w:ind w:left="0" w:firstLine="0" w:firstLineChars="0"/>
              <w:rPr>
                <w:rFonts w:ascii="仿宋" w:eastAsia="仿宋" w:hAnsi="仿宋" w:cs="仿宋" w:hint="eastAsia"/>
                <w:sz w:val="24"/>
                <w:szCs w:val="24"/>
              </w:rPr>
            </w:pPr>
          </w:p>
        </w:tc>
        <w:tc>
          <w:tcPr>
            <w:tcW w:w="589" w:type="pct"/>
            <w:vMerge/>
            <w:vAlign w:val="center"/>
          </w:tcPr>
          <w:p>
            <w:pPr>
              <w:rPr>
                <w:rFonts w:ascii="仿宋" w:eastAsia="仿宋" w:hAnsi="仿宋" w:cs="仿宋" w:hint="eastAsia"/>
              </w:rPr>
            </w:pPr>
          </w:p>
        </w:tc>
        <w:tc>
          <w:tcPr>
            <w:tcW w:w="273" w:type="pct"/>
            <w:vAlign w:val="center"/>
          </w:tcPr>
          <w:p>
            <w:pPr>
              <w:rPr>
                <w:rFonts w:ascii="仿宋" w:eastAsia="仿宋" w:hAnsi="仿宋" w:cs="仿宋" w:hint="eastAsia"/>
              </w:rPr>
            </w:pPr>
            <w:r>
              <w:rPr>
                <w:rFonts w:ascii="仿宋" w:eastAsia="仿宋" w:hAnsi="仿宋" w:cs="仿宋" w:hint="eastAsia"/>
                <w:sz w:val="24"/>
              </w:rPr>
              <w:t>测量单元</w:t>
            </w:r>
          </w:p>
        </w:tc>
        <w:tc>
          <w:tcPr>
            <w:tcW w:w="790" w:type="pct"/>
            <w:vAlign w:val="center"/>
          </w:tcPr>
          <w:p>
            <w:pPr>
              <w:rPr>
                <w:rFonts w:ascii="仿宋" w:eastAsia="仿宋" w:hAnsi="仿宋" w:cs="仿宋" w:hint="eastAsia"/>
              </w:rPr>
            </w:pPr>
            <w:r>
              <w:rPr>
                <w:rFonts w:ascii="仿宋" w:eastAsia="仿宋" w:hAnsi="仿宋" w:cs="仿宋" w:hint="eastAsia"/>
                <w:sz w:val="24"/>
              </w:rPr>
              <w:t>分析主机</w:t>
            </w:r>
          </w:p>
        </w:tc>
        <w:tc>
          <w:tcPr>
            <w:tcW w:w="2953" w:type="pct"/>
            <w:vAlign w:val="center"/>
          </w:tcPr>
          <w:p>
            <w:pPr>
              <w:rPr>
                <w:rFonts w:ascii="仿宋" w:eastAsia="仿宋" w:hAnsi="仿宋" w:cs="仿宋"/>
              </w:rPr>
            </w:pPr>
            <w:r>
              <w:rPr>
                <w:rFonts w:ascii="仿宋" w:eastAsia="仿宋" w:hAnsi="仿宋" w:cs="仿宋" w:hint="eastAsia"/>
                <w:sz w:val="24"/>
              </w:rPr>
              <w:t>（1）测量原理：离轴积分腔输出光谱法</w:t>
            </w:r>
          </w:p>
          <w:p>
            <w:pPr>
              <w:rPr>
                <w:rFonts w:ascii="仿宋" w:eastAsia="仿宋" w:hAnsi="仿宋" w:cs="仿宋" w:hint="eastAsia"/>
              </w:rPr>
            </w:pPr>
            <w:r>
              <w:rPr>
                <w:rFonts w:ascii="仿宋" w:eastAsia="仿宋" w:hAnsi="仿宋" w:cs="仿宋" w:hint="eastAsia"/>
                <w:sz w:val="24"/>
              </w:rPr>
              <w:t>（2）秒级数据精度</w:t>
            </w:r>
          </w:p>
          <w:p>
            <w:pPr>
              <w:rPr>
                <w:rFonts w:ascii="仿宋" w:eastAsia="仿宋" w:hAnsi="仿宋" w:cs="仿宋" w:hint="eastAsia"/>
                <w:highlight w:val="yellow"/>
              </w:rPr>
            </w:pP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w:t>
            </w:r>
            <w:r>
              <w:rPr>
                <w:rFonts w:ascii="仿宋" w:eastAsia="仿宋" w:hAnsi="仿宋" w:cs="仿宋" w:hint="eastAsia"/>
                <w:sz w:val="24"/>
                <w:highlight w:val="yellow"/>
              </w:rPr>
              <w:t>≤</w:t>
            </w:r>
            <w:r>
              <w:rPr>
                <w:rFonts w:ascii="仿宋" w:eastAsia="仿宋" w:hAnsi="仿宋" w:cs="仿宋" w:hint="eastAsia"/>
                <w:sz w:val="24"/>
                <w:highlight w:val="yellow"/>
              </w:rPr>
              <w:t>0.25ppm</w:t>
            </w:r>
          </w:p>
          <w:p>
            <w:pPr>
              <w:rPr>
                <w:rFonts w:ascii="仿宋" w:eastAsia="仿宋" w:hAnsi="仿宋" w:cs="仿宋" w:hint="eastAsia"/>
                <w:highlight w:val="yellow"/>
              </w:rPr>
            </w:pPr>
            <w:r>
              <w:rPr>
                <w:rFonts w:ascii="仿宋" w:eastAsia="仿宋" w:hAnsi="仿宋" w:cs="仿宋" w:hint="eastAsia"/>
                <w:sz w:val="24"/>
                <w:highlight w:val="yellow"/>
              </w:rPr>
              <w:t>#CH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w:t>
            </w:r>
            <w:r>
              <w:rPr>
                <w:rFonts w:ascii="仿宋" w:eastAsia="仿宋" w:hAnsi="仿宋" w:cs="仿宋" w:hint="eastAsia"/>
                <w:sz w:val="24"/>
                <w:highlight w:val="yellow"/>
              </w:rPr>
              <w:t>≤</w:t>
            </w:r>
            <w:r>
              <w:rPr>
                <w:rFonts w:ascii="仿宋" w:eastAsia="仿宋" w:hAnsi="仿宋" w:cs="仿宋" w:hint="eastAsia"/>
                <w:sz w:val="24"/>
                <w:highlight w:val="yellow"/>
              </w:rPr>
              <w:t>1.2ppb</w:t>
            </w:r>
          </w:p>
          <w:p>
            <w:pPr>
              <w:rPr>
                <w:rFonts w:ascii="仿宋" w:eastAsia="仿宋" w:hAnsi="仿宋" w:cs="仿宋" w:hint="eastAsia"/>
              </w:rPr>
            </w:pPr>
            <w:r>
              <w:rPr>
                <w:rFonts w:ascii="仿宋" w:eastAsia="仿宋" w:hAnsi="仿宋" w:cs="仿宋" w:hint="eastAsia"/>
                <w:sz w:val="24"/>
              </w:rPr>
              <w:t>（3）量程</w:t>
            </w:r>
          </w:p>
          <w:p>
            <w:pPr>
              <w:rPr>
                <w:rFonts w:ascii="仿宋" w:eastAsia="仿宋" w:hAnsi="仿宋" w:cs="仿宋" w:hint="eastAsia"/>
                <w:highlight w:val="yellow"/>
              </w:rPr>
            </w:pP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：200～20000ppm（精度保证：300ppm～700ppm）</w:t>
            </w:r>
          </w:p>
          <w:p>
            <w:pPr>
              <w:rPr>
                <w:rFonts w:ascii="仿宋" w:eastAsia="仿宋" w:hAnsi="仿宋" w:cs="仿宋" w:hint="eastAsia"/>
                <w:highlight w:val="yellow"/>
              </w:rPr>
            </w:pPr>
            <w:r>
              <w:rPr>
                <w:rFonts w:ascii="仿宋" w:eastAsia="仿宋" w:hAnsi="仿宋" w:cs="仿宋" w:hint="eastAsia"/>
                <w:sz w:val="24"/>
                <w:highlight w:val="yellow"/>
              </w:rPr>
              <w:t>#CH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：0.01～100ppm（精度保证：1ppm～3ppm）</w:t>
            </w:r>
          </w:p>
          <w:p>
            <w:pPr>
              <w:rPr>
                <w:rFonts w:ascii="仿宋" w:eastAsia="仿宋" w:hAnsi="仿宋" w:cs="仿宋" w:hint="eastAsia"/>
                <w:highlight w:val="yellow"/>
              </w:rPr>
            </w:pPr>
            <w:r>
              <w:rPr>
                <w:rFonts w:ascii="仿宋" w:eastAsia="仿宋" w:hAnsi="仿宋" w:cs="仿宋" w:hint="eastAsia"/>
                <w:sz w:val="24"/>
                <w:highlight w:val="yellow"/>
              </w:rPr>
              <w:t>#H</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O：0-3%v 非冷凝（精度保证：0-3%）</w:t>
            </w:r>
          </w:p>
          <w:p>
            <w:pPr>
              <w:rPr>
                <w:rFonts w:ascii="仿宋" w:eastAsia="仿宋" w:hAnsi="仿宋" w:cs="仿宋" w:hint="eastAsia"/>
              </w:rPr>
            </w:pPr>
            <w:r>
              <w:rPr>
                <w:rFonts w:ascii="仿宋" w:eastAsia="仿宋" w:hAnsi="仿宋" w:cs="仿宋" w:hint="eastAsia"/>
                <w:sz w:val="24"/>
              </w:rPr>
              <w:t>非冷凝）</w:t>
            </w:r>
          </w:p>
          <w:p>
            <w:pPr>
              <w:rPr>
                <w:rFonts w:ascii="仿宋" w:eastAsia="仿宋" w:hAnsi="仿宋" w:cs="仿宋" w:hint="eastAsia"/>
              </w:rPr>
            </w:pPr>
            <w:r>
              <w:rPr>
                <w:rFonts w:ascii="仿宋" w:eastAsia="仿宋" w:hAnsi="仿宋" w:cs="仿宋" w:hint="eastAsia"/>
                <w:sz w:val="24"/>
              </w:rPr>
              <w:t>（4）最大漂移（标准温度压下，15分钟平均，24小时）</w:t>
            </w:r>
          </w:p>
          <w:p>
            <w:pPr>
              <w:rPr>
                <w:rFonts w:ascii="仿宋" w:eastAsia="仿宋" w:hAnsi="仿宋" w:cs="仿宋" w:hint="eastAsia"/>
                <w:highlight w:val="yellow"/>
              </w:rPr>
            </w:pP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w:t>
            </w:r>
            <w:r>
              <w:rPr>
                <w:rFonts w:ascii="仿宋" w:eastAsia="仿宋" w:hAnsi="仿宋" w:cs="仿宋" w:hint="eastAsia"/>
                <w:sz w:val="24"/>
                <w:highlight w:val="yellow"/>
              </w:rPr>
              <w:t>≤</w:t>
            </w:r>
            <w:r>
              <w:rPr>
                <w:rFonts w:ascii="仿宋" w:eastAsia="仿宋" w:hAnsi="仿宋" w:cs="仿宋" w:hint="eastAsia"/>
                <w:sz w:val="24"/>
                <w:highlight w:val="yellow"/>
              </w:rPr>
              <w:t>0.2ppm</w:t>
            </w:r>
          </w:p>
          <w:p>
            <w:pPr>
              <w:rPr>
                <w:rFonts w:ascii="仿宋" w:eastAsia="仿宋" w:hAnsi="仿宋" w:cs="仿宋" w:hint="eastAsia"/>
                <w:highlight w:val="yellow"/>
              </w:rPr>
            </w:pPr>
            <w:r>
              <w:rPr>
                <w:rFonts w:ascii="仿宋" w:eastAsia="仿宋" w:hAnsi="仿宋" w:cs="仿宋" w:hint="eastAsia"/>
                <w:sz w:val="24"/>
                <w:highlight w:val="yellow"/>
              </w:rPr>
              <w:t>#CH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w:t>
            </w:r>
            <w:r>
              <w:rPr>
                <w:rFonts w:ascii="仿宋" w:eastAsia="仿宋" w:hAnsi="仿宋" w:cs="仿宋" w:hint="eastAsia"/>
                <w:sz w:val="24"/>
                <w:highlight w:val="yellow"/>
              </w:rPr>
              <w:t>≤</w:t>
            </w:r>
            <w:r>
              <w:rPr>
                <w:rFonts w:ascii="仿宋" w:eastAsia="仿宋" w:hAnsi="仿宋" w:cs="仿宋" w:hint="eastAsia"/>
                <w:sz w:val="24"/>
                <w:highlight w:val="yellow"/>
              </w:rPr>
              <w:t>3ppb</w:t>
            </w:r>
          </w:p>
          <w:p>
            <w:pPr>
              <w:rPr>
                <w:rFonts w:ascii="仿宋" w:eastAsia="仿宋" w:hAnsi="仿宋" w:cs="仿宋" w:hint="eastAsia"/>
              </w:rPr>
            </w:pPr>
            <w:r>
              <w:rPr>
                <w:rFonts w:ascii="仿宋" w:eastAsia="仿宋" w:hAnsi="仿宋" w:cs="仿宋" w:hint="eastAsia"/>
                <w:sz w:val="24"/>
              </w:rPr>
              <w:t>（5）线性</w:t>
            </w:r>
          </w:p>
          <w:p>
            <w:pPr>
              <w:rPr>
                <w:rFonts w:ascii="仿宋" w:eastAsia="仿宋" w:hAnsi="仿宋" w:cs="仿宋" w:hint="eastAsia"/>
                <w:highlight w:val="yellow"/>
              </w:rPr>
            </w:pPr>
            <w:r>
              <w:rPr>
                <w:rFonts w:ascii="仿宋" w:eastAsia="仿宋" w:hAnsi="仿宋" w:cs="仿宋" w:hint="eastAsia"/>
                <w:sz w:val="24"/>
                <w:highlight w:val="yellow"/>
              </w:rPr>
              <w:t>#CO</w:t>
            </w:r>
            <w:r>
              <w:rPr>
                <w:rFonts w:ascii="仿宋" w:eastAsia="仿宋" w:hAnsi="仿宋" w:cs="仿宋" w:hint="eastAsia"/>
                <w:sz w:val="24"/>
                <w:highlight w:val="yellow"/>
                <w:vertAlign w:val="subscript"/>
              </w:rPr>
              <w:t>2</w:t>
            </w:r>
            <w:r>
              <w:rPr>
                <w:rFonts w:ascii="仿宋" w:eastAsia="仿宋" w:hAnsi="仿宋" w:cs="仿宋" w:hint="eastAsia"/>
                <w:sz w:val="24"/>
                <w:highlight w:val="yellow"/>
              </w:rPr>
              <w:t>：拟合优度：</w:t>
            </w:r>
            <w:r>
              <w:rPr>
                <w:rFonts w:ascii="仿宋" w:eastAsia="仿宋" w:hAnsi="仿宋" w:cs="仿宋" w:hint="eastAsia"/>
                <w:sz w:val="24"/>
                <w:highlight w:val="yellow"/>
              </w:rPr>
              <w:t>≥</w:t>
            </w:r>
            <w:r>
              <w:rPr>
                <w:rFonts w:ascii="仿宋" w:eastAsia="仿宋" w:hAnsi="仿宋" w:cs="仿宋" w:hint="eastAsia"/>
                <w:sz w:val="24"/>
                <w:highlight w:val="yellow"/>
              </w:rPr>
              <w:t>0.9999；拟合残差绝对值：</w:t>
            </w:r>
            <w:r>
              <w:rPr>
                <w:rFonts w:ascii="仿宋" w:eastAsia="仿宋" w:hAnsi="仿宋" w:cs="仿宋" w:hint="eastAsia"/>
                <w:sz w:val="24"/>
                <w:highlight w:val="yellow"/>
              </w:rPr>
              <w:t>≤</w:t>
            </w:r>
            <w:r>
              <w:rPr>
                <w:rFonts w:ascii="仿宋" w:eastAsia="仿宋" w:hAnsi="仿宋" w:cs="仿宋" w:hint="eastAsia"/>
                <w:sz w:val="24"/>
                <w:highlight w:val="yellow"/>
              </w:rPr>
              <w:t>0.1 ppm</w:t>
            </w:r>
          </w:p>
          <w:p>
            <w:pPr>
              <w:rPr>
                <w:rFonts w:ascii="仿宋" w:eastAsia="仿宋" w:hAnsi="仿宋" w:cs="仿宋" w:hint="eastAsia"/>
              </w:rPr>
            </w:pPr>
            <w:r>
              <w:rPr>
                <w:rFonts w:ascii="仿宋" w:eastAsia="仿宋" w:hAnsi="仿宋" w:cs="仿宋" w:hint="eastAsia"/>
                <w:sz w:val="24"/>
                <w:highlight w:val="yellow"/>
              </w:rPr>
              <w:t>#CH</w:t>
            </w:r>
            <w:r>
              <w:rPr>
                <w:rFonts w:ascii="仿宋" w:eastAsia="仿宋" w:hAnsi="仿宋" w:cs="仿宋" w:hint="eastAsia"/>
                <w:sz w:val="24"/>
                <w:highlight w:val="yellow"/>
                <w:vertAlign w:val="subscript"/>
              </w:rPr>
              <w:t>4</w:t>
            </w:r>
            <w:r>
              <w:rPr>
                <w:rFonts w:ascii="仿宋" w:eastAsia="仿宋" w:hAnsi="仿宋" w:cs="仿宋" w:hint="eastAsia"/>
                <w:sz w:val="24"/>
                <w:highlight w:val="yellow"/>
              </w:rPr>
              <w:t>：拟合优度：</w:t>
            </w:r>
            <w:r>
              <w:rPr>
                <w:rFonts w:ascii="仿宋" w:eastAsia="仿宋" w:hAnsi="仿宋" w:cs="仿宋" w:hint="eastAsia"/>
                <w:sz w:val="24"/>
                <w:highlight w:val="yellow"/>
              </w:rPr>
              <w:t>≥</w:t>
            </w:r>
            <w:r>
              <w:rPr>
                <w:rFonts w:ascii="仿宋" w:eastAsia="仿宋" w:hAnsi="仿宋" w:cs="仿宋" w:hint="eastAsia"/>
                <w:sz w:val="24"/>
                <w:highlight w:val="yellow"/>
              </w:rPr>
              <w:t>0.9999；拟合残差绝对值：</w:t>
            </w:r>
            <w:r>
              <w:rPr>
                <w:rFonts w:ascii="仿宋" w:eastAsia="仿宋" w:hAnsi="仿宋" w:cs="仿宋" w:hint="eastAsia"/>
                <w:sz w:val="24"/>
                <w:highlight w:val="yellow"/>
              </w:rPr>
              <w:t>≤</w:t>
            </w:r>
            <w:r>
              <w:rPr>
                <w:rFonts w:ascii="仿宋" w:eastAsia="仿宋" w:hAnsi="仿宋" w:cs="仿宋" w:hint="eastAsia"/>
                <w:sz w:val="24"/>
                <w:highlight w:val="yellow"/>
              </w:rPr>
              <w:t>1 ppb</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质保期：C0</w:t>
      </w:r>
      <w:r>
        <w:rPr>
          <w:rFonts w:ascii="仿宋" w:eastAsia="仿宋" w:hAnsi="仿宋" w:cs="仿宋" w:hint="eastAsia"/>
          <w:sz w:val="28"/>
          <w:szCs w:val="20"/>
          <w:highlight w:val="yellow"/>
          <w:vertAlign w:val="subscript"/>
        </w:rPr>
        <w:t>2</w:t>
      </w:r>
      <w:r>
        <w:rPr>
          <w:rFonts w:ascii="仿宋" w:eastAsia="仿宋" w:hAnsi="仿宋" w:cs="仿宋" w:hint="eastAsia"/>
          <w:sz w:val="28"/>
          <w:szCs w:val="20"/>
          <w:highlight w:val="yellow"/>
        </w:rPr>
        <w:t>CH</w:t>
      </w:r>
      <w:r>
        <w:rPr>
          <w:rFonts w:ascii="仿宋" w:eastAsia="仿宋" w:hAnsi="仿宋" w:cs="仿宋" w:hint="eastAsia"/>
          <w:sz w:val="28"/>
          <w:szCs w:val="20"/>
          <w:highlight w:val="yellow"/>
          <w:vertAlign w:val="subscript"/>
        </w:rPr>
        <w:t>4</w:t>
      </w:r>
      <w:r>
        <w:rPr>
          <w:rFonts w:ascii="仿宋" w:eastAsia="仿宋" w:hAnsi="仿宋" w:cs="仿宋" w:hint="eastAsia"/>
          <w:sz w:val="28"/>
          <w:szCs w:val="20"/>
          <w:highlight w:val="yellow"/>
        </w:rPr>
        <w:t>H</w:t>
      </w:r>
      <w:r>
        <w:rPr>
          <w:rFonts w:ascii="仿宋" w:eastAsia="仿宋" w:hAnsi="仿宋" w:cs="仿宋" w:hint="eastAsia"/>
          <w:sz w:val="28"/>
          <w:szCs w:val="20"/>
          <w:highlight w:val="yellow"/>
          <w:vertAlign w:val="subscript"/>
        </w:rPr>
        <w:t>2</w:t>
      </w:r>
      <w:r>
        <w:rPr>
          <w:rFonts w:ascii="仿宋" w:eastAsia="仿宋" w:hAnsi="仿宋" w:cs="仿宋" w:hint="eastAsia"/>
          <w:sz w:val="28"/>
          <w:szCs w:val="20"/>
          <w:highlight w:val="yellow"/>
        </w:rPr>
        <w:t>0分析仪(离轴积分腔输出光谱法)质保6年*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中标人已提供合同中签署的全部货物及完整技术资料；</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货物符合技术规格，性能满足要求；</w:t>
      </w:r>
    </w:p>
    <w:p>
      <w:pPr>
        <w:numPr>
          <w:ilvl w:val="0"/>
          <w:numId w:val="5"/>
        </w:numPr>
        <w:spacing w:line="560" w:lineRule="exact"/>
        <w:ind w:left="0" w:firstLine="560" w:firstLineChars="200"/>
        <w:rPr>
          <w:rFonts w:ascii="仿宋" w:eastAsia="仿宋" w:hAnsi="仿宋" w:cs="仿宋" w:hint="eastAsia"/>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rPr>
          <w:rFonts w:ascii="仿宋" w:eastAsia="仿宋" w:hAnsi="仿宋" w:cs="仿宋"/>
          <w:sz w:val="28"/>
          <w:szCs w:val="20"/>
        </w:r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5"/>
        <w:gridCol w:w="2839"/>
        <w:gridCol w:w="926"/>
        <w:gridCol w:w="1288"/>
        <w:gridCol w:w="1469"/>
        <w:gridCol w:w="926"/>
        <w:gridCol w:w="54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C02CH4H20分析仪(离轴积分腔输出光谱法)和配套设备</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2,750,000.00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2,750,000.00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73"/>
        <w:gridCol w:w="1627"/>
        <w:gridCol w:w="1874"/>
        <w:gridCol w:w="373"/>
        <w:gridCol w:w="850"/>
        <w:gridCol w:w="709"/>
        <w:gridCol w:w="1447"/>
        <w:gridCol w:w="126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湖北省气候中心(001047010)</w:t>
            </w:r>
          </w:p>
        </w:tc>
        <w:tc>
          <w:tcPr/>
          <w:p>
            <w:r>
              <w:t>C02CH4H20分析仪(离轴积分腔输出光谱法)和配套设备</w:t>
            </w:r>
          </w:p>
        </w:tc>
        <w:tc>
          <w:tcPr/>
          <w:p>
            <w:r>
              <w:t>1</w:t>
            </w:r>
          </w:p>
        </w:tc>
        <w:tc>
          <w:tcPr/>
          <w:p>
            <w:r>
              <w:t>2750000.00</w:t>
            </w:r>
          </w:p>
        </w:tc>
        <w:tc>
          <w:tcPr/>
          <w:p>
            <w:r>
              <w:t xml:space="preserve">2750000.00  </w:t>
            </w:r>
          </w:p>
        </w:tc>
        <w:tc>
          <w:tcPr/>
          <w:p>
            <w:r>
              <w:t>湖北省神农架林区气象局</w:t>
            </w:r>
          </w:p>
        </w:tc>
        <w:tc>
          <w:tcPr/>
          <w:p>
            <w:r>
              <w:t>李志鹏，18271618527</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6B5AA4">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6B5AA4">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A051AA" w:rsidRPr="00A051AA" w:rsidP="00A051AA">
      <w:pPr>
        <w:ind w:firstLine="560" w:firstLineChars="200"/>
        <w:rPr>
          <w:rFonts w:ascii="仿宋" w:eastAsia="仿宋" w:hAnsi="仿宋" w:cs="仿宋"/>
          <w:sz w:val="28"/>
          <w:szCs w:val="20"/>
        </w:rPr>
      </w:pPr>
      <w:r>
        <w:rPr>
          <w:rFonts w:ascii="仿宋" w:eastAsia="仿宋" w:hAnsi="仿宋" w:cs="仿宋" w:hint="eastAsia"/>
          <w:sz w:val="28"/>
          <w:szCs w:val="20"/>
        </w:rPr>
        <w:t>在湖北省</w:t>
      </w:r>
      <w:r w:rsidR="0023071A">
        <w:rPr>
          <w:rFonts w:ascii="仿宋" w:eastAsia="仿宋" w:hAnsi="仿宋" w:cs="仿宋" w:hint="eastAsia"/>
          <w:sz w:val="28"/>
          <w:szCs w:val="20"/>
        </w:rPr>
        <w:t>神农架林区</w:t>
      </w:r>
      <w:r w:rsidR="00DD5A3C">
        <w:rPr>
          <w:rFonts w:ascii="仿宋" w:eastAsia="仿宋" w:hAnsi="仿宋" w:cs="仿宋" w:hint="eastAsia"/>
          <w:sz w:val="28"/>
          <w:szCs w:val="20"/>
        </w:rPr>
        <w:t>建设</w:t>
      </w:r>
      <w:r w:rsidRPr="0023071A" w:rsidR="0023071A">
        <w:rPr>
          <w:rFonts w:ascii="仿宋" w:eastAsia="仿宋" w:hAnsi="仿宋" w:cs="仿宋" w:hint="eastAsia"/>
          <w:sz w:val="28"/>
          <w:szCs w:val="20"/>
        </w:rPr>
        <w:t>高精度CO2/CH4/H2O分析仪</w:t>
      </w:r>
      <w:r w:rsidRPr="0023071A" w:rsidR="00C300B2">
        <w:rPr>
          <w:rFonts w:ascii="仿宋" w:eastAsia="仿宋" w:hAnsi="仿宋" w:cs="仿宋"/>
          <w:sz w:val="28"/>
          <w:szCs w:val="20"/>
        </w:rPr>
        <w:t>（离轴积分腔输出光谱法）</w:t>
      </w:r>
      <w:r w:rsidR="00DD5A3C">
        <w:rPr>
          <w:rFonts w:ascii="仿宋" w:eastAsia="仿宋" w:hAnsi="仿宋" w:cs="仿宋" w:hint="eastAsia"/>
          <w:sz w:val="28"/>
          <w:szCs w:val="20"/>
        </w:rPr>
        <w:t>和配套设备</w:t>
      </w:r>
      <w:r w:rsidRPr="00A051AA">
        <w:rPr>
          <w:rFonts w:ascii="仿宋" w:eastAsia="仿宋" w:hAnsi="仿宋" w:cs="仿宋" w:hint="eastAsia"/>
          <w:sz w:val="28"/>
          <w:szCs w:val="20"/>
        </w:rPr>
        <w:t>，实现</w:t>
      </w:r>
      <w:r w:rsidRPr="0023071A" w:rsidR="0023071A">
        <w:rPr>
          <w:rFonts w:ascii="仿宋" w:eastAsia="仿宋" w:hAnsi="仿宋" w:cs="仿宋" w:hint="eastAsia"/>
          <w:sz w:val="28"/>
          <w:szCs w:val="20"/>
        </w:rPr>
        <w:t>CO2/CH4/H2O</w:t>
      </w:r>
      <w:r w:rsidRPr="00A051AA">
        <w:rPr>
          <w:rFonts w:ascii="仿宋" w:eastAsia="仿宋" w:hAnsi="仿宋" w:cs="仿宋" w:hint="eastAsia"/>
          <w:sz w:val="28"/>
          <w:szCs w:val="20"/>
        </w:rPr>
        <w:t>浓度在线观测，提升各省应对气候变化服务能力，服务国家</w:t>
      </w:r>
      <w:r>
        <w:rPr>
          <w:rFonts w:ascii="仿宋" w:eastAsia="仿宋" w:hAnsi="仿宋" w:cs="仿宋" w:hint="eastAsia"/>
          <w:sz w:val="28"/>
          <w:szCs w:val="20"/>
        </w:rPr>
        <w:t>“碳达峰、碳中和”战略。</w:t>
      </w:r>
    </w:p>
    <w:p w:rsidR="00DD5A3C">
      <w:pPr>
        <w:ind w:firstLine="560" w:firstLineChars="200"/>
        <w:rPr>
          <w:rFonts w:ascii="仿宋" w:eastAsia="仿宋" w:hAnsi="仿宋" w:cs="仿宋"/>
          <w:b/>
          <w:bCs/>
          <w:sz w:val="28"/>
          <w:szCs w:val="20"/>
        </w:rPr>
      </w:pPr>
      <w:r>
        <w:rPr>
          <w:rFonts w:ascii="仿宋" w:eastAsia="仿宋" w:hAnsi="仿宋" w:cs="仿宋" w:hint="eastAsia"/>
          <w:b/>
          <w:bCs/>
          <w:sz w:val="28"/>
          <w:szCs w:val="20"/>
        </w:rPr>
        <w:t>二、</w:t>
      </w:r>
      <w:r>
        <w:rPr>
          <w:rFonts w:ascii="仿宋" w:eastAsia="仿宋" w:hAnsi="仿宋" w:cs="仿宋" w:hint="eastAsia"/>
          <w:b/>
          <w:bCs/>
          <w:sz w:val="28"/>
          <w:szCs w:val="20"/>
        </w:rPr>
        <w:t>项目配套设备要求</w:t>
      </w:r>
    </w:p>
    <w:p w:rsidR="00DD5A3C" w:rsidP="00DD5A3C">
      <w:pPr>
        <w:spacing w:line="570" w:lineRule="exact"/>
        <w:ind w:firstLine="560" w:firstLineChars="200"/>
        <w:rPr>
          <w:rFonts w:ascii="仿宋_GB2312" w:eastAsia="仿宋_GB2312" w:hAnsi="Times New Roman" w:cs="Times New Roman"/>
          <w:sz w:val="28"/>
          <w:szCs w:val="28"/>
        </w:rPr>
      </w:pPr>
      <w:r w:rsidRPr="00DD5A3C">
        <w:rPr>
          <w:rFonts w:ascii="仿宋_GB2312" w:eastAsia="仿宋_GB2312" w:hAnsi="Times New Roman" w:cs="Times New Roman" w:hint="eastAsia"/>
          <w:sz w:val="28"/>
          <w:szCs w:val="28"/>
        </w:rPr>
        <w:t>CO</w:t>
      </w:r>
      <w:r w:rsidRPr="00DD5A3C">
        <w:rPr>
          <w:rFonts w:ascii="仿宋_GB2312" w:eastAsia="仿宋_GB2312" w:hAnsi="Times New Roman" w:cs="Times New Roman" w:hint="eastAsia"/>
          <w:sz w:val="28"/>
          <w:szCs w:val="28"/>
          <w:vertAlign w:val="subscript"/>
        </w:rPr>
        <w:t>2</w:t>
      </w:r>
      <w:r w:rsidRPr="00DD5A3C">
        <w:rPr>
          <w:rFonts w:ascii="仿宋_GB2312" w:eastAsia="仿宋_GB2312" w:hAnsi="Times New Roman" w:cs="Times New Roman" w:hint="eastAsia"/>
          <w:sz w:val="28"/>
          <w:szCs w:val="28"/>
        </w:rPr>
        <w:t>/CH</w:t>
      </w:r>
      <w:r w:rsidRPr="00DD5A3C">
        <w:rPr>
          <w:rFonts w:ascii="仿宋_GB2312" w:eastAsia="仿宋_GB2312" w:hAnsi="Times New Roman" w:cs="Times New Roman" w:hint="eastAsia"/>
          <w:sz w:val="28"/>
          <w:szCs w:val="28"/>
          <w:vertAlign w:val="subscript"/>
        </w:rPr>
        <w:t>4</w:t>
      </w:r>
      <w:r w:rsidRPr="00DD5A3C">
        <w:rPr>
          <w:rFonts w:ascii="仿宋_GB2312" w:eastAsia="仿宋_GB2312" w:hAnsi="Times New Roman" w:cs="Times New Roman" w:hint="eastAsia"/>
          <w:sz w:val="28"/>
          <w:szCs w:val="28"/>
        </w:rPr>
        <w:t>/H</w:t>
      </w:r>
      <w:r w:rsidRPr="00DD5A3C">
        <w:rPr>
          <w:rFonts w:ascii="仿宋_GB2312" w:eastAsia="仿宋_GB2312" w:hAnsi="Times New Roman" w:cs="Times New Roman" w:hint="eastAsia"/>
          <w:sz w:val="28"/>
          <w:szCs w:val="28"/>
          <w:vertAlign w:val="subscript"/>
        </w:rPr>
        <w:t>2</w:t>
      </w:r>
      <w:r w:rsidRPr="00DD5A3C">
        <w:rPr>
          <w:rFonts w:ascii="仿宋_GB2312" w:eastAsia="仿宋_GB2312" w:hAnsi="Times New Roman" w:cs="Times New Roman" w:hint="eastAsia"/>
          <w:sz w:val="28"/>
          <w:szCs w:val="28"/>
        </w:rPr>
        <w:t>O分析仪（离轴积分腔输出光谱法）配套设备，包含</w:t>
      </w:r>
      <w:r w:rsidRPr="00DD5A3C">
        <w:rPr>
          <w:rFonts w:ascii="仿宋_GB2312" w:eastAsia="仿宋_GB2312" w:hAnsi="Times New Roman" w:cs="Times New Roman" w:hint="eastAsia"/>
          <w:sz w:val="28"/>
          <w:szCs w:val="28"/>
        </w:rPr>
        <w:t>1套样气采集</w:t>
      </w:r>
      <w:r w:rsidRPr="00DD5A3C">
        <w:rPr>
          <w:rFonts w:ascii="仿宋_GB2312" w:eastAsia="仿宋_GB2312" w:hAnsi="Times New Roman" w:cs="Times New Roman" w:hint="eastAsia"/>
          <w:sz w:val="28"/>
          <w:szCs w:val="28"/>
        </w:rPr>
        <w:t>单元、</w:t>
      </w:r>
      <w:r w:rsidRPr="00DD5A3C">
        <w:rPr>
          <w:rFonts w:ascii="仿宋_GB2312" w:eastAsia="仿宋_GB2312" w:hAnsi="Times New Roman" w:cs="Times New Roman" w:hint="eastAsia"/>
          <w:sz w:val="28"/>
          <w:szCs w:val="28"/>
        </w:rPr>
        <w:t>1套样气处理单元</w:t>
      </w:r>
      <w:r w:rsidRPr="00DD5A3C">
        <w:rPr>
          <w:rFonts w:ascii="仿宋_GB2312" w:eastAsia="仿宋_GB2312" w:hAnsi="Times New Roman" w:cs="Times New Roman" w:hint="eastAsia"/>
          <w:sz w:val="28"/>
          <w:szCs w:val="28"/>
        </w:rPr>
        <w:t>、1套</w:t>
      </w:r>
      <w:r w:rsidRPr="00DD5A3C">
        <w:rPr>
          <w:rFonts w:ascii="仿宋_GB2312" w:eastAsia="仿宋_GB2312" w:hAnsi="Times New Roman" w:cs="Times New Roman" w:hint="eastAsia"/>
          <w:sz w:val="28"/>
          <w:szCs w:val="28"/>
        </w:rPr>
        <w:t>样气选择</w:t>
      </w:r>
      <w:r w:rsidRPr="00DD5A3C">
        <w:rPr>
          <w:rFonts w:ascii="仿宋_GB2312" w:eastAsia="仿宋_GB2312" w:hAnsi="Times New Roman" w:cs="Times New Roman" w:hint="eastAsia"/>
          <w:sz w:val="28"/>
          <w:szCs w:val="28"/>
        </w:rPr>
        <w:t>单元、</w:t>
      </w:r>
      <w:r w:rsidRPr="00DD5A3C">
        <w:rPr>
          <w:rFonts w:ascii="仿宋_GB2312" w:eastAsia="仿宋_GB2312" w:hAnsi="Times New Roman" w:cs="Times New Roman" w:hint="eastAsia"/>
          <w:sz w:val="28"/>
          <w:szCs w:val="28"/>
        </w:rPr>
        <w:t>1套标气单元</w:t>
      </w:r>
      <w:r w:rsidRPr="00DD5A3C">
        <w:rPr>
          <w:rFonts w:ascii="仿宋_GB2312" w:eastAsia="仿宋_GB2312" w:hAnsi="Times New Roman" w:cs="Times New Roman" w:hint="eastAsia"/>
          <w:sz w:val="28"/>
          <w:szCs w:val="28"/>
        </w:rPr>
        <w:t>、1套数据采集及处理单元组成。</w:t>
      </w:r>
    </w:p>
    <w:p w:rsidR="00DD5A3C" w:rsidRPr="00DD5A3C" w:rsidP="00DD5A3C">
      <w:pPr>
        <w:spacing w:line="570" w:lineRule="exact"/>
        <w:ind w:firstLine="560" w:firstLineChars="200"/>
        <w:rPr>
          <w:rFonts w:ascii="仿宋_GB2312" w:eastAsia="仿宋_GB2312" w:hAnsi="Times New Roman" w:cs="Times New Roman"/>
          <w:sz w:val="28"/>
          <w:szCs w:val="28"/>
        </w:rPr>
      </w:pPr>
      <w:r>
        <w:rPr>
          <w:rFonts w:ascii="仿宋_GB2312" w:eastAsia="仿宋_GB2312" w:hAnsi="Times New Roman" w:cs="Times New Roman" w:hint="eastAsia"/>
          <w:sz w:val="28"/>
          <w:szCs w:val="28"/>
        </w:rPr>
        <w:t>设备性能指标如下：</w:t>
      </w:r>
    </w:p>
    <w:tbl>
      <w:tblPr>
        <w:tblStyle w:val="TableNormal"/>
        <w:tblW w:w="5000" w:type="pct"/>
        <w:jc w:val="center"/>
        <w:tblLook w:val="0000"/>
      </w:tblPr>
      <w:tblGrid>
        <w:gridCol w:w="1138"/>
        <w:gridCol w:w="2090"/>
        <w:gridCol w:w="5294"/>
      </w:tblGrid>
      <w:tr w:rsidTr="00086B0F">
        <w:tblPrEx>
          <w:tblW w:w="5000" w:type="pct"/>
          <w:jc w:val="center"/>
          <w:tblLook w:val="0000"/>
        </w:tblPrEx>
        <w:trPr>
          <w:trHeight w:val="637"/>
          <w:jc w:val="center"/>
        </w:trPr>
        <w:tc>
          <w:tcPr>
            <w:tcW w:w="668" w:type="pct"/>
            <w:tcBorders>
              <w:top w:val="single" w:sz="4" w:space="0" w:color="000000"/>
              <w:left w:val="single" w:sz="4" w:space="0" w:color="000000"/>
              <w:bottom w:val="single" w:sz="4" w:space="0" w:color="auto"/>
              <w:right w:val="single" w:sz="4" w:space="0" w:color="000000"/>
            </w:tcBorders>
            <w:vAlign w:val="center"/>
          </w:tcPr>
          <w:p w:rsidR="00DD5A3C" w:rsidRPr="00DD5A3C" w:rsidP="000C7EAF">
            <w:pPr>
              <w:widowControl/>
              <w:jc w:val="center"/>
              <w:rPr>
                <w:rFonts w:ascii="Times New Roman" w:eastAsia="仿宋_GB2312" w:hAnsi="Times New Roman" w:cs="Times New Roman"/>
                <w:b/>
                <w:bCs/>
                <w:kern w:val="0"/>
              </w:rPr>
            </w:pPr>
            <w:r w:rsidRPr="00DD5A3C">
              <w:rPr>
                <w:rFonts w:ascii="Times New Roman" w:eastAsia="仿宋_GB2312" w:hAnsi="Times New Roman" w:cs="Times New Roman"/>
                <w:b/>
                <w:bCs/>
                <w:kern w:val="0"/>
                <w:sz w:val="24"/>
              </w:rPr>
              <w:t>单元名称</w:t>
            </w:r>
          </w:p>
        </w:tc>
        <w:tc>
          <w:tcPr>
            <w:tcW w:w="1226" w:type="pct"/>
            <w:tcBorders>
              <w:top w:val="single" w:sz="4" w:space="0" w:color="000000"/>
              <w:left w:val="single" w:sz="4" w:space="0" w:color="000000"/>
              <w:bottom w:val="single" w:sz="4" w:space="0" w:color="000000"/>
              <w:right w:val="single" w:sz="4" w:space="0" w:color="000000"/>
            </w:tcBorders>
          </w:tcPr>
          <w:p w:rsidR="00DD5A3C" w:rsidRPr="00DD5A3C" w:rsidP="000C7EAF">
            <w:pPr>
              <w:widowControl/>
              <w:jc w:val="center"/>
              <w:rPr>
                <w:rFonts w:ascii="Times New Roman" w:eastAsia="仿宋_GB2312" w:hAnsi="Times New Roman" w:cs="Times New Roman"/>
                <w:b/>
                <w:bCs/>
                <w:kern w:val="0"/>
              </w:rPr>
            </w:pPr>
            <w:r w:rsidRPr="00DD5A3C">
              <w:rPr>
                <w:rFonts w:ascii="Times New Roman" w:eastAsia="仿宋_GB2312" w:hAnsi="Times New Roman" w:cs="Times New Roman"/>
                <w:b/>
                <w:bCs/>
                <w:kern w:val="0"/>
                <w:sz w:val="24"/>
              </w:rPr>
              <w:t>类别</w:t>
            </w:r>
          </w:p>
        </w:tc>
        <w:tc>
          <w:tcPr>
            <w:tcW w:w="3106" w:type="pct"/>
            <w:tcBorders>
              <w:top w:val="single" w:sz="4" w:space="0" w:color="000000"/>
              <w:left w:val="single" w:sz="4" w:space="0" w:color="000000"/>
              <w:bottom w:val="single" w:sz="4" w:space="0" w:color="000000"/>
              <w:right w:val="single" w:sz="4" w:space="0" w:color="000000"/>
            </w:tcBorders>
            <w:vAlign w:val="center"/>
          </w:tcPr>
          <w:p w:rsidR="00DD5A3C" w:rsidRPr="00DD5A3C" w:rsidP="000C7EAF">
            <w:pPr>
              <w:widowControl/>
              <w:jc w:val="center"/>
              <w:rPr>
                <w:rFonts w:ascii="Times New Roman" w:eastAsia="仿宋_GB2312" w:hAnsi="Times New Roman" w:cs="Times New Roman"/>
                <w:b/>
                <w:bCs/>
                <w:kern w:val="0"/>
              </w:rPr>
            </w:pPr>
            <w:r w:rsidRPr="00DD5A3C">
              <w:rPr>
                <w:rFonts w:ascii="Times New Roman" w:eastAsia="仿宋_GB2312" w:hAnsi="Times New Roman" w:cs="Times New Roman"/>
                <w:b/>
                <w:bCs/>
                <w:kern w:val="0"/>
                <w:sz w:val="24"/>
              </w:rPr>
              <w:t>指标描述</w:t>
            </w:r>
          </w:p>
        </w:tc>
      </w:tr>
      <w:tr w:rsidTr="00086B0F">
        <w:tblPrEx>
          <w:tblW w:w="5000" w:type="pct"/>
          <w:jc w:val="center"/>
          <w:tblLook w:val="0000"/>
        </w:tblPrEx>
        <w:trPr>
          <w:trHeight w:val="386"/>
          <w:jc w:val="center"/>
        </w:trPr>
        <w:tc>
          <w:tcPr>
            <w:tcW w:w="668" w:type="pct"/>
            <w:vMerge w:val="restart"/>
            <w:tcBorders>
              <w:top w:val="single" w:sz="4" w:space="0" w:color="auto"/>
              <w:left w:val="single" w:sz="4" w:space="0" w:color="auto"/>
              <w:right w:val="single" w:sz="4" w:space="0" w:color="auto"/>
            </w:tcBorders>
            <w:vAlign w:val="center"/>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样气采集</w:t>
            </w:r>
            <w:r w:rsidRPr="00DD5A3C">
              <w:rPr>
                <w:rFonts w:ascii="Times New Roman" w:eastAsia="仿宋_GB2312" w:hAnsi="Times New Roman" w:cs="Times New Roman"/>
                <w:kern w:val="0"/>
                <w:sz w:val="24"/>
              </w:rPr>
              <w:t>单元</w:t>
            </w:r>
          </w:p>
        </w:tc>
        <w:tc>
          <w:tcPr>
            <w:tcW w:w="1226" w:type="pct"/>
            <w:tcBorders>
              <w:top w:val="single" w:sz="4" w:space="0" w:color="000000"/>
              <w:left w:val="single" w:sz="4" w:space="0" w:color="auto"/>
              <w:bottom w:val="single" w:sz="4" w:space="0" w:color="000000"/>
              <w:right w:val="single" w:sz="4" w:space="0" w:color="000000"/>
            </w:tcBorders>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采样口过滤器</w:t>
            </w:r>
          </w:p>
        </w:tc>
        <w:tc>
          <w:tcPr>
            <w:tcW w:w="3106" w:type="pct"/>
            <w:tcBorders>
              <w:top w:val="single" w:sz="4" w:space="0" w:color="000000"/>
              <w:left w:val="single" w:sz="4" w:space="0" w:color="000000"/>
              <w:bottom w:val="single" w:sz="4" w:space="0" w:color="000000"/>
              <w:right w:val="single" w:sz="4" w:space="0" w:color="000000"/>
            </w:tcBorders>
            <w:vAlign w:val="center"/>
          </w:tcPr>
          <w:p w:rsidR="00DD5A3C" w:rsidRPr="00DD5A3C" w:rsidP="000C7EAF">
            <w:pPr>
              <w:widowControl/>
              <w:rPr>
                <w:rFonts w:ascii="Times New Roman" w:eastAsia="仿宋_GB2312" w:hAnsi="Times New Roman" w:cs="Times New Roman"/>
                <w:kern w:val="0"/>
              </w:rPr>
            </w:pPr>
            <w:r w:rsidRPr="00DD5A3C">
              <w:rPr>
                <w:rFonts w:ascii="Times New Roman" w:eastAsia="仿宋_GB2312" w:hAnsi="Times New Roman" w:cs="Times New Roman"/>
                <w:kern w:val="0"/>
                <w:sz w:val="24"/>
              </w:rPr>
              <w:t>≤10μm</w:t>
            </w:r>
            <w:r w:rsidRPr="00DD5A3C">
              <w:rPr>
                <w:rFonts w:ascii="Times New Roman" w:eastAsia="仿宋_GB2312" w:hAnsi="Times New Roman" w:cs="Times New Roman"/>
                <w:kern w:val="0"/>
                <w:sz w:val="24"/>
              </w:rPr>
              <w:t>孔径囊式过滤器</w:t>
            </w:r>
          </w:p>
        </w:tc>
      </w:tr>
      <w:tr w:rsidTr="00DD5A3C">
        <w:tblPrEx>
          <w:tblW w:w="5000" w:type="pct"/>
          <w:jc w:val="center"/>
          <w:tblLook w:val="0000"/>
        </w:tblPrEx>
        <w:trPr>
          <w:trHeight w:val="505"/>
          <w:jc w:val="center"/>
        </w:trPr>
        <w:tc>
          <w:tcPr>
            <w:tcW w:w="668" w:type="pct"/>
            <w:vMerge/>
            <w:tcBorders>
              <w:left w:val="single" w:sz="4" w:space="0" w:color="auto"/>
              <w:right w:val="single" w:sz="4" w:space="0" w:color="auto"/>
            </w:tcBorders>
            <w:vAlign w:val="center"/>
          </w:tcPr>
          <w:p w:rsidR="00DD5A3C" w:rsidRPr="00DD5A3C" w:rsidP="000C7EAF">
            <w:pPr>
              <w:widowControl/>
              <w:jc w:val="center"/>
              <w:rPr>
                <w:rFonts w:ascii="Times New Roman" w:eastAsia="仿宋_GB2312" w:hAnsi="Times New Roman" w:cs="Times New Roman"/>
                <w:kern w:val="0"/>
              </w:rPr>
            </w:pPr>
          </w:p>
        </w:tc>
        <w:tc>
          <w:tcPr>
            <w:tcW w:w="1226" w:type="pct"/>
            <w:tcBorders>
              <w:top w:val="single" w:sz="4" w:space="0" w:color="000000"/>
              <w:left w:val="single" w:sz="4" w:space="0" w:color="auto"/>
              <w:bottom w:val="single" w:sz="4" w:space="0" w:color="000000"/>
              <w:right w:val="single" w:sz="4" w:space="0" w:color="000000"/>
            </w:tcBorders>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采样管</w:t>
            </w:r>
          </w:p>
        </w:tc>
        <w:tc>
          <w:tcPr>
            <w:tcW w:w="3107" w:type="pct"/>
            <w:tcBorders>
              <w:top w:val="single" w:sz="4" w:space="0" w:color="000000"/>
              <w:left w:val="single" w:sz="4" w:space="0" w:color="000000"/>
              <w:bottom w:val="single" w:sz="4" w:space="0" w:color="000000"/>
              <w:right w:val="single" w:sz="4" w:space="0" w:color="000000"/>
            </w:tcBorders>
            <w:vAlign w:val="center"/>
          </w:tcPr>
          <w:p w:rsidR="00DD5A3C" w:rsidRPr="00DD5A3C" w:rsidP="000C7EAF">
            <w:pPr>
              <w:widowControl/>
              <w:rPr>
                <w:rFonts w:ascii="Times New Roman" w:eastAsia="仿宋_GB2312" w:hAnsi="Times New Roman" w:cs="Times New Roman"/>
                <w:kern w:val="0"/>
              </w:rPr>
            </w:pPr>
            <w:r w:rsidRPr="00DD5A3C">
              <w:rPr>
                <w:rFonts w:ascii="Times New Roman" w:eastAsia="仿宋_GB2312" w:hAnsi="Times New Roman" w:cs="Times New Roman"/>
                <w:kern w:val="0"/>
                <w:sz w:val="24"/>
              </w:rPr>
              <w:t>≥φ8mm</w:t>
            </w:r>
            <w:r w:rsidRPr="00DD5A3C">
              <w:rPr>
                <w:rFonts w:ascii="Times New Roman" w:eastAsia="仿宋_GB2312" w:hAnsi="Times New Roman" w:cs="Times New Roman"/>
                <w:kern w:val="0"/>
                <w:sz w:val="24"/>
              </w:rPr>
              <w:t>铝塑管</w:t>
            </w:r>
          </w:p>
        </w:tc>
      </w:tr>
      <w:tr w:rsidTr="00DD5A3C">
        <w:tblPrEx>
          <w:tblW w:w="5000" w:type="pct"/>
          <w:jc w:val="center"/>
          <w:tblLook w:val="0000"/>
        </w:tblPrEx>
        <w:trPr>
          <w:trHeight w:val="841"/>
          <w:jc w:val="center"/>
        </w:trPr>
        <w:tc>
          <w:tcPr>
            <w:tcW w:w="668" w:type="pct"/>
            <w:vMerge/>
            <w:tcBorders>
              <w:left w:val="single" w:sz="4" w:space="0" w:color="auto"/>
              <w:right w:val="single" w:sz="4" w:space="0" w:color="auto"/>
            </w:tcBorders>
            <w:vAlign w:val="center"/>
          </w:tcPr>
          <w:p w:rsidR="00DD5A3C" w:rsidRPr="00DD5A3C" w:rsidP="000C7EAF">
            <w:pPr>
              <w:widowControl/>
              <w:jc w:val="center"/>
              <w:rPr>
                <w:rFonts w:ascii="Times New Roman" w:eastAsia="仿宋_GB2312" w:hAnsi="Times New Roman" w:cs="Times New Roman"/>
                <w:kern w:val="0"/>
              </w:rPr>
            </w:pPr>
          </w:p>
        </w:tc>
        <w:tc>
          <w:tcPr>
            <w:tcW w:w="1226" w:type="pct"/>
            <w:tcBorders>
              <w:top w:val="single" w:sz="4" w:space="0" w:color="000000"/>
              <w:left w:val="single" w:sz="4" w:space="0" w:color="auto"/>
              <w:bottom w:val="single" w:sz="4" w:space="0" w:color="000000"/>
              <w:right w:val="single" w:sz="4" w:space="0" w:color="000000"/>
            </w:tcBorders>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采样泵流量</w:t>
            </w:r>
          </w:p>
        </w:tc>
        <w:tc>
          <w:tcPr>
            <w:tcW w:w="3107" w:type="pct"/>
            <w:tcBorders>
              <w:top w:val="single" w:sz="4" w:space="0" w:color="000000"/>
              <w:left w:val="single" w:sz="4" w:space="0" w:color="000000"/>
              <w:bottom w:val="single" w:sz="4" w:space="0" w:color="000000"/>
              <w:right w:val="single" w:sz="4" w:space="0" w:color="000000"/>
            </w:tcBorders>
            <w:vAlign w:val="center"/>
          </w:tcPr>
          <w:p w:rsidR="00DD5A3C" w:rsidRPr="00DD5A3C" w:rsidP="000C7EAF">
            <w:pPr>
              <w:widowControl/>
              <w:rPr>
                <w:rFonts w:ascii="Times New Roman" w:eastAsia="仿宋_GB2312" w:hAnsi="Times New Roman" w:cs="Times New Roman"/>
                <w:kern w:val="0"/>
              </w:rPr>
            </w:pPr>
            <w:r w:rsidRPr="00DD5A3C">
              <w:rPr>
                <w:rFonts w:ascii="Times New Roman" w:eastAsia="仿宋_GB2312" w:hAnsi="Times New Roman" w:cs="Times New Roman"/>
                <w:kern w:val="0"/>
                <w:sz w:val="24"/>
              </w:rPr>
              <w:t>≥10L/min</w:t>
            </w:r>
            <w:r w:rsidRPr="00DD5A3C">
              <w:rPr>
                <w:rFonts w:ascii="Times New Roman" w:eastAsia="仿宋_GB2312" w:hAnsi="Times New Roman" w:cs="Times New Roman"/>
                <w:kern w:val="0"/>
                <w:sz w:val="24"/>
              </w:rPr>
              <w:t>，泄露率低于</w:t>
            </w:r>
            <w:r w:rsidRPr="00DD5A3C">
              <w:rPr>
                <w:rFonts w:ascii="Times New Roman" w:eastAsia="仿宋_GB2312" w:hAnsi="Times New Roman" w:cs="Times New Roman"/>
                <w:kern w:val="0"/>
                <w:sz w:val="24"/>
              </w:rPr>
              <w:t>0.6×10</w:t>
            </w:r>
            <w:r w:rsidRPr="00DD5A3C">
              <w:rPr>
                <w:rFonts w:ascii="Times New Roman" w:eastAsia="仿宋_GB2312" w:hAnsi="Times New Roman" w:cs="Times New Roman"/>
                <w:kern w:val="0"/>
                <w:sz w:val="24"/>
                <w:vertAlign w:val="superscript"/>
              </w:rPr>
              <w:t>-3</w:t>
            </w:r>
            <w:r w:rsidRPr="00DD5A3C">
              <w:rPr>
                <w:rFonts w:ascii="Times New Roman" w:eastAsia="仿宋_GB2312" w:hAnsi="Times New Roman" w:cs="Times New Roman"/>
                <w:kern w:val="0"/>
                <w:sz w:val="24"/>
              </w:rPr>
              <w:t xml:space="preserve"> mbar l/s</w:t>
            </w:r>
          </w:p>
        </w:tc>
      </w:tr>
      <w:tr w:rsidTr="00DD5A3C">
        <w:tblPrEx>
          <w:tblW w:w="5000" w:type="pct"/>
          <w:jc w:val="center"/>
          <w:tblLook w:val="0000"/>
        </w:tblPrEx>
        <w:trPr>
          <w:trHeight w:val="557"/>
          <w:jc w:val="center"/>
        </w:trPr>
        <w:tc>
          <w:tcPr>
            <w:tcW w:w="668" w:type="pct"/>
            <w:vMerge/>
            <w:tcBorders>
              <w:left w:val="single" w:sz="4" w:space="0" w:color="auto"/>
              <w:bottom w:val="single" w:sz="4" w:space="0" w:color="auto"/>
              <w:right w:val="single" w:sz="4" w:space="0" w:color="auto"/>
            </w:tcBorders>
            <w:vAlign w:val="center"/>
          </w:tcPr>
          <w:p w:rsidR="00DD5A3C" w:rsidRPr="00DD5A3C" w:rsidP="000C7EAF">
            <w:pPr>
              <w:widowControl/>
              <w:jc w:val="center"/>
              <w:rPr>
                <w:rFonts w:ascii="Times New Roman" w:eastAsia="仿宋_GB2312" w:hAnsi="Times New Roman" w:cs="Times New Roman"/>
                <w:kern w:val="0"/>
              </w:rPr>
            </w:pPr>
          </w:p>
        </w:tc>
        <w:tc>
          <w:tcPr>
            <w:tcW w:w="1226" w:type="pct"/>
            <w:tcBorders>
              <w:top w:val="single" w:sz="4" w:space="0" w:color="000000"/>
              <w:left w:val="single" w:sz="4" w:space="0" w:color="auto"/>
              <w:bottom w:val="single" w:sz="4" w:space="0" w:color="000000"/>
              <w:right w:val="single" w:sz="4" w:space="0" w:color="000000"/>
            </w:tcBorders>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采样泵过滤器</w:t>
            </w:r>
          </w:p>
        </w:tc>
        <w:tc>
          <w:tcPr>
            <w:tcW w:w="3107" w:type="pct"/>
            <w:tcBorders>
              <w:top w:val="single" w:sz="4" w:space="0" w:color="000000"/>
              <w:left w:val="single" w:sz="4" w:space="0" w:color="000000"/>
              <w:bottom w:val="single" w:sz="4" w:space="0" w:color="000000"/>
              <w:right w:val="single" w:sz="4" w:space="0" w:color="000000"/>
            </w:tcBorders>
            <w:vAlign w:val="center"/>
          </w:tcPr>
          <w:p w:rsidR="00DD5A3C" w:rsidRPr="00DD5A3C" w:rsidP="000C7EAF">
            <w:pPr>
              <w:widowControl/>
              <w:rPr>
                <w:rFonts w:ascii="Times New Roman" w:eastAsia="仿宋_GB2312" w:hAnsi="Times New Roman" w:cs="Times New Roman"/>
                <w:kern w:val="0"/>
              </w:rPr>
            </w:pPr>
            <w:r w:rsidRPr="00DD5A3C">
              <w:rPr>
                <w:rFonts w:ascii="Times New Roman" w:eastAsia="仿宋_GB2312" w:hAnsi="Times New Roman" w:cs="Times New Roman"/>
                <w:kern w:val="0"/>
                <w:sz w:val="24"/>
              </w:rPr>
              <w:t>7μm</w:t>
            </w:r>
            <w:r w:rsidRPr="00DD5A3C">
              <w:rPr>
                <w:rFonts w:ascii="Times New Roman" w:eastAsia="仿宋_GB2312" w:hAnsi="Times New Roman" w:cs="Times New Roman"/>
                <w:kern w:val="0"/>
                <w:sz w:val="24"/>
              </w:rPr>
              <w:t>不锈钢过滤器</w:t>
            </w:r>
          </w:p>
        </w:tc>
      </w:tr>
      <w:tr w:rsidTr="00DD5A3C">
        <w:tblPrEx>
          <w:tblW w:w="5000" w:type="pct"/>
          <w:jc w:val="center"/>
          <w:tblLook w:val="0000"/>
        </w:tblPrEx>
        <w:trPr>
          <w:trHeight w:val="565"/>
          <w:jc w:val="center"/>
        </w:trPr>
        <w:tc>
          <w:tcPr>
            <w:tcW w:w="668" w:type="pct"/>
            <w:vMerge w:val="restart"/>
            <w:tcBorders>
              <w:top w:val="single" w:sz="4" w:space="0" w:color="auto"/>
              <w:left w:val="single" w:sz="4" w:space="0" w:color="000000"/>
              <w:right w:val="single" w:sz="4" w:space="0" w:color="000000"/>
            </w:tcBorders>
            <w:vAlign w:val="center"/>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样气处理单元</w:t>
            </w:r>
          </w:p>
        </w:tc>
        <w:tc>
          <w:tcPr>
            <w:tcW w:w="1226" w:type="pct"/>
            <w:tcBorders>
              <w:top w:val="single" w:sz="4" w:space="0" w:color="000000"/>
              <w:left w:val="single" w:sz="4" w:space="0" w:color="000000"/>
              <w:bottom w:val="single" w:sz="4" w:space="0" w:color="000000"/>
              <w:right w:val="single" w:sz="4" w:space="0" w:color="000000"/>
            </w:tcBorders>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标准气误差</w:t>
            </w:r>
          </w:p>
        </w:tc>
        <w:tc>
          <w:tcPr>
            <w:tcW w:w="3107" w:type="pct"/>
            <w:tcBorders>
              <w:top w:val="single" w:sz="4" w:space="0" w:color="000000"/>
              <w:left w:val="single" w:sz="4" w:space="0" w:color="000000"/>
              <w:bottom w:val="single" w:sz="4" w:space="0" w:color="000000"/>
              <w:right w:val="single" w:sz="4" w:space="0" w:color="000000"/>
            </w:tcBorders>
            <w:vAlign w:val="center"/>
          </w:tcPr>
          <w:p w:rsidR="00DD5A3C" w:rsidRPr="00DD5A3C" w:rsidP="000C7EAF">
            <w:pPr>
              <w:widowControl/>
              <w:rPr>
                <w:rFonts w:ascii="Times New Roman" w:eastAsia="仿宋_GB2312" w:hAnsi="Times New Roman" w:cs="Times New Roman"/>
                <w:kern w:val="0"/>
              </w:rPr>
            </w:pPr>
            <w:r w:rsidRPr="00DD5A3C">
              <w:rPr>
                <w:rFonts w:ascii="Times New Roman" w:eastAsia="仿宋_GB2312" w:hAnsi="Times New Roman" w:cs="Times New Roman"/>
                <w:kern w:val="0"/>
                <w:sz w:val="24"/>
              </w:rPr>
              <w:t>CO</w:t>
            </w:r>
            <w:r w:rsidRPr="00DD5A3C">
              <w:rPr>
                <w:rFonts w:ascii="Times New Roman" w:eastAsia="仿宋_GB2312" w:hAnsi="Times New Roman" w:cs="Times New Roman"/>
                <w:kern w:val="0"/>
                <w:sz w:val="24"/>
                <w:vertAlign w:val="subscript"/>
              </w:rPr>
              <w:t>2</w:t>
            </w:r>
            <w:r w:rsidRPr="00DD5A3C">
              <w:rPr>
                <w:rFonts w:ascii="Times New Roman" w:eastAsia="仿宋_GB2312" w:hAnsi="Times New Roman" w:cs="Times New Roman"/>
                <w:kern w:val="0"/>
                <w:sz w:val="24"/>
              </w:rPr>
              <w:t>&lt;0.05ppm</w:t>
            </w:r>
            <w:r w:rsidRPr="00DD5A3C">
              <w:rPr>
                <w:rFonts w:ascii="Times New Roman" w:eastAsia="仿宋_GB2312" w:hAnsi="Times New Roman" w:cs="Times New Roman"/>
                <w:kern w:val="0"/>
                <w:sz w:val="24"/>
              </w:rPr>
              <w:t>，</w:t>
            </w:r>
            <w:r w:rsidRPr="00DD5A3C">
              <w:rPr>
                <w:rFonts w:ascii="Times New Roman" w:eastAsia="仿宋_GB2312" w:hAnsi="Times New Roman" w:cs="Times New Roman"/>
                <w:kern w:val="0"/>
                <w:sz w:val="24"/>
              </w:rPr>
              <w:t>CH</w:t>
            </w:r>
            <w:r w:rsidRPr="00DD5A3C">
              <w:rPr>
                <w:rFonts w:ascii="Times New Roman" w:eastAsia="仿宋_GB2312" w:hAnsi="Times New Roman" w:cs="Times New Roman"/>
                <w:kern w:val="0"/>
                <w:sz w:val="24"/>
                <w:vertAlign w:val="subscript"/>
              </w:rPr>
              <w:t>4</w:t>
            </w:r>
            <w:r w:rsidRPr="00DD5A3C">
              <w:rPr>
                <w:rFonts w:ascii="Times New Roman" w:eastAsia="仿宋_GB2312" w:hAnsi="Times New Roman" w:cs="Times New Roman"/>
                <w:kern w:val="0"/>
                <w:sz w:val="24"/>
              </w:rPr>
              <w:t>&lt;1ppb</w:t>
            </w:r>
          </w:p>
        </w:tc>
      </w:tr>
      <w:tr w:rsidTr="00DD5A3C">
        <w:tblPrEx>
          <w:tblW w:w="5000" w:type="pct"/>
          <w:jc w:val="center"/>
          <w:tblLook w:val="0000"/>
        </w:tblPrEx>
        <w:trPr>
          <w:trHeight w:val="843"/>
          <w:jc w:val="center"/>
        </w:trPr>
        <w:tc>
          <w:tcPr>
            <w:tcW w:w="668" w:type="pct"/>
            <w:vMerge/>
            <w:tcBorders>
              <w:left w:val="single" w:sz="4" w:space="0" w:color="000000"/>
              <w:right w:val="single" w:sz="4" w:space="0" w:color="000000"/>
            </w:tcBorders>
            <w:vAlign w:val="center"/>
          </w:tcPr>
          <w:p w:rsidR="00DD5A3C" w:rsidRPr="00DD5A3C" w:rsidP="000C7EAF">
            <w:pPr>
              <w:widowControl/>
              <w:jc w:val="center"/>
              <w:rPr>
                <w:rFonts w:ascii="Times New Roman" w:eastAsia="仿宋_GB2312" w:hAnsi="Times New Roman" w:cs="Times New Roman"/>
                <w:kern w:val="0"/>
              </w:rPr>
            </w:pPr>
          </w:p>
        </w:tc>
        <w:tc>
          <w:tcPr>
            <w:tcW w:w="1226" w:type="pct"/>
            <w:tcBorders>
              <w:top w:val="single" w:sz="4" w:space="0" w:color="000000"/>
              <w:left w:val="single" w:sz="4" w:space="0" w:color="000000"/>
              <w:bottom w:val="single" w:sz="4" w:space="0" w:color="000000"/>
              <w:right w:val="single" w:sz="4" w:space="0" w:color="000000"/>
            </w:tcBorders>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渗透膜除水系统压力控制范围</w:t>
            </w:r>
          </w:p>
        </w:tc>
        <w:tc>
          <w:tcPr>
            <w:tcW w:w="3107" w:type="pct"/>
            <w:tcBorders>
              <w:top w:val="single" w:sz="4" w:space="0" w:color="000000"/>
              <w:left w:val="single" w:sz="4" w:space="0" w:color="000000"/>
              <w:bottom w:val="single" w:sz="4" w:space="0" w:color="000000"/>
              <w:right w:val="single" w:sz="4" w:space="0" w:color="000000"/>
            </w:tcBorders>
            <w:vAlign w:val="center"/>
          </w:tcPr>
          <w:p w:rsidR="00DD5A3C" w:rsidRPr="00DD5A3C" w:rsidP="000C7EAF">
            <w:pPr>
              <w:widowControl/>
              <w:rPr>
                <w:rFonts w:ascii="Times New Roman" w:eastAsia="仿宋_GB2312" w:hAnsi="Times New Roman" w:cs="Times New Roman"/>
                <w:kern w:val="0"/>
              </w:rPr>
            </w:pPr>
            <w:r w:rsidRPr="00DD5A3C">
              <w:rPr>
                <w:rFonts w:ascii="Times New Roman" w:eastAsia="仿宋_GB2312" w:hAnsi="Times New Roman" w:cs="Times New Roman"/>
                <w:kern w:val="0"/>
                <w:sz w:val="24"/>
              </w:rPr>
              <w:t>0</w:t>
            </w:r>
            <w:r w:rsidRPr="00DD5A3C">
              <w:rPr>
                <w:rFonts w:ascii="Times New Roman" w:eastAsia="仿宋_GB2312" w:hAnsi="Times New Roman" w:cs="Times New Roman"/>
                <w:kern w:val="0"/>
                <w:sz w:val="24"/>
              </w:rPr>
              <w:t>～</w:t>
            </w:r>
            <w:r w:rsidRPr="00DD5A3C">
              <w:rPr>
                <w:rFonts w:ascii="Times New Roman" w:eastAsia="仿宋_GB2312" w:hAnsi="Times New Roman" w:cs="Times New Roman"/>
                <w:kern w:val="0"/>
                <w:sz w:val="24"/>
              </w:rPr>
              <w:t>100psi</w:t>
            </w:r>
          </w:p>
        </w:tc>
      </w:tr>
      <w:tr w:rsidTr="00DD5A3C">
        <w:tblPrEx>
          <w:tblW w:w="5000" w:type="pct"/>
          <w:jc w:val="center"/>
          <w:tblLook w:val="0000"/>
        </w:tblPrEx>
        <w:trPr>
          <w:trHeight w:val="387"/>
          <w:jc w:val="center"/>
        </w:trPr>
        <w:tc>
          <w:tcPr>
            <w:tcW w:w="668" w:type="pct"/>
            <w:vMerge w:val="restart"/>
            <w:tcBorders>
              <w:left w:val="single" w:sz="4" w:space="0" w:color="000000"/>
              <w:right w:val="single" w:sz="4" w:space="0" w:color="000000"/>
            </w:tcBorders>
            <w:vAlign w:val="center"/>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样气选择</w:t>
            </w:r>
            <w:r w:rsidRPr="00DD5A3C">
              <w:rPr>
                <w:rFonts w:ascii="Times New Roman" w:eastAsia="仿宋_GB2312" w:hAnsi="Times New Roman" w:cs="Times New Roman"/>
                <w:kern w:val="0"/>
                <w:sz w:val="24"/>
              </w:rPr>
              <w:t>单元</w:t>
            </w:r>
          </w:p>
        </w:tc>
        <w:tc>
          <w:tcPr>
            <w:tcW w:w="1226" w:type="pct"/>
            <w:tcBorders>
              <w:top w:val="single" w:sz="4" w:space="0" w:color="000000"/>
              <w:left w:val="single" w:sz="4" w:space="0" w:color="000000"/>
              <w:bottom w:val="single" w:sz="4" w:space="0" w:color="000000"/>
              <w:right w:val="single" w:sz="4" w:space="0" w:color="000000"/>
            </w:tcBorders>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进气通道</w:t>
            </w:r>
          </w:p>
        </w:tc>
        <w:tc>
          <w:tcPr>
            <w:tcW w:w="3107" w:type="pct"/>
            <w:tcBorders>
              <w:top w:val="single" w:sz="4" w:space="0" w:color="000000"/>
              <w:left w:val="single" w:sz="4" w:space="0" w:color="000000"/>
              <w:bottom w:val="single" w:sz="4" w:space="0" w:color="000000"/>
              <w:right w:val="single" w:sz="4" w:space="0" w:color="000000"/>
            </w:tcBorders>
            <w:vAlign w:val="center"/>
          </w:tcPr>
          <w:p w:rsidR="00DD5A3C" w:rsidRPr="00DD5A3C" w:rsidP="000C7EAF">
            <w:pPr>
              <w:widowControl/>
              <w:rPr>
                <w:rFonts w:ascii="Times New Roman" w:eastAsia="仿宋_GB2312" w:hAnsi="Times New Roman" w:cs="Times New Roman"/>
                <w:kern w:val="0"/>
              </w:rPr>
            </w:pPr>
            <w:r w:rsidRPr="00DD5A3C">
              <w:rPr>
                <w:rFonts w:ascii="Times New Roman" w:eastAsia="仿宋_GB2312" w:hAnsi="Times New Roman" w:cs="Times New Roman"/>
                <w:kern w:val="0"/>
                <w:sz w:val="24"/>
              </w:rPr>
              <w:t>≥8</w:t>
            </w:r>
            <w:r w:rsidRPr="00DD5A3C">
              <w:rPr>
                <w:rFonts w:ascii="Times New Roman" w:eastAsia="仿宋_GB2312" w:hAnsi="Times New Roman" w:cs="Times New Roman"/>
                <w:kern w:val="0"/>
                <w:sz w:val="24"/>
              </w:rPr>
              <w:t>路</w:t>
            </w:r>
          </w:p>
        </w:tc>
      </w:tr>
      <w:tr w:rsidTr="00DD5A3C">
        <w:tblPrEx>
          <w:tblW w:w="5000" w:type="pct"/>
          <w:jc w:val="center"/>
          <w:tblLook w:val="0000"/>
        </w:tblPrEx>
        <w:trPr>
          <w:trHeight w:val="506"/>
          <w:jc w:val="center"/>
        </w:trPr>
        <w:tc>
          <w:tcPr>
            <w:tcW w:w="668" w:type="pct"/>
            <w:vMerge/>
            <w:tcBorders>
              <w:left w:val="single" w:sz="4" w:space="0" w:color="000000"/>
              <w:right w:val="single" w:sz="4" w:space="0" w:color="000000"/>
            </w:tcBorders>
            <w:vAlign w:val="center"/>
          </w:tcPr>
          <w:p w:rsidR="00DD5A3C" w:rsidRPr="00DD5A3C" w:rsidP="000C7EAF">
            <w:pPr>
              <w:widowControl/>
              <w:jc w:val="center"/>
              <w:rPr>
                <w:rFonts w:ascii="Times New Roman" w:eastAsia="仿宋_GB2312" w:hAnsi="Times New Roman" w:cs="Times New Roman"/>
                <w:kern w:val="0"/>
              </w:rPr>
            </w:pPr>
          </w:p>
        </w:tc>
        <w:tc>
          <w:tcPr>
            <w:tcW w:w="1226" w:type="pct"/>
            <w:tcBorders>
              <w:top w:val="single" w:sz="4" w:space="0" w:color="000000"/>
              <w:left w:val="single" w:sz="4" w:space="0" w:color="000000"/>
              <w:bottom w:val="single" w:sz="4" w:space="0" w:color="000000"/>
              <w:right w:val="single" w:sz="4" w:space="0" w:color="000000"/>
            </w:tcBorders>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进样流量</w:t>
            </w:r>
          </w:p>
        </w:tc>
        <w:tc>
          <w:tcPr>
            <w:tcW w:w="3107" w:type="pct"/>
            <w:tcBorders>
              <w:top w:val="single" w:sz="4" w:space="0" w:color="000000"/>
              <w:left w:val="single" w:sz="4" w:space="0" w:color="000000"/>
              <w:bottom w:val="single" w:sz="4" w:space="0" w:color="000000"/>
              <w:right w:val="single" w:sz="4" w:space="0" w:color="000000"/>
            </w:tcBorders>
            <w:vAlign w:val="center"/>
          </w:tcPr>
          <w:p w:rsidR="00DD5A3C" w:rsidRPr="00DD5A3C" w:rsidP="000C7EAF">
            <w:pPr>
              <w:widowControl/>
              <w:rPr>
                <w:rFonts w:ascii="Times New Roman" w:eastAsia="仿宋_GB2312" w:hAnsi="Times New Roman" w:cs="Times New Roman"/>
                <w:kern w:val="0"/>
              </w:rPr>
            </w:pPr>
            <w:r w:rsidRPr="00DD5A3C">
              <w:rPr>
                <w:rFonts w:ascii="Times New Roman" w:eastAsia="仿宋_GB2312" w:hAnsi="Times New Roman" w:cs="Times New Roman"/>
                <w:kern w:val="0"/>
                <w:sz w:val="24"/>
              </w:rPr>
              <w:t>0</w:t>
            </w:r>
            <w:r w:rsidRPr="00DD5A3C">
              <w:rPr>
                <w:rFonts w:ascii="Times New Roman" w:eastAsia="仿宋_GB2312" w:hAnsi="Times New Roman" w:cs="Times New Roman"/>
                <w:kern w:val="0"/>
                <w:sz w:val="24"/>
              </w:rPr>
              <w:t>～</w:t>
            </w:r>
            <w:r w:rsidRPr="00DD5A3C">
              <w:rPr>
                <w:rFonts w:ascii="Times New Roman" w:eastAsia="仿宋_GB2312" w:hAnsi="Times New Roman" w:cs="Times New Roman"/>
                <w:kern w:val="0"/>
                <w:sz w:val="24"/>
              </w:rPr>
              <w:t>2L/min</w:t>
            </w:r>
            <w:r w:rsidRPr="00DD5A3C">
              <w:rPr>
                <w:rFonts w:ascii="Times New Roman" w:eastAsia="仿宋_GB2312" w:hAnsi="Times New Roman" w:cs="Times New Roman"/>
                <w:kern w:val="0"/>
                <w:sz w:val="24"/>
              </w:rPr>
              <w:t>可调</w:t>
            </w:r>
          </w:p>
        </w:tc>
      </w:tr>
      <w:tr w:rsidTr="00DD5A3C">
        <w:tblPrEx>
          <w:tblW w:w="5000" w:type="pct"/>
          <w:jc w:val="center"/>
          <w:tblLook w:val="0000"/>
        </w:tblPrEx>
        <w:trPr>
          <w:trHeight w:val="556"/>
          <w:jc w:val="center"/>
        </w:trPr>
        <w:tc>
          <w:tcPr>
            <w:tcW w:w="668" w:type="pct"/>
            <w:vMerge/>
            <w:tcBorders>
              <w:left w:val="single" w:sz="4" w:space="0" w:color="000000"/>
              <w:right w:val="single" w:sz="4" w:space="0" w:color="000000"/>
            </w:tcBorders>
            <w:vAlign w:val="center"/>
          </w:tcPr>
          <w:p w:rsidR="00DD5A3C" w:rsidRPr="00DD5A3C" w:rsidP="000C7EAF">
            <w:pPr>
              <w:widowControl/>
              <w:jc w:val="center"/>
              <w:rPr>
                <w:rFonts w:ascii="Times New Roman" w:eastAsia="仿宋_GB2312" w:hAnsi="Times New Roman" w:cs="Times New Roman"/>
                <w:kern w:val="0"/>
              </w:rPr>
            </w:pPr>
          </w:p>
        </w:tc>
        <w:tc>
          <w:tcPr>
            <w:tcW w:w="1226" w:type="pct"/>
            <w:tcBorders>
              <w:top w:val="single" w:sz="4" w:space="0" w:color="000000"/>
              <w:left w:val="single" w:sz="4" w:space="0" w:color="000000"/>
              <w:bottom w:val="single" w:sz="4" w:space="0" w:color="000000"/>
              <w:right w:val="single" w:sz="4" w:space="0" w:color="000000"/>
            </w:tcBorders>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旁路流量</w:t>
            </w:r>
          </w:p>
        </w:tc>
        <w:tc>
          <w:tcPr>
            <w:tcW w:w="3107" w:type="pct"/>
            <w:tcBorders>
              <w:top w:val="single" w:sz="4" w:space="0" w:color="000000"/>
              <w:left w:val="single" w:sz="4" w:space="0" w:color="000000"/>
              <w:bottom w:val="single" w:sz="4" w:space="0" w:color="000000"/>
              <w:right w:val="single" w:sz="4" w:space="0" w:color="000000"/>
            </w:tcBorders>
            <w:vAlign w:val="center"/>
          </w:tcPr>
          <w:p w:rsidR="00DD5A3C" w:rsidRPr="00DD5A3C" w:rsidP="000C7EAF">
            <w:pPr>
              <w:widowControl/>
              <w:rPr>
                <w:rFonts w:ascii="Times New Roman" w:eastAsia="仿宋_GB2312" w:hAnsi="Times New Roman" w:cs="Times New Roman"/>
                <w:kern w:val="0"/>
              </w:rPr>
            </w:pPr>
            <w:r w:rsidRPr="00DD5A3C">
              <w:rPr>
                <w:rFonts w:ascii="Times New Roman" w:eastAsia="仿宋_GB2312" w:hAnsi="Times New Roman" w:cs="Times New Roman"/>
                <w:kern w:val="0"/>
                <w:sz w:val="24"/>
              </w:rPr>
              <w:t>0</w:t>
            </w:r>
            <w:r w:rsidRPr="00DD5A3C">
              <w:rPr>
                <w:rFonts w:ascii="Times New Roman" w:eastAsia="仿宋_GB2312" w:hAnsi="Times New Roman" w:cs="Times New Roman"/>
                <w:kern w:val="0"/>
                <w:sz w:val="24"/>
              </w:rPr>
              <w:t>～</w:t>
            </w:r>
            <w:r w:rsidRPr="00DD5A3C">
              <w:rPr>
                <w:rFonts w:ascii="Times New Roman" w:eastAsia="仿宋_GB2312" w:hAnsi="Times New Roman" w:cs="Times New Roman"/>
                <w:kern w:val="0"/>
                <w:sz w:val="24"/>
              </w:rPr>
              <w:t>600mL/min</w:t>
            </w:r>
            <w:r w:rsidRPr="00DD5A3C">
              <w:rPr>
                <w:rFonts w:ascii="Times New Roman" w:eastAsia="仿宋_GB2312" w:hAnsi="Times New Roman" w:cs="Times New Roman"/>
                <w:kern w:val="0"/>
                <w:sz w:val="24"/>
              </w:rPr>
              <w:t>可调</w:t>
            </w:r>
          </w:p>
        </w:tc>
      </w:tr>
      <w:tr w:rsidTr="00DD5A3C">
        <w:tblPrEx>
          <w:tblW w:w="5000" w:type="pct"/>
          <w:jc w:val="center"/>
          <w:tblLook w:val="0000"/>
        </w:tblPrEx>
        <w:trPr>
          <w:trHeight w:val="550"/>
          <w:jc w:val="center"/>
        </w:trPr>
        <w:tc>
          <w:tcPr>
            <w:tcW w:w="668" w:type="pct"/>
            <w:vMerge w:val="restart"/>
            <w:tcBorders>
              <w:left w:val="single" w:sz="4" w:space="0" w:color="000000"/>
              <w:right w:val="single" w:sz="4" w:space="0" w:color="000000"/>
            </w:tcBorders>
            <w:vAlign w:val="center"/>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标气单元</w:t>
            </w:r>
          </w:p>
        </w:tc>
        <w:tc>
          <w:tcPr>
            <w:tcW w:w="1226" w:type="pct"/>
            <w:tcBorders>
              <w:top w:val="single" w:sz="4" w:space="0" w:color="000000"/>
              <w:left w:val="single" w:sz="4" w:space="0" w:color="000000"/>
              <w:bottom w:val="single" w:sz="4" w:space="0" w:color="000000"/>
              <w:right w:val="single" w:sz="4" w:space="0" w:color="000000"/>
            </w:tcBorders>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气瓶</w:t>
            </w:r>
          </w:p>
        </w:tc>
        <w:tc>
          <w:tcPr>
            <w:tcW w:w="3107" w:type="pct"/>
            <w:tcBorders>
              <w:top w:val="single" w:sz="4" w:space="0" w:color="000000"/>
              <w:left w:val="single" w:sz="4" w:space="0" w:color="000000"/>
              <w:bottom w:val="single" w:sz="4" w:space="0" w:color="000000"/>
              <w:right w:val="single" w:sz="4" w:space="0" w:color="000000"/>
            </w:tcBorders>
            <w:vAlign w:val="center"/>
          </w:tcPr>
          <w:p w:rsidR="00DD5A3C" w:rsidRPr="00DD5A3C" w:rsidP="000C7EAF">
            <w:pPr>
              <w:widowControl/>
              <w:rPr>
                <w:rFonts w:ascii="Times New Roman" w:eastAsia="仿宋_GB2312" w:hAnsi="Times New Roman" w:cs="Times New Roman"/>
                <w:kern w:val="0"/>
              </w:rPr>
            </w:pPr>
            <w:r w:rsidRPr="00DD5A3C">
              <w:rPr>
                <w:rFonts w:ascii="Times New Roman" w:eastAsia="仿宋_GB2312" w:hAnsi="Times New Roman" w:cs="Times New Roman"/>
                <w:kern w:val="0"/>
                <w:sz w:val="24"/>
              </w:rPr>
              <w:t>≥29L</w:t>
            </w:r>
            <w:r w:rsidRPr="00DD5A3C">
              <w:rPr>
                <w:rFonts w:ascii="Times New Roman" w:eastAsia="仿宋_GB2312" w:hAnsi="Times New Roman" w:cs="Times New Roman"/>
                <w:kern w:val="0"/>
                <w:sz w:val="24"/>
              </w:rPr>
              <w:t>铝合金气瓶</w:t>
            </w:r>
          </w:p>
        </w:tc>
      </w:tr>
      <w:tr w:rsidTr="00DD5A3C">
        <w:tblPrEx>
          <w:tblW w:w="5000" w:type="pct"/>
          <w:jc w:val="center"/>
          <w:tblLook w:val="0000"/>
        </w:tblPrEx>
        <w:trPr>
          <w:trHeight w:val="132"/>
          <w:jc w:val="center"/>
        </w:trPr>
        <w:tc>
          <w:tcPr>
            <w:tcW w:w="668" w:type="pct"/>
            <w:vMerge/>
            <w:tcBorders>
              <w:left w:val="single" w:sz="4" w:space="0" w:color="000000"/>
              <w:right w:val="single" w:sz="4" w:space="0" w:color="000000"/>
            </w:tcBorders>
            <w:vAlign w:val="center"/>
          </w:tcPr>
          <w:p w:rsidR="00DD5A3C" w:rsidRPr="00DD5A3C" w:rsidP="000C7EAF">
            <w:pPr>
              <w:widowControl/>
              <w:jc w:val="center"/>
              <w:rPr>
                <w:rFonts w:ascii="Times New Roman" w:eastAsia="仿宋_GB2312" w:hAnsi="Times New Roman" w:cs="Times New Roman"/>
                <w:kern w:val="0"/>
              </w:rPr>
            </w:pPr>
          </w:p>
        </w:tc>
        <w:tc>
          <w:tcPr>
            <w:tcW w:w="1226" w:type="pct"/>
            <w:tcBorders>
              <w:top w:val="single" w:sz="4" w:space="0" w:color="000000"/>
              <w:left w:val="single" w:sz="4" w:space="0" w:color="000000"/>
              <w:bottom w:val="single" w:sz="4" w:space="0" w:color="000000"/>
              <w:right w:val="single" w:sz="4" w:space="0" w:color="000000"/>
            </w:tcBorders>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减压阀进</w:t>
            </w:r>
            <w:r w:rsidRPr="00DD5A3C">
              <w:rPr>
                <w:rFonts w:ascii="Times New Roman" w:eastAsia="仿宋_GB2312" w:hAnsi="Times New Roman" w:cs="Times New Roman"/>
                <w:kern w:val="0"/>
                <w:sz w:val="24"/>
              </w:rPr>
              <w:t>/</w:t>
            </w:r>
            <w:r w:rsidRPr="00DD5A3C">
              <w:rPr>
                <w:rFonts w:ascii="Times New Roman" w:eastAsia="仿宋_GB2312" w:hAnsi="Times New Roman" w:cs="Times New Roman"/>
                <w:kern w:val="0"/>
                <w:sz w:val="24"/>
              </w:rPr>
              <w:t>出气压力范围</w:t>
            </w:r>
          </w:p>
        </w:tc>
        <w:tc>
          <w:tcPr>
            <w:tcW w:w="3107" w:type="pct"/>
            <w:tcBorders>
              <w:top w:val="single" w:sz="4" w:space="0" w:color="000000"/>
              <w:left w:val="single" w:sz="4" w:space="0" w:color="000000"/>
              <w:bottom w:val="single" w:sz="4" w:space="0" w:color="000000"/>
              <w:right w:val="single" w:sz="4" w:space="0" w:color="000000"/>
            </w:tcBorders>
            <w:vAlign w:val="center"/>
          </w:tcPr>
          <w:p w:rsidR="00DD5A3C" w:rsidRPr="00DD5A3C" w:rsidP="000C7EAF">
            <w:pPr>
              <w:widowControl/>
              <w:rPr>
                <w:rFonts w:ascii="Times New Roman" w:eastAsia="仿宋_GB2312" w:hAnsi="Times New Roman" w:cs="Times New Roman"/>
                <w:kern w:val="0"/>
              </w:rPr>
            </w:pPr>
            <w:r w:rsidRPr="00DD5A3C">
              <w:rPr>
                <w:rFonts w:ascii="Times New Roman" w:eastAsia="仿宋_GB2312" w:hAnsi="Times New Roman" w:cs="Times New Roman"/>
                <w:kern w:val="0"/>
                <w:sz w:val="24"/>
              </w:rPr>
              <w:t>0</w:t>
            </w:r>
            <w:r w:rsidRPr="00DD5A3C">
              <w:rPr>
                <w:rFonts w:ascii="Times New Roman" w:eastAsia="仿宋_GB2312" w:hAnsi="Times New Roman" w:cs="Times New Roman"/>
                <w:kern w:val="0"/>
                <w:sz w:val="24"/>
              </w:rPr>
              <w:t>～</w:t>
            </w:r>
            <w:r w:rsidRPr="00DD5A3C">
              <w:rPr>
                <w:rFonts w:ascii="Times New Roman" w:eastAsia="仿宋_GB2312" w:hAnsi="Times New Roman" w:cs="Times New Roman"/>
                <w:kern w:val="0"/>
                <w:sz w:val="24"/>
              </w:rPr>
              <w:t>3000psi/0</w:t>
            </w:r>
            <w:r w:rsidRPr="00DD5A3C">
              <w:rPr>
                <w:rFonts w:ascii="Times New Roman" w:eastAsia="仿宋_GB2312" w:hAnsi="Times New Roman" w:cs="Times New Roman"/>
                <w:kern w:val="0"/>
                <w:sz w:val="24"/>
              </w:rPr>
              <w:t>～</w:t>
            </w:r>
            <w:r w:rsidRPr="00DD5A3C">
              <w:rPr>
                <w:rFonts w:ascii="Times New Roman" w:eastAsia="仿宋_GB2312" w:hAnsi="Times New Roman" w:cs="Times New Roman"/>
                <w:kern w:val="0"/>
                <w:sz w:val="24"/>
              </w:rPr>
              <w:t>100psi</w:t>
            </w:r>
          </w:p>
        </w:tc>
      </w:tr>
      <w:tr w:rsidTr="00DD5A3C">
        <w:tblPrEx>
          <w:tblW w:w="5000" w:type="pct"/>
          <w:jc w:val="center"/>
          <w:tblLook w:val="0000"/>
        </w:tblPrEx>
        <w:trPr>
          <w:trHeight w:val="1096"/>
          <w:jc w:val="center"/>
        </w:trPr>
        <w:tc>
          <w:tcPr>
            <w:tcW w:w="668" w:type="pct"/>
            <w:vMerge/>
            <w:tcBorders>
              <w:left w:val="single" w:sz="4" w:space="0" w:color="000000"/>
              <w:right w:val="single" w:sz="4" w:space="0" w:color="000000"/>
            </w:tcBorders>
            <w:vAlign w:val="center"/>
          </w:tcPr>
          <w:p w:rsidR="00DD5A3C" w:rsidRPr="00DD5A3C" w:rsidP="000C7EAF">
            <w:pPr>
              <w:widowControl/>
              <w:jc w:val="center"/>
              <w:rPr>
                <w:rFonts w:ascii="Times New Roman" w:eastAsia="仿宋_GB2312" w:hAnsi="Times New Roman" w:cs="Times New Roman"/>
                <w:kern w:val="0"/>
              </w:rPr>
            </w:pPr>
          </w:p>
        </w:tc>
        <w:tc>
          <w:tcPr>
            <w:tcW w:w="1226" w:type="pct"/>
            <w:tcBorders>
              <w:top w:val="single" w:sz="4" w:space="0" w:color="000000"/>
              <w:left w:val="single" w:sz="4" w:space="0" w:color="000000"/>
              <w:bottom w:val="single" w:sz="4" w:space="0" w:color="000000"/>
              <w:right w:val="single" w:sz="4" w:space="0" w:color="000000"/>
            </w:tcBorders>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工作标气（</w:t>
            </w:r>
            <w:r w:rsidRPr="00DD5A3C">
              <w:rPr>
                <w:rFonts w:ascii="Times New Roman" w:eastAsia="仿宋_GB2312" w:hAnsi="Times New Roman" w:cs="Times New Roman"/>
                <w:kern w:val="0"/>
                <w:sz w:val="24"/>
              </w:rPr>
              <w:t>WH/WL</w:t>
            </w:r>
            <w:r w:rsidRPr="00DD5A3C">
              <w:rPr>
                <w:rFonts w:ascii="Times New Roman" w:eastAsia="仿宋_GB2312" w:hAnsi="Times New Roman" w:cs="Times New Roman"/>
                <w:kern w:val="0"/>
                <w:sz w:val="24"/>
              </w:rPr>
              <w:t>）</w:t>
            </w:r>
          </w:p>
        </w:tc>
        <w:tc>
          <w:tcPr>
            <w:tcW w:w="3107" w:type="pct"/>
            <w:tcBorders>
              <w:top w:val="single" w:sz="4" w:space="0" w:color="000000"/>
              <w:left w:val="single" w:sz="4" w:space="0" w:color="000000"/>
              <w:bottom w:val="single" w:sz="4" w:space="0" w:color="000000"/>
              <w:right w:val="single" w:sz="4" w:space="0" w:color="000000"/>
            </w:tcBorders>
            <w:vAlign w:val="center"/>
          </w:tcPr>
          <w:p w:rsidR="00DD5A3C" w:rsidRPr="00DD5A3C" w:rsidP="000C7EAF">
            <w:pPr>
              <w:widowControl/>
              <w:rPr>
                <w:rFonts w:ascii="Times New Roman" w:eastAsia="仿宋_GB2312" w:hAnsi="Times New Roman" w:cs="Times New Roman"/>
                <w:kern w:val="0"/>
              </w:rPr>
            </w:pPr>
            <w:r w:rsidRPr="00DD5A3C">
              <w:rPr>
                <w:rFonts w:ascii="Times New Roman" w:eastAsia="仿宋_GB2312" w:hAnsi="Times New Roman" w:cs="Times New Roman"/>
                <w:kern w:val="0"/>
                <w:sz w:val="24"/>
              </w:rPr>
              <w:t>以自然大气为底气，</w:t>
            </w:r>
            <w:r w:rsidRPr="00DD5A3C">
              <w:rPr>
                <w:rFonts w:ascii="Times New Roman" w:eastAsia="仿宋_GB2312" w:hAnsi="Times New Roman" w:cs="Times New Roman"/>
                <w:kern w:val="0"/>
                <w:sz w:val="24"/>
              </w:rPr>
              <w:t>CO</w:t>
            </w:r>
            <w:r w:rsidRPr="00DD5A3C">
              <w:rPr>
                <w:rFonts w:ascii="Times New Roman" w:eastAsia="仿宋_GB2312" w:hAnsi="Times New Roman" w:cs="Times New Roman"/>
                <w:kern w:val="0"/>
                <w:sz w:val="24"/>
                <w:vertAlign w:val="subscript"/>
              </w:rPr>
              <w:t>2</w:t>
            </w:r>
            <w:r w:rsidRPr="00DD5A3C">
              <w:rPr>
                <w:rFonts w:ascii="Times New Roman" w:eastAsia="仿宋_GB2312" w:hAnsi="Times New Roman" w:cs="Times New Roman"/>
                <w:kern w:val="0"/>
                <w:sz w:val="24"/>
              </w:rPr>
              <w:t>等浓度涵盖观测点大气</w:t>
            </w:r>
            <w:r w:rsidRPr="00DD5A3C">
              <w:rPr>
                <w:rFonts w:ascii="Times New Roman" w:eastAsia="仿宋_GB2312" w:hAnsi="Times New Roman" w:cs="Times New Roman"/>
                <w:kern w:val="0"/>
                <w:sz w:val="24"/>
              </w:rPr>
              <w:t>CO</w:t>
            </w:r>
            <w:r w:rsidRPr="00DD5A3C">
              <w:rPr>
                <w:rFonts w:ascii="Times New Roman" w:eastAsia="仿宋_GB2312" w:hAnsi="Times New Roman" w:cs="Times New Roman"/>
                <w:kern w:val="0"/>
                <w:sz w:val="24"/>
                <w:vertAlign w:val="subscript"/>
              </w:rPr>
              <w:t>2</w:t>
            </w:r>
            <w:r w:rsidRPr="00DD5A3C">
              <w:rPr>
                <w:rFonts w:ascii="Times New Roman" w:eastAsia="仿宋_GB2312" w:hAnsi="Times New Roman" w:cs="Times New Roman"/>
                <w:kern w:val="0"/>
                <w:sz w:val="24"/>
              </w:rPr>
              <w:t>等浓度变化范围</w:t>
            </w:r>
          </w:p>
        </w:tc>
      </w:tr>
      <w:tr w:rsidTr="00DD5A3C">
        <w:tblPrEx>
          <w:tblW w:w="5000" w:type="pct"/>
          <w:jc w:val="center"/>
          <w:tblLook w:val="0000"/>
        </w:tblPrEx>
        <w:trPr>
          <w:trHeight w:val="1096"/>
          <w:jc w:val="center"/>
        </w:trPr>
        <w:tc>
          <w:tcPr>
            <w:tcW w:w="668" w:type="pct"/>
            <w:vMerge/>
            <w:tcBorders>
              <w:left w:val="single" w:sz="4" w:space="0" w:color="000000"/>
              <w:right w:val="single" w:sz="4" w:space="0" w:color="000000"/>
            </w:tcBorders>
            <w:vAlign w:val="center"/>
          </w:tcPr>
          <w:p w:rsidR="00DD5A3C" w:rsidRPr="00DD5A3C" w:rsidP="000C7EAF">
            <w:pPr>
              <w:widowControl/>
              <w:jc w:val="center"/>
              <w:rPr>
                <w:rFonts w:ascii="Times New Roman" w:eastAsia="仿宋_GB2312" w:hAnsi="Times New Roman" w:cs="Times New Roman"/>
                <w:kern w:val="0"/>
              </w:rPr>
            </w:pPr>
          </w:p>
        </w:tc>
        <w:tc>
          <w:tcPr>
            <w:tcW w:w="1226" w:type="pct"/>
            <w:tcBorders>
              <w:top w:val="single" w:sz="4" w:space="0" w:color="000000"/>
              <w:left w:val="single" w:sz="4" w:space="0" w:color="000000"/>
              <w:bottom w:val="single" w:sz="4" w:space="0" w:color="000000"/>
              <w:right w:val="single" w:sz="4" w:space="0" w:color="000000"/>
            </w:tcBorders>
          </w:tcPr>
          <w:p w:rsidR="00DD5A3C"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目标</w:t>
            </w:r>
            <w:r w:rsidRPr="00DD5A3C">
              <w:rPr>
                <w:rFonts w:ascii="Times New Roman" w:eastAsia="仿宋_GB2312" w:hAnsi="Times New Roman" w:cs="Times New Roman"/>
                <w:kern w:val="0"/>
                <w:sz w:val="24"/>
              </w:rPr>
              <w:t>标</w:t>
            </w:r>
            <w:r w:rsidRPr="00DD5A3C">
              <w:rPr>
                <w:rFonts w:ascii="Times New Roman" w:eastAsia="仿宋_GB2312" w:hAnsi="Times New Roman" w:cs="Times New Roman"/>
                <w:kern w:val="0"/>
                <w:sz w:val="24"/>
              </w:rPr>
              <w:t>气（</w:t>
            </w:r>
            <w:r w:rsidRPr="00DD5A3C">
              <w:rPr>
                <w:rFonts w:ascii="Times New Roman" w:eastAsia="仿宋_GB2312" w:hAnsi="Times New Roman" w:cs="Times New Roman"/>
                <w:kern w:val="0"/>
                <w:sz w:val="24"/>
              </w:rPr>
              <w:t>T</w:t>
            </w:r>
            <w:r w:rsidRPr="00DD5A3C">
              <w:rPr>
                <w:rFonts w:ascii="Times New Roman" w:eastAsia="仿宋_GB2312" w:hAnsi="Times New Roman" w:cs="Times New Roman"/>
                <w:kern w:val="0"/>
                <w:sz w:val="24"/>
              </w:rPr>
              <w:t>）</w:t>
            </w:r>
          </w:p>
        </w:tc>
        <w:tc>
          <w:tcPr>
            <w:tcW w:w="3107" w:type="pct"/>
            <w:tcBorders>
              <w:top w:val="single" w:sz="4" w:space="0" w:color="000000"/>
              <w:left w:val="single" w:sz="4" w:space="0" w:color="000000"/>
              <w:bottom w:val="single" w:sz="4" w:space="0" w:color="000000"/>
              <w:right w:val="single" w:sz="4" w:space="0" w:color="000000"/>
            </w:tcBorders>
            <w:vAlign w:val="center"/>
          </w:tcPr>
          <w:p w:rsidR="00DD5A3C" w:rsidRPr="00DD5A3C" w:rsidP="000C7EAF">
            <w:pPr>
              <w:widowControl/>
              <w:rPr>
                <w:rFonts w:ascii="Times New Roman" w:eastAsia="仿宋_GB2312" w:hAnsi="Times New Roman" w:cs="Times New Roman"/>
                <w:kern w:val="0"/>
              </w:rPr>
            </w:pPr>
            <w:r w:rsidRPr="00DD5A3C">
              <w:rPr>
                <w:rFonts w:ascii="Times New Roman" w:eastAsia="仿宋_GB2312" w:hAnsi="Times New Roman" w:cs="Times New Roman"/>
                <w:kern w:val="0"/>
                <w:sz w:val="24"/>
              </w:rPr>
              <w:t>以自然大气为底气，</w:t>
            </w:r>
            <w:r w:rsidRPr="00DD5A3C">
              <w:rPr>
                <w:rFonts w:ascii="Times New Roman" w:eastAsia="仿宋_GB2312" w:hAnsi="Times New Roman" w:cs="Times New Roman"/>
                <w:kern w:val="0"/>
                <w:sz w:val="24"/>
              </w:rPr>
              <w:t>CO</w:t>
            </w:r>
            <w:r w:rsidRPr="00DD5A3C">
              <w:rPr>
                <w:rFonts w:ascii="Times New Roman" w:eastAsia="仿宋_GB2312" w:hAnsi="Times New Roman" w:cs="Times New Roman"/>
                <w:kern w:val="0"/>
                <w:sz w:val="24"/>
                <w:vertAlign w:val="subscript"/>
              </w:rPr>
              <w:t>2</w:t>
            </w:r>
            <w:r w:rsidRPr="00DD5A3C">
              <w:rPr>
                <w:rFonts w:ascii="Times New Roman" w:eastAsia="仿宋_GB2312" w:hAnsi="Times New Roman" w:cs="Times New Roman"/>
                <w:kern w:val="0"/>
                <w:sz w:val="24"/>
              </w:rPr>
              <w:t>等浓度应接近观测点大气</w:t>
            </w:r>
            <w:r w:rsidRPr="00DD5A3C">
              <w:rPr>
                <w:rFonts w:ascii="Times New Roman" w:eastAsia="仿宋_GB2312" w:hAnsi="Times New Roman" w:cs="Times New Roman"/>
                <w:kern w:val="0"/>
                <w:sz w:val="24"/>
              </w:rPr>
              <w:t>CO</w:t>
            </w:r>
            <w:r w:rsidRPr="00DD5A3C">
              <w:rPr>
                <w:rFonts w:ascii="Times New Roman" w:eastAsia="仿宋_GB2312" w:hAnsi="Times New Roman" w:cs="Times New Roman"/>
                <w:kern w:val="0"/>
                <w:sz w:val="24"/>
                <w:vertAlign w:val="subscript"/>
              </w:rPr>
              <w:t>2</w:t>
            </w:r>
            <w:r w:rsidRPr="00DD5A3C">
              <w:rPr>
                <w:rFonts w:ascii="Times New Roman" w:eastAsia="仿宋_GB2312" w:hAnsi="Times New Roman" w:cs="Times New Roman"/>
                <w:kern w:val="0"/>
                <w:sz w:val="24"/>
              </w:rPr>
              <w:t>等平均浓度</w:t>
            </w:r>
          </w:p>
        </w:tc>
      </w:tr>
      <w:tr w:rsidTr="00CC6156">
        <w:tblPrEx>
          <w:tblW w:w="5000" w:type="pct"/>
          <w:jc w:val="center"/>
          <w:tblLook w:val="0000"/>
        </w:tblPrEx>
        <w:trPr>
          <w:trHeight w:val="1267"/>
          <w:jc w:val="center"/>
        </w:trPr>
        <w:tc>
          <w:tcPr>
            <w:tcW w:w="668" w:type="pct"/>
            <w:vMerge/>
            <w:tcBorders>
              <w:left w:val="single" w:sz="4" w:space="0" w:color="000000"/>
              <w:right w:val="single" w:sz="4" w:space="0" w:color="000000"/>
            </w:tcBorders>
            <w:vAlign w:val="center"/>
          </w:tcPr>
          <w:p w:rsidR="00086B0F" w:rsidRPr="00DD5A3C" w:rsidP="000C7EAF">
            <w:pPr>
              <w:widowControl/>
              <w:jc w:val="center"/>
              <w:rPr>
                <w:rFonts w:ascii="Times New Roman" w:eastAsia="仿宋_GB2312" w:hAnsi="Times New Roman" w:cs="Times New Roman"/>
                <w:kern w:val="0"/>
              </w:rPr>
            </w:pPr>
          </w:p>
        </w:tc>
        <w:tc>
          <w:tcPr>
            <w:tcW w:w="1226" w:type="pct"/>
            <w:vMerge w:val="restart"/>
            <w:tcBorders>
              <w:top w:val="single" w:sz="4" w:space="0" w:color="000000"/>
              <w:left w:val="single" w:sz="4" w:space="0" w:color="000000"/>
              <w:right w:val="single" w:sz="4" w:space="0" w:color="000000"/>
            </w:tcBorders>
          </w:tcPr>
          <w:p w:rsidR="00086B0F" w:rsidP="00086B0F">
            <w:pPr>
              <w:widowControl/>
              <w:ind w:firstLine="630" w:firstLineChars="300"/>
              <w:rPr>
                <w:rFonts w:ascii="Times New Roman" w:eastAsia="仿宋_GB2312" w:hAnsi="Times New Roman" w:cs="Times New Roman" w:hint="eastAsia"/>
                <w:kern w:val="0"/>
              </w:rPr>
            </w:pPr>
          </w:p>
          <w:p w:rsidR="00086B0F" w:rsidP="00086B0F">
            <w:pPr>
              <w:widowControl/>
              <w:ind w:firstLine="630" w:firstLineChars="300"/>
              <w:rPr>
                <w:rFonts w:ascii="Times New Roman" w:eastAsia="仿宋_GB2312" w:hAnsi="Times New Roman" w:cs="Times New Roman" w:hint="eastAsia"/>
                <w:kern w:val="0"/>
              </w:rPr>
            </w:pPr>
          </w:p>
          <w:p w:rsidR="00086B0F" w:rsidP="00086B0F">
            <w:pPr>
              <w:widowControl/>
              <w:ind w:firstLine="630" w:firstLineChars="300"/>
              <w:rPr>
                <w:rFonts w:ascii="Times New Roman" w:eastAsia="仿宋_GB2312" w:hAnsi="Times New Roman" w:cs="Times New Roman" w:hint="eastAsia"/>
                <w:kern w:val="0"/>
              </w:rPr>
            </w:pPr>
          </w:p>
          <w:p w:rsidR="00086B0F" w:rsidRPr="00DD5A3C" w:rsidP="00086B0F">
            <w:pPr>
              <w:widowControl/>
              <w:ind w:firstLine="720" w:firstLineChars="300"/>
              <w:rPr>
                <w:rFonts w:ascii="Times New Roman" w:eastAsia="仿宋_GB2312" w:hAnsi="Times New Roman" w:cs="Times New Roman"/>
                <w:kern w:val="0"/>
              </w:rPr>
            </w:pPr>
            <w:r w:rsidRPr="00DD5A3C">
              <w:rPr>
                <w:rFonts w:ascii="Times New Roman" w:eastAsia="仿宋_GB2312" w:hAnsi="Times New Roman" w:cs="Times New Roman"/>
                <w:kern w:val="0"/>
                <w:sz w:val="24"/>
              </w:rPr>
              <w:t>标气</w:t>
            </w:r>
          </w:p>
        </w:tc>
        <w:tc>
          <w:tcPr>
            <w:tcW w:w="3107" w:type="pct"/>
            <w:vMerge w:val="restart"/>
            <w:tcBorders>
              <w:top w:val="single" w:sz="4" w:space="0" w:color="000000"/>
              <w:left w:val="single" w:sz="4" w:space="0" w:color="000000"/>
              <w:right w:val="single" w:sz="4" w:space="0" w:color="000000"/>
            </w:tcBorders>
            <w:vAlign w:val="center"/>
          </w:tcPr>
          <w:p w:rsidR="00086B0F" w:rsidRPr="00DD5A3C" w:rsidP="00086B0F">
            <w:pPr>
              <w:widowControl/>
              <w:rPr>
                <w:rFonts w:ascii="Times New Roman" w:eastAsia="仿宋_GB2312" w:hAnsi="Times New Roman" w:cs="Times New Roman"/>
                <w:kern w:val="0"/>
              </w:rPr>
            </w:pPr>
            <w:r w:rsidRPr="00DD5A3C">
              <w:rPr>
                <w:rFonts w:ascii="Times New Roman" w:eastAsia="仿宋_GB2312" w:hAnsi="Times New Roman" w:cs="Times New Roman"/>
                <w:kern w:val="0"/>
                <w:sz w:val="24"/>
              </w:rPr>
              <w:t>以自然干洁空气为底气，水</w:t>
            </w:r>
            <w:r w:rsidRPr="00DD5A3C">
              <w:rPr>
                <w:rFonts w:ascii="Times New Roman" w:eastAsia="仿宋_GB2312" w:hAnsi="Times New Roman" w:cs="Times New Roman"/>
                <w:kern w:val="0"/>
                <w:sz w:val="24"/>
              </w:rPr>
              <w:t>汽含量小于</w:t>
            </w:r>
            <w:r w:rsidRPr="00DD5A3C">
              <w:rPr>
                <w:rFonts w:ascii="Times New Roman" w:eastAsia="仿宋_GB2312" w:hAnsi="Times New Roman" w:cs="Times New Roman"/>
                <w:kern w:val="0"/>
                <w:sz w:val="24"/>
              </w:rPr>
              <w:t>5ppm</w:t>
            </w:r>
            <w:r w:rsidRPr="00DD5A3C">
              <w:rPr>
                <w:rFonts w:ascii="Times New Roman" w:eastAsia="仿宋_GB2312" w:hAnsi="Times New Roman" w:cs="Times New Roman"/>
                <w:kern w:val="0"/>
                <w:sz w:val="24"/>
              </w:rPr>
              <w:t>。钢瓶为内抛光专用铝合金气瓶</w:t>
            </w:r>
          </w:p>
        </w:tc>
      </w:tr>
      <w:tr w:rsidTr="00086B0F">
        <w:tblPrEx>
          <w:tblW w:w="5000" w:type="pct"/>
          <w:jc w:val="center"/>
          <w:tblLook w:val="0000"/>
        </w:tblPrEx>
        <w:trPr>
          <w:trHeight w:val="64"/>
          <w:jc w:val="center"/>
        </w:trPr>
        <w:tc>
          <w:tcPr>
            <w:tcW w:w="668" w:type="pct"/>
            <w:tcBorders>
              <w:left w:val="single" w:sz="4" w:space="0" w:color="000000"/>
              <w:bottom w:val="single" w:sz="4" w:space="0" w:color="000000"/>
              <w:right w:val="single" w:sz="4" w:space="0" w:color="000000"/>
            </w:tcBorders>
            <w:vAlign w:val="center"/>
          </w:tcPr>
          <w:p w:rsidR="00086B0F" w:rsidRPr="00DD5A3C" w:rsidP="000C7EAF">
            <w:pPr>
              <w:widowControl/>
              <w:jc w:val="center"/>
              <w:rPr>
                <w:rFonts w:ascii="Times New Roman" w:eastAsia="仿宋_GB2312" w:hAnsi="Times New Roman" w:cs="Times New Roman"/>
                <w:kern w:val="0"/>
              </w:rPr>
            </w:pPr>
            <w:r w:rsidRPr="00DD5A3C">
              <w:rPr>
                <w:rFonts w:ascii="Times New Roman" w:eastAsia="仿宋_GB2312" w:hAnsi="Times New Roman" w:cs="Times New Roman"/>
                <w:kern w:val="0"/>
                <w:sz w:val="24"/>
              </w:rPr>
              <w:t>数据采集及处理单元</w:t>
            </w:r>
          </w:p>
        </w:tc>
        <w:tc>
          <w:tcPr>
            <w:tcW w:w="1226" w:type="pct"/>
            <w:vMerge/>
            <w:tcBorders>
              <w:left w:val="single" w:sz="4" w:space="0" w:color="000000"/>
              <w:bottom w:val="single" w:sz="4" w:space="0" w:color="000000"/>
              <w:right w:val="single" w:sz="4" w:space="0" w:color="000000"/>
            </w:tcBorders>
          </w:tcPr>
          <w:p w:rsidR="00086B0F" w:rsidRPr="00DD5A3C" w:rsidP="000C7EAF">
            <w:pPr>
              <w:widowControl/>
              <w:jc w:val="center"/>
              <w:rPr>
                <w:rFonts w:ascii="Times New Roman" w:eastAsia="仿宋_GB2312" w:hAnsi="Times New Roman" w:cs="Times New Roman"/>
                <w:kern w:val="0"/>
              </w:rPr>
            </w:pPr>
          </w:p>
        </w:tc>
        <w:tc>
          <w:tcPr>
            <w:tcW w:w="3106" w:type="pct"/>
            <w:vMerge/>
            <w:tcBorders>
              <w:left w:val="single" w:sz="4" w:space="0" w:color="000000"/>
              <w:bottom w:val="single" w:sz="4" w:space="0" w:color="000000"/>
              <w:right w:val="single" w:sz="4" w:space="0" w:color="000000"/>
            </w:tcBorders>
            <w:vAlign w:val="center"/>
          </w:tcPr>
          <w:p w:rsidR="00086B0F" w:rsidRPr="00DD5A3C" w:rsidP="000C7EAF">
            <w:pPr>
              <w:widowControl/>
              <w:rPr>
                <w:rFonts w:ascii="Times New Roman" w:eastAsia="仿宋_GB2312" w:hAnsi="Times New Roman" w:cs="Times New Roman"/>
                <w:kern w:val="0"/>
              </w:rPr>
            </w:pPr>
          </w:p>
        </w:tc>
      </w:tr>
    </w:tbl>
    <w:p w:rsidR="00DD5A3C" w:rsidRPr="00086B0F">
      <w:pPr>
        <w:ind w:firstLine="420" w:firstLineChars="200"/>
        <w:rPr>
          <w:rFonts w:ascii="Times New Roman" w:eastAsia="仿宋_GB2312" w:hAnsi="Times New Roman" w:cs="Times New Roman"/>
          <w:b/>
          <w:bCs/>
        </w:rPr>
      </w:pPr>
    </w:p>
    <w:p w:rsidR="006B5AA4">
      <w:pPr>
        <w:ind w:firstLine="560" w:firstLineChars="200"/>
        <w:rPr>
          <w:rFonts w:ascii="仿宋" w:eastAsia="仿宋" w:hAnsi="仿宋" w:cs="仿宋"/>
          <w:b/>
          <w:bCs/>
          <w:sz w:val="28"/>
          <w:szCs w:val="20"/>
        </w:rPr>
      </w:pPr>
      <w:r>
        <w:rPr>
          <w:rFonts w:ascii="仿宋" w:eastAsia="仿宋" w:hAnsi="仿宋" w:cs="仿宋" w:hint="eastAsia"/>
          <w:b/>
          <w:bCs/>
          <w:sz w:val="28"/>
          <w:szCs w:val="20"/>
        </w:rPr>
        <w:t>三、售后服务要求</w:t>
      </w:r>
    </w:p>
    <w:p w:rsidR="006B5AA4">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6B5AA4">
      <w:pPr>
        <w:ind w:firstLine="560" w:firstLineChars="200"/>
        <w:rPr>
          <w:rFonts w:ascii="仿宋" w:eastAsia="仿宋" w:hAnsi="仿宋" w:cs="仿宋"/>
          <w:b/>
          <w:bCs/>
          <w:sz w:val="28"/>
          <w:szCs w:val="20"/>
        </w:rPr>
      </w:pPr>
      <w:r>
        <w:rPr>
          <w:rFonts w:ascii="仿宋" w:eastAsia="仿宋" w:hAnsi="仿宋" w:cs="仿宋" w:hint="eastAsia"/>
          <w:b/>
          <w:bCs/>
          <w:sz w:val="28"/>
          <w:szCs w:val="20"/>
        </w:rPr>
        <w:t>四、培训要求</w:t>
      </w:r>
    </w:p>
    <w:p w:rsidR="006B5AA4">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w:t>
      </w:r>
      <w:r>
        <w:rPr>
          <w:rFonts w:ascii="仿宋" w:eastAsia="仿宋" w:hAnsi="仿宋" w:cs="仿宋" w:hint="eastAsia"/>
          <w:sz w:val="28"/>
          <w:szCs w:val="20"/>
        </w:rPr>
        <w:t>2</w:t>
      </w:r>
      <w:r>
        <w:rPr>
          <w:rFonts w:ascii="仿宋" w:eastAsia="仿宋" w:hAnsi="仿宋" w:cs="仿宋" w:hint="eastAsia"/>
          <w:sz w:val="28"/>
          <w:szCs w:val="20"/>
        </w:rPr>
        <w:t>年；</w:t>
      </w:r>
    </w:p>
    <w:p w:rsidR="006B5AA4">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sidR="00386EEF">
        <w:rPr>
          <w:rFonts w:ascii="仿宋" w:eastAsia="仿宋" w:hAnsi="仿宋" w:cs="仿宋" w:hint="eastAsia"/>
          <w:sz w:val="28"/>
          <w:szCs w:val="20"/>
        </w:rPr>
        <w:t>1</w:t>
      </w:r>
      <w:r>
        <w:rPr>
          <w:rFonts w:ascii="仿宋" w:eastAsia="仿宋" w:hAnsi="仿宋" w:cs="仿宋" w:hint="eastAsia"/>
          <w:sz w:val="28"/>
          <w:szCs w:val="20"/>
        </w:rPr>
        <w:t>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sidR="0023071A">
        <w:rPr>
          <w:rFonts w:ascii="仿宋" w:eastAsia="仿宋" w:hAnsi="仿宋" w:cs="仿宋" w:hint="eastAsia"/>
          <w:sz w:val="28"/>
          <w:szCs w:val="20"/>
          <w:highlight w:val="yellow"/>
        </w:rPr>
        <w:t>2</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sidR="0023071A">
        <w:rPr>
          <w:rFonts w:ascii="仿宋" w:eastAsia="仿宋" w:hAnsi="仿宋" w:cs="仿宋" w:hint="eastAsia"/>
          <w:sz w:val="28"/>
          <w:szCs w:val="20"/>
          <w:highlight w:val="yellow"/>
        </w:rPr>
        <w:t>3</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6B5AA4">
      <w:pPr>
        <w:ind w:firstLine="560" w:firstLineChars="200"/>
        <w:rPr>
          <w:rFonts w:ascii="仿宋" w:eastAsia="仿宋" w:hAnsi="仿宋" w:cs="仿宋"/>
          <w:b/>
          <w:bCs/>
          <w:sz w:val="28"/>
          <w:szCs w:val="20"/>
        </w:rPr>
      </w:pPr>
      <w:r>
        <w:rPr>
          <w:rFonts w:ascii="仿宋" w:eastAsia="仿宋" w:hAnsi="仿宋" w:cs="仿宋" w:hint="eastAsia"/>
          <w:b/>
          <w:bCs/>
          <w:sz w:val="28"/>
          <w:szCs w:val="20"/>
        </w:rPr>
        <w:t>五、交货要求及履约地点</w:t>
      </w:r>
    </w:p>
    <w:p w:rsidR="006B5AA4" w:rsidP="00A051AA">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sidRPr="00A051AA" w:rsidR="00A051AA">
        <w:rPr>
          <w:rFonts w:ascii="仿宋" w:eastAsia="仿宋" w:hAnsi="仿宋" w:cs="仿宋" w:hint="eastAsia"/>
          <w:sz w:val="28"/>
          <w:szCs w:val="20"/>
        </w:rPr>
        <w:t>湖北省</w:t>
      </w:r>
      <w:r w:rsidR="0023071A">
        <w:rPr>
          <w:rFonts w:ascii="仿宋" w:eastAsia="仿宋" w:hAnsi="仿宋" w:cs="仿宋" w:hint="eastAsia"/>
          <w:sz w:val="28"/>
          <w:szCs w:val="20"/>
        </w:rPr>
        <w:t>神农架林区松柏镇</w:t>
      </w:r>
      <w:r>
        <w:rPr>
          <w:rFonts w:ascii="仿宋" w:eastAsia="仿宋" w:hAnsi="仿宋" w:cs="仿宋" w:hint="eastAsia"/>
          <w:sz w:val="28"/>
          <w:szCs w:val="20"/>
        </w:rPr>
        <w:t>（运输相关费用由供应商负责），并负责安装调试。</w:t>
      </w:r>
    </w:p>
    <w:p w:rsidR="00A051AA" w:rsidP="00A051AA">
      <w:pPr>
        <w:ind w:firstLine="560" w:firstLineChars="200"/>
        <w:rPr>
          <w:rFonts w:ascii="仿宋" w:eastAsia="仿宋" w:hAnsi="仿宋" w:cs="仿宋"/>
          <w:sz w:val="28"/>
          <w:szCs w:val="20"/>
        </w:rPr>
      </w:pPr>
      <w:r w:rsidRPr="00A051AA">
        <w:rPr>
          <w:rFonts w:ascii="仿宋" w:eastAsia="仿宋" w:hAnsi="仿宋" w:cs="仿宋" w:hint="eastAsia"/>
          <w:sz w:val="28"/>
          <w:szCs w:val="20"/>
          <w:highlight w:val="yellow"/>
        </w:rPr>
        <w:t>合同签订后2</w:t>
      </w:r>
      <w:r w:rsidR="003F7989">
        <w:rPr>
          <w:rFonts w:ascii="仿宋" w:eastAsia="仿宋" w:hAnsi="仿宋" w:cs="仿宋" w:hint="eastAsia"/>
          <w:sz w:val="28"/>
          <w:szCs w:val="20"/>
          <w:highlight w:val="yellow"/>
        </w:rPr>
        <w:t>0</w:t>
      </w:r>
      <w:r w:rsidRPr="00A051AA">
        <w:rPr>
          <w:rFonts w:ascii="仿宋" w:eastAsia="仿宋" w:hAnsi="仿宋" w:cs="仿宋" w:hint="eastAsia"/>
          <w:sz w:val="28"/>
          <w:szCs w:val="20"/>
          <w:highlight w:val="yellow"/>
        </w:rPr>
        <w:t>0天内交货，</w:t>
      </w:r>
      <w:r w:rsidR="00386EEF">
        <w:rPr>
          <w:rFonts w:ascii="仿宋" w:eastAsia="仿宋" w:hAnsi="仿宋" w:cs="仿宋" w:hint="eastAsia"/>
          <w:sz w:val="28"/>
          <w:szCs w:val="20"/>
          <w:highlight w:val="yellow"/>
        </w:rPr>
        <w:t>交货后</w:t>
      </w:r>
      <w:r w:rsidRPr="00A051AA">
        <w:rPr>
          <w:rFonts w:ascii="仿宋" w:eastAsia="仿宋" w:hAnsi="仿宋" w:cs="仿宋" w:hint="eastAsia"/>
          <w:sz w:val="28"/>
          <w:szCs w:val="20"/>
          <w:highlight w:val="yellow"/>
        </w:rPr>
        <w:t>30天内完成安装调试并具备验收条件。</w:t>
      </w:r>
    </w:p>
    <w:p w:rsidR="006B5AA4">
      <w:pPr>
        <w:ind w:left="559" w:leftChars="266"/>
        <w:rPr>
          <w:rFonts w:ascii="仿宋" w:eastAsia="仿宋" w:hAnsi="仿宋" w:cs="仿宋"/>
          <w:b/>
          <w:bCs/>
          <w:sz w:val="28"/>
          <w:szCs w:val="20"/>
        </w:rPr>
      </w:pPr>
      <w:r>
        <w:rPr>
          <w:rFonts w:ascii="仿宋" w:eastAsia="仿宋" w:hAnsi="仿宋" w:cs="仿宋" w:hint="eastAsia"/>
          <w:b/>
          <w:bCs/>
          <w:sz w:val="28"/>
          <w:szCs w:val="20"/>
        </w:rPr>
        <w:t>六、服务团队要求</w:t>
      </w:r>
    </w:p>
    <w:p w:rsidR="006B5AA4">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个月团队人员在投标人所在公司的社保缴纳证明（投标人为新成立公司，或者有关人员为退休人员的，可提供聘用合同）。</w:t>
      </w:r>
    </w:p>
    <w:p w:rsidR="006B5AA4">
      <w:pPr>
        <w:ind w:firstLine="560" w:firstLineChars="200"/>
        <w:rPr>
          <w:rFonts w:ascii="仿宋" w:eastAsia="仿宋" w:hAnsi="仿宋" w:cs="仿宋"/>
          <w:b/>
          <w:bCs/>
          <w:sz w:val="28"/>
          <w:szCs w:val="20"/>
        </w:rPr>
      </w:pPr>
      <w:r>
        <w:rPr>
          <w:rFonts w:ascii="仿宋" w:eastAsia="仿宋" w:hAnsi="仿宋" w:cs="仿宋" w:hint="eastAsia"/>
          <w:b/>
          <w:bCs/>
          <w:sz w:val="28"/>
          <w:szCs w:val="20"/>
        </w:rPr>
        <w:t>七、投标产品软件兼容性要求</w:t>
      </w:r>
    </w:p>
    <w:p w:rsidR="006B5AA4">
      <w:pPr>
        <w:ind w:firstLine="560" w:firstLineChars="200"/>
        <w:rPr>
          <w:rFonts w:ascii="仿宋" w:eastAsia="仿宋" w:hAnsi="仿宋" w:cs="仿宋"/>
          <w:sz w:val="28"/>
          <w:szCs w:val="20"/>
        </w:rPr>
      </w:pPr>
      <w:r>
        <w:rPr>
          <w:rFonts w:ascii="仿宋" w:eastAsia="仿宋" w:hAnsi="仿宋" w:cs="仿宋" w:hint="eastAsia"/>
          <w:sz w:val="28"/>
          <w:szCs w:val="20"/>
        </w:rPr>
        <w:t>设备完全符合甲方相关要求和规范，保证其系统的兼容性和功能的完整性。</w:t>
      </w:r>
    </w:p>
    <w:p w:rsidR="00A051AA">
      <w:pPr>
        <w:ind w:firstLine="560" w:firstLineChars="200"/>
        <w:rPr>
          <w:rFonts w:ascii="仿宋" w:eastAsia="仿宋" w:hAnsi="仿宋" w:cs="仿宋"/>
          <w:b/>
          <w:bCs/>
          <w:sz w:val="28"/>
          <w:szCs w:val="20"/>
        </w:rPr>
      </w:pPr>
      <w:r>
        <w:rPr>
          <w:rFonts w:ascii="仿宋" w:eastAsia="仿宋" w:hAnsi="仿宋" w:cs="仿宋" w:hint="eastAsia"/>
          <w:b/>
          <w:bCs/>
          <w:sz w:val="28"/>
          <w:szCs w:val="20"/>
        </w:rPr>
        <w:t>八、</w:t>
      </w:r>
      <w:r>
        <w:rPr>
          <w:rFonts w:ascii="仿宋" w:eastAsia="仿宋" w:hAnsi="仿宋" w:cs="仿宋" w:hint="eastAsia"/>
          <w:b/>
          <w:bCs/>
          <w:sz w:val="28"/>
          <w:szCs w:val="20"/>
        </w:rPr>
        <w:t>质保服务</w:t>
      </w:r>
    </w:p>
    <w:p w:rsidR="00F63CDA" w:rsidRPr="00800874" w:rsidP="00F63CDA">
      <w:pPr>
        <w:spacing w:line="560" w:lineRule="exact"/>
        <w:ind w:firstLine="560" w:firstLineChars="200"/>
        <w:rPr>
          <w:rFonts w:ascii="仿宋" w:eastAsia="仿宋" w:hAnsi="仿宋" w:cs="仿宋"/>
          <w:sz w:val="28"/>
          <w:szCs w:val="20"/>
        </w:rPr>
      </w:pPr>
      <w:r w:rsidRPr="00800874">
        <w:rPr>
          <w:rFonts w:ascii="仿宋" w:eastAsia="仿宋" w:hAnsi="仿宋" w:cs="仿宋" w:hint="eastAsia"/>
          <w:sz w:val="28"/>
          <w:szCs w:val="20"/>
        </w:rPr>
        <w:t>高精度</w:t>
      </w:r>
      <w:r w:rsidRPr="0023071A" w:rsidR="0023071A">
        <w:rPr>
          <w:rFonts w:ascii="仿宋" w:eastAsia="仿宋" w:hAnsi="仿宋" w:cs="仿宋" w:hint="eastAsia"/>
          <w:sz w:val="28"/>
          <w:szCs w:val="20"/>
        </w:rPr>
        <w:t>CO2/CH4/H2O分析仪</w:t>
      </w:r>
      <w:r w:rsidRPr="0023071A" w:rsidR="0023071A">
        <w:rPr>
          <w:rFonts w:ascii="仿宋" w:eastAsia="仿宋" w:hAnsi="仿宋" w:cs="仿宋"/>
          <w:sz w:val="28"/>
          <w:szCs w:val="20"/>
        </w:rPr>
        <w:t>（离轴积分腔输出光谱法）（8年质保）</w:t>
      </w:r>
      <w:r w:rsidR="00DD5A3C">
        <w:rPr>
          <w:rFonts w:ascii="仿宋" w:eastAsia="仿宋" w:hAnsi="仿宋" w:cs="仿宋" w:hint="eastAsia"/>
          <w:sz w:val="28"/>
          <w:szCs w:val="20"/>
        </w:rPr>
        <w:t>和配套设备</w:t>
      </w:r>
      <w:r w:rsidRPr="00800874">
        <w:rPr>
          <w:rFonts w:ascii="仿宋" w:eastAsia="仿宋" w:hAnsi="仿宋" w:cs="仿宋" w:hint="eastAsia"/>
          <w:sz w:val="28"/>
          <w:szCs w:val="20"/>
        </w:rPr>
        <w:t>，从双方签署现场安装测试报告之日起开始计算质保期。</w:t>
      </w:r>
    </w:p>
    <w:p w:rsidR="00F63CDA" w:rsidRPr="00800874" w:rsidP="00F63CDA">
      <w:pPr>
        <w:spacing w:line="560" w:lineRule="exact"/>
        <w:ind w:firstLine="560" w:firstLineChars="200"/>
        <w:rPr>
          <w:rFonts w:ascii="仿宋" w:eastAsia="仿宋" w:hAnsi="仿宋" w:cs="仿宋"/>
          <w:sz w:val="28"/>
          <w:szCs w:val="20"/>
        </w:rPr>
      </w:pPr>
      <w:r w:rsidRPr="00800874">
        <w:rPr>
          <w:rFonts w:ascii="仿宋" w:eastAsia="仿宋" w:hAnsi="仿宋" w:cs="仿宋" w:hint="eastAsia"/>
          <w:sz w:val="28"/>
          <w:szCs w:val="20"/>
        </w:rPr>
        <w:t>质保期服务内容要求：</w:t>
      </w:r>
    </w:p>
    <w:p w:rsidR="00F63CDA" w:rsidRPr="00800874" w:rsidP="00F63CDA">
      <w:pPr>
        <w:spacing w:line="560" w:lineRule="exact"/>
        <w:ind w:firstLine="560" w:firstLineChars="200"/>
        <w:rPr>
          <w:rFonts w:ascii="仿宋" w:eastAsia="仿宋" w:hAnsi="仿宋" w:cs="仿宋"/>
          <w:sz w:val="28"/>
          <w:szCs w:val="20"/>
        </w:rPr>
      </w:pPr>
      <w:r w:rsidRPr="00800874">
        <w:rPr>
          <w:rFonts w:ascii="仿宋" w:eastAsia="仿宋" w:hAnsi="仿宋" w:cs="仿宋" w:hint="eastAsia"/>
          <w:sz w:val="28"/>
          <w:szCs w:val="20"/>
        </w:rPr>
        <w:t>（1）质保期内，因设备故障，投标人进行设备维修保障或更换时，需自备维修保障耗材和更换配件。</w:t>
      </w:r>
    </w:p>
    <w:p w:rsidR="00F63CDA" w:rsidRPr="00800874" w:rsidP="00F63CDA">
      <w:pPr>
        <w:spacing w:line="560" w:lineRule="exact"/>
        <w:ind w:firstLine="560" w:firstLineChars="200"/>
        <w:rPr>
          <w:rFonts w:ascii="仿宋" w:eastAsia="仿宋" w:hAnsi="仿宋" w:cs="仿宋"/>
          <w:sz w:val="28"/>
          <w:szCs w:val="20"/>
        </w:rPr>
      </w:pPr>
      <w:r w:rsidRPr="00800874">
        <w:rPr>
          <w:rFonts w:ascii="仿宋" w:eastAsia="仿宋" w:hAnsi="仿宋" w:cs="仿宋" w:hint="eastAsia"/>
          <w:sz w:val="28"/>
          <w:szCs w:val="20"/>
        </w:rPr>
        <w:t>（2）每年需进行1次现场巡检，同时需提供必要的软件升级服务。</w:t>
      </w:r>
    </w:p>
    <w:p w:rsidR="00F63CDA" w:rsidRPr="00800874" w:rsidP="00F63CDA">
      <w:pPr>
        <w:spacing w:line="560" w:lineRule="exact"/>
        <w:ind w:firstLine="560" w:firstLineChars="200"/>
        <w:rPr>
          <w:rFonts w:ascii="仿宋" w:eastAsia="仿宋" w:hAnsi="仿宋" w:cs="仿宋"/>
          <w:sz w:val="28"/>
          <w:szCs w:val="20"/>
        </w:rPr>
      </w:pPr>
      <w:r w:rsidRPr="00800874">
        <w:rPr>
          <w:rFonts w:ascii="仿宋" w:eastAsia="仿宋" w:hAnsi="仿宋" w:cs="仿宋" w:hint="eastAsia"/>
          <w:sz w:val="28"/>
          <w:szCs w:val="20"/>
        </w:rPr>
        <w:t>（3）质保期满后，仍有义务提供远程技术服务等支持。</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EF52F9">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EF52F9">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w:t>
      </w:r>
      <w:r>
        <w:rPr>
          <w:rFonts w:ascii="宋体" w:hAnsi="宋体" w:hint="eastAsia"/>
          <w:szCs w:val="21"/>
        </w:rPr>
        <w:t>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091D8D">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655D8" w:rsidRPr="005655D8" w:rsidP="005655D8">
            <w:pPr>
              <w:rPr>
                <w:sz w:val="18"/>
                <w:szCs w:val="18"/>
              </w:rPr>
            </w:pPr>
            <w:r w:rsidRPr="005655D8">
              <w:rPr>
                <w:rFonts w:hint="eastAsia"/>
                <w:sz w:val="18"/>
                <w:szCs w:val="18"/>
              </w:rPr>
              <w:t>序号</w:t>
            </w:r>
          </w:p>
        </w:tc>
        <w:tc>
          <w:tcPr>
            <w:tcW w:w="898" w:type="dxa"/>
            <w:vAlign w:val="center"/>
          </w:tcPr>
          <w:p w:rsidR="005655D8" w:rsidRPr="005655D8" w:rsidP="005655D8">
            <w:pPr>
              <w:jc w:val="center"/>
              <w:rPr>
                <w:sz w:val="18"/>
                <w:szCs w:val="18"/>
              </w:rPr>
            </w:pPr>
            <w:r w:rsidRPr="005655D8">
              <w:rPr>
                <w:rFonts w:hint="eastAsia"/>
                <w:sz w:val="18"/>
                <w:szCs w:val="18"/>
              </w:rPr>
              <w:t>对应</w:t>
            </w:r>
          </w:p>
          <w:p w:rsidR="005655D8" w:rsidRPr="005655D8" w:rsidP="005655D8">
            <w:pPr>
              <w:jc w:val="center"/>
              <w:rPr>
                <w:sz w:val="18"/>
                <w:szCs w:val="18"/>
              </w:rPr>
            </w:pPr>
            <w:r w:rsidRPr="005655D8">
              <w:rPr>
                <w:rFonts w:hint="eastAsia"/>
                <w:sz w:val="18"/>
                <w:szCs w:val="18"/>
              </w:rPr>
              <w:t>条款号</w:t>
            </w:r>
          </w:p>
        </w:tc>
        <w:tc>
          <w:tcPr>
            <w:tcW w:w="7347" w:type="dxa"/>
            <w:vAlign w:val="center"/>
          </w:tcPr>
          <w:p w:rsidR="005655D8" w:rsidRPr="005655D8" w:rsidP="005655D8">
            <w:pPr>
              <w:jc w:val="center"/>
              <w:rPr>
                <w:sz w:val="18"/>
                <w:szCs w:val="18"/>
              </w:rPr>
            </w:pPr>
            <w:r w:rsidRPr="005655D8">
              <w:rPr>
                <w:rFonts w:hint="eastAsia"/>
                <w:sz w:val="18"/>
                <w:szCs w:val="18"/>
              </w:rPr>
              <w:t>内</w:t>
            </w:r>
            <w:r w:rsidRPr="005655D8">
              <w:rPr>
                <w:rFonts w:hint="eastAsia"/>
                <w:sz w:val="18"/>
                <w:szCs w:val="18"/>
              </w:rPr>
              <w:t xml:space="preserve"> </w:t>
            </w:r>
            <w:r w:rsidRPr="005655D8">
              <w:rPr>
                <w:rFonts w:hint="eastAsia"/>
                <w:sz w:val="18"/>
                <w:szCs w:val="18"/>
              </w:rPr>
              <w:t>容</w:t>
            </w:r>
          </w:p>
        </w:tc>
      </w:tr>
      <w:tr w:rsidTr="00091D8D">
        <w:tblPrEx>
          <w:tblW w:w="8789" w:type="dxa"/>
          <w:tblLayout w:type="fixed"/>
          <w:tblLook w:val="04A0"/>
        </w:tblPrEx>
        <w:trPr>
          <w:cantSplit/>
        </w:trPr>
        <w:tc>
          <w:tcPr>
            <w:tcW w:w="8789" w:type="dxa"/>
            <w:gridSpan w:val="3"/>
            <w:vAlign w:val="center"/>
          </w:tcPr>
          <w:p w:rsidR="005655D8" w:rsidRPr="005655D8" w:rsidP="005655D8">
            <w:pPr>
              <w:jc w:val="center"/>
              <w:rPr>
                <w:b/>
                <w:sz w:val="18"/>
                <w:szCs w:val="18"/>
              </w:rPr>
            </w:pPr>
            <w:r w:rsidRPr="005655D8">
              <w:rPr>
                <w:rFonts w:hint="eastAsia"/>
                <w:b/>
                <w:sz w:val="18"/>
                <w:szCs w:val="18"/>
              </w:rPr>
              <w:t>第五章</w:t>
            </w:r>
            <w:r w:rsidRPr="005655D8">
              <w:rPr>
                <w:rFonts w:hint="eastAsia"/>
                <w:b/>
                <w:sz w:val="18"/>
                <w:szCs w:val="18"/>
              </w:rPr>
              <w:t xml:space="preserve"> </w:t>
            </w:r>
            <w:r w:rsidRPr="005655D8">
              <w:rPr>
                <w:rFonts w:hint="eastAsia"/>
                <w:b/>
                <w:sz w:val="18"/>
                <w:szCs w:val="18"/>
              </w:rPr>
              <w:t>投标人须知专用部分</w:t>
            </w:r>
          </w:p>
        </w:tc>
      </w:tr>
      <w:tr w:rsidTr="00091D8D">
        <w:tblPrEx>
          <w:tblW w:w="8789" w:type="dxa"/>
          <w:tblLayout w:type="fixed"/>
          <w:tblLook w:val="04A0"/>
        </w:tblPrEx>
        <w:trPr>
          <w:cantSplit/>
        </w:trPr>
        <w:tc>
          <w:tcPr>
            <w:tcW w:w="544" w:type="dxa"/>
            <w:vAlign w:val="center"/>
          </w:tcPr>
          <w:p w:rsidR="005655D8" w:rsidRPr="005655D8" w:rsidP="005655D8">
            <w:pPr>
              <w:numPr>
                <w:ilvl w:val="0"/>
                <w:numId w:val="15"/>
              </w:numPr>
              <w:rPr>
                <w:rFonts w:ascii="宋体" w:hAnsi="宋体"/>
                <w:sz w:val="18"/>
                <w:szCs w:val="18"/>
              </w:rPr>
            </w:pPr>
          </w:p>
        </w:tc>
        <w:tc>
          <w:tcPr>
            <w:tcW w:w="898" w:type="dxa"/>
            <w:vAlign w:val="center"/>
          </w:tcPr>
          <w:p w:rsidR="005655D8" w:rsidRPr="005655D8" w:rsidP="005655D8">
            <w:pPr>
              <w:jc w:val="center"/>
              <w:rPr>
                <w:rFonts w:ascii="宋体" w:hAnsi="宋体"/>
                <w:sz w:val="18"/>
                <w:szCs w:val="18"/>
              </w:rPr>
            </w:pPr>
          </w:p>
        </w:tc>
        <w:tc>
          <w:tcPr>
            <w:tcW w:w="7347" w:type="dxa"/>
          </w:tcPr>
          <w:p w:rsidR="005655D8" w:rsidRPr="005655D8" w:rsidP="005655D8">
            <w:pPr>
              <w:tabs>
                <w:tab w:val="left" w:pos="709"/>
              </w:tabs>
              <w:spacing w:line="360" w:lineRule="auto"/>
              <w:jc w:val="left"/>
              <w:rPr>
                <w:rFonts w:ascii="宋体" w:hAnsi="宋体" w:cs="微软雅黑"/>
                <w:b/>
                <w:color w:val="0000FF"/>
                <w:kern w:val="0"/>
                <w:sz w:val="18"/>
                <w:szCs w:val="18"/>
              </w:rPr>
            </w:pPr>
            <w:r w:rsidRPr="005655D8">
              <w:rPr>
                <w:rFonts w:ascii="宋体" w:hAnsi="宋体" w:cs="微软雅黑" w:hint="eastAsia"/>
                <w:b/>
                <w:color w:val="0000FF"/>
                <w:kern w:val="0"/>
                <w:sz w:val="18"/>
                <w:szCs w:val="18"/>
              </w:rPr>
              <w:t>无</w:t>
            </w:r>
          </w:p>
        </w:tc>
      </w:tr>
      <w:tr w:rsidTr="00091D8D">
        <w:tblPrEx>
          <w:tblW w:w="8789" w:type="dxa"/>
          <w:tblLayout w:type="fixed"/>
          <w:tblLook w:val="04A0"/>
        </w:tblPrEx>
        <w:trPr>
          <w:cantSplit/>
        </w:trPr>
        <w:tc>
          <w:tcPr>
            <w:tcW w:w="8789" w:type="dxa"/>
            <w:gridSpan w:val="3"/>
            <w:vAlign w:val="center"/>
          </w:tcPr>
          <w:p w:rsidR="005655D8" w:rsidRPr="005655D8" w:rsidP="005655D8">
            <w:pPr>
              <w:jc w:val="center"/>
              <w:rPr>
                <w:sz w:val="18"/>
                <w:szCs w:val="18"/>
              </w:rPr>
            </w:pPr>
            <w:r w:rsidRPr="005655D8">
              <w:rPr>
                <w:rFonts w:hint="eastAsia"/>
                <w:b/>
                <w:sz w:val="18"/>
                <w:szCs w:val="18"/>
              </w:rPr>
              <w:t>第七章</w:t>
            </w:r>
            <w:r w:rsidRPr="005655D8">
              <w:rPr>
                <w:rFonts w:hint="eastAsia"/>
                <w:b/>
                <w:sz w:val="18"/>
                <w:szCs w:val="18"/>
              </w:rPr>
              <w:t xml:space="preserve">  </w:t>
            </w:r>
            <w:r w:rsidRPr="005655D8">
              <w:rPr>
                <w:rFonts w:hint="eastAsia"/>
                <w:b/>
                <w:sz w:val="18"/>
                <w:szCs w:val="18"/>
              </w:rPr>
              <w:t>采购需求</w:t>
            </w:r>
          </w:p>
        </w:tc>
      </w:tr>
      <w:tr w:rsidTr="00091D8D">
        <w:tblPrEx>
          <w:tblW w:w="8789" w:type="dxa"/>
          <w:tblLayout w:type="fixed"/>
          <w:tblLook w:val="04A0"/>
        </w:tblPrEx>
        <w:trPr>
          <w:cantSplit/>
        </w:trPr>
        <w:tc>
          <w:tcPr>
            <w:tcW w:w="544" w:type="dxa"/>
            <w:vAlign w:val="center"/>
          </w:tcPr>
          <w:p w:rsidR="005655D8" w:rsidRPr="005655D8" w:rsidP="005655D8">
            <w:pPr>
              <w:numPr>
                <w:ilvl w:val="0"/>
                <w:numId w:val="15"/>
              </w:numPr>
              <w:rPr>
                <w:rFonts w:ascii="宋体" w:hAnsi="宋体"/>
                <w:sz w:val="18"/>
                <w:szCs w:val="18"/>
              </w:rPr>
            </w:pPr>
          </w:p>
        </w:tc>
        <w:tc>
          <w:tcPr>
            <w:tcW w:w="898" w:type="dxa"/>
            <w:vAlign w:val="center"/>
          </w:tcPr>
          <w:p w:rsidR="005655D8" w:rsidRPr="005655D8" w:rsidP="005655D8">
            <w:pPr>
              <w:jc w:val="center"/>
              <w:rPr>
                <w:rFonts w:ascii="宋体" w:hAnsi="宋体"/>
                <w:sz w:val="18"/>
                <w:szCs w:val="18"/>
              </w:rPr>
            </w:pPr>
            <w:r w:rsidRPr="005655D8">
              <w:rPr>
                <w:rFonts w:ascii="宋体" w:hAnsi="宋体" w:hint="eastAsia"/>
                <w:sz w:val="18"/>
                <w:szCs w:val="18"/>
              </w:rPr>
              <w:t>四、质保服务要求</w:t>
            </w:r>
          </w:p>
        </w:tc>
        <w:tc>
          <w:tcPr>
            <w:tcW w:w="7347" w:type="dxa"/>
            <w:vAlign w:val="center"/>
          </w:tcPr>
          <w:p w:rsidR="005655D8" w:rsidRPr="005655D8" w:rsidP="005655D8">
            <w:pPr>
              <w:tabs>
                <w:tab w:val="left" w:pos="709"/>
              </w:tabs>
              <w:spacing w:line="360" w:lineRule="auto"/>
              <w:jc w:val="left"/>
              <w:rPr>
                <w:rFonts w:ascii="宋体" w:hAnsi="宋体"/>
                <w:sz w:val="18"/>
                <w:szCs w:val="18"/>
              </w:rPr>
            </w:pPr>
            <w:r w:rsidRPr="005655D8">
              <w:rPr>
                <w:rFonts w:ascii="宋体" w:hAnsi="宋体" w:cs="微软雅黑" w:hint="eastAsia"/>
                <w:b/>
                <w:color w:val="0000FF"/>
                <w:kern w:val="0"/>
                <w:sz w:val="18"/>
                <w:szCs w:val="18"/>
              </w:rPr>
              <w:t>质保期：C02CH4H20分析仪(离轴积分腔输出光谱法)质保6年*，从双方签署现场安装测试报告之日起开始计算质保期。</w:t>
            </w:r>
          </w:p>
        </w:tc>
      </w:tr>
    </w:tbl>
    <w:p w:rsidR="00EF52F9">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EF52F9">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46C72">
      <w:pPr>
        <w:numPr>
          <w:ilvl w:val="0"/>
          <w:numId w:val="6"/>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146C72">
      <w:pPr>
        <w:spacing w:line="360" w:lineRule="auto"/>
        <w:ind w:left="1680" w:firstLine="420"/>
        <w:jc w:val="left"/>
        <w:rPr>
          <w:b/>
          <w:bCs/>
          <w:szCs w:val="21"/>
        </w:rPr>
      </w:pPr>
      <w:r>
        <w:rPr>
          <w:rFonts w:hint="eastAsia"/>
          <w:b/>
          <w:bCs/>
          <w:szCs w:val="21"/>
        </w:rPr>
        <w:t>必须明确合同金额支付条件及支付比例</w:t>
      </w:r>
    </w:p>
    <w:p w:rsidR="00146C72">
      <w:pPr>
        <w:pStyle w:val="BodyText"/>
        <w:spacing w:after="0"/>
        <w:jc w:val="center"/>
        <w:rPr>
          <w:rFonts w:ascii="宋体" w:hAnsi="宋体" w:cs="宋体" w:hint="eastAsia"/>
          <w:b/>
          <w:bCs/>
          <w:spacing w:val="-20"/>
          <w:kern w:val="44"/>
          <w:sz w:val="48"/>
          <w:szCs w:val="48"/>
        </w:rPr>
      </w:pPr>
      <w:r>
        <w:rPr>
          <w:b/>
          <w:bCs/>
          <w:szCs w:val="21"/>
        </w:rPr>
        <w:br w:type="page"/>
      </w:r>
      <w:bookmarkStart w:id="71" w:name="_Toc3995"/>
    </w:p>
    <w:p w:rsidR="00146C72">
      <w:pPr>
        <w:pStyle w:val="BodyText"/>
        <w:spacing w:after="0"/>
        <w:jc w:val="center"/>
        <w:rPr>
          <w:rFonts w:ascii="宋体" w:hAnsi="宋体" w:cs="宋体" w:hint="eastAsia"/>
          <w:b/>
          <w:bCs/>
          <w:spacing w:val="-20"/>
          <w:kern w:val="44"/>
          <w:sz w:val="48"/>
          <w:szCs w:val="48"/>
        </w:rPr>
      </w:pPr>
    </w:p>
    <w:p w:rsidR="00146C72">
      <w:pPr>
        <w:pStyle w:val="BodyText"/>
        <w:spacing w:after="0"/>
        <w:jc w:val="center"/>
        <w:rPr>
          <w:rFonts w:ascii="宋体" w:hAnsi="宋体" w:cs="宋体" w:hint="eastAsia"/>
          <w:b/>
          <w:bCs/>
          <w:spacing w:val="-20"/>
          <w:kern w:val="44"/>
          <w:sz w:val="48"/>
          <w:szCs w:val="48"/>
        </w:rPr>
      </w:pPr>
    </w:p>
    <w:p w:rsidR="00146C72">
      <w:pPr>
        <w:pStyle w:val="BodyText"/>
        <w:spacing w:after="0"/>
        <w:jc w:val="center"/>
        <w:rPr>
          <w:rFonts w:ascii="宋体" w:hAnsi="宋体" w:cs="宋体" w:hint="eastAsia"/>
          <w:b/>
          <w:bCs/>
          <w:spacing w:val="-20"/>
          <w:kern w:val="44"/>
          <w:sz w:val="48"/>
          <w:szCs w:val="48"/>
        </w:rPr>
      </w:pPr>
    </w:p>
    <w:p w:rsidR="00146C72">
      <w:pPr>
        <w:pStyle w:val="BodyText"/>
        <w:spacing w:after="0"/>
        <w:jc w:val="center"/>
        <w:rPr>
          <w:rFonts w:ascii="宋体" w:hAnsi="宋体" w:cs="宋体" w:hint="eastAsia"/>
          <w:b/>
          <w:bCs/>
          <w:spacing w:val="-20"/>
          <w:kern w:val="44"/>
          <w:sz w:val="48"/>
          <w:szCs w:val="48"/>
        </w:rPr>
      </w:pPr>
    </w:p>
    <w:p w:rsidR="00146C72">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146C72">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146C72">
      <w:pPr>
        <w:rPr>
          <w:rFonts w:ascii="宋体" w:hAnsi="宋体" w:cs="宋体" w:hint="eastAsia"/>
          <w:b/>
          <w:bCs/>
          <w:spacing w:val="-20"/>
          <w:kern w:val="44"/>
          <w:sz w:val="40"/>
          <w:szCs w:val="40"/>
        </w:rPr>
      </w:pPr>
    </w:p>
    <w:p w:rsidR="00146C72">
      <w:pPr>
        <w:rPr>
          <w:rFonts w:ascii="宋体" w:hAnsi="宋体" w:cs="宋体" w:hint="eastAsia"/>
          <w:b/>
          <w:bCs/>
          <w:spacing w:val="-20"/>
          <w:kern w:val="44"/>
          <w:sz w:val="40"/>
          <w:szCs w:val="40"/>
        </w:rPr>
      </w:pPr>
    </w:p>
    <w:p w:rsidR="00146C72">
      <w:pPr>
        <w:rPr>
          <w:rFonts w:ascii="宋体" w:hAnsi="宋体" w:cs="宋体" w:hint="eastAsia"/>
          <w:b/>
          <w:bCs/>
          <w:spacing w:val="-20"/>
          <w:kern w:val="44"/>
          <w:sz w:val="40"/>
          <w:szCs w:val="40"/>
        </w:rPr>
      </w:pPr>
    </w:p>
    <w:p w:rsidR="00146C72">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146C72">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146C72">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146C72">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146C72">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46C72"/>
    <w:p w:rsidR="00146C72">
      <w:pPr>
        <w:rPr>
          <w:rFonts w:eastAsia="黑体"/>
          <w:sz w:val="44"/>
          <w:szCs w:val="44"/>
        </w:rPr>
      </w:pPr>
      <w:r>
        <w:rPr>
          <w:rFonts w:eastAsia="黑体"/>
          <w:sz w:val="44"/>
          <w:szCs w:val="44"/>
        </w:rPr>
        <w:br w:type="page"/>
      </w:r>
    </w:p>
    <w:p w:rsidR="00146C72">
      <w:pPr>
        <w:rPr>
          <w:rFonts w:eastAsia="黑体"/>
          <w:sz w:val="44"/>
          <w:szCs w:val="44"/>
        </w:rPr>
      </w:pPr>
    </w:p>
    <w:p w:rsidR="00146C72">
      <w:pPr>
        <w:rPr>
          <w:rFonts w:eastAsia="黑体"/>
          <w:sz w:val="44"/>
          <w:szCs w:val="44"/>
        </w:rPr>
      </w:pPr>
    </w:p>
    <w:p w:rsidR="00146C72">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46C72">
      <w:pPr>
        <w:ind w:firstLine="640" w:firstLineChars="200"/>
        <w:rPr>
          <w:rFonts w:ascii="仿宋_GB2312" w:eastAsia="仿宋_GB2312" w:hAnsi="仿宋_GB2312" w:cs="仿宋_GB2312" w:hint="eastAsia"/>
          <w:sz w:val="32"/>
          <w:szCs w:val="32"/>
        </w:rPr>
      </w:pPr>
    </w:p>
    <w:p w:rsidR="00146C72">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146C72">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146C72">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146C72">
      <w:pPr>
        <w:rPr>
          <w:rFonts w:eastAsia="黑体"/>
          <w:sz w:val="44"/>
          <w:szCs w:val="44"/>
        </w:rPr>
        <w:sectPr>
          <w:pgSz w:w="11906" w:h="16838"/>
          <w:pgMar w:top="1440" w:right="1800" w:bottom="1440" w:left="1800" w:header="851" w:footer="992" w:gutter="0"/>
          <w:cols w:space="425"/>
          <w:docGrid w:type="lines" w:linePitch="312"/>
        </w:sectPr>
      </w:pPr>
    </w:p>
    <w:p w:rsidR="00146C72">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2" w:name="_Toc22209"/>
      <w:bookmarkEnd w:id="71"/>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rsidR="00146C72">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146C72">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146C72">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146C72">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46C72">
      <w:pPr>
        <w:spacing w:line="400" w:lineRule="exact"/>
      </w:pPr>
    </w:p>
    <w:p w:rsidR="00146C72">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146C72">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146C72">
      <w:pPr>
        <w:pStyle w:val="BodyTextIndent"/>
        <w:numPr>
          <w:ilvl w:val="0"/>
          <w:numId w:val="8"/>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rsidR="00146C72">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146C72">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46C72">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146C72">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146C72">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46C72">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146C72">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146C72">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46C72">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146C7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146C7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46C7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46C7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146C7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146C72">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146C72">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146C72">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146C72">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46C72">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46C72">
      <w:pPr>
        <w:adjustRightInd w:val="0"/>
        <w:snapToGrid w:val="0"/>
        <w:spacing w:line="400" w:lineRule="exact"/>
        <w:rPr>
          <w:rFonts w:ascii="宋体" w:hAnsi="宋体" w:hint="eastAsia"/>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46C72">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46C72">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46C72">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146C72">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146C72">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146C72">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146C72">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146C72">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146C72">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146C72">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146C72">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146C72">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146C72">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146C72">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146C72">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146C72">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46C72">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46C72">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46C72">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146C72">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46C72">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46C72">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46C72">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146C72">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146C72">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46C72">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46C72">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46C72">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146C72">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146C72">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146C72">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146C72">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146C72">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146C72">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146C72">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146C72">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146C72">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9C7BA3" w:rsidP="009C7BA3">
      <w:pPr>
        <w:adjustRightInd w:val="0"/>
        <w:snapToGrid w:val="0"/>
        <w:spacing w:line="400" w:lineRule="exact"/>
        <w:ind w:firstLine="630" w:firstLineChars="300"/>
        <w:rPr>
          <w:rFonts w:ascii="宋体" w:hAnsi="宋体" w:hint="eastAsia"/>
          <w:b/>
          <w:bCs/>
          <w:szCs w:val="21"/>
          <w:u w:val="single"/>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b/>
          <w:bCs/>
          <w:szCs w:val="21"/>
          <w:u w:val="single"/>
        </w:rPr>
        <w:t>合同签订生效后，甲方向乙方支付首付款，合同总价的</w:t>
      </w:r>
      <w:r>
        <w:rPr>
          <w:rFonts w:ascii="宋体" w:hAnsi="宋体"/>
          <w:b/>
          <w:bCs/>
          <w:szCs w:val="21"/>
          <w:u w:val="single"/>
        </w:rPr>
        <w:t>80</w:t>
      </w:r>
      <w:r>
        <w:rPr>
          <w:rFonts w:ascii="宋体" w:hAnsi="宋体" w:hint="eastAsia"/>
          <w:b/>
          <w:bCs/>
          <w:szCs w:val="21"/>
          <w:u w:val="single"/>
        </w:rPr>
        <w:t>%。设备完成验收后，甲方向乙方支付尾款，即合同总价的</w:t>
      </w:r>
      <w:r>
        <w:rPr>
          <w:rFonts w:ascii="宋体" w:hAnsi="宋体"/>
          <w:b/>
          <w:bCs/>
          <w:szCs w:val="21"/>
          <w:u w:val="single"/>
        </w:rPr>
        <w:t>20</w:t>
      </w:r>
      <w:r>
        <w:rPr>
          <w:rFonts w:ascii="宋体" w:hAnsi="宋体" w:hint="eastAsia"/>
          <w:b/>
          <w:bCs/>
          <w:szCs w:val="21"/>
          <w:u w:val="single"/>
        </w:rPr>
        <w:t xml:space="preserve">% </w:t>
      </w:r>
    </w:p>
    <w:p w:rsidR="00146C72">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146C72">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146C72">
      <w:pPr>
        <w:numPr>
          <w:ilvl w:val="0"/>
          <w:numId w:val="7"/>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146C72">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46C72">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146C72">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146C72">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146C72">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146C72">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146C72">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146C72">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146C72">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146C72">
      <w:pPr>
        <w:numPr>
          <w:ilvl w:val="0"/>
          <w:numId w:val="9"/>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146C72">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146C72">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46C7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46C7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46C7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46C7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46C72">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146C7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46C72">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46C72">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146C72">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146C72">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146C72">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146C72">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146C72">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146C72">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146C72">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146C72">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146C72">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146C72">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46C72">
      <w:pPr>
        <w:numPr>
          <w:ilvl w:val="0"/>
          <w:numId w:val="7"/>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46C72">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146C72">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146C72">
      <w:r>
        <w:rPr>
          <w:rFonts w:hint="eastAsia"/>
        </w:rPr>
        <w:br w:type="page"/>
      </w:r>
    </w:p>
    <w:p w:rsidR="00146C72">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146C72">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46C72">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46C72">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146C72">
            <w:pPr>
              <w:adjustRightInd w:val="0"/>
              <w:snapToGrid w:val="0"/>
              <w:spacing w:line="300" w:lineRule="exact"/>
              <w:jc w:val="center"/>
              <w:rPr>
                <w:szCs w:val="21"/>
              </w:rPr>
            </w:pPr>
            <w:r>
              <w:rPr>
                <w:szCs w:val="21"/>
              </w:rPr>
              <w:t>法定代表人</w:t>
            </w:r>
          </w:p>
          <w:p w:rsidR="00146C72">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46C72">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46C72">
            <w:pPr>
              <w:adjustRightInd w:val="0"/>
              <w:snapToGrid w:val="0"/>
              <w:spacing w:line="300" w:lineRule="exact"/>
              <w:jc w:val="center"/>
              <w:rPr>
                <w:szCs w:val="21"/>
              </w:rPr>
            </w:pPr>
            <w:r>
              <w:rPr>
                <w:szCs w:val="21"/>
              </w:rPr>
              <w:t>法定代表人</w:t>
            </w:r>
          </w:p>
          <w:p w:rsidR="00146C72">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46C72">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46C7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146C7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146C7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46C7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46C7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46C7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46C7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46C7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46C7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46C7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46C72">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46C72">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146C72">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146C72">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rsidR="00146C72">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146C72">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146C7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146C72">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146C72">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146C72">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146C72">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146C72">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146C72">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146C72">
      <w:pPr>
        <w:numPr>
          <w:ilvl w:val="0"/>
          <w:numId w:val="10"/>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146C72">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146C72">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146C72">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146C72">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146C72">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146C72">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146C72">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146C72">
      <w:pPr>
        <w:numPr>
          <w:ilvl w:val="0"/>
          <w:numId w:val="11"/>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146C72">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146C72">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146C72">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146C72">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146C72">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146C72">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146C72">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46C72">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146C72">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146C72">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146C7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146C72">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146C7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146C72">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146C7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146C72">
      <w:pPr>
        <w:numPr>
          <w:ilvl w:val="1"/>
          <w:numId w:val="12"/>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146C72">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146C72">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146C7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146C7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46C72">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46C72">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146C72">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146C72">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146C72">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46C72">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46C72">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46C72">
      <w:pPr>
        <w:numPr>
          <w:ilvl w:val="0"/>
          <w:numId w:val="13"/>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146C72">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146C7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146C72">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146C72">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146C7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146C72">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146C72">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46C72">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46C7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146C7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146C7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146C72">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146C72">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46C72">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146C72">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146C7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46C72">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146C72">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146C72">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146C72">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146C72">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146C72">
      <w:pPr>
        <w:pStyle w:val="AONormal"/>
        <w:ind w:firstLine="420"/>
        <w:jc w:val="both"/>
        <w:rPr>
          <w:rFonts w:ascii="宋体" w:eastAsia="宋体" w:hAnsi="宋体" w:cs="宋体" w:hint="eastAsia"/>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146C72">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146C7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146C7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146C72">
      <w:pPr>
        <w:numPr>
          <w:ilvl w:val="0"/>
          <w:numId w:val="14"/>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146C72">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146C72">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5" w:name="_Toc20313"/>
    </w:p>
    <w:p w:rsidR="00146C72">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146C72">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snapToGrid w:val="0"/>
              <w:jc w:val="center"/>
            </w:pPr>
            <w:r>
              <w:rPr>
                <w:rFonts w:ascii="宋体" w:hAnsi="宋体" w:hint="eastAsia"/>
                <w:szCs w:val="21"/>
              </w:rPr>
              <w:t>第5.4款</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snapToGrid w:val="0"/>
              <w:jc w:val="center"/>
              <w:rPr>
                <w:rFonts w:ascii="宋体" w:hAnsi="宋体" w:hint="eastAsia"/>
                <w:szCs w:val="21"/>
              </w:rPr>
            </w:pPr>
            <w:r>
              <w:rPr>
                <w:rFonts w:ascii="宋体" w:hAnsi="宋体" w:hint="eastAsia"/>
                <w:szCs w:val="21"/>
              </w:rPr>
              <w:t>第6.1款</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146C72"/>
        </w:tc>
      </w:tr>
      <w:tr>
        <w:tblPrEx>
          <w:tblW w:w="8519" w:type="dxa"/>
          <w:tblInd w:w="108" w:type="dxa"/>
          <w:tblLayout w:type="fixed"/>
          <w:tblLook w:val="04A0"/>
        </w:tblPrEx>
        <w:trPr>
          <w:trHeight w:val="667"/>
        </w:trPr>
        <w:tc>
          <w:tcPr>
            <w:tcW w:w="1607" w:type="dxa"/>
            <w:vMerge/>
            <w:vAlign w:val="center"/>
          </w:tcPr>
          <w:p w:rsidR="00146C72">
            <w:pPr>
              <w:adjustRightInd w:val="0"/>
              <w:snapToGrid w:val="0"/>
              <w:jc w:val="center"/>
              <w:rPr>
                <w:rFonts w:ascii="宋体" w:hAnsi="宋体" w:hint="eastAsia"/>
                <w:szCs w:val="21"/>
              </w:rPr>
            </w:pP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146C72"/>
        </w:tc>
      </w:tr>
      <w:tr>
        <w:tblPrEx>
          <w:tblW w:w="8519" w:type="dxa"/>
          <w:tblInd w:w="108" w:type="dxa"/>
          <w:tblLayout w:type="fixed"/>
          <w:tblLook w:val="04A0"/>
        </w:tblPrEx>
        <w:trPr>
          <w:trHeight w:val="772"/>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146C72"/>
        </w:tc>
      </w:tr>
      <w:tr>
        <w:tblPrEx>
          <w:tblW w:w="8519" w:type="dxa"/>
          <w:tblInd w:w="108" w:type="dxa"/>
          <w:tblLayout w:type="fixed"/>
          <w:tblLook w:val="04A0"/>
        </w:tblPrEx>
        <w:trPr>
          <w:trHeight w:val="667"/>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146C72"/>
        </w:tc>
      </w:tr>
      <w:tr>
        <w:tblPrEx>
          <w:tblW w:w="8519" w:type="dxa"/>
          <w:tblInd w:w="108" w:type="dxa"/>
          <w:tblLayout w:type="fixed"/>
          <w:tblLook w:val="04A0"/>
        </w:tblPrEx>
        <w:trPr>
          <w:trHeight w:val="736"/>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146C72">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货物质量缺陷</w:t>
            </w:r>
          </w:p>
          <w:p w:rsidR="00146C72">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146C72">
            <w:pPr>
              <w:snapToGrid w:val="0"/>
              <w:jc w:val="center"/>
              <w:rPr>
                <w:rFonts w:ascii="宋体" w:hAnsi="宋体" w:cs="宋体" w:hint="eastAsia"/>
                <w:szCs w:val="21"/>
              </w:rPr>
            </w:pPr>
            <w:r>
              <w:rPr>
                <w:rFonts w:ascii="宋体" w:hAnsi="宋体" w:cs="宋体" w:hint="eastAsia"/>
                <w:szCs w:val="21"/>
              </w:rPr>
              <w:t>第二节</w:t>
            </w:r>
          </w:p>
          <w:p w:rsidR="00146C72">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146C72">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146C7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146C72">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146C72">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146C72">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146C72">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46C72">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146C72">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46C72">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146C72">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146C72">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146C72">
            <w:pPr>
              <w:adjustRightInd w:val="0"/>
              <w:snapToGrid w:val="0"/>
              <w:jc w:val="center"/>
              <w:rPr>
                <w:rFonts w:ascii="宋体" w:hAnsi="宋体" w:hint="eastAsia"/>
                <w:szCs w:val="21"/>
              </w:rPr>
            </w:pPr>
            <w:r>
              <w:rPr>
                <w:rFonts w:ascii="宋体" w:hAnsi="宋体" w:hint="eastAsia"/>
                <w:szCs w:val="21"/>
              </w:rPr>
              <w:t>第二节</w:t>
            </w:r>
          </w:p>
          <w:p w:rsidR="00146C72">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146C72">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146C72">
            <w:pPr>
              <w:adjustRightInd w:val="0"/>
              <w:snapToGrid w:val="0"/>
              <w:jc w:val="left"/>
              <w:rPr>
                <w:rFonts w:ascii="宋体" w:hAnsi="宋体" w:hint="eastAsia"/>
                <w:szCs w:val="21"/>
              </w:rPr>
            </w:pPr>
          </w:p>
        </w:tc>
      </w:tr>
    </w:tbl>
    <w:p w:rsidR="00146C72"/>
    <w:p w:rsidR="00146C72">
      <w:pPr>
        <w:rPr>
          <w:b/>
          <w:bCs/>
          <w:sz w:val="44"/>
          <w:szCs w:val="44"/>
        </w:rPr>
      </w:pPr>
    </w:p>
    <w:p w:rsidR="00146C72"/>
    <w:p w:rsidR="00A77B3E"/>
    <w:p w:rsidR="00146C72">
      <w:pPr>
        <w:numPr>
          <w:ilvl w:val="0"/>
          <w:numId w:val="6"/>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0002A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53E5AC9"/>
    <w:multiLevelType w:val="multilevel"/>
    <w:tmpl w:val="653E5AC9"/>
    <w:lvl w:ilvl="0">
      <w:start w:val="1"/>
      <w:numFmt w:val="bullet"/>
      <w:lvlText w:val=""/>
      <w:lvlJc w:val="left"/>
      <w:pPr>
        <w:ind w:left="562" w:hanging="420"/>
      </w:pPr>
      <w:rPr>
        <w:rFonts w:ascii="Wingdings" w:hAnsi="Wingdings" w:hint="default"/>
      </w:rPr>
    </w:lvl>
    <w:lvl w:ilvl="1">
      <w:start w:val="1"/>
      <w:numFmt w:val="bullet"/>
      <w:lvlText w:val=""/>
      <w:lvlJc w:val="left"/>
      <w:pPr>
        <w:ind w:left="982" w:hanging="420"/>
      </w:pPr>
      <w:rPr>
        <w:rFonts w:ascii="Wingdings" w:hAnsi="Wingdings" w:hint="default"/>
      </w:rPr>
    </w:lvl>
    <w:lvl w:ilvl="2">
      <w:start w:val="1"/>
      <w:numFmt w:val="bullet"/>
      <w:lvlText w:val=""/>
      <w:lvlJc w:val="left"/>
      <w:pPr>
        <w:ind w:left="1402" w:hanging="420"/>
      </w:pPr>
      <w:rPr>
        <w:rFonts w:ascii="Wingdings" w:hAnsi="Wingdings" w:hint="default"/>
      </w:rPr>
    </w:lvl>
    <w:lvl w:ilvl="3">
      <w:start w:val="1"/>
      <w:numFmt w:val="bullet"/>
      <w:lvlText w:val=""/>
      <w:lvlJc w:val="left"/>
      <w:pPr>
        <w:ind w:left="1822" w:hanging="420"/>
      </w:pPr>
      <w:rPr>
        <w:rFonts w:ascii="Wingdings" w:hAnsi="Wingdings" w:hint="default"/>
      </w:rPr>
    </w:lvl>
    <w:lvl w:ilvl="4">
      <w:start w:val="1"/>
      <w:numFmt w:val="bullet"/>
      <w:lvlText w:val=""/>
      <w:lvlJc w:val="left"/>
      <w:pPr>
        <w:ind w:left="2242" w:hanging="420"/>
      </w:pPr>
      <w:rPr>
        <w:rFonts w:ascii="Wingdings" w:hAnsi="Wingdings" w:hint="default"/>
      </w:rPr>
    </w:lvl>
    <w:lvl w:ilvl="5">
      <w:start w:val="1"/>
      <w:numFmt w:val="bullet"/>
      <w:lvlText w:val=""/>
      <w:lvlJc w:val="left"/>
      <w:pPr>
        <w:ind w:left="2662" w:hanging="420"/>
      </w:pPr>
      <w:rPr>
        <w:rFonts w:ascii="Wingdings" w:hAnsi="Wingdings" w:hint="default"/>
      </w:rPr>
    </w:lvl>
    <w:lvl w:ilvl="6">
      <w:start w:val="1"/>
      <w:numFmt w:val="bullet"/>
      <w:lvlText w:val=""/>
      <w:lvlJc w:val="left"/>
      <w:pPr>
        <w:ind w:left="3082" w:hanging="420"/>
      </w:pPr>
      <w:rPr>
        <w:rFonts w:ascii="Wingdings" w:hAnsi="Wingdings" w:hint="default"/>
      </w:rPr>
    </w:lvl>
    <w:lvl w:ilvl="7">
      <w:start w:val="1"/>
      <w:numFmt w:val="bullet"/>
      <w:lvlText w:val=""/>
      <w:lvlJc w:val="left"/>
      <w:pPr>
        <w:ind w:left="3502" w:hanging="420"/>
      </w:pPr>
      <w:rPr>
        <w:rFonts w:ascii="Wingdings" w:hAnsi="Wingdings" w:hint="default"/>
      </w:rPr>
    </w:lvl>
    <w:lvl w:ilvl="8">
      <w:start w:val="1"/>
      <w:numFmt w:val="bullet"/>
      <w:lvlText w:val=""/>
      <w:lvlJc w:val="left"/>
      <w:pPr>
        <w:ind w:left="3922" w:hanging="420"/>
      </w:pPr>
      <w:rPr>
        <w:rFonts w:ascii="Wingdings" w:hAnsi="Wingdings" w:hint="default"/>
      </w:rPr>
    </w:lvl>
  </w:abstractNum>
  <w:abstractNum w:abstractNumId="14">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3"/>
  </w:num>
  <w:num w:numId="6">
    <w:abstractNumId w:val="12"/>
  </w:num>
  <w:num w:numId="7">
    <w:abstractNumId w:val="14"/>
  </w:num>
  <w:num w:numId="8">
    <w:abstractNumId w:val="1"/>
  </w:num>
  <w:num w:numId="9">
    <w:abstractNumId w:val="5"/>
  </w:num>
  <w:num w:numId="10">
    <w:abstractNumId w:val="3"/>
  </w:num>
  <w:num w:numId="11">
    <w:abstractNumId w:val="2"/>
  </w:num>
  <w:num w:numId="12">
    <w:abstractNumId w:val="11"/>
  </w:num>
  <w:num w:numId="13">
    <w:abstractNumId w:val="0"/>
  </w:num>
  <w:num w:numId="14">
    <w:abstractNumId w:val="4"/>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6B0F"/>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C7EAF"/>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C72"/>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71A"/>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6EEF"/>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989"/>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55D8"/>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5AA4"/>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0874"/>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C7BA3"/>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1AA"/>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0B2"/>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A3C"/>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2F9"/>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3CDA"/>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