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2025年陕西新建大气本底站（黑碳仪）项目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宝鸡市气象局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2025年陕西新建大气本底站（黑碳仪）项目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陕西省宝鸡市清姜东一路19号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2025年11月19日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宝鸡市气象局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王婷</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0917-3615302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陕西省宝鸡市清姜东一路19号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宝鸡市气象局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不允许（仅针对以下产品：黑碳仪不允许代理商投标）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（1）标的：黑碳仪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销售合同必须包括黑碳仪，每提供1份合同得1分，最多得5分。否则不得分。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针对本项目采购的黑碳仪，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针对黑碳仪设备，每提供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针对黑碳仪设备，测试报告应涵盖低温试验、高温试验、低气压试验等内容，每包含一项得1分，最多得3分。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126"/>
        <w:gridCol w:w="1095"/>
        <w:gridCol w:w="1496"/>
        <w:gridCol w:w="1706"/>
        <w:gridCol w:w="1161"/>
        <w:gridCol w:w="104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1,580,000.00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1"/>
        <w:gridCol w:w="1566"/>
        <w:gridCol w:w="755"/>
        <w:gridCol w:w="461"/>
        <w:gridCol w:w="1050"/>
        <w:gridCol w:w="875"/>
        <w:gridCol w:w="1935"/>
        <w:gridCol w:w="14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宝鸡市局(001055031)</w:t>
            </w:r>
          </w:p>
        </w:tc>
        <w:tc>
          <w:tcPr/>
          <w:p>
            <w:r>
              <w:t>黑碳仪</w:t>
            </w:r>
          </w:p>
        </w:tc>
        <w:tc>
          <w:tcPr/>
          <w:p>
            <w:r>
              <w:t>1</w:t>
            </w:r>
          </w:p>
        </w:tc>
        <w:tc>
          <w:tcPr/>
          <w:p>
            <w:r>
              <w:t>1580000.00</w:t>
            </w:r>
          </w:p>
        </w:tc>
        <w:tc>
          <w:tcPr/>
          <w:p>
            <w:r>
              <w:t xml:space="preserve">1580000.00  </w:t>
            </w:r>
          </w:p>
        </w:tc>
        <w:tc>
          <w:tcPr/>
          <w:p>
            <w:r>
              <w:t>陕西省宝鸡市太白县气象局</w:t>
            </w:r>
          </w:p>
        </w:tc>
        <w:tc>
          <w:tcPr/>
          <w:p>
            <w:r>
              <w:t>杨林刚18291766103</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w:t>
      </w:r>
      <w:r>
        <w:rPr>
          <w:rFonts w:ascii="仿宋" w:eastAsia="仿宋" w:hAnsi="仿宋" w:cs="仿宋" w:hint="eastAsia"/>
          <w:sz w:val="28"/>
          <w:szCs w:val="20"/>
          <w:lang w:val="en-US" w:eastAsia="zh-CN"/>
        </w:rPr>
        <w:t>陕西宝鸡秦岭</w:t>
      </w:r>
      <w:r>
        <w:rPr>
          <w:rFonts w:ascii="仿宋" w:eastAsia="仿宋" w:hAnsi="仿宋" w:cs="仿宋" w:hint="eastAsia"/>
          <w:color w:val="000000" w:themeColor="text1"/>
          <w:sz w:val="28"/>
          <w:szCs w:val="20"/>
          <w:lang w:val="en-US" w:eastAsia="zh-CN"/>
        </w:rPr>
        <w:t>大气本底站</w:t>
      </w:r>
      <w:r>
        <w:rPr>
          <w:rFonts w:ascii="仿宋" w:eastAsia="仿宋" w:hAnsi="仿宋" w:cs="仿宋" w:hint="eastAsia"/>
          <w:sz w:val="28"/>
          <w:szCs w:val="20"/>
        </w:rPr>
        <w:t>建设一套黑碳仪设备。黑碳仪主要用于测量环境大气中吸收性碳气溶胶的质量浓度，建成将提升</w:t>
      </w:r>
      <w:r>
        <w:rPr>
          <w:rFonts w:ascii="仿宋" w:eastAsia="仿宋" w:hAnsi="仿宋" w:cs="仿宋" w:hint="eastAsia"/>
          <w:sz w:val="28"/>
          <w:szCs w:val="20"/>
          <w:lang w:val="en-US" w:eastAsia="zh-CN"/>
        </w:rPr>
        <w:t>秦岭区域</w:t>
      </w:r>
      <w:r>
        <w:rPr>
          <w:rFonts w:ascii="仿宋" w:eastAsia="仿宋" w:hAnsi="仿宋" w:cs="仿宋" w:hint="eastAsia"/>
          <w:sz w:val="28"/>
          <w:szCs w:val="20"/>
        </w:rPr>
        <w:t>的大气本底观测能力，为应对气候变化、促进减少温室气体排放、治理大气污染和保护生态环境等提供基础支撑，保障生态文明建设和“双碳”目标实现。</w:t>
      </w:r>
      <w:r>
        <w:rPr>
          <w:rFonts w:ascii="仿宋" w:eastAsia="仿宋" w:hAnsi="仿宋" w:cs="仿宋" w:hint="eastAsia"/>
          <w:sz w:val="28"/>
          <w:szCs w:val="20"/>
          <w:lang w:val="en-US" w:eastAsia="zh-CN"/>
        </w:rPr>
        <w:t>并包含</w:t>
      </w:r>
      <w:r>
        <w:rPr>
          <w:rFonts w:ascii="仿宋" w:eastAsia="仿宋" w:hAnsi="仿宋" w:cs="仿宋" w:hint="eastAsia"/>
          <w:sz w:val="28"/>
          <w:szCs w:val="20"/>
        </w:rPr>
        <w:t>1套</w:t>
      </w:r>
      <w:r>
        <w:rPr>
          <w:rFonts w:ascii="仿宋" w:eastAsia="仿宋" w:hAnsi="仿宋" w:cs="仿宋" w:hint="eastAsia"/>
          <w:sz w:val="28"/>
          <w:szCs w:val="20"/>
          <w:lang w:val="en-US" w:eastAsia="zh-CN"/>
        </w:rPr>
        <w:t>设备</w:t>
      </w:r>
      <w:r>
        <w:rPr>
          <w:rFonts w:ascii="仿宋" w:eastAsia="仿宋" w:hAnsi="仿宋" w:cs="仿宋" w:hint="eastAsia"/>
          <w:sz w:val="28"/>
          <w:szCs w:val="20"/>
        </w:rPr>
        <w:t>方舱（8年质保）和1台套UPS及</w:t>
      </w:r>
      <w:r>
        <w:rPr>
          <w:rFonts w:ascii="仿宋" w:eastAsia="仿宋" w:hAnsi="仿宋" w:cs="仿宋" w:hint="eastAsia"/>
          <w:sz w:val="28"/>
          <w:szCs w:val="20"/>
          <w:lang w:val="en-US" w:eastAsia="zh-CN"/>
        </w:rPr>
        <w:t>UPS</w:t>
      </w:r>
      <w:r>
        <w:rPr>
          <w:rFonts w:ascii="仿宋" w:eastAsia="仿宋" w:hAnsi="仿宋" w:cs="仿宋" w:hint="eastAsia"/>
          <w:sz w:val="28"/>
          <w:szCs w:val="20"/>
        </w:rPr>
        <w:t>方舱（8年质保）。</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陕西省宝鸡市太白县气象局</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w:t>
      </w:r>
      <w:r>
        <w:rPr>
          <w:rFonts w:ascii="仿宋" w:eastAsia="仿宋" w:hAnsi="仿宋" w:cs="仿宋" w:hint="eastAsia"/>
          <w:sz w:val="28"/>
          <w:szCs w:val="20"/>
          <w:lang w:eastAsia="zh-CN"/>
        </w:rPr>
        <w:t>。</w:t>
      </w:r>
      <w:r>
        <w:rPr>
          <w:rFonts w:ascii="仿宋" w:eastAsia="仿宋" w:hAnsi="仿宋" w:cs="仿宋" w:hint="eastAsia"/>
          <w:sz w:val="28"/>
          <w:szCs w:val="20"/>
        </w:rPr>
        <w:br/>
      </w:r>
      <w:r>
        <w:rPr>
          <w:rFonts w:ascii="仿宋" w:eastAsia="仿宋" w:hAnsi="仿宋" w:cs="仿宋" w:hint="eastAsia"/>
          <w:sz w:val="28"/>
          <w:szCs w:val="20"/>
          <w:lang w:val="en-US" w:eastAsia="zh-CN"/>
        </w:rPr>
        <w:t xml:space="preserve">    </w:t>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p>
    <w:p>
      <w:pPr>
        <w:numPr>
          <w:ilvl w:val="0"/>
          <w:numId w:val="7"/>
        </w:num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方舱及UPS要求</w:t>
      </w:r>
    </w:p>
    <w:p>
      <w:pPr>
        <w:spacing w:line="560" w:lineRule="exact"/>
        <w:ind w:firstLine="560" w:firstLineChars="200"/>
        <w:rPr>
          <w:rFonts w:ascii="仿宋" w:eastAsia="仿宋" w:hAnsi="仿宋" w:cs="仿宋" w:hint="eastAsia"/>
          <w:b/>
          <w:sz w:val="28"/>
          <w:szCs w:val="20"/>
        </w:rPr>
      </w:pPr>
      <w:r>
        <w:rPr>
          <w:rFonts w:ascii="仿宋" w:eastAsia="仿宋" w:hAnsi="仿宋" w:cs="仿宋" w:hint="eastAsia"/>
          <w:b/>
          <w:sz w:val="28"/>
          <w:szCs w:val="20"/>
          <w:lang w:val="en-US" w:eastAsia="zh-CN"/>
        </w:rPr>
        <w:t>（一）设备</w:t>
      </w:r>
      <w:r>
        <w:rPr>
          <w:rFonts w:ascii="仿宋" w:eastAsia="仿宋" w:hAnsi="仿宋" w:cs="仿宋" w:hint="eastAsia"/>
          <w:b/>
          <w:sz w:val="28"/>
          <w:szCs w:val="20"/>
        </w:rPr>
        <w:t>方舱（8年质保）</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1）主要用于安装观测系统，面积能保证观测仪器设备的安装、运行以及操作等，并预留一定的仪器检修、校准和未来发展的空间；面积为21m</w:t>
      </w:r>
      <w:r>
        <w:rPr>
          <w:rFonts w:ascii="仿宋" w:eastAsia="仿宋" w:hAnsi="仿宋" w:cs="仿宋" w:hint="eastAsia"/>
          <w:sz w:val="28"/>
          <w:szCs w:val="20"/>
          <w:vertAlign w:val="superscript"/>
        </w:rPr>
        <w:t>2</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2）入口处宜设有缓冲区域或空间，以保持温度和湿度的稳定，防止灰尘和泥土直接带入观测室。</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3）内地面、墙壁、顶棚应采用不易起尘的环保材料。不受强震动、强电磁辐射的干扰。</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4）室内环境应保持整洁，室内温度、湿度按照仪器运行的环境要求保持相对稳定，取暖采用空调或电暖气设备。根据当地的环境特点，采取适当的防虫措施。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5）安装温湿度控制设备，使室内温度能控制在25℃±5℃（如使用色谱法环境温度波动≤±2℃），相对湿度控制在60％以下。</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6）具有良好的通风条件和排风设施，以保持室内空气清洁。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7）根据观测项目的技术要求，可预先在观测室顶部及侧壁的适当位置预留管线孔洞。</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8）设有可靠的网络、通讯和电话传输线路等。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9）配备专门的消防设施和器材，对危险物品配备监控装置和设施。</w:t>
      </w:r>
    </w:p>
    <w:p>
      <w:pPr>
        <w:spacing w:line="560" w:lineRule="exact"/>
        <w:ind w:firstLine="560" w:firstLineChars="200"/>
        <w:rPr>
          <w:rFonts w:ascii="仿宋" w:eastAsia="仿宋" w:hAnsi="仿宋" w:cs="仿宋" w:hint="eastAsia"/>
          <w:b/>
          <w:sz w:val="28"/>
          <w:szCs w:val="20"/>
        </w:rPr>
      </w:pPr>
      <w:r>
        <w:rPr>
          <w:rFonts w:ascii="仿宋" w:eastAsia="仿宋" w:hAnsi="仿宋" w:cs="仿宋" w:hint="eastAsia"/>
          <w:b/>
          <w:sz w:val="28"/>
          <w:szCs w:val="20"/>
          <w:lang w:val="en-US" w:eastAsia="zh-CN"/>
        </w:rPr>
        <w:t>（二）</w:t>
      </w:r>
      <w:r>
        <w:rPr>
          <w:rFonts w:ascii="仿宋" w:eastAsia="仿宋" w:hAnsi="仿宋" w:cs="仿宋" w:hint="eastAsia"/>
          <w:b/>
          <w:sz w:val="28"/>
          <w:szCs w:val="20"/>
        </w:rPr>
        <w:t>UPS</w:t>
      </w:r>
      <w:r>
        <w:rPr>
          <w:rFonts w:ascii="仿宋" w:eastAsia="仿宋" w:hAnsi="仿宋" w:cs="仿宋" w:hint="eastAsia"/>
          <w:b/>
          <w:sz w:val="28"/>
          <w:szCs w:val="20"/>
          <w:lang w:val="en-US" w:eastAsia="zh-CN"/>
        </w:rPr>
        <w:t>与配套</w:t>
      </w:r>
      <w:r>
        <w:rPr>
          <w:rFonts w:ascii="仿宋" w:eastAsia="仿宋" w:hAnsi="仿宋" w:cs="仿宋" w:hint="eastAsia"/>
          <w:b/>
          <w:sz w:val="28"/>
          <w:szCs w:val="20"/>
        </w:rPr>
        <w:t>方舱（8年质保）</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主机：80KW，蓄电池：12V100AH/块*96块*3个电池柜，方舱：</w:t>
      </w:r>
      <w:r>
        <w:rPr>
          <w:rFonts w:ascii="仿宋" w:eastAsia="仿宋" w:hAnsi="仿宋" w:cs="仿宋" w:hint="eastAsia"/>
          <w:sz w:val="28"/>
          <w:szCs w:val="20"/>
          <w:lang w:val="en-US" w:eastAsia="zh-CN"/>
        </w:rPr>
        <w:t>21</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b/>
          <w:bCs/>
          <w:sz w:val="28"/>
          <w:szCs w:val="20"/>
          <w:lang w:val="en-US" w:eastAsia="zh-CN"/>
        </w:rPr>
        <w:t>八</w:t>
      </w:r>
      <w:r>
        <w:rPr>
          <w:rFonts w:ascii="仿宋" w:eastAsia="仿宋" w:hAnsi="仿宋" w:cs="仿宋" w:hint="eastAsia"/>
          <w:b/>
          <w:bCs/>
          <w:sz w:val="28"/>
          <w:szCs w:val="20"/>
        </w:rPr>
        <w:t>、其他</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供应商为本项目设立专业团队，负责项目中全部设备的安装、调试、故障排除和质保期内的其他相关工作。其中供应商应确保团队的稳定性和专业性，项目经理应具有必要的项目管理经验。</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供应商提供完善的售后服务方案，服务方案包含不限于现场服务方案和远程技术指导方案等。</w:t>
      </w:r>
    </w:p>
    <w:p>
      <w:pPr>
        <w:widowControl/>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rPr>
        <w:t>供应商向采购单位提供整套设备技术资料和用于维护使用的维护手册，含性能指标、系统构成等详细的维修内容。</w:t>
      </w:r>
    </w:p>
    <w:p>
      <w:pPr>
        <w:widowControl/>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sz w:val="28"/>
          <w:szCs w:val="20"/>
        </w:rPr>
        <w:t>*质保期：8年。供应商需对质保期（保内、保外）政策进行阐述或承诺，列明有偿服务和无偿服务内容。</w:t>
      </w:r>
      <w:r>
        <w:rPr>
          <w:rFonts w:ascii="仿宋" w:eastAsia="仿宋" w:hAnsi="仿宋" w:cs="仿宋" w:hint="eastAsia"/>
          <w:sz w:val="28"/>
          <w:szCs w:val="20"/>
          <w:highlight w:val="green"/>
        </w:rPr>
        <w:t>质保期内，每年需进行2次远程巡检（须向采购人提供纸质材料），同时需提供必要的软件升级服务。</w:t>
      </w:r>
    </w:p>
    <w:p>
      <w:pPr>
        <w:spacing w:line="560" w:lineRule="exact"/>
        <w:ind w:firstLine="560" w:firstLineChars="200"/>
        <w:rPr>
          <w:rFonts w:ascii="仿宋" w:eastAsia="仿宋" w:hAnsi="仿宋" w:cs="仿宋" w:hint="eastAsia"/>
          <w:sz w:val="28"/>
          <w:szCs w:val="20"/>
        </w:rPr>
      </w:pPr>
    </w:p>
    <w:p>
      <w:pPr>
        <w:numPr>
          <w:ilvl w:val="0"/>
          <w:numId w:val="0"/>
        </w:numPr>
        <w:rPr>
          <w:rFonts w:ascii="仿宋" w:eastAsia="仿宋" w:hAnsi="仿宋" w:cs="仿宋"/>
          <w:sz w:val="28"/>
          <w:szCs w:val="20"/>
        </w:rPr>
      </w:pPr>
      <w:r>
        <w:rPr>
          <w:rFonts w:ascii="仿宋" w:eastAsia="仿宋" w:hAnsi="仿宋" w:cs="仿宋" w:hint="eastAsia"/>
          <w:sz w:val="28"/>
          <w:szCs w:val="20"/>
        </w:rPr>
        <w:br/>
      </w:r>
      <w:r>
        <w:rPr>
          <w:rFonts w:ascii="仿宋" w:eastAsia="仿宋" w:hAnsi="仿宋" w:cs="仿宋" w:hint="eastAsia"/>
          <w:sz w:val="28"/>
          <w:szCs w:val="20"/>
        </w:rPr>
        <w:t xml:space="preserve">    </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w:t>
            </w:r>
            <w:r>
              <w:rPr>
                <w:rFonts w:ascii="宋体" w:hAnsi="宋体" w:cs="微软雅黑" w:hint="eastAsia"/>
                <w:b/>
                <w:color w:val="0000FF"/>
                <w:kern w:val="0"/>
                <w:sz w:val="18"/>
                <w:szCs w:val="18"/>
                <w:highlight w:val="none"/>
                <w:lang w:eastAsia="zh-CN"/>
              </w:rPr>
              <w:t>。</w:t>
            </w:r>
            <w:r>
              <w:rPr>
                <w:rFonts w:ascii="Times New Roman" w:eastAsia="宋体" w:hAnsi="Times New Roman" w:cs="Times New Roman" w:hint="eastAsia"/>
                <w:sz w:val="18"/>
                <w:szCs w:val="18"/>
                <w:lang w:val="en-US" w:eastAsia="zh-CN"/>
              </w:rPr>
              <w:t>供应商需对质保期（保内、保外）政策进行阐述或承诺，列明有偿服务和无偿服务内容。</w:t>
            </w:r>
            <w:r>
              <w:rPr>
                <w:rFonts w:ascii="Times New Roman" w:eastAsia="宋体" w:hAnsi="Times New Roman" w:cs="Times New Roman" w:hint="eastAsia"/>
                <w:sz w:val="18"/>
                <w:szCs w:val="18"/>
                <w:highlight w:val="green"/>
                <w:lang w:val="en-US" w:eastAsia="zh-CN"/>
              </w:rPr>
              <w:t>质保期内，每年需进行2次远程巡检（须向采购人提供纸质材料），同时需提供必要的软件升级服务。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color w:val="auto"/>
          <w:szCs w:val="21"/>
          <w:highlight w:val="none"/>
          <w:u w:val="single"/>
        </w:rPr>
        <w:t>合同生效后付款:双方签署合同后30个工作日内，甲方向乙方支付合同总金额的 90%，到货、检验后付款:双方签署验收报告后30个工作日内，甲方向乙方支付合同总金额的 10%。</w:t>
      </w:r>
      <w:r>
        <w:rPr>
          <w:rFonts w:ascii="宋体" w:hAnsi="宋体" w:hint="eastAsia"/>
          <w:color w:val="auto"/>
          <w:szCs w:val="21"/>
          <w:highlight w:val="none"/>
        </w:rPr>
        <w:t>，其中涉及预付款的：</w:t>
      </w:r>
      <w:r>
        <w:rPr>
          <w:rFonts w:ascii="宋体" w:hAnsi="宋体" w:hint="eastAsia"/>
          <w:color w:val="auto"/>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FE"/>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8"/>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B99DCBC"/>
    <w:multiLevelType w:val="singleLevel"/>
    <w:tmpl w:val="0B99DCBC"/>
    <w:lvl w:ilvl="0">
      <w:start w:val="7"/>
      <w:numFmt w:val="chineseCounting"/>
      <w:suff w:val="nothing"/>
      <w:lvlText w:val="%1、"/>
      <w:lvlJc w:val="left"/>
      <w:rPr>
        <w:rFonts w:hint="eastAsia"/>
      </w:rPr>
    </w:lvl>
  </w:abstractNum>
  <w:abstractNum w:abstractNumId="10">
    <w:nsid w:val="132D801A"/>
    <w:multiLevelType w:val="singleLevel"/>
    <w:tmpl w:val="132D801A"/>
    <w:lvl w:ilvl="0">
      <w:start w:val="1"/>
      <w:numFmt w:val="decimal"/>
      <w:suff w:val="nothing"/>
      <w:lvlText w:val="（%1）"/>
      <w:lvlJc w:val="left"/>
    </w:lvl>
  </w:abstractNum>
  <w:abstractNum w:abstractNumId="11">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0"/>
  </w:num>
  <w:num w:numId="6">
    <w:abstractNumId w:val="15"/>
  </w:num>
  <w:num w:numId="7">
    <w:abstractNumId w:val="9"/>
  </w:num>
  <w:num w:numId="8">
    <w:abstractNumId w:val="14"/>
  </w:num>
  <w:num w:numId="9">
    <w:abstractNumId w:val="16"/>
  </w:num>
  <w:num w:numId="10">
    <w:abstractNumId w:val="1"/>
  </w:num>
  <w:num w:numId="11">
    <w:abstractNumId w:val="5"/>
  </w:num>
  <w:num w:numId="12">
    <w:abstractNumId w:val="3"/>
  </w:num>
  <w:num w:numId="13">
    <w:abstractNumId w:val="2"/>
  </w:num>
  <w:num w:numId="14">
    <w:abstractNumId w:val="13"/>
  </w:num>
  <w:num w:numId="15">
    <w:abstractNumId w:val="0"/>
  </w:num>
  <w:num w:numId="16">
    <w:abstractNumId w:val="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