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2025年山西省临汾市新一代天气雷达生物识别升级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ZQCD-25299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山西省临汾市气象局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2025年山西省临汾市新一代天气雷达生物识别升级</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ZQCD-25299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山西省临汾市气象局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2025年09月29日 00:00:00</w:t>
      </w:r>
      <w:bookmarkEnd w:id="26"/>
      <w:r>
        <w:rPr>
          <w:rFonts w:ascii="宋体" w:hint="eastAsia"/>
          <w:szCs w:val="21"/>
          <w:highlight w:val="none"/>
        </w:rPr>
        <w:t>至</w:t>
      </w:r>
      <w:bookmarkStart w:id="27" w:name="项目公告_signUpLastTime"/>
      <w:r>
        <w:rPr>
          <w:rFonts w:ascii="宋体" w:hint="eastAsia"/>
          <w:szCs w:val="21"/>
          <w:highlight w:val="none"/>
        </w:rPr>
        <w:t>2025年10月13日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2025年10月22日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山西省临汾市气象局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薛双青</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0357-2518908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山西省临汾市鼓楼南大街235号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山西省临汾市气象局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 xml:space="preserve">  其它未列明行业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170.500000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170.500000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销售合同必须包括生物识别相关功能，每提供1份合同得1分，最多得5分。否则不得分。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针对本项目采购的天气雷达空中生态监测系统，承诺每提前10天交货的得0.5分，最多得1分。否则不得分。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针对天气雷达空中生态监测系统，每提供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针对天气雷达空中生态监测系统，测试报告应涵盖低温试验、高温试验、连续运行实验等内容，每包含一项得1分，最多得3分。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目概况及总体要求</w:t>
      </w:r>
      <w:r>
        <w:rPr>
          <w:rFonts w:eastAsia="仿宋" w:hint="eastAsia"/>
          <w:sz w:val="28"/>
          <w:szCs w:val="20"/>
          <w:highlight w:val="yellow"/>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p>
      <w:pPr>
        <w:spacing w:line="560" w:lineRule="exact"/>
        <w:ind w:firstLine="560" w:firstLineChars="200"/>
        <w:rPr>
          <w:rFonts w:eastAsia="仿宋_GB2312"/>
          <w:sz w:val="28"/>
          <w:szCs w:val="20"/>
        </w:rPr>
      </w:pPr>
      <w:r>
        <w:rPr>
          <w:rFonts w:eastAsia="仿宋_GB2312"/>
          <w:sz w:val="28"/>
          <w:szCs w:val="22"/>
        </w:rPr>
        <w:t>S/C波段虫鸟精细监测边缘计算平台应用谱分析技术实时处理天气雷达IQ数据，运行生物特征识别算法区分鸟类和昆虫目标，自动生成鸟类飞行模态分析及虫群活动监测报告。支持智能产品配置，可针对性地输出鸟类迁徙轨迹、昆虫种群密度等专业监测数据，并提供完整的数据记录、回放与报告生成功能，实现虫鸟活动的全周期跟踪与分析。</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4"/>
              </w:numPr>
              <w:ind w:left="0" w:firstLine="0" w:firstLineChars="0"/>
              <w:rPr>
                <w:rFonts w:ascii="Times New Roman" w:eastAsia="仿宋" w:hAnsi="Times New Roman"/>
                <w:sz w:val="24"/>
                <w:szCs w:val="24"/>
              </w:rPr>
            </w:pPr>
          </w:p>
        </w:tc>
        <w:tc>
          <w:tcPr>
            <w:tcW w:w="1384" w:type="dxa"/>
            <w:vAlign w:val="center"/>
          </w:tcPr>
          <w:p>
            <w:pPr>
              <w:rPr>
                <w:rFonts w:eastAsia="仿宋"/>
              </w:rPr>
            </w:pPr>
            <w:r>
              <w:rPr>
                <w:rFonts w:eastAsia="仿宋"/>
                <w:sz w:val="24"/>
              </w:rPr>
              <w:t>S/C波段虫鸟精细监测边缘计算平台</w:t>
            </w:r>
          </w:p>
        </w:tc>
        <w:tc>
          <w:tcPr>
            <w:tcW w:w="7229" w:type="dxa"/>
            <w:vAlign w:val="center"/>
          </w:tcPr>
          <w:p>
            <w:pPr>
              <w:rPr>
                <w:rFonts w:eastAsia="仿宋"/>
                <w:b/>
                <w:bCs/>
                <w:sz w:val="28"/>
                <w:szCs w:val="28"/>
              </w:rPr>
            </w:pPr>
            <w:bookmarkStart w:id="61" w:name="_Toc191481514"/>
            <w:r>
              <w:rPr>
                <w:rFonts w:eastAsia="仿宋"/>
                <w:b/>
                <w:bCs/>
                <w:sz w:val="28"/>
                <w:szCs w:val="28"/>
              </w:rPr>
              <w:t>（一）平台指标要求：</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适配气象雷达体积覆盖模式21（VCP21），且支持扫描模式≥4种，含连续监测模态(CS)、连续多普勒模态(CD)、交替取样(batch)、不考虑折叠的连续多普勒模态(CDX)；</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目标可识别类型能力，可识别的目标类别不少于三类含鸟类、虫类、气象目标；</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整体生物识别准确率≥80%；</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虫鸟分类准确率≥75%；</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IQ数据解析时间</w:t>
            </w:r>
            <w:r>
              <w:rPr>
                <w:rFonts w:ascii="Cambria Math" w:eastAsia="仿宋" w:hAnsi="Cambria Math" w:cs="Cambria Math"/>
                <w:sz w:val="28"/>
                <w:szCs w:val="28"/>
                <w:highlight w:val="yellow"/>
              </w:rPr>
              <w:t>⩽</w:t>
            </w:r>
            <w:r>
              <w:rPr>
                <w:rFonts w:eastAsia="仿宋"/>
                <w:sz w:val="28"/>
                <w:szCs w:val="28"/>
                <w:highlight w:val="yellow"/>
              </w:rPr>
              <w:t>2s；</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单次扫描结果处理时间</w:t>
            </w:r>
            <w:r>
              <w:rPr>
                <w:rFonts w:ascii="Cambria Math" w:eastAsia="仿宋" w:hAnsi="Cambria Math" w:cs="Cambria Math"/>
                <w:sz w:val="28"/>
                <w:szCs w:val="28"/>
                <w:highlight w:val="yellow"/>
              </w:rPr>
              <w:t>⩽</w:t>
            </w:r>
            <w:r>
              <w:rPr>
                <w:rFonts w:eastAsia="仿宋"/>
                <w:sz w:val="28"/>
                <w:szCs w:val="28"/>
                <w:highlight w:val="yellow"/>
              </w:rPr>
              <w:t>3s；</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生物监测产品能力：</w:t>
            </w:r>
          </w:p>
          <w:p>
            <w:pPr>
              <w:numPr>
                <w:ilvl w:val="0"/>
                <w:numId w:val="6"/>
              </w:numPr>
              <w:rPr>
                <w:rFonts w:eastAsia="仿宋"/>
                <w:sz w:val="28"/>
                <w:szCs w:val="28"/>
                <w:highlight w:val="yellow"/>
              </w:rPr>
            </w:pPr>
            <w:r>
              <w:rPr>
                <w:rFonts w:eastAsia="仿宋"/>
                <w:sz w:val="28"/>
                <w:szCs w:val="28"/>
                <w:highlight w:val="yellow"/>
              </w:rPr>
              <w:t>支持的生物监测产品（虫/鸟）不少于六种。</w:t>
            </w:r>
          </w:p>
          <w:p>
            <w:pPr>
              <w:numPr>
                <w:ilvl w:val="0"/>
                <w:numId w:val="6"/>
              </w:numPr>
              <w:rPr>
                <w:rFonts w:eastAsia="仿宋"/>
                <w:sz w:val="28"/>
                <w:szCs w:val="28"/>
                <w:highlight w:val="yellow"/>
              </w:rPr>
            </w:pPr>
            <w:r>
              <w:rPr>
                <w:rFonts w:eastAsia="仿宋"/>
                <w:sz w:val="28"/>
                <w:szCs w:val="28"/>
                <w:highlight w:val="yellow"/>
              </w:rPr>
              <w:t>可识别的鸟类飞行模态不少于两种。</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杂波抑制性能：可抑制的杂波类型不少于三类，含电磁杂波、风电杂波、地杂波。杂波抑制比≥25dB、地杂波抑制率≥85%。</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谱估计性能：支持的谱估计参数类别不少于六类（反射率因子、径向速度、速度谱宽、差分反射率、差分传播相移、相关系数）。</w:t>
            </w:r>
          </w:p>
          <w:p>
            <w:pPr>
              <w:numPr>
                <w:ilvl w:val="0"/>
                <w:numId w:val="5"/>
              </w:numPr>
              <w:rPr>
                <w:rFonts w:eastAsia="仿宋"/>
                <w:b/>
                <w:bCs/>
                <w:sz w:val="28"/>
                <w:szCs w:val="28"/>
                <w:highlight w:val="yellow"/>
              </w:rPr>
            </w:pPr>
            <w:r>
              <w:rPr>
                <w:rFonts w:eastAsia="仿宋"/>
                <w:kern w:val="0"/>
                <w:sz w:val="24"/>
                <w:highlight w:val="yellow"/>
              </w:rPr>
              <w:t>#</w:t>
            </w:r>
            <w:r>
              <w:rPr>
                <w:rFonts w:eastAsia="仿宋"/>
                <w:sz w:val="28"/>
                <w:szCs w:val="28"/>
                <w:highlight w:val="yellow"/>
              </w:rPr>
              <w:t>生物信息特征分析能力：可提取的生物信息特征不少于十六种（如谱极化参数特征、纹理特征、统计特征等）。</w:t>
            </w:r>
          </w:p>
          <w:p>
            <w:pPr>
              <w:rPr>
                <w:rFonts w:eastAsia="仿宋"/>
                <w:b/>
                <w:bCs/>
                <w:sz w:val="28"/>
                <w:szCs w:val="28"/>
              </w:rPr>
            </w:pPr>
            <w:r>
              <w:rPr>
                <w:rFonts w:eastAsia="仿宋"/>
                <w:b/>
                <w:bCs/>
                <w:sz w:val="28"/>
                <w:szCs w:val="28"/>
              </w:rPr>
              <w:t>（二）各分模块指标要求</w:t>
            </w:r>
            <w:bookmarkEnd w:id="61"/>
          </w:p>
          <w:p>
            <w:pPr>
              <w:rPr>
                <w:rFonts w:eastAsia="仿宋"/>
                <w:b/>
                <w:bCs/>
                <w:sz w:val="28"/>
                <w:szCs w:val="28"/>
              </w:rPr>
            </w:pPr>
            <w:r>
              <w:rPr>
                <w:rFonts w:eastAsia="仿宋"/>
                <w:b/>
                <w:bCs/>
                <w:sz w:val="28"/>
                <w:szCs w:val="28"/>
              </w:rPr>
              <w:t>（1）高速信号处理单元</w:t>
            </w:r>
          </w:p>
          <w:p>
            <w:pPr>
              <w:rPr>
                <w:rFonts w:eastAsia="仿宋"/>
                <w:sz w:val="28"/>
                <w:szCs w:val="28"/>
              </w:rPr>
            </w:pPr>
            <w:r>
              <w:rPr>
                <w:rFonts w:eastAsia="仿宋"/>
                <w:sz w:val="28"/>
                <w:szCs w:val="28"/>
              </w:rPr>
              <w:t>读取并解译S/C波段不同厂家天气雷达的原始IQ数据，利用GPU等高速并行计算硬件实时处理雷达回波信号，运行面向生物目标检测的信号预处理和质量控制算法、信号时频域特征处理算法和信号谱特征计算等高计算复杂度信号处理算法，生成用于生物信息计算的信号谱特征。</w:t>
            </w:r>
          </w:p>
          <w:p>
            <w:pPr>
              <w:rPr>
                <w:rFonts w:eastAsia="仿宋"/>
                <w:sz w:val="28"/>
                <w:szCs w:val="28"/>
              </w:rPr>
            </w:pPr>
            <w:r>
              <w:rPr>
                <w:rFonts w:eastAsia="仿宋"/>
                <w:sz w:val="28"/>
                <w:szCs w:val="28"/>
              </w:rPr>
              <w:t>指标要求：</w:t>
            </w:r>
          </w:p>
          <w:p>
            <w:pPr>
              <w:numPr>
                <w:ilvl w:val="0"/>
                <w:numId w:val="7"/>
              </w:numPr>
              <w:rPr>
                <w:rFonts w:eastAsia="仿宋"/>
                <w:sz w:val="28"/>
                <w:szCs w:val="28"/>
              </w:rPr>
            </w:pPr>
            <w:r>
              <w:rPr>
                <w:rFonts w:eastAsia="仿宋"/>
                <w:sz w:val="28"/>
                <w:szCs w:val="28"/>
              </w:rPr>
              <w:t>基于NVIDIA架构。</w:t>
            </w:r>
          </w:p>
          <w:p>
            <w:pPr>
              <w:numPr>
                <w:ilvl w:val="0"/>
                <w:numId w:val="7"/>
              </w:numPr>
              <w:rPr>
                <w:rFonts w:eastAsia="仿宋"/>
                <w:sz w:val="28"/>
                <w:szCs w:val="28"/>
              </w:rPr>
            </w:pPr>
            <w:r>
              <w:rPr>
                <w:rFonts w:eastAsia="仿宋"/>
                <w:sz w:val="28"/>
                <w:szCs w:val="28"/>
              </w:rPr>
              <w:t>包含≥6000个CUDA核心。</w:t>
            </w:r>
          </w:p>
          <w:p>
            <w:pPr>
              <w:numPr>
                <w:ilvl w:val="0"/>
                <w:numId w:val="7"/>
              </w:numPr>
              <w:rPr>
                <w:rFonts w:eastAsia="仿宋"/>
                <w:sz w:val="28"/>
                <w:szCs w:val="28"/>
              </w:rPr>
            </w:pPr>
            <w:r>
              <w:rPr>
                <w:rFonts w:eastAsia="仿宋"/>
                <w:sz w:val="28"/>
                <w:szCs w:val="28"/>
              </w:rPr>
              <w:t>内存≥8GB。</w:t>
            </w:r>
          </w:p>
          <w:p>
            <w:pPr>
              <w:numPr>
                <w:ilvl w:val="0"/>
                <w:numId w:val="7"/>
              </w:numPr>
              <w:rPr>
                <w:rFonts w:eastAsia="仿宋"/>
                <w:sz w:val="28"/>
                <w:szCs w:val="28"/>
              </w:rPr>
            </w:pPr>
            <w:r>
              <w:rPr>
                <w:rFonts w:eastAsia="仿宋"/>
                <w:sz w:val="28"/>
                <w:szCs w:val="28"/>
              </w:rPr>
              <w:t>算力要求≥10TFLOPS（FP32）。</w:t>
            </w:r>
          </w:p>
          <w:p>
            <w:pPr>
              <w:numPr>
                <w:ilvl w:val="0"/>
                <w:numId w:val="7"/>
              </w:numPr>
              <w:rPr>
                <w:rFonts w:eastAsia="仿宋"/>
                <w:sz w:val="28"/>
                <w:szCs w:val="28"/>
              </w:rPr>
            </w:pPr>
            <w:r>
              <w:rPr>
                <w:rFonts w:eastAsia="仿宋"/>
                <w:sz w:val="28"/>
                <w:szCs w:val="28"/>
              </w:rPr>
              <w:t>内存≥8GB 显存容量，256位显存位宽；</w:t>
            </w:r>
          </w:p>
          <w:p>
            <w:pPr>
              <w:numPr>
                <w:ilvl w:val="0"/>
                <w:numId w:val="7"/>
              </w:numPr>
              <w:rPr>
                <w:rFonts w:eastAsia="仿宋"/>
                <w:sz w:val="28"/>
                <w:szCs w:val="28"/>
              </w:rPr>
            </w:pPr>
            <w:r>
              <w:rPr>
                <w:rFonts w:eastAsia="仿宋"/>
                <w:sz w:val="28"/>
                <w:szCs w:val="28"/>
              </w:rPr>
              <w:t>显存频率≥8000MHz；</w:t>
            </w:r>
          </w:p>
          <w:p>
            <w:pPr>
              <w:numPr>
                <w:ilvl w:val="0"/>
                <w:numId w:val="7"/>
              </w:numPr>
              <w:rPr>
                <w:rFonts w:eastAsia="仿宋"/>
                <w:sz w:val="28"/>
                <w:szCs w:val="28"/>
              </w:rPr>
            </w:pPr>
            <w:r>
              <w:rPr>
                <w:rFonts w:eastAsia="仿宋"/>
                <w:sz w:val="28"/>
                <w:szCs w:val="28"/>
              </w:rPr>
              <w:t>带宽≥256GB/s；</w:t>
            </w:r>
          </w:p>
          <w:p>
            <w:pPr>
              <w:rPr>
                <w:rFonts w:eastAsia="仿宋"/>
                <w:sz w:val="28"/>
                <w:szCs w:val="28"/>
              </w:rPr>
            </w:pPr>
            <w:r>
              <w:rPr>
                <w:rFonts w:eastAsia="仿宋"/>
                <w:b/>
                <w:bCs/>
                <w:sz w:val="28"/>
                <w:szCs w:val="28"/>
              </w:rPr>
              <w:t>（2）生物信息计算单元</w:t>
            </w:r>
          </w:p>
          <w:p>
            <w:pPr>
              <w:rPr>
                <w:rFonts w:eastAsia="仿宋"/>
                <w:sz w:val="28"/>
                <w:szCs w:val="28"/>
              </w:rPr>
            </w:pPr>
            <w:r>
              <w:rPr>
                <w:rFonts w:eastAsia="仿宋"/>
                <w:sz w:val="28"/>
                <w:szCs w:val="28"/>
              </w:rPr>
              <w:t>利用高性能CPU或GPU等逻辑计算硬件处理信号谱特征，运行基于深度学习的鸟类和昆虫目标智能识别和生物信息计算算法，生成每次雷达体扫中的生物目标数量、类别、速度和高度等生物监测产品。</w:t>
            </w:r>
          </w:p>
          <w:p>
            <w:pPr>
              <w:numPr>
                <w:ilvl w:val="0"/>
                <w:numId w:val="8"/>
              </w:numPr>
              <w:rPr>
                <w:rFonts w:eastAsia="仿宋"/>
                <w:sz w:val="28"/>
                <w:szCs w:val="28"/>
              </w:rPr>
            </w:pPr>
            <w:r>
              <w:rPr>
                <w:rFonts w:eastAsia="仿宋"/>
                <w:sz w:val="28"/>
                <w:szCs w:val="28"/>
              </w:rPr>
              <w:t>网络接口：具备对外千兆网通信接口；</w:t>
            </w:r>
          </w:p>
          <w:p>
            <w:pPr>
              <w:numPr>
                <w:ilvl w:val="0"/>
                <w:numId w:val="8"/>
              </w:numPr>
              <w:rPr>
                <w:rFonts w:eastAsia="仿宋"/>
                <w:sz w:val="28"/>
                <w:szCs w:val="28"/>
              </w:rPr>
            </w:pPr>
            <w:r>
              <w:rPr>
                <w:rFonts w:eastAsia="仿宋"/>
                <w:sz w:val="28"/>
                <w:szCs w:val="28"/>
              </w:rPr>
              <w:t>存储配置：支持NVMe ，容量≥1TB；</w:t>
            </w:r>
          </w:p>
          <w:p>
            <w:pPr>
              <w:numPr>
                <w:ilvl w:val="0"/>
                <w:numId w:val="8"/>
              </w:numPr>
              <w:rPr>
                <w:rFonts w:eastAsia="仿宋"/>
                <w:sz w:val="28"/>
                <w:szCs w:val="28"/>
              </w:rPr>
            </w:pPr>
            <w:r>
              <w:rPr>
                <w:rFonts w:eastAsia="仿宋"/>
                <w:sz w:val="28"/>
                <w:szCs w:val="28"/>
              </w:rPr>
              <w:t>内存容量≥16GB；</w:t>
            </w:r>
          </w:p>
          <w:p>
            <w:pPr>
              <w:numPr>
                <w:ilvl w:val="0"/>
                <w:numId w:val="8"/>
              </w:numPr>
              <w:rPr>
                <w:rFonts w:eastAsia="仿宋"/>
                <w:sz w:val="28"/>
                <w:szCs w:val="28"/>
              </w:rPr>
            </w:pPr>
            <w:r>
              <w:rPr>
                <w:rFonts w:eastAsia="仿宋"/>
                <w:sz w:val="28"/>
                <w:szCs w:val="28"/>
              </w:rPr>
              <w:t>扩展接口</w:t>
            </w:r>
          </w:p>
          <w:p>
            <w:pPr>
              <w:numPr>
                <w:ilvl w:val="0"/>
                <w:numId w:val="9"/>
              </w:numPr>
              <w:rPr>
                <w:rFonts w:eastAsia="仿宋"/>
                <w:sz w:val="28"/>
                <w:szCs w:val="28"/>
              </w:rPr>
            </w:pPr>
            <w:r>
              <w:rPr>
                <w:rFonts w:eastAsia="仿宋"/>
                <w:sz w:val="28"/>
                <w:szCs w:val="28"/>
              </w:rPr>
              <w:t>1路显示输出（HDMI或DP）；</w:t>
            </w:r>
          </w:p>
          <w:p>
            <w:pPr>
              <w:numPr>
                <w:ilvl w:val="0"/>
                <w:numId w:val="9"/>
              </w:numPr>
              <w:rPr>
                <w:rFonts w:eastAsia="仿宋"/>
                <w:sz w:val="28"/>
                <w:szCs w:val="28"/>
              </w:rPr>
            </w:pPr>
            <w:r>
              <w:rPr>
                <w:rFonts w:eastAsia="仿宋"/>
                <w:sz w:val="28"/>
                <w:szCs w:val="28"/>
              </w:rPr>
              <w:t>千兆以太网；</w:t>
            </w:r>
          </w:p>
          <w:p>
            <w:pPr>
              <w:numPr>
                <w:ilvl w:val="0"/>
                <w:numId w:val="9"/>
              </w:numPr>
              <w:rPr>
                <w:rFonts w:eastAsia="仿宋"/>
                <w:sz w:val="28"/>
                <w:szCs w:val="28"/>
              </w:rPr>
            </w:pPr>
            <w:r>
              <w:rPr>
                <w:rFonts w:eastAsia="仿宋"/>
                <w:sz w:val="28"/>
                <w:szCs w:val="28"/>
              </w:rPr>
              <w:t>1路USB；</w:t>
            </w:r>
          </w:p>
          <w:p>
            <w:pPr>
              <w:numPr>
                <w:ilvl w:val="0"/>
                <w:numId w:val="9"/>
              </w:numPr>
              <w:rPr>
                <w:rFonts w:eastAsia="仿宋"/>
                <w:sz w:val="28"/>
                <w:szCs w:val="28"/>
              </w:rPr>
            </w:pPr>
            <w:r>
              <w:rPr>
                <w:rFonts w:eastAsia="仿宋"/>
                <w:sz w:val="28"/>
                <w:szCs w:val="28"/>
              </w:rPr>
              <w:t>PCIe 3.0 ×8 接口（与背板匹配）。</w:t>
            </w:r>
          </w:p>
          <w:p>
            <w:pPr>
              <w:rPr>
                <w:rFonts w:eastAsia="仿宋"/>
                <w:b/>
                <w:bCs/>
                <w:sz w:val="28"/>
                <w:szCs w:val="28"/>
              </w:rPr>
            </w:pPr>
            <w:r>
              <w:rPr>
                <w:rFonts w:eastAsia="仿宋"/>
                <w:b/>
                <w:bCs/>
                <w:sz w:val="28"/>
                <w:szCs w:val="28"/>
              </w:rPr>
              <w:t>（3）主控单元</w:t>
            </w:r>
          </w:p>
          <w:p>
            <w:pPr>
              <w:rPr>
                <w:rFonts w:eastAsia="仿宋"/>
                <w:sz w:val="28"/>
                <w:szCs w:val="28"/>
              </w:rPr>
            </w:pPr>
            <w:r>
              <w:rPr>
                <w:rFonts w:eastAsia="仿宋"/>
                <w:sz w:val="28"/>
                <w:szCs w:val="28"/>
              </w:rPr>
              <w:t>配置生物信息处理器工作参数，提供生物信息监测产品的输出、转存和回看等功能配置，控制各单元工作模式和执行逻辑，配置处理器输入输出参数。</w:t>
            </w:r>
          </w:p>
          <w:p>
            <w:pPr>
              <w:numPr>
                <w:ilvl w:val="0"/>
                <w:numId w:val="10"/>
              </w:numPr>
              <w:rPr>
                <w:rFonts w:eastAsia="仿宋"/>
                <w:sz w:val="28"/>
                <w:szCs w:val="28"/>
              </w:rPr>
            </w:pPr>
            <w:r>
              <w:rPr>
                <w:rFonts w:eastAsia="仿宋"/>
                <w:sz w:val="28"/>
                <w:szCs w:val="28"/>
              </w:rPr>
              <w:t>CPU架构：采用Intel架构的CPU设计。</w:t>
            </w:r>
          </w:p>
          <w:p>
            <w:pPr>
              <w:numPr>
                <w:ilvl w:val="0"/>
                <w:numId w:val="10"/>
              </w:numPr>
              <w:rPr>
                <w:rFonts w:eastAsia="仿宋"/>
                <w:sz w:val="28"/>
                <w:szCs w:val="28"/>
              </w:rPr>
            </w:pPr>
            <w:r>
              <w:rPr>
                <w:rFonts w:eastAsia="仿宋"/>
                <w:sz w:val="28"/>
                <w:szCs w:val="28"/>
              </w:rPr>
              <w:t>网络接口：具备对外千兆网通信接口。</w:t>
            </w:r>
          </w:p>
          <w:p>
            <w:pPr>
              <w:numPr>
                <w:ilvl w:val="0"/>
                <w:numId w:val="10"/>
              </w:numPr>
              <w:rPr>
                <w:rFonts w:eastAsia="仿宋"/>
                <w:sz w:val="28"/>
                <w:szCs w:val="28"/>
              </w:rPr>
            </w:pPr>
            <w:r>
              <w:rPr>
                <w:rFonts w:eastAsia="仿宋"/>
                <w:sz w:val="28"/>
                <w:szCs w:val="28"/>
              </w:rPr>
              <w:t>CPU性能</w:t>
            </w:r>
          </w:p>
          <w:p>
            <w:pPr>
              <w:numPr>
                <w:ilvl w:val="0"/>
                <w:numId w:val="11"/>
              </w:numPr>
              <w:rPr>
                <w:rFonts w:eastAsia="仿宋"/>
                <w:sz w:val="28"/>
                <w:szCs w:val="28"/>
              </w:rPr>
            </w:pPr>
            <w:r>
              <w:rPr>
                <w:rFonts w:eastAsia="仿宋"/>
                <w:sz w:val="28"/>
                <w:szCs w:val="28"/>
              </w:rPr>
              <w:t>主频≥2.5GHz；</w:t>
            </w:r>
          </w:p>
          <w:p>
            <w:pPr>
              <w:numPr>
                <w:ilvl w:val="0"/>
                <w:numId w:val="11"/>
              </w:numPr>
              <w:rPr>
                <w:rFonts w:eastAsia="仿宋"/>
                <w:sz w:val="28"/>
                <w:szCs w:val="28"/>
              </w:rPr>
            </w:pPr>
            <w:r>
              <w:rPr>
                <w:rFonts w:eastAsia="仿宋"/>
                <w:sz w:val="28"/>
                <w:szCs w:val="28"/>
              </w:rPr>
              <w:t>核心数≥8核。</w:t>
            </w:r>
          </w:p>
          <w:p>
            <w:pPr>
              <w:numPr>
                <w:ilvl w:val="0"/>
                <w:numId w:val="10"/>
              </w:numPr>
              <w:rPr>
                <w:rFonts w:eastAsia="仿宋"/>
                <w:sz w:val="28"/>
                <w:szCs w:val="28"/>
              </w:rPr>
            </w:pPr>
            <w:r>
              <w:rPr>
                <w:rFonts w:eastAsia="仿宋"/>
                <w:sz w:val="28"/>
                <w:szCs w:val="28"/>
              </w:rPr>
              <w:t>存储配置</w:t>
            </w:r>
          </w:p>
          <w:p>
            <w:pPr>
              <w:ind w:left="440"/>
              <w:rPr>
                <w:rFonts w:eastAsia="仿宋"/>
                <w:sz w:val="28"/>
                <w:szCs w:val="28"/>
              </w:rPr>
            </w:pPr>
            <w:r>
              <w:rPr>
                <w:rFonts w:eastAsia="仿宋"/>
                <w:sz w:val="28"/>
                <w:szCs w:val="28"/>
              </w:rPr>
              <w:t>SSD存储空间≥512GB，且支持更换。</w:t>
            </w:r>
          </w:p>
          <w:p>
            <w:pPr>
              <w:numPr>
                <w:ilvl w:val="0"/>
                <w:numId w:val="10"/>
              </w:numPr>
              <w:rPr>
                <w:rFonts w:eastAsia="仿宋"/>
                <w:sz w:val="28"/>
                <w:szCs w:val="28"/>
              </w:rPr>
            </w:pPr>
            <w:r>
              <w:rPr>
                <w:rFonts w:eastAsia="仿宋"/>
                <w:sz w:val="28"/>
                <w:szCs w:val="28"/>
              </w:rPr>
              <w:t>内存容量≥32GB。</w:t>
            </w:r>
          </w:p>
          <w:p>
            <w:pPr>
              <w:numPr>
                <w:ilvl w:val="0"/>
                <w:numId w:val="10"/>
              </w:numPr>
              <w:rPr>
                <w:rFonts w:eastAsia="仿宋"/>
                <w:sz w:val="28"/>
                <w:szCs w:val="28"/>
              </w:rPr>
            </w:pPr>
            <w:r>
              <w:rPr>
                <w:rFonts w:eastAsia="仿宋"/>
                <w:sz w:val="28"/>
                <w:szCs w:val="28"/>
              </w:rPr>
              <w:t>扩展接口</w:t>
            </w:r>
          </w:p>
          <w:p>
            <w:pPr>
              <w:numPr>
                <w:ilvl w:val="0"/>
                <w:numId w:val="12"/>
              </w:numPr>
              <w:rPr>
                <w:rFonts w:eastAsia="仿宋"/>
                <w:sz w:val="28"/>
                <w:szCs w:val="28"/>
              </w:rPr>
            </w:pPr>
            <w:r>
              <w:rPr>
                <w:rFonts w:eastAsia="仿宋"/>
                <w:sz w:val="28"/>
                <w:szCs w:val="28"/>
              </w:rPr>
              <w:t>1路显示输出（HDMI或DP）；</w:t>
            </w:r>
          </w:p>
          <w:p>
            <w:pPr>
              <w:numPr>
                <w:ilvl w:val="0"/>
                <w:numId w:val="12"/>
              </w:numPr>
              <w:rPr>
                <w:rFonts w:eastAsia="仿宋"/>
                <w:sz w:val="28"/>
                <w:szCs w:val="28"/>
              </w:rPr>
            </w:pPr>
            <w:r>
              <w:rPr>
                <w:rFonts w:eastAsia="仿宋"/>
                <w:sz w:val="28"/>
                <w:szCs w:val="28"/>
              </w:rPr>
              <w:t>千兆以太网；</w:t>
            </w:r>
          </w:p>
          <w:p>
            <w:pPr>
              <w:numPr>
                <w:ilvl w:val="0"/>
                <w:numId w:val="12"/>
              </w:numPr>
              <w:rPr>
                <w:rFonts w:eastAsia="仿宋"/>
                <w:sz w:val="28"/>
                <w:szCs w:val="28"/>
              </w:rPr>
            </w:pPr>
            <w:r>
              <w:rPr>
                <w:rFonts w:eastAsia="仿宋"/>
                <w:sz w:val="28"/>
                <w:szCs w:val="28"/>
              </w:rPr>
              <w:t>2路USB接口。</w:t>
            </w:r>
          </w:p>
          <w:p>
            <w:pPr>
              <w:rPr>
                <w:rFonts w:eastAsia="仿宋"/>
                <w:sz w:val="28"/>
                <w:szCs w:val="28"/>
              </w:rPr>
            </w:pPr>
            <w:r>
              <w:rPr>
                <w:rFonts w:eastAsia="仿宋"/>
                <w:b/>
                <w:bCs/>
                <w:sz w:val="28"/>
                <w:szCs w:val="28"/>
              </w:rPr>
              <w:t>（4）健康管理单元</w:t>
            </w:r>
          </w:p>
          <w:p>
            <w:pPr>
              <w:rPr>
                <w:rFonts w:eastAsia="仿宋"/>
                <w:sz w:val="28"/>
                <w:szCs w:val="28"/>
              </w:rPr>
            </w:pPr>
            <w:r>
              <w:rPr>
                <w:rFonts w:eastAsia="仿宋"/>
                <w:sz w:val="28"/>
                <w:szCs w:val="28"/>
              </w:rPr>
              <w:t>提供各单元硬件设备健康管理服务，监测硬件设备的电压、电流、功耗、温度等参数，实现在终端的硬件操作和管理维护功能。</w:t>
            </w:r>
          </w:p>
          <w:p>
            <w:pPr>
              <w:rPr>
                <w:rFonts w:eastAsia="仿宋"/>
                <w:sz w:val="28"/>
                <w:szCs w:val="28"/>
              </w:rPr>
            </w:pPr>
            <w:r>
              <w:rPr>
                <w:rFonts w:eastAsia="仿宋"/>
                <w:b/>
                <w:bCs/>
                <w:sz w:val="28"/>
                <w:szCs w:val="28"/>
              </w:rPr>
              <w:t>（5）数据交互单元</w:t>
            </w:r>
          </w:p>
          <w:p>
            <w:pPr>
              <w:rPr>
                <w:rFonts w:eastAsia="仿宋"/>
                <w:sz w:val="28"/>
                <w:szCs w:val="28"/>
              </w:rPr>
            </w:pPr>
            <w:r>
              <w:rPr>
                <w:rFonts w:eastAsia="仿宋"/>
                <w:sz w:val="28"/>
                <w:szCs w:val="28"/>
              </w:rPr>
              <w:t>功能要求：实现信号处理单元、信息计算单元、主控单元和安全存储单元之间的高速数据文件交互功能，降低各单元数据存取资源消耗。</w:t>
            </w:r>
          </w:p>
          <w:p>
            <w:pPr>
              <w:rPr>
                <w:rFonts w:eastAsia="仿宋"/>
                <w:sz w:val="28"/>
                <w:szCs w:val="28"/>
              </w:rPr>
            </w:pPr>
            <w:r>
              <w:rPr>
                <w:rFonts w:eastAsia="仿宋"/>
                <w:b/>
                <w:bCs/>
                <w:sz w:val="28"/>
                <w:szCs w:val="28"/>
              </w:rPr>
              <w:t>（6）电源管理单元</w:t>
            </w:r>
          </w:p>
          <w:p>
            <w:pPr>
              <w:rPr>
                <w:rFonts w:eastAsia="仿宋"/>
                <w:sz w:val="28"/>
                <w:szCs w:val="28"/>
              </w:rPr>
            </w:pPr>
            <w:r>
              <w:rPr>
                <w:rFonts w:eastAsia="仿宋"/>
                <w:sz w:val="28"/>
                <w:szCs w:val="28"/>
              </w:rPr>
              <w:t>功能要求：为处理器各单元硬件提供稳定供电。</w:t>
            </w:r>
          </w:p>
          <w:p>
            <w:pPr>
              <w:rPr>
                <w:rFonts w:eastAsia="仿宋"/>
                <w:sz w:val="28"/>
                <w:szCs w:val="28"/>
              </w:rPr>
            </w:pPr>
            <w:r>
              <w:rPr>
                <w:rFonts w:eastAsia="仿宋"/>
                <w:b/>
                <w:bCs/>
                <w:sz w:val="28"/>
                <w:szCs w:val="28"/>
              </w:rPr>
              <w:t>（7）安全存储单元</w:t>
            </w:r>
          </w:p>
          <w:p>
            <w:pPr>
              <w:rPr>
                <w:rFonts w:eastAsia="仿宋"/>
                <w:sz w:val="28"/>
                <w:szCs w:val="28"/>
              </w:rPr>
            </w:pPr>
            <w:r>
              <w:rPr>
                <w:rFonts w:eastAsia="仿宋"/>
                <w:sz w:val="28"/>
                <w:szCs w:val="28"/>
              </w:rPr>
              <w:t>为至少三个月的雷达原始IQ数据和生物信息计算产品提供大容量高速低延迟数据保存功能，实现历史监测数据和产品的实时回放和高速拷贝。</w:t>
            </w:r>
          </w:p>
          <w:p>
            <w:pPr>
              <w:numPr>
                <w:ilvl w:val="0"/>
                <w:numId w:val="13"/>
              </w:numPr>
              <w:rPr>
                <w:rFonts w:eastAsia="仿宋"/>
                <w:sz w:val="28"/>
                <w:szCs w:val="28"/>
              </w:rPr>
            </w:pPr>
            <w:r>
              <w:rPr>
                <w:rFonts w:eastAsia="仿宋"/>
                <w:sz w:val="28"/>
                <w:szCs w:val="28"/>
              </w:rPr>
              <w:t>支持3路M.2 NVM接口；</w:t>
            </w:r>
          </w:p>
          <w:p>
            <w:pPr>
              <w:numPr>
                <w:ilvl w:val="0"/>
                <w:numId w:val="13"/>
              </w:numPr>
              <w:rPr>
                <w:rFonts w:eastAsia="仿宋"/>
                <w:sz w:val="28"/>
                <w:szCs w:val="28"/>
              </w:rPr>
            </w:pPr>
            <w:r>
              <w:rPr>
                <w:rFonts w:eastAsia="仿宋"/>
                <w:sz w:val="28"/>
                <w:szCs w:val="28"/>
              </w:rPr>
              <w:t>支持24TB存储硬盘；</w:t>
            </w:r>
          </w:p>
          <w:p>
            <w:pPr>
              <w:numPr>
                <w:ilvl w:val="0"/>
                <w:numId w:val="13"/>
              </w:numPr>
              <w:rPr>
                <w:rFonts w:eastAsia="仿宋"/>
                <w:sz w:val="28"/>
                <w:szCs w:val="28"/>
              </w:rPr>
            </w:pPr>
            <w:r>
              <w:rPr>
                <w:rFonts w:eastAsia="仿宋"/>
                <w:sz w:val="28"/>
                <w:szCs w:val="28"/>
              </w:rPr>
              <w:t>写入速度≥4200MB/s；</w:t>
            </w:r>
          </w:p>
          <w:p>
            <w:pPr>
              <w:numPr>
                <w:ilvl w:val="0"/>
                <w:numId w:val="13"/>
              </w:numPr>
              <w:rPr>
                <w:rFonts w:eastAsia="仿宋"/>
                <w:sz w:val="28"/>
                <w:szCs w:val="28"/>
              </w:rPr>
            </w:pPr>
            <w:r>
              <w:rPr>
                <w:rFonts w:eastAsia="仿宋"/>
                <w:sz w:val="28"/>
                <w:szCs w:val="28"/>
              </w:rPr>
              <w:t>读取速度≥5700MB/s。</w:t>
            </w:r>
          </w:p>
          <w:p>
            <w:pPr>
              <w:rPr>
                <w:rFonts w:eastAsia="仿宋"/>
                <w:sz w:val="28"/>
                <w:szCs w:val="28"/>
              </w:rPr>
            </w:pPr>
            <w:r>
              <w:rPr>
                <w:rFonts w:eastAsia="仿宋"/>
                <w:b/>
                <w:bCs/>
                <w:sz w:val="28"/>
                <w:szCs w:val="28"/>
              </w:rPr>
              <w:t>（8）</w:t>
            </w:r>
            <w:r>
              <w:rPr>
                <w:rFonts w:eastAsia="仿宋"/>
                <w:sz w:val="28"/>
                <w:szCs w:val="28"/>
              </w:rPr>
              <w:t>机箱及散热结构</w:t>
            </w:r>
          </w:p>
          <w:p>
            <w:pPr>
              <w:rPr>
                <w:rFonts w:eastAsia="仿宋"/>
                <w:sz w:val="28"/>
                <w:szCs w:val="28"/>
              </w:rPr>
            </w:pPr>
            <w:r>
              <w:rPr>
                <w:rFonts w:eastAsia="仿宋"/>
                <w:sz w:val="28"/>
                <w:szCs w:val="28"/>
              </w:rPr>
              <w:t>为各单元硬件板卡提供稳定安装环境并针对雷达机房环境提供充足主动散热规模。</w:t>
            </w:r>
          </w:p>
          <w:p>
            <w:pPr>
              <w:numPr>
                <w:ilvl w:val="0"/>
                <w:numId w:val="14"/>
              </w:numPr>
              <w:rPr>
                <w:rFonts w:eastAsia="仿宋"/>
                <w:sz w:val="28"/>
                <w:szCs w:val="28"/>
              </w:rPr>
            </w:pPr>
            <w:r>
              <w:rPr>
                <w:rFonts w:eastAsia="仿宋"/>
                <w:sz w:val="28"/>
                <w:szCs w:val="28"/>
              </w:rPr>
              <w:t>工作温度：-20℃~+60℃；</w:t>
            </w:r>
          </w:p>
          <w:p>
            <w:pPr>
              <w:numPr>
                <w:ilvl w:val="0"/>
                <w:numId w:val="14"/>
              </w:numPr>
              <w:rPr>
                <w:rFonts w:eastAsia="仿宋"/>
                <w:sz w:val="28"/>
                <w:szCs w:val="28"/>
              </w:rPr>
            </w:pPr>
            <w:r>
              <w:rPr>
                <w:rFonts w:eastAsia="仿宋"/>
                <w:sz w:val="28"/>
                <w:szCs w:val="28"/>
              </w:rPr>
              <w:t>存储温度：-40℃~+85℃；</w:t>
            </w:r>
          </w:p>
          <w:p>
            <w:pPr>
              <w:numPr>
                <w:ilvl w:val="0"/>
                <w:numId w:val="14"/>
              </w:numPr>
              <w:rPr>
                <w:rFonts w:eastAsia="仿宋"/>
                <w:sz w:val="28"/>
                <w:szCs w:val="28"/>
              </w:rPr>
            </w:pPr>
            <w:r>
              <w:rPr>
                <w:rFonts w:eastAsia="仿宋"/>
                <w:sz w:val="28"/>
                <w:szCs w:val="28"/>
              </w:rPr>
              <w:t>相对湿度：95%，无凝露。</w:t>
            </w:r>
          </w:p>
        </w:tc>
      </w:tr>
    </w:tbl>
    <w:p>
      <w:pPr>
        <w:spacing w:line="560" w:lineRule="exact"/>
        <w:ind w:firstLine="560" w:firstLineChars="200"/>
        <w:rPr>
          <w:rFonts w:eastAsia="仿宋"/>
          <w:sz w:val="28"/>
          <w:szCs w:val="28"/>
        </w:rPr>
      </w:pPr>
      <w:r>
        <w:rPr>
          <w:rFonts w:eastAsia="仿宋"/>
          <w:sz w:val="28"/>
          <w:szCs w:val="28"/>
        </w:rPr>
        <w:t>3.2算法要求</w:t>
      </w:r>
    </w:p>
    <w:p>
      <w:pPr>
        <w:spacing w:line="560" w:lineRule="exact"/>
        <w:ind w:firstLine="560" w:firstLineChars="200"/>
        <w:rPr>
          <w:rFonts w:eastAsia="仿宋"/>
          <w:sz w:val="28"/>
          <w:szCs w:val="28"/>
        </w:rPr>
      </w:pPr>
      <w:r>
        <w:rPr>
          <w:rFonts w:eastAsia="仿宋"/>
          <w:sz w:val="28"/>
          <w:szCs w:val="28"/>
        </w:rPr>
        <w:t>供应商提供的设备嵌入式软件采用国家级业务数据处理算法。</w:t>
      </w:r>
    </w:p>
    <w:p>
      <w:pPr>
        <w:spacing w:line="560" w:lineRule="exact"/>
        <w:ind w:firstLine="560" w:firstLineChars="200"/>
        <w:rPr>
          <w:rFonts w:eastAsia="仿宋"/>
          <w:sz w:val="28"/>
          <w:szCs w:val="28"/>
        </w:rPr>
      </w:pPr>
      <w:r>
        <w:rPr>
          <w:rFonts w:eastAsia="仿宋"/>
          <w:sz w:val="28"/>
          <w:szCs w:val="28"/>
        </w:rPr>
        <w:t>3.3数据要求</w:t>
      </w:r>
    </w:p>
    <w:p>
      <w:pPr>
        <w:spacing w:line="560" w:lineRule="exact"/>
        <w:ind w:firstLine="560" w:firstLineChars="200"/>
        <w:rPr>
          <w:rFonts w:eastAsia="仿宋"/>
          <w:sz w:val="28"/>
          <w:szCs w:val="28"/>
        </w:rPr>
      </w:pPr>
      <w:r>
        <w:rPr>
          <w:rFonts w:eastAsia="仿宋"/>
          <w:sz w:val="28"/>
          <w:szCs w:val="28"/>
        </w:rPr>
        <w:t>供应商提供的设备传输数据能够接入国家级业务运行平台。</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8"/>
        </w:rPr>
      </w:pPr>
      <w:r>
        <w:rPr>
          <w:rFonts w:eastAsia="仿宋"/>
          <w:sz w:val="28"/>
          <w:szCs w:val="20"/>
        </w:rPr>
        <w:t>中标方按照业务运行规范要求执行，确保设备可稳定运行，主要包括巡检、巡查工作，以及关键器件及系统故障的维修等。故障维修和巡检巡查等需按照质保指导意见要求执行，并提供相关承诺函。</w:t>
      </w:r>
    </w:p>
    <w:p>
      <w:pPr>
        <w:spacing w:line="560" w:lineRule="exact"/>
        <w:ind w:firstLine="560" w:firstLineChars="200"/>
        <w:rPr>
          <w:rFonts w:eastAsia="仿宋"/>
          <w:sz w:val="28"/>
          <w:szCs w:val="28"/>
        </w:rPr>
      </w:pPr>
      <w:r>
        <w:rPr>
          <w:rFonts w:eastAsia="仿宋"/>
          <w:sz w:val="28"/>
          <w:szCs w:val="20"/>
        </w:rPr>
        <w:t>（1）</w:t>
      </w:r>
      <w:r>
        <w:rPr>
          <w:rFonts w:eastAsia="仿宋"/>
          <w:sz w:val="28"/>
          <w:szCs w:val="28"/>
        </w:rPr>
        <w:t>供应商将所有设备运送到招标人指定地点（运输相关费用由供应商负责），并负责安装调试。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b/>
          <w:bCs/>
          <w:sz w:val="28"/>
          <w:szCs w:val="28"/>
          <w:highlight w:val="yellow"/>
        </w:rPr>
        <w:t>质保期：</w:t>
      </w:r>
      <w:r>
        <w:rPr>
          <w:rFonts w:eastAsia="仿宋" w:hint="eastAsia"/>
          <w:b/>
          <w:bCs/>
          <w:sz w:val="28"/>
          <w:szCs w:val="28"/>
          <w:highlight w:val="yellow"/>
        </w:rPr>
        <w:t>8</w:t>
      </w:r>
      <w:r>
        <w:rPr>
          <w:rFonts w:eastAsia="仿宋"/>
          <w:b/>
          <w:bCs/>
          <w:sz w:val="28"/>
          <w:szCs w:val="28"/>
          <w:highlight w:val="yellow"/>
        </w:rPr>
        <w:t>年</w:t>
      </w:r>
      <w:r>
        <w:rPr>
          <w:rFonts w:ascii="仿宋" w:eastAsia="仿宋" w:hAnsi="仿宋" w:cs="仿宋" w:hint="eastAsia"/>
          <w:sz w:val="28"/>
          <w:szCs w:val="20"/>
          <w:highlight w:val="yellow"/>
        </w:rPr>
        <w:t>*</w:t>
      </w:r>
      <w:r>
        <w:rPr>
          <w:rFonts w:eastAsia="仿宋"/>
          <w:sz w:val="28"/>
          <w:szCs w:val="28"/>
        </w:rPr>
        <w:t>，供应商需对质保期（保内、保外）政策进行阐述或承诺，列明有偿服务和无偿服务内容。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（4）质保期过后，设备供应商仍有义务提供技术服务（包括提供设备维护、备件等）。</w:t>
      </w:r>
    </w:p>
    <w:p>
      <w:pPr>
        <w:spacing w:line="560" w:lineRule="exact"/>
        <w:ind w:firstLine="560" w:firstLineChars="200"/>
        <w:rPr>
          <w:rFonts w:eastAsia="仿宋" w:hint="eastAsia"/>
          <w:sz w:val="28"/>
          <w:szCs w:val="28"/>
        </w:rPr>
      </w:pPr>
      <w:r>
        <w:rPr>
          <w:rFonts w:eastAsia="仿宋"/>
          <w:sz w:val="28"/>
          <w:szCs w:val="28"/>
        </w:rPr>
        <w:t>五、验收要求</w:t>
      </w:r>
      <w:r>
        <w:rPr>
          <w:rFonts w:eastAsia="仿宋" w:hint="eastAsia"/>
          <w:sz w:val="28"/>
          <w:szCs w:val="28"/>
        </w:rPr>
        <w:t>（</w:t>
      </w:r>
      <w:r>
        <w:rPr>
          <w:rFonts w:ascii="仿宋" w:eastAsia="仿宋" w:hAnsi="仿宋" w:cs="仿宋" w:hint="eastAsia"/>
          <w:sz w:val="28"/>
          <w:szCs w:val="20"/>
        </w:rPr>
        <w:t>检验考核要求等</w:t>
      </w:r>
      <w:r>
        <w:rPr>
          <w:rFonts w:eastAsia="仿宋" w:hint="eastAsia"/>
          <w:sz w:val="28"/>
          <w:szCs w:val="28"/>
        </w:rPr>
        <w:t>）</w:t>
      </w:r>
    </w:p>
    <w:p>
      <w:pPr>
        <w:ind w:firstLine="560" w:firstLineChars="200"/>
        <w:rPr>
          <w:rFonts w:eastAsia="仿宋"/>
          <w:sz w:val="28"/>
          <w:szCs w:val="20"/>
        </w:rPr>
      </w:pPr>
      <w:r>
        <w:rPr>
          <w:rFonts w:eastAsia="仿宋"/>
          <w:sz w:val="28"/>
          <w:szCs w:val="20"/>
        </w:rPr>
        <w:t>参照功能规格需求书、测试大纲，以及中国气象局最新业务管理规定等有关文件要求开展检验考核。</w:t>
      </w:r>
    </w:p>
    <w:p>
      <w:pPr>
        <w:ind w:firstLine="560" w:firstLineChars="200"/>
        <w:rPr>
          <w:rFonts w:eastAsia="仿宋"/>
          <w:sz w:val="28"/>
          <w:szCs w:val="20"/>
        </w:rPr>
      </w:pPr>
      <w:r>
        <w:rPr>
          <w:rFonts w:eastAsia="仿宋"/>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（3）设备经过1个月试运行期，达到功能规格需求书的要求时，可进行最终验收。在试运行期间，由于设备质量等造成某些指标达不到要求，允许中标人更换或进行修复。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中标人已提供合同中签署的全部货物及完整技术资料；</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8"/>
        </w:rPr>
      </w:pPr>
      <w:r>
        <w:rPr>
          <w:rFonts w:eastAsia="仿宋"/>
          <w:sz w:val="28"/>
          <w:szCs w:val="28"/>
        </w:rPr>
        <w:t>六、其他要求</w:t>
      </w:r>
    </w:p>
    <w:p>
      <w:pPr>
        <w:spacing w:line="560" w:lineRule="exact"/>
        <w:ind w:left="420" w:leftChars="200"/>
        <w:rPr>
          <w:rFonts w:eastAsia="仿宋_GB2312"/>
          <w:sz w:val="28"/>
          <w:szCs w:val="20"/>
        </w:rPr>
      </w:pPr>
      <w:r>
        <w:rPr>
          <w:rFonts w:eastAsia="仿宋"/>
          <w:sz w:val="28"/>
          <w:szCs w:val="20"/>
        </w:rPr>
        <w:t>详见采购需求-其他技术及商务需求。</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9"/>
        <w:gridCol w:w="1648"/>
        <w:gridCol w:w="916"/>
        <w:gridCol w:w="1274"/>
        <w:gridCol w:w="1453"/>
        <w:gridCol w:w="916"/>
        <w:gridCol w:w="179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SC波段虫鸟精细监测边缘计算平台</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1,705,000.00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r>
              <w:t>山西省临汾市气象局 薛双青 15603578299</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1,705,000.00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3"/>
        <w:gridCol w:w="2365"/>
        <w:gridCol w:w="1543"/>
        <w:gridCol w:w="523"/>
        <w:gridCol w:w="1193"/>
        <w:gridCol w:w="994"/>
        <w:gridCol w:w="858"/>
        <w:gridCol w:w="5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气象保障中心(001034038008)</w:t>
            </w:r>
          </w:p>
        </w:tc>
        <w:tc>
          <w:tcPr/>
          <w:p>
            <w:r>
              <w:t>SC波段虫鸟精细监测边缘计算平台</w:t>
            </w:r>
          </w:p>
        </w:tc>
        <w:tc>
          <w:tcPr/>
          <w:p>
            <w:r>
              <w:t>1</w:t>
            </w:r>
          </w:p>
        </w:tc>
        <w:tc>
          <w:tcPr/>
          <w:p>
            <w:r>
              <w:t>1705000.00</w:t>
            </w:r>
          </w:p>
        </w:tc>
        <w:tc>
          <w:tcPr/>
          <w:p>
            <w:r>
              <w:t xml:space="preserve">1705000.00  </w:t>
            </w:r>
          </w:p>
        </w:tc>
        <w:tc>
          <w:tcPr/>
          <w:p/>
        </w:tc>
        <w:tc>
          <w:tcP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rPr>
      </w:pPr>
      <w:r>
        <w:rPr>
          <w:rFonts w:ascii="仿宋" w:eastAsia="仿宋" w:hAnsi="仿宋" w:cs="仿宋" w:hint="eastAsia"/>
          <w:b/>
          <w:bCs/>
          <w:sz w:val="28"/>
        </w:rPr>
        <w:t>一、项目概况及总体要求</w:t>
      </w:r>
    </w:p>
    <w:p>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lang w:val="en-US" w:eastAsia="zh-CN"/>
        </w:rPr>
        <w:t>临汾现有双偏振天气雷达为C波段双偏振新一代天气雷达，</w:t>
      </w:r>
      <w:r>
        <w:rPr>
          <w:rFonts w:ascii="仿宋" w:eastAsia="仿宋" w:hAnsi="仿宋" w:cs="仿宋" w:hint="eastAsia"/>
          <w:sz w:val="28"/>
          <w:szCs w:val="28"/>
        </w:rPr>
        <w:t>本次</w:t>
      </w:r>
      <w:r>
        <w:rPr>
          <w:rFonts w:ascii="仿宋" w:eastAsia="仿宋" w:hAnsi="仿宋" w:cs="仿宋" w:hint="eastAsia"/>
          <w:sz w:val="28"/>
          <w:szCs w:val="28"/>
          <w:lang w:val="en-US" w:eastAsia="zh-CN"/>
        </w:rPr>
        <w:t>采购</w:t>
      </w:r>
      <w:r>
        <w:rPr>
          <w:rFonts w:ascii="仿宋" w:eastAsia="仿宋" w:hAnsi="仿宋" w:cs="仿宋" w:hint="eastAsia"/>
          <w:sz w:val="28"/>
          <w:szCs w:val="28"/>
        </w:rPr>
        <w:t>对现有临汾新一代天气雷达进行改造升级</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建设</w:t>
      </w:r>
      <w:r>
        <w:rPr>
          <w:rFonts w:ascii="仿宋" w:eastAsia="仿宋" w:hAnsi="仿宋" w:cs="仿宋" w:hint="eastAsia"/>
          <w:sz w:val="28"/>
          <w:szCs w:val="28"/>
        </w:rPr>
        <w:t>天气雷达空中生态监测系统，搭建天气雷达IQ数据处理专用硬件平台,实现业务运行雷达IQ数据的准实时处理，为天空中生物监测算法开发提供标准化平台，提供数据处理分析服务，提供天气雷达生态监测产品展示平台</w:t>
      </w:r>
      <w:r>
        <w:rPr>
          <w:rFonts w:ascii="仿宋" w:eastAsia="仿宋" w:hAnsi="仿宋" w:cs="仿宋" w:hint="eastAsia"/>
          <w:sz w:val="28"/>
          <w:szCs w:val="28"/>
          <w:lang w:eastAsia="zh-CN"/>
        </w:rPr>
        <w:t>。</w:t>
      </w:r>
    </w:p>
    <w:p>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lang w:val="en-US" w:eastAsia="zh-CN"/>
        </w:rPr>
        <w:t>本项目</w:t>
      </w:r>
      <w:r>
        <w:rPr>
          <w:rFonts w:ascii="仿宋" w:eastAsia="仿宋" w:hAnsi="仿宋" w:cs="仿宋" w:hint="eastAsia"/>
          <w:sz w:val="28"/>
          <w:szCs w:val="28"/>
          <w:lang w:eastAsia="zh-CN"/>
        </w:rPr>
        <w:t>天气雷达IQ数据处理专用硬件平台需完成在山西临汾的本地化部署</w:t>
      </w:r>
      <w:r>
        <w:rPr>
          <w:rFonts w:ascii="仿宋" w:eastAsia="仿宋" w:hAnsi="仿宋" w:cs="仿宋" w:hint="eastAsia"/>
          <w:sz w:val="28"/>
          <w:szCs w:val="28"/>
          <w:lang w:val="en-US" w:eastAsia="zh-CN"/>
        </w:rPr>
        <w:t>,并完成</w:t>
      </w:r>
      <w:r>
        <w:rPr>
          <w:rFonts w:ascii="仿宋" w:eastAsia="仿宋" w:hAnsi="仿宋" w:cs="仿宋" w:hint="eastAsia"/>
          <w:sz w:val="28"/>
          <w:szCs w:val="28"/>
          <w:lang w:eastAsia="zh-CN"/>
        </w:rPr>
        <w:t>生态与农业气象数据处理，</w:t>
      </w:r>
      <w:r>
        <w:rPr>
          <w:rFonts w:ascii="仿宋" w:eastAsia="仿宋" w:hAnsi="仿宋" w:cs="仿宋" w:hint="eastAsia"/>
          <w:sz w:val="28"/>
          <w:szCs w:val="28"/>
          <w:lang w:val="en-US" w:eastAsia="zh-CN"/>
        </w:rPr>
        <w:t>包括：</w:t>
      </w:r>
      <w:r>
        <w:rPr>
          <w:rFonts w:ascii="仿宋" w:eastAsia="仿宋" w:hAnsi="仿宋" w:cs="仿宋" w:hint="eastAsia"/>
          <w:sz w:val="28"/>
          <w:szCs w:val="28"/>
          <w:lang w:eastAsia="zh-CN"/>
        </w:rPr>
        <w:t>结合山西临汾本地林业部和农业部实况数据，每月提供一期生物回波、迁飞方向和高度等观测观测资料和数据分析资料；至少提供两期给政府</w:t>
      </w:r>
      <w:r>
        <w:rPr>
          <w:rFonts w:ascii="仿宋" w:eastAsia="仿宋" w:hAnsi="仿宋" w:cs="仿宋" w:hint="eastAsia"/>
          <w:sz w:val="28"/>
          <w:szCs w:val="28"/>
          <w:lang w:val="en-US" w:eastAsia="zh-CN"/>
        </w:rPr>
        <w:t>部门</w:t>
      </w:r>
      <w:r>
        <w:rPr>
          <w:rFonts w:ascii="仿宋" w:eastAsia="仿宋" w:hAnsi="仿宋" w:cs="仿宋" w:hint="eastAsia"/>
          <w:sz w:val="28"/>
          <w:szCs w:val="28"/>
          <w:lang w:eastAsia="zh-CN"/>
        </w:rPr>
        <w:t>的相关汇报服务材料。</w:t>
      </w:r>
      <w:r>
        <w:rPr>
          <w:rFonts w:ascii="仿宋" w:eastAsia="仿宋" w:hAnsi="仿宋" w:cs="仿宋" w:hint="eastAsia"/>
          <w:sz w:val="28"/>
          <w:szCs w:val="28"/>
          <w:lang w:val="en-US" w:eastAsia="zh-CN"/>
        </w:rPr>
        <w:t>要求</w:t>
      </w:r>
      <w:r>
        <w:rPr>
          <w:rFonts w:ascii="仿宋" w:eastAsia="仿宋" w:hAnsi="仿宋" w:cs="仿宋" w:hint="eastAsia"/>
          <w:sz w:val="28"/>
          <w:szCs w:val="28"/>
          <w:lang w:eastAsia="zh-CN"/>
        </w:rPr>
        <w:t>算法控制支持数据处理算法的启停与参数调整，可视化显示虫鸟反射率、速度、谱宽、差分反射率、相关系数等特征产品，</w:t>
      </w:r>
      <w:r>
        <w:rPr>
          <w:rFonts w:ascii="仿宋" w:eastAsia="仿宋" w:hAnsi="仿宋" w:cs="仿宋" w:hint="eastAsia"/>
          <w:sz w:val="28"/>
          <w:szCs w:val="28"/>
          <w:lang w:val="en-US" w:eastAsia="zh-CN"/>
        </w:rPr>
        <w:t>可</w:t>
      </w:r>
      <w:r>
        <w:rPr>
          <w:rFonts w:ascii="仿宋" w:eastAsia="仿宋" w:hAnsi="仿宋" w:cs="仿宋" w:hint="eastAsia"/>
          <w:sz w:val="28"/>
          <w:szCs w:val="28"/>
          <w:lang w:eastAsia="zh-CN"/>
        </w:rPr>
        <w:t>实时监测业务数据的传输状态</w:t>
      </w:r>
      <w:r>
        <w:rPr>
          <w:rFonts w:ascii="仿宋" w:eastAsia="仿宋" w:hAnsi="仿宋" w:cs="仿宋" w:hint="eastAsia"/>
          <w:sz w:val="28"/>
          <w:szCs w:val="28"/>
          <w:lang w:val="en-US" w:eastAsia="zh-CN"/>
        </w:rPr>
        <w:t>,可</w:t>
      </w:r>
      <w:r>
        <w:rPr>
          <w:rFonts w:ascii="仿宋" w:eastAsia="仿宋" w:hAnsi="仿宋" w:cs="仿宋" w:hint="eastAsia"/>
          <w:sz w:val="28"/>
          <w:szCs w:val="28"/>
          <w:lang w:eastAsia="zh-CN"/>
        </w:rPr>
        <w:t>展示各功能运行的工作日志。</w:t>
      </w:r>
    </w:p>
    <w:p>
      <w:pPr>
        <w:ind w:firstLine="560" w:firstLineChars="200"/>
        <w:rPr>
          <w:rFonts w:ascii="仿宋" w:eastAsia="仿宋" w:hAnsi="仿宋" w:cs="仿宋"/>
          <w:b/>
          <w:bCs/>
          <w:sz w:val="28"/>
        </w:rPr>
      </w:pPr>
      <w:r>
        <w:rPr>
          <w:rFonts w:ascii="仿宋" w:eastAsia="仿宋" w:hAnsi="仿宋" w:cs="仿宋" w:hint="eastAsia"/>
          <w:b/>
          <w:bCs/>
          <w:sz w:val="28"/>
        </w:rPr>
        <w:t>二、售后服务要求</w:t>
      </w:r>
    </w:p>
    <w:p>
      <w:pPr>
        <w:ind w:firstLine="560" w:firstLineChars="200"/>
        <w:rPr>
          <w:rFonts w:ascii="仿宋" w:eastAsia="仿宋" w:hAnsi="仿宋" w:cs="仿宋"/>
          <w:sz w:val="28"/>
        </w:rPr>
      </w:pPr>
      <w:r>
        <w:rPr>
          <w:rFonts w:ascii="仿宋" w:eastAsia="仿宋" w:hAnsi="仿宋" w:cs="仿宋" w:hint="eastAsia"/>
          <w:sz w:val="28"/>
          <w:lang w:val="en-US" w:eastAsia="zh-CN"/>
        </w:rPr>
        <w:t>设备供应商提供8年质保，并</w:t>
      </w:r>
      <w:r>
        <w:rPr>
          <w:rFonts w:ascii="仿宋" w:eastAsia="仿宋" w:hAnsi="仿宋" w:cs="仿宋" w:hint="eastAsia"/>
          <w:sz w:val="28"/>
        </w:rPr>
        <w:t>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rPr>
      </w:pPr>
      <w:r>
        <w:rPr>
          <w:rFonts w:ascii="仿宋" w:eastAsia="仿宋" w:hAnsi="仿宋" w:cs="仿宋" w:hint="eastAsia"/>
          <w:b/>
          <w:bCs/>
          <w:sz w:val="28"/>
        </w:rPr>
        <w:t>三、培训要求</w:t>
      </w:r>
    </w:p>
    <w:p>
      <w:pPr>
        <w:ind w:firstLine="560" w:firstLineChars="200"/>
        <w:rPr>
          <w:rFonts w:ascii="仿宋" w:eastAsia="仿宋" w:hAnsi="仿宋" w:cs="仿宋"/>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rPr>
      </w:pPr>
      <w:r>
        <w:rPr>
          <w:rFonts w:ascii="仿宋" w:eastAsia="仿宋" w:hAnsi="仿宋" w:cs="仿宋" w:hint="eastAsia"/>
          <w:sz w:val="28"/>
        </w:rPr>
        <w:t>设备供应商对每套投标产品提供至少2次技术培训，培训课时</w:t>
      </w:r>
      <w:r>
        <w:rPr>
          <w:rFonts w:ascii="仿宋" w:eastAsia="仿宋" w:hAnsi="仿宋" w:cs="仿宋"/>
          <w:sz w:val="28"/>
        </w:rPr>
        <w:t>不少于6</w:t>
      </w:r>
      <w:r>
        <w:rPr>
          <w:rFonts w:ascii="仿宋" w:eastAsia="仿宋" w:hAnsi="仿宋" w:cs="仿宋" w:hint="eastAsia"/>
          <w:sz w:val="28"/>
        </w:rPr>
        <w:t>个</w:t>
      </w:r>
      <w:r>
        <w:rPr>
          <w:rFonts w:ascii="仿宋" w:eastAsia="仿宋" w:hAnsi="仿宋" w:cs="仿宋"/>
          <w:sz w:val="28"/>
        </w:rPr>
        <w:t>课时，培训人数不少于</w:t>
      </w:r>
      <w:r>
        <w:rPr>
          <w:rFonts w:ascii="仿宋" w:eastAsia="仿宋" w:hAnsi="仿宋" w:cs="仿宋" w:hint="eastAsia"/>
          <w:sz w:val="28"/>
          <w:lang w:val="en-US" w:eastAsia="zh-CN"/>
        </w:rPr>
        <w:t>4</w:t>
      </w:r>
      <w:r>
        <w:rPr>
          <w:rFonts w:ascii="仿宋" w:eastAsia="仿宋" w:hAnsi="仿宋" w:cs="仿宋" w:hint="eastAsia"/>
          <w:sz w:val="28"/>
        </w:rPr>
        <w:t>人</w:t>
      </w:r>
      <w:r>
        <w:rPr>
          <w:rFonts w:ascii="仿宋" w:eastAsia="仿宋" w:hAnsi="仿宋" w:cs="仿宋"/>
          <w:sz w:val="28"/>
        </w:rPr>
        <w:t>。</w:t>
      </w:r>
      <w:r>
        <w:rPr>
          <w:rFonts w:ascii="仿宋" w:eastAsia="仿宋" w:hAnsi="仿宋" w:cs="仿宋" w:hint="eastAsia"/>
          <w:sz w:val="28"/>
        </w:rPr>
        <w:t>培训内容包括设备安装、使用、日常维护、观测原理及产品应用，培训时间及地点双方协商确定。</w:t>
      </w:r>
    </w:p>
    <w:p>
      <w:pPr>
        <w:ind w:firstLine="560" w:firstLineChars="200"/>
        <w:rPr>
          <w:rFonts w:ascii="仿宋" w:eastAsia="仿宋" w:hAnsi="仿宋" w:cs="仿宋"/>
          <w:b/>
          <w:bCs/>
          <w:sz w:val="28"/>
        </w:rPr>
      </w:pPr>
      <w:r>
        <w:rPr>
          <w:rFonts w:ascii="仿宋" w:eastAsia="仿宋" w:hAnsi="仿宋" w:cs="仿宋" w:hint="eastAsia"/>
          <w:b/>
          <w:bCs/>
          <w:sz w:val="28"/>
        </w:rPr>
        <w:t>四、交货要求及履约地点</w:t>
      </w:r>
    </w:p>
    <w:p>
      <w:pPr>
        <w:ind w:firstLine="560" w:firstLineChars="200"/>
        <w:rPr>
          <w:rFonts w:ascii="仿宋" w:eastAsia="仿宋" w:hAnsi="仿宋" w:cs="仿宋"/>
          <w:color w:val="auto"/>
          <w:sz w:val="28"/>
          <w:highlight w:val="none"/>
        </w:rPr>
      </w:pPr>
      <w:r>
        <w:rPr>
          <w:rFonts w:ascii="仿宋" w:eastAsia="仿宋" w:hAnsi="仿宋" w:cs="仿宋" w:hint="eastAsia"/>
          <w:color w:val="auto"/>
          <w:sz w:val="28"/>
          <w:highlight w:val="none"/>
        </w:rPr>
        <w:t>中标供应商将所有设备运送至山西</w:t>
      </w:r>
      <w:r>
        <w:rPr>
          <w:rFonts w:ascii="仿宋" w:eastAsia="仿宋" w:hAnsi="仿宋" w:cs="仿宋" w:hint="eastAsia"/>
          <w:color w:val="auto"/>
          <w:sz w:val="28"/>
          <w:highlight w:val="none"/>
          <w:lang w:val="en-US" w:eastAsia="zh-CN"/>
        </w:rPr>
        <w:t>省临汾市气象局雷达站（</w:t>
      </w:r>
      <w:r>
        <w:rPr>
          <w:rFonts w:ascii="仿宋" w:eastAsia="仿宋" w:hAnsi="仿宋" w:cs="仿宋" w:hint="eastAsia"/>
          <w:color w:val="auto"/>
          <w:sz w:val="28"/>
          <w:highlight w:val="none"/>
        </w:rPr>
        <w:t>运输相关费用由供应商负责），并负责安装调试。</w:t>
      </w:r>
    </w:p>
    <w:p>
      <w:pPr>
        <w:ind w:firstLine="560" w:firstLineChars="200"/>
        <w:rPr>
          <w:rFonts w:ascii="仿宋" w:eastAsia="仿宋" w:hAnsi="仿宋" w:cs="仿宋"/>
          <w:b/>
          <w:bCs/>
          <w:sz w:val="28"/>
        </w:rPr>
      </w:pPr>
      <w:r>
        <w:rPr>
          <w:rFonts w:ascii="仿宋" w:eastAsia="仿宋" w:hAnsi="仿宋" w:cs="仿宋" w:hint="eastAsia"/>
          <w:sz w:val="28"/>
        </w:rPr>
        <w:t>合同签订后</w:t>
      </w:r>
      <w:r>
        <w:rPr>
          <w:rFonts w:ascii="仿宋" w:eastAsia="仿宋" w:hAnsi="仿宋" w:cs="仿宋" w:hint="eastAsia"/>
          <w:sz w:val="28"/>
          <w:lang w:val="en-US" w:eastAsia="zh-CN"/>
        </w:rPr>
        <w:t>30</w:t>
      </w:r>
      <w:r>
        <w:rPr>
          <w:rFonts w:ascii="仿宋" w:eastAsia="仿宋" w:hAnsi="仿宋" w:cs="仿宋" w:hint="eastAsia"/>
          <w:sz w:val="28"/>
        </w:rPr>
        <w:t>天内交货，</w:t>
      </w:r>
      <w:r>
        <w:rPr>
          <w:rFonts w:ascii="仿宋" w:eastAsia="仿宋" w:hAnsi="仿宋" w:cs="仿宋" w:hint="eastAsia"/>
          <w:sz w:val="28"/>
          <w:lang w:val="en-US" w:eastAsia="zh-CN"/>
        </w:rPr>
        <w:t>6</w:t>
      </w:r>
      <w:r>
        <w:rPr>
          <w:rFonts w:ascii="仿宋" w:eastAsia="仿宋" w:hAnsi="仿宋" w:cs="仿宋" w:hint="eastAsia"/>
          <w:sz w:val="28"/>
        </w:rPr>
        <w:t>0天内完成安装调试并具备</w:t>
      </w:r>
      <w:r>
        <w:rPr>
          <w:rFonts w:ascii="仿宋" w:eastAsia="仿宋" w:hAnsi="仿宋" w:cs="仿宋" w:hint="eastAsia"/>
          <w:sz w:val="28"/>
          <w:lang w:val="en-US" w:eastAsia="zh-CN"/>
        </w:rPr>
        <w:t>试运行</w:t>
      </w:r>
      <w:r>
        <w:rPr>
          <w:rFonts w:ascii="仿宋" w:eastAsia="仿宋" w:hAnsi="仿宋" w:cs="仿宋" w:hint="eastAsia"/>
          <w:sz w:val="28"/>
        </w:rPr>
        <w:t>条件</w:t>
      </w:r>
      <w:r>
        <w:rPr>
          <w:rFonts w:ascii="仿宋" w:eastAsia="仿宋" w:hAnsi="仿宋" w:cs="仿宋" w:hint="eastAsia"/>
          <w:sz w:val="28"/>
          <w:lang w:eastAsia="zh-CN"/>
        </w:rPr>
        <w:t>。</w:t>
      </w:r>
      <w:r>
        <w:rPr>
          <w:rFonts w:ascii="仿宋" w:eastAsia="仿宋" w:hAnsi="仿宋" w:cs="仿宋" w:hint="eastAsia"/>
          <w:sz w:val="28"/>
        </w:rPr>
        <w:br/>
      </w:r>
      <w:r>
        <w:rPr>
          <w:rFonts w:ascii="仿宋" w:eastAsia="仿宋" w:hAnsi="仿宋" w:cs="仿宋" w:hint="eastAsia"/>
          <w:b/>
          <w:bCs/>
          <w:sz w:val="28"/>
        </w:rPr>
        <w:t>五、服务团队要求</w:t>
      </w:r>
    </w:p>
    <w:p>
      <w:pPr>
        <w:ind w:firstLine="560" w:firstLineChars="200"/>
        <w:rPr>
          <w:rFonts w:ascii="仿宋" w:eastAsia="仿宋" w:hAnsi="仿宋" w:cs="仿宋"/>
          <w:sz w:val="28"/>
        </w:rPr>
      </w:pPr>
      <w:r>
        <w:rPr>
          <w:rFonts w:ascii="仿宋" w:eastAsia="仿宋" w:hAnsi="仿宋" w:cs="仿宋" w:hint="eastAsia"/>
          <w:sz w:val="28"/>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rPr>
      </w:pPr>
      <w:r>
        <w:rPr>
          <w:rFonts w:ascii="仿宋" w:eastAsia="仿宋" w:hAnsi="仿宋" w:cs="仿宋" w:hint="eastAsia"/>
          <w:b/>
          <w:bCs/>
          <w:sz w:val="28"/>
        </w:rPr>
        <w:t>六、投标产品软件兼容性要求</w:t>
      </w:r>
    </w:p>
    <w:p>
      <w:pPr>
        <w:ind w:firstLine="560" w:firstLineChars="200"/>
      </w:pPr>
      <w:r>
        <w:rPr>
          <w:rFonts w:ascii="仿宋" w:eastAsia="仿宋" w:hAnsi="仿宋" w:cs="仿宋" w:hint="eastAsia"/>
          <w:sz w:val="28"/>
          <w:highlight w:val="none"/>
          <w:lang w:val="en-US" w:eastAsia="zh-CN"/>
        </w:rPr>
        <w:t>中标供应商提供的</w:t>
      </w:r>
      <w:r>
        <w:rPr>
          <w:rFonts w:ascii="仿宋" w:eastAsia="仿宋" w:hAnsi="仿宋" w:cs="仿宋" w:hint="eastAsia"/>
          <w:sz w:val="28"/>
          <w:highlight w:val="none"/>
        </w:rPr>
        <w:t>软件</w:t>
      </w:r>
      <w:r>
        <w:rPr>
          <w:rFonts w:ascii="仿宋" w:eastAsia="仿宋" w:hAnsi="仿宋" w:cs="仿宋" w:hint="eastAsia"/>
          <w:sz w:val="28"/>
          <w:highlight w:val="none"/>
          <w:lang w:val="en-US" w:eastAsia="zh-CN"/>
        </w:rPr>
        <w:t>不应影响原有业务。</w:t>
      </w:r>
      <w:r>
        <w:rPr>
          <w:rFonts w:ascii="仿宋" w:eastAsia="仿宋" w:hAnsi="仿宋" w:cs="仿宋" w:hint="eastAsia"/>
          <w:sz w:val="28"/>
          <w:highlight w:val="none"/>
        </w:rPr>
        <w:br/>
      </w:r>
      <w:r>
        <w:rPr>
          <w:rFonts w:ascii="仿宋" w:eastAsia="仿宋" w:hAnsi="仿宋" w:cs="仿宋" w:hint="eastAsia"/>
          <w:sz w:val="28"/>
        </w:rPr>
        <w:t xml:space="preserve">   </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46"/>
        </w:trPr>
        <w:tc>
          <w:tcPr>
            <w:tcW w:w="544" w:type="dxa"/>
            <w:vAlign w:val="center"/>
          </w:tcPr>
          <w:p>
            <w:pPr>
              <w:rPr>
                <w:rFonts w:hint="eastAsia"/>
                <w:sz w:val="18"/>
                <w:szCs w:val="18"/>
                <w:highlight w:val="none"/>
              </w:rPr>
            </w:pPr>
            <w:r>
              <w:rPr>
                <w:rFonts w:hint="eastAsia"/>
                <w:sz w:val="18"/>
                <w:szCs w:val="18"/>
                <w:highlight w:val="none"/>
              </w:rPr>
              <w:t>序号</w:t>
            </w:r>
          </w:p>
        </w:tc>
        <w:tc>
          <w:tcPr>
            <w:tcW w:w="898" w:type="dxa"/>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vAlign w:val="center"/>
          </w:tcPr>
          <w:p>
            <w:pPr>
              <w:jc w:val="center"/>
              <w:rPr>
                <w:rFonts w:hint="eastAsia"/>
                <w:sz w:val="18"/>
                <w:szCs w:val="18"/>
                <w:highlight w:val="none"/>
              </w:rPr>
            </w:pPr>
            <w:r>
              <w:rPr>
                <w:rFonts w:hint="eastAsia"/>
                <w:sz w:val="18"/>
                <w:szCs w:val="18"/>
                <w:highlight w:val="none"/>
              </w:rPr>
              <w:t>内 容</w:t>
            </w:r>
          </w:p>
        </w:tc>
      </w:tr>
      <w:tr>
        <w:tblPrEx>
          <w:tblW w:w="8789" w:type="dxa"/>
          <w:tblLayout w:type="fixed"/>
          <w:tblCellMar>
            <w:top w:w="0" w:type="dxa"/>
            <w:left w:w="108" w:type="dxa"/>
            <w:bottom w:w="0" w:type="dxa"/>
            <w:right w:w="108" w:type="dxa"/>
          </w:tblCellMar>
          <w:tblLook w:val="0000"/>
        </w:tblPrEx>
        <w:trPr>
          <w:cantSplit/>
        </w:trPr>
        <w:tc>
          <w:tcPr>
            <w:tcW w:w="8789" w:type="dxa"/>
            <w:gridSpan w:val="3"/>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Layout w:type="fixed"/>
          <w:tblCellMar>
            <w:top w:w="0" w:type="dxa"/>
            <w:left w:w="108" w:type="dxa"/>
            <w:bottom w:w="0" w:type="dxa"/>
            <w:right w:w="108" w:type="dxa"/>
          </w:tblCellMar>
          <w:tblLook w:val="0000"/>
        </w:tblPrEx>
        <w:trPr>
          <w:cantSplit/>
        </w:trPr>
        <w:tc>
          <w:tcPr>
            <w:tcW w:w="544" w:type="dxa"/>
            <w:vAlign w:val="center"/>
          </w:tcPr>
          <w:p>
            <w:pPr>
              <w:numPr>
                <w:ilvl w:val="0"/>
                <w:numId w:val="23"/>
              </w:numPr>
              <w:ind w:left="420" w:leftChars="0" w:firstLineChars="0"/>
              <w:rPr>
                <w:rFonts w:ascii="宋体" w:hAnsi="宋体" w:hint="eastAsia"/>
                <w:sz w:val="18"/>
                <w:szCs w:val="18"/>
                <w:highlight w:val="none"/>
              </w:rPr>
            </w:pPr>
          </w:p>
        </w:tc>
        <w:tc>
          <w:tcPr>
            <w:tcW w:w="898" w:type="dxa"/>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Layout w:type="fixed"/>
          <w:tblCellMar>
            <w:top w:w="0" w:type="dxa"/>
            <w:left w:w="108" w:type="dxa"/>
            <w:bottom w:w="0" w:type="dxa"/>
            <w:right w:w="108" w:type="dxa"/>
          </w:tblCellMar>
          <w:tblLook w:val="0000"/>
        </w:tblPrEx>
        <w:trPr>
          <w:cantSplit/>
        </w:trPr>
        <w:tc>
          <w:tcPr>
            <w:tcW w:w="8789" w:type="dxa"/>
            <w:gridSpan w:val="3"/>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Layout w:type="fixed"/>
          <w:tblCellMar>
            <w:top w:w="0" w:type="dxa"/>
            <w:left w:w="108" w:type="dxa"/>
            <w:bottom w:w="0" w:type="dxa"/>
            <w:right w:w="108" w:type="dxa"/>
          </w:tblCellMar>
          <w:tblLook w:val="0000"/>
        </w:tblPrEx>
        <w:trPr>
          <w:cantSplit/>
        </w:trPr>
        <w:tc>
          <w:tcPr>
            <w:tcW w:w="544" w:type="dxa"/>
            <w:vAlign w:val="center"/>
          </w:tcPr>
          <w:p>
            <w:pPr>
              <w:numPr>
                <w:ilvl w:val="0"/>
                <w:numId w:val="23"/>
              </w:numPr>
              <w:ind w:left="420" w:leftChars="0" w:firstLineChars="0"/>
              <w:rPr>
                <w:rFonts w:ascii="宋体" w:hAnsi="宋体" w:hint="eastAsia"/>
                <w:sz w:val="18"/>
                <w:szCs w:val="18"/>
                <w:highlight w:val="none"/>
              </w:rPr>
            </w:pPr>
          </w:p>
        </w:tc>
        <w:tc>
          <w:tcPr>
            <w:tcW w:w="898" w:type="dxa"/>
            <w:vAlign w:val="center"/>
          </w:tcPr>
          <w:p>
            <w:pPr>
              <w:jc w:val="center"/>
              <w:rPr>
                <w:rFonts w:ascii="宋体" w:hAnsi="宋体" w:hint="eastAsia"/>
                <w:sz w:val="18"/>
                <w:szCs w:val="18"/>
                <w:highlight w:val="none"/>
              </w:rPr>
            </w:pPr>
          </w:p>
        </w:tc>
        <w:tc>
          <w:tcPr>
            <w:tcW w:w="7347" w:type="dxa"/>
            <w:vAlign w:val="center"/>
          </w:tcPr>
          <w:p>
            <w:pPr>
              <w:tabs>
                <w:tab w:val="left" w:pos="709"/>
              </w:tabs>
              <w:spacing w:line="360" w:lineRule="auto"/>
              <w:jc w:val="left"/>
              <w:rPr>
                <w:rFonts w:ascii="宋体" w:hAnsi="宋体" w:hint="default"/>
                <w:sz w:val="18"/>
                <w:szCs w:val="18"/>
                <w:highlight w:val="none"/>
              </w:rPr>
            </w:pPr>
            <w:r>
              <w:rPr>
                <w:rFonts w:ascii="宋体" w:hAnsi="宋体" w:cs="微软雅黑" w:hint="eastAsia"/>
                <w:b/>
                <w:color w:val="0000FF"/>
                <w:kern w:val="0"/>
                <w:sz w:val="18"/>
                <w:szCs w:val="18"/>
                <w:highlight w:val="none"/>
                <w:lang w:val="en-US" w:eastAsia="zh-CN"/>
              </w:rPr>
              <w:t>设备应提供8年质保</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pStyle w:val="BodyText"/>
        <w:spacing w:after="0"/>
        <w:jc w:val="center"/>
        <w:rPr>
          <w:rFonts w:ascii="宋体" w:hAnsi="宋体" w:cs="宋体"/>
          <w:b/>
          <w:bCs/>
          <w:spacing w:val="-20"/>
          <w:kern w:val="44"/>
          <w:sz w:val="48"/>
          <w:szCs w:val="48"/>
          <w:highlight w:val="none"/>
        </w:rPr>
      </w:pPr>
      <w:bookmarkStart w:id="71" w:name="采购公告合同部分_ZBGGHT"/>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1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甲乙双方完成合同签署后，甲方向乙方支付合同总额的30%；</w:t>
      </w:r>
    </w:p>
    <w:p>
      <w:pPr>
        <w:snapToGrid w:val="0"/>
        <w:spacing w:line="400" w:lineRule="exact"/>
        <w:ind w:firstLine="630" w:firstLineChars="300"/>
        <w:rPr>
          <w:rFonts w:hint="eastAsia"/>
          <w:highlight w:val="none"/>
        </w:rPr>
      </w:pPr>
      <w:r>
        <w:rPr>
          <w:rFonts w:ascii="宋体" w:hAnsi="宋体" w:hint="eastAsia"/>
          <w:szCs w:val="21"/>
          <w:highlight w:val="none"/>
          <w:u w:val="single"/>
        </w:rPr>
        <w:t>硬件、软件安装完成</w:t>
      </w:r>
      <w:r>
        <w:rPr>
          <w:rFonts w:ascii="宋体" w:hAnsi="宋体" w:hint="eastAsia"/>
          <w:szCs w:val="21"/>
          <w:highlight w:val="none"/>
          <w:u w:val="single"/>
          <w:lang w:eastAsia="zh-CN"/>
        </w:rPr>
        <w:t>、</w:t>
      </w:r>
      <w:r>
        <w:rPr>
          <w:rFonts w:ascii="宋体" w:hAnsi="宋体" w:hint="eastAsia"/>
          <w:szCs w:val="21"/>
          <w:highlight w:val="none"/>
          <w:u w:val="single"/>
        </w:rPr>
        <w:t>测试合格后甲方向乙方支付合同总额的40%；</w:t>
      </w:r>
      <w:r>
        <w:rPr>
          <w:rFonts w:ascii="宋体" w:hAnsi="宋体" w:hint="eastAsia"/>
          <w:szCs w:val="21"/>
          <w:highlight w:val="none"/>
          <w:u w:val="single"/>
          <w:lang w:val="en-US" w:eastAsia="zh-CN"/>
        </w:rPr>
        <w:t>剩余款项在</w:t>
      </w:r>
      <w:r>
        <w:rPr>
          <w:rFonts w:ascii="宋体" w:hAnsi="宋体" w:hint="eastAsia"/>
          <w:szCs w:val="21"/>
          <w:highlight w:val="none"/>
          <w:u w:val="single"/>
        </w:rPr>
        <w:t>项目验收后</w:t>
      </w:r>
      <w:r>
        <w:rPr>
          <w:rFonts w:ascii="宋体" w:hAnsi="宋体" w:hint="eastAsia"/>
          <w:szCs w:val="21"/>
          <w:highlight w:val="none"/>
          <w:u w:val="single"/>
          <w:lang w:val="en-US" w:eastAsia="zh-CN"/>
        </w:rPr>
        <w:t>支付</w:t>
      </w:r>
      <w:r>
        <w:rPr>
          <w:rFonts w:ascii="宋体" w:hAnsi="宋体" w:hint="eastAsia"/>
          <w:szCs w:val="21"/>
          <w:highlight w:val="none"/>
          <w:u w:val="single"/>
        </w:rPr>
        <w:t xml:space="preserve"> </w:t>
      </w:r>
      <w:r>
        <w:rPr>
          <w:rFonts w:ascii="宋体" w:hAnsi="宋体" w:hint="eastAsia"/>
          <w:szCs w:val="21"/>
          <w:highlight w:val="none"/>
          <w:u w:val="singl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1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合同总额3%的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一年</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1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1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1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1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2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2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2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6F64DA8"/>
    <w:multiLevelType w:val="multilevel"/>
    <w:tmpl w:val="06F64DA8"/>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BBC6F1F"/>
    <w:multiLevelType w:val="multilevel"/>
    <w:tmpl w:val="0BBC6F1F"/>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107B67A5"/>
    <w:multiLevelType w:val="multilevel"/>
    <w:tmpl w:val="107B67A5"/>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nsid w:val="10955608"/>
    <w:multiLevelType w:val="multilevel"/>
    <w:tmpl w:val="10955608"/>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nsid w:val="20047B30"/>
    <w:multiLevelType w:val="multilevel"/>
    <w:tmpl w:val="20047B30"/>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231A4403"/>
    <w:multiLevelType w:val="multilevel"/>
    <w:tmpl w:val="231A4403"/>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6">
    <w:nsid w:val="2E65223A"/>
    <w:multiLevelType w:val="multilevel"/>
    <w:tmpl w:val="2E65223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74B07E9"/>
    <w:multiLevelType w:val="multilevel"/>
    <w:tmpl w:val="374B07E9"/>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8">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9">
    <w:nsid w:val="51142CA2"/>
    <w:multiLevelType w:val="multilevel"/>
    <w:tmpl w:val="51142CA2"/>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nsid w:val="61BF2CEC"/>
    <w:multiLevelType w:val="multilevel"/>
    <w:tmpl w:val="61BF2CEC"/>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21">
    <w:nsid w:val="6B927D41"/>
    <w:multiLevelType w:val="multilevel"/>
    <w:tmpl w:val="6B927D41"/>
    <w:lvl w:ilvl="0">
      <w:start w:val="1"/>
      <w:numFmt w:val="lowerLetter"/>
      <w:lvlText w:val="%1）"/>
      <w:lvlJc w:val="left"/>
      <w:pPr>
        <w:ind w:left="440" w:hanging="440"/>
      </w:pPr>
      <w:rPr>
        <w:rFonts w:hint="eastAsia"/>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9"/>
  </w:num>
  <w:num w:numId="4">
    <w:abstractNumId w:val="14"/>
  </w:num>
  <w:num w:numId="5">
    <w:abstractNumId w:val="21"/>
  </w:num>
  <w:num w:numId="6">
    <w:abstractNumId w:val="8"/>
  </w:num>
  <w:num w:numId="7">
    <w:abstractNumId w:val="12"/>
  </w:num>
  <w:num w:numId="8">
    <w:abstractNumId w:val="19"/>
  </w:num>
  <w:num w:numId="9">
    <w:abstractNumId w:val="17"/>
  </w:num>
  <w:num w:numId="10">
    <w:abstractNumId w:val="11"/>
  </w:num>
  <w:num w:numId="11">
    <w:abstractNumId w:val="20"/>
  </w:num>
  <w:num w:numId="12">
    <w:abstractNumId w:val="15"/>
  </w:num>
  <w:num w:numId="13">
    <w:abstractNumId w:val="13"/>
  </w:num>
  <w:num w:numId="14">
    <w:abstractNumId w:val="10"/>
  </w:num>
  <w:num w:numId="15">
    <w:abstractNumId w:val="22"/>
  </w:num>
  <w:num w:numId="16">
    <w:abstractNumId w:val="1"/>
  </w:num>
  <w:num w:numId="17">
    <w:abstractNumId w:val="5"/>
  </w:num>
  <w:num w:numId="18">
    <w:abstractNumId w:val="3"/>
  </w:num>
  <w:num w:numId="19">
    <w:abstractNumId w:val="2"/>
  </w:num>
  <w:num w:numId="20">
    <w:abstractNumId w:val="18"/>
  </w:num>
  <w:num w:numId="21">
    <w:abstractNumId w:val="0"/>
  </w:num>
  <w:num w:numId="22">
    <w:abstractNumId w:val="4"/>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