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 xml:space="preserve"> 2025年河北省闪电测绘阵列设备建设-2025年河北、北京闪电测绘阵列设备采购（重新招标）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ZQCD-25450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河北省气象技术装备中心;北京市气象探测中心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 xml:space="preserve"> 2025年河北省闪电测绘阵列设备建设-2025年河北、北京闪电测绘阵列设备采购（重新招标）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ZQCD-25450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合同签订后135天内完成安装调试并具备验收条件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河北省内、北京市内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2025年12月04日 00:00:00</w:t>
      </w:r>
      <w:bookmarkEnd w:id="26"/>
      <w:r>
        <w:rPr>
          <w:rFonts w:ascii="宋体" w:hint="eastAsia"/>
          <w:szCs w:val="21"/>
          <w:highlight w:val="none"/>
        </w:rPr>
        <w:t>至</w:t>
      </w:r>
      <w:bookmarkStart w:id="27" w:name="项目公告_signUpLastTime"/>
      <w:r>
        <w:rPr>
          <w:rFonts w:ascii="宋体" w:hint="eastAsia"/>
          <w:szCs w:val="21"/>
          <w:highlight w:val="none"/>
        </w:rPr>
        <w:t>2025年12月11日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河北省气象技术装备中心;北京市气象探测中心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孔祥如</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0311-66730709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河北省石家庄市裕华区槐中路253号河北省气象局南院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河北省气象技术装备中心;北京市气象探测中心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不允许（仅针对以下产品：闪电测绘阵列不允许代理商投标）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设有，核心产品为闪电测绘阵列</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（1）标的：闪电测绘阵列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628.800000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628.800000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销售合同必须包括闪电测绘阵列，每提供1份合同得1分，最多得5分。否则不得分。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针对本项目采购的闪电测绘阵列，</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针对闪电测绘阵列设备，每提供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针对闪电测绘阵列设备，测试报告应涵盖工作温度、贮存温度、最大湿度等内容，每包含一项得1分，最多得3分。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ascii="Times New Roman" w:eastAsia="仿宋" w:hAnsi="Times New Roman" w:cs="Times New Roman"/>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bookmarkStart w:id="61" w:name="_Hlk193895004"/>
      <w:r>
        <w:rPr>
          <w:rFonts w:ascii="仿宋" w:eastAsia="仿宋" w:hAnsi="仿宋" w:cs="仿宋" w:hint="eastAsia"/>
          <w:sz w:val="28"/>
          <w:szCs w:val="28"/>
        </w:rPr>
        <w:t>3.1 闪电测绘阵列技术指标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闪电测绘阵列至少由5个子站组网，为保证定位结果的可靠性与准确性，推荐由7个及以上子站组成闪电测绘阵列，站间距10~50 km，应长短混合布局，网型以星型分布为优。</w:t>
      </w:r>
      <w:r>
        <w:rPr>
          <w:rFonts w:ascii="仿宋" w:eastAsia="仿宋" w:hAnsi="仿宋" w:cs="仿宋" w:hint="eastAsia"/>
          <w:color w:val="0000FF"/>
          <w:sz w:val="28"/>
          <w:szCs w:val="28"/>
          <w:lang w:val="en-US" w:eastAsia="zh-CN"/>
        </w:rPr>
        <w:t>子站可融入到国家级雷电业务，数据处理系统可集成到国家级雷电业务软件。</w:t>
      </w:r>
      <w:r>
        <w:rPr>
          <w:rFonts w:ascii="仿宋" w:eastAsia="仿宋" w:hAnsi="仿宋" w:cs="仿宋" w:hint="eastAsia"/>
          <w:sz w:val="28"/>
          <w:szCs w:val="28"/>
        </w:rPr>
        <w:t>具体指标见表1。</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表1 闪电测绘阵列技术指标</w:t>
      </w:r>
    </w:p>
    <w:tbl>
      <w:tblPr>
        <w:tblStyle w:val="TableNormal"/>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442"/>
        <w:gridCol w:w="2916"/>
        <w:gridCol w:w="3496"/>
      </w:tblGrid>
      <w:tr>
        <w:tblPrEx>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442" w:type="dxa"/>
            <w:shd w:val="clear" w:color="auto" w:fill="D7D7D7"/>
            <w:vAlign w:val="center"/>
          </w:tcPr>
          <w:p>
            <w:pPr>
              <w:tabs>
                <w:tab w:val="left" w:pos="432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项目</w:t>
            </w:r>
          </w:p>
        </w:tc>
        <w:tc>
          <w:tcPr>
            <w:tcW w:w="2916" w:type="dxa"/>
            <w:shd w:val="clear" w:color="auto" w:fill="D7D7D7"/>
            <w:vAlign w:val="center"/>
          </w:tcPr>
          <w:p>
            <w:pPr>
              <w:tabs>
                <w:tab w:val="left" w:pos="432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技术指标</w:t>
            </w:r>
          </w:p>
        </w:tc>
        <w:tc>
          <w:tcPr>
            <w:tcW w:w="3496" w:type="dxa"/>
            <w:shd w:val="clear" w:color="auto" w:fill="D7D7D7"/>
            <w:vAlign w:val="center"/>
          </w:tcPr>
          <w:p>
            <w:pPr>
              <w:tabs>
                <w:tab w:val="left" w:pos="4320"/>
                <w:tab w:val="left" w:pos="777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备注</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定位结果时间精度</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100 ns</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量化精度</w:t>
            </w:r>
          </w:p>
        </w:tc>
      </w:tr>
      <w:tr>
        <w:tblPrEx>
          <w:tblW w:w="8854" w:type="dxa"/>
          <w:jc w:val="center"/>
          <w:tblLayout w:type="fixed"/>
          <w:tblCellMar>
            <w:top w:w="0" w:type="dxa"/>
            <w:left w:w="108" w:type="dxa"/>
            <w:bottom w:w="0" w:type="dxa"/>
            <w:right w:w="108" w:type="dxa"/>
          </w:tblCellMar>
          <w:tblLook w:val="0000"/>
        </w:tblPrEx>
        <w:trPr>
          <w:trHeight w:val="90"/>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定位时间分辨率</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实时定位：</w:t>
            </w:r>
            <w:r>
              <w:rPr>
                <w:rFonts w:ascii="仿宋" w:eastAsia="仿宋" w:hAnsi="仿宋" w:cs="仿宋" w:hint="eastAsia"/>
                <w:sz w:val="24"/>
              </w:rPr>
              <w:t>≤</w:t>
            </w:r>
            <w:r>
              <w:rPr>
                <w:rFonts w:ascii="仿宋" w:eastAsia="仿宋" w:hAnsi="仿宋" w:cs="仿宋" w:hint="eastAsia"/>
                <w:sz w:val="24"/>
              </w:rPr>
              <w:t xml:space="preserve">400 </w:t>
            </w:r>
            <w:r>
              <w:rPr>
                <w:rFonts w:ascii="仿宋" w:eastAsia="仿宋" w:hAnsi="仿宋" w:cs="仿宋" w:hint="eastAsia"/>
                <w:sz w:val="24"/>
              </w:rPr>
              <w:t>μ</w:t>
            </w:r>
            <w:r>
              <w:rPr>
                <w:rFonts w:ascii="仿宋" w:eastAsia="仿宋" w:hAnsi="仿宋" w:cs="仿宋" w:hint="eastAsia"/>
                <w:sz w:val="24"/>
              </w:rPr>
              <w:t>s</w:t>
            </w:r>
          </w:p>
          <w:p>
            <w:pPr>
              <w:jc w:val="center"/>
              <w:rPr>
                <w:rFonts w:ascii="仿宋" w:eastAsia="仿宋" w:hAnsi="仿宋" w:cs="仿宋" w:hint="eastAsia"/>
              </w:rPr>
            </w:pPr>
            <w:r>
              <w:rPr>
                <w:rFonts w:ascii="仿宋" w:eastAsia="仿宋" w:hAnsi="仿宋" w:cs="仿宋" w:hint="eastAsia"/>
                <w:sz w:val="24"/>
              </w:rPr>
              <w:t>重定位：</w:t>
            </w:r>
            <w:r>
              <w:rPr>
                <w:rFonts w:ascii="仿宋" w:eastAsia="仿宋" w:hAnsi="仿宋" w:cs="仿宋" w:hint="eastAsia"/>
                <w:sz w:val="24"/>
              </w:rPr>
              <w:t>≤</w:t>
            </w:r>
            <w:r>
              <w:rPr>
                <w:rFonts w:ascii="仿宋" w:eastAsia="仿宋" w:hAnsi="仿宋" w:cs="仿宋" w:hint="eastAsia"/>
                <w:sz w:val="24"/>
              </w:rPr>
              <w:t xml:space="preserve">80 </w:t>
            </w:r>
            <w:r>
              <w:rPr>
                <w:rFonts w:ascii="仿宋" w:eastAsia="仿宋" w:hAnsi="仿宋" w:cs="仿宋" w:hint="eastAsia"/>
                <w:sz w:val="24"/>
              </w:rPr>
              <w:t>μ</w:t>
            </w:r>
            <w:r>
              <w:rPr>
                <w:rFonts w:ascii="仿宋" w:eastAsia="仿宋" w:hAnsi="仿宋" w:cs="仿宋" w:hint="eastAsia"/>
                <w:sz w:val="24"/>
              </w:rPr>
              <w:t>s</w:t>
            </w:r>
          </w:p>
        </w:tc>
        <w:tc>
          <w:tcPr>
            <w:tcW w:w="3496" w:type="dxa"/>
            <w:vAlign w:val="center"/>
          </w:tcPr>
          <w:p>
            <w:pPr>
              <w:jc w:val="center"/>
              <w:rPr>
                <w:rFonts w:ascii="仿宋" w:eastAsia="仿宋" w:hAnsi="仿宋" w:cs="仿宋" w:hint="eastAsia"/>
              </w:rPr>
            </w:pP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定位精度</w:t>
            </w:r>
          </w:p>
        </w:tc>
        <w:tc>
          <w:tcPr>
            <w:tcW w:w="2916"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水平：</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50 m</w:t>
            </w:r>
          </w:p>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垂直：</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100 m</w:t>
            </w:r>
          </w:p>
        </w:tc>
        <w:tc>
          <w:tcPr>
            <w:tcW w:w="3496"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网内（注1）</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通道刻画能力</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单个闪电的辐射源定位数量不少于50个</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网内平均值；</w:t>
            </w:r>
          </w:p>
          <w:p>
            <w:pPr>
              <w:jc w:val="center"/>
              <w:rPr>
                <w:rFonts w:ascii="仿宋" w:eastAsia="仿宋" w:hAnsi="仿宋" w:cs="仿宋" w:hint="eastAsia"/>
              </w:rPr>
            </w:pPr>
            <w:r>
              <w:rPr>
                <w:rFonts w:ascii="仿宋" w:eastAsia="仿宋" w:hAnsi="仿宋" w:cs="仿宋" w:hint="eastAsia"/>
                <w:sz w:val="24"/>
              </w:rPr>
              <w:t>以持续时间</w:t>
            </w:r>
            <w:r>
              <w:rPr>
                <w:rFonts w:ascii="仿宋" w:eastAsia="仿宋" w:hAnsi="仿宋" w:cs="仿宋" w:hint="eastAsia"/>
                <w:sz w:val="24"/>
              </w:rPr>
              <w:t>≈</w:t>
            </w:r>
            <w:r>
              <w:rPr>
                <w:rFonts w:ascii="仿宋" w:eastAsia="仿宋" w:hAnsi="仿宋" w:cs="仿宋" w:hint="eastAsia"/>
                <w:sz w:val="24"/>
              </w:rPr>
              <w:t>0.5 s、延伸距离</w:t>
            </w:r>
            <w:r>
              <w:rPr>
                <w:rFonts w:ascii="仿宋" w:eastAsia="仿宋" w:hAnsi="仿宋" w:cs="仿宋" w:hint="eastAsia"/>
                <w:sz w:val="24"/>
              </w:rPr>
              <w:t>≈</w:t>
            </w:r>
            <w:r>
              <w:rPr>
                <w:rFonts w:ascii="仿宋" w:eastAsia="仿宋" w:hAnsi="仿宋" w:cs="仿宋" w:hint="eastAsia"/>
                <w:sz w:val="24"/>
              </w:rPr>
              <w:t>15 km的闪电为参考。</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全闪探测效率</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90%</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网内</w:t>
            </w:r>
          </w:p>
        </w:tc>
      </w:tr>
      <w:tr>
        <w:tblPrEx>
          <w:tblW w:w="8854" w:type="dxa"/>
          <w:jc w:val="center"/>
          <w:tblLayout w:type="fixed"/>
          <w:tblCellMar>
            <w:top w:w="0" w:type="dxa"/>
            <w:left w:w="108" w:type="dxa"/>
            <w:bottom w:w="0" w:type="dxa"/>
            <w:right w:w="108" w:type="dxa"/>
          </w:tblCellMar>
          <w:tblLook w:val="0000"/>
        </w:tblPrEx>
        <w:trPr>
          <w:trHeight w:val="90"/>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单站数据完整性</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98%</w:t>
            </w:r>
          </w:p>
        </w:tc>
        <w:tc>
          <w:tcPr>
            <w:tcW w:w="3496" w:type="dxa"/>
            <w:vAlign w:val="center"/>
          </w:tcPr>
          <w:p>
            <w:pPr>
              <w:jc w:val="center"/>
              <w:rPr>
                <w:rFonts w:ascii="仿宋" w:eastAsia="仿宋" w:hAnsi="仿宋" w:cs="仿宋" w:hint="eastAsia"/>
              </w:rPr>
            </w:pP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sz w:val="24"/>
              </w:rPr>
              <w:t>定位正确率</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90%</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注2</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sz w:val="24"/>
              </w:rPr>
              <w:t>参与定位站点数</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w:t>
            </w:r>
          </w:p>
        </w:tc>
        <w:tc>
          <w:tcPr>
            <w:tcW w:w="3496" w:type="dxa"/>
            <w:vAlign w:val="center"/>
          </w:tcPr>
          <w:p>
            <w:pPr>
              <w:jc w:val="center"/>
              <w:rPr>
                <w:rFonts w:ascii="仿宋" w:eastAsia="仿宋" w:hAnsi="仿宋" w:cs="仿宋" w:hint="eastAsia"/>
              </w:rPr>
            </w:pP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探测范围</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6000 km</w:t>
            </w:r>
            <w:r>
              <w:rPr>
                <w:rFonts w:ascii="仿宋" w:eastAsia="仿宋" w:hAnsi="仿宋" w:cs="仿宋" w:hint="eastAsia"/>
                <w:sz w:val="24"/>
                <w:vertAlign w:val="superscript"/>
              </w:rPr>
              <w:t>2</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7个站点，全闪探测效率&gt;85%时</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8854" w:type="dxa"/>
            <w:gridSpan w:val="3"/>
            <w:vAlign w:val="center"/>
          </w:tcPr>
          <w:p>
            <w:pPr>
              <w:jc w:val="center"/>
              <w:rPr>
                <w:rFonts w:ascii="仿宋" w:eastAsia="仿宋" w:hAnsi="仿宋" w:cs="仿宋" w:hint="eastAsia"/>
              </w:rPr>
            </w:pPr>
            <w:r>
              <w:rPr>
                <w:rFonts w:ascii="仿宋" w:eastAsia="仿宋" w:hAnsi="仿宋" w:cs="仿宋" w:hint="eastAsia"/>
                <w:color w:val="0000FF"/>
                <w:sz w:val="24"/>
                <w:szCs w:val="24"/>
                <w:lang w:val="en-US" w:eastAsia="zh-CN"/>
              </w:rPr>
              <w:t>提供</w:t>
            </w:r>
            <w:r>
              <w:rPr>
                <w:rFonts w:ascii="仿宋" w:eastAsia="仿宋" w:hAnsi="仿宋" w:cs="仿宋" w:hint="eastAsia"/>
                <w:color w:val="0000FF"/>
                <w:sz w:val="24"/>
                <w:szCs w:val="24"/>
              </w:rPr>
              <w:t>数据处理系统</w:t>
            </w:r>
            <w:r>
              <w:rPr>
                <w:rFonts w:ascii="仿宋" w:eastAsia="仿宋" w:hAnsi="仿宋" w:cs="仿宋" w:hint="eastAsia"/>
                <w:color w:val="0000FF"/>
                <w:sz w:val="24"/>
                <w:szCs w:val="24"/>
                <w:lang w:val="en-US" w:eastAsia="zh-CN"/>
              </w:rPr>
              <w:t>的功能和性能测试评估报告、设备融入国家级雷电业务方案、</w:t>
            </w:r>
            <w:r>
              <w:rPr>
                <w:rFonts w:ascii="仿宋" w:eastAsia="仿宋" w:hAnsi="仿宋" w:cs="仿宋" w:hint="eastAsia"/>
                <w:color w:val="0000FF"/>
                <w:sz w:val="24"/>
                <w:szCs w:val="24"/>
              </w:rPr>
              <w:t>数据处理系统</w:t>
            </w:r>
            <w:r>
              <w:rPr>
                <w:rFonts w:ascii="仿宋" w:eastAsia="仿宋" w:hAnsi="仿宋" w:cs="仿宋" w:hint="eastAsia"/>
                <w:color w:val="0000FF"/>
                <w:sz w:val="24"/>
                <w:szCs w:val="24"/>
                <w:lang w:val="en-US" w:eastAsia="zh-CN"/>
              </w:rPr>
              <w:t>与国家级雷电业务软件集成方案</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8854" w:type="dxa"/>
            <w:gridSpan w:val="3"/>
            <w:vAlign w:val="center"/>
          </w:tcPr>
          <w:p>
            <w:pPr>
              <w:tabs>
                <w:tab w:val="left" w:pos="1902"/>
              </w:tabs>
              <w:jc w:val="center"/>
              <w:rPr>
                <w:rFonts w:ascii="仿宋" w:eastAsia="仿宋" w:hAnsi="仿宋" w:cs="仿宋" w:hint="eastAsia"/>
              </w:rPr>
            </w:pPr>
            <w:r>
              <w:rPr>
                <w:rFonts w:ascii="仿宋" w:eastAsia="仿宋" w:hAnsi="仿宋" w:cs="仿宋" w:hint="eastAsia"/>
                <w:sz w:val="24"/>
              </w:rPr>
              <w:t>注1：指某次组网定位运算获得的闪电发生位置，位于参与本次定位的站网区域内；</w:t>
            </w:r>
          </w:p>
          <w:p>
            <w:pPr>
              <w:tabs>
                <w:tab w:val="left" w:pos="1902"/>
              </w:tabs>
              <w:jc w:val="center"/>
              <w:rPr>
                <w:rFonts w:ascii="仿宋" w:eastAsia="仿宋" w:hAnsi="仿宋" w:cs="仿宋" w:hint="eastAsia"/>
              </w:rPr>
            </w:pPr>
            <w:r>
              <w:rPr>
                <w:rFonts w:ascii="仿宋" w:eastAsia="仿宋" w:hAnsi="仿宋" w:cs="仿宋" w:hint="eastAsia"/>
                <w:sz w:val="24"/>
              </w:rPr>
              <w:t>注2：指在选取时段内，质控正确数量占实际数据总量百分比。</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3.2 子站设备技术指标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设备技术指标包括：中心频点、灵敏度、闪电事件分辨率等。具体数据见表2。</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表2 子站设备技术指标</w:t>
      </w:r>
    </w:p>
    <w:tbl>
      <w:tblPr>
        <w:tblStyle w:val="TableNormal"/>
        <w:tblW w:w="8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54"/>
        <w:gridCol w:w="6257"/>
      </w:tblGrid>
      <w:tr>
        <w:tblPrEx>
          <w:tblW w:w="8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2554" w:type="dxa"/>
            <w:shd w:val="clear" w:color="auto" w:fill="D7D7D7"/>
            <w:vAlign w:val="center"/>
          </w:tcPr>
          <w:p>
            <w:pPr>
              <w:tabs>
                <w:tab w:val="left" w:pos="432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项目</w:t>
            </w:r>
          </w:p>
        </w:tc>
        <w:tc>
          <w:tcPr>
            <w:tcW w:w="6257" w:type="dxa"/>
            <w:shd w:val="clear" w:color="auto" w:fill="D7D7D7"/>
            <w:vAlign w:val="center"/>
          </w:tcPr>
          <w:p>
            <w:pPr>
              <w:tabs>
                <w:tab w:val="left" w:pos="432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技术指标</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中心频点</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大于30 MHz，中心频点可调</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采样率</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推荐30MHz</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带宽</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推荐6 MHz</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灵敏度</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优于-90 dBm</w:t>
            </w:r>
          </w:p>
        </w:tc>
      </w:tr>
      <w:tr>
        <w:tblPrEx>
          <w:tblW w:w="8811" w:type="dxa"/>
          <w:jc w:val="center"/>
          <w:tblLayout w:type="fixed"/>
          <w:tblCellMar>
            <w:top w:w="0" w:type="dxa"/>
            <w:left w:w="108" w:type="dxa"/>
            <w:bottom w:w="0" w:type="dxa"/>
            <w:right w:w="108" w:type="dxa"/>
          </w:tblCellMar>
          <w:tblLook w:val="0000"/>
        </w:tblPrEx>
        <w:trPr>
          <w:trHeight w:val="463"/>
          <w:jc w:val="center"/>
        </w:trPr>
        <w:tc>
          <w:tcPr>
            <w:tcW w:w="2554"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VHF天线驻波比</w:t>
            </w:r>
          </w:p>
        </w:tc>
        <w:tc>
          <w:tcPr>
            <w:tcW w:w="6257" w:type="dxa"/>
            <w:vAlign w:val="center"/>
          </w:tcPr>
          <w:p>
            <w:pPr>
              <w:jc w:val="center"/>
              <w:rPr>
                <w:rFonts w:ascii="仿宋" w:eastAsia="仿宋" w:hAnsi="仿宋" w:cs="仿宋" w:hint="eastAsia"/>
              </w:rPr>
            </w:pPr>
            <w:r>
              <w:rPr>
                <w:rFonts w:ascii="仿宋" w:eastAsia="仿宋" w:hAnsi="仿宋" w:cs="仿宋" w:hint="eastAsia"/>
                <w:sz w:val="24"/>
              </w:rPr>
              <w:t>推荐工作频带内小于2.5</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闪电事件分辨率</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80 </w:t>
            </w:r>
            <w:r>
              <w:rPr>
                <w:rFonts w:ascii="仿宋" w:eastAsia="仿宋" w:hAnsi="仿宋" w:cs="仿宋" w:hint="eastAsia"/>
                <w:sz w:val="24"/>
              </w:rPr>
              <w:t>μ</w:t>
            </w:r>
            <w:r>
              <w:rPr>
                <w:rFonts w:ascii="仿宋" w:eastAsia="仿宋" w:hAnsi="仿宋" w:cs="仿宋" w:hint="eastAsia"/>
                <w:sz w:val="24"/>
              </w:rPr>
              <w:t>s</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峰点时间精度</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50 ns</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接收功率测量误差</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15%</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供电</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支持市电和太阳能供电</w:t>
            </w:r>
          </w:p>
          <w:p>
            <w:pPr>
              <w:jc w:val="center"/>
              <w:rPr>
                <w:rFonts w:ascii="仿宋" w:eastAsia="仿宋" w:hAnsi="仿宋" w:cs="仿宋" w:hint="eastAsia"/>
              </w:rPr>
            </w:pPr>
            <w:r>
              <w:rPr>
                <w:rFonts w:ascii="仿宋" w:eastAsia="仿宋" w:hAnsi="仿宋" w:cs="仿宋" w:hint="eastAsia"/>
                <w:sz w:val="24"/>
              </w:rPr>
              <w:t>AC220 V (50 Hz，</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10%</w:t>
            </w:r>
          </w:p>
          <w:p>
            <w:pPr>
              <w:jc w:val="center"/>
              <w:rPr>
                <w:rFonts w:ascii="仿宋" w:eastAsia="仿宋" w:hAnsi="仿宋" w:cs="仿宋" w:hint="eastAsia"/>
              </w:rPr>
            </w:pPr>
            <w:r>
              <w:rPr>
                <w:rFonts w:ascii="仿宋" w:eastAsia="仿宋" w:hAnsi="仿宋" w:cs="仿宋" w:hint="eastAsia"/>
                <w:sz w:val="24"/>
              </w:rPr>
              <w:t>DC12 V或24 V，</w:t>
            </w:r>
            <w:r>
              <w:rPr>
                <w:rFonts w:ascii="仿宋" w:eastAsia="仿宋" w:hAnsi="仿宋" w:cs="仿宋" w:hint="eastAsia"/>
                <w:sz w:val="24"/>
              </w:rPr>
              <w:t>±</w:t>
            </w:r>
            <w:r>
              <w:rPr>
                <w:rFonts w:ascii="仿宋" w:eastAsia="仿宋" w:hAnsi="仿宋" w:cs="仿宋" w:hint="eastAsia"/>
                <w:sz w:val="24"/>
              </w:rPr>
              <w:t>10%</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通信</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支持光纤通信</w:t>
            </w:r>
          </w:p>
          <w:p>
            <w:pPr>
              <w:jc w:val="center"/>
              <w:rPr>
                <w:rFonts w:ascii="仿宋" w:eastAsia="仿宋" w:hAnsi="仿宋" w:cs="仿宋" w:hint="eastAsia"/>
              </w:rPr>
            </w:pPr>
            <w:r>
              <w:rPr>
                <w:rFonts w:ascii="仿宋" w:eastAsia="仿宋" w:hAnsi="仿宋" w:cs="仿宋" w:hint="eastAsia"/>
                <w:sz w:val="24"/>
              </w:rPr>
              <w:t>支持RJ45百兆网口</w:t>
            </w:r>
          </w:p>
          <w:p>
            <w:pPr>
              <w:jc w:val="center"/>
              <w:rPr>
                <w:rFonts w:ascii="仿宋" w:eastAsia="仿宋" w:hAnsi="仿宋" w:cs="仿宋" w:hint="eastAsia"/>
              </w:rPr>
            </w:pPr>
            <w:r>
              <w:rPr>
                <w:rFonts w:ascii="仿宋" w:eastAsia="仿宋" w:hAnsi="仿宋" w:cs="仿宋" w:hint="eastAsia"/>
                <w:sz w:val="24"/>
              </w:rPr>
              <w:t>支持4G/5G通信</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计量检测接口</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具备单元计量接口</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使用寿命</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8年</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一致性</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数量一致性</w:t>
            </w:r>
            <w:r>
              <w:rPr>
                <w:rFonts w:ascii="仿宋" w:eastAsia="仿宋" w:hAnsi="仿宋" w:cs="仿宋" w:hint="eastAsia"/>
                <w:sz w:val="24"/>
              </w:rPr>
              <w:t>≥</w:t>
            </w:r>
            <w:r>
              <w:rPr>
                <w:rFonts w:ascii="仿宋" w:eastAsia="仿宋" w:hAnsi="仿宋" w:cs="仿宋" w:hint="eastAsia"/>
                <w:sz w:val="24"/>
              </w:rPr>
              <w:t>95%；</w:t>
            </w:r>
          </w:p>
          <w:p>
            <w:pPr>
              <w:jc w:val="center"/>
              <w:rPr>
                <w:rFonts w:ascii="仿宋" w:eastAsia="仿宋" w:hAnsi="仿宋" w:cs="仿宋" w:hint="eastAsia"/>
              </w:rPr>
            </w:pPr>
            <w:r>
              <w:rPr>
                <w:rFonts w:ascii="仿宋" w:eastAsia="仿宋" w:hAnsi="仿宋" w:cs="仿宋" w:hint="eastAsia"/>
                <w:sz w:val="24"/>
              </w:rPr>
              <w:t>时间一致性</w:t>
            </w:r>
            <w:r>
              <w:rPr>
                <w:rFonts w:ascii="仿宋" w:eastAsia="仿宋" w:hAnsi="仿宋" w:cs="仿宋" w:hint="eastAsia"/>
                <w:sz w:val="24"/>
              </w:rPr>
              <w:t>≤</w:t>
            </w:r>
            <w:r>
              <w:rPr>
                <w:rFonts w:ascii="仿宋" w:eastAsia="仿宋" w:hAnsi="仿宋" w:cs="仿宋" w:hint="eastAsia"/>
                <w:sz w:val="24"/>
              </w:rPr>
              <w:t>50 ns；</w:t>
            </w:r>
          </w:p>
          <w:p>
            <w:pPr>
              <w:jc w:val="center"/>
              <w:rPr>
                <w:rFonts w:ascii="仿宋" w:eastAsia="仿宋" w:hAnsi="仿宋" w:cs="仿宋" w:hint="eastAsia"/>
              </w:rPr>
            </w:pPr>
            <w:r>
              <w:rPr>
                <w:rFonts w:ascii="仿宋" w:eastAsia="仿宋" w:hAnsi="仿宋" w:cs="仿宋" w:hint="eastAsia"/>
                <w:sz w:val="24"/>
              </w:rPr>
              <w:t>功率一致性相对误差</w:t>
            </w:r>
            <w:r>
              <w:rPr>
                <w:rFonts w:ascii="仿宋" w:eastAsia="仿宋" w:hAnsi="仿宋" w:cs="仿宋" w:hint="eastAsia"/>
                <w:sz w:val="24"/>
              </w:rPr>
              <w:t>≤</w:t>
            </w:r>
            <w:r>
              <w:rPr>
                <w:rFonts w:ascii="仿宋" w:eastAsia="仿宋" w:hAnsi="仿宋" w:cs="仿宋" w:hint="eastAsia"/>
                <w:sz w:val="24"/>
              </w:rPr>
              <w:t>15%；</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存储容量</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500GB</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8811" w:type="dxa"/>
            <w:gridSpan w:val="2"/>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rPr>
            </w:pPr>
            <w:r>
              <w:rPr>
                <w:rFonts w:ascii="仿宋" w:eastAsia="仿宋" w:hAnsi="仿宋" w:cs="仿宋" w:hint="eastAsia"/>
                <w:sz w:val="24"/>
              </w:rPr>
              <w:t>备注：需提供信噪比、增益、频响曲线、动态范围</w:t>
            </w:r>
          </w:p>
          <w:p>
            <w:pPr>
              <w:widowControl/>
              <w:jc w:val="center"/>
              <w:rPr>
                <w:rFonts w:ascii="仿宋" w:eastAsia="仿宋" w:hAnsi="仿宋" w:cs="仿宋" w:hint="default"/>
              </w:rPr>
            </w:pPr>
            <w:r>
              <w:rPr>
                <w:rFonts w:ascii="仿宋" w:eastAsia="仿宋" w:hAnsi="仿宋" w:cs="仿宋" w:hint="eastAsia"/>
                <w:color w:val="0000FF"/>
                <w:sz w:val="24"/>
                <w:szCs w:val="24"/>
                <w:lang w:val="en-US" w:eastAsia="zh-CN"/>
              </w:rPr>
              <w:t>提供单北斗技术证明及测试报告</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8"/>
        </w:rPr>
      </w:pPr>
      <w:bookmarkEnd w:id="61"/>
      <w:r>
        <w:rPr>
          <w:rFonts w:ascii="仿宋" w:eastAsia="仿宋" w:hAnsi="仿宋" w:cs="仿宋" w:hint="eastAsia"/>
          <w:sz w:val="28"/>
          <w:szCs w:val="28"/>
        </w:rPr>
        <w:t>4.1 设备建设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4.2技术服务</w:t>
      </w:r>
    </w:p>
    <w:p>
      <w:pPr>
        <w:spacing w:line="560" w:lineRule="exact"/>
        <w:ind w:firstLine="560" w:firstLineChars="200"/>
        <w:rPr>
          <w:rFonts w:ascii="仿宋" w:eastAsia="仿宋" w:hAnsi="仿宋" w:cs="仿宋" w:hint="eastAsia"/>
          <w:color w:val="0000FF"/>
          <w:sz w:val="28"/>
          <w:szCs w:val="28"/>
        </w:rPr>
      </w:pPr>
      <w:r>
        <w:rPr>
          <w:rFonts w:ascii="仿宋" w:eastAsia="仿宋" w:hAnsi="仿宋" w:cs="仿宋" w:hint="eastAsia"/>
          <w:sz w:val="28"/>
          <w:szCs w:val="28"/>
        </w:rPr>
        <w:t>（1）设备供应商需提供详细技术服务方案，包括但不限于：设备安装建设规范、设备工作原理、设备部件结构组成、设备操作手册、设备运行维护手册、设备软件使用手册、</w:t>
      </w:r>
      <w:r>
        <w:rPr>
          <w:rFonts w:ascii="仿宋" w:eastAsia="仿宋" w:hAnsi="仿宋" w:cs="仿宋" w:hint="eastAsia"/>
          <w:color w:val="0000FF"/>
          <w:sz w:val="28"/>
          <w:szCs w:val="28"/>
          <w:lang w:val="en-US" w:eastAsia="zh-CN"/>
        </w:rPr>
        <w:t>设备融入国家级雷电业务的技术方案、</w:t>
      </w:r>
      <w:r>
        <w:rPr>
          <w:rFonts w:ascii="仿宋" w:eastAsia="仿宋" w:hAnsi="仿宋" w:cs="仿宋" w:hint="eastAsia"/>
          <w:color w:val="0000FF"/>
          <w:sz w:val="28"/>
          <w:szCs w:val="28"/>
        </w:rPr>
        <w:t>数据处理系统</w:t>
      </w:r>
      <w:r>
        <w:rPr>
          <w:rFonts w:ascii="仿宋" w:eastAsia="仿宋" w:hAnsi="仿宋" w:cs="仿宋" w:hint="eastAsia"/>
          <w:color w:val="0000FF"/>
          <w:sz w:val="28"/>
          <w:szCs w:val="28"/>
          <w:lang w:val="en-US" w:eastAsia="zh-CN"/>
        </w:rPr>
        <w:t>使用手册、</w:t>
      </w:r>
      <w:r>
        <w:rPr>
          <w:rFonts w:ascii="仿宋" w:eastAsia="仿宋" w:hAnsi="仿宋" w:cs="仿宋" w:hint="eastAsia"/>
          <w:color w:val="0000FF"/>
          <w:sz w:val="28"/>
          <w:szCs w:val="28"/>
        </w:rPr>
        <w:t>数据处理系统</w:t>
      </w:r>
      <w:r>
        <w:rPr>
          <w:rFonts w:ascii="仿宋" w:eastAsia="仿宋" w:hAnsi="仿宋" w:cs="仿宋" w:hint="eastAsia"/>
          <w:color w:val="0000FF"/>
          <w:sz w:val="28"/>
          <w:szCs w:val="28"/>
          <w:lang w:val="en-US" w:eastAsia="zh-CN"/>
        </w:rPr>
        <w:t>与国家级雷电业务软件集成技术方案、</w:t>
      </w:r>
      <w:r>
        <w:rPr>
          <w:rFonts w:ascii="仿宋" w:eastAsia="仿宋" w:hAnsi="仿宋" w:cs="仿宋" w:hint="eastAsia"/>
          <w:color w:val="0000FF"/>
          <w:sz w:val="28"/>
          <w:szCs w:val="28"/>
        </w:rPr>
        <w:t>数据处理系统</w:t>
      </w:r>
      <w:r>
        <w:rPr>
          <w:rFonts w:ascii="仿宋" w:eastAsia="仿宋" w:hAnsi="仿宋" w:cs="仿宋" w:hint="eastAsia"/>
          <w:color w:val="0000FF"/>
          <w:sz w:val="28"/>
          <w:szCs w:val="28"/>
          <w:lang w:val="en-US" w:eastAsia="zh-CN"/>
        </w:rPr>
        <w:t>核心算法说明及功能和性能测试评估技术报告、</w:t>
      </w:r>
      <w:r>
        <w:rPr>
          <w:rFonts w:ascii="仿宋" w:eastAsia="仿宋" w:hAnsi="仿宋" w:cs="仿宋" w:hint="eastAsia"/>
          <w:color w:val="0000FF"/>
          <w:sz w:val="28"/>
          <w:szCs w:val="28"/>
        </w:rPr>
        <w:t>数据处理系统相关产品算法说明文档等。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（4）设备供应商提供数据处理系统核心算法源码，</w:t>
      </w:r>
      <w:r>
        <w:rPr>
          <w:rFonts w:ascii="仿宋" w:eastAsia="仿宋" w:hAnsi="仿宋" w:cs="仿宋" w:hint="eastAsia"/>
          <w:color w:val="0000FF"/>
          <w:sz w:val="28"/>
          <w:szCs w:val="28"/>
        </w:rPr>
        <w:t>以及</w:t>
      </w:r>
      <w:r>
        <w:rPr>
          <w:rFonts w:ascii="仿宋" w:eastAsia="仿宋" w:hAnsi="仿宋" w:cs="仿宋" w:hint="eastAsia"/>
          <w:color w:val="0000FF"/>
          <w:sz w:val="28"/>
          <w:szCs w:val="28"/>
          <w:lang w:val="en-US" w:eastAsia="zh-CN"/>
        </w:rPr>
        <w:t>与国家级雷电业务软件</w:t>
      </w:r>
      <w:r>
        <w:rPr>
          <w:rFonts w:ascii="仿宋" w:eastAsia="仿宋" w:hAnsi="仿宋" w:cs="仿宋" w:hint="eastAsia"/>
          <w:color w:val="0000FF"/>
          <w:sz w:val="28"/>
          <w:szCs w:val="28"/>
        </w:rPr>
        <w:t>集成相关服务和技术支持。</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4.3 质保期服务*</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设备供应商对所有设备提供自验收合格后8年的免费维护维修服务*，</w:t>
      </w:r>
      <w:r>
        <w:rPr>
          <w:rFonts w:ascii="仿宋" w:eastAsia="仿宋" w:hAnsi="仿宋" w:cs="仿宋" w:hint="eastAsia"/>
          <w:sz w:val="28"/>
          <w:szCs w:val="28"/>
        </w:rPr>
        <w:t>并提供相关承诺函。按照业务运行规范要求执行，确保设备可稳定运行，主要工作包括：汛前巡检、周维护、月维护、年维护等巡检巡查工作，以及关键器件及系统故障的维修等。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（2）在质保期内，设备供应商服务时间应为 7</w:t>
      </w:r>
      <w:r>
        <w:rPr>
          <w:rFonts w:ascii="仿宋" w:eastAsia="仿宋" w:hAnsi="仿宋" w:cs="仿宋" w:hint="eastAsia"/>
          <w:sz w:val="28"/>
          <w:szCs w:val="28"/>
        </w:rPr>
        <w:t>×</w:t>
      </w:r>
      <w:r>
        <w:rPr>
          <w:rFonts w:ascii="仿宋" w:eastAsia="仿宋" w:hAnsi="仿宋" w:cs="仿宋" w:hint="eastAsia"/>
          <w:sz w:val="28"/>
          <w:szCs w:val="28"/>
        </w:rPr>
        <w:t xml:space="preserve">24小时，当投标产品或软件遭到损坏或出现故障时，要在用户报修之时起4小时内做出响应，开展维修维护工作，视情况双方协商设备恢复正常运行时限。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五、验收要求（检验考核要求等）</w:t>
      </w:r>
    </w:p>
    <w:p>
      <w:pPr>
        <w:spacing w:line="560" w:lineRule="exact"/>
        <w:ind w:firstLine="560" w:firstLineChars="200"/>
        <w:rPr>
          <w:rFonts w:ascii="仿宋" w:eastAsia="仿宋" w:hAnsi="仿宋" w:cs="仿宋" w:hint="eastAsia"/>
          <w:sz w:val="28"/>
          <w:szCs w:val="28"/>
        </w:rPr>
      </w:pPr>
      <w:bookmarkStart w:id="62" w:name="_Hlk168594784"/>
      <w:r>
        <w:rPr>
          <w:rFonts w:ascii="仿宋" w:eastAsia="仿宋" w:hAnsi="仿宋" w:cs="仿宋" w:hint="eastAsia"/>
          <w:sz w:val="28"/>
          <w:szCs w:val="28"/>
        </w:rPr>
        <w:t>参照《VHF闪电测绘阵列功能规格需求书》《VHF闪电测绘阵列测试大纲》以及中国气象局最新业务管理规定等有关文件要求开展检验考核。</w:t>
      </w:r>
    </w:p>
    <w:p>
      <w:pPr>
        <w:spacing w:line="560" w:lineRule="exact"/>
        <w:ind w:firstLine="560" w:firstLineChars="200"/>
        <w:rPr>
          <w:rFonts w:ascii="仿宋" w:eastAsia="仿宋" w:hAnsi="仿宋" w:cs="仿宋" w:hint="eastAsia"/>
          <w:sz w:val="28"/>
          <w:szCs w:val="20"/>
        </w:rPr>
      </w:pPr>
      <w:bookmarkEnd w:id="62"/>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hint="eastAsia"/>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3" w:name="货物一览表_index"/>
            <w:r>
              <w:rPr>
                <w:rFonts w:asciiTheme="minorEastAsia" w:eastAsiaTheme="minorEastAsia" w:hAnsiTheme="minorEastAsia" w:cstheme="minorEastAsia" w:hint="eastAsia"/>
                <w:kern w:val="0"/>
                <w:szCs w:val="21"/>
              </w:rPr>
              <w:t>序号</w:t>
            </w:r>
            <w:bookmarkEnd w:id="63"/>
          </w:p>
        </w:tc>
        <w:tc>
          <w:tcPr>
            <w:tcW w:w="1135" w:type="dxa"/>
          </w:tcPr>
          <w:p>
            <w:pPr>
              <w:autoSpaceDE w:val="0"/>
              <w:jc w:val="center"/>
              <w:rPr>
                <w:rFonts w:asciiTheme="minorEastAsia" w:hAnsiTheme="minorEastAsia" w:cstheme="minorEastAsia"/>
                <w:kern w:val="0"/>
                <w:szCs w:val="21"/>
              </w:rPr>
            </w:pPr>
            <w:bookmarkStart w:id="64" w:name="货物一览表_goodsName"/>
            <w:r>
              <w:rPr>
                <w:rFonts w:asciiTheme="minorEastAsia" w:eastAsiaTheme="minorEastAsia" w:hAnsiTheme="minorEastAsia" w:cstheme="minorEastAsia" w:hint="eastAsia"/>
                <w:kern w:val="0"/>
                <w:szCs w:val="21"/>
              </w:rPr>
              <w:t>设备名称</w:t>
            </w:r>
            <w:bookmarkEnd w:id="64"/>
          </w:p>
        </w:tc>
        <w:tc>
          <w:tcPr>
            <w:tcW w:w="965" w:type="dxa"/>
          </w:tcPr>
          <w:p>
            <w:pPr>
              <w:autoSpaceDE w:val="0"/>
              <w:jc w:val="center"/>
              <w:rPr>
                <w:rFonts w:asciiTheme="minorEastAsia" w:hAnsiTheme="minorEastAsia" w:cstheme="minorEastAsia"/>
                <w:kern w:val="0"/>
                <w:szCs w:val="21"/>
              </w:rPr>
            </w:pPr>
            <w:bookmarkStart w:id="65" w:name="货物一览表_nums"/>
            <w:r>
              <w:rPr>
                <w:rFonts w:asciiTheme="minorEastAsia" w:eastAsiaTheme="minorEastAsia" w:hAnsiTheme="minorEastAsia" w:cstheme="minorEastAsia" w:hint="eastAsia"/>
                <w:kern w:val="0"/>
                <w:szCs w:val="21"/>
              </w:rPr>
              <w:t>采购数量</w:t>
            </w:r>
            <w:bookmarkEnd w:id="65"/>
          </w:p>
        </w:tc>
        <w:tc>
          <w:tcPr>
            <w:tcW w:w="1062" w:type="dxa"/>
          </w:tcPr>
          <w:p>
            <w:pPr>
              <w:autoSpaceDE w:val="0"/>
              <w:jc w:val="center"/>
              <w:rPr>
                <w:rFonts w:asciiTheme="minorEastAsia" w:hAnsiTheme="minorEastAsia" w:cstheme="minorEastAsia"/>
                <w:kern w:val="0"/>
                <w:szCs w:val="21"/>
              </w:rPr>
            </w:pPr>
            <w:bookmarkStart w:id="66" w:name="货物一览表_units"/>
            <w:r>
              <w:rPr>
                <w:rFonts w:asciiTheme="minorEastAsia" w:eastAsiaTheme="minorEastAsia" w:hAnsiTheme="minorEastAsia" w:cstheme="minorEastAsia" w:hint="eastAsia"/>
                <w:kern w:val="0"/>
                <w:szCs w:val="21"/>
              </w:rPr>
              <w:t>计量单位</w:t>
            </w:r>
            <w:bookmarkEnd w:id="66"/>
          </w:p>
        </w:tc>
        <w:tc>
          <w:tcPr>
            <w:tcW w:w="1220" w:type="dxa"/>
          </w:tcPr>
          <w:p>
            <w:pPr>
              <w:autoSpaceDE w:val="0"/>
              <w:jc w:val="center"/>
              <w:rPr>
                <w:rFonts w:asciiTheme="minorEastAsia" w:hAnsiTheme="minorEastAsia" w:cstheme="minorEastAsia"/>
                <w:kern w:val="0"/>
                <w:szCs w:val="21"/>
              </w:rPr>
            </w:pPr>
            <w:bookmarkStart w:id="67" w:name="货物一览表_procurementBudget"/>
            <w:r>
              <w:rPr>
                <w:rFonts w:asciiTheme="minorEastAsia" w:eastAsiaTheme="minorEastAsia" w:hAnsiTheme="minorEastAsia" w:cstheme="minorEastAsia" w:hint="eastAsia"/>
                <w:kern w:val="0"/>
                <w:szCs w:val="21"/>
              </w:rPr>
              <w:t>采购预算（元）</w:t>
            </w:r>
            <w:bookmarkEnd w:id="67"/>
          </w:p>
        </w:tc>
        <w:tc>
          <w:tcPr>
            <w:tcW w:w="1329" w:type="dxa"/>
          </w:tcPr>
          <w:p>
            <w:pPr>
              <w:autoSpaceDE w:val="0"/>
              <w:jc w:val="center"/>
              <w:rPr>
                <w:rFonts w:asciiTheme="minorEastAsia" w:hAnsiTheme="minorEastAsia" w:cstheme="minorEastAsia" w:hint="eastAsia"/>
                <w:kern w:val="0"/>
                <w:szCs w:val="21"/>
              </w:rPr>
            </w:pPr>
            <w:bookmarkStart w:id="68"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8"/>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9" w:name="货物一览表_remark"/>
            <w:r>
              <w:rPr>
                <w:rFonts w:asciiTheme="minorEastAsia" w:eastAsiaTheme="minorEastAsia" w:hAnsiTheme="minorEastAsia" w:cstheme="minorEastAsia" w:hint="eastAsia"/>
                <w:kern w:val="0"/>
                <w:szCs w:val="21"/>
              </w:rPr>
              <w:t>备注</w:t>
            </w:r>
            <w:bookmarkEnd w:id="69"/>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闪电测绘阵列</w:t>
            </w:r>
          </w:p>
        </w:tc>
        <w:tc>
          <w:tcPr/>
          <w:p>
            <w:pPr>
              <w:autoSpaceDE w:val="0"/>
              <w:jc w:val="center"/>
              <w:rPr>
                <w:rFonts w:asciiTheme="minorEastAsia" w:hAnsiTheme="minorEastAsia" w:cstheme="minorEastAsia"/>
                <w:kern w:val="0"/>
                <w:szCs w:val="21"/>
              </w:rPr>
            </w:pPr>
            <w:r>
              <w:t>16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6,288,000.00</w:t>
            </w:r>
          </w:p>
        </w:tc>
        <w:tc>
          <w:tcPr/>
          <w:p>
            <w:pPr>
              <w:autoSpaceDE w:val="0"/>
              <w:jc w:val="center"/>
              <w:rPr>
                <w:rFonts w:asciiTheme="minorEastAsia" w:hAnsiTheme="minorEastAsia" w:cstheme="minorEastAsia" w:hint="eastAsia"/>
                <w:kern w:val="0"/>
                <w:szCs w:val="21"/>
              </w:rPr>
            </w:pPr>
            <w:r>
              <w:t>135</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6,288,000.00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84"/>
        <w:gridCol w:w="1860"/>
        <w:gridCol w:w="876"/>
        <w:gridCol w:w="384"/>
        <w:gridCol w:w="876"/>
        <w:gridCol w:w="730"/>
        <w:gridCol w:w="630"/>
        <w:gridCol w:w="27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0"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气象探测技术科(001015021004)</w:t>
            </w:r>
          </w:p>
        </w:tc>
        <w:tc>
          <w:tcPr/>
          <w:p>
            <w:r>
              <w:t>闪电测绘阵列</w:t>
            </w:r>
          </w:p>
        </w:tc>
        <w:tc>
          <w:tcPr/>
          <w:p>
            <w:r>
              <w:t>8</w:t>
            </w:r>
          </w:p>
        </w:tc>
        <w:tc>
          <w:tcPr/>
          <w:p>
            <w:r>
              <w:t>3144000.00</w:t>
            </w:r>
          </w:p>
        </w:tc>
        <w:tc>
          <w:tcPr/>
          <w:p>
            <w:r>
              <w:t xml:space="preserve">3144000.00  </w:t>
            </w:r>
          </w:p>
        </w:tc>
        <w:tc>
          <w:tcPr/>
          <w:p>
            <w:r>
              <w:t>河北</w:t>
            </w:r>
          </w:p>
        </w:tc>
        <w:tc>
          <w:tcPr/>
          <w:p>
            <w:r>
              <w:t>河北省气象技术装备中心，孔祥如，13998342935</w:t>
            </w:r>
          </w:p>
        </w:tc>
      </w:tr>
      <w:tr>
        <w:tblPrEx>
          <w:tblW w:w="5000" w:type="pct"/>
          <w:tblCellMar>
            <w:left w:w="108" w:type="dxa"/>
            <w:right w:w="108" w:type="dxa"/>
          </w:tblCellMar>
        </w:tblPrEx>
        <w:tc>
          <w:tcPr/>
          <w:p>
            <w:r>
              <w:t>2</w:t>
            </w:r>
          </w:p>
        </w:tc>
        <w:tc>
          <w:tcPr/>
          <w:p>
            <w:r>
              <w:t>数据产品室(001032023004)</w:t>
            </w:r>
          </w:p>
        </w:tc>
        <w:tc>
          <w:tcPr/>
          <w:p>
            <w:r>
              <w:t>闪电测绘阵列</w:t>
            </w:r>
          </w:p>
        </w:tc>
        <w:tc>
          <w:tcPr/>
          <w:p>
            <w:r>
              <w:t>8</w:t>
            </w:r>
          </w:p>
        </w:tc>
        <w:tc>
          <w:tcPr/>
          <w:p>
            <w:r>
              <w:t>3144000.00</w:t>
            </w:r>
          </w:p>
        </w:tc>
        <w:tc>
          <w:tcPr/>
          <w:p>
            <w:r>
              <w:t xml:space="preserve">3144000.00 </w:t>
            </w:r>
          </w:p>
        </w:tc>
        <w:tc>
          <w:tcPr/>
          <w:p>
            <w:r>
              <w:t>北京</w:t>
            </w:r>
          </w:p>
        </w:tc>
        <w:tc>
          <w:tcPr/>
          <w:p>
            <w:r>
              <w:t>北京市气象探测中心 ，田野，13041256386</w:t>
            </w:r>
          </w:p>
        </w:tc>
      </w:tr>
    </w:tbl>
    <w:p w:rsidR="00A77B3E"/>
    <w:p>
      <w:pPr>
        <w:spacing w:line="360" w:lineRule="auto"/>
        <w:rPr>
          <w:rFonts w:ascii="宋体" w:hAnsi="宋体"/>
          <w:szCs w:val="21"/>
        </w:rPr>
      </w:pPr>
      <w:bookmarkEnd w:id="70"/>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为与全国雷电观测网进行组网定位，提高京津冀和江浙沪地区地闪探测能力，拟在河北省和北京市各建设8套闪电测绘阵列设备，实现雷电通道级精密检测，并在一定程度上反应雷暴云内的电荷分布及演变特征，弥补检测空白，为精准预报、精细服务，以及雷电科学研究、安全防护提供支撑。</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w:t>
      </w:r>
      <w:r>
        <w:rPr>
          <w:rFonts w:ascii="仿宋" w:eastAsia="仿宋" w:hAnsi="仿宋" w:cs="仿宋" w:hint="eastAsia"/>
          <w:color w:val="0070C0"/>
          <w:sz w:val="28"/>
          <w:szCs w:val="20"/>
          <w:lang w:eastAsia="zh-CN"/>
        </w:rPr>
        <w:t>（</w:t>
      </w:r>
      <w:r>
        <w:rPr>
          <w:rFonts w:ascii="仿宋" w:eastAsia="仿宋" w:hAnsi="仿宋" w:cs="仿宋" w:hint="eastAsia"/>
          <w:color w:val="0070C0"/>
          <w:sz w:val="28"/>
          <w:szCs w:val="20"/>
          <w:lang w:val="en-US" w:eastAsia="zh-CN"/>
        </w:rPr>
        <w:t>含子站与国家雷电业务的接入及维护和系统评估、数据处理系统与国家业务软件的集成及维护和系统评估</w:t>
      </w:r>
      <w:r>
        <w:rPr>
          <w:rFonts w:ascii="仿宋" w:eastAsia="仿宋" w:hAnsi="仿宋" w:cs="仿宋" w:hint="eastAsia"/>
          <w:color w:val="0070C0"/>
          <w:sz w:val="28"/>
          <w:szCs w:val="20"/>
          <w:lang w:eastAsia="zh-CN"/>
        </w:rPr>
        <w:t>）</w:t>
      </w:r>
      <w:r>
        <w:rPr>
          <w:rFonts w:ascii="仿宋" w:eastAsia="仿宋" w:hAnsi="仿宋" w:cs="仿宋" w:hint="eastAsia"/>
          <w:sz w:val="28"/>
          <w:szCs w:val="20"/>
        </w:rPr>
        <w:t>，包括设备售后服务组织机构、人员组成、技术支持文档等。其中，售后服务组织机构设置合理，</w:t>
      </w:r>
      <w:r>
        <w:rPr>
          <w:rFonts w:ascii="仿宋" w:eastAsia="仿宋" w:hAnsi="仿宋" w:cs="仿宋" w:hint="eastAsia"/>
          <w:color w:val="0070C0"/>
          <w:sz w:val="28"/>
          <w:szCs w:val="20"/>
          <w:lang w:val="en-US" w:eastAsia="zh-CN"/>
        </w:rPr>
        <w:t>服务内容完整、</w:t>
      </w:r>
      <w:r>
        <w:rPr>
          <w:rFonts w:ascii="仿宋" w:eastAsia="仿宋" w:hAnsi="仿宋" w:cs="仿宋" w:hint="eastAsia"/>
          <w:sz w:val="28"/>
          <w:szCs w:val="20"/>
        </w:rPr>
        <w:t>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w:t>
      </w:r>
      <w:r>
        <w:rPr>
          <w:rFonts w:ascii="仿宋" w:eastAsia="仿宋" w:hAnsi="仿宋" w:cs="仿宋" w:hint="eastAsia"/>
          <w:color w:val="0070C0"/>
          <w:sz w:val="28"/>
          <w:szCs w:val="20"/>
          <w:lang w:val="en-US" w:eastAsia="zh-CN"/>
        </w:rPr>
        <w:t>安装建设、故障处理、</w:t>
      </w:r>
      <w:r>
        <w:rPr>
          <w:rFonts w:ascii="仿宋" w:eastAsia="仿宋" w:hAnsi="仿宋" w:cs="仿宋" w:hint="eastAsia"/>
          <w:color w:val="0070C0"/>
          <w:sz w:val="28"/>
          <w:szCs w:val="20"/>
        </w:rPr>
        <w:t>操作规范和</w:t>
      </w:r>
      <w:r>
        <w:rPr>
          <w:rFonts w:ascii="仿宋" w:eastAsia="仿宋" w:hAnsi="仿宋" w:cs="仿宋" w:hint="eastAsia"/>
          <w:color w:val="0070C0"/>
          <w:sz w:val="28"/>
          <w:szCs w:val="20"/>
          <w:lang w:val="en-US" w:eastAsia="zh-CN"/>
        </w:rPr>
        <w:t>业务</w:t>
      </w:r>
      <w:r>
        <w:rPr>
          <w:rFonts w:ascii="仿宋" w:eastAsia="仿宋" w:hAnsi="仿宋" w:cs="仿宋" w:hint="eastAsia"/>
          <w:color w:val="0070C0"/>
          <w:sz w:val="28"/>
          <w:szCs w:val="20"/>
        </w:rPr>
        <w:t>流程、</w:t>
      </w:r>
      <w:r>
        <w:rPr>
          <w:rFonts w:ascii="仿宋" w:eastAsia="仿宋" w:hAnsi="仿宋" w:cs="仿宋" w:hint="eastAsia"/>
          <w:color w:val="0070C0"/>
          <w:sz w:val="28"/>
          <w:szCs w:val="20"/>
          <w:lang w:val="en-US" w:eastAsia="zh-CN"/>
        </w:rPr>
        <w:t>数据处理系统</w:t>
      </w:r>
      <w:r>
        <w:rPr>
          <w:rFonts w:ascii="仿宋" w:eastAsia="仿宋" w:hAnsi="仿宋" w:cs="仿宋" w:hint="eastAsia"/>
          <w:color w:val="0070C0"/>
          <w:sz w:val="28"/>
          <w:szCs w:val="20"/>
        </w:rPr>
        <w:t>软件的功能和</w:t>
      </w:r>
      <w:r>
        <w:rPr>
          <w:rFonts w:ascii="仿宋" w:eastAsia="仿宋" w:hAnsi="仿宋" w:cs="仿宋" w:hint="eastAsia"/>
          <w:color w:val="0070C0"/>
          <w:sz w:val="28"/>
          <w:szCs w:val="20"/>
          <w:lang w:val="en-US" w:eastAsia="zh-CN"/>
        </w:rPr>
        <w:t>安装及</w:t>
      </w:r>
      <w:r>
        <w:rPr>
          <w:rFonts w:ascii="仿宋" w:eastAsia="仿宋" w:hAnsi="仿宋" w:cs="仿宋" w:hint="eastAsia"/>
          <w:color w:val="0070C0"/>
          <w:sz w:val="28"/>
          <w:szCs w:val="20"/>
        </w:rPr>
        <w:t>使用方法</w:t>
      </w:r>
      <w:r>
        <w:rPr>
          <w:rFonts w:ascii="仿宋" w:eastAsia="仿宋" w:hAnsi="仿宋" w:cs="仿宋" w:hint="eastAsia"/>
          <w:sz w:val="28"/>
          <w:szCs w:val="20"/>
        </w:rPr>
        <w:t>，操作规范和流程、软件的功能和使用方法，具备常规操作、日常维护、中小故障排除、软件使用和系统管理的能力；熟练掌握所负责业务的数据分析、质量控制、系统评估、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24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50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中标供应商将所有设备运送至河北省、北京市地点（运输相关费用由供应商负责），并负责安装调试。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35</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spacing w:line="560" w:lineRule="exact"/>
        <w:ind w:firstLine="560" w:firstLineChars="200"/>
        <w:rPr>
          <w:rFonts w:ascii="仿宋" w:eastAsia="仿宋" w:hAnsi="仿宋" w:cs="仿宋" w:hint="eastAsia"/>
          <w:color w:val="0070C0"/>
          <w:sz w:val="28"/>
          <w:szCs w:val="20"/>
        </w:rPr>
      </w:pPr>
      <w:r>
        <w:rPr>
          <w:rFonts w:ascii="仿宋" w:eastAsia="仿宋" w:hAnsi="仿宋" w:cs="仿宋" w:hint="eastAsia"/>
          <w:sz w:val="28"/>
          <w:szCs w:val="20"/>
        </w:rPr>
        <w:t>设备可无缝接入气象网络系统，实现与原有省级业务平台无缝接入，完全符合甲方相关要求和规范，保证其系统的兼容性和功能的完整性。</w:t>
      </w:r>
      <w:r>
        <w:rPr>
          <w:rFonts w:ascii="仿宋" w:eastAsia="仿宋" w:hAnsi="仿宋" w:cs="仿宋" w:hint="eastAsia"/>
          <w:color w:val="0070C0"/>
          <w:sz w:val="28"/>
          <w:szCs w:val="20"/>
          <w:lang w:val="en-US" w:eastAsia="zh-CN"/>
        </w:rPr>
        <w:t>实现设备子站与国家雷电业务系统无缝接入，完全符合甲方相关要求和规范，提供设备单北斗技术证明及测试报告。提供数据处理系统核心算法源码，保证其功能和性能符合《闪电测绘阵列功能需求书》中要求，实现数据处理系统与国家雷电业务软件的集成，完全符合甲方相关要求和规范。</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1"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7.4</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设备供应商对所有设备提供自验收合格后8年的免费维护维修服务*，并提供相关承诺函。</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b/>
          <w:bCs/>
          <w:szCs w:val="21"/>
        </w:rPr>
      </w:pPr>
      <w:bookmarkStart w:id="72" w:name="采购公告合同部分_ZBGGHT"/>
      <w:r>
        <w:rPr>
          <w:b/>
          <w:bCs/>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Cs w:val="21"/>
        </w:rPr>
        <w:instrText>ADDIN CNKISM.UserStyle</w:instrText>
      </w:r>
      <w:r>
        <w:rPr>
          <w:b/>
          <w:bCs/>
          <w:szCs w:val="21"/>
        </w:rPr>
        <w:fldChar w:fldCharType="separate"/>
      </w:r>
      <w:r>
        <w:rPr>
          <w:b/>
          <w:bCs/>
          <w:szCs w:val="21"/>
        </w:rPr>
        <w:fldChar w:fldCharType="end"/>
      </w: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3"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space="708"/>
          <w:docGrid w:type="lines" w:linePitch="312"/>
        </w:sectPr>
      </w:pPr>
    </w:p>
    <w:p>
      <w:pPr>
        <w:pStyle w:val="Heading2"/>
        <w:numPr>
          <w:ilvl w:val="0"/>
          <w:numId w:val="0"/>
        </w:numPr>
        <w:adjustRightInd w:val="0"/>
        <w:snapToGrid w:val="0"/>
        <w:spacing w:line="400" w:lineRule="exact"/>
        <w:jc w:val="center"/>
        <w:rPr>
          <w:rFonts w:ascii="黑体" w:hAnsi="华文中宋"/>
          <w:b w:val="0"/>
          <w:bCs w:val="0"/>
          <w:sz w:val="28"/>
          <w:szCs w:val="28"/>
        </w:rPr>
      </w:pPr>
      <w:bookmarkStart w:id="74" w:name="_Toc22209"/>
      <w:bookmarkEnd w:id="73"/>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4"/>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tbl>
      <w:tblPr>
        <w:tblStyle w:val="TableNormal"/>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3"/>
        <w:gridCol w:w="956"/>
        <w:gridCol w:w="669"/>
        <w:gridCol w:w="537"/>
        <w:gridCol w:w="1489"/>
        <w:gridCol w:w="1489"/>
        <w:gridCol w:w="644"/>
        <w:gridCol w:w="668"/>
        <w:gridCol w:w="966"/>
      </w:tblGrid>
      <w:tr>
        <w:tblPrEx>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37"/>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序号</w:t>
            </w: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服务产品名称</w:t>
            </w: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数量</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cs="宋体" w:hint="eastAsia"/>
                <w:szCs w:val="21"/>
              </w:rPr>
            </w:pPr>
            <w:r>
              <w:rPr>
                <w:rFonts w:ascii="宋体" w:hAnsi="宋体" w:cs="宋体" w:hint="eastAsia"/>
                <w:szCs w:val="21"/>
              </w:rPr>
              <w:t>品牌</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cs="宋体" w:hint="eastAsia"/>
                <w:szCs w:val="21"/>
              </w:rPr>
              <w:t>规格型号</w:t>
            </w: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单价（元）</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总价（元）</w:t>
            </w: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交付时间</w:t>
            </w: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1489" w:type="dxa"/>
            <w:gridSpan w:val="2"/>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hint="eastAsia"/>
                <w:sz w:val="20"/>
                <w:szCs w:val="21"/>
              </w:rPr>
            </w:pPr>
          </w:p>
        </w:tc>
        <w:tc>
          <w:tcPr>
            <w:tcW w:w="4828" w:type="dxa"/>
            <w:gridSpan w:val="5"/>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合计</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bl>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采购标的的技术要求、商务要求具体见招标文件。</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双方签署合同后30个工作日内，甲方向乙方支付合同总金额的90%，到货、检验后付款：双方签署验收报告后30个工作日内，甲方向乙方支付合同总金额的10 %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合同履行及验收</w:t>
      </w:r>
    </w:p>
    <w:p>
      <w:pPr>
        <w:adjustRightInd w:val="0"/>
        <w:snapToGrid w:val="0"/>
        <w:spacing w:line="360" w:lineRule="auto"/>
        <w:ind w:left="420"/>
        <w:rPr>
          <w:b/>
        </w:rPr>
      </w:pPr>
      <w:r>
        <w:rPr>
          <w:rFonts w:ascii="宋体" w:hAnsi="宋体" w:hint="eastAsia"/>
          <w:b/>
          <w:szCs w:val="21"/>
        </w:rPr>
        <w:t xml:space="preserve"> </w:t>
      </w:r>
      <w:r>
        <w:rPr>
          <w:rFonts w:hint="eastAsia"/>
          <w:b/>
        </w:rPr>
        <w:t>（1）质量标准及保证</w:t>
      </w:r>
    </w:p>
    <w:p>
      <w:pPr>
        <w:numPr>
          <w:ilvl w:val="0"/>
          <w:numId w:val="7"/>
        </w:numPr>
        <w:tabs>
          <w:tab w:val="left" w:pos="1573"/>
        </w:tabs>
        <w:adjustRightInd w:val="0"/>
        <w:snapToGrid w:val="0"/>
        <w:spacing w:line="360" w:lineRule="auto"/>
        <w:ind w:firstLine="420" w:firstLineChars="200"/>
        <w:rPr>
          <w:rFonts w:hint="eastAsia"/>
        </w:rPr>
      </w:pPr>
      <w:r>
        <w:rPr>
          <w:rFonts w:hint="eastAsia"/>
        </w:rPr>
        <w:t>乙方应提供产品达到合格标准的出厂测试报告。</w:t>
      </w:r>
    </w:p>
    <w:p>
      <w:pPr>
        <w:numPr>
          <w:ilvl w:val="0"/>
          <w:numId w:val="7"/>
        </w:numPr>
        <w:tabs>
          <w:tab w:val="left" w:pos="1573"/>
        </w:tabs>
        <w:adjustRightInd w:val="0"/>
        <w:snapToGrid w:val="0"/>
        <w:spacing w:line="360" w:lineRule="auto"/>
        <w:ind w:firstLine="420" w:firstLineChars="200"/>
        <w:rPr>
          <w:rFonts w:hint="eastAsia"/>
        </w:rPr>
      </w:pPr>
      <w:r>
        <w:rPr>
          <w:rFonts w:hint="eastAsia"/>
        </w:rPr>
        <w:t>合同签订后</w:t>
      </w:r>
      <w:r>
        <w:rPr>
          <w:rFonts w:hint="eastAsia"/>
          <w:lang w:val="en-US" w:eastAsia="zh-CN"/>
        </w:rPr>
        <w:t>135</w:t>
      </w:r>
      <w:r>
        <w:rPr>
          <w:rFonts w:hint="eastAsia"/>
        </w:rPr>
        <w:t>天内，完成设备出厂测试，</w:t>
      </w:r>
      <w:r>
        <w:rPr>
          <w:rFonts w:hint="eastAsia"/>
          <w:lang w:val="en-US" w:eastAsia="zh-CN"/>
        </w:rPr>
        <w:t>135</w:t>
      </w:r>
      <w:r>
        <w:rPr>
          <w:rFonts w:hint="eastAsia"/>
        </w:rPr>
        <w:t>天内发货</w:t>
      </w:r>
    </w:p>
    <w:p>
      <w:pPr>
        <w:numPr>
          <w:ilvl w:val="0"/>
          <w:numId w:val="7"/>
        </w:numPr>
        <w:tabs>
          <w:tab w:val="left" w:pos="1573"/>
        </w:tabs>
        <w:adjustRightInd w:val="0"/>
        <w:snapToGrid w:val="0"/>
        <w:spacing w:line="360" w:lineRule="auto"/>
        <w:ind w:firstLine="420" w:firstLineChars="200"/>
        <w:rPr>
          <w:rFonts w:hint="eastAsia"/>
        </w:rPr>
      </w:pPr>
      <w:r>
        <w:rPr>
          <w:rFonts w:hint="eastAsia"/>
        </w:rPr>
        <w:t>合同签订后</w:t>
      </w:r>
      <w:r>
        <w:rPr>
          <w:rFonts w:hint="eastAsia"/>
          <w:lang w:val="en-US" w:eastAsia="zh-CN"/>
        </w:rPr>
        <w:t>150</w:t>
      </w:r>
      <w:r>
        <w:rPr>
          <w:rFonts w:hint="eastAsia"/>
        </w:rPr>
        <w:t>天内，完成现场后安装、测试和数据上传。</w:t>
      </w:r>
    </w:p>
    <w:p>
      <w:pPr>
        <w:numPr>
          <w:ilvl w:val="0"/>
          <w:numId w:val="7"/>
        </w:numPr>
        <w:tabs>
          <w:tab w:val="left" w:pos="1573"/>
        </w:tabs>
        <w:adjustRightInd w:val="0"/>
        <w:snapToGrid w:val="0"/>
        <w:spacing w:line="360" w:lineRule="auto"/>
        <w:ind w:firstLine="420" w:firstLineChars="200"/>
      </w:pPr>
      <w:r>
        <w:rPr>
          <w:rFonts w:hint="eastAsia"/>
        </w:rPr>
        <w:t>合同签订后</w:t>
      </w:r>
      <w:r>
        <w:rPr>
          <w:rFonts w:hint="eastAsia"/>
          <w:lang w:val="en-US" w:eastAsia="zh-CN"/>
        </w:rPr>
        <w:t>180</w:t>
      </w:r>
      <w:r>
        <w:rPr>
          <w:rFonts w:hint="eastAsia"/>
        </w:rPr>
        <w:t>天内，完成现场验收。</w:t>
      </w:r>
    </w:p>
    <w:p>
      <w:pPr>
        <w:numPr>
          <w:ilvl w:val="0"/>
          <w:numId w:val="7"/>
        </w:numPr>
        <w:tabs>
          <w:tab w:val="left" w:pos="1573"/>
        </w:tabs>
        <w:adjustRightInd w:val="0"/>
        <w:snapToGrid w:val="0"/>
        <w:spacing w:line="360" w:lineRule="auto"/>
        <w:ind w:firstLine="420" w:firstLineChars="200"/>
        <w:rPr>
          <w:rFonts w:hint="eastAsia"/>
        </w:rPr>
      </w:pPr>
      <w:r>
        <w:rPr>
          <w:rFonts w:hint="eastAsia"/>
        </w:rPr>
        <w:t>备品备件、故障维修、巡检巡查等具体要求按照《2024年气象观测站网工程新上设备建设及质保指导意见（7种生态观测设备）》、《</w:t>
      </w:r>
      <w:r>
        <w:rPr>
          <w:rFonts w:hint="eastAsia"/>
        </w:rPr>
        <w:t>“</w:t>
      </w:r>
      <w:r>
        <w:rPr>
          <w:rFonts w:hint="eastAsia"/>
        </w:rPr>
        <w:t>十四五</w:t>
      </w:r>
      <w:r>
        <w:rPr>
          <w:rFonts w:hint="eastAsia"/>
        </w:rPr>
        <w:t>”</w:t>
      </w:r>
      <w:r>
        <w:rPr>
          <w:rFonts w:hint="eastAsia"/>
        </w:rPr>
        <w:t>期间综合观测类工程项目新上设备建设及质保指导意见》文件执行。</w:t>
      </w:r>
      <w:r>
        <w:rPr>
          <w:rFonts w:hAnsi="仿宋_GB2312" w:cs="仿宋_GB2312" w:hint="eastAsia"/>
          <w:color w:val="3366FF"/>
        </w:rPr>
        <w:t>（已发布质保指导意见的设备采购遵照指导意见具体要求执行，未发布的修改为：按照XXXXXX招标文件具体要求执行）</w:t>
      </w:r>
    </w:p>
    <w:p>
      <w:pPr>
        <w:numPr>
          <w:ilvl w:val="0"/>
          <w:numId w:val="6"/>
        </w:numPr>
        <w:adjustRightInd w:val="0"/>
        <w:snapToGrid w:val="0"/>
        <w:spacing w:line="360" w:lineRule="auto"/>
        <w:ind w:left="420"/>
        <w:rPr>
          <w:b/>
        </w:rPr>
      </w:pPr>
      <w:r>
        <w:rPr>
          <w:rFonts w:hint="eastAsia"/>
          <w:b/>
        </w:rPr>
        <w:t>验收</w:t>
      </w:r>
    </w:p>
    <w:p>
      <w:pPr>
        <w:pStyle w:val="BodyTextFirstIndent2"/>
        <w:numPr>
          <w:ilvl w:val="0"/>
          <w:numId w:val="8"/>
        </w:numPr>
        <w:ind w:leftChars="0" w:firstLineChars="0"/>
        <w:rPr>
          <w:rFonts w:hint="eastAsia"/>
          <w:highlight w:val="yellow"/>
        </w:rPr>
      </w:pPr>
      <w:r>
        <w:rPr>
          <w:rFonts w:hint="eastAsia"/>
          <w:highlight w:val="yellow"/>
        </w:rPr>
        <w:t>乙方应按照甲方要求提交合同实施情况报告、出厂测试报告、货物/服务接收清单、现场验收报告、安装后测试报告、业务运行准入测试报告等。满足《</w:t>
      </w:r>
      <w:r>
        <w:rPr>
          <w:rFonts w:hint="eastAsia"/>
          <w:highlight w:val="yellow"/>
        </w:rPr>
        <w:t>“</w:t>
      </w:r>
      <w:r>
        <w:rPr>
          <w:rFonts w:hint="eastAsia"/>
          <w:highlight w:val="yellow"/>
        </w:rPr>
        <w:t>十四五</w:t>
      </w:r>
      <w:r>
        <w:rPr>
          <w:rFonts w:hint="eastAsia"/>
          <w:highlight w:val="yellow"/>
        </w:rPr>
        <w:t>”</w:t>
      </w:r>
      <w:r>
        <w:rPr>
          <w:rFonts w:hint="eastAsia"/>
          <w:highlight w:val="yellow"/>
        </w:rPr>
        <w:t>期间综合观测类工程项目新上设备验收技术指南》验收要求。</w:t>
      </w:r>
    </w:p>
    <w:p>
      <w:pPr>
        <w:pStyle w:val="BodyTextFirstIndent2"/>
        <w:numPr>
          <w:ilvl w:val="0"/>
          <w:numId w:val="8"/>
        </w:numPr>
        <w:ind w:leftChars="0" w:firstLineChars="0"/>
        <w:rPr>
          <w:rFonts w:hint="eastAsia"/>
          <w:highlight w:val="yellow"/>
        </w:rPr>
      </w:pPr>
      <w:r>
        <w:rPr>
          <w:rFonts w:hint="eastAsia"/>
          <w:highlight w:val="yellow"/>
        </w:rPr>
        <w:t>乙方按照相关规范和投标设备说明书的规定完成设备供货、安装、调试及试运行。</w:t>
      </w:r>
    </w:p>
    <w:p>
      <w:pPr>
        <w:pStyle w:val="BodyTextFirstIndent2"/>
        <w:numPr>
          <w:ilvl w:val="0"/>
          <w:numId w:val="8"/>
        </w:numPr>
        <w:ind w:leftChars="0" w:firstLineChars="0"/>
        <w:rPr>
          <w:rFonts w:hint="eastAsia"/>
          <w:highlight w:val="yellow"/>
        </w:rPr>
      </w:pPr>
      <w:r>
        <w:rPr>
          <w:rFonts w:hint="eastAsia"/>
          <w:highlight w:val="yellow"/>
        </w:rPr>
        <w:t>在设备安装、调试合格后，提交检验测试报告，经甲方验收合格后签署现场验收报告。</w:t>
      </w:r>
    </w:p>
    <w:p>
      <w:pPr>
        <w:pStyle w:val="BodyTextFirstIndent2"/>
        <w:numPr>
          <w:ilvl w:val="0"/>
          <w:numId w:val="8"/>
        </w:numPr>
        <w:ind w:leftChars="0" w:firstLineChars="0"/>
        <w:rPr>
          <w:rFonts w:hint="eastAsia"/>
          <w:highlight w:val="yellow"/>
        </w:rPr>
      </w:pPr>
      <w:r>
        <w:rPr>
          <w:rFonts w:hint="eastAsia"/>
          <w:highlight w:val="yellow"/>
        </w:rPr>
        <w:t>在设备试运行结束后，经甲方验收合格后签署合同验收报告。</w:t>
      </w:r>
    </w:p>
    <w:p>
      <w:pPr>
        <w:adjustRightInd w:val="0"/>
        <w:snapToGrid w:val="0"/>
        <w:spacing w:line="360" w:lineRule="auto"/>
        <w:ind w:left="420"/>
        <w:rPr>
          <w:b/>
        </w:rPr>
      </w:pPr>
      <w:r>
        <w:rPr>
          <w:rFonts w:hint="eastAsia"/>
          <w:b/>
        </w:rPr>
        <w:t>（3）运输</w:t>
      </w:r>
    </w:p>
    <w:p>
      <w:pPr>
        <w:pStyle w:val="BodyTextFirstIndent2"/>
        <w:ind w:left="0" w:leftChars="0"/>
        <w:rPr>
          <w:highlight w:val="yellow"/>
        </w:rPr>
      </w:pPr>
      <w:r>
        <w:rPr>
          <w:rFonts w:hint="eastAsia"/>
          <w:highlight w:val="yellow"/>
        </w:rPr>
        <w:t>乙方</w:t>
      </w:r>
      <w:r>
        <w:rPr>
          <w:rFonts w:hint="eastAsia"/>
          <w:highlight w:val="yellow"/>
          <w:lang w:val="en-US" w:eastAsia="zh-CN"/>
        </w:rPr>
        <w:t>负责设备及相关零部件、备件的运输费用</w:t>
      </w:r>
      <w:r>
        <w:rPr>
          <w:rFonts w:hint="eastAsia"/>
          <w:highlight w:val="yellow"/>
        </w:rPr>
        <w:t>。</w:t>
      </w:r>
    </w:p>
    <w:p>
      <w:pPr>
        <w:adjustRightInd w:val="0"/>
        <w:snapToGrid w:val="0"/>
        <w:spacing w:line="360" w:lineRule="auto"/>
        <w:ind w:left="420"/>
        <w:rPr>
          <w:b/>
        </w:rPr>
      </w:pPr>
      <w:r>
        <w:rPr>
          <w:rFonts w:hint="eastAsia"/>
          <w:b/>
        </w:rPr>
        <w:t>（4）技术服务和保修责任方式</w:t>
      </w:r>
    </w:p>
    <w:p>
      <w:pPr>
        <w:tabs>
          <w:tab w:val="left" w:pos="1573"/>
        </w:tabs>
        <w:adjustRightInd w:val="0"/>
        <w:snapToGrid w:val="0"/>
        <w:spacing w:line="360" w:lineRule="auto"/>
        <w:ind w:left="840"/>
        <w:rPr>
          <w:rFonts w:ascii="宋体" w:hAnsi="宋体"/>
          <w:szCs w:val="21"/>
        </w:rPr>
      </w:pPr>
      <w:r>
        <w:rPr>
          <w:rFonts w:ascii="宋体" w:hAnsi="宋体" w:hint="eastAsia"/>
          <w:szCs w:val="21"/>
        </w:rPr>
        <w:t>1）乙方对合同货物的质量保修期为验收报告签署之日起96 个月。</w:t>
      </w:r>
    </w:p>
    <w:p>
      <w:pPr>
        <w:tabs>
          <w:tab w:val="left" w:pos="1573"/>
        </w:tabs>
        <w:adjustRightInd w:val="0"/>
        <w:snapToGrid w:val="0"/>
        <w:spacing w:line="360" w:lineRule="auto"/>
        <w:ind w:left="840"/>
        <w:rPr>
          <w:rFonts w:ascii="宋体" w:hAnsi="宋体"/>
          <w:szCs w:val="21"/>
        </w:rPr>
      </w:pPr>
      <w:r>
        <w:rPr>
          <w:rFonts w:ascii="宋体" w:hAnsi="宋体"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color w:val="FF0000"/>
          <w:szCs w:val="21"/>
        </w:rPr>
        <w:t>3）</w:t>
      </w:r>
      <w:r>
        <w:rPr>
          <w:rFonts w:ascii="宋体" w:hAnsi="宋体" w:hint="eastAsia"/>
          <w:szCs w:val="21"/>
          <w:highlight w:val="yellow"/>
        </w:rPr>
        <w:t>乙方承诺为甲方提供终身免费7天</w:t>
      </w:r>
      <w:r>
        <w:rPr>
          <w:rFonts w:ascii="宋体" w:hAnsi="宋体" w:hint="eastAsia"/>
          <w:szCs w:val="21"/>
          <w:highlight w:val="yellow"/>
        </w:rPr>
        <w:t>×</w:t>
      </w:r>
      <w:r>
        <w:rPr>
          <w:rFonts w:ascii="宋体" w:hAnsi="宋体"/>
          <w:szCs w:val="21"/>
          <w:highlight w:val="yellow"/>
        </w:rPr>
        <w:t>24</w:t>
      </w:r>
      <w:r>
        <w:rPr>
          <w:rFonts w:ascii="宋体" w:hAnsi="宋体" w:hint="eastAsia"/>
          <w:szCs w:val="21"/>
          <w:highlight w:val="yellow"/>
        </w:rPr>
        <w:t>小时远程技术支持服务。在货物出现故障或接到甲方提出的技术服务要求后2小时内予以答复，1</w:t>
      </w:r>
      <w:r>
        <w:rPr>
          <w:rFonts w:ascii="宋体" w:hAnsi="宋体"/>
          <w:szCs w:val="21"/>
          <w:highlight w:val="yellow"/>
        </w:rPr>
        <w:t>2</w:t>
      </w:r>
      <w:r>
        <w:rPr>
          <w:rFonts w:ascii="宋体" w:hAnsi="宋体" w:hint="eastAsia"/>
          <w:szCs w:val="21"/>
          <w:highlight w:val="yellow"/>
        </w:rPr>
        <w:t>小时内给出维修方案。甲方有要求或必要时，乙方将在接到甲方通知后7</w:t>
      </w:r>
      <w:r>
        <w:rPr>
          <w:rFonts w:ascii="宋体" w:hAnsi="宋体"/>
          <w:szCs w:val="21"/>
          <w:highlight w:val="yellow"/>
        </w:rPr>
        <w:t>2</w:t>
      </w:r>
      <w:r>
        <w:rPr>
          <w:rFonts w:ascii="宋体" w:hAnsi="宋体" w:hint="eastAsia"/>
          <w:szCs w:val="21"/>
          <w:highlight w:val="yellow"/>
        </w:rPr>
        <w:t>小时内到达现场。</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szCs w:val="21"/>
          <w:highlight w:val="yellow"/>
        </w:rPr>
        <w:t>4）质保期内提供</w:t>
      </w:r>
      <w:r>
        <w:rPr>
          <w:rFonts w:ascii="宋体" w:hAnsi="宋体" w:hint="eastAsia"/>
          <w:szCs w:val="21"/>
          <w:highlight w:val="yellow"/>
          <w:lang w:val="en-US" w:eastAsia="zh-CN"/>
        </w:rPr>
        <w:t>2</w:t>
      </w:r>
      <w:r>
        <w:rPr>
          <w:rFonts w:ascii="宋体" w:hAnsi="宋体" w:hint="eastAsia"/>
          <w:szCs w:val="21"/>
          <w:highlight w:val="yellow"/>
        </w:rPr>
        <w:t xml:space="preserve"> 次现场培训</w:t>
      </w:r>
    </w:p>
    <w:p>
      <w:pPr>
        <w:adjustRightInd w:val="0"/>
        <w:snapToGrid w:val="0"/>
        <w:spacing w:line="360" w:lineRule="auto"/>
        <w:ind w:left="420"/>
        <w:rPr>
          <w:b/>
        </w:rPr>
      </w:pPr>
      <w:r>
        <w:rPr>
          <w:rFonts w:hint="eastAsia"/>
          <w:b/>
        </w:rPr>
        <w:t>（5）安全生产责任</w:t>
      </w:r>
    </w:p>
    <w:p>
      <w:pPr>
        <w:tabs>
          <w:tab w:val="left" w:pos="1573"/>
        </w:tabs>
        <w:adjustRightInd w:val="0"/>
        <w:snapToGrid w:val="0"/>
        <w:spacing w:line="360" w:lineRule="auto"/>
        <w:ind w:left="840"/>
        <w:rPr>
          <w:rFonts w:ascii="宋体" w:eastAsia="宋体" w:hAnsi="宋体" w:cs="Times New Roman" w:hint="eastAsia"/>
          <w:szCs w:val="21"/>
        </w:rPr>
      </w:pPr>
      <w:r>
        <w:rPr>
          <w:rFonts w:ascii="宋体" w:eastAsia="宋体" w:hAnsi="宋体" w:cs="Times New Roman" w:hint="eastAsia"/>
          <w:szCs w:val="21"/>
        </w:rPr>
        <w:t>在作业前，甲方应向乙方进行详细的现场安全技术交底，并保存记录。乙方需向每位作业人员交底。</w:t>
      </w:r>
    </w:p>
    <w:p>
      <w:pPr>
        <w:tabs>
          <w:tab w:val="left" w:pos="1573"/>
        </w:tabs>
        <w:adjustRightInd w:val="0"/>
        <w:snapToGrid w:val="0"/>
        <w:spacing w:line="360" w:lineRule="auto"/>
        <w:ind w:left="840"/>
        <w:rPr>
          <w:rFonts w:ascii="宋体" w:eastAsia="宋体" w:hAnsi="宋体" w:cs="Times New Roman" w:hint="eastAsia"/>
          <w:szCs w:val="21"/>
        </w:rPr>
      </w:pPr>
      <w:r>
        <w:rPr>
          <w:rFonts w:ascii="宋体" w:eastAsia="宋体" w:hAnsi="宋体" w:cs="Times New Roman" w:hint="eastAsia"/>
          <w:szCs w:val="21"/>
        </w:rPr>
        <w:t>如果乙方违反安全生产条款（如发现重大隐患不整改），甲方有权采取的处理措施，如罚款、责令停工整顿，直至解除合同。</w:t>
      </w:r>
    </w:p>
    <w:p>
      <w:pPr>
        <w:tabs>
          <w:tab w:val="left" w:pos="1573"/>
        </w:tabs>
        <w:adjustRightInd w:val="0"/>
        <w:snapToGrid w:val="0"/>
        <w:spacing w:line="360" w:lineRule="auto"/>
        <w:ind w:left="840"/>
        <w:rPr>
          <w:rFonts w:ascii="宋体" w:eastAsia="宋体" w:hAnsi="宋体" w:cs="Times New Roman" w:hint="eastAsia"/>
          <w:szCs w:val="21"/>
        </w:rPr>
      </w:pPr>
      <w:r>
        <w:rPr>
          <w:rFonts w:ascii="宋体" w:eastAsia="宋体" w:hAnsi="宋体" w:cs="Times New Roman" w:hint="default"/>
          <w:szCs w:val="21"/>
        </w:rPr>
        <w:t>因乙方责任造成事故时，乙方需承担全部经济损失和法律责任。</w:t>
      </w:r>
    </w:p>
    <w:p>
      <w:pPr>
        <w:adjustRightInd w:val="0"/>
        <w:snapToGrid w:val="0"/>
        <w:spacing w:line="400" w:lineRule="exact"/>
        <w:ind w:left="420"/>
        <w:rPr>
          <w:rFonts w:ascii="宋体" w:hAnsi="宋体"/>
          <w:bCs/>
          <w:szCs w:val="21"/>
        </w:rPr>
      </w:pPr>
      <w:r>
        <w:rPr>
          <w:rFonts w:ascii="宋体" w:hAnsi="宋体" w:hint="eastAsia"/>
          <w:bCs/>
          <w:szCs w:val="21"/>
        </w:rPr>
        <w:t>（6）验收组织方式：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履约验收程序：</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735" w:firstLineChars="350"/>
        <w:rPr>
          <w:rFonts w:ascii="宋体" w:hAnsi="宋体"/>
          <w:bCs/>
          <w:szCs w:val="21"/>
          <w:u w:val="single"/>
        </w:rPr>
      </w:pPr>
      <w:r>
        <w:rPr>
          <w:rFonts w:ascii="宋体" w:hAnsi="宋体" w:hint="eastAsia"/>
          <w:bCs/>
          <w:szCs w:val="21"/>
        </w:rPr>
        <w:t>履约验收标准：</w:t>
      </w:r>
      <w:r>
        <w:rPr>
          <w:rFonts w:ascii="宋体" w:hAnsi="宋体" w:hint="eastAsia"/>
          <w:bCs/>
          <w:szCs w:val="21"/>
          <w:u w:val="single"/>
        </w:rPr>
        <w:t xml:space="preserve">                                         </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735" w:firstLineChars="350"/>
        <w:rPr>
          <w:rFonts w:ascii="宋体" w:hAnsi="宋体" w:cs="宋体"/>
          <w:bCs/>
          <w:szCs w:val="21"/>
          <w:u w:val="single"/>
        </w:rPr>
      </w:pPr>
      <w:r>
        <w:rPr>
          <w:rFonts w:ascii="宋体" w:hAnsi="宋体" w:cs="宋体" w:hint="eastAsia"/>
          <w:bCs/>
          <w:szCs w:val="21"/>
        </w:rPr>
        <w:t>履约验收其他事项：</w:t>
      </w:r>
      <w:r>
        <w:rPr>
          <w:rFonts w:ascii="宋体" w:hAnsi="宋体" w:cs="宋体" w:hint="eastAsia"/>
          <w:bCs/>
          <w:szCs w:val="21"/>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CellMar>
            <w:top w:w="0" w:type="dxa"/>
            <w:left w:w="108" w:type="dxa"/>
            <w:bottom w:w="0" w:type="dxa"/>
            <w:right w:w="108" w:type="dxa"/>
          </w:tblCellMar>
          <w:tblLook w:val="0000"/>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CellMar>
            <w:top w:w="0" w:type="dxa"/>
            <w:left w:w="108" w:type="dxa"/>
            <w:bottom w:w="0" w:type="dxa"/>
            <w:right w:w="108" w:type="dxa"/>
          </w:tblCellMar>
          <w:tblLook w:val="0000"/>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5" w:name="_Toc27624"/>
      <w:r>
        <w:rPr>
          <w:rFonts w:ascii="黑体" w:hAnsi="黑体" w:hint="eastAsia"/>
          <w:b w:val="0"/>
          <w:bCs w:val="0"/>
          <w:sz w:val="28"/>
          <w:szCs w:val="28"/>
        </w:rPr>
        <w:t>第二节 政府采购合同通用条款</w:t>
      </w:r>
      <w:bookmarkEnd w:id="75"/>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w:t>
      </w:r>
      <w:r>
        <w:rPr>
          <w:rFonts w:ascii="宋体" w:hAnsi="宋体" w:hint="eastAsia"/>
          <w:szCs w:val="21"/>
        </w:rPr>
        <w:t>“</w:t>
      </w:r>
      <w:r>
        <w:rPr>
          <w:rFonts w:ascii="宋体" w:hAnsi="宋体" w:hint="eastAsia"/>
          <w:szCs w:val="21"/>
        </w:rPr>
        <w:t>合同</w:t>
      </w:r>
      <w:r>
        <w:rPr>
          <w:rFonts w:ascii="宋体" w:hAnsi="宋体" w:hint="eastAsia"/>
          <w:szCs w:val="21"/>
        </w:rPr>
        <w:t>”</w:t>
      </w:r>
      <w:r>
        <w:rPr>
          <w:rFonts w:ascii="宋体" w:hAnsi="宋体" w:hint="eastAsia"/>
          <w:szCs w:val="21"/>
        </w:rPr>
        <w:t>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合同价款</w:t>
      </w:r>
      <w:r>
        <w:rPr>
          <w:rFonts w:ascii="宋体" w:hAnsi="宋体" w:hint="eastAsia"/>
          <w:szCs w:val="21"/>
        </w:rPr>
        <w:t>”</w:t>
      </w:r>
      <w:r>
        <w:rPr>
          <w:rFonts w:ascii="宋体" w:hAnsi="宋体" w:hint="eastAsia"/>
          <w:szCs w:val="21"/>
        </w:rPr>
        <w:t>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w:t>
      </w:r>
      <w:r>
        <w:rPr>
          <w:rFonts w:ascii="宋体" w:hAnsi="宋体" w:hint="eastAsia"/>
          <w:szCs w:val="21"/>
        </w:rPr>
        <w:t>“</w:t>
      </w:r>
      <w:r>
        <w:rPr>
          <w:rFonts w:ascii="宋体" w:hAnsi="宋体" w:hint="eastAsia"/>
          <w:szCs w:val="21"/>
        </w:rPr>
        <w:t>货物</w:t>
      </w:r>
      <w:r>
        <w:rPr>
          <w:rFonts w:ascii="宋体" w:hAnsi="宋体" w:hint="eastAsia"/>
          <w:szCs w:val="21"/>
        </w:rPr>
        <w:t>”</w:t>
      </w:r>
      <w:r>
        <w:rPr>
          <w:rFonts w:ascii="宋体" w:hAnsi="宋体" w:hint="eastAsia"/>
          <w:szCs w:val="21"/>
        </w:rPr>
        <w:t>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w:t>
      </w:r>
      <w:r>
        <w:rPr>
          <w:rFonts w:ascii="宋体" w:hAnsi="宋体" w:hint="eastAsia"/>
          <w:color w:val="000000"/>
          <w:szCs w:val="21"/>
        </w:rPr>
        <w:t>”</w:t>
      </w:r>
      <w:r>
        <w:rPr>
          <w:rFonts w:ascii="宋体" w:hAnsi="宋体" w:hint="eastAsia"/>
          <w:color w:val="000000"/>
          <w:szCs w:val="21"/>
        </w:rPr>
        <w:t>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w:t>
      </w:r>
      <w:r>
        <w:rPr>
          <w:rFonts w:ascii="宋体" w:hAnsi="宋体" w:hint="eastAsia"/>
          <w:color w:val="000000"/>
          <w:szCs w:val="21"/>
        </w:rPr>
        <w:t>分包</w:t>
      </w:r>
      <w:r>
        <w:rPr>
          <w:rFonts w:ascii="宋体" w:hAnsi="宋体" w:hint="eastAsia"/>
          <w:color w:val="000000"/>
          <w:szCs w:val="21"/>
        </w:rPr>
        <w:t>”</w:t>
      </w:r>
      <w:r>
        <w:rPr>
          <w:rFonts w:ascii="宋体" w:hAnsi="宋体" w:hint="eastAsia"/>
          <w:color w:val="000000"/>
          <w:szCs w:val="21"/>
        </w:rPr>
        <w:t>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w:t>
      </w:r>
      <w:r>
        <w:rPr>
          <w:rFonts w:ascii="宋体" w:hAnsi="宋体" w:hint="eastAsia"/>
          <w:szCs w:val="21"/>
        </w:rPr>
        <w:t>联合体</w:t>
      </w:r>
      <w:r>
        <w:rPr>
          <w:rFonts w:ascii="宋体" w:hAnsi="宋体" w:hint="eastAsia"/>
          <w:szCs w:val="21"/>
        </w:rPr>
        <w:t>”</w:t>
      </w:r>
      <w:r>
        <w:rPr>
          <w:rFonts w:ascii="宋体" w:hAnsi="宋体" w:hint="eastAsia"/>
          <w:szCs w:val="21"/>
        </w:rPr>
        <w:t>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6"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6"/>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7"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Look w:val="0000"/>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numPr>
          <w:ilvl w:val="0"/>
          <w:numId w:val="4"/>
        </w:numPr>
        <w:spacing w:line="360" w:lineRule="auto"/>
        <w:ind w:firstLine="3066" w:firstLineChars="1460"/>
        <w:jc w:val="left"/>
        <w:rPr>
          <w:b/>
          <w:bCs/>
          <w:szCs w:val="21"/>
        </w:rPr>
      </w:pPr>
      <w:bookmarkEnd w:id="72"/>
    </w:p>
    <w:sectPr>
      <w:pgSz w:w="11906" w:h="16838"/>
      <w:pgMar w:top="1440" w:right="1800" w:bottom="1440" w:left="1800" w:header="851" w:footer="992" w:gutter="0"/>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1530C5B"/>
    <w:multiLevelType w:val="singleLevel"/>
    <w:tmpl w:val="21530C5B"/>
    <w:lvl w:ilvl="0">
      <w:start w:val="1"/>
      <w:numFmt w:val="decimal"/>
      <w:lvlText w:val="%1)"/>
      <w:lvlJc w:val="left"/>
      <w:pPr>
        <w:ind w:left="562"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3">
    <w:nsid w:val="7A0F6431"/>
    <w:multiLevelType w:val="singleLevel"/>
    <w:tmpl w:val="7A0F6431"/>
    <w:lvl w:ilvl="0">
      <w:start w:val="1"/>
      <w:numFmt w:val="decimal"/>
      <w:suff w:val="space"/>
      <w:lvlText w:val="%1."/>
      <w:lvlJc w:val="left"/>
    </w:lvl>
  </w:abstractNum>
  <w:num w:numId="1">
    <w:abstractNumId w:val="6"/>
  </w:num>
  <w:num w:numId="2">
    <w:abstractNumId w:val="5"/>
  </w:num>
  <w:num w:numId="3">
    <w:abstractNumId w:val="7"/>
  </w:num>
  <w:num w:numId="4">
    <w:abstractNumId w:val="11"/>
  </w:num>
  <w:num w:numId="5">
    <w:abstractNumId w:val="13"/>
  </w:num>
  <w:num w:numId="6">
    <w:abstractNumId w:val="1"/>
  </w:num>
  <w:num w:numId="7">
    <w:abstractNumId w:val="8"/>
  </w:num>
  <w:num w:numId="8">
    <w:abstractNumId w:val="12"/>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2">
    <w:name w:val="Body Text First Indent 2"/>
    <w:basedOn w:val="BodyTextIndent"/>
    <w:link w:val="2Char"/>
    <w:pPr>
      <w:ind w:firstLine="420" w:firstLineChars="200"/>
    </w:pPr>
    <w:rPr>
      <w:szCs w:val="22"/>
    </w:rPr>
  </w:style>
  <w:style w:type="character" w:customStyle="1" w:styleId="2Char">
    <w:name w:val="正文首行缩进 2 Char"/>
    <w:link w:val="BodyTextFirstIndent2"/>
    <w:rPr>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