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hAnsi="宋体" w:cs="微软雅黑"/>
          <w:b/>
          <w:kern w:val="0"/>
          <w:szCs w:val="21"/>
          <w:highlight w:val="none"/>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eastAsia="宋体" w:hAnsi="宋体" w:cs="微软雅黑" w:hint="eastAsia"/>
          <w:b/>
          <w:kern w:val="0"/>
          <w:szCs w:val="21"/>
          <w:highlight w:val="none"/>
        </w:rPr>
        <w:t>：</w:t>
      </w:r>
      <w:r>
        <w:rPr>
          <w:rFonts w:ascii="宋体" w:hAnsi="宋体" w:cs="微软雅黑" w:hint="eastAsia"/>
          <w:b/>
          <w:kern w:val="0"/>
          <w:szCs w:val="21"/>
          <w:highlight w:val="none"/>
        </w:rPr>
        <w:t>20260201</w:t>
      </w:r>
      <w:r>
        <w:rPr>
          <w:rFonts w:ascii="宋体" w:hAnsi="宋体" w:cs="微软雅黑" w:hint="eastAsia"/>
          <w:b/>
          <w:kern w:val="0"/>
          <w:szCs w:val="21"/>
          <w:highlight w:val="none"/>
        </w:rPr>
        <w:t>.1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华北区域人工影响天气能力建设项目（内蒙古）—人工增减雨雪试验示范基地建设拉曼激光雷达</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ZQCD-26124</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2026年06月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bookmarkEnd w:id="3"/>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w:t>
      </w:r>
      <w:r>
        <w:rPr>
          <w:rFonts w:ascii="Times New Roman" w:eastAsia="宋体" w:hAnsi="Times New Roman" w:cs="Times New Roman" w:hint="eastAsia"/>
          <w:b/>
          <w:bCs/>
        </w:rPr>
        <w:t>及本国产品规</w:t>
      </w:r>
      <w:r>
        <w:rPr>
          <w:rFonts w:hint="eastAsia"/>
          <w:b/>
          <w:bCs/>
        </w:rPr>
        <w:t>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tabs>
          <w:tab w:val="left" w:pos="8460"/>
        </w:tabs>
        <w:adjustRightInd w:val="0"/>
        <w:snapToGrid w:val="0"/>
        <w:spacing w:line="360" w:lineRule="auto"/>
        <w:ind w:firstLine="420" w:firstLineChars="200"/>
        <w:jc w:val="left"/>
        <w:rPr>
          <w:rFonts w:ascii="宋体" w:eastAsia="宋体" w:hAnsi="宋体" w:cs="Times New Roman" w:hint="eastAsia"/>
          <w:bCs/>
          <w:szCs w:val="21"/>
        </w:rPr>
      </w:pPr>
      <w:r>
        <w:rPr>
          <w:rFonts w:ascii="宋体" w:eastAsia="宋体" w:hAnsi="宋体" w:cs="Times New Roman" w:hint="eastAsia"/>
          <w:bCs/>
          <w:szCs w:val="21"/>
        </w:rPr>
        <w:t>1.4.3 投标人所投产品符合国务院办公厅《关于在政府采购中实施本国产品标准及相关政策的通知》（国办发〔2025〕34号）关于本国产品价格评审优惠条件的，投标人可按照第二章投标文件格式的要求提供《关于符合本国产品标准的声明函》或财政部会同有关部门规定的有关证明文件，将对该投标人的总报价给予价格评审优惠，即对该投标人的总报价给予20%的价格扣除，用扣除后的价格参与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840" w:firstLineChars="400"/>
        <w:jc w:val="left"/>
        <w:rPr>
          <w:rFonts w:ascii="Times New Roman" w:eastAsia="宋体" w:hAnsi="Times New Roman" w:cs="Times New Roman" w:hint="eastAsia"/>
        </w:rPr>
      </w:pPr>
      <w:r>
        <w:rPr>
          <w:rFonts w:ascii="Times New Roman" w:eastAsia="宋体" w:hAnsi="Times New Roman" w:cs="Times New Roman" w:hint="eastAsia"/>
        </w:rPr>
        <w:fldChar w:fldCharType="begin"/>
      </w:r>
      <w:r>
        <w:rPr>
          <w:rFonts w:ascii="Times New Roman" w:eastAsia="宋体" w:hAnsi="Times New Roman" w:cs="Times New Roman" w:hint="eastAsia"/>
        </w:rPr>
        <w:instrText xml:space="preserve"> eq \o\ac(</w:instrText>
      </w:r>
      <w:r>
        <w:rPr>
          <w:rFonts w:ascii="Times New Roman" w:eastAsia="宋体" w:hAnsi="Times New Roman" w:cs="Times New Roman" w:hint="eastAsia"/>
        </w:rPr>
        <w:instrText>○</w:instrText>
      </w:r>
      <w:r>
        <w:rPr>
          <w:rFonts w:ascii="Times New Roman" w:eastAsia="宋体" w:hAnsi="Times New Roman" w:cs="Times New Roman" w:hint="eastAsia"/>
        </w:rPr>
        <w:instrText>,13)</w:instrText>
      </w:r>
      <w:r>
        <w:rPr>
          <w:rFonts w:ascii="Times New Roman" w:eastAsia="宋体" w:hAnsi="Times New Roman" w:cs="Times New Roman" w:hint="eastAsia"/>
        </w:rPr>
        <w:fldChar w:fldCharType="separate"/>
      </w:r>
      <w:r>
        <w:rPr>
          <w:rFonts w:ascii="Times New Roman" w:eastAsia="宋体" w:hAnsi="Times New Roman" w:cs="Times New Roman" w:hint="eastAsia"/>
        </w:rPr>
        <w:fldChar w:fldCharType="end"/>
      </w:r>
      <w:r>
        <w:rPr>
          <w:rFonts w:ascii="Times New Roman" w:eastAsia="宋体" w:hAnsi="Times New Roman" w:cs="Times New Roman" w:hint="eastAsia"/>
        </w:rPr>
        <w:t>《关于符合本国产品标准的声明函》或财政部会同有关部门规定的有关证明文件（投标人所投产品符合国务院办公厅《关于在政府采购中实施本国产品标准及相关政策的通知》（国办发〔2025〕34号）关于本国产品价格评审优惠条件的提供，如符合上述条件但未能提供，将不能享受价格扣除优惠）</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1.17.3投标人要按分项报价表的内容填写货物单价（包括货物报价以及品牌、型号、产地、装箱、包装、包装物料、运输和保险费用等）、总价及其他事项。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1.27.3评审中出现下列情形之一的，评标委员会将启动异常低价投标审查程序：</w:t>
      </w:r>
    </w:p>
    <w:p>
      <w:pPr>
        <w:pStyle w:val="10"/>
        <w:numPr>
          <w:ilvl w:val="0"/>
          <w:numId w:val="0"/>
        </w:numPr>
        <w:tabs>
          <w:tab w:val="left" w:pos="709"/>
          <w:tab w:val="left" w:pos="1573"/>
        </w:tabs>
        <w:adjustRightInd w:val="0"/>
        <w:snapToGrid w:val="0"/>
        <w:spacing w:line="360" w:lineRule="auto"/>
        <w:ind w:firstLine="420" w:firstLineChars="200"/>
        <w:rPr>
          <w:highlight w:val="none"/>
        </w:rPr>
      </w:pPr>
      <w:r>
        <w:rPr>
          <w:rFonts w:hint="eastAsia"/>
          <w:highlight w:val="none"/>
        </w:rPr>
        <w:t>（1）投标报价低于全部通过符合性审查供应商投标报价平均值50%的，即：投标报价 &lt;全部通过符合性审查供应商投标报价平均值</w:t>
      </w:r>
      <w:r>
        <w:rPr>
          <w:rFonts w:hint="eastAsia"/>
          <w:highlight w:val="none"/>
        </w:rPr>
        <w:t>×</w:t>
      </w:r>
      <w:r>
        <w:rPr>
          <w:rFonts w:hint="eastAsia"/>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（2）投标报价低于通过符合性审查的次低报价供应商投标报价50%的，即：投标报价 &lt;</w:t>
      </w:r>
      <w:r>
        <w:rPr>
          <w:rFonts w:ascii="宋体" w:hAnsi="宋体"/>
          <w:szCs w:val="21"/>
          <w:highlight w:val="none"/>
        </w:rPr>
        <w:t xml:space="preserve"> </w:t>
      </w:r>
      <w:r>
        <w:rPr>
          <w:rFonts w:ascii="宋体" w:hAnsi="宋体" w:hint="eastAsia"/>
          <w:szCs w:val="21"/>
          <w:highlight w:val="none"/>
        </w:rPr>
        <w:t>通过符合性审查的次低报价供应商投标报价</w:t>
      </w:r>
      <w:r>
        <w:rPr>
          <w:rFonts w:ascii="宋体" w:hAnsi="宋体" w:hint="eastAsia"/>
          <w:szCs w:val="21"/>
          <w:highlight w:val="none"/>
        </w:rPr>
        <w:t>×</w:t>
      </w:r>
      <w:r>
        <w:rPr>
          <w:rFonts w:ascii="宋体" w:hAnsi="宋体" w:hint="eastAsia"/>
          <w:szCs w:val="21"/>
          <w:highlight w:val="none"/>
        </w:rPr>
        <w:t>50%；</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（3）投标报价低于采购项目最高限价45%的，即：投标报价 &lt;</w:t>
      </w:r>
      <w:r>
        <w:rPr>
          <w:rFonts w:ascii="宋体" w:hAnsi="宋体"/>
          <w:szCs w:val="21"/>
          <w:highlight w:val="none"/>
        </w:rPr>
        <w:t xml:space="preserve"> </w:t>
      </w:r>
      <w:r>
        <w:rPr>
          <w:rFonts w:ascii="宋体" w:hAnsi="宋体" w:hint="eastAsia"/>
          <w:szCs w:val="21"/>
          <w:highlight w:val="none"/>
        </w:rPr>
        <w:t>采购项目最高限价</w:t>
      </w:r>
      <w:r>
        <w:rPr>
          <w:rFonts w:ascii="宋体" w:hAnsi="宋体" w:hint="eastAsia"/>
          <w:szCs w:val="21"/>
          <w:highlight w:val="none"/>
        </w:rPr>
        <w:t>×</w:t>
      </w:r>
      <w:r>
        <w:rPr>
          <w:rFonts w:ascii="宋体" w:hAnsi="宋体" w:hint="eastAsia"/>
          <w:szCs w:val="21"/>
          <w:highlight w:val="none"/>
        </w:rPr>
        <w:t>45%；</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（4）评标委员会基于专业判断，认为供应商报价过低，有可能影响产品质量或者不能诚信履约的其他情形。</w:t>
      </w:r>
    </w:p>
    <w:p>
      <w:pPr>
        <w:widowControl/>
        <w:shd w:val="clear" w:color="auto" w:fill="FFFFFF"/>
        <w:spacing w:line="360" w:lineRule="auto"/>
        <w:ind w:firstLine="420" w:firstLineChars="200"/>
        <w:textAlignment w:val="baseline"/>
        <w:rPr>
          <w:b/>
          <w:bCs/>
          <w:highlight w:val="none"/>
        </w:rPr>
      </w:pPr>
      <w:r>
        <w:rPr>
          <w:rFonts w:ascii="宋体" w:hAnsi="宋体" w:hint="eastAsia"/>
          <w:szCs w:val="21"/>
          <w:highlight w:val="none"/>
        </w:rPr>
        <w:t>采购人根据</w:t>
      </w:r>
      <w:r>
        <w:rPr>
          <w:rFonts w:ascii="宋体" w:hAnsi="宋体"/>
          <w:szCs w:val="21"/>
          <w:highlight w:val="none"/>
        </w:rPr>
        <w:t>本项目实际情况，</w:t>
      </w:r>
      <w:r>
        <w:rPr>
          <w:rFonts w:ascii="宋体" w:hAnsi="宋体" w:hint="eastAsia"/>
          <w:szCs w:val="21"/>
          <w:highlight w:val="none"/>
        </w:rPr>
        <w:t>可以提高</w:t>
      </w:r>
      <w:r>
        <w:rPr>
          <w:rFonts w:ascii="宋体" w:hAnsi="宋体"/>
          <w:szCs w:val="21"/>
          <w:highlight w:val="none"/>
        </w:rPr>
        <w:t>上述</w:t>
      </w:r>
      <w:r>
        <w:rPr>
          <w:rFonts w:ascii="宋体" w:hAnsi="宋体" w:hint="eastAsia"/>
          <w:szCs w:val="21"/>
          <w:highlight w:val="none"/>
        </w:rPr>
        <w:t>1项至3项中</w:t>
      </w:r>
      <w:r>
        <w:rPr>
          <w:rFonts w:ascii="宋体" w:hAnsi="宋体"/>
          <w:szCs w:val="21"/>
          <w:highlight w:val="none"/>
        </w:rPr>
        <w:t>启动</w:t>
      </w:r>
      <w:r>
        <w:rPr>
          <w:rFonts w:ascii="宋体" w:hAnsi="宋体" w:hint="eastAsia"/>
          <w:szCs w:val="21"/>
          <w:highlight w:val="none"/>
        </w:rPr>
        <w:t>异常</w:t>
      </w:r>
      <w:r>
        <w:rPr>
          <w:rFonts w:ascii="宋体" w:hAnsi="宋体"/>
          <w:szCs w:val="21"/>
          <w:highlight w:val="none"/>
        </w:rPr>
        <w:t>低价投标审查</w:t>
      </w:r>
      <w:r>
        <w:rPr>
          <w:rFonts w:ascii="宋体" w:hAnsi="宋体" w:hint="eastAsia"/>
          <w:szCs w:val="21"/>
          <w:highlight w:val="none"/>
        </w:rPr>
        <w:t>的</w:t>
      </w:r>
      <w:r>
        <w:rPr>
          <w:rFonts w:ascii="宋体" w:hAnsi="宋体"/>
          <w:szCs w:val="21"/>
          <w:highlight w:val="none"/>
        </w:rPr>
        <w:t>数值标准，</w:t>
      </w:r>
      <w:r>
        <w:rPr>
          <w:rFonts w:ascii="宋体" w:hAnsi="宋体" w:hint="eastAsia"/>
          <w:szCs w:val="21"/>
          <w:highlight w:val="none"/>
        </w:rPr>
        <w:t>但最高</w:t>
      </w:r>
      <w:r>
        <w:rPr>
          <w:rFonts w:ascii="宋体" w:hAnsi="宋体"/>
          <w:szCs w:val="21"/>
          <w:highlight w:val="none"/>
        </w:rPr>
        <w:t>不</w:t>
      </w:r>
      <w:r>
        <w:rPr>
          <w:rFonts w:ascii="宋体" w:hAnsi="宋体" w:hint="eastAsia"/>
          <w:szCs w:val="21"/>
          <w:highlight w:val="none"/>
        </w:rPr>
        <w:t>超过65%。如</w:t>
      </w:r>
      <w:r>
        <w:rPr>
          <w:rFonts w:ascii="宋体" w:hAnsi="宋体"/>
          <w:szCs w:val="21"/>
          <w:highlight w:val="none"/>
        </w:rPr>
        <w:t>提高，</w:t>
      </w:r>
      <w:r>
        <w:rPr>
          <w:rFonts w:ascii="宋体" w:hAnsi="宋体" w:hint="eastAsia"/>
          <w:szCs w:val="21"/>
          <w:highlight w:val="none"/>
        </w:rPr>
        <w:t>具体比例见</w:t>
      </w:r>
      <w:r>
        <w:rPr>
          <w:rFonts w:hint="eastAsia"/>
          <w:b/>
          <w:bCs/>
          <w:highlight w:val="none"/>
        </w:rPr>
        <w:t>第五章投标人须知专用部分。</w:t>
      </w:r>
      <w:r>
        <w:rPr>
          <w:rFonts w:ascii="宋体" w:hAnsi="宋体" w:hint="eastAsia"/>
          <w:szCs w:val="21"/>
          <w:highlight w:val="none"/>
        </w:rPr>
        <w:t>如</w:t>
      </w:r>
      <w:r>
        <w:rPr>
          <w:rFonts w:hint="eastAsia"/>
          <w:b/>
          <w:bCs/>
          <w:highlight w:val="none"/>
        </w:rPr>
        <w:t>第五章投标人须知专用部分</w:t>
      </w:r>
      <w:r>
        <w:rPr>
          <w:rFonts w:hint="eastAsia"/>
          <w:bCs/>
          <w:highlight w:val="none"/>
        </w:rPr>
        <w:t>未约定</w:t>
      </w:r>
      <w:r>
        <w:rPr>
          <w:bCs/>
          <w:highlight w:val="none"/>
        </w:rPr>
        <w:t>，</w:t>
      </w:r>
      <w:r>
        <w:rPr>
          <w:rFonts w:hint="eastAsia"/>
          <w:bCs/>
          <w:highlight w:val="none"/>
        </w:rPr>
        <w:t>视同不</w:t>
      </w:r>
      <w:r>
        <w:rPr>
          <w:bCs/>
          <w:highlight w:val="none"/>
        </w:rPr>
        <w:t>提高相关数值标准</w:t>
      </w:r>
      <w:r>
        <w:rPr>
          <w:rFonts w:hint="eastAsia"/>
          <w:bCs/>
          <w:highlight w:val="none"/>
        </w:rPr>
        <w:t>。</w:t>
      </w:r>
    </w:p>
    <w:p>
      <w:pPr>
        <w:widowControl/>
        <w:shd w:val="clear" w:color="auto" w:fill="FFFFFF"/>
        <w:spacing w:line="360" w:lineRule="auto"/>
        <w:textAlignment w:val="baseline"/>
        <w:rPr>
          <w:rFonts w:ascii="宋体" w:hAnsi="宋体"/>
          <w:szCs w:val="21"/>
          <w:highlight w:val="none"/>
        </w:rPr>
      </w:pPr>
      <w:r>
        <w:rPr>
          <w:rFonts w:ascii="宋体" w:hAnsi="宋体" w:hint="eastAsia"/>
          <w:szCs w:val="21"/>
          <w:highlight w:val="none"/>
        </w:rPr>
        <w:t xml:space="preserve">    </w:t>
      </w:r>
      <w:r>
        <w:rPr>
          <w:rFonts w:ascii="宋体" w:hAnsi="宋体"/>
          <w:szCs w:val="21"/>
          <w:highlight w:val="none"/>
        </w:rPr>
        <w:t>1.27.4</w:t>
      </w:r>
      <w:r>
        <w:rPr>
          <w:rFonts w:hint="eastAsia"/>
          <w:highlight w:val="none"/>
        </w:rPr>
        <w:t>评标委员会启动异常低价投标审查程序后，将</w:t>
      </w:r>
      <w:r>
        <w:rPr>
          <w:rFonts w:ascii="宋体" w:hAnsi="宋体" w:hint="eastAsia"/>
          <w:szCs w:val="21"/>
          <w:highlight w:val="none"/>
        </w:rPr>
        <w:t>要求相关供应商在评标现场合理的时间内对投标价格作出解释，提供项目具体成本测算等与报价合理性相关的书面说明及必要的证明材料，包括但不限于原材料成本、人工成本、制造费用等，给予相关供应商的合理时间一般不少于30分钟。其中，属于前述第3项情形，供应商已随投标文件一并提交相关书面说明及必要的证明材料的，在评标现场不再重复提交。</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评标委员会依据专业经验，参考同类项目中标（成交）价格、类似产品市场价格水平、行业人工费用标准、国家有关部门指导行业协会发布的行业平均成本等情况，对报价合理性进行判断。</w:t>
      </w:r>
    </w:p>
    <w:p>
      <w:pPr>
        <w:widowControl/>
        <w:shd w:val="clear" w:color="auto" w:fill="FFFFFF"/>
        <w:spacing w:line="360" w:lineRule="auto"/>
        <w:ind w:firstLine="420" w:firstLineChars="200"/>
        <w:textAlignment w:val="baseline"/>
        <w:rPr>
          <w:rFonts w:ascii="宋体" w:hAnsi="宋体"/>
          <w:szCs w:val="21"/>
          <w:highlight w:val="none"/>
        </w:rPr>
      </w:pPr>
      <w:r>
        <w:rPr>
          <w:rFonts w:ascii="宋体" w:hAnsi="宋体" w:hint="eastAsia"/>
          <w:szCs w:val="21"/>
          <w:highlight w:val="none"/>
        </w:rPr>
        <w:t>如</w:t>
      </w:r>
      <w:r>
        <w:rPr>
          <w:rFonts w:ascii="宋体" w:hAnsi="宋体"/>
          <w:szCs w:val="21"/>
          <w:highlight w:val="none"/>
        </w:rPr>
        <w:t>相关</w:t>
      </w:r>
      <w:r>
        <w:rPr>
          <w:rFonts w:ascii="宋体" w:hAnsi="宋体" w:hint="eastAsia"/>
          <w:szCs w:val="21"/>
          <w:highlight w:val="none"/>
        </w:rPr>
        <w:t>供应商不能提供书面说明、证明材料，或者提供的书面说明、证明材料不能证明其报价合理性的，评标委员会应当将其作为无效投标处理。</w:t>
      </w:r>
    </w:p>
    <w:p>
      <w:pPr>
        <w:widowControl/>
        <w:shd w:val="clear" w:color="auto" w:fill="FFFFFF"/>
        <w:tabs>
          <w:tab w:val="left" w:pos="709"/>
          <w:tab w:val="left" w:pos="1573"/>
        </w:tabs>
        <w:adjustRightInd w:val="0"/>
        <w:snapToGrid w:val="0"/>
        <w:spacing w:line="360" w:lineRule="auto"/>
        <w:ind w:firstLine="420" w:firstLineChars="200"/>
        <w:jc w:val="left"/>
        <w:textAlignment w:val="baseline"/>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（4）评审价格。开标一览表中该投标人的投标总价。如本项目</w:t>
      </w:r>
      <w:r>
        <w:rPr>
          <w:rFonts w:hint="eastAsia"/>
          <w:bCs/>
        </w:rPr>
        <w:t>不是专门或部分面向中小企</w:t>
      </w:r>
      <w:r>
        <w:rPr>
          <w:rFonts w:hint="eastAsia"/>
          <w:bCs/>
          <w:highlight w:val="none"/>
        </w:rPr>
        <w:t>业采购的项目，小微企业享受价格扣除优惠，用扣除后的价格参与评审；投标人所投</w:t>
      </w:r>
      <w:r>
        <w:rPr>
          <w:bCs/>
          <w:highlight w:val="none"/>
        </w:rPr>
        <w:t>产品</w:t>
      </w:r>
      <w:r>
        <w:rPr>
          <w:rFonts w:hint="eastAsia"/>
          <w:bCs/>
          <w:highlight w:val="none"/>
        </w:rPr>
        <w:t>符合国务院办公厅《关于在政府采购中实施本国产品标准及相关政策的通知》（国办发〔2025〕34号）关于</w:t>
      </w:r>
      <w:r>
        <w:rPr>
          <w:bCs/>
          <w:highlight w:val="none"/>
        </w:rPr>
        <w:t>本国产品价格</w:t>
      </w:r>
      <w:r>
        <w:rPr>
          <w:rFonts w:hint="eastAsia"/>
          <w:bCs/>
          <w:highlight w:val="none"/>
        </w:rPr>
        <w:t>评审</w:t>
      </w:r>
      <w:r>
        <w:rPr>
          <w:bCs/>
          <w:highlight w:val="none"/>
        </w:rPr>
        <w:t>优惠条件的，</w:t>
      </w:r>
      <w:r>
        <w:rPr>
          <w:rFonts w:hint="eastAsia"/>
          <w:bCs/>
          <w:highlight w:val="none"/>
        </w:rPr>
        <w:t>享受价格扣除优惠，用扣除后的价格参与评审。具体见1.4.3、1.5.4</w:t>
      </w:r>
      <w:r>
        <w:rPr>
          <w:rFonts w:hint="eastAsia"/>
          <w:highlight w:val="none"/>
        </w:rPr>
        <w:t>及</w:t>
      </w:r>
      <w:r>
        <w:rPr>
          <w:rFonts w:hint="eastAsia"/>
          <w:b/>
          <w:highlight w:val="none"/>
        </w:rPr>
        <w:t>第六章评标方法和评标标准。</w:t>
      </w:r>
      <w:r>
        <w:rPr>
          <w:rFonts w:hint="eastAsia"/>
          <w:highlight w:val="none"/>
        </w:rPr>
        <w:t>如同时</w:t>
      </w:r>
      <w:r>
        <w:rPr>
          <w:highlight w:val="none"/>
        </w:rPr>
        <w:t>享受多项</w:t>
      </w:r>
      <w:r>
        <w:rPr>
          <w:rFonts w:hint="eastAsia"/>
          <w:highlight w:val="none"/>
        </w:rPr>
        <w:t>价格</w:t>
      </w:r>
      <w:r>
        <w:rPr>
          <w:highlight w:val="none"/>
        </w:rPr>
        <w:t>扣除优惠政策</w:t>
      </w:r>
      <w:r>
        <w:rPr>
          <w:rFonts w:hint="eastAsia"/>
          <w:highlight w:val="none"/>
        </w:rPr>
        <w:t>的</w:t>
      </w:r>
      <w:r>
        <w:rPr>
          <w:highlight w:val="none"/>
        </w:rPr>
        <w:t>，</w:t>
      </w:r>
      <w:r>
        <w:rPr>
          <w:rFonts w:hint="eastAsia"/>
          <w:highlight w:val="none"/>
        </w:rPr>
        <w:t>价格</w:t>
      </w:r>
      <w:r>
        <w:rPr>
          <w:highlight w:val="none"/>
        </w:rPr>
        <w:t>扣除</w:t>
      </w:r>
      <w:r>
        <w:rPr>
          <w:rFonts w:hint="eastAsia"/>
          <w:highlight w:val="none"/>
        </w:rPr>
        <w:t>基数均</w:t>
      </w:r>
      <w:r>
        <w:rPr>
          <w:highlight w:val="none"/>
        </w:rPr>
        <w:t>为</w:t>
      </w:r>
      <w:r>
        <w:rPr>
          <w:rFonts w:hint="eastAsia"/>
          <w:highlight w:val="none"/>
        </w:rPr>
        <w:t>原</w:t>
      </w:r>
      <w:r>
        <w:rPr>
          <w:highlight w:val="none"/>
        </w:rPr>
        <w:t>投标报价。</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rPr>
      </w:pPr>
      <w:r>
        <w:rPr>
          <w:rFonts w:ascii="宋体" w:eastAsia="宋体" w:hAnsi="宋体" w:cs="Times New Roman" w:hint="eastAsia"/>
          <w:b/>
          <w:szCs w:val="20"/>
        </w:rPr>
        <w:t>2</w:t>
      </w:r>
      <w:r>
        <w:rPr>
          <w:rFonts w:ascii="宋体" w:eastAsia="宋体" w:hAnsi="宋体" w:cs="Times New Roman"/>
          <w:b/>
          <w:szCs w:val="20"/>
        </w:rPr>
        <w:t>.</w:t>
      </w:r>
      <w:r>
        <w:rPr>
          <w:rFonts w:ascii="宋体" w:eastAsia="宋体" w:hAnsi="宋体" w:cs="Times New Roman" w:hint="eastAsia"/>
          <w:b/>
          <w:szCs w:val="20"/>
        </w:rPr>
        <w:t>10</w:t>
      </w:r>
      <w:r>
        <w:rPr>
          <w:rFonts w:ascii="宋体" w:eastAsia="宋体" w:hAnsi="宋体" w:cs="Times New Roman"/>
          <w:b/>
          <w:szCs w:val="20"/>
        </w:rPr>
        <w:t>资格</w:t>
      </w:r>
      <w:r>
        <w:rPr>
          <w:rFonts w:ascii="宋体" w:eastAsia="宋体" w:hAnsi="宋体" w:cs="Times New Roman" w:hint="eastAsia"/>
          <w:b/>
          <w:szCs w:val="20"/>
        </w:rPr>
        <w:t>、资信</w:t>
      </w:r>
      <w:r>
        <w:rPr>
          <w:rFonts w:ascii="宋体" w:eastAsia="宋体" w:hAnsi="宋体" w:cs="Times New Roman"/>
          <w:b/>
          <w:szCs w:val="20"/>
        </w:rPr>
        <w:t>证明文件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2.10.1投标人</w:t>
      </w:r>
      <w:r>
        <w:rPr>
          <w:b/>
        </w:rPr>
        <w:t>法人</w:t>
      </w:r>
      <w:r>
        <w:rPr>
          <w:rFonts w:hint="eastAsia"/>
          <w:b/>
        </w:rPr>
        <w:t>资格</w:t>
      </w:r>
      <w:r>
        <w:rPr>
          <w:b/>
        </w:rPr>
        <w:t>证明文件</w:t>
      </w:r>
    </w:p>
    <w:p>
      <w:pPr>
        <w:pStyle w:val="10"/>
        <w:numPr>
          <w:ilvl w:val="0"/>
          <w:numId w:val="0"/>
        </w:numPr>
        <w:tabs>
          <w:tab w:val="left" w:pos="1573"/>
        </w:tabs>
        <w:adjustRightInd w:val="0"/>
        <w:snapToGrid w:val="0"/>
        <w:spacing w:line="360" w:lineRule="auto"/>
        <w:ind w:firstLine="420" w:firstLineChars="200"/>
        <w:jc w:val="left"/>
      </w:pPr>
      <w:r>
        <w:rPr>
          <w:rFonts w:hint="eastAsia"/>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rPr>
      </w:pPr>
      <w:r>
        <w:rPr>
          <w:rFonts w:ascii="宋体" w:eastAsia="宋体" w:hAnsi="宋体" w:cs="Times New Roman" w:hint="eastAsia"/>
          <w:szCs w:val="21"/>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宋体" w:eastAsia="宋体" w:hAnsi="宋体" w:cs="Times New Roman" w:hint="eastAsia"/>
          <w:szCs w:val="21"/>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rPr>
      </w:pPr>
      <w:r>
        <w:rPr>
          <w:rFonts w:hint="eastAsia"/>
        </w:rPr>
        <w:t>在格式文本中，除可填报内容外，任何实质性修改将被视为非实质性响应投标，从而导致该投标被</w:t>
      </w:r>
      <w:r>
        <w:rPr>
          <w:rFonts w:eastAsia="拒绝" w:hint="eastAsia"/>
          <w:b/>
        </w:rPr>
        <w:t>拒绝</w:t>
      </w:r>
      <w:r>
        <w:rPr>
          <w:rFonts w:hint="eastAsia"/>
        </w:rPr>
        <w:t>。</w:t>
      </w:r>
    </w:p>
    <w:p>
      <w:pPr>
        <w:tabs>
          <w:tab w:val="left" w:pos="1573"/>
        </w:tabs>
        <w:adjustRightInd w:val="0"/>
        <w:snapToGrid w:val="0"/>
        <w:spacing w:line="360" w:lineRule="auto"/>
        <w:jc w:val="center"/>
        <w:rPr>
          <w:rFonts w:ascii="华文楷体" w:eastAsia="华文楷体" w:hAnsi="华文楷体" w:cs="Times New Roman"/>
          <w:b/>
          <w:szCs w:val="20"/>
        </w:rPr>
      </w:pPr>
      <w:r>
        <w:rPr>
          <w:rFonts w:ascii="华文楷体" w:eastAsia="华文楷体" w:hAnsi="华文楷体" w:cs="Times New Roman" w:hint="eastAsia"/>
          <w:b/>
          <w:szCs w:val="20"/>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bookmarkStart w:id="10" w:name="_Hlt509739007"/>
      <w:bookmarkEnd w:id="10"/>
      <w:r>
        <w:rPr>
          <w:rFonts w:hint="eastAsia"/>
          <w:b/>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rPr>
      </w:pPr>
      <w:r>
        <w:rPr>
          <w:rFonts w:ascii="宋体" w:eastAsia="宋体" w:hAnsi="宋体" w:cs="Times New Roman" w:hint="eastAsia"/>
          <w:szCs w:val="20"/>
        </w:rPr>
        <w:t>投标人提供在“信用中国”网站（</w:t>
      </w:r>
      <w:r>
        <w:rPr>
          <w:rFonts w:ascii="宋体" w:eastAsia="宋体" w:hAnsi="宋体" w:cs="Times New Roman"/>
          <w:szCs w:val="20"/>
        </w:rPr>
        <w:t>www.creditchina.gov.cn）</w:t>
      </w:r>
      <w:r>
        <w:rPr>
          <w:rFonts w:ascii="宋体" w:eastAsia="宋体" w:hAnsi="宋体" w:cs="Times New Roman" w:hint="eastAsia"/>
          <w:szCs w:val="20"/>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rPr>
      </w:pPr>
      <w:r>
        <w:rPr>
          <w:rFonts w:ascii="Times New Roman" w:eastAsia="宋体" w:hAnsi="Times New Roman" w:cs="Times New Roman" w:hint="eastAsia"/>
          <w:szCs w:val="20"/>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2.10.8进口产品制造商授权书</w:t>
      </w:r>
    </w:p>
    <w:p>
      <w:pPr>
        <w:adjustRightInd w:val="0"/>
        <w:snapToGrid w:val="0"/>
        <w:spacing w:line="360" w:lineRule="auto"/>
        <w:ind w:firstLine="412" w:firstLineChars="196"/>
        <w:rPr>
          <w:rFonts w:ascii="宋体" w:eastAsia="宋体" w:hAnsi="宋体" w:cs="Times New Roman"/>
          <w:szCs w:val="20"/>
        </w:rPr>
      </w:pPr>
      <w:r>
        <w:rPr>
          <w:rFonts w:ascii="宋体" w:eastAsia="宋体" w:hAnsi="宋体" w:cs="Times New Roman" w:hint="eastAsia"/>
          <w:b/>
          <w:szCs w:val="21"/>
        </w:rPr>
        <w:t>第五章投标人须知专用部分</w:t>
      </w:r>
      <w:r>
        <w:rPr>
          <w:rFonts w:ascii="宋体" w:eastAsia="宋体" w:hAnsi="宋体" w:cs="Times New Roman" w:hint="eastAsia"/>
          <w:szCs w:val="21"/>
        </w:rPr>
        <w:t>如对</w:t>
      </w:r>
      <w:r>
        <w:rPr>
          <w:rFonts w:ascii="宋体" w:eastAsia="宋体" w:hAnsi="宋体" w:cs="Times New Roman" w:hint="eastAsia"/>
          <w:szCs w:val="20"/>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rPr>
      </w:pPr>
      <w:r>
        <w:rPr>
          <w:rFonts w:ascii="华文楷体" w:eastAsia="华文楷体" w:hAnsi="华文楷体" w:cs="Times New Roman" w:hint="eastAsia"/>
          <w:b/>
          <w:szCs w:val="20"/>
        </w:rPr>
        <w:t>进口产品制造商授权书</w:t>
      </w:r>
    </w:p>
    <w:p>
      <w:pPr>
        <w:tabs>
          <w:tab w:val="left" w:pos="1573"/>
        </w:tabs>
        <w:adjustRightInd w:val="0"/>
        <w:snapToGrid w:val="0"/>
        <w:spacing w:line="360" w:lineRule="auto"/>
        <w:rPr>
          <w:rFonts w:ascii="华文楷体" w:eastAsia="华文楷体" w:hAnsi="华文楷体" w:cs="Times New Roman"/>
          <w:b/>
          <w:bCs/>
          <w:szCs w:val="20"/>
        </w:rPr>
      </w:pPr>
      <w:r>
        <w:rPr>
          <w:rFonts w:ascii="华文楷体" w:eastAsia="华文楷体" w:hAnsi="华文楷体" w:cs="Times New Roman" w:hint="eastAsia"/>
          <w:szCs w:val="21"/>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我们</w:t>
      </w:r>
      <w:r>
        <w:rPr>
          <w:rFonts w:ascii="华文楷体" w:eastAsia="华文楷体" w:hAnsi="华文楷体" w:cs="Times New Roman" w:hint="eastAsia"/>
          <w:szCs w:val="21"/>
          <w:u w:val="single"/>
        </w:rPr>
        <w:t>（制造商名称）</w:t>
      </w:r>
      <w:r>
        <w:rPr>
          <w:rFonts w:ascii="华文楷体" w:eastAsia="华文楷体" w:hAnsi="华文楷体" w:cs="Times New Roman" w:hint="eastAsia"/>
          <w:szCs w:val="21"/>
        </w:rPr>
        <w:t>是按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法律成立的一家制造商，主要营业地点设在</w:t>
      </w:r>
      <w:r>
        <w:rPr>
          <w:rFonts w:ascii="华文楷体" w:eastAsia="华文楷体" w:hAnsi="华文楷体" w:cs="Times New Roman" w:hint="eastAsia"/>
          <w:szCs w:val="21"/>
          <w:u w:val="single"/>
        </w:rPr>
        <w:t>（制造商地址）</w:t>
      </w:r>
      <w:r>
        <w:rPr>
          <w:rFonts w:ascii="华文楷体" w:eastAsia="华文楷体" w:hAnsi="华文楷体" w:cs="Times New Roman" w:hint="eastAsia"/>
          <w:szCs w:val="21"/>
        </w:rPr>
        <w:t>。兹指派按</w:t>
      </w:r>
      <w:r>
        <w:rPr>
          <w:rFonts w:ascii="华文楷体" w:eastAsia="华文楷体" w:hAnsi="华文楷体" w:cs="Times New Roman" w:hint="eastAsia"/>
          <w:szCs w:val="21"/>
          <w:u w:val="single"/>
        </w:rPr>
        <w:t>（国家名称）</w:t>
      </w:r>
      <w:r>
        <w:rPr>
          <w:rFonts w:ascii="华文楷体" w:eastAsia="华文楷体" w:hAnsi="华文楷体" w:cs="Times New Roman" w:hint="eastAsia"/>
          <w:szCs w:val="21"/>
        </w:rPr>
        <w:t>的法律正式成立的，主要营业地点设在</w:t>
      </w:r>
      <w:r>
        <w:rPr>
          <w:rFonts w:ascii="华文楷体" w:eastAsia="华文楷体" w:hAnsi="华文楷体" w:cs="Times New Roman" w:hint="eastAsia"/>
          <w:szCs w:val="21"/>
          <w:u w:val="single"/>
        </w:rPr>
        <w:t>（投标人地址）</w:t>
      </w:r>
      <w:r>
        <w:rPr>
          <w:rFonts w:ascii="华文楷体" w:eastAsia="华文楷体" w:hAnsi="华文楷体" w:cs="Times New Roman" w:hint="eastAsia"/>
          <w:szCs w:val="21"/>
        </w:rPr>
        <w:t>的</w:t>
      </w:r>
      <w:r>
        <w:rPr>
          <w:rFonts w:ascii="华文楷体" w:eastAsia="华文楷体" w:hAnsi="华文楷体" w:cs="Times New Roman" w:hint="eastAsia"/>
          <w:szCs w:val="21"/>
          <w:u w:val="single"/>
        </w:rPr>
        <w:t>（投标人名称）</w:t>
      </w:r>
      <w:r>
        <w:rPr>
          <w:rFonts w:ascii="华文楷体" w:eastAsia="华文楷体" w:hAnsi="华文楷体" w:cs="Times New Roman" w:hint="eastAsia"/>
          <w:szCs w:val="21"/>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（1）代表我方办理贵方</w:t>
      </w:r>
      <w:r>
        <w:rPr>
          <w:rFonts w:ascii="华文楷体" w:eastAsia="华文楷体" w:hAnsi="华文楷体" w:cs="Times New Roman" w:hint="eastAsia"/>
          <w:szCs w:val="21"/>
          <w:u w:val="single"/>
        </w:rPr>
        <w:t xml:space="preserve"> （项目编号、项目名称、包号）</w:t>
      </w:r>
      <w:r>
        <w:rPr>
          <w:rFonts w:ascii="华文楷体" w:eastAsia="华文楷体" w:hAnsi="华文楷体" w:cs="Times New Roman" w:hint="eastAsia"/>
          <w:szCs w:val="21"/>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（3）我方兹授予</w:t>
      </w:r>
      <w:r>
        <w:rPr>
          <w:rFonts w:ascii="华文楷体" w:eastAsia="华文楷体" w:hAnsi="华文楷体" w:cs="Times New Roman" w:hint="eastAsia"/>
          <w:szCs w:val="21"/>
          <w:u w:val="single"/>
        </w:rPr>
        <w:t xml:space="preserve"> （投标人名称） </w:t>
      </w:r>
      <w:r>
        <w:rPr>
          <w:rFonts w:ascii="华文楷体" w:eastAsia="华文楷体" w:hAnsi="华文楷体" w:cs="Times New Roman" w:hint="eastAsia"/>
          <w:szCs w:val="21"/>
        </w:rPr>
        <w:t xml:space="preserve">全权办理和履行上述我方为完成上述各点所必须的事宜，具有替换或撤销的全权。兹确认 </w:t>
      </w:r>
      <w:r>
        <w:rPr>
          <w:rFonts w:ascii="华文楷体" w:eastAsia="华文楷体" w:hAnsi="华文楷体" w:cs="Times New Roman" w:hint="eastAsia"/>
          <w:szCs w:val="21"/>
          <w:u w:val="single"/>
        </w:rPr>
        <w:t xml:space="preserve">（投标人名称） </w:t>
      </w:r>
      <w:r>
        <w:rPr>
          <w:rFonts w:ascii="华文楷体" w:eastAsia="华文楷体" w:hAnsi="华文楷体" w:cs="Times New Roman" w:hint="eastAsia"/>
          <w:szCs w:val="21"/>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（4）我方于</w:t>
      </w:r>
      <w:r>
        <w:rPr>
          <w:rFonts w:ascii="华文楷体" w:eastAsia="华文楷体" w:hAnsi="华文楷体" w:cs="Times New Roman" w:hint="eastAsia"/>
          <w:szCs w:val="21"/>
          <w:u w:val="single"/>
        </w:rPr>
        <w:t xml:space="preserve"> 年 月 日</w:t>
      </w:r>
      <w:r>
        <w:rPr>
          <w:rFonts w:ascii="华文楷体" w:eastAsia="华文楷体" w:hAnsi="华文楷体" w:cs="Times New Roman" w:hint="eastAsia"/>
          <w:szCs w:val="21"/>
        </w:rPr>
        <w:t>签署本文件，</w:t>
      </w:r>
      <w:r>
        <w:rPr>
          <w:rFonts w:ascii="华文楷体" w:eastAsia="华文楷体" w:hAnsi="华文楷体" w:cs="Times New Roman" w:hint="eastAsia"/>
          <w:szCs w:val="21"/>
          <w:u w:val="single"/>
        </w:rPr>
        <w:t xml:space="preserve"> （投标人名称）</w:t>
      </w:r>
      <w:r>
        <w:rPr>
          <w:rFonts w:ascii="华文楷体" w:eastAsia="华文楷体" w:hAnsi="华文楷体" w:cs="Times New Roman" w:hint="eastAsia"/>
          <w:szCs w:val="21"/>
        </w:rPr>
        <w:t>于</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年</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月</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rPr>
      </w:pP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制造商名称（制造商公章）：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制造商签字人职务和部门：</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制造商签字人（签字或盖章）：</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u w:val="single"/>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bookmarkStart w:id="11" w:name="_Toc86202647"/>
      <w:r>
        <w:rPr>
          <w:rFonts w:hint="eastAsia"/>
          <w:b/>
        </w:rPr>
        <w:t>2.10.9中</w:t>
      </w:r>
      <w:r>
        <w:rPr>
          <w:b/>
        </w:rPr>
        <w:t>小企业声明函</w:t>
      </w:r>
      <w:r>
        <w:rPr>
          <w:rFonts w:hint="eastAsia"/>
          <w:b/>
        </w:rPr>
        <w:t>、</w:t>
      </w:r>
      <w:r>
        <w:rPr>
          <w:rFonts w:hint="eastAsia"/>
          <w:b/>
          <w:bCs/>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rPr>
      </w:pPr>
      <w:r>
        <w:rPr>
          <w:rFonts w:ascii="Times New Roman" w:eastAsia="宋体" w:hAnsi="Times New Roman" w:cs="Times New Roman" w:hint="eastAsia"/>
          <w:bCs/>
          <w:szCs w:val="20"/>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rPr>
        <w:t>在《中小企业声明函》、《</w:t>
      </w:r>
      <w:r>
        <w:rPr>
          <w:rFonts w:ascii="Times New Roman" w:eastAsia="宋体" w:hAnsi="Times New Roman" w:cs="Times New Roman" w:hint="eastAsia"/>
          <w:bCs/>
          <w:szCs w:val="20"/>
        </w:rPr>
        <w:t>残疾人福利性单位声明函》</w:t>
      </w:r>
      <w:r>
        <w:rPr>
          <w:rFonts w:ascii="Times New Roman" w:eastAsia="宋体" w:hAnsi="Times New Roman" w:cs="Times New Roman" w:hint="eastAsia"/>
          <w:szCs w:val="20"/>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rPr>
        <w:t>不能享受可能的价格扣除优惠</w:t>
      </w:r>
      <w:r>
        <w:rPr>
          <w:rFonts w:ascii="Times New Roman" w:eastAsia="宋体" w:hAnsi="Times New Roman" w:cs="Times New Roman" w:hint="eastAsia"/>
          <w:szCs w:val="20"/>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rPr>
      </w:pPr>
      <w:r>
        <w:rPr>
          <w:rFonts w:ascii="宋体" w:eastAsia="宋体" w:hAnsi="宋体" w:cs="Times New Roman" w:hint="eastAsia"/>
          <w:b/>
          <w:bCs/>
          <w:szCs w:val="20"/>
        </w:rPr>
        <w:t>（1）中小</w:t>
      </w:r>
      <w:r>
        <w:rPr>
          <w:rFonts w:ascii="宋体" w:eastAsia="宋体" w:hAnsi="宋体" w:cs="Times New Roman"/>
          <w:b/>
          <w:bCs/>
          <w:szCs w:val="20"/>
        </w:rPr>
        <w:t>企业声明函</w:t>
      </w:r>
      <w:r>
        <w:rPr>
          <w:rFonts w:ascii="宋体" w:eastAsia="宋体" w:hAnsi="宋体" w:cs="Times New Roman" w:hint="eastAsia"/>
          <w:b/>
          <w:bCs/>
          <w:szCs w:val="20"/>
        </w:rPr>
        <w:t>。</w:t>
      </w:r>
      <w:r>
        <w:rPr>
          <w:rFonts w:ascii="宋体" w:eastAsia="宋体" w:hAnsi="宋体" w:cs="仿宋_GB2312" w:hint="eastAsia"/>
          <w:szCs w:val="21"/>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rPr>
        <w:t>符合中小企业划分标准视同中小企业的个体工商户。</w:t>
      </w:r>
      <w:r>
        <w:rPr>
          <w:rFonts w:ascii="宋体" w:eastAsia="宋体" w:hAnsi="宋体" w:cs="仿宋_GB2312" w:hint="eastAsia"/>
          <w:szCs w:val="21"/>
        </w:rPr>
        <w:t>本声明由投标人提供，并对其真实性负责。</w:t>
      </w:r>
      <w:r>
        <w:rPr>
          <w:rFonts w:ascii="宋体" w:eastAsia="宋体" w:hAnsi="宋体" w:cs="仿宋_GB2312" w:hint="eastAsia"/>
          <w:szCs w:val="21"/>
          <w:highlight w:val="green"/>
        </w:rPr>
        <w:t>投标人</w:t>
      </w:r>
      <w:r>
        <w:rPr>
          <w:rFonts w:ascii="宋体" w:eastAsia="宋体" w:hAnsi="宋体" w:cs="仿宋_GB2312" w:hint="eastAsia"/>
          <w:szCs w:val="21"/>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rPr>
      </w:pPr>
      <w:r>
        <w:rPr>
          <w:rFonts w:ascii="华文楷体" w:eastAsia="华文楷体" w:hAnsi="华文楷体" w:hint="eastAsia"/>
          <w:b/>
          <w:bCs/>
        </w:rPr>
        <w:t>中小</w:t>
      </w:r>
      <w:r>
        <w:rPr>
          <w:rFonts w:ascii="华文楷体" w:eastAsia="华文楷体" w:hAnsi="华文楷体"/>
          <w:b/>
          <w:bCs/>
        </w:rPr>
        <w:t>企业声明函</w:t>
      </w:r>
      <w:r>
        <w:rPr>
          <w:rFonts w:ascii="华文楷体" w:eastAsia="华文楷体" w:hAnsi="华文楷体" w:hint="eastAsia"/>
          <w:b/>
          <w:bCs/>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rPr>
      </w:pPr>
      <w:r>
        <w:rPr>
          <w:rFonts w:ascii="华文楷体" w:eastAsia="华文楷体" w:hAnsi="华文楷体" w:cs="仿宋_GB2312" w:hint="eastAsia"/>
          <w:szCs w:val="21"/>
        </w:rPr>
        <w:t>本公司（联合体）郑重声明，根据《政府采购促进中小企业发展管理办法》（财库﹝2020﹞46 号）的规定，本公司（联合体）参加</w:t>
      </w:r>
      <w:r>
        <w:rPr>
          <w:rFonts w:ascii="华文楷体" w:eastAsia="华文楷体" w:hAnsi="华文楷体" w:cs="仿宋_GB2312" w:hint="eastAsia"/>
          <w:szCs w:val="21"/>
          <w:u w:val="single"/>
        </w:rPr>
        <w:t>（单位名称）</w:t>
      </w:r>
      <w:r>
        <w:rPr>
          <w:rFonts w:ascii="华文楷体" w:eastAsia="华文楷体" w:hAnsi="华文楷体" w:cs="仿宋_GB2312" w:hint="eastAsia"/>
          <w:szCs w:val="21"/>
        </w:rPr>
        <w:t>的</w:t>
      </w:r>
      <w:r>
        <w:rPr>
          <w:rFonts w:ascii="华文楷体" w:eastAsia="华文楷体" w:hAnsi="华文楷体" w:cs="仿宋_GB2312" w:hint="eastAsia"/>
          <w:szCs w:val="21"/>
          <w:u w:val="single"/>
        </w:rPr>
        <w:t>（项目名称）</w:t>
      </w:r>
      <w:r>
        <w:rPr>
          <w:rFonts w:ascii="华文楷体" w:eastAsia="华文楷体" w:hAnsi="华文楷体" w:cs="仿宋_GB2312" w:hint="eastAsia"/>
          <w:szCs w:val="21"/>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1.</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jc w:val="left"/>
        <w:rPr>
          <w:rFonts w:ascii="华文楷体" w:eastAsia="华文楷体" w:hAnsi="华文楷体" w:cs="仿宋_GB2312" w:hint="eastAsia"/>
          <w:szCs w:val="21"/>
        </w:rPr>
      </w:pPr>
      <w:r>
        <w:rPr>
          <w:rFonts w:ascii="华文楷体" w:eastAsia="华文楷体" w:hAnsi="华文楷体" w:cs="仿宋_GB2312" w:hint="eastAsia"/>
          <w:szCs w:val="21"/>
        </w:rPr>
        <w:t xml:space="preserve"> 2.</w:t>
      </w:r>
      <w:r>
        <w:rPr>
          <w:rFonts w:ascii="华文楷体" w:eastAsia="华文楷体" w:hAnsi="华文楷体" w:cs="仿宋_GB2312" w:hint="eastAsia"/>
          <w:szCs w:val="21"/>
          <w:u w:val="single"/>
        </w:rPr>
        <w:t>（ 标的名称 ）</w:t>
      </w:r>
      <w:r>
        <w:rPr>
          <w:rFonts w:ascii="华文楷体" w:eastAsia="华文楷体" w:hAnsi="华文楷体" w:cs="仿宋_GB2312" w:hint="eastAsia"/>
          <w:szCs w:val="21"/>
        </w:rPr>
        <w:t xml:space="preserve"> ， 属于</w:t>
      </w:r>
      <w:r>
        <w:rPr>
          <w:rFonts w:ascii="华文楷体" w:eastAsia="华文楷体" w:hAnsi="华文楷体" w:cs="仿宋_GB2312" w:hint="eastAsia"/>
          <w:szCs w:val="21"/>
          <w:u w:val="single"/>
        </w:rPr>
        <w:t>（招标文件中明确的所属行业 ）</w:t>
      </w:r>
      <w:r>
        <w:rPr>
          <w:rFonts w:ascii="华文楷体" w:eastAsia="华文楷体" w:hAnsi="华文楷体" w:cs="仿宋_GB2312" w:hint="eastAsia"/>
          <w:szCs w:val="21"/>
        </w:rPr>
        <w:t>行业；制造商为（企业名称），从业人员</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人，营业收入为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万元，资产总额为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万元，属于</w:t>
      </w:r>
      <w:r>
        <w:rPr>
          <w:rFonts w:ascii="华文楷体" w:eastAsia="华文楷体" w:hAnsi="华文楷体" w:cs="仿宋_GB2312" w:hint="eastAsia"/>
          <w:szCs w:val="21"/>
          <w:u w:val="single"/>
        </w:rPr>
        <w:t>（中型企业、小型企业、微型企业）</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rPr>
      </w:pPr>
      <w:r>
        <w:rPr>
          <w:rFonts w:ascii="华文楷体" w:eastAsia="华文楷体" w:hAnsi="华文楷体" w:cs="仿宋" w:hint="eastAsia"/>
          <w:szCs w:val="21"/>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rPr>
      </w:pPr>
    </w:p>
    <w:p>
      <w:pPr>
        <w:adjustRightInd w:val="0"/>
        <w:snapToGrid w:val="0"/>
        <w:spacing w:line="480" w:lineRule="auto"/>
        <w:ind w:right="105" w:firstLine="3780" w:rightChars="50" w:firstLineChars="1800"/>
        <w:jc w:val="left"/>
        <w:rPr>
          <w:rFonts w:ascii="华文楷体" w:eastAsia="华文楷体" w:hAnsi="华文楷体" w:cs="仿宋_GB2312"/>
          <w:szCs w:val="21"/>
        </w:rPr>
      </w:pPr>
      <w:r>
        <w:rPr>
          <w:rFonts w:ascii="华文楷体" w:eastAsia="华文楷体" w:hAnsi="华文楷体" w:cs="仿宋_GB2312" w:hint="eastAsia"/>
          <w:szCs w:val="21"/>
        </w:rPr>
        <w:t>投标人名称（电子签章）：</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u w:val="single"/>
        </w:rPr>
      </w:pPr>
      <w:r>
        <w:rPr>
          <w:rFonts w:ascii="华文楷体" w:eastAsia="华文楷体" w:hAnsi="华文楷体" w:cs="仿宋_GB2312" w:hint="eastAsia"/>
          <w:szCs w:val="21"/>
        </w:rPr>
        <w:t>日 期：</w:t>
      </w:r>
      <w:r>
        <w:rPr>
          <w:rFonts w:ascii="华文楷体" w:eastAsia="华文楷体" w:hAnsi="华文楷体" w:cs="仿宋_GB2312" w:hint="eastAsia"/>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rPr>
      </w:pPr>
      <w:r>
        <w:rPr>
          <w:rFonts w:ascii="宋体" w:eastAsia="宋体" w:hAnsi="宋体" w:cs="仿宋_GB2312" w:hint="eastAsia"/>
          <w:b/>
          <w:szCs w:val="21"/>
        </w:rPr>
        <w:t>（2）《残疾人福利性单位声明函》。</w:t>
      </w:r>
      <w:r>
        <w:rPr>
          <w:rFonts w:ascii="宋体" w:eastAsia="宋体" w:hAnsi="宋体" w:cs="仿宋_GB2312" w:hint="eastAsia"/>
          <w:szCs w:val="21"/>
        </w:rPr>
        <w:t>本声明适用于</w:t>
      </w:r>
      <w:r>
        <w:rPr>
          <w:rFonts w:ascii="宋体" w:eastAsia="宋体" w:hAnsi="宋体" w:cs="Times New Roman" w:hint="eastAsia"/>
          <w:szCs w:val="21"/>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rPr>
      </w:pPr>
    </w:p>
    <w:p>
      <w:pPr>
        <w:tabs>
          <w:tab w:val="left" w:pos="1573"/>
        </w:tabs>
        <w:autoSpaceDN w:val="0"/>
        <w:adjustRightInd w:val="0"/>
        <w:snapToGrid w:val="0"/>
        <w:spacing w:line="360" w:lineRule="auto"/>
        <w:jc w:val="center"/>
        <w:rPr>
          <w:rFonts w:ascii="华文楷体" w:eastAsia="华文楷体" w:hAnsi="华文楷体" w:cs="Times New Roman"/>
          <w:b/>
          <w:bCs/>
          <w:szCs w:val="20"/>
        </w:rPr>
      </w:pPr>
      <w:r>
        <w:rPr>
          <w:rFonts w:ascii="华文楷体" w:eastAsia="华文楷体" w:hAnsi="华文楷体" w:cs="Times New Roman" w:hint="eastAsia"/>
          <w:b/>
          <w:bCs/>
          <w:szCs w:val="20"/>
        </w:rPr>
        <w:t>残疾人福利性单位声明函</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rPr>
      </w:pPr>
      <w:r>
        <w:rPr>
          <w:rFonts w:ascii="华文楷体" w:eastAsia="华文楷体" w:hAnsi="华文楷体" w:cs="Times New Roman" w:hint="eastAsia"/>
          <w:bCs/>
          <w:szCs w:val="20"/>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r>
        <w:rPr>
          <w:rFonts w:ascii="华文楷体" w:eastAsia="华文楷体" w:hAnsi="华文楷体" w:cs="Times New Roman" w:hint="eastAsia"/>
          <w:bCs/>
          <w:szCs w:val="20"/>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rPr>
      </w:pPr>
      <w:r>
        <w:rPr>
          <w:rFonts w:ascii="宋体" w:eastAsia="宋体" w:hAnsi="宋体" w:cs="Times New Roman" w:hint="eastAsia"/>
          <w:b/>
          <w:szCs w:val="21"/>
        </w:rPr>
        <w:t>（3）</w:t>
      </w:r>
      <w:r>
        <w:rPr>
          <w:rFonts w:ascii="宋体" w:eastAsia="宋体" w:hAnsi="宋体" w:cs="Times New Roman" w:hint="eastAsia"/>
          <w:b/>
          <w:bCs/>
          <w:szCs w:val="20"/>
        </w:rPr>
        <w:t>监狱企业证明文件。</w:t>
      </w:r>
      <w:r>
        <w:rPr>
          <w:rFonts w:ascii="宋体" w:eastAsia="宋体" w:hAnsi="宋体" w:cs="Times New Roman" w:hint="eastAsia"/>
          <w:bCs/>
          <w:szCs w:val="20"/>
        </w:rPr>
        <w:t>该文件适用于</w:t>
      </w:r>
      <w:r>
        <w:rPr>
          <w:rFonts w:ascii="宋体" w:eastAsia="宋体" w:hAnsi="宋体" w:cs="Times New Roman" w:hint="eastAsia"/>
          <w:szCs w:val="21"/>
        </w:rPr>
        <w:t>符合《财政部 司法部&lt;关于政府采购支持监狱企业发展有关问题的通知&gt;》（财库〔2014〕68号）规定的监狱和戒毒企业，由</w:t>
      </w:r>
      <w:r>
        <w:rPr>
          <w:rFonts w:ascii="宋体" w:eastAsia="宋体" w:hAnsi="宋体" w:cs="仿宋_GB2312" w:hint="eastAsia"/>
          <w:szCs w:val="21"/>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rPr>
      </w:pPr>
    </w:p>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2.10.10</w:t>
      </w:r>
      <w:r>
        <w:rPr>
          <w:rFonts w:hint="eastAsia"/>
          <w:b/>
          <w:highlight w:val="green"/>
        </w:rPr>
        <w:t>联合体协议</w:t>
      </w:r>
    </w:p>
    <w:p>
      <w:pPr>
        <w:tabs>
          <w:tab w:val="left" w:pos="1573"/>
        </w:tabs>
        <w:autoSpaceDN w:val="0"/>
        <w:adjustRightInd w:val="0"/>
        <w:snapToGrid w:val="0"/>
        <w:spacing w:line="360" w:lineRule="auto"/>
        <w:rPr>
          <w:rFonts w:ascii="宋体" w:eastAsia="宋体" w:hAnsi="宋体" w:cs="Times New Roman" w:hint="eastAsia"/>
          <w:b/>
          <w:szCs w:val="21"/>
        </w:rPr>
      </w:pPr>
      <w:r>
        <w:rPr>
          <w:rFonts w:ascii="宋体" w:eastAsia="宋体" w:hAnsi="宋体" w:cs="Times New Roman" w:hint="eastAsia"/>
          <w:b/>
          <w:szCs w:val="21"/>
        </w:rPr>
        <w:t xml:space="preserve">    </w:t>
      </w:r>
      <w:r>
        <w:rPr>
          <w:rFonts w:ascii="宋体" w:eastAsia="宋体" w:hAnsi="宋体" w:cs="Times New Roman" w:hint="eastAsia"/>
          <w:szCs w:val="21"/>
        </w:rPr>
        <w:t>投标人为</w:t>
      </w:r>
      <w:r>
        <w:rPr>
          <w:rFonts w:ascii="宋体" w:eastAsia="宋体" w:hAnsi="宋体" w:cs="Times New Roman" w:hint="eastAsia"/>
          <w:szCs w:val="21"/>
          <w:highlight w:val="green"/>
        </w:rPr>
        <w:t>联合体</w:t>
      </w:r>
      <w:r>
        <w:rPr>
          <w:rFonts w:ascii="宋体" w:eastAsia="宋体" w:hAnsi="宋体" w:cs="Times New Roman" w:hint="eastAsia"/>
          <w:szCs w:val="21"/>
        </w:rPr>
        <w:t>的提供。</w:t>
      </w:r>
    </w:p>
    <w:p>
      <w:pPr>
        <w:tabs>
          <w:tab w:val="left" w:pos="1573"/>
        </w:tabs>
        <w:autoSpaceDN w:val="0"/>
        <w:adjustRightInd w:val="0"/>
        <w:snapToGrid w:val="0"/>
        <w:spacing w:line="360" w:lineRule="auto"/>
        <w:rPr>
          <w:rFonts w:ascii="宋体" w:eastAsia="宋体" w:hAnsi="宋体" w:cs="Times New Roman" w:hint="eastAsia"/>
          <w:b/>
          <w:szCs w:val="21"/>
        </w:rPr>
      </w:pPr>
    </w:p>
    <w:p>
      <w:pPr>
        <w:spacing w:line="480" w:lineRule="auto"/>
        <w:jc w:val="center"/>
        <w:rPr>
          <w:rFonts w:ascii="华文楷体" w:eastAsia="华文楷体" w:hAnsi="华文楷体" w:cs="Times New Roman" w:hint="eastAsia"/>
        </w:rPr>
      </w:pPr>
      <w:r>
        <w:rPr>
          <w:rFonts w:ascii="华文楷体" w:eastAsia="华文楷体" w:hAnsi="华文楷体" w:cs="仿宋" w:hint="eastAsia"/>
          <w:sz w:val="24"/>
          <w:szCs w:val="24"/>
          <w:highlight w:val="green"/>
        </w:rPr>
        <w:t>联合体协议</w:t>
      </w:r>
    </w:p>
    <w:p>
      <w:pPr>
        <w:spacing w:line="360" w:lineRule="auto"/>
        <w:rPr>
          <w:rFonts w:ascii="华文楷体" w:eastAsia="华文楷体" w:hAnsi="华文楷体" w:cs="仿宋_GB2312"/>
          <w:szCs w:val="21"/>
        </w:rPr>
      </w:pPr>
      <w:r>
        <w:rPr>
          <w:rFonts w:ascii="华文楷体" w:eastAsia="华文楷体" w:hAnsi="华文楷体" w:cs="仿宋_GB2312" w:hint="eastAsia"/>
          <w:szCs w:val="21"/>
          <w:u w:val="single"/>
        </w:rPr>
        <w:t>中国气象局政府采购中心</w:t>
      </w:r>
      <w:r>
        <w:rPr>
          <w:rFonts w:ascii="华文楷体" w:eastAsia="华文楷体" w:hAnsi="华文楷体" w:cs="仿宋_GB2312" w:hint="eastAsia"/>
          <w:szCs w:val="21"/>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经研究，我方决定自愿组成联合体共同参加</w:t>
      </w:r>
      <w:r>
        <w:rPr>
          <w:rFonts w:ascii="华文楷体" w:eastAsia="华文楷体" w:hAnsi="华文楷体" w:cs="仿宋_GB2312" w:hint="eastAsia"/>
          <w:szCs w:val="21"/>
          <w:u w:val="single"/>
        </w:rPr>
        <w:t>(项目名称、项目编号、包号)</w:t>
      </w:r>
      <w:r>
        <w:rPr>
          <w:rFonts w:ascii="华文楷体" w:eastAsia="华文楷体" w:hAnsi="华文楷体" w:cs="仿宋_GB2312" w:hint="eastAsia"/>
          <w:szCs w:val="21"/>
        </w:rPr>
        <w:t>项目的投标。现就联合体投标事宜订立如下协议：</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一、联合体成员：</w:t>
      </w:r>
    </w:p>
    <w:p>
      <w:pPr>
        <w:spacing w:line="360" w:lineRule="auto"/>
        <w:ind w:firstLine="420" w:firstLineChars="200"/>
        <w:rPr>
          <w:rFonts w:ascii="华文楷体" w:eastAsia="华文楷体" w:hAnsi="华文楷体" w:cs="仿宋_GB2312"/>
          <w:szCs w:val="21"/>
          <w:u w:val="single"/>
        </w:rPr>
      </w:pPr>
      <w:bookmarkStart w:id="12" w:name="_Toc23749_WPSOffice_Level2"/>
      <w:bookmarkStart w:id="13" w:name="_Toc15561_WPSOffice_Level2"/>
      <w:r>
        <w:rPr>
          <w:rFonts w:ascii="华文楷体" w:eastAsia="华文楷体" w:hAnsi="华文楷体" w:cs="仿宋_GB2312" w:hint="eastAsia"/>
          <w:szCs w:val="21"/>
        </w:rPr>
        <w:t>1.</w:t>
      </w:r>
      <w:bookmarkEnd w:id="12"/>
      <w:bookmarkEnd w:id="13"/>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4" w:name="_Toc22173_WPSOffice_Level2"/>
      <w:bookmarkStart w:id="15" w:name="_Toc405_WPSOffice_Level2"/>
      <w:r>
        <w:rPr>
          <w:rFonts w:ascii="华文楷体" w:eastAsia="华文楷体" w:hAnsi="华文楷体" w:cs="仿宋_GB2312" w:hint="eastAsia"/>
          <w:szCs w:val="21"/>
        </w:rPr>
        <w:t>2.</w:t>
      </w:r>
      <w:bookmarkEnd w:id="14"/>
      <w:bookmarkEnd w:id="15"/>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szCs w:val="21"/>
        </w:rPr>
      </w:pPr>
      <w:bookmarkStart w:id="16" w:name="_Toc7084_WPSOffice_Level2"/>
      <w:bookmarkStart w:id="17" w:name="_Toc23482_WPSOffice_Level2"/>
      <w:r>
        <w:rPr>
          <w:rFonts w:ascii="华文楷体" w:eastAsia="华文楷体" w:hAnsi="华文楷体" w:cs="仿宋_GB2312" w:hint="eastAsia"/>
          <w:szCs w:val="21"/>
        </w:rPr>
        <w:t>3.</w:t>
      </w:r>
      <w:bookmarkEnd w:id="16"/>
      <w:bookmarkEnd w:id="17"/>
      <w:r>
        <w:rPr>
          <w:rFonts w:ascii="华文楷体" w:eastAsia="华文楷体" w:hAnsi="华文楷体" w:cs="仿宋_GB2312" w:hint="eastAsia"/>
          <w:szCs w:val="21"/>
          <w:u w:val="single"/>
        </w:rPr>
        <w:t xml:space="preserve">                  </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二、</w:t>
      </w:r>
      <w:r>
        <w:rPr>
          <w:rFonts w:ascii="华文楷体" w:eastAsia="华文楷体" w:hAnsi="华文楷体" w:cs="仿宋_GB2312" w:hint="eastAsia"/>
          <w:szCs w:val="21"/>
          <w:u w:val="single"/>
        </w:rPr>
        <w:t>(某成员单位名称)</w:t>
      </w:r>
      <w:r>
        <w:rPr>
          <w:rFonts w:ascii="华文楷体" w:eastAsia="华文楷体" w:hAnsi="华文楷体" w:cs="仿宋_GB2312" w:hint="eastAsia"/>
          <w:szCs w:val="21"/>
        </w:rPr>
        <w:t>为(联合体名称)牵头人。</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五、联合体各成员单位内部的职责分工如下：</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。按照本条上述分工，联合体成员单位各自所承担的合同工作量比例如下：</w:t>
      </w:r>
      <w:r>
        <w:rPr>
          <w:rFonts w:ascii="仿宋" w:eastAsia="仿宋" w:hAnsi="仿宋" w:cs="仿宋_GB2312" w:hint="eastAsia"/>
          <w:sz w:val="24"/>
          <w:szCs w:val="24"/>
          <w:u w:val="single"/>
        </w:rPr>
        <w:t xml:space="preserve">                  </w:t>
      </w:r>
      <w:r>
        <w:rPr>
          <w:rFonts w:ascii="仿宋" w:eastAsia="仿宋" w:hAnsi="仿宋" w:cs="仿宋_GB2312" w:hint="eastAsia"/>
          <w:sz w:val="24"/>
          <w:szCs w:val="24"/>
        </w:rPr>
        <w:t>。</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按照本条上述分工，中小企业合同金额为：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 xml:space="preserve"> ，占到合同总金额的比例为：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六、本协议书自签署之日起生效，合同履行完毕后自动失效。</w:t>
      </w:r>
    </w:p>
    <w:p>
      <w:pPr>
        <w:spacing w:line="360" w:lineRule="auto"/>
        <w:ind w:firstLine="420" w:firstLineChars="200"/>
        <w:rPr>
          <w:rFonts w:ascii="华文楷体" w:eastAsia="华文楷体" w:hAnsi="华文楷体" w:cs="仿宋_GB2312"/>
          <w:szCs w:val="21"/>
        </w:rPr>
      </w:pPr>
      <w:r>
        <w:rPr>
          <w:rFonts w:ascii="华文楷体" w:eastAsia="华文楷体" w:hAnsi="华文楷体" w:cs="仿宋_GB2312" w:hint="eastAsia"/>
          <w:szCs w:val="21"/>
        </w:rPr>
        <w:t>七、本协议书一式</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份，联合体成员和采购人各执</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份。</w:t>
      </w:r>
    </w:p>
    <w:p>
      <w:pPr>
        <w:spacing w:line="360" w:lineRule="auto"/>
        <w:ind w:firstLine="420" w:firstLineChars="20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牵头人名称(电子签章)：</w:t>
      </w:r>
      <w:r>
        <w:rPr>
          <w:rFonts w:ascii="华文楷体" w:eastAsia="华文楷体" w:hAnsi="华文楷体" w:cs="仿宋_GB2312" w:hint="eastAsia"/>
          <w:szCs w:val="21"/>
          <w:u w:val="single"/>
        </w:rPr>
        <w:t xml:space="preserve">                            </w:t>
      </w:r>
    </w:p>
    <w:p>
      <w:pPr>
        <w:spacing w:line="360" w:lineRule="auto"/>
        <w:ind w:firstLine="2835" w:firstLineChars="1350"/>
        <w:rPr>
          <w:rFonts w:ascii="华文楷体" w:eastAsia="华文楷体" w:hAnsi="华文楷体" w:cs="仿宋_GB2312"/>
          <w:szCs w:val="21"/>
        </w:rPr>
      </w:pPr>
    </w:p>
    <w:p>
      <w:pPr>
        <w:spacing w:line="360" w:lineRule="auto"/>
        <w:ind w:firstLine="2835" w:firstLineChars="1350"/>
        <w:rPr>
          <w:rFonts w:ascii="华文楷体" w:eastAsia="华文楷体" w:hAnsi="华文楷体" w:cs="仿宋_GB2312"/>
          <w:szCs w:val="21"/>
          <w:u w:val="single"/>
        </w:rPr>
      </w:pPr>
      <w:r>
        <w:rPr>
          <w:rFonts w:ascii="华文楷体" w:eastAsia="华文楷体" w:hAnsi="华文楷体" w:cs="仿宋_GB2312" w:hint="eastAsia"/>
          <w:szCs w:val="21"/>
        </w:rPr>
        <w:t>成员名称(公章)：</w:t>
      </w:r>
      <w:r>
        <w:rPr>
          <w:rFonts w:ascii="华文楷体" w:eastAsia="华文楷体" w:hAnsi="华文楷体" w:cs="仿宋_GB2312" w:hint="eastAsia"/>
          <w:szCs w:val="21"/>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r>
        <w:rPr>
          <w:rFonts w:ascii="华文楷体" w:eastAsia="华文楷体" w:hAnsi="华文楷体" w:cs="仿宋_GB2312" w:hint="eastAsia"/>
          <w:szCs w:val="21"/>
        </w:rPr>
        <w:t>日期：</w:t>
      </w:r>
      <w:r>
        <w:rPr>
          <w:rFonts w:ascii="华文楷体" w:eastAsia="华文楷体" w:hAnsi="华文楷体" w:cs="仿宋_GB2312" w:hint="eastAsia"/>
          <w:szCs w:val="24"/>
          <w:u w:val="single"/>
        </w:rPr>
        <w:t xml:space="preserve">              </w:t>
      </w:r>
      <w:r>
        <w:rPr>
          <w:rFonts w:ascii="华文楷体" w:eastAsia="华文楷体" w:hAnsi="华文楷体" w:cs="仿宋_GB2312" w:hint="eastAsia"/>
          <w:szCs w:val="21"/>
        </w:rPr>
        <w:t xml:space="preserve"> </w:t>
      </w:r>
    </w:p>
    <w:p>
      <w:pPr>
        <w:spacing w:line="360" w:lineRule="exact"/>
        <w:ind w:right="1050" w:firstLine="2835" w:rightChars="500" w:firstLineChars="1350"/>
        <w:jc w:val="left"/>
        <w:rPr>
          <w:rFonts w:ascii="华文楷体" w:eastAsia="华文楷体" w:hAnsi="华文楷体" w:cs="仿宋_GB2312" w:hint="eastAsia"/>
          <w:szCs w:val="21"/>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rPr>
      </w:pPr>
      <w:r>
        <w:rPr>
          <w:rFonts w:hint="eastAsia"/>
          <w:b/>
        </w:rPr>
        <w:t>2.10.11分包意向协议</w:t>
      </w:r>
    </w:p>
    <w:p>
      <w:pPr>
        <w:keepNext/>
        <w:keepLines/>
        <w:spacing w:before="240" w:after="64" w:line="317" w:lineRule="auto"/>
        <w:jc w:val="center"/>
        <w:rPr>
          <w:rFonts w:ascii="华文楷体" w:eastAsia="华文楷体" w:hAnsi="华文楷体" w:cs="仿宋" w:hint="eastAsia"/>
          <w:bCs/>
          <w:kern w:val="0"/>
          <w:szCs w:val="28"/>
        </w:rPr>
      </w:pPr>
      <w:r>
        <w:rPr>
          <w:rFonts w:ascii="华文楷体" w:eastAsia="华文楷体" w:hAnsi="华文楷体" w:cs="仿宋" w:hint="eastAsia"/>
          <w:bCs/>
          <w:kern w:val="0"/>
          <w:sz w:val="24"/>
          <w:szCs w:val="28"/>
        </w:rPr>
        <w:t>分包意向协议（如有）</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甲方：（分包单位）</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乙方：（承包单位）   </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经甲、乙双方协商，甲方</w:t>
      </w:r>
      <w:r>
        <w:rPr>
          <w:rFonts w:ascii="华文楷体" w:eastAsia="华文楷体" w:hAnsi="华文楷体" w:cs="仿宋_GB2312" w:hint="eastAsia"/>
          <w:kern w:val="0"/>
          <w:szCs w:val="21"/>
        </w:rPr>
        <w:t>拟在中标后将成交项目</w:t>
      </w:r>
      <w:r>
        <w:rPr>
          <w:rFonts w:ascii="华文楷体" w:eastAsia="华文楷体" w:hAnsi="华文楷体" w:cs="仿宋_GB2312" w:hint="eastAsia"/>
          <w:szCs w:val="21"/>
          <w:u w:val="single"/>
        </w:rPr>
        <w:t>（项目编号、项目名称、包号）</w:t>
      </w:r>
      <w:r>
        <w:rPr>
          <w:rFonts w:ascii="华文楷体" w:eastAsia="华文楷体" w:hAnsi="华文楷体" w:cs="仿宋_GB2312" w:hint="eastAsia"/>
          <w:szCs w:val="21"/>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rPr>
        <w:t>约定</w:t>
      </w:r>
      <w:r>
        <w:rPr>
          <w:rFonts w:ascii="华文楷体" w:eastAsia="华文楷体" w:hAnsi="华文楷体" w:cs="仿宋_GB2312" w:hint="eastAsia"/>
          <w:szCs w:val="21"/>
        </w:rPr>
        <w:t>中小企业合同金额为：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，其中小微企业的合同金额为：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，占到合同总金额的比例为：</w:t>
      </w:r>
      <w:r>
        <w:rPr>
          <w:rFonts w:ascii="华文楷体" w:eastAsia="华文楷体" w:hAnsi="华文楷体" w:cs="仿宋_GB2312" w:hint="eastAsia"/>
          <w:szCs w:val="21"/>
          <w:u w:val="single"/>
        </w:rPr>
        <w:t xml:space="preserve">       </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szCs w:val="21"/>
        </w:rPr>
      </w:pPr>
      <w:r>
        <w:rPr>
          <w:rFonts w:ascii="华文楷体" w:eastAsia="华文楷体" w:hAnsi="华文楷体" w:cs="仿宋_GB2312" w:hint="eastAsia"/>
          <w:szCs w:val="21"/>
        </w:rPr>
        <w:t>甲乙双方保证，</w:t>
      </w:r>
      <w:r>
        <w:rPr>
          <w:rFonts w:ascii="华文楷体" w:eastAsia="华文楷体" w:hAnsi="华文楷体" w:cs="仿宋_GB2312"/>
          <w:szCs w:val="21"/>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rPr>
        <w:t>。</w:t>
      </w:r>
    </w:p>
    <w:p>
      <w:pPr>
        <w:autoSpaceDN w:val="0"/>
        <w:spacing w:line="440" w:lineRule="exact"/>
        <w:ind w:firstLine="420" w:firstLineChars="200"/>
        <w:rPr>
          <w:rFonts w:ascii="华文楷体" w:eastAsia="华文楷体" w:hAnsi="华文楷体" w:cs="仿宋_GB2312" w:hint="eastAsia"/>
          <w:szCs w:val="21"/>
        </w:rPr>
      </w:pP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甲方名称（盖章）：                乙方名称（盖章）：</w:t>
      </w:r>
    </w:p>
    <w:p>
      <w:pPr>
        <w:autoSpaceDN w:val="0"/>
        <w:spacing w:line="440" w:lineRule="exact"/>
        <w:ind w:firstLine="420" w:firstLineChars="200"/>
        <w:rPr>
          <w:rFonts w:ascii="华文楷体" w:eastAsia="华文楷体" w:hAnsi="华文楷体" w:cs="仿宋_GB2312" w:hint="eastAsia"/>
          <w:szCs w:val="21"/>
        </w:rPr>
      </w:pPr>
      <w:r>
        <w:rPr>
          <w:rFonts w:ascii="华文楷体" w:eastAsia="华文楷体" w:hAnsi="华文楷体" w:cs="仿宋_GB2312" w:hint="eastAsia"/>
          <w:szCs w:val="21"/>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rPr>
      </w:pPr>
      <w:r>
        <w:rPr>
          <w:rFonts w:ascii="华文楷体" w:eastAsia="华文楷体" w:hAnsi="华文楷体" w:cs="Times New Roman" w:hint="eastAsia"/>
          <w:szCs w:val="20"/>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rPr>
      </w:pPr>
      <w:r>
        <w:rPr>
          <w:rFonts w:ascii="华文楷体" w:eastAsia="华文楷体" w:hAnsi="华文楷体" w:cs="Times New Roman" w:hint="eastAsia"/>
          <w:szCs w:val="20"/>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rPr>
      </w:pPr>
      <w:r>
        <w:rPr>
          <w:rFonts w:hint="eastAsia"/>
          <w:b/>
        </w:rPr>
        <w:t>2.10.12其他资格证明文件</w:t>
      </w:r>
    </w:p>
    <w:p>
      <w:pPr>
        <w:adjustRightInd w:val="0"/>
        <w:snapToGrid w:val="0"/>
        <w:spacing w:line="360" w:lineRule="auto"/>
        <w:ind w:firstLine="412" w:firstLineChars="196"/>
      </w:pPr>
      <w:r>
        <w:rPr>
          <w:rFonts w:hint="eastAsia"/>
        </w:rPr>
        <w:t>按照</w:t>
      </w:r>
      <w:r>
        <w:rPr>
          <w:rFonts w:hint="eastAsia"/>
          <w:b/>
        </w:rPr>
        <w:t>第五章投标人须知专用部分5.2条</w:t>
      </w:r>
      <w:r>
        <w:rPr>
          <w:rFonts w:hint="eastAsia"/>
        </w:rPr>
        <w:t>规定应提交的特殊资质条件证明文件。</w:t>
      </w:r>
    </w:p>
    <w:p>
      <w:pPr>
        <w:tabs>
          <w:tab w:val="left" w:pos="1573"/>
        </w:tabs>
        <w:autoSpaceDN w:val="0"/>
        <w:adjustRightInd w:val="0"/>
        <w:snapToGrid w:val="0"/>
        <w:spacing w:line="360" w:lineRule="auto"/>
        <w:ind w:firstLine="420" w:firstLineChars="200"/>
        <w:outlineLvl w:val="4"/>
        <w:rPr>
          <w:rFonts w:ascii="宋体" w:hAnsi="宋体"/>
          <w:b/>
          <w:szCs w:val="21"/>
          <w:highlight w:val="none"/>
        </w:rPr>
      </w:pPr>
      <w:r>
        <w:rPr>
          <w:rFonts w:ascii="宋体" w:hAnsi="宋体" w:hint="eastAsia"/>
          <w:b/>
          <w:szCs w:val="21"/>
          <w:highlight w:val="none"/>
        </w:rPr>
        <w:t>2.10.1</w:t>
      </w:r>
      <w:r>
        <w:rPr>
          <w:rFonts w:ascii="宋体" w:hAnsi="宋体"/>
          <w:b/>
          <w:szCs w:val="21"/>
          <w:highlight w:val="none"/>
        </w:rPr>
        <w:t>3</w:t>
      </w:r>
      <w:r>
        <w:rPr>
          <w:rFonts w:ascii="宋体" w:hAnsi="宋体" w:hint="eastAsia"/>
          <w:b/>
          <w:szCs w:val="21"/>
          <w:highlight w:val="none"/>
        </w:rPr>
        <w:t>《关于符合本国产品标准的声明函》</w:t>
      </w:r>
    </w:p>
    <w:p>
      <w:pPr>
        <w:autoSpaceDN w:val="0"/>
        <w:spacing w:line="440" w:lineRule="exact"/>
        <w:ind w:firstLine="420" w:firstLineChars="200"/>
        <w:rPr>
          <w:rFonts w:ascii="宋体" w:hAnsi="宋体" w:cs="仿宋_GB2312"/>
          <w:szCs w:val="21"/>
          <w:highlight w:val="none"/>
        </w:rPr>
      </w:pPr>
      <w:r>
        <w:rPr>
          <w:rFonts w:ascii="宋体" w:hAnsi="宋体" w:hint="eastAsia"/>
          <w:bCs/>
          <w:szCs w:val="21"/>
          <w:highlight w:val="none"/>
        </w:rPr>
        <w:t>投标人所投</w:t>
      </w:r>
      <w:r>
        <w:rPr>
          <w:rFonts w:ascii="宋体" w:hAnsi="宋体"/>
          <w:bCs/>
          <w:szCs w:val="21"/>
          <w:highlight w:val="none"/>
        </w:rPr>
        <w:t>产品</w:t>
      </w:r>
      <w:r>
        <w:rPr>
          <w:rFonts w:ascii="宋体" w:hAnsi="宋体" w:hint="eastAsia"/>
          <w:bCs/>
          <w:szCs w:val="21"/>
          <w:highlight w:val="none"/>
        </w:rPr>
        <w:t>符合国务院办公厅《关于在政府采购中实施本国产品标准及相关政策的通知》（国办发〔2025〕34号）关于</w:t>
      </w:r>
      <w:r>
        <w:rPr>
          <w:rFonts w:ascii="宋体" w:hAnsi="宋体"/>
          <w:bCs/>
          <w:szCs w:val="21"/>
          <w:highlight w:val="none"/>
        </w:rPr>
        <w:t>本国产品价格</w:t>
      </w:r>
      <w:r>
        <w:rPr>
          <w:rFonts w:ascii="宋体" w:hAnsi="宋体" w:hint="eastAsia"/>
          <w:bCs/>
          <w:szCs w:val="21"/>
          <w:highlight w:val="none"/>
        </w:rPr>
        <w:t>评审</w:t>
      </w:r>
      <w:r>
        <w:rPr>
          <w:rFonts w:ascii="宋体" w:hAnsi="宋体"/>
          <w:bCs/>
          <w:szCs w:val="21"/>
          <w:highlight w:val="none"/>
        </w:rPr>
        <w:t>优惠条件的</w:t>
      </w:r>
      <w:r>
        <w:rPr>
          <w:rFonts w:ascii="宋体" w:hAnsi="宋体" w:hint="eastAsia"/>
          <w:bCs/>
          <w:szCs w:val="21"/>
          <w:highlight w:val="none"/>
        </w:rPr>
        <w:t>提供。</w:t>
      </w:r>
      <w:r>
        <w:rPr>
          <w:rFonts w:ascii="宋体" w:hAnsi="宋体" w:cs="仿宋_GB2312"/>
          <w:szCs w:val="21"/>
          <w:highlight w:val="none"/>
        </w:rPr>
        <w:t xml:space="preserve"> </w:t>
      </w:r>
    </w:p>
    <w:p>
      <w:pPr>
        <w:adjustRightInd w:val="0"/>
        <w:snapToGrid w:val="0"/>
        <w:spacing w:line="360" w:lineRule="auto"/>
        <w:ind w:firstLine="412" w:firstLineChars="196"/>
        <w:rPr>
          <w:highlight w:val="none"/>
        </w:rPr>
      </w:pPr>
    </w:p>
    <w:p>
      <w:pPr>
        <w:pStyle w:val="NormalWeb"/>
        <w:shd w:val="clear" w:color="auto" w:fill="FFFFFF"/>
        <w:spacing w:before="30" w:beforeAutospacing="0" w:after="30" w:afterAutospacing="0"/>
        <w:jc w:val="center"/>
        <w:rPr>
          <w:color w:val="333333"/>
          <w:szCs w:val="21"/>
          <w:highlight w:val="none"/>
        </w:rPr>
      </w:pPr>
      <w:r>
        <w:rPr>
          <w:rStyle w:val="Strong"/>
          <w:rFonts w:hint="eastAsia"/>
          <w:color w:val="333333"/>
          <w:szCs w:val="21"/>
          <w:highlight w:val="none"/>
          <w:shd w:val="clear" w:color="auto" w:fill="FFFFFF"/>
        </w:rPr>
        <w:t>关于符合本国产品标准的声明函</w:t>
      </w:r>
    </w:p>
    <w:p>
      <w:pPr>
        <w:pStyle w:val="NormalWeb"/>
        <w:shd w:val="clear" w:color="auto" w:fill="FFFFFF"/>
        <w:spacing w:before="30" w:beforeAutospacing="0" w:after="30" w:afterAutospacing="0"/>
        <w:ind w:firstLine="420"/>
        <w:rPr>
          <w:color w:val="333333"/>
          <w:szCs w:val="21"/>
          <w:highlight w:val="none"/>
        </w:rPr>
      </w:pP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1.</w:t>
      </w:r>
      <w:r>
        <w:rPr>
          <w:rStyle w:val="Emphasis"/>
          <w:rFonts w:hint="eastAsia"/>
          <w:i w:val="0"/>
          <w:color w:val="333333"/>
          <w:szCs w:val="21"/>
          <w:highlight w:val="none"/>
          <w:shd w:val="clear" w:color="auto" w:fill="FFFFFF"/>
        </w:rPr>
        <w:t>（产品名称1）</w:t>
      </w:r>
      <w:r>
        <w:rPr>
          <w:rStyle w:val="Emphasis"/>
          <w:rFonts w:hint="eastAsia"/>
          <w:i w:val="0"/>
          <w:color w:val="333333"/>
          <w:szCs w:val="21"/>
          <w:highlight w:val="none"/>
          <w:shd w:val="clear" w:color="auto" w:fill="FFFFFF"/>
          <w:vertAlign w:val="superscript"/>
        </w:rPr>
        <w:t>1</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Style w:val="Emphasis"/>
          <w:rFonts w:hint="eastAsia"/>
          <w:i w:val="0"/>
          <w:color w:val="333333"/>
          <w:szCs w:val="21"/>
          <w:highlight w:val="none"/>
          <w:shd w:val="clear" w:color="auto" w:fill="FFFFFF"/>
          <w:vertAlign w:val="superscript"/>
        </w:rPr>
        <w:t>2</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Style w:val="Emphasis"/>
          <w:rFonts w:hint="eastAsia"/>
          <w:i w:val="0"/>
          <w:color w:val="333333"/>
          <w:szCs w:val="21"/>
          <w:highlight w:val="none"/>
          <w:shd w:val="clear" w:color="auto" w:fill="FFFFFF"/>
          <w:vertAlign w:val="superscript"/>
        </w:rPr>
        <w:t>3</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Style w:val="Emphasis"/>
          <w:rFonts w:hint="eastAsia"/>
          <w:i w:val="0"/>
          <w:color w:val="333333"/>
          <w:szCs w:val="21"/>
          <w:highlight w:val="none"/>
          <w:shd w:val="clear" w:color="auto" w:fill="FFFFFF"/>
          <w:vertAlign w:val="superscript"/>
        </w:rPr>
        <w:t>4</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（产品名称1）</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Style w:val="Emphasis"/>
          <w:rFonts w:hint="eastAsia"/>
          <w:i w:val="0"/>
          <w:color w:val="333333"/>
          <w:szCs w:val="21"/>
          <w:highlight w:val="none"/>
          <w:shd w:val="clear" w:color="auto" w:fill="FFFFFF"/>
          <w:vertAlign w:val="superscript"/>
        </w:rPr>
        <w:t>5</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2.</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，生产厂为</w:t>
      </w:r>
      <w:r>
        <w:rPr>
          <w:rStyle w:val="Emphasis"/>
          <w:rFonts w:hint="eastAsia"/>
          <w:i w:val="0"/>
          <w:color w:val="333333"/>
          <w:szCs w:val="21"/>
          <w:highlight w:val="none"/>
          <w:shd w:val="clear" w:color="auto" w:fill="FFFFFF"/>
        </w:rPr>
        <w:t>（厂名）</w:t>
      </w:r>
      <w:r>
        <w:rPr>
          <w:rFonts w:hint="eastAsia"/>
          <w:color w:val="333333"/>
          <w:szCs w:val="21"/>
          <w:highlight w:val="none"/>
          <w:shd w:val="clear" w:color="auto" w:fill="FFFFFF"/>
        </w:rPr>
        <w:t>，厂址为</w:t>
      </w:r>
      <w:r>
        <w:rPr>
          <w:rStyle w:val="Emphasis"/>
          <w:rFonts w:hint="eastAsia"/>
          <w:i w:val="0"/>
          <w:color w:val="333333"/>
          <w:szCs w:val="21"/>
          <w:highlight w:val="none"/>
          <w:shd w:val="clear" w:color="auto" w:fill="FFFFFF"/>
        </w:rPr>
        <w:t>（生产厂址）</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的中国境内生产的组件成本占比≥</w:t>
      </w:r>
      <w:r>
        <w:rPr>
          <w:rStyle w:val="Emphasis"/>
          <w:rFonts w:hint="eastAsia"/>
          <w:i w:val="0"/>
          <w:color w:val="333333"/>
          <w:szCs w:val="21"/>
          <w:highlight w:val="none"/>
          <w:shd w:val="clear" w:color="auto" w:fill="FFFFFF"/>
        </w:rPr>
        <w:t>（规定比例）</w:t>
      </w:r>
      <w:r>
        <w:rPr>
          <w:rFonts w:hint="eastAsia"/>
          <w:color w:val="333333"/>
          <w:szCs w:val="21"/>
          <w:highlight w:val="none"/>
          <w:shd w:val="clear" w:color="auto" w:fill="FFFFFF"/>
        </w:rPr>
        <w:t>。</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（关键组件）</w:t>
      </w:r>
      <w:r>
        <w:rPr>
          <w:rFonts w:hint="eastAsia"/>
          <w:color w:val="333333"/>
          <w:szCs w:val="21"/>
          <w:highlight w:val="none"/>
          <w:shd w:val="clear" w:color="auto" w:fill="FFFFFF"/>
        </w:rPr>
        <w:t>在中国境内生产。</w:t>
      </w:r>
      <w:r>
        <w:rPr>
          <w:rStyle w:val="Emphasis"/>
          <w:rFonts w:hint="eastAsia"/>
          <w:i w:val="0"/>
          <w:color w:val="333333"/>
          <w:szCs w:val="21"/>
          <w:highlight w:val="none"/>
          <w:shd w:val="clear" w:color="auto" w:fill="FFFFFF"/>
        </w:rPr>
        <w:t>（产品名称2）</w:t>
      </w:r>
      <w:r>
        <w:rPr>
          <w:rFonts w:hint="eastAsia"/>
          <w:color w:val="333333"/>
          <w:szCs w:val="21"/>
          <w:highlight w:val="none"/>
          <w:shd w:val="clear" w:color="auto" w:fill="FFFFFF"/>
        </w:rPr>
        <w:t>的</w:t>
      </w:r>
      <w:r>
        <w:rPr>
          <w:rStyle w:val="Emphasis"/>
          <w:rFonts w:hint="eastAsia"/>
          <w:i w:val="0"/>
          <w:color w:val="333333"/>
          <w:szCs w:val="21"/>
          <w:highlight w:val="none"/>
          <w:shd w:val="clear" w:color="auto" w:fill="FFFFFF"/>
        </w:rPr>
        <w:t>（关键工序）</w:t>
      </w:r>
      <w:r>
        <w:rPr>
          <w:rFonts w:hint="eastAsia"/>
          <w:color w:val="333333"/>
          <w:szCs w:val="21"/>
          <w:highlight w:val="none"/>
          <w:shd w:val="clear" w:color="auto" w:fill="FFFFFF"/>
        </w:rPr>
        <w:t>在中国境内完成。</w:t>
      </w:r>
    </w:p>
    <w:p>
      <w:pPr>
        <w:pStyle w:val="NormalWeb"/>
        <w:shd w:val="clear" w:color="auto" w:fill="FFFFFF"/>
        <w:spacing w:before="30" w:beforeAutospacing="0" w:after="30" w:afterAutospacing="0"/>
        <w:ind w:firstLine="420"/>
        <w:rPr>
          <w:color w:val="333333"/>
          <w:szCs w:val="21"/>
          <w:highlight w:val="none"/>
        </w:rPr>
      </w:pPr>
      <w:r>
        <w:rPr>
          <w:rFonts w:hint="eastAsia"/>
          <w:color w:val="333333"/>
          <w:szCs w:val="21"/>
          <w:highlight w:val="none"/>
          <w:shd w:val="clear" w:color="auto" w:fill="FFFFFF"/>
        </w:rPr>
        <w:t>……</w:t>
      </w:r>
    </w:p>
    <w:p>
      <w:pPr>
        <w:pStyle w:val="NormalWeb"/>
        <w:shd w:val="clear" w:color="auto" w:fill="FFFFFF"/>
        <w:spacing w:before="30" w:beforeAutospacing="0" w:after="30" w:afterAutospacing="0"/>
        <w:ind w:firstLine="420"/>
        <w:rPr>
          <w:color w:val="333333"/>
          <w:szCs w:val="21"/>
          <w:highlight w:val="none"/>
          <w:shd w:val="clear" w:color="auto" w:fill="FFFFFF"/>
        </w:rPr>
      </w:pPr>
      <w:r>
        <w:rPr>
          <w:rFonts w:hint="eastAsia"/>
          <w:color w:val="333333"/>
          <w:szCs w:val="21"/>
          <w:highlight w:val="none"/>
          <w:shd w:val="clear" w:color="auto" w:fill="FFFFFF"/>
        </w:rPr>
        <w:t>本公司（单位）对上述声明内容的真实性负责。如有虚假，愿承担相应法律责任。</w:t>
      </w:r>
    </w:p>
    <w:p>
      <w:pPr>
        <w:pStyle w:val="NormalWeb"/>
        <w:shd w:val="clear" w:color="auto" w:fill="FFFFFF"/>
        <w:spacing w:before="30" w:beforeAutospacing="0" w:after="30" w:afterAutospacing="0"/>
        <w:ind w:firstLine="420"/>
        <w:rPr>
          <w:color w:val="333333"/>
          <w:szCs w:val="21"/>
          <w:highlight w:val="none"/>
          <w:shd w:val="clear" w:color="auto" w:fill="FFFFFF"/>
        </w:rPr>
      </w:pPr>
    </w:p>
    <w:p>
      <w:pPr>
        <w:pStyle w:val="NormalWeb"/>
        <w:shd w:val="clear" w:color="auto" w:fill="FFFFFF"/>
        <w:spacing w:before="30" w:beforeAutospacing="0" w:after="30" w:afterAutospacing="0"/>
        <w:ind w:firstLine="420"/>
        <w:rPr>
          <w:rFonts w:hint="eastAsia"/>
          <w:color w:val="333333"/>
          <w:szCs w:val="21"/>
          <w:highlight w:val="none"/>
        </w:rPr>
      </w:pP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公司（单位）名称（盖章）：      </w:t>
      </w:r>
    </w:p>
    <w:p>
      <w:pPr>
        <w:pStyle w:val="NormalWeb"/>
        <w:shd w:val="clear" w:color="auto" w:fill="FFFFFF"/>
        <w:spacing w:before="30" w:beforeAutospacing="0" w:after="30" w:afterAutospacing="0"/>
        <w:ind w:firstLine="420"/>
        <w:jc w:val="right"/>
        <w:rPr>
          <w:color w:val="333333"/>
          <w:szCs w:val="21"/>
          <w:highlight w:val="none"/>
        </w:rPr>
      </w:pPr>
      <w:r>
        <w:rPr>
          <w:rFonts w:hint="eastAsia"/>
          <w:color w:val="333333"/>
          <w:szCs w:val="21"/>
          <w:highlight w:val="none"/>
          <w:shd w:val="clear" w:color="auto" w:fill="FFFFFF"/>
        </w:rPr>
        <w:t>日期：　　　　　年　　月　日    </w:t>
      </w:r>
    </w:p>
    <w:p>
      <w:pPr>
        <w:pStyle w:val="NormalWeb"/>
        <w:shd w:val="clear" w:color="auto" w:fill="FFFFFF"/>
        <w:spacing w:before="30" w:beforeAutospacing="0" w:after="30" w:afterAutospacing="0"/>
        <w:rPr>
          <w:color w:val="333333"/>
          <w:szCs w:val="21"/>
          <w:highlight w:val="none"/>
        </w:rPr>
      </w:pPr>
      <w:r>
        <w:rPr>
          <w:rFonts w:hint="eastAsia"/>
          <w:color w:val="333333"/>
          <w:szCs w:val="21"/>
          <w:highlight w:val="none"/>
          <w:shd w:val="clear" w:color="auto" w:fill="FFFFFF"/>
        </w:rPr>
        <w:t>_____________________________</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注1.产品如有型号，请在“产品名称”栏一并填写。</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注2.生产厂名与厂址应与生产厂营业执照载明的相关信息保持一致。</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注3.该产品的中国境内生产的组件成本占比相关要求实施前，“规定比例”栏可不填，下同。</w:t>
      </w:r>
    </w:p>
    <w:p>
      <w:pPr>
        <w:pStyle w:val="NormalWeb"/>
        <w:shd w:val="clear" w:color="auto" w:fill="FFFFFF"/>
        <w:spacing w:before="30" w:beforeAutospacing="0" w:after="30" w:afterAutospacing="0"/>
        <w:ind w:firstLine="420"/>
        <w:rPr>
          <w:color w:val="333333"/>
          <w:szCs w:val="21"/>
          <w:highlight w:val="none"/>
        </w:rPr>
      </w:pPr>
      <w:r>
        <w:rPr>
          <w:rFonts w:ascii="楷体" w:eastAsia="楷体" w:hAnsi="楷体" w:cs="楷体" w:hint="eastAsia"/>
          <w:color w:val="333333"/>
          <w:szCs w:val="21"/>
          <w:highlight w:val="none"/>
          <w:shd w:val="clear" w:color="auto" w:fill="FFFFFF"/>
        </w:rPr>
        <w:t>注4.该产品的关键组件要求实施前，“关键组件”栏可不填，下同。</w:t>
      </w:r>
    </w:p>
    <w:p>
      <w:pPr>
        <w:pStyle w:val="NormalWeb"/>
        <w:shd w:val="clear" w:color="auto" w:fill="FFFFFF"/>
        <w:spacing w:before="30" w:beforeAutospacing="0" w:after="30" w:afterAutospacing="0"/>
        <w:ind w:firstLine="420"/>
        <w:rPr>
          <w:highlight w:val="none"/>
        </w:rPr>
      </w:pPr>
      <w:r>
        <w:rPr>
          <w:rFonts w:ascii="楷体" w:eastAsia="楷体" w:hAnsi="楷体" w:cs="楷体" w:hint="eastAsia"/>
          <w:color w:val="333333"/>
          <w:szCs w:val="21"/>
          <w:highlight w:val="none"/>
          <w:shd w:val="clear" w:color="auto" w:fill="FFFFFF"/>
        </w:rPr>
        <w:t>注5.该产品的关键工序要求实施前，“关键工序”栏可不填，下同。</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rPr>
      </w:pPr>
      <w:bookmarkEnd w:id="7"/>
      <w:r>
        <w:rPr>
          <w:rFonts w:hint="eastAsia"/>
          <w:b/>
          <w:bCs/>
          <w:sz w:val="30"/>
          <w:szCs w:val="30"/>
        </w:rPr>
        <w:t>第三章  投标被拒绝条款通用部分</w:t>
      </w:r>
    </w:p>
    <w:p>
      <w:pPr>
        <w:spacing w:line="360" w:lineRule="auto"/>
        <w:ind w:firstLine="420" w:firstLineChars="200"/>
        <w:jc w:val="left"/>
        <w:rPr>
          <w:szCs w:val="21"/>
        </w:rPr>
      </w:pPr>
      <w:r>
        <w:rPr>
          <w:rFonts w:hint="eastAsia"/>
          <w:szCs w:val="21"/>
        </w:rPr>
        <w:t>本项目投标被拒绝通用条款详见下表。除下表及</w:t>
      </w:r>
      <w:r>
        <w:rPr>
          <w:rFonts w:ascii="黑体" w:eastAsia="黑体" w:hAnsi="黑体" w:hint="eastAsia"/>
          <w:b/>
          <w:bCs/>
          <w:szCs w:val="21"/>
        </w:rPr>
        <w:t>第八章投标被拒绝条款专用部分</w:t>
      </w:r>
      <w:r>
        <w:rPr>
          <w:rFonts w:hint="eastAsia"/>
          <w:szCs w:val="21"/>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rPr>
            </w:pPr>
            <w:r>
              <w:rPr>
                <w:rFonts w:hint="eastAsia"/>
                <w:sz w:val="18"/>
                <w:szCs w:val="18"/>
              </w:rPr>
              <w:t>序号</w:t>
            </w:r>
          </w:p>
        </w:tc>
        <w:tc>
          <w:tcPr>
            <w:tcW w:w="850"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723" w:type="dxa"/>
            <w:vAlign w:val="center"/>
          </w:tcPr>
          <w:p>
            <w:pPr>
              <w:jc w:val="center"/>
              <w:rPr>
                <w:sz w:val="18"/>
                <w:szCs w:val="18"/>
              </w:rPr>
            </w:pPr>
            <w:r>
              <w:rPr>
                <w:rFonts w:hint="eastAsia"/>
                <w:sz w:val="18"/>
                <w:szCs w:val="18"/>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rPr>
            </w:pPr>
            <w:r>
              <w:rPr>
                <w:rFonts w:hint="eastAsia"/>
                <w:b/>
                <w:sz w:val="18"/>
                <w:szCs w:val="18"/>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为本项目提供整体设计、规范编制或者项目管理、监理、检测等服务的供应商，或者</w:t>
            </w:r>
            <w:r>
              <w:rPr>
                <w:rFonts w:hint="eastAsia"/>
                <w:sz w:val="18"/>
                <w:szCs w:val="18"/>
              </w:rPr>
              <w:t>未在</w:t>
            </w:r>
            <w:r>
              <w:rPr>
                <w:sz w:val="18"/>
                <w:szCs w:val="18"/>
              </w:rPr>
              <w:t>中国气象局政府采购中心登记并领取</w:t>
            </w:r>
            <w:r>
              <w:rPr>
                <w:rFonts w:hint="eastAsia"/>
                <w:sz w:val="18"/>
                <w:szCs w:val="18"/>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1.3.2</w:t>
            </w:r>
          </w:p>
        </w:tc>
        <w:tc>
          <w:tcPr>
            <w:tcW w:w="7723" w:type="dxa"/>
            <w:vAlign w:val="center"/>
          </w:tcPr>
          <w:p>
            <w:pPr>
              <w:tabs>
                <w:tab w:val="left" w:pos="8460"/>
              </w:tabs>
              <w:adjustRightInd w:val="0"/>
              <w:snapToGrid w:val="0"/>
              <w:spacing w:line="360" w:lineRule="auto"/>
              <w:jc w:val="left"/>
              <w:rPr>
                <w:sz w:val="18"/>
                <w:szCs w:val="18"/>
              </w:rPr>
            </w:pPr>
            <w:r>
              <w:rPr>
                <w:rFonts w:hint="eastAsia"/>
                <w:sz w:val="18"/>
                <w:szCs w:val="18"/>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具有</w:t>
            </w:r>
            <w:r>
              <w:rPr>
                <w:rFonts w:hint="eastAsia"/>
                <w:b/>
                <w:bCs/>
                <w:sz w:val="18"/>
                <w:szCs w:val="18"/>
              </w:rPr>
              <w:t>第五章投标人须知专用部分5.2条</w:t>
            </w:r>
            <w:r>
              <w:rPr>
                <w:rFonts w:hint="eastAsia"/>
                <w:bCs/>
                <w:sz w:val="18"/>
                <w:szCs w:val="18"/>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rPr>
            </w:pPr>
            <w:r>
              <w:rPr>
                <w:rFonts w:hint="eastAsia"/>
                <w:bCs/>
                <w:sz w:val="18"/>
                <w:szCs w:val="18"/>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rPr>
            </w:pPr>
            <w:r>
              <w:rPr>
                <w:rFonts w:hint="eastAsia"/>
                <w:bCs/>
                <w:sz w:val="18"/>
                <w:szCs w:val="18"/>
              </w:rPr>
              <w:t>本次招标是否允许代理商（指投标人提供的货物不是自己制造的，下同）投标，以及进口产品代理商投标应</w:t>
            </w:r>
            <w:r>
              <w:rPr>
                <w:rFonts w:hint="eastAsia"/>
                <w:sz w:val="18"/>
                <w:szCs w:val="18"/>
              </w:rPr>
              <w:t>提交的资料详见</w:t>
            </w:r>
            <w:r>
              <w:rPr>
                <w:rFonts w:hint="eastAsia"/>
                <w:b/>
                <w:sz w:val="18"/>
                <w:szCs w:val="18"/>
              </w:rPr>
              <w:t>第五章投标人须知专用部分</w:t>
            </w:r>
            <w:r>
              <w:rPr>
                <w:rFonts w:hint="eastAsia"/>
                <w:sz w:val="18"/>
                <w:szCs w:val="18"/>
              </w:rPr>
              <w:t>。不符合</w:t>
            </w:r>
            <w:r>
              <w:rPr>
                <w:rFonts w:hint="eastAsia"/>
                <w:b/>
                <w:sz w:val="18"/>
                <w:szCs w:val="18"/>
              </w:rPr>
              <w:t>第五章投标人须知专用部分5.3条</w:t>
            </w:r>
            <w:r>
              <w:rPr>
                <w:rFonts w:hint="eastAsia"/>
                <w:sz w:val="18"/>
                <w:szCs w:val="18"/>
              </w:rPr>
              <w:t>有关代理商投标要求，以及进口产品代理商未按</w:t>
            </w:r>
            <w:r>
              <w:rPr>
                <w:rFonts w:hint="eastAsia"/>
                <w:b/>
                <w:sz w:val="18"/>
                <w:szCs w:val="18"/>
              </w:rPr>
              <w:t>第五章投标人须知专用部分5.4条</w:t>
            </w:r>
            <w:r>
              <w:rPr>
                <w:rFonts w:hint="eastAsia"/>
                <w:sz w:val="18"/>
                <w:szCs w:val="18"/>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1.3.5</w:t>
            </w:r>
          </w:p>
        </w:tc>
        <w:tc>
          <w:tcPr>
            <w:tcW w:w="7723" w:type="dxa"/>
            <w:vAlign w:val="center"/>
          </w:tcPr>
          <w:p>
            <w:pPr>
              <w:rPr>
                <w:rFonts w:ascii="宋体" w:hAnsi="宋体"/>
                <w:sz w:val="18"/>
                <w:szCs w:val="18"/>
              </w:rPr>
            </w:pPr>
            <w:r>
              <w:rPr>
                <w:rFonts w:ascii="宋体" w:hAnsi="宋体" w:hint="eastAsia"/>
                <w:sz w:val="18"/>
                <w:szCs w:val="18"/>
              </w:rPr>
              <w:t>单位负责人为同一人或者存在直接控股、管理关系的不同投标人，不得参加同一分包的政府采购活动，</w:t>
            </w:r>
            <w:r>
              <w:rPr>
                <w:rFonts w:hint="eastAsia"/>
                <w:sz w:val="18"/>
                <w:szCs w:val="18"/>
              </w:rPr>
              <w:t>否则投标将被</w:t>
            </w:r>
            <w:r>
              <w:rPr>
                <w:rFonts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rPr>
            </w:pPr>
            <w:r>
              <w:rPr>
                <w:rFonts w:hint="eastAsia"/>
                <w:sz w:val="18"/>
                <w:szCs w:val="18"/>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rPr>
              <w:t>拒绝</w:t>
            </w:r>
            <w:r>
              <w:rPr>
                <w:rFonts w:hint="eastAsia"/>
                <w:sz w:val="18"/>
                <w:szCs w:val="18"/>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1.3.8</w:t>
            </w:r>
          </w:p>
        </w:tc>
        <w:tc>
          <w:tcPr>
            <w:tcW w:w="7723" w:type="dxa"/>
            <w:vAlign w:val="center"/>
          </w:tcPr>
          <w:p>
            <w:pPr>
              <w:pStyle w:val="10"/>
              <w:numPr>
                <w:ilvl w:val="0"/>
                <w:numId w:val="0"/>
              </w:numPr>
              <w:tabs>
                <w:tab w:val="clear" w:pos="709"/>
                <w:tab w:val="left" w:pos="1573"/>
              </w:tabs>
              <w:adjustRightInd w:val="0"/>
              <w:snapToGrid w:val="0"/>
              <w:jc w:val="left"/>
              <w:rPr>
                <w:rFonts w:hint="eastAsia"/>
                <w:sz w:val="18"/>
                <w:szCs w:val="18"/>
              </w:rPr>
            </w:pPr>
            <w:r>
              <w:rPr>
                <w:rFonts w:hint="eastAsia"/>
                <w:sz w:val="18"/>
                <w:szCs w:val="18"/>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1.3.9</w:t>
            </w:r>
          </w:p>
        </w:tc>
        <w:tc>
          <w:tcPr>
            <w:tcW w:w="7723" w:type="dxa"/>
            <w:vAlign w:val="center"/>
          </w:tcPr>
          <w:p>
            <w:pPr>
              <w:rPr>
                <w:rFonts w:ascii="宋体" w:hAnsi="宋体"/>
                <w:sz w:val="18"/>
                <w:szCs w:val="18"/>
              </w:rPr>
            </w:pPr>
            <w:r>
              <w:rPr>
                <w:rFonts w:ascii="宋体" w:hAnsi="宋体" w:hint="eastAsia"/>
                <w:sz w:val="18"/>
                <w:szCs w:val="18"/>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1.3.10</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kern w:val="0"/>
                <w:sz w:val="18"/>
                <w:szCs w:val="18"/>
              </w:rPr>
              <w:t>投标人没有其他不符合</w:t>
            </w:r>
            <w:r>
              <w:rPr>
                <w:rFonts w:ascii="宋体" w:hAnsi="宋体"/>
                <w:kern w:val="0"/>
                <w:sz w:val="18"/>
                <w:szCs w:val="18"/>
              </w:rPr>
              <w:t>国家法律法规的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，以及</w:t>
            </w:r>
            <w:r>
              <w:rPr>
                <w:rFonts w:ascii="宋体" w:hAnsi="宋体"/>
                <w:kern w:val="0"/>
                <w:sz w:val="18"/>
                <w:szCs w:val="18"/>
              </w:rPr>
              <w:t>本招标文件</w:t>
            </w:r>
            <w:r>
              <w:rPr>
                <w:rFonts w:ascii="宋体" w:hAnsi="宋体" w:hint="eastAsia"/>
                <w:kern w:val="0"/>
                <w:sz w:val="18"/>
                <w:szCs w:val="18"/>
              </w:rPr>
              <w:t>所</w:t>
            </w:r>
            <w:r>
              <w:rPr>
                <w:rFonts w:ascii="宋体" w:hAnsi="宋体"/>
                <w:kern w:val="0"/>
                <w:sz w:val="18"/>
                <w:szCs w:val="18"/>
              </w:rPr>
              <w:t>规定的</w:t>
            </w:r>
            <w:r>
              <w:rPr>
                <w:rFonts w:ascii="宋体" w:hAnsi="宋体" w:hint="eastAsia"/>
                <w:kern w:val="0"/>
                <w:sz w:val="18"/>
                <w:szCs w:val="18"/>
              </w:rPr>
              <w:t>不合格</w:t>
            </w:r>
            <w:r>
              <w:rPr>
                <w:rFonts w:ascii="宋体" w:hAnsi="宋体"/>
                <w:kern w:val="0"/>
                <w:sz w:val="18"/>
                <w:szCs w:val="18"/>
              </w:rPr>
              <w:t>投标人的情况</w:t>
            </w:r>
            <w:r>
              <w:rPr>
                <w:rFonts w:ascii="宋体" w:hAnsi="宋体" w:hint="eastAsia"/>
                <w:kern w:val="0"/>
                <w:sz w:val="18"/>
                <w:szCs w:val="18"/>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rPr>
            </w:pPr>
            <w:r>
              <w:rPr>
                <w:rFonts w:ascii="宋体" w:hAnsi="宋体" w:hint="eastAsia"/>
                <w:kern w:val="0"/>
                <w:sz w:val="18"/>
                <w:szCs w:val="18"/>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本项目是否允许进口产品投标，见</w:t>
            </w:r>
            <w:r>
              <w:rPr>
                <w:rFonts w:ascii="宋体" w:hAnsi="宋体" w:hint="eastAsia"/>
                <w:b/>
                <w:bCs/>
                <w:sz w:val="18"/>
                <w:szCs w:val="18"/>
              </w:rPr>
              <w:t>第五章投标人须知专用部分</w:t>
            </w:r>
            <w:r>
              <w:rPr>
                <w:rFonts w:ascii="宋体" w:hAnsi="宋体" w:hint="eastAsia"/>
                <w:sz w:val="18"/>
                <w:szCs w:val="18"/>
              </w:rPr>
              <w:t>。</w:t>
            </w:r>
            <w:r>
              <w:rPr>
                <w:rFonts w:hint="eastAsia"/>
                <w:sz w:val="18"/>
                <w:szCs w:val="18"/>
              </w:rPr>
              <w:t>不符合</w:t>
            </w:r>
            <w:r>
              <w:rPr>
                <w:rFonts w:hint="eastAsia"/>
                <w:b/>
                <w:sz w:val="18"/>
                <w:szCs w:val="18"/>
              </w:rPr>
              <w:t>第五章投标人须知专用部分</w:t>
            </w:r>
            <w:r>
              <w:rPr>
                <w:rFonts w:hint="eastAsia"/>
                <w:sz w:val="18"/>
                <w:szCs w:val="18"/>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bCs/>
                <w:sz w:val="18"/>
                <w:szCs w:val="18"/>
              </w:rPr>
            </w:pPr>
            <w:r>
              <w:rPr>
                <w:rFonts w:ascii="宋体" w:hAnsi="宋体" w:hint="eastAsia"/>
                <w:bCs/>
                <w:sz w:val="18"/>
                <w:szCs w:val="18"/>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rPr>
            </w:pPr>
            <w:r>
              <w:rPr>
                <w:rFonts w:ascii="宋体" w:hAnsi="宋体" w:hint="eastAsia"/>
                <w:sz w:val="18"/>
                <w:szCs w:val="18"/>
              </w:rPr>
              <w:t>本项目如是预留采购份额面向中小企业采购，投标人应按照</w:t>
            </w:r>
            <w:r>
              <w:rPr>
                <w:rFonts w:ascii="宋体" w:hAnsi="宋体" w:hint="eastAsia"/>
                <w:b/>
                <w:sz w:val="18"/>
                <w:szCs w:val="18"/>
              </w:rPr>
              <w:t>第二章投标文件格式</w:t>
            </w:r>
            <w:r>
              <w:rPr>
                <w:rFonts w:ascii="宋体" w:hAnsi="宋体" w:hint="eastAsia"/>
                <w:sz w:val="18"/>
                <w:szCs w:val="18"/>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rPr>
              <w:t>第二章投标文件格式</w:t>
            </w:r>
            <w:r>
              <w:rPr>
                <w:rFonts w:ascii="宋体" w:hAnsi="宋体" w:hint="eastAsia"/>
                <w:sz w:val="18"/>
                <w:szCs w:val="18"/>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bCs/>
                <w:sz w:val="18"/>
                <w:szCs w:val="18"/>
              </w:rPr>
            </w:pPr>
            <w:r>
              <w:rPr>
                <w:rFonts w:ascii="宋体" w:hAnsi="宋体" w:hint="eastAsia"/>
                <w:bCs/>
                <w:sz w:val="18"/>
                <w:szCs w:val="18"/>
              </w:rPr>
              <w:t>1.6.1</w:t>
            </w:r>
          </w:p>
        </w:tc>
        <w:tc>
          <w:tcPr>
            <w:tcW w:w="7723" w:type="dxa"/>
            <w:vAlign w:val="center"/>
          </w:tcPr>
          <w:p>
            <w:pPr>
              <w:rPr>
                <w:rFonts w:ascii="宋体" w:hAnsi="宋体"/>
                <w:sz w:val="18"/>
                <w:szCs w:val="18"/>
              </w:rPr>
            </w:pPr>
            <w:r>
              <w:rPr>
                <w:rFonts w:ascii="宋体" w:hAnsi="宋体" w:hint="eastAsia"/>
                <w:sz w:val="18"/>
                <w:szCs w:val="18"/>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bCs/>
                <w:sz w:val="18"/>
                <w:szCs w:val="18"/>
              </w:rPr>
              <w:t>1.7.1</w:t>
            </w:r>
          </w:p>
        </w:tc>
        <w:tc>
          <w:tcPr>
            <w:tcW w:w="7723" w:type="dxa"/>
            <w:vAlign w:val="center"/>
          </w:tcPr>
          <w:p>
            <w:pPr>
              <w:tabs>
                <w:tab w:val="left" w:pos="8460"/>
              </w:tabs>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有下列情形之一的，属于投标人相互串通投标，按照投标无效处理：</w:t>
            </w:r>
            <w:r>
              <w:rPr>
                <w:rFonts w:ascii="宋体" w:hAnsi="宋体" w:hint="eastAsia"/>
                <w:sz w:val="18"/>
                <w:szCs w:val="18"/>
              </w:rPr>
              <w:t>（1）法定代表人为同一人的投标人，同时参与本次招标相同包的投标；</w:t>
            </w:r>
            <w:r>
              <w:rPr>
                <w:rFonts w:ascii="宋体" w:hAnsi="宋体" w:hint="eastAsia"/>
                <w:sz w:val="18"/>
                <w:szCs w:val="18"/>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rPr>
              <w:t>；（6）</w:t>
            </w:r>
            <w:r>
              <w:rPr>
                <w:rFonts w:ascii="宋体" w:hAnsi="宋体" w:hint="eastAsia"/>
                <w:sz w:val="18"/>
                <w:szCs w:val="18"/>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rPr>
            </w:pPr>
          </w:p>
        </w:tc>
        <w:tc>
          <w:tcPr>
            <w:tcW w:w="850" w:type="dxa"/>
            <w:vAlign w:val="center"/>
          </w:tcPr>
          <w:p>
            <w:pPr>
              <w:spacing w:line="360" w:lineRule="auto"/>
              <w:rPr>
                <w:rFonts w:ascii="宋体" w:hAnsi="宋体"/>
                <w:bCs/>
                <w:sz w:val="18"/>
                <w:szCs w:val="18"/>
              </w:rPr>
            </w:pPr>
            <w:r>
              <w:rPr>
                <w:rFonts w:ascii="宋体" w:hAnsi="宋体" w:hint="eastAsia"/>
                <w:bCs/>
                <w:sz w:val="18"/>
                <w:szCs w:val="18"/>
              </w:rPr>
              <w:t>1.7.2</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投标人</w:t>
            </w:r>
            <w:r>
              <w:rPr>
                <w:rFonts w:ascii="宋体" w:hAnsi="宋体" w:hint="eastAsia"/>
                <w:sz w:val="18"/>
                <w:szCs w:val="18"/>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1.7.3</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1.14.2</w:t>
            </w:r>
          </w:p>
        </w:tc>
        <w:tc>
          <w:tcPr>
            <w:tcW w:w="7723" w:type="dxa"/>
            <w:vAlign w:val="center"/>
          </w:tcPr>
          <w:p>
            <w:pPr>
              <w:tabs>
                <w:tab w:val="left" w:pos="5580"/>
              </w:tabs>
              <w:adjustRightInd w:val="0"/>
              <w:snapToGrid w:val="0"/>
              <w:spacing w:line="360" w:lineRule="auto"/>
              <w:jc w:val="left"/>
              <w:rPr>
                <w:rFonts w:ascii="宋体" w:hAnsi="宋体"/>
                <w:sz w:val="18"/>
                <w:szCs w:val="18"/>
              </w:rPr>
            </w:pPr>
            <w:r>
              <w:rPr>
                <w:rFonts w:hint="eastAsia"/>
                <w:sz w:val="18"/>
                <w:szCs w:val="18"/>
              </w:rPr>
              <w:t>投标人未提交全以下商务文件（特别说明除外）：（1）法定代表人身份证明或授权委托书；</w:t>
            </w:r>
            <w:r>
              <w:rPr>
                <w:rFonts w:ascii="宋体" w:hAnsi="宋体" w:hint="eastAsia"/>
                <w:sz w:val="18"/>
                <w:szCs w:val="18"/>
              </w:rPr>
              <w:t>（2）</w:t>
            </w:r>
            <w:r>
              <w:rPr>
                <w:rFonts w:hint="eastAsia"/>
                <w:sz w:val="18"/>
                <w:szCs w:val="18"/>
              </w:rPr>
              <w:t>投标函；</w:t>
            </w:r>
            <w:r>
              <w:rPr>
                <w:rFonts w:ascii="宋体" w:hAnsi="宋体" w:hint="eastAsia"/>
                <w:sz w:val="18"/>
                <w:szCs w:val="18"/>
              </w:rPr>
              <w:t>（</w:t>
            </w:r>
            <w:r>
              <w:rPr>
                <w:rFonts w:hint="eastAsia"/>
                <w:sz w:val="18"/>
                <w:szCs w:val="18"/>
              </w:rPr>
              <w:t>3</w:t>
            </w:r>
            <w:r>
              <w:rPr>
                <w:rFonts w:ascii="宋体" w:hAnsi="宋体" w:hint="eastAsia"/>
                <w:sz w:val="18"/>
                <w:szCs w:val="18"/>
              </w:rPr>
              <w:t>）资格、资信证明文件：</w:t>
            </w:r>
            <w:r>
              <w:rPr>
                <w:rFonts w:ascii="宋体" w:hAnsi="宋体" w:hint="eastAsia"/>
                <w:sz w:val="18"/>
                <w:szCs w:val="18"/>
              </w:rPr>
              <w:t>①</w:t>
            </w:r>
            <w:r>
              <w:rPr>
                <w:rFonts w:ascii="宋体" w:hAnsi="宋体" w:hint="eastAsia"/>
                <w:sz w:val="18"/>
                <w:szCs w:val="18"/>
              </w:rPr>
              <w:t>投标人</w:t>
            </w:r>
            <w:r>
              <w:rPr>
                <w:rFonts w:ascii="宋体" w:hAnsi="宋体"/>
                <w:sz w:val="18"/>
                <w:szCs w:val="18"/>
              </w:rPr>
              <w:t>法人</w:t>
            </w:r>
            <w:r>
              <w:rPr>
                <w:rFonts w:ascii="宋体" w:hAnsi="宋体" w:hint="eastAsia"/>
                <w:sz w:val="18"/>
                <w:szCs w:val="18"/>
              </w:rPr>
              <w:t>资格</w:t>
            </w:r>
            <w:r>
              <w:rPr>
                <w:rFonts w:ascii="宋体" w:hAnsi="宋体"/>
                <w:sz w:val="18"/>
                <w:szCs w:val="18"/>
              </w:rPr>
              <w:t>证明文件</w:t>
            </w:r>
            <w:r>
              <w:rPr>
                <w:rFonts w:hint="eastAsia"/>
                <w:sz w:val="18"/>
                <w:szCs w:val="18"/>
              </w:rPr>
              <w:t>；</w:t>
            </w:r>
            <w:r>
              <w:rPr>
                <w:rFonts w:ascii="宋体" w:hAnsi="宋体" w:hint="eastAsia"/>
                <w:sz w:val="18"/>
                <w:szCs w:val="18"/>
              </w:rPr>
              <w:t>②</w:t>
            </w:r>
            <w:r>
              <w:rPr>
                <w:rFonts w:ascii="宋体" w:hAnsi="宋体" w:hint="eastAsia"/>
                <w:sz w:val="18"/>
                <w:szCs w:val="18"/>
              </w:rPr>
              <w:t>以投标截止日为基准日，近一年内内任何完税凭证或税务部门出具的税收减免证明</w:t>
            </w:r>
            <w:r>
              <w:rPr>
                <w:rFonts w:hint="eastAsia"/>
                <w:sz w:val="18"/>
                <w:szCs w:val="18"/>
              </w:rPr>
              <w:t>；</w:t>
            </w:r>
            <w:r>
              <w:rPr>
                <w:rFonts w:ascii="宋体" w:hAnsi="宋体" w:hint="eastAsia"/>
                <w:sz w:val="18"/>
                <w:szCs w:val="18"/>
              </w:rPr>
              <w:t>③</w:t>
            </w:r>
            <w:r>
              <w:rPr>
                <w:rFonts w:ascii="宋体" w:hAnsi="宋体" w:hint="eastAsia"/>
                <w:sz w:val="18"/>
                <w:szCs w:val="18"/>
              </w:rPr>
              <w:t>以投标截止日为基准日，近一年内的任何一期社会保障资金缴纳凭证</w:t>
            </w:r>
            <w:r>
              <w:rPr>
                <w:rFonts w:hint="eastAsia"/>
                <w:sz w:val="18"/>
                <w:szCs w:val="18"/>
              </w:rPr>
              <w:t>；</w:t>
            </w:r>
            <w:r>
              <w:rPr>
                <w:rFonts w:ascii="宋体" w:hAnsi="宋体" w:hint="eastAsia"/>
                <w:sz w:val="18"/>
                <w:szCs w:val="18"/>
              </w:rPr>
              <w:t>④</w:t>
            </w:r>
            <w:r>
              <w:rPr>
                <w:rFonts w:ascii="宋体" w:hAnsi="宋体" w:hint="eastAsia"/>
                <w:sz w:val="18"/>
                <w:szCs w:val="18"/>
              </w:rPr>
              <w:t>财务状况证明</w:t>
            </w:r>
            <w:r>
              <w:rPr>
                <w:rFonts w:hint="eastAsia"/>
                <w:sz w:val="18"/>
                <w:szCs w:val="18"/>
              </w:rPr>
              <w:t>；</w:t>
            </w:r>
            <w:r>
              <w:rPr>
                <w:rFonts w:ascii="宋体" w:hAnsi="宋体" w:hint="eastAsia"/>
                <w:sz w:val="18"/>
                <w:szCs w:val="18"/>
              </w:rPr>
              <w:t>⑤</w:t>
            </w:r>
            <w:r>
              <w:rPr>
                <w:rFonts w:ascii="宋体" w:hAnsi="宋体" w:hint="eastAsia"/>
                <w:sz w:val="18"/>
                <w:szCs w:val="18"/>
              </w:rPr>
              <w:t>近三年内参加政府采购活动中没有重大违法记录声明</w:t>
            </w:r>
            <w:r>
              <w:rPr>
                <w:rFonts w:hint="eastAsia"/>
                <w:sz w:val="18"/>
                <w:szCs w:val="18"/>
              </w:rPr>
              <w:t>；</w:t>
            </w:r>
            <w:r>
              <w:rPr>
                <w:rFonts w:ascii="宋体" w:hAnsi="宋体" w:hint="eastAsia"/>
                <w:sz w:val="18"/>
                <w:szCs w:val="18"/>
              </w:rPr>
              <w:t>⑥</w:t>
            </w:r>
            <w:r>
              <w:rPr>
                <w:rFonts w:ascii="宋体" w:hAnsi="宋体" w:hint="eastAsia"/>
                <w:bCs/>
                <w:sz w:val="18"/>
                <w:szCs w:val="18"/>
              </w:rPr>
              <w:t>投标货物的《</w:t>
            </w:r>
            <w:r>
              <w:rPr>
                <w:rFonts w:hint="eastAsia"/>
                <w:sz w:val="18"/>
                <w:szCs w:val="18"/>
              </w:rPr>
              <w:t>气象专用技术装备使用许可证》</w:t>
            </w:r>
            <w:r>
              <w:rPr>
                <w:rFonts w:ascii="宋体" w:hAnsi="宋体" w:hint="eastAsia"/>
                <w:sz w:val="18"/>
                <w:szCs w:val="18"/>
              </w:rPr>
              <w:t>（投标</w:t>
            </w:r>
            <w:r>
              <w:rPr>
                <w:rFonts w:hint="eastAsia"/>
                <w:sz w:val="18"/>
                <w:szCs w:val="18"/>
              </w:rPr>
              <w:t>货物不必须取得《气象专用技术装备使用许可证》的，可以不提供）</w:t>
            </w:r>
            <w:r>
              <w:rPr>
                <w:rFonts w:ascii="宋体" w:hAnsi="宋体" w:hint="eastAsia"/>
                <w:sz w:val="18"/>
                <w:szCs w:val="18"/>
              </w:rPr>
              <w:t>；</w:t>
            </w:r>
            <w:r>
              <w:rPr>
                <w:rFonts w:ascii="宋体" w:hAnsi="宋体" w:hint="eastAsia"/>
                <w:sz w:val="18"/>
                <w:szCs w:val="18"/>
              </w:rPr>
              <w:t>⑦</w:t>
            </w:r>
            <w:r>
              <w:rPr>
                <w:rFonts w:ascii="宋体" w:hAnsi="宋体" w:hint="eastAsia"/>
                <w:sz w:val="18"/>
                <w:szCs w:val="18"/>
              </w:rPr>
              <w:t>进口产品制造商授权书（投标货物不是进口产品的，不提供）；</w:t>
            </w:r>
            <w:r>
              <w:rPr>
                <w:rFonts w:ascii="宋体" w:hAnsi="宋体" w:hint="eastAsia"/>
                <w:bCs/>
                <w:sz w:val="18"/>
                <w:szCs w:val="18"/>
              </w:rPr>
              <w:t>⑧</w:t>
            </w:r>
            <w:r>
              <w:rPr>
                <w:rFonts w:ascii="宋体" w:hAnsi="宋体" w:hint="eastAsia"/>
                <w:sz w:val="18"/>
                <w:szCs w:val="18"/>
              </w:rPr>
              <w:t>中小</w:t>
            </w:r>
            <w:r>
              <w:rPr>
                <w:rFonts w:ascii="宋体" w:hAnsi="宋体"/>
                <w:sz w:val="18"/>
                <w:szCs w:val="18"/>
              </w:rPr>
              <w:t>企业声明函</w:t>
            </w:r>
            <w:r>
              <w:rPr>
                <w:rFonts w:ascii="宋体" w:hAnsi="宋体" w:hint="eastAsia"/>
                <w:sz w:val="18"/>
                <w:szCs w:val="18"/>
              </w:rPr>
              <w:t>或残疾人福利</w:t>
            </w:r>
            <w:r>
              <w:rPr>
                <w:rFonts w:hint="eastAsia"/>
                <w:bCs/>
                <w:sz w:val="18"/>
                <w:szCs w:val="18"/>
              </w:rPr>
              <w:t>性单位声明函或监狱企业证明文件（不是预留采购份额面向中小企业采购的项目，可以不提供，但不能享受可能的价格扣除优惠）；</w:t>
            </w:r>
            <w:r>
              <w:rPr>
                <w:rFonts w:ascii="宋体" w:hAnsi="宋体" w:hint="eastAsia"/>
                <w:sz w:val="18"/>
                <w:szCs w:val="18"/>
              </w:rPr>
              <w:t>⑨</w:t>
            </w:r>
            <w:r>
              <w:rPr>
                <w:rFonts w:ascii="宋体" w:hAnsi="宋体" w:hint="eastAsia"/>
                <w:sz w:val="18"/>
                <w:szCs w:val="18"/>
              </w:rPr>
              <w:t>联合体协议（如有）；</w:t>
            </w:r>
            <w:r>
              <w:rPr>
                <w:rFonts w:ascii="微软雅黑" w:eastAsia="微软雅黑" w:hAnsi="微软雅黑" w:hint="eastAsia"/>
                <w:sz w:val="18"/>
                <w:szCs w:val="18"/>
              </w:rPr>
              <w:t>⑩</w:t>
            </w:r>
            <w:r>
              <w:rPr>
                <w:rFonts w:ascii="宋体" w:hAnsi="宋体" w:hint="eastAsia"/>
                <w:sz w:val="18"/>
                <w:szCs w:val="18"/>
              </w:rPr>
              <w:t>分包意向协议（如有）；</w:t>
            </w:r>
            <w:r>
              <w:rPr>
                <w:rFonts w:ascii="宋体" w:hAnsi="宋体"/>
                <w:sz w:val="18"/>
                <w:szCs w:val="18"/>
              </w:rPr>
              <w:fldChar w:fldCharType="begin"/>
            </w:r>
            <w:r>
              <w:rPr>
                <w:rFonts w:ascii="宋体" w:hAnsi="宋体"/>
                <w:sz w:val="18"/>
                <w:szCs w:val="18"/>
              </w:rPr>
              <w:instrText xml:space="preserve"> </w:instrText>
            </w:r>
            <w:r>
              <w:rPr>
                <w:rFonts w:ascii="宋体" w:hAnsi="宋体" w:hint="eastAsia"/>
                <w:sz w:val="18"/>
                <w:szCs w:val="18"/>
              </w:rPr>
              <w:instrText>eq \o\ac(</w:instrText>
            </w:r>
            <w:r>
              <w:rPr>
                <w:rFonts w:ascii="宋体" w:hAnsi="宋体" w:hint="eastAsia"/>
                <w:sz w:val="18"/>
                <w:szCs w:val="18"/>
              </w:rPr>
              <w:instrText>○</w:instrText>
            </w:r>
            <w:r>
              <w:rPr>
                <w:rFonts w:ascii="宋体" w:hAnsi="宋体" w:hint="eastAsia"/>
                <w:sz w:val="18"/>
                <w:szCs w:val="18"/>
              </w:rPr>
              <w:instrText>,</w:instrText>
            </w:r>
            <w:r>
              <w:rPr>
                <w:rFonts w:ascii="微软雅黑" w:hAnsi="宋体" w:hint="eastAsia"/>
                <w:position w:val="3"/>
                <w:sz w:val="6"/>
                <w:szCs w:val="18"/>
              </w:rPr>
              <w:instrText>11</w:instrText>
            </w:r>
            <w:r>
              <w:rPr>
                <w:rFonts w:ascii="宋体" w:hAnsi="宋体" w:hint="eastAsia"/>
                <w:sz w:val="18"/>
                <w:szCs w:val="18"/>
              </w:rPr>
              <w:instrText>)</w:instrText>
            </w:r>
            <w:r>
              <w:rPr>
                <w:rFonts w:ascii="宋体" w:hAnsi="宋体"/>
                <w:sz w:val="18"/>
                <w:szCs w:val="18"/>
              </w:rPr>
              <w:fldChar w:fldCharType="separate"/>
            </w:r>
            <w:r>
              <w:rPr>
                <w:rFonts w:ascii="宋体" w:hAnsi="宋体"/>
                <w:sz w:val="18"/>
                <w:szCs w:val="18"/>
              </w:rPr>
              <w:fldChar w:fldCharType="end"/>
            </w:r>
            <w:r>
              <w:rPr>
                <w:rFonts w:hint="eastAsia"/>
                <w:sz w:val="18"/>
                <w:szCs w:val="18"/>
              </w:rPr>
              <w:t>按照</w:t>
            </w:r>
            <w:r>
              <w:rPr>
                <w:rFonts w:hint="eastAsia"/>
                <w:b/>
                <w:sz w:val="18"/>
                <w:szCs w:val="18"/>
              </w:rPr>
              <w:t>第五章投标人须知专用部分5.2条</w:t>
            </w:r>
            <w:r>
              <w:rPr>
                <w:rFonts w:hint="eastAsia"/>
                <w:sz w:val="18"/>
                <w:szCs w:val="18"/>
              </w:rPr>
              <w:t>规定应提交的特殊资质条件证明文件。</w:t>
            </w:r>
            <w:r>
              <w:rPr>
                <w:rFonts w:ascii="宋体" w:hAnsi="宋体" w:hint="eastAsia"/>
                <w:sz w:val="18"/>
                <w:szCs w:val="18"/>
              </w:rPr>
              <w:t>（4）银行保函或投标保证金说明函（本项目不要求提交投标保证金的不提供）。（5）</w:t>
            </w:r>
            <w:r>
              <w:rPr>
                <w:rFonts w:hint="eastAsia"/>
                <w:sz w:val="18"/>
                <w:szCs w:val="18"/>
              </w:rPr>
              <w:t>按照</w:t>
            </w:r>
            <w:r>
              <w:rPr>
                <w:rFonts w:hint="eastAsia"/>
                <w:b/>
                <w:sz w:val="18"/>
                <w:szCs w:val="18"/>
              </w:rPr>
              <w:t>第五章投标人须知专用部分5.13条</w:t>
            </w:r>
            <w:r>
              <w:rPr>
                <w:rFonts w:hint="eastAsia"/>
                <w:sz w:val="18"/>
                <w:szCs w:val="18"/>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rPr>
            </w:pPr>
            <w:r>
              <w:rPr>
                <w:rFonts w:hint="eastAsia"/>
                <w:sz w:val="18"/>
                <w:szCs w:val="18"/>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rPr>
            </w:pPr>
            <w:r>
              <w:rPr>
                <w:rFonts w:hint="eastAsia"/>
                <w:sz w:val="18"/>
                <w:szCs w:val="18"/>
              </w:rPr>
              <w:t>按照</w:t>
            </w:r>
            <w:r>
              <w:rPr>
                <w:rFonts w:hint="eastAsia"/>
                <w:b/>
                <w:sz w:val="18"/>
                <w:szCs w:val="18"/>
              </w:rPr>
              <w:t>第五章投标人须知专用部分5.13条</w:t>
            </w:r>
            <w:r>
              <w:rPr>
                <w:rFonts w:hint="eastAsia"/>
                <w:sz w:val="18"/>
                <w:szCs w:val="18"/>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rPr>
            </w:pPr>
            <w:r>
              <w:rPr>
                <w:rFonts w:hint="eastAsia"/>
                <w:sz w:val="18"/>
                <w:szCs w:val="18"/>
              </w:rPr>
              <w:t>投标文件的盖章、签字等签署要求见1.2.8条。其中</w:t>
            </w:r>
            <w:r>
              <w:rPr>
                <w:rFonts w:hint="eastAsia"/>
                <w:sz w:val="18"/>
                <w:szCs w:val="18"/>
              </w:rPr>
              <w:t>“</w:t>
            </w:r>
            <w:r>
              <w:rPr>
                <w:rFonts w:hint="eastAsia"/>
                <w:sz w:val="18"/>
                <w:szCs w:val="18"/>
              </w:rPr>
              <w:t>投标函</w:t>
            </w:r>
            <w:r>
              <w:rPr>
                <w:rFonts w:hint="eastAsia"/>
                <w:sz w:val="18"/>
                <w:szCs w:val="18"/>
              </w:rPr>
              <w:t>”</w:t>
            </w:r>
            <w:r>
              <w:rPr>
                <w:rFonts w:hint="eastAsia"/>
                <w:sz w:val="18"/>
                <w:szCs w:val="18"/>
              </w:rPr>
              <w:t>及</w:t>
            </w:r>
            <w:r>
              <w:rPr>
                <w:rFonts w:hint="eastAsia"/>
                <w:sz w:val="18"/>
                <w:szCs w:val="18"/>
              </w:rPr>
              <w:t>“</w:t>
            </w:r>
            <w:r>
              <w:rPr>
                <w:rFonts w:hint="eastAsia"/>
                <w:sz w:val="18"/>
                <w:szCs w:val="18"/>
              </w:rPr>
              <w:t>法定代表人授权委托书</w:t>
            </w:r>
            <w:r>
              <w:rPr>
                <w:rFonts w:hint="eastAsia"/>
                <w:sz w:val="18"/>
                <w:szCs w:val="18"/>
              </w:rPr>
              <w:t>”</w:t>
            </w:r>
            <w:r>
              <w:rPr>
                <w:rFonts w:hint="eastAsia"/>
                <w:sz w:val="18"/>
                <w:szCs w:val="18"/>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1.16.3</w:t>
            </w:r>
          </w:p>
        </w:tc>
        <w:tc>
          <w:tcPr>
            <w:tcW w:w="7723" w:type="dxa"/>
            <w:vAlign w:val="center"/>
          </w:tcPr>
          <w:p>
            <w:pPr>
              <w:tabs>
                <w:tab w:val="left" w:pos="1573"/>
              </w:tabs>
              <w:adjustRightInd w:val="0"/>
              <w:snapToGrid w:val="0"/>
              <w:spacing w:line="360" w:lineRule="auto"/>
              <w:rPr>
                <w:rFonts w:ascii="宋体" w:hAnsi="宋体"/>
                <w:sz w:val="18"/>
                <w:szCs w:val="18"/>
              </w:rPr>
            </w:pPr>
            <w:r>
              <w:rPr>
                <w:rFonts w:ascii="宋体" w:hAnsi="宋体" w:hint="eastAsia"/>
                <w:bCs/>
                <w:sz w:val="18"/>
                <w:szCs w:val="18"/>
              </w:rPr>
              <w:t>如本项目</w:t>
            </w:r>
            <w:r>
              <w:rPr>
                <w:rFonts w:ascii="宋体" w:hAnsi="宋体" w:hint="eastAsia"/>
                <w:sz w:val="18"/>
                <w:szCs w:val="18"/>
              </w:rPr>
              <w:t>要求投标人提供投标保证金，</w:t>
            </w:r>
            <w:r>
              <w:rPr>
                <w:rFonts w:hint="eastAsia"/>
                <w:sz w:val="18"/>
                <w:szCs w:val="18"/>
              </w:rPr>
              <w:t>投标人未提供，或者</w:t>
            </w:r>
            <w:r>
              <w:rPr>
                <w:rFonts w:ascii="宋体" w:hAnsi="宋体" w:hint="eastAsia"/>
                <w:sz w:val="18"/>
                <w:szCs w:val="18"/>
              </w:rPr>
              <w:t>提交的投标保证金的有效期限少于投标有效期，或所提交保证金金额小于本项目应提供投标保证金额</w:t>
            </w:r>
            <w:r>
              <w:rPr>
                <w:rFonts w:ascii="宋体" w:hAnsi="宋体" w:hint="eastAsia"/>
                <w:bCs/>
                <w:sz w:val="18"/>
                <w:szCs w:val="18"/>
              </w:rPr>
              <w:t>的</w:t>
            </w:r>
            <w:r>
              <w:rPr>
                <w:rFonts w:ascii="宋体" w:hAnsi="宋体" w:hint="eastAsia"/>
                <w:sz w:val="18"/>
                <w:szCs w:val="18"/>
              </w:rPr>
              <w:t>投标人，其投标将被</w:t>
            </w:r>
            <w:r>
              <w:rPr>
                <w:rFonts w:ascii="宋体" w:hAnsi="宋体" w:hint="eastAsia"/>
                <w:b/>
                <w:sz w:val="18"/>
                <w:szCs w:val="18"/>
              </w:rPr>
              <w:t>拒绝</w:t>
            </w:r>
            <w:r>
              <w:rPr>
                <w:rFonts w:ascii="宋体" w:hAnsi="宋体" w:hint="eastAsia"/>
                <w:sz w:val="18"/>
                <w:szCs w:val="18"/>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rPr>
            </w:pPr>
            <w:r>
              <w:rPr>
                <w:rFonts w:hint="eastAsia"/>
                <w:sz w:val="18"/>
                <w:szCs w:val="18"/>
              </w:rPr>
              <w:t>本项目的采购预算（或最高限价）详见</w:t>
            </w:r>
            <w:r>
              <w:rPr>
                <w:rFonts w:hint="eastAsia"/>
                <w:b/>
                <w:bCs/>
                <w:sz w:val="18"/>
                <w:szCs w:val="18"/>
              </w:rPr>
              <w:t>第五章投标人须知专用部分。</w:t>
            </w:r>
            <w:r>
              <w:rPr>
                <w:rFonts w:hint="eastAsia"/>
                <w:bCs/>
                <w:sz w:val="18"/>
                <w:szCs w:val="18"/>
              </w:rPr>
              <w:t>投标人应有明确报价，</w:t>
            </w:r>
            <w:r>
              <w:rPr>
                <w:rFonts w:hint="eastAsia"/>
                <w:sz w:val="18"/>
                <w:szCs w:val="18"/>
              </w:rPr>
              <w:t>不接受无报价投标和有选择的报价以及有条件的优惠报价，且</w:t>
            </w:r>
            <w:r>
              <w:rPr>
                <w:rFonts w:hint="eastAsia"/>
                <w:bCs/>
                <w:sz w:val="18"/>
                <w:szCs w:val="18"/>
              </w:rPr>
              <w:t>报价未超过采购预算（或最高限价），否则投标将被</w:t>
            </w:r>
            <w:r>
              <w:rPr>
                <w:rFonts w:hint="eastAsia"/>
                <w:b/>
                <w:bCs/>
                <w:sz w:val="18"/>
                <w:szCs w:val="18"/>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1.17.4</w:t>
            </w:r>
          </w:p>
        </w:tc>
        <w:tc>
          <w:tcPr>
            <w:tcW w:w="7723" w:type="dxa"/>
            <w:vAlign w:val="center"/>
          </w:tcPr>
          <w:p>
            <w:pPr>
              <w:adjustRightInd w:val="0"/>
              <w:snapToGrid w:val="0"/>
              <w:spacing w:line="360" w:lineRule="auto"/>
              <w:jc w:val="left"/>
              <w:rPr>
                <w:rFonts w:ascii="宋体" w:hAnsi="宋体"/>
                <w:sz w:val="18"/>
                <w:szCs w:val="18"/>
              </w:rPr>
            </w:pPr>
            <w:r>
              <w:rPr>
                <w:rFonts w:ascii="宋体" w:hAnsi="宋体" w:hint="eastAsia"/>
                <w:sz w:val="18"/>
                <w:szCs w:val="18"/>
              </w:rPr>
              <w:t>开标一览表有以下情况之一的，将导致投标被</w:t>
            </w:r>
            <w:r>
              <w:rPr>
                <w:rFonts w:ascii="宋体" w:hAnsi="宋体" w:hint="eastAsia"/>
                <w:b/>
                <w:sz w:val="18"/>
                <w:szCs w:val="18"/>
              </w:rPr>
              <w:t>拒绝</w:t>
            </w:r>
            <w:r>
              <w:rPr>
                <w:rFonts w:ascii="宋体" w:hAnsi="宋体" w:hint="eastAsia"/>
                <w:sz w:val="18"/>
                <w:szCs w:val="18"/>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1.18</w:t>
            </w:r>
          </w:p>
        </w:tc>
        <w:tc>
          <w:tcPr>
            <w:tcW w:w="7723" w:type="dxa"/>
            <w:vAlign w:val="center"/>
          </w:tcPr>
          <w:p>
            <w:pPr>
              <w:tabs>
                <w:tab w:val="left" w:pos="1480"/>
              </w:tabs>
              <w:adjustRightInd w:val="0"/>
              <w:snapToGrid w:val="0"/>
              <w:spacing w:line="360" w:lineRule="auto"/>
              <w:rPr>
                <w:rFonts w:ascii="宋体" w:hAnsi="宋体"/>
                <w:sz w:val="18"/>
                <w:szCs w:val="18"/>
                <w:lang w:val="zh-CN"/>
              </w:rPr>
            </w:pPr>
            <w:r>
              <w:rPr>
                <w:rFonts w:ascii="宋体" w:hAnsi="宋体" w:hint="eastAsia"/>
                <w:sz w:val="18"/>
                <w:szCs w:val="18"/>
              </w:rPr>
              <w:t>本项目是否允许投标人将项目的非主体、非关键性工作交由他人完成详见</w:t>
            </w:r>
            <w:r>
              <w:rPr>
                <w:rFonts w:ascii="宋体" w:hAnsi="宋体" w:hint="eastAsia"/>
                <w:b/>
                <w:bCs/>
                <w:sz w:val="18"/>
                <w:szCs w:val="18"/>
              </w:rPr>
              <w:t>第五章投标人须知专用部分</w:t>
            </w:r>
            <w:r>
              <w:rPr>
                <w:rFonts w:ascii="宋体" w:hAnsi="宋体" w:hint="eastAsia"/>
                <w:sz w:val="18"/>
                <w:szCs w:val="18"/>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lang w:val="zh-CN"/>
              </w:rPr>
              <w:t>不符合招标文件中有关分包规定的，其投标将被</w:t>
            </w:r>
            <w:r>
              <w:rPr>
                <w:rFonts w:ascii="宋体" w:hAnsi="宋体" w:hint="eastAsia"/>
                <w:b/>
                <w:sz w:val="18"/>
                <w:szCs w:val="18"/>
                <w:lang w:val="zh-CN"/>
              </w:rPr>
              <w:t>拒绝</w:t>
            </w:r>
            <w:r>
              <w:rPr>
                <w:rFonts w:ascii="宋体" w:hAnsi="宋体" w:hint="eastAsia"/>
                <w:sz w:val="18"/>
                <w:szCs w:val="18"/>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1.20.1</w:t>
            </w:r>
          </w:p>
        </w:tc>
        <w:tc>
          <w:tcPr>
            <w:tcW w:w="7723" w:type="dxa"/>
            <w:vAlign w:val="center"/>
          </w:tcPr>
          <w:p>
            <w:pPr>
              <w:rPr>
                <w:rFonts w:ascii="宋体" w:hAnsi="宋体"/>
                <w:sz w:val="18"/>
                <w:szCs w:val="18"/>
              </w:rPr>
            </w:pPr>
            <w:r>
              <w:rPr>
                <w:rFonts w:ascii="宋体" w:hAnsi="宋体" w:hint="eastAsia"/>
                <w:sz w:val="18"/>
                <w:szCs w:val="18"/>
              </w:rPr>
              <w:t>本项目投标有效期详见</w:t>
            </w:r>
            <w:r>
              <w:rPr>
                <w:rFonts w:ascii="宋体" w:hAnsi="宋体" w:cs="Arial" w:hint="eastAsia"/>
                <w:b/>
                <w:sz w:val="18"/>
                <w:szCs w:val="18"/>
              </w:rPr>
              <w:t>第五章投标人须知专用部分</w:t>
            </w:r>
            <w:r>
              <w:rPr>
                <w:rFonts w:ascii="宋体" w:hAnsi="宋体" w:hint="eastAsia"/>
                <w:sz w:val="18"/>
                <w:szCs w:val="18"/>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hint="eastAsia"/>
                <w:sz w:val="18"/>
                <w:szCs w:val="18"/>
              </w:rPr>
            </w:pPr>
            <w:r>
              <w:rPr>
                <w:rFonts w:ascii="宋体" w:hAnsi="宋体" w:hint="eastAsia"/>
                <w:sz w:val="18"/>
                <w:szCs w:val="18"/>
              </w:rPr>
              <w:t>1.26.5</w:t>
            </w:r>
          </w:p>
        </w:tc>
        <w:tc>
          <w:tcPr>
            <w:tcW w:w="7723" w:type="dxa"/>
            <w:vAlign w:val="center"/>
          </w:tcPr>
          <w:p>
            <w:pPr>
              <w:rPr>
                <w:rFonts w:ascii="宋体" w:hAnsi="宋体" w:hint="eastAsia"/>
                <w:sz w:val="18"/>
                <w:szCs w:val="18"/>
                <w:lang w:val="zh-CN"/>
              </w:rPr>
            </w:pPr>
            <w:r>
              <w:rPr>
                <w:rFonts w:hint="eastAsia"/>
                <w:sz w:val="18"/>
                <w:szCs w:val="18"/>
              </w:rPr>
              <w:t>投标文件实质上没有响应招标文件的要求，评标委员会将予以</w:t>
            </w:r>
            <w:r>
              <w:rPr>
                <w:rFonts w:eastAsia="拒绝"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rPr>
              <w:t>拒绝</w:t>
            </w:r>
            <w:r>
              <w:rPr>
                <w:rFonts w:hint="eastAsia"/>
                <w:sz w:val="18"/>
                <w:szCs w:val="18"/>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1.26.9</w:t>
            </w:r>
          </w:p>
        </w:tc>
        <w:tc>
          <w:tcPr>
            <w:tcW w:w="7723" w:type="dxa"/>
            <w:vAlign w:val="center"/>
          </w:tcPr>
          <w:p>
            <w:pPr>
              <w:adjustRightInd w:val="0"/>
              <w:snapToGrid w:val="0"/>
              <w:spacing w:line="360" w:lineRule="auto"/>
              <w:rPr>
                <w:rFonts w:ascii="宋体" w:hAnsi="宋体"/>
                <w:sz w:val="18"/>
                <w:szCs w:val="18"/>
              </w:rPr>
            </w:pPr>
            <w:r>
              <w:rPr>
                <w:rFonts w:ascii="宋体" w:hAnsi="宋体" w:hint="eastAsia"/>
                <w:sz w:val="18"/>
                <w:szCs w:val="18"/>
              </w:rPr>
              <w:t>如发现下列情况之一的，其投标属于非实质响应招标文件要求，其投标将被</w:t>
            </w:r>
            <w:r>
              <w:rPr>
                <w:rFonts w:ascii="宋体" w:hAnsi="宋体" w:hint="eastAsia"/>
                <w:b/>
                <w:sz w:val="18"/>
                <w:szCs w:val="18"/>
              </w:rPr>
              <w:t>拒绝</w:t>
            </w:r>
            <w:r>
              <w:rPr>
                <w:rFonts w:ascii="宋体" w:hAnsi="宋体" w:hint="eastAsia"/>
                <w:sz w:val="18"/>
                <w:szCs w:val="18"/>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rPr>
              <w:t>拒绝</w:t>
            </w:r>
            <w:r>
              <w:rPr>
                <w:rFonts w:hint="eastAsia"/>
                <w:sz w:val="18"/>
                <w:szCs w:val="18"/>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eastAsia="宋体" w:hAnsi="宋体" w:cs="Times New Roman" w:hint="eastAsia"/>
                <w:kern w:val="2"/>
                <w:sz w:val="18"/>
                <w:szCs w:val="18"/>
                <w:lang w:val="en-US" w:eastAsia="zh-CN" w:bidi="ar-SA"/>
              </w:rPr>
              <w:t>1.27.4</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eastAsia="宋体" w:cs="Times New Roman" w:hint="eastAsia"/>
                <w:sz w:val="18"/>
                <w:szCs w:val="18"/>
              </w:rPr>
              <w:t>评标委员会启动异常低价投标审查后，如相关供应商不能提供书面说明、证明材料，或者提供的书面说明、证明材料不能证明其报价合理性的，评标委员会应当将其作为无效投标处理。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rPr>
                <w:rFonts w:ascii="宋体" w:hAnsi="宋体"/>
                <w:sz w:val="18"/>
                <w:szCs w:val="18"/>
              </w:rPr>
            </w:pPr>
            <w:r>
              <w:rPr>
                <w:rFonts w:ascii="宋体" w:hAnsi="宋体" w:hint="eastAsia"/>
                <w:sz w:val="18"/>
                <w:szCs w:val="18"/>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rPr>
            </w:pPr>
            <w:r>
              <w:rPr>
                <w:rFonts w:hint="eastAsia"/>
                <w:sz w:val="18"/>
                <w:szCs w:val="18"/>
              </w:rPr>
              <w:t>在评审期间，投标人企图影响采购人、采购中心、评标委员会的任何活动，将导致投标被</w:t>
            </w:r>
            <w:r>
              <w:rPr>
                <w:rFonts w:hint="eastAsia"/>
                <w:b/>
                <w:sz w:val="18"/>
                <w:szCs w:val="18"/>
              </w:rPr>
              <w:t>拒绝</w:t>
            </w:r>
            <w:r>
              <w:rPr>
                <w:rFonts w:hint="eastAsia"/>
                <w:sz w:val="18"/>
                <w:szCs w:val="18"/>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lang w:val="zh-CN"/>
              </w:rPr>
            </w:pPr>
            <w:r>
              <w:rPr>
                <w:rFonts w:ascii="宋体" w:hAnsi="宋体" w:hint="eastAsia"/>
                <w:b/>
                <w:sz w:val="18"/>
                <w:szCs w:val="18"/>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2.6</w:t>
            </w:r>
          </w:p>
        </w:tc>
        <w:tc>
          <w:tcPr>
            <w:tcW w:w="7723" w:type="dxa"/>
            <w:vAlign w:val="center"/>
          </w:tcPr>
          <w:p>
            <w:pPr>
              <w:rPr>
                <w:sz w:val="18"/>
                <w:szCs w:val="18"/>
                <w:lang w:val="zh-CN"/>
              </w:rPr>
            </w:pPr>
            <w:r>
              <w:rPr>
                <w:rFonts w:hint="eastAsia"/>
                <w:b/>
                <w:sz w:val="18"/>
                <w:szCs w:val="18"/>
              </w:rPr>
              <w:t>法定代表人身份证明或授权委托书。</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2.7</w:t>
            </w:r>
          </w:p>
        </w:tc>
        <w:tc>
          <w:tcPr>
            <w:tcW w:w="7723" w:type="dxa"/>
            <w:vAlign w:val="center"/>
          </w:tcPr>
          <w:p>
            <w:pPr>
              <w:rPr>
                <w:sz w:val="18"/>
                <w:szCs w:val="18"/>
              </w:rPr>
            </w:pPr>
            <w:r>
              <w:rPr>
                <w:rFonts w:ascii="宋体" w:hAnsi="宋体" w:hint="eastAsia"/>
                <w:b/>
                <w:sz w:val="18"/>
                <w:szCs w:val="18"/>
              </w:rPr>
              <w:t>投标函。</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sz w:val="18"/>
                <w:szCs w:val="18"/>
              </w:rPr>
            </w:pPr>
            <w:r>
              <w:rPr>
                <w:rFonts w:ascii="宋体" w:hAnsi="宋体" w:hint="eastAsia"/>
                <w:sz w:val="18"/>
                <w:szCs w:val="18"/>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rPr>
            </w:pPr>
            <w:r>
              <w:rPr>
                <w:rFonts w:hint="eastAsia"/>
                <w:b/>
                <w:sz w:val="18"/>
                <w:szCs w:val="18"/>
              </w:rPr>
              <w:t>参加政府采购活动前三年内，在经营活动中没有重大违法记录的声明。</w:t>
            </w:r>
            <w:r>
              <w:rPr>
                <w:rFonts w:hint="eastAsia"/>
                <w:sz w:val="18"/>
                <w:szCs w:val="18"/>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rPr>
            </w:pPr>
          </w:p>
        </w:tc>
        <w:tc>
          <w:tcPr>
            <w:tcW w:w="850" w:type="dxa"/>
            <w:vAlign w:val="center"/>
          </w:tcPr>
          <w:p>
            <w:pPr>
              <w:jc w:val="left"/>
              <w:rPr>
                <w:rFonts w:ascii="宋体" w:hAnsi="宋体" w:hint="eastAsia"/>
                <w:sz w:val="18"/>
                <w:szCs w:val="18"/>
              </w:rPr>
            </w:pPr>
            <w:r>
              <w:rPr>
                <w:rFonts w:ascii="宋体" w:hAnsi="宋体" w:hint="eastAsia"/>
                <w:sz w:val="18"/>
                <w:szCs w:val="18"/>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rPr>
            </w:pPr>
            <w:r>
              <w:rPr>
                <w:rFonts w:hint="eastAsia"/>
                <w:b/>
                <w:sz w:val="18"/>
                <w:szCs w:val="18"/>
              </w:rPr>
              <w:t>中</w:t>
            </w:r>
            <w:r>
              <w:rPr>
                <w:b/>
                <w:sz w:val="18"/>
                <w:szCs w:val="18"/>
              </w:rPr>
              <w:t>小企业声明函</w:t>
            </w:r>
            <w:r>
              <w:rPr>
                <w:rFonts w:hint="eastAsia"/>
                <w:b/>
                <w:sz w:val="18"/>
                <w:szCs w:val="18"/>
              </w:rPr>
              <w:t>、</w:t>
            </w:r>
            <w:r>
              <w:rPr>
                <w:rFonts w:hint="eastAsia"/>
                <w:b/>
                <w:bCs/>
                <w:sz w:val="18"/>
                <w:szCs w:val="18"/>
              </w:rPr>
              <w:t>残疾人福利性单位声明函。</w:t>
            </w:r>
            <w:r>
              <w:rPr>
                <w:rFonts w:hint="eastAsia"/>
                <w:sz w:val="18"/>
                <w:szCs w:val="18"/>
              </w:rPr>
              <w:t>在《中小企业声明函》、《</w:t>
            </w:r>
            <w:r>
              <w:rPr>
                <w:rFonts w:hint="eastAsia"/>
                <w:bCs/>
                <w:sz w:val="18"/>
                <w:szCs w:val="18"/>
              </w:rPr>
              <w:t>残疾人福利性单位声明函》</w:t>
            </w:r>
            <w:r>
              <w:rPr>
                <w:rFonts w:hint="eastAsia"/>
                <w:sz w:val="18"/>
                <w:szCs w:val="18"/>
              </w:rPr>
              <w:t>格式文本中，除可填报内容外，对内容的任何实质性修改将被视为相关要求未得到响应，从而导致该投标被拒绝或者</w:t>
            </w:r>
            <w:r>
              <w:rPr>
                <w:rFonts w:hint="eastAsia"/>
                <w:bCs/>
                <w:sz w:val="18"/>
                <w:szCs w:val="18"/>
              </w:rPr>
              <w:t>不能享受可能的价格扣除优惠</w:t>
            </w:r>
            <w:r>
              <w:rPr>
                <w:rFonts w:hint="eastAsia"/>
                <w:sz w:val="18"/>
                <w:szCs w:val="18"/>
              </w:rPr>
              <w:t>。</w:t>
            </w:r>
          </w:p>
        </w:tc>
      </w:tr>
    </w:tbl>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内蒙古自治区气象局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华北区域人工影响天气能力建设项目（内蒙古）—人工增减雨雪试验示范基地建设拉曼激光雷达</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ZQCD-26124</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合同签订后180天内完成供货、安装调试并具备现场测试条件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内蒙古呼和浩特市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2026年06月30日 00:00:00</w:t>
      </w:r>
      <w:bookmarkEnd w:id="26"/>
      <w:r>
        <w:rPr>
          <w:rFonts w:ascii="宋体" w:hint="eastAsia"/>
          <w:szCs w:val="21"/>
          <w:highlight w:val="none"/>
        </w:rPr>
        <w:t>至</w:t>
      </w:r>
      <w:bookmarkStart w:id="27" w:name="项目公告_signUpLastTime"/>
      <w:r>
        <w:rPr>
          <w:rFonts w:ascii="宋体" w:hint="eastAsia"/>
          <w:szCs w:val="21"/>
          <w:highlight w:val="none"/>
        </w:rPr>
        <w:t>2026年07月10日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2026年07月21日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线上开标</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卢介然</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010-68406642</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内蒙古自治区气象局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史金丽</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0471-3335244</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内蒙古呼和浩特市新城区海拉尔大街49号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内蒙古自治区气象局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不允许（仅针对以下产品：拉曼激光雷达不允许代理商投标）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不涉及</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设有，核心产品为拉曼激光雷达</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不必须</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（1）标的：拉曼激光雷达，属于工业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是，中标服务费：3.3万元。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325.000000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325.000000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根据本项目实际情况，招标文件1.27.3第1项至第3项启动异常低价投标审查的数值标准为65%。</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156"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4"/>
        <w:gridCol w:w="253"/>
        <w:gridCol w:w="1288"/>
        <w:gridCol w:w="253"/>
        <w:gridCol w:w="7055"/>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4、投标产品满足招标文件小微企业、本国产品有关政策优惠条件，投标价格将给予扣除。</w:t>
              <w:cr/>
              <w:t>5、按上述公式计算出每个投标单位的投标报价得分，保留小数点后二位，小数点后第三位四舍五入。</w:t>
              <w:cr/>
              <w:t>6、评审委员会根据《关于推动解决政府采购异常低价问题的通知》（财库[2026]2号）规定启动异常低价投标（响应）审查程序后，如相关供应商不能提供书面说明、证明材料，或者提供的书面说明、证明材料不能证明其报价合理性的，评审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销售合同必须包括气溶胶激光雷达，每提供1份合同得1分，最多得5分。否则不得分。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针对本项目采购的拉曼激光雷达，承诺每提前30天交货的得1分，最多得1分。否则不得分。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针对气溶胶激光雷达设备，每提供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(2)</w:t>
            </w:r>
          </w:p>
        </w:tc>
        <w:tc>
          <w:tcPr/>
          <w:p>
            <w:r>
              <w:t>评审标准：</w:t>
            </w:r>
          </w:p>
          <w:p>
            <w:r>
              <w:t xml:space="preserve">1、投标人为本项目拟派的服务团队中项目经理应具有3年以上相关工作经验的得1分； </w:t>
              <w:cr/>
              <w:t>2、除项目经理外至少8人具有2年及以上相关工作经验的，得1分；为本项目派出的技术人员至少5人具有1年及以上相关工作经验的，得0.5分；其他不得分。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投标产品技术方案（主观分）</w:t>
            </w:r>
          </w:p>
        </w:tc>
        <w:tc>
          <w:tcPr/>
          <w:p>
            <w:r>
              <w:t>勾选打分</w:t>
            </w:r>
            <w:r>
              <w:t>(2)</w:t>
            </w:r>
          </w:p>
        </w:tc>
        <w:tc>
          <w:tcPr/>
          <w:p>
            <w:r>
              <w:t>评审标准：</w:t>
            </w:r>
          </w:p>
          <w:p>
            <w:r>
              <w:t>一档0分</w:t>
              <w:cr/>
              <w:t>二档0.5分</w:t>
              <w:cr/>
              <w:t>三档1分</w:t>
              <w:cr/>
              <w:t>四档2分</w:t>
            </w:r>
          </w:p>
          <w:p>
            <w:r>
              <w:t>评审标准说明：</w:t>
            </w:r>
          </w:p>
          <w:p>
            <w:r>
              <w:t>根据投标人提供的技术方案进行评分，具体评分标准如下：</w:t>
              <w:cr/>
              <w:t>一档：未提供技术方案。</w:t>
              <w:cr/>
              <w:t>二档：技术方案能按照招标文件的格式进行响应，技术响应比较浅显，缺乏针对性。</w:t>
              <w:cr/>
              <w:t xml:space="preserve">三档：技术方案基本能按照招标文件的要求进行响应，有一定针对性，基本满足采购文件需求。 </w:t>
              <w:cr/>
              <w:t>四档：技术方案能按照招标文件的要求进行响应，详细具体，针对性强，与项目实际情况相契合，完全满足采购文件的需求。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12</w:t>
            </w:r>
          </w:p>
        </w:tc>
        <w:tc>
          <w:tcPr>
            <w:vMerge/>
          </w:tcPr>
          <w:p>
            <w:r>
              <w:t>技术部分</w:t>
            </w:r>
          </w:p>
        </w:tc>
        <w:tc>
          <w:tcPr/>
          <w:p>
            <w:r>
              <w:t>投标产品综合性能（主观分）</w:t>
            </w:r>
          </w:p>
        </w:tc>
        <w:tc>
          <w:tcPr/>
          <w:p>
            <w:r>
              <w:t>勾选打分</w:t>
            </w:r>
            <w:r>
              <w:t>(4)</w:t>
            </w:r>
          </w:p>
        </w:tc>
        <w:tc>
          <w:tcPr/>
          <w:p>
            <w:r>
              <w:t>评审标准：</w:t>
            </w:r>
          </w:p>
          <w:p>
            <w:r>
              <w:t>一档0分</w:t>
              <w:cr/>
              <w:t>二档1分</w:t>
              <w:cr/>
              <w:t>三档2分</w:t>
              <w:cr/>
              <w:t>四档4分</w:t>
            </w:r>
          </w:p>
          <w:p>
            <w:r>
              <w:t>评审标准说明：</w:t>
            </w:r>
          </w:p>
          <w:p>
            <w:r>
              <w:t>根据投标人提供能证明投标产品技术性能的第三方测试报告进行评分，具体评分标准如下：</w:t>
              <w:cr/>
              <w:t>一档：投标产品综合技术性能不能满足采购文件要求。</w:t>
              <w:cr/>
              <w:t>二档：投标产品综合技术性能满足采购文件要求。</w:t>
              <w:cr/>
              <w:t xml:space="preserve">三档：投标产品综合技术性能满足且部分优于采购文件要求。 </w:t>
              <w:cr/>
              <w:t>四档：投标产品综合技术性能满足且总体上优于采购文件要求。</w:t>
              <w:cr/>
              <w:t>注：应提供能证明投标产品技术性能的第三方测试报告（包括测试内容、测试方法、测试结论等），并加盖投标人公章。其中，测试内容应包括但不限于标注#的指标。综合技术性能由评审委员会根据技术性能指标，主观综合评判。</w:t>
            </w:r>
          </w:p>
          <w:p/>
        </w:tc>
      </w:tr>
      <w:tr>
        <w:tblPrEx>
          <w:tblW w:w="5000" w:type="pct"/>
          <w:tblCellMar>
            <w:left w:w="108" w:type="dxa"/>
            <w:right w:w="108" w:type="dxa"/>
          </w:tblCellMar>
        </w:tblPrEx>
        <w:tc>
          <w:tcPr/>
          <w:p>
            <w:r>
              <w:t>13</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14</w:t>
            </w:r>
          </w:p>
        </w:tc>
        <w:tc>
          <w:tcPr>
            <w:vMerge/>
          </w:tcPr>
          <w:p>
            <w:r>
              <w:t>技术部分</w:t>
            </w:r>
          </w:p>
        </w:tc>
        <w:tc>
          <w:tcPr/>
          <w:p>
            <w:r>
              <w:t>投标产品的环境适应性（客观分）</w:t>
            </w:r>
          </w:p>
        </w:tc>
        <w:tc>
          <w:tcPr/>
          <w:p>
            <w:r>
              <w:t>勾选打分</w:t>
            </w:r>
            <w:r>
              <w:t>(2)</w:t>
            </w:r>
          </w:p>
        </w:tc>
        <w:tc>
          <w:tcPr/>
          <w:p>
            <w:r>
              <w:t>评审标准：</w:t>
            </w:r>
          </w:p>
          <w:p>
            <w:r>
              <w:t>针对拉曼激光雷达设备，测试报告应涵盖电磁抗扰度、气候条件（必须包括温度、湿度、抗阵风、降水强度、抗盐雾腐蚀）等内容，每包含一项得1分，最多得2分。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15</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spacing w:before="156" w:beforeLines="50" w:line="360" w:lineRule="auto"/>
        <w:jc w:val="center"/>
        <w:outlineLvl w:val="1"/>
        <w:rPr>
          <w:rFonts w:ascii="宋体" w:hAnsi="宋体" w:hint="eastAsia"/>
          <w:b/>
          <w:sz w:val="30"/>
          <w:szCs w:val="30"/>
        </w:rPr>
      </w:pPr>
      <w:r>
        <w:rPr>
          <w:bCs/>
          <w:szCs w:val="21"/>
          <w:highlight w:val="none"/>
        </w:rPr>
        <w:br w:type="page"/>
      </w:r>
      <w:bookmarkStart w:id="59" w:name="插入_采购需求书"/>
      <w:r>
        <w:rPr>
          <w:rFonts w:ascii="宋体" w:hAnsi="宋体" w:hint="eastAsia"/>
          <w:b/>
          <w:sz w:val="30"/>
          <w:szCs w:val="30"/>
        </w:rPr>
        <w:t>第七章  采购需求</w:t>
      </w:r>
    </w:p>
    <w:p>
      <w:pPr>
        <w:spacing w:line="360" w:lineRule="auto"/>
        <w:ind w:firstLine="420" w:firstLineChars="200"/>
        <w:rPr>
          <w:rFonts w:ascii="宋体" w:hAnsi="宋体" w:hint="eastAsia"/>
          <w:szCs w:val="21"/>
        </w:rPr>
      </w:pPr>
      <w:r>
        <w:rPr>
          <w:rFonts w:ascii="宋体" w:hAnsi="宋体" w:hint="eastAsia"/>
          <w:szCs w:val="21"/>
        </w:rPr>
        <w:t>一、项目概况及总体要求</w:t>
      </w: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本次招标内容为华北区域人工影响天气能力建设项目（内蒙古）—人工增减雨雪试验示范基地建设，采购一套拉曼激光雷达。</w:t>
      </w:r>
    </w:p>
    <w:p>
      <w:pPr>
        <w:spacing w:line="360" w:lineRule="auto"/>
        <w:jc w:val="center"/>
        <w:rPr>
          <w:rFonts w:ascii="宋体" w:hAnsi="宋体" w:hint="eastAsia"/>
          <w:szCs w:val="21"/>
        </w:rPr>
      </w:pPr>
      <w:r>
        <w:rPr>
          <w:rFonts w:ascii="宋体" w:hAnsi="宋体" w:hint="eastAsia"/>
          <w:szCs w:val="21"/>
        </w:rPr>
        <w:t>设备需求一览表</w:t>
      </w:r>
    </w:p>
    <w:tbl>
      <w:tblPr>
        <w:tblStyle w:val="TableNormal"/>
        <w:tblW w:w="8524" w:type="dxa"/>
        <w:tblInd w:w="102" w:type="dxa"/>
        <w:tblLayout w:type="fixed"/>
        <w:tblCellMar>
          <w:top w:w="0" w:type="dxa"/>
          <w:left w:w="0" w:type="dxa"/>
          <w:bottom w:w="0" w:type="dxa"/>
          <w:right w:w="0" w:type="dxa"/>
        </w:tblCellMar>
      </w:tblPr>
      <w:tblGrid>
        <w:gridCol w:w="718"/>
        <w:gridCol w:w="1436"/>
        <w:gridCol w:w="1578"/>
        <w:gridCol w:w="1363"/>
        <w:gridCol w:w="1971"/>
        <w:gridCol w:w="941"/>
        <w:gridCol w:w="517"/>
      </w:tblGrid>
      <w:tr>
        <w:tblPrEx>
          <w:tblW w:w="8524" w:type="dxa"/>
          <w:tblInd w:w="102" w:type="dxa"/>
          <w:tblLayout w:type="fixed"/>
          <w:tblCellMar>
            <w:top w:w="0" w:type="dxa"/>
            <w:left w:w="0" w:type="dxa"/>
            <w:bottom w:w="0" w:type="dxa"/>
            <w:right w:w="0" w:type="dxa"/>
          </w:tblCellMar>
        </w:tblPrEx>
        <w:trPr>
          <w:trHeight w:hRule="exact" w:val="691"/>
        </w:trPr>
        <w:tc>
          <w:tcPr>
            <w:tcW w:w="718"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宋体" w:eastAsia="宋体" w:hAnsi="宋体" w:cs="宋体" w:hint="eastAsia"/>
                <w:kern w:val="0"/>
                <w:szCs w:val="21"/>
              </w:rPr>
            </w:pPr>
            <w:r>
              <w:rPr>
                <w:rFonts w:ascii="宋体" w:eastAsia="宋体" w:hAnsi="宋体" w:cs="宋体" w:hint="eastAsia"/>
                <w:kern w:val="0"/>
                <w:szCs w:val="21"/>
              </w:rPr>
              <w:t>序号</w:t>
            </w:r>
          </w:p>
        </w:tc>
        <w:tc>
          <w:tcPr>
            <w:tcW w:w="1436"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宋体" w:eastAsia="宋体" w:hAnsi="宋体" w:cs="宋体" w:hint="eastAsia"/>
                <w:kern w:val="0"/>
                <w:szCs w:val="21"/>
              </w:rPr>
            </w:pPr>
            <w:r>
              <w:rPr>
                <w:rFonts w:ascii="宋体" w:eastAsia="宋体" w:hAnsi="宋体" w:cs="宋体" w:hint="eastAsia"/>
                <w:kern w:val="0"/>
                <w:szCs w:val="21"/>
              </w:rPr>
              <w:t>设备</w:t>
            </w:r>
            <w:r>
              <w:rPr>
                <w:rFonts w:ascii="宋体" w:eastAsia="宋体" w:hAnsi="宋体" w:cs="宋体" w:hint="eastAsia"/>
                <w:spacing w:val="-2"/>
                <w:kern w:val="0"/>
                <w:szCs w:val="21"/>
              </w:rPr>
              <w:t>名</w:t>
            </w:r>
            <w:r>
              <w:rPr>
                <w:rFonts w:ascii="宋体" w:eastAsia="宋体" w:hAnsi="宋体" w:cs="宋体" w:hint="eastAsia"/>
                <w:kern w:val="0"/>
                <w:szCs w:val="21"/>
              </w:rPr>
              <w:t>称</w:t>
            </w:r>
          </w:p>
        </w:tc>
        <w:tc>
          <w:tcPr>
            <w:tcW w:w="1578"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jc w:val="center"/>
              <w:rPr>
                <w:rFonts w:ascii="宋体" w:eastAsia="宋体" w:hAnsi="宋体" w:cs="宋体" w:hint="eastAsia"/>
                <w:kern w:val="0"/>
                <w:szCs w:val="21"/>
              </w:rPr>
            </w:pPr>
            <w:r>
              <w:rPr>
                <w:rFonts w:ascii="宋体" w:eastAsia="宋体" w:hAnsi="宋体" w:cs="宋体" w:hint="eastAsia"/>
                <w:kern w:val="0"/>
                <w:szCs w:val="21"/>
              </w:rPr>
              <w:t>规格</w:t>
            </w:r>
          </w:p>
        </w:tc>
        <w:tc>
          <w:tcPr>
            <w:tcW w:w="1363"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left="177" w:right="-20"/>
              <w:rPr>
                <w:rFonts w:ascii="宋体" w:eastAsia="宋体" w:hAnsi="宋体" w:cs="宋体" w:hint="eastAsia"/>
                <w:kern w:val="0"/>
                <w:szCs w:val="21"/>
              </w:rPr>
            </w:pPr>
            <w:r>
              <w:rPr>
                <w:rFonts w:ascii="宋体" w:eastAsia="宋体" w:hAnsi="宋体" w:cs="宋体" w:hint="eastAsia"/>
                <w:kern w:val="0"/>
                <w:szCs w:val="21"/>
              </w:rPr>
              <w:t>数量</w:t>
            </w:r>
            <w:r>
              <w:rPr>
                <w:rFonts w:ascii="宋体" w:eastAsia="宋体" w:hAnsi="宋体" w:cs="宋体" w:hint="eastAsia"/>
                <w:spacing w:val="-2"/>
                <w:kern w:val="0"/>
                <w:szCs w:val="21"/>
              </w:rPr>
              <w:t>及</w:t>
            </w:r>
            <w:r>
              <w:rPr>
                <w:rFonts w:ascii="宋体" w:eastAsia="宋体" w:hAnsi="宋体" w:cs="宋体" w:hint="eastAsia"/>
                <w:kern w:val="0"/>
                <w:szCs w:val="21"/>
              </w:rPr>
              <w:t>单位</w:t>
            </w:r>
          </w:p>
        </w:tc>
        <w:tc>
          <w:tcPr>
            <w:tcW w:w="1971"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firstLine="210" w:firstLineChars="100"/>
              <w:rPr>
                <w:rFonts w:ascii="宋体" w:eastAsia="宋体" w:hAnsi="宋体" w:cs="宋体" w:hint="eastAsia"/>
                <w:kern w:val="0"/>
                <w:szCs w:val="21"/>
              </w:rPr>
            </w:pPr>
            <w:r>
              <w:rPr>
                <w:rFonts w:ascii="宋体" w:eastAsia="宋体" w:hAnsi="宋体" w:cs="宋体" w:hint="eastAsia"/>
                <w:kern w:val="0"/>
                <w:szCs w:val="21"/>
              </w:rPr>
              <w:t>交货期</w:t>
            </w:r>
          </w:p>
        </w:tc>
        <w:tc>
          <w:tcPr>
            <w:tcW w:w="941"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48"/>
              <w:ind w:right="-20"/>
              <w:rPr>
                <w:rFonts w:ascii="宋体" w:eastAsia="宋体" w:hAnsi="宋体" w:cs="宋体" w:hint="eastAsia"/>
                <w:kern w:val="0"/>
                <w:szCs w:val="21"/>
              </w:rPr>
            </w:pPr>
            <w:r>
              <w:rPr>
                <w:rFonts w:ascii="宋体" w:eastAsia="宋体" w:hAnsi="宋体" w:cs="宋体" w:hint="eastAsia"/>
                <w:kern w:val="0"/>
                <w:szCs w:val="21"/>
              </w:rPr>
              <w:t>交货</w:t>
            </w:r>
            <w:r>
              <w:rPr>
                <w:rFonts w:ascii="宋体" w:eastAsia="宋体" w:hAnsi="宋体" w:cs="宋体" w:hint="eastAsia"/>
                <w:spacing w:val="-2"/>
                <w:kern w:val="0"/>
                <w:szCs w:val="21"/>
              </w:rPr>
              <w:t>地</w:t>
            </w:r>
            <w:r>
              <w:rPr>
                <w:rFonts w:ascii="宋体" w:eastAsia="宋体" w:hAnsi="宋体" w:cs="宋体" w:hint="eastAsia"/>
                <w:kern w:val="0"/>
                <w:szCs w:val="21"/>
              </w:rPr>
              <w:t>点</w:t>
            </w:r>
          </w:p>
        </w:tc>
        <w:tc>
          <w:tcPr>
            <w:tcW w:w="517" w:type="dxa"/>
            <w:tcBorders>
              <w:top w:val="single" w:sz="4" w:space="0" w:color="000000"/>
              <w:left w:val="single" w:sz="4" w:space="0" w:color="000000"/>
              <w:bottom w:val="single" w:sz="4" w:space="0" w:color="000000"/>
              <w:right w:val="single" w:sz="4" w:space="0" w:color="000000"/>
            </w:tcBorders>
          </w:tcPr>
          <w:p>
            <w:pPr>
              <w:autoSpaceDE w:val="0"/>
              <w:autoSpaceDN w:val="0"/>
              <w:adjustRightInd w:val="0"/>
              <w:spacing w:before="6" w:line="150" w:lineRule="exact"/>
              <w:jc w:val="center"/>
              <w:rPr>
                <w:rFonts w:ascii="宋体" w:eastAsia="宋体" w:hAnsi="宋体" w:cs="宋体" w:hint="eastAsia"/>
                <w:kern w:val="0"/>
                <w:szCs w:val="21"/>
              </w:rPr>
            </w:pPr>
          </w:p>
          <w:p>
            <w:pPr>
              <w:autoSpaceDE w:val="0"/>
              <w:autoSpaceDN w:val="0"/>
              <w:adjustRightInd w:val="0"/>
              <w:ind w:right="-20"/>
              <w:jc w:val="both"/>
              <w:rPr>
                <w:rFonts w:ascii="宋体" w:eastAsia="宋体" w:hAnsi="宋体" w:cs="宋体" w:hint="eastAsia"/>
                <w:kern w:val="0"/>
                <w:szCs w:val="21"/>
              </w:rPr>
            </w:pPr>
            <w:r>
              <w:rPr>
                <w:rFonts w:ascii="宋体" w:eastAsia="宋体" w:hAnsi="宋体" w:cs="宋体" w:hint="eastAsia"/>
                <w:kern w:val="0"/>
                <w:szCs w:val="21"/>
              </w:rPr>
              <w:t>备注</w:t>
            </w:r>
          </w:p>
        </w:tc>
      </w:tr>
      <w:tr>
        <w:tblPrEx>
          <w:tblW w:w="8524" w:type="dxa"/>
          <w:tblInd w:w="102" w:type="dxa"/>
          <w:tblLayout w:type="fixed"/>
          <w:tblCellMar>
            <w:top w:w="0" w:type="dxa"/>
            <w:left w:w="0" w:type="dxa"/>
            <w:bottom w:w="0" w:type="dxa"/>
            <w:right w:w="0" w:type="dxa"/>
          </w:tblCellMar>
        </w:tblPrEx>
        <w:trPr>
          <w:trHeight w:hRule="exact" w:val="1031"/>
        </w:trPr>
        <w:tc>
          <w:tcPr>
            <w:tcW w:w="718"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ind w:left="316" w:right="298"/>
              <w:jc w:val="center"/>
              <w:rPr>
                <w:kern w:val="0"/>
                <w:szCs w:val="21"/>
              </w:rPr>
            </w:pPr>
            <w:r>
              <w:rPr>
                <w:kern w:val="0"/>
                <w:szCs w:val="21"/>
              </w:rPr>
              <w:t>1</w:t>
            </w:r>
          </w:p>
        </w:tc>
        <w:tc>
          <w:tcPr>
            <w:tcW w:w="1436"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ascii="宋体" w:eastAsia="宋体" w:hAnsi="宋体" w:cs="宋体" w:hint="eastAsia"/>
                <w:kern w:val="0"/>
                <w:szCs w:val="21"/>
              </w:rPr>
            </w:pPr>
            <w:r>
              <w:rPr>
                <w:rFonts w:ascii="宋体" w:eastAsia="宋体" w:hAnsi="宋体" w:cs="Times New Roman" w:hint="eastAsia"/>
                <w:szCs w:val="21"/>
              </w:rPr>
              <w:t>拉曼激光雷达</w:t>
            </w:r>
          </w:p>
        </w:tc>
        <w:tc>
          <w:tcPr>
            <w:tcW w:w="1578" w:type="dxa"/>
            <w:tcBorders>
              <w:top w:val="single" w:sz="4" w:space="0" w:color="000000"/>
              <w:left w:val="single" w:sz="4" w:space="0" w:color="000000"/>
              <w:bottom w:val="single" w:sz="4" w:space="0" w:color="000000"/>
              <w:right w:val="single" w:sz="4" w:space="0" w:color="000000"/>
            </w:tcBorders>
            <w:vAlign w:val="center"/>
          </w:tcPr>
          <w:p>
            <w:pPr>
              <w:wordWrap w:val="0"/>
              <w:autoSpaceDE w:val="0"/>
              <w:autoSpaceDN w:val="0"/>
              <w:adjustRightInd w:val="0"/>
              <w:jc w:val="center"/>
              <w:rPr>
                <w:kern w:val="0"/>
                <w:szCs w:val="21"/>
              </w:rPr>
            </w:pPr>
            <w:r>
              <w:rPr>
                <w:rFonts w:hint="eastAsia"/>
                <w:kern w:val="0"/>
                <w:szCs w:val="21"/>
              </w:rPr>
              <w:t>详见技术性能指标</w:t>
            </w:r>
          </w:p>
        </w:tc>
        <w:tc>
          <w:tcPr>
            <w:tcW w:w="1363"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rFonts w:eastAsia="宋体"/>
                <w:kern w:val="0"/>
                <w:szCs w:val="21"/>
              </w:rPr>
            </w:pPr>
            <w:r>
              <w:rPr>
                <w:rFonts w:hint="eastAsia"/>
                <w:kern w:val="0"/>
                <w:szCs w:val="21"/>
              </w:rPr>
              <w:t>1台</w:t>
            </w:r>
          </w:p>
        </w:tc>
        <w:tc>
          <w:tcPr>
            <w:tcW w:w="1971"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kern w:val="0"/>
                <w:szCs w:val="21"/>
              </w:rPr>
            </w:pPr>
            <w:r>
              <w:rPr>
                <w:rFonts w:ascii="Calibri" w:hAnsi="Calibri"/>
                <w:szCs w:val="22"/>
              </w:rPr>
              <w:t>合同签订后180天内完成供货、安装调试并具备现场测试条件</w:t>
            </w:r>
          </w:p>
        </w:tc>
        <w:tc>
          <w:tcPr>
            <w:tcW w:w="941"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kern w:val="0"/>
                <w:szCs w:val="21"/>
              </w:rPr>
            </w:pPr>
            <w:r>
              <w:rPr>
                <w:rFonts w:hint="eastAsia"/>
                <w:kern w:val="0"/>
                <w:szCs w:val="21"/>
              </w:rPr>
              <w:t>内蒙古呼和浩特</w:t>
            </w:r>
          </w:p>
        </w:tc>
        <w:tc>
          <w:tcPr>
            <w:tcW w:w="517" w:type="dxa"/>
            <w:tcBorders>
              <w:top w:val="single" w:sz="4" w:space="0" w:color="000000"/>
              <w:left w:val="single" w:sz="4" w:space="0" w:color="000000"/>
              <w:bottom w:val="single" w:sz="4" w:space="0" w:color="000000"/>
              <w:right w:val="single" w:sz="4" w:space="0" w:color="000000"/>
            </w:tcBorders>
            <w:vAlign w:val="center"/>
          </w:tcPr>
          <w:p>
            <w:pPr>
              <w:autoSpaceDE w:val="0"/>
              <w:autoSpaceDN w:val="0"/>
              <w:adjustRightInd w:val="0"/>
              <w:jc w:val="center"/>
              <w:rPr>
                <w:kern w:val="0"/>
                <w:szCs w:val="21"/>
              </w:rPr>
            </w:pPr>
          </w:p>
        </w:tc>
      </w:tr>
    </w:tbl>
    <w:p>
      <w:pPr>
        <w:spacing w:line="360" w:lineRule="auto"/>
        <w:rPr>
          <w:rFonts w:ascii="宋体" w:eastAsia="宋体" w:hAnsi="宋体" w:cs="Times New Roman" w:hint="eastAsia"/>
          <w:szCs w:val="21"/>
        </w:rPr>
      </w:pPr>
    </w:p>
    <w:p>
      <w:pPr>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二、付款方式</w:t>
      </w:r>
    </w:p>
    <w:p>
      <w:pPr>
        <w:spacing w:line="360" w:lineRule="auto"/>
        <w:ind w:firstLine="420" w:firstLineChars="200"/>
        <w:rPr>
          <w:rFonts w:ascii="宋体" w:hAnsi="宋体" w:hint="eastAsia"/>
          <w:szCs w:val="21"/>
        </w:rPr>
      </w:pPr>
      <w:r>
        <w:rPr>
          <w:rFonts w:ascii="宋体" w:hAnsi="宋体" w:hint="eastAsia"/>
          <w:szCs w:val="21"/>
        </w:rPr>
        <w:t>1.合同签订后，乙方向甲方提供合同总金额 5 %的银行履约保函，设备验收合格一年后，甲方将银行履约保函退还乙方。</w:t>
      </w:r>
    </w:p>
    <w:p>
      <w:pPr>
        <w:spacing w:line="360" w:lineRule="auto"/>
        <w:ind w:firstLine="420" w:firstLineChars="200"/>
        <w:rPr>
          <w:rFonts w:ascii="宋体" w:eastAsia="宋体" w:hAnsi="宋体" w:cs="Times New Roman" w:hint="eastAsia"/>
          <w:szCs w:val="21"/>
        </w:rPr>
      </w:pPr>
      <w:r>
        <w:rPr>
          <w:rFonts w:ascii="宋体" w:hAnsi="宋体" w:hint="eastAsia"/>
          <w:szCs w:val="21"/>
        </w:rPr>
        <w:t>2.合同签订后30日内甲方向乙方支付合同总金额的30%；设备出厂验收合格后30日内向乙方支付合同总金额的30%；设备安装调试完毕，现场验收合格30日内支付合同总金额的30%；</w:t>
      </w:r>
      <w:r>
        <w:rPr>
          <w:rFonts w:ascii="宋体" w:eastAsia="宋体" w:hAnsi="宋体" w:cs="Times New Roman" w:hint="eastAsia"/>
          <w:szCs w:val="21"/>
        </w:rPr>
        <w:t>合同验收通过后支付</w:t>
      </w:r>
      <w:r>
        <w:rPr>
          <w:rFonts w:ascii="宋体" w:hAnsi="宋体" w:hint="eastAsia"/>
          <w:szCs w:val="21"/>
        </w:rPr>
        <w:t>合同总金额的</w:t>
      </w:r>
      <w:r>
        <w:rPr>
          <w:rFonts w:ascii="宋体" w:eastAsia="宋体" w:hAnsi="宋体" w:cs="Times New Roman" w:hint="eastAsia"/>
          <w:szCs w:val="21"/>
        </w:rPr>
        <w:t>10%。</w:t>
      </w:r>
    </w:p>
    <w:p>
      <w:pPr>
        <w:spacing w:line="360" w:lineRule="auto"/>
        <w:ind w:firstLine="420" w:firstLineChars="200"/>
        <w:rPr>
          <w:rFonts w:ascii="宋体" w:hAnsi="宋体" w:hint="eastAsia"/>
          <w:szCs w:val="21"/>
        </w:rPr>
      </w:pPr>
      <w:r>
        <w:rPr>
          <w:rFonts w:ascii="宋体" w:hAnsi="宋体" w:hint="eastAsia"/>
          <w:szCs w:val="21"/>
        </w:rPr>
        <w:t>三、技术性能指标</w:t>
      </w:r>
    </w:p>
    <w:p>
      <w:pPr>
        <w:spacing w:line="360" w:lineRule="auto"/>
        <w:ind w:firstLine="420" w:firstLineChars="200"/>
        <w:jc w:val="center"/>
        <w:rPr>
          <w:rFonts w:ascii="宋体" w:hAnsi="宋体" w:hint="eastAsia"/>
          <w:szCs w:val="21"/>
        </w:rPr>
      </w:pPr>
      <w:r>
        <w:rPr>
          <w:rFonts w:ascii="宋体" w:eastAsia="宋体" w:hAnsi="宋体" w:cs="Times New Roman"/>
          <w:szCs w:val="21"/>
        </w:rPr>
        <w:t>拉曼激光雷达</w:t>
      </w:r>
      <w:r>
        <w:rPr>
          <w:rFonts w:ascii="宋体" w:hAnsi="宋体" w:hint="eastAsia"/>
          <w:szCs w:val="21"/>
        </w:rPr>
        <w:t>主要设备组成表</w:t>
      </w:r>
    </w:p>
    <w:tbl>
      <w:tblPr>
        <w:tblStyle w:val="TableNormal"/>
        <w:tblW w:w="466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
      <w:tblGrid>
        <w:gridCol w:w="924"/>
        <w:gridCol w:w="1466"/>
        <w:gridCol w:w="1084"/>
        <w:gridCol w:w="4917"/>
      </w:tblGrid>
      <w:tr>
        <w:tblPrEx>
          <w:tblW w:w="466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PrEx>
        <w:trPr>
          <w:trHeight w:val="375"/>
          <w:jc w:val="center"/>
        </w:trPr>
        <w:tc>
          <w:tcPr>
            <w:tcW w:w="924" w:type="dxa"/>
            <w:vAlign w:val="center"/>
          </w:tcPr>
          <w:p>
            <w:pPr>
              <w:jc w:val="center"/>
              <w:rPr>
                <w:b/>
                <w:sz w:val="20"/>
              </w:rPr>
            </w:pPr>
            <w:r>
              <w:rPr>
                <w:b/>
                <w:sz w:val="20"/>
              </w:rPr>
              <w:t>序号</w:t>
            </w:r>
          </w:p>
        </w:tc>
        <w:tc>
          <w:tcPr>
            <w:tcW w:w="1466" w:type="dxa"/>
            <w:vAlign w:val="center"/>
          </w:tcPr>
          <w:p>
            <w:pPr>
              <w:jc w:val="center"/>
              <w:rPr>
                <w:b/>
                <w:sz w:val="20"/>
              </w:rPr>
            </w:pPr>
            <w:r>
              <w:rPr>
                <w:b/>
                <w:sz w:val="20"/>
              </w:rPr>
              <w:t>设备名称</w:t>
            </w:r>
          </w:p>
        </w:tc>
        <w:tc>
          <w:tcPr>
            <w:tcW w:w="1084" w:type="dxa"/>
            <w:vAlign w:val="center"/>
          </w:tcPr>
          <w:p>
            <w:pPr>
              <w:jc w:val="center"/>
              <w:rPr>
                <w:b/>
                <w:sz w:val="20"/>
              </w:rPr>
            </w:pPr>
            <w:r>
              <w:rPr>
                <w:b/>
                <w:sz w:val="20"/>
              </w:rPr>
              <w:t>数量</w:t>
            </w:r>
          </w:p>
        </w:tc>
        <w:tc>
          <w:tcPr>
            <w:tcW w:w="4918" w:type="dxa"/>
            <w:vAlign w:val="center"/>
          </w:tcPr>
          <w:p>
            <w:pPr>
              <w:jc w:val="center"/>
              <w:rPr>
                <w:b/>
                <w:sz w:val="20"/>
              </w:rPr>
            </w:pPr>
            <w:r>
              <w:rPr>
                <w:b/>
                <w:sz w:val="20"/>
              </w:rPr>
              <w:t>备注</w:t>
            </w:r>
          </w:p>
        </w:tc>
      </w:tr>
      <w:tr>
        <w:tblPrEx>
          <w:tblW w:w="4660" w:type="pct"/>
          <w:jc w:val="center"/>
          <w:tblLayout w:type="fixed"/>
          <w:tblCellMar>
            <w:top w:w="0" w:type="dxa"/>
            <w:left w:w="108" w:type="dxa"/>
            <w:bottom w:w="0" w:type="dxa"/>
            <w:right w:w="108" w:type="dxa"/>
          </w:tblCellMar>
        </w:tblPrEx>
        <w:trPr>
          <w:trHeight w:val="285"/>
          <w:jc w:val="center"/>
        </w:trPr>
        <w:tc>
          <w:tcPr>
            <w:tcW w:w="924" w:type="dxa"/>
            <w:vAlign w:val="center"/>
          </w:tcPr>
          <w:p>
            <w:pPr>
              <w:rPr>
                <w:sz w:val="20"/>
              </w:rPr>
            </w:pPr>
            <w:r>
              <w:rPr>
                <w:sz w:val="20"/>
              </w:rPr>
              <w:t>1</w:t>
            </w:r>
          </w:p>
        </w:tc>
        <w:tc>
          <w:tcPr>
            <w:tcW w:w="1466" w:type="dxa"/>
            <w:vAlign w:val="center"/>
          </w:tcPr>
          <w:p>
            <w:pPr>
              <w:rPr>
                <w:rFonts w:eastAsia="宋体"/>
                <w:sz w:val="20"/>
              </w:rPr>
            </w:pPr>
            <w:r>
              <w:rPr>
                <w:sz w:val="20"/>
              </w:rPr>
              <w:t>雷达</w:t>
            </w:r>
            <w:r>
              <w:rPr>
                <w:rFonts w:hint="eastAsia"/>
                <w:sz w:val="20"/>
              </w:rPr>
              <w:t>主机</w:t>
            </w:r>
          </w:p>
        </w:tc>
        <w:tc>
          <w:tcPr>
            <w:tcW w:w="1084" w:type="dxa"/>
            <w:vAlign w:val="center"/>
          </w:tcPr>
          <w:p>
            <w:pPr>
              <w:rPr>
                <w:sz w:val="20"/>
              </w:rPr>
            </w:pPr>
            <w:r>
              <w:rPr>
                <w:sz w:val="20"/>
              </w:rPr>
              <w:t>1</w:t>
            </w:r>
          </w:p>
        </w:tc>
        <w:tc>
          <w:tcPr>
            <w:tcW w:w="4918" w:type="dxa"/>
            <w:vAlign w:val="center"/>
          </w:tcPr>
          <w:p>
            <w:pPr>
              <w:rPr>
                <w:sz w:val="20"/>
              </w:rPr>
            </w:pPr>
            <w:r>
              <w:rPr>
                <w:rFonts w:hint="eastAsia"/>
                <w:sz w:val="20"/>
              </w:rPr>
              <w:t>包括激光器及发射单位、光学接收单元、探测单元、采集软件和分析软件、UPS电源等</w:t>
            </w:r>
          </w:p>
        </w:tc>
      </w:tr>
      <w:tr>
        <w:tblPrEx>
          <w:tblW w:w="4660" w:type="pct"/>
          <w:jc w:val="center"/>
          <w:tblLayout w:type="fixed"/>
          <w:tblCellMar>
            <w:top w:w="0" w:type="dxa"/>
            <w:left w:w="108" w:type="dxa"/>
            <w:bottom w:w="0" w:type="dxa"/>
            <w:right w:w="108" w:type="dxa"/>
          </w:tblCellMar>
        </w:tblPrEx>
        <w:trPr>
          <w:trHeight w:val="285"/>
          <w:jc w:val="center"/>
        </w:trPr>
        <w:tc>
          <w:tcPr>
            <w:tcW w:w="924" w:type="dxa"/>
            <w:vAlign w:val="center"/>
          </w:tcPr>
          <w:p>
            <w:pPr>
              <w:rPr>
                <w:sz w:val="20"/>
              </w:rPr>
            </w:pPr>
            <w:r>
              <w:rPr>
                <w:sz w:val="20"/>
              </w:rPr>
              <w:t>2</w:t>
            </w:r>
          </w:p>
        </w:tc>
        <w:tc>
          <w:tcPr>
            <w:tcW w:w="1466" w:type="dxa"/>
            <w:vAlign w:val="center"/>
          </w:tcPr>
          <w:p>
            <w:pPr>
              <w:rPr>
                <w:sz w:val="20"/>
              </w:rPr>
            </w:pPr>
            <w:r>
              <w:rPr>
                <w:sz w:val="20"/>
              </w:rPr>
              <w:t>方舱</w:t>
            </w:r>
          </w:p>
        </w:tc>
        <w:tc>
          <w:tcPr>
            <w:tcW w:w="1084" w:type="dxa"/>
            <w:vAlign w:val="center"/>
          </w:tcPr>
          <w:p>
            <w:pPr>
              <w:rPr>
                <w:sz w:val="20"/>
              </w:rPr>
            </w:pPr>
            <w:r>
              <w:rPr>
                <w:sz w:val="20"/>
              </w:rPr>
              <w:t>1</w:t>
            </w:r>
          </w:p>
        </w:tc>
        <w:tc>
          <w:tcPr>
            <w:tcW w:w="4918" w:type="dxa"/>
            <w:vAlign w:val="center"/>
          </w:tcPr>
          <w:p>
            <w:pPr>
              <w:rPr>
                <w:rFonts w:eastAsia="宋体"/>
                <w:sz w:val="20"/>
              </w:rPr>
            </w:pPr>
            <w:r>
              <w:rPr>
                <w:rFonts w:hint="eastAsia"/>
                <w:sz w:val="20"/>
              </w:rPr>
              <w:t>方舱带有配电柜、空调、稳压电源、天窗、自动吹扫加热装置等。</w:t>
            </w:r>
          </w:p>
        </w:tc>
      </w:tr>
      <w:tr>
        <w:tblPrEx>
          <w:tblW w:w="4660" w:type="pct"/>
          <w:jc w:val="center"/>
          <w:tblLayout w:type="fixed"/>
          <w:tblCellMar>
            <w:top w:w="0" w:type="dxa"/>
            <w:left w:w="108" w:type="dxa"/>
            <w:bottom w:w="0" w:type="dxa"/>
            <w:right w:w="108" w:type="dxa"/>
          </w:tblCellMar>
        </w:tblPrEx>
        <w:trPr>
          <w:trHeight w:val="285"/>
          <w:jc w:val="center"/>
        </w:trPr>
        <w:tc>
          <w:tcPr>
            <w:tcW w:w="924" w:type="dxa"/>
            <w:vAlign w:val="center"/>
          </w:tcPr>
          <w:p>
            <w:pPr>
              <w:rPr>
                <w:sz w:val="20"/>
              </w:rPr>
            </w:pPr>
            <w:r>
              <w:rPr>
                <w:sz w:val="20"/>
              </w:rPr>
              <w:t>3</w:t>
            </w:r>
          </w:p>
        </w:tc>
        <w:tc>
          <w:tcPr>
            <w:tcW w:w="1466" w:type="dxa"/>
            <w:vAlign w:val="center"/>
          </w:tcPr>
          <w:p>
            <w:pPr>
              <w:rPr>
                <w:sz w:val="20"/>
              </w:rPr>
            </w:pPr>
            <w:r>
              <w:rPr>
                <w:sz w:val="20"/>
              </w:rPr>
              <w:t>附属设备</w:t>
            </w:r>
          </w:p>
        </w:tc>
        <w:tc>
          <w:tcPr>
            <w:tcW w:w="1084" w:type="dxa"/>
            <w:vAlign w:val="center"/>
          </w:tcPr>
          <w:p>
            <w:pPr>
              <w:rPr>
                <w:sz w:val="20"/>
              </w:rPr>
            </w:pPr>
            <w:r>
              <w:rPr>
                <w:sz w:val="20"/>
              </w:rPr>
              <w:t>1</w:t>
            </w:r>
          </w:p>
        </w:tc>
        <w:tc>
          <w:tcPr>
            <w:tcW w:w="4918" w:type="dxa"/>
            <w:vAlign w:val="center"/>
          </w:tcPr>
          <w:p>
            <w:pPr>
              <w:rPr>
                <w:sz w:val="20"/>
              </w:rPr>
            </w:pPr>
            <w:r>
              <w:rPr>
                <w:sz w:val="20"/>
              </w:rPr>
              <w:t>含供电、通信、防雷等</w:t>
            </w:r>
          </w:p>
        </w:tc>
      </w:tr>
    </w:tbl>
    <w:p>
      <w:pPr>
        <w:spacing w:line="360" w:lineRule="auto"/>
        <w:rPr>
          <w:rFonts w:ascii="宋体" w:hAnsi="宋体" w:hint="eastAsia"/>
          <w:szCs w:val="21"/>
        </w:rPr>
      </w:pPr>
    </w:p>
    <w:p>
      <w:pPr>
        <w:spacing w:line="360" w:lineRule="auto"/>
        <w:ind w:firstLine="420" w:firstLineChars="200"/>
        <w:rPr>
          <w:rFonts w:ascii="宋体" w:hAnsi="宋体" w:hint="eastAsia"/>
          <w:szCs w:val="21"/>
        </w:rPr>
      </w:pPr>
      <w:r>
        <w:rPr>
          <w:rFonts w:ascii="宋体" w:hAnsi="宋体" w:hint="eastAsia"/>
          <w:szCs w:val="21"/>
        </w:rPr>
        <w:t>3.1技术指标要求</w:t>
      </w:r>
    </w:p>
    <w:p>
      <w:pPr>
        <w:spacing w:line="360" w:lineRule="auto"/>
        <w:jc w:val="center"/>
        <w:rPr>
          <w:rFonts w:ascii="宋体" w:eastAsia="宋体" w:hAnsi="宋体" w:cs="Times New Roman" w:hint="eastAsia"/>
          <w:szCs w:val="21"/>
        </w:rPr>
      </w:pPr>
      <w:r>
        <w:rPr>
          <w:rFonts w:ascii="宋体" w:eastAsia="宋体" w:hAnsi="宋体" w:cs="Times New Roman"/>
          <w:szCs w:val="21"/>
        </w:rPr>
        <w:t>拉曼激光雷达总体技术性能要求</w:t>
      </w:r>
    </w:p>
    <w:tbl>
      <w:tblPr>
        <w:tblStyle w:val="TableNormal"/>
        <w:tblW w:w="492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19"/>
        <w:gridCol w:w="2937"/>
        <w:gridCol w:w="4143"/>
      </w:tblGrid>
      <w:tr>
        <w:tblPrEx>
          <w:tblW w:w="492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56"/>
        </w:trPr>
        <w:tc>
          <w:tcPr>
            <w:tcW w:w="785" w:type="pct"/>
            <w:vAlign w:val="center"/>
          </w:tcPr>
          <w:p>
            <w:pPr>
              <w:pStyle w:val="NormalIndent"/>
              <w:ind w:firstLine="0" w:firstLineChars="0"/>
              <w:jc w:val="center"/>
              <w:rPr>
                <w:rFonts w:ascii="Times New Roman" w:hAnsi="Times New Roman"/>
                <w:b/>
              </w:rPr>
            </w:pPr>
            <w:r>
              <w:rPr>
                <w:rFonts w:ascii="Times New Roman" w:hAnsi="Times New Roman"/>
                <w:b/>
              </w:rPr>
              <w:t>系统名称</w:t>
            </w:r>
          </w:p>
        </w:tc>
        <w:tc>
          <w:tcPr>
            <w:tcW w:w="1748" w:type="pct"/>
            <w:vAlign w:val="center"/>
          </w:tcPr>
          <w:p>
            <w:pPr>
              <w:pStyle w:val="NormalIndent"/>
              <w:ind w:firstLine="0" w:firstLineChars="0"/>
              <w:jc w:val="center"/>
              <w:rPr>
                <w:rFonts w:ascii="Times New Roman" w:hAnsi="Times New Roman"/>
                <w:b/>
              </w:rPr>
            </w:pPr>
            <w:r>
              <w:rPr>
                <w:rFonts w:ascii="Times New Roman" w:hAnsi="Times New Roman"/>
                <w:b/>
              </w:rPr>
              <w:t>指标</w:t>
            </w:r>
          </w:p>
        </w:tc>
        <w:tc>
          <w:tcPr>
            <w:tcW w:w="2466" w:type="pct"/>
            <w:vAlign w:val="center"/>
          </w:tcPr>
          <w:p>
            <w:pPr>
              <w:pStyle w:val="NormalIndent"/>
              <w:ind w:firstLine="0" w:firstLineChars="0"/>
              <w:jc w:val="center"/>
              <w:rPr>
                <w:rFonts w:ascii="Times New Roman" w:hAnsi="Times New Roman"/>
                <w:b/>
              </w:rPr>
            </w:pPr>
            <w:r>
              <w:rPr>
                <w:rFonts w:ascii="Times New Roman" w:hAnsi="Times New Roman"/>
                <w:b/>
              </w:rPr>
              <w:t>指标要求</w:t>
            </w:r>
          </w:p>
        </w:tc>
      </w:tr>
      <w:tr>
        <w:tblPrEx>
          <w:tblW w:w="4928" w:type="pct"/>
          <w:tblInd w:w="0" w:type="dxa"/>
          <w:tblCellMar>
            <w:top w:w="0" w:type="dxa"/>
            <w:left w:w="108" w:type="dxa"/>
            <w:bottom w:w="0" w:type="dxa"/>
            <w:right w:w="108" w:type="dxa"/>
          </w:tblCellMar>
        </w:tblPrEx>
        <w:trPr>
          <w:trHeight w:val="151"/>
        </w:trPr>
        <w:tc>
          <w:tcPr>
            <w:tcW w:w="785" w:type="pct"/>
            <w:vMerge w:val="restart"/>
            <w:vAlign w:val="center"/>
          </w:tcPr>
          <w:p>
            <w:pPr>
              <w:pStyle w:val="NormalIndent"/>
              <w:ind w:firstLine="0" w:firstLineChars="0"/>
              <w:jc w:val="center"/>
              <w:rPr>
                <w:rFonts w:ascii="Times New Roman" w:hAnsi="Times New Roman"/>
              </w:rPr>
            </w:pPr>
            <w:r>
              <w:rPr>
                <w:rFonts w:ascii="Times New Roman" w:hAnsi="Times New Roman"/>
              </w:rPr>
              <w:t>发射系统</w:t>
            </w:r>
          </w:p>
        </w:tc>
        <w:tc>
          <w:tcPr>
            <w:tcW w:w="1748" w:type="pct"/>
            <w:vAlign w:val="center"/>
          </w:tcPr>
          <w:p>
            <w:pPr>
              <w:pStyle w:val="NormalIndent"/>
              <w:ind w:firstLine="0" w:firstLineChars="0"/>
              <w:jc w:val="center"/>
              <w:rPr>
                <w:rFonts w:ascii="Times New Roman" w:hAnsi="Times New Roman"/>
              </w:rPr>
            </w:pPr>
            <w:r>
              <w:rPr>
                <w:rFonts w:ascii="Times New Roman" w:hAnsi="Times New Roman"/>
              </w:rPr>
              <w:t>工作波长</w:t>
            </w:r>
          </w:p>
        </w:tc>
        <w:tc>
          <w:tcPr>
            <w:tcW w:w="2466" w:type="pct"/>
            <w:vAlign w:val="center"/>
          </w:tcPr>
          <w:p>
            <w:pPr>
              <w:pStyle w:val="NormalIndent"/>
              <w:ind w:firstLine="0" w:firstLineChars="0"/>
              <w:jc w:val="center"/>
              <w:rPr>
                <w:rFonts w:ascii="Times New Roman" w:hAnsi="Times New Roman"/>
              </w:rPr>
            </w:pPr>
            <w:r>
              <w:rPr>
                <w:rFonts w:ascii="Times New Roman" w:hAnsi="Times New Roman"/>
              </w:rPr>
              <w:t>355nm，532nm，1064nm</w:t>
            </w:r>
          </w:p>
        </w:tc>
      </w:tr>
      <w:tr>
        <w:tblPrEx>
          <w:tblW w:w="4928" w:type="pct"/>
          <w:tblInd w:w="0" w:type="dxa"/>
          <w:tblCellMar>
            <w:top w:w="0" w:type="dxa"/>
            <w:left w:w="108" w:type="dxa"/>
            <w:bottom w:w="0" w:type="dxa"/>
            <w:right w:w="108" w:type="dxa"/>
          </w:tblCellMar>
        </w:tblPrEx>
        <w:trPr>
          <w:trHeight w:val="151"/>
        </w:trPr>
        <w:tc>
          <w:tcPr>
            <w:tcW w:w="785" w:type="pct"/>
            <w:vMerge/>
            <w:vAlign w:val="center"/>
          </w:tcPr>
          <w:p>
            <w:pPr>
              <w:pStyle w:val="NormalIndent"/>
              <w:ind w:firstLine="0" w:firstLineChars="0"/>
              <w:jc w:val="center"/>
              <w:rPr>
                <w:rFonts w:ascii="Times New Roman" w:hAnsi="Times New Roman"/>
              </w:rPr>
            </w:pPr>
          </w:p>
        </w:tc>
        <w:tc>
          <w:tcPr>
            <w:tcW w:w="1748" w:type="pct"/>
            <w:vAlign w:val="center"/>
          </w:tcPr>
          <w:p>
            <w:pPr>
              <w:pStyle w:val="NormalIndent"/>
              <w:ind w:firstLine="0" w:firstLineChars="0"/>
              <w:jc w:val="center"/>
              <w:rPr>
                <w:rFonts w:ascii="Times New Roman" w:hAnsi="Times New Roman"/>
              </w:rPr>
            </w:pPr>
            <w:r>
              <w:rPr>
                <w:rFonts w:ascii="Times New Roman" w:hAnsi="Times New Roman"/>
              </w:rPr>
              <w:t>激光器类型</w:t>
            </w:r>
          </w:p>
        </w:tc>
        <w:tc>
          <w:tcPr>
            <w:tcW w:w="2466" w:type="pct"/>
            <w:vAlign w:val="center"/>
          </w:tcPr>
          <w:p>
            <w:pPr>
              <w:pStyle w:val="NormalIndent"/>
              <w:ind w:firstLine="0" w:firstLineChars="0"/>
              <w:jc w:val="center"/>
              <w:rPr>
                <w:rFonts w:ascii="Times New Roman" w:hAnsi="Times New Roman"/>
              </w:rPr>
            </w:pPr>
            <w:r>
              <w:rPr>
                <w:rFonts w:ascii="Times New Roman" w:hAnsi="Times New Roman"/>
              </w:rPr>
              <w:t>二极管泵浦激光器</w:t>
            </w:r>
          </w:p>
        </w:tc>
      </w:tr>
      <w:tr>
        <w:tblPrEx>
          <w:tblW w:w="4928" w:type="pct"/>
          <w:tblInd w:w="0" w:type="dxa"/>
          <w:tblCellMar>
            <w:top w:w="0" w:type="dxa"/>
            <w:left w:w="108" w:type="dxa"/>
            <w:bottom w:w="0" w:type="dxa"/>
            <w:right w:w="108" w:type="dxa"/>
          </w:tblCellMar>
        </w:tblPrEx>
        <w:trPr>
          <w:trHeight w:val="151"/>
        </w:trPr>
        <w:tc>
          <w:tcPr>
            <w:tcW w:w="785" w:type="pct"/>
            <w:vMerge/>
            <w:vAlign w:val="center"/>
          </w:tcPr>
          <w:p>
            <w:pPr>
              <w:pStyle w:val="NormalIndent"/>
              <w:jc w:val="center"/>
              <w:rPr>
                <w:rFonts w:ascii="Times New Roman" w:hAnsi="Times New Roman"/>
              </w:rPr>
            </w:pPr>
          </w:p>
        </w:tc>
        <w:tc>
          <w:tcPr>
            <w:tcW w:w="1748" w:type="pct"/>
            <w:vAlign w:val="center"/>
          </w:tcPr>
          <w:p>
            <w:pPr>
              <w:pStyle w:val="NormalIndent"/>
              <w:ind w:firstLine="0" w:firstLineChars="0"/>
              <w:jc w:val="center"/>
              <w:rPr>
                <w:rFonts w:ascii="Times New Roman" w:hAnsi="Times New Roman"/>
              </w:rPr>
            </w:pPr>
            <w:r>
              <w:rPr>
                <w:rFonts w:ascii="等线" w:eastAsia="等线" w:hAnsi="等线" w:cs="等线" w:hint="eastAsia"/>
                <w:szCs w:val="21"/>
              </w:rPr>
              <w:t>#</w:t>
            </w:r>
            <w:r>
              <w:rPr>
                <w:rFonts w:ascii="Times New Roman" w:hAnsi="Times New Roman"/>
              </w:rPr>
              <w:t>激光功率</w:t>
            </w:r>
          </w:p>
        </w:tc>
        <w:tc>
          <w:tcPr>
            <w:tcW w:w="2466" w:type="pct"/>
            <w:vAlign w:val="center"/>
          </w:tcPr>
          <w:p>
            <w:pPr>
              <w:pStyle w:val="NormalIndent"/>
              <w:ind w:firstLine="0" w:firstLineChars="0"/>
              <w:jc w:val="center"/>
              <w:rPr>
                <w:rFonts w:ascii="Times New Roman" w:hAnsi="Times New Roman"/>
              </w:rPr>
            </w:pPr>
            <w:r>
              <w:rPr>
                <w:rFonts w:ascii="Times New Roman" w:hAnsi="Times New Roman"/>
              </w:rPr>
              <w:t>≥</w:t>
            </w:r>
            <w:r>
              <w:rPr>
                <w:rFonts w:ascii="Times New Roman" w:hAnsi="Times New Roman" w:hint="eastAsia"/>
              </w:rPr>
              <w:t>6</w:t>
            </w:r>
            <w:r>
              <w:rPr>
                <w:rFonts w:ascii="Times New Roman" w:hAnsi="Times New Roman"/>
              </w:rPr>
              <w:t>W@355 nm；</w:t>
            </w:r>
          </w:p>
          <w:p>
            <w:pPr>
              <w:pStyle w:val="NormalIndent"/>
              <w:ind w:firstLine="0" w:firstLineChars="0"/>
              <w:jc w:val="center"/>
              <w:rPr>
                <w:rFonts w:ascii="Times New Roman" w:hAnsi="Times New Roman"/>
              </w:rPr>
            </w:pPr>
            <w:r>
              <w:rPr>
                <w:rFonts w:ascii="Times New Roman" w:hAnsi="Times New Roman"/>
              </w:rPr>
              <w:t>≥2W@532 nm；</w:t>
            </w:r>
          </w:p>
          <w:p>
            <w:pPr>
              <w:pStyle w:val="NormalIndent"/>
              <w:ind w:firstLine="0" w:firstLineChars="0"/>
              <w:jc w:val="center"/>
              <w:rPr>
                <w:rFonts w:ascii="Times New Roman" w:hAnsi="Times New Roman"/>
              </w:rPr>
            </w:pPr>
            <w:r>
              <w:rPr>
                <w:rFonts w:ascii="Times New Roman" w:hAnsi="Times New Roman"/>
              </w:rPr>
              <w:t>≥2W@1064 nm</w:t>
            </w:r>
          </w:p>
        </w:tc>
      </w:tr>
      <w:tr>
        <w:tblPrEx>
          <w:tblW w:w="4928" w:type="pct"/>
          <w:tblInd w:w="0" w:type="dxa"/>
          <w:tblCellMar>
            <w:top w:w="0" w:type="dxa"/>
            <w:left w:w="108" w:type="dxa"/>
            <w:bottom w:w="0" w:type="dxa"/>
            <w:right w:w="108" w:type="dxa"/>
          </w:tblCellMar>
        </w:tblPrEx>
        <w:trPr>
          <w:trHeight w:val="405"/>
        </w:trPr>
        <w:tc>
          <w:tcPr>
            <w:tcW w:w="785" w:type="pct"/>
            <w:vMerge/>
            <w:vAlign w:val="center"/>
          </w:tcPr>
          <w:p>
            <w:pPr>
              <w:pStyle w:val="NormalIndent"/>
              <w:jc w:val="center"/>
              <w:rPr>
                <w:rFonts w:ascii="Times New Roman" w:hAnsi="Times New Roman"/>
              </w:rPr>
            </w:pPr>
          </w:p>
        </w:tc>
        <w:tc>
          <w:tcPr>
            <w:tcW w:w="1748" w:type="pct"/>
            <w:vAlign w:val="center"/>
          </w:tcPr>
          <w:p>
            <w:pPr>
              <w:pStyle w:val="NormalIndent"/>
              <w:ind w:firstLine="0" w:firstLineChars="0"/>
              <w:jc w:val="center"/>
              <w:rPr>
                <w:rFonts w:ascii="Times New Roman" w:hAnsi="Times New Roman"/>
              </w:rPr>
            </w:pPr>
            <w:r>
              <w:rPr>
                <w:rFonts w:ascii="Times New Roman" w:hAnsi="Times New Roman"/>
              </w:rPr>
              <w:t>#脉冲重复频率</w:t>
            </w:r>
          </w:p>
        </w:tc>
        <w:tc>
          <w:tcPr>
            <w:tcW w:w="2466" w:type="pct"/>
            <w:vAlign w:val="center"/>
          </w:tcPr>
          <w:p>
            <w:pPr>
              <w:pStyle w:val="NormalIndent"/>
              <w:ind w:firstLine="0" w:firstLineChars="0"/>
              <w:jc w:val="center"/>
              <w:rPr>
                <w:rFonts w:ascii="Times New Roman" w:hAnsi="Times New Roman"/>
              </w:rPr>
            </w:pPr>
            <w:r>
              <w:rPr>
                <w:rFonts w:ascii="Times New Roman" w:hAnsi="Times New Roman"/>
              </w:rPr>
              <w:t>≥100Hz</w:t>
            </w:r>
          </w:p>
        </w:tc>
      </w:tr>
      <w:tr>
        <w:tblPrEx>
          <w:tblW w:w="4928" w:type="pct"/>
          <w:tblInd w:w="0" w:type="dxa"/>
          <w:tblCellMar>
            <w:top w:w="0" w:type="dxa"/>
            <w:left w:w="108" w:type="dxa"/>
            <w:bottom w:w="0" w:type="dxa"/>
            <w:right w:w="108" w:type="dxa"/>
          </w:tblCellMar>
        </w:tblPrEx>
        <w:trPr>
          <w:trHeight w:val="405"/>
        </w:trPr>
        <w:tc>
          <w:tcPr>
            <w:tcW w:w="785" w:type="pct"/>
            <w:vMerge/>
            <w:vAlign w:val="center"/>
          </w:tcPr>
          <w:p>
            <w:pPr>
              <w:pStyle w:val="NormalIndent"/>
              <w:jc w:val="center"/>
              <w:rPr>
                <w:rFonts w:ascii="Times New Roman" w:hAnsi="Times New Roman"/>
              </w:rPr>
            </w:pPr>
          </w:p>
        </w:tc>
        <w:tc>
          <w:tcPr>
            <w:tcW w:w="1748" w:type="pct"/>
            <w:vAlign w:val="center"/>
          </w:tcPr>
          <w:p>
            <w:pPr>
              <w:pStyle w:val="NormalIndent"/>
              <w:ind w:firstLine="0" w:firstLineChars="0"/>
              <w:jc w:val="center"/>
              <w:rPr>
                <w:rFonts w:ascii="Times New Roman" w:hAnsi="Times New Roman"/>
              </w:rPr>
            </w:pPr>
            <w:r>
              <w:rPr>
                <w:rFonts w:ascii="Times New Roman" w:hAnsi="Times New Roman"/>
              </w:rPr>
              <w:t>脉冲宽度</w:t>
            </w:r>
          </w:p>
        </w:tc>
        <w:tc>
          <w:tcPr>
            <w:tcW w:w="2466" w:type="pct"/>
            <w:vAlign w:val="center"/>
          </w:tcPr>
          <w:p>
            <w:pPr>
              <w:pStyle w:val="NormalIndent"/>
              <w:jc w:val="center"/>
              <w:rPr>
                <w:rFonts w:ascii="Times New Roman" w:hAnsi="Times New Roman"/>
              </w:rPr>
            </w:pPr>
            <w:r>
              <w:rPr>
                <w:rFonts w:ascii="Times New Roman" w:hAnsi="Times New Roman"/>
              </w:rPr>
              <w:t>≤10ns@355nm&amp;532nm，</w:t>
            </w:r>
          </w:p>
          <w:p>
            <w:pPr>
              <w:pStyle w:val="NormalIndent"/>
              <w:jc w:val="center"/>
              <w:rPr>
                <w:rFonts w:ascii="Times New Roman" w:hAnsi="Times New Roman"/>
              </w:rPr>
            </w:pPr>
            <w:r>
              <w:rPr>
                <w:rFonts w:ascii="Times New Roman" w:hAnsi="Times New Roman"/>
              </w:rPr>
              <w:t>≤15ns@1064nm</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pStyle w:val="NormalIndent"/>
              <w:jc w:val="center"/>
              <w:rPr>
                <w:rFonts w:ascii="Times New Roman" w:hAnsi="Times New Roman"/>
              </w:rPr>
            </w:pPr>
          </w:p>
        </w:tc>
        <w:tc>
          <w:tcPr>
            <w:tcW w:w="1748" w:type="pct"/>
            <w:vAlign w:val="center"/>
          </w:tcPr>
          <w:p>
            <w:pPr>
              <w:pStyle w:val="NormalIndent"/>
              <w:ind w:firstLine="0" w:firstLineChars="0"/>
              <w:jc w:val="center"/>
              <w:rPr>
                <w:rFonts w:ascii="Times New Roman" w:hAnsi="Times New Roman"/>
              </w:rPr>
            </w:pPr>
            <w:r>
              <w:rPr>
                <w:rFonts w:ascii="Times New Roman" w:hAnsi="Times New Roman"/>
              </w:rPr>
              <w:t>激光发散角</w:t>
            </w:r>
          </w:p>
        </w:tc>
        <w:tc>
          <w:tcPr>
            <w:tcW w:w="2466" w:type="pct"/>
            <w:vAlign w:val="center"/>
          </w:tcPr>
          <w:p>
            <w:pPr>
              <w:pStyle w:val="NormalIndent"/>
              <w:ind w:firstLine="0" w:firstLineChars="0"/>
              <w:jc w:val="center"/>
              <w:rPr>
                <w:rFonts w:ascii="Times New Roman" w:hAnsi="Times New Roman"/>
              </w:rPr>
            </w:pPr>
            <w:bookmarkStart w:id="60" w:name="OLE_LINK1"/>
            <w:r>
              <w:rPr>
                <w:rFonts w:ascii="Times New Roman" w:hAnsi="Times New Roman"/>
              </w:rPr>
              <w:t>≤</w:t>
            </w:r>
            <w:bookmarkEnd w:id="60"/>
            <w:r>
              <w:rPr>
                <w:rFonts w:ascii="Times New Roman" w:hAnsi="Times New Roman"/>
              </w:rPr>
              <w:t>1mrad</w:t>
            </w:r>
          </w:p>
        </w:tc>
      </w:tr>
      <w:tr>
        <w:tblPrEx>
          <w:tblW w:w="4928" w:type="pct"/>
          <w:tblInd w:w="0" w:type="dxa"/>
          <w:tblCellMar>
            <w:top w:w="0" w:type="dxa"/>
            <w:left w:w="108" w:type="dxa"/>
            <w:bottom w:w="0" w:type="dxa"/>
            <w:right w:w="108" w:type="dxa"/>
          </w:tblCellMar>
        </w:tblPrEx>
        <w:trPr>
          <w:trHeight w:val="173"/>
        </w:trPr>
        <w:tc>
          <w:tcPr>
            <w:tcW w:w="785" w:type="pct"/>
            <w:vMerge w:val="restart"/>
            <w:vAlign w:val="center"/>
          </w:tcPr>
          <w:p>
            <w:pPr>
              <w:pStyle w:val="NormalIndent"/>
              <w:ind w:firstLine="0" w:firstLineChars="0"/>
              <w:jc w:val="center"/>
              <w:rPr>
                <w:rFonts w:ascii="Times New Roman" w:hAnsi="Times New Roman"/>
              </w:rPr>
            </w:pPr>
            <w:r>
              <w:rPr>
                <w:rFonts w:ascii="Times New Roman" w:hAnsi="Times New Roman"/>
              </w:rPr>
              <w:t>接收系统</w:t>
            </w:r>
          </w:p>
        </w:tc>
        <w:tc>
          <w:tcPr>
            <w:tcW w:w="1748" w:type="pct"/>
            <w:vAlign w:val="center"/>
          </w:tcPr>
          <w:p>
            <w:pPr>
              <w:pStyle w:val="NormalIndent"/>
              <w:ind w:firstLine="0" w:firstLineChars="0"/>
              <w:jc w:val="center"/>
              <w:rPr>
                <w:rFonts w:ascii="Times New Roman" w:hAnsi="Times New Roman"/>
              </w:rPr>
            </w:pPr>
            <w:r>
              <w:rPr>
                <w:rFonts w:ascii="Times New Roman" w:hAnsi="Times New Roman"/>
              </w:rPr>
              <w:t>望远镜类型</w:t>
            </w:r>
          </w:p>
        </w:tc>
        <w:tc>
          <w:tcPr>
            <w:tcW w:w="2466" w:type="pct"/>
            <w:vAlign w:val="center"/>
          </w:tcPr>
          <w:p>
            <w:pPr>
              <w:pStyle w:val="NormalIndent"/>
              <w:ind w:firstLine="0" w:firstLineChars="0"/>
              <w:jc w:val="center"/>
              <w:rPr>
                <w:rFonts w:ascii="Times New Roman" w:hAnsi="Times New Roman"/>
              </w:rPr>
            </w:pPr>
            <w:r>
              <w:rPr>
                <w:rFonts w:ascii="Times New Roman" w:hAnsi="Times New Roman"/>
              </w:rPr>
              <w:t>采用透射式或反射式望远镜</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pStyle w:val="NormalIndent"/>
              <w:jc w:val="center"/>
              <w:rPr>
                <w:rFonts w:ascii="Times New Roman" w:hAnsi="Times New Roman"/>
              </w:rPr>
            </w:pPr>
          </w:p>
        </w:tc>
        <w:tc>
          <w:tcPr>
            <w:tcW w:w="1748" w:type="pct"/>
            <w:vAlign w:val="center"/>
          </w:tcPr>
          <w:p>
            <w:pPr>
              <w:pStyle w:val="NormalIndent"/>
              <w:ind w:firstLine="0" w:firstLineChars="0"/>
              <w:jc w:val="center"/>
              <w:rPr>
                <w:rFonts w:ascii="Times New Roman" w:hAnsi="Times New Roman"/>
              </w:rPr>
            </w:pPr>
            <w:r>
              <w:rPr>
                <w:rFonts w:ascii="Times New Roman" w:hAnsi="Times New Roman"/>
              </w:rPr>
              <w:t>望远镜口径</w:t>
            </w:r>
          </w:p>
        </w:tc>
        <w:tc>
          <w:tcPr>
            <w:tcW w:w="2466" w:type="pct"/>
            <w:vAlign w:val="center"/>
          </w:tcPr>
          <w:p>
            <w:pPr>
              <w:pStyle w:val="NormalIndent"/>
              <w:ind w:firstLine="0" w:firstLineChars="0"/>
              <w:jc w:val="center"/>
              <w:rPr>
                <w:rFonts w:ascii="Times New Roman" w:hAnsi="Times New Roman"/>
              </w:rPr>
            </w:pPr>
            <w:r>
              <w:rPr>
                <w:rFonts w:ascii="Times New Roman" w:hAnsi="Times New Roman"/>
              </w:rPr>
              <w:t>≥300mm</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pStyle w:val="NormalIndent"/>
              <w:jc w:val="center"/>
              <w:rPr>
                <w:rFonts w:ascii="Times New Roman" w:hAnsi="Times New Roman"/>
              </w:rPr>
            </w:pPr>
          </w:p>
        </w:tc>
        <w:tc>
          <w:tcPr>
            <w:tcW w:w="1748" w:type="pct"/>
            <w:vAlign w:val="center"/>
          </w:tcPr>
          <w:p>
            <w:pPr>
              <w:pStyle w:val="NormalIndent"/>
              <w:ind w:firstLine="0" w:firstLineChars="0"/>
              <w:jc w:val="center"/>
              <w:rPr>
                <w:rFonts w:ascii="Times New Roman" w:hAnsi="Times New Roman"/>
              </w:rPr>
            </w:pPr>
            <w:r>
              <w:rPr>
                <w:rFonts w:ascii="Times New Roman" w:hAnsi="Times New Roman"/>
              </w:rPr>
              <w:t>接收视场角</w:t>
            </w:r>
          </w:p>
        </w:tc>
        <w:tc>
          <w:tcPr>
            <w:tcW w:w="2466" w:type="pct"/>
            <w:vAlign w:val="center"/>
          </w:tcPr>
          <w:p>
            <w:pPr>
              <w:pStyle w:val="NormalIndent"/>
              <w:ind w:firstLine="0" w:firstLineChars="0"/>
              <w:jc w:val="center"/>
              <w:rPr>
                <w:rFonts w:ascii="Times New Roman" w:hAnsi="Times New Roman"/>
              </w:rPr>
            </w:pPr>
            <w:r>
              <w:rPr>
                <w:rFonts w:ascii="Times New Roman" w:hAnsi="Times New Roman"/>
              </w:rPr>
              <w:t>≤1mrad</w:t>
            </w:r>
          </w:p>
        </w:tc>
      </w:tr>
      <w:tr>
        <w:tblPrEx>
          <w:tblW w:w="4928" w:type="pct"/>
          <w:tblInd w:w="0" w:type="dxa"/>
          <w:tblCellMar>
            <w:top w:w="0" w:type="dxa"/>
            <w:left w:w="108" w:type="dxa"/>
            <w:bottom w:w="0" w:type="dxa"/>
            <w:right w:w="108" w:type="dxa"/>
          </w:tblCellMar>
        </w:tblPrEx>
        <w:trPr>
          <w:trHeight w:val="354"/>
        </w:trPr>
        <w:tc>
          <w:tcPr>
            <w:tcW w:w="785" w:type="pct"/>
            <w:vMerge/>
            <w:vAlign w:val="center"/>
          </w:tcPr>
          <w:p>
            <w:pPr>
              <w:pStyle w:val="NormalIndent"/>
              <w:jc w:val="center"/>
              <w:rPr>
                <w:rFonts w:ascii="Times New Roman" w:hAnsi="Times New Roman"/>
              </w:rPr>
            </w:pPr>
          </w:p>
        </w:tc>
        <w:tc>
          <w:tcPr>
            <w:tcW w:w="1748" w:type="pct"/>
            <w:vAlign w:val="center"/>
          </w:tcPr>
          <w:p>
            <w:pPr>
              <w:pStyle w:val="NormalIndent"/>
              <w:ind w:firstLine="0" w:firstLineChars="0"/>
              <w:jc w:val="center"/>
              <w:rPr>
                <w:rFonts w:ascii="Times New Roman" w:hAnsi="Times New Roman"/>
              </w:rPr>
            </w:pPr>
            <w:r>
              <w:rPr>
                <w:rFonts w:ascii="Times New Roman" w:hAnsi="Times New Roman"/>
              </w:rPr>
              <w:t>接收通道</w:t>
            </w:r>
          </w:p>
        </w:tc>
        <w:tc>
          <w:tcPr>
            <w:tcW w:w="2466" w:type="pct"/>
            <w:vAlign w:val="center"/>
          </w:tcPr>
          <w:p>
            <w:pPr>
              <w:pStyle w:val="NormalIndent"/>
              <w:ind w:firstLine="0" w:firstLineChars="0"/>
              <w:jc w:val="center"/>
              <w:rPr>
                <w:rFonts w:ascii="Times New Roman" w:hAnsi="Times New Roman"/>
              </w:rPr>
            </w:pPr>
            <w:r>
              <w:rPr>
                <w:rFonts w:ascii="Times New Roman" w:hAnsi="Times New Roman"/>
              </w:rPr>
              <w:t>355nm垂直，355nm平行，532nm垂直，532nm平行，1064nm，386nm氮分子拉曼，407nm水汽分子拉曼，607nm氮分子拉曼，353nm和354nm 转动拉曼测温通道</w:t>
            </w:r>
          </w:p>
        </w:tc>
      </w:tr>
      <w:tr>
        <w:tblPrEx>
          <w:tblW w:w="4928" w:type="pct"/>
          <w:tblInd w:w="0" w:type="dxa"/>
          <w:tblCellMar>
            <w:top w:w="0" w:type="dxa"/>
            <w:left w:w="108" w:type="dxa"/>
            <w:bottom w:w="0" w:type="dxa"/>
            <w:right w:w="108" w:type="dxa"/>
          </w:tblCellMar>
        </w:tblPrEx>
        <w:trPr>
          <w:trHeight w:val="173"/>
        </w:trPr>
        <w:tc>
          <w:tcPr>
            <w:tcW w:w="785" w:type="pct"/>
            <w:vMerge w:val="restart"/>
            <w:vAlign w:val="center"/>
          </w:tcPr>
          <w:p>
            <w:pPr>
              <w:pStyle w:val="NormalIndent"/>
              <w:ind w:firstLine="0" w:firstLineChars="0"/>
              <w:jc w:val="center"/>
              <w:rPr>
                <w:rFonts w:ascii="Times New Roman" w:hAnsi="Times New Roman"/>
              </w:rPr>
            </w:pPr>
            <w:r>
              <w:rPr>
                <w:rFonts w:ascii="Times New Roman" w:hAnsi="Times New Roman"/>
              </w:rPr>
              <w:t>光电转换和数据采集系统</w:t>
            </w:r>
          </w:p>
        </w:tc>
        <w:tc>
          <w:tcPr>
            <w:tcW w:w="1748" w:type="pct"/>
            <w:vAlign w:val="center"/>
          </w:tcPr>
          <w:p>
            <w:pPr>
              <w:pStyle w:val="NormalIndent"/>
              <w:ind w:firstLine="0" w:firstLineChars="0"/>
              <w:jc w:val="center"/>
              <w:rPr>
                <w:rFonts w:ascii="Times New Roman" w:hAnsi="Times New Roman"/>
              </w:rPr>
            </w:pPr>
            <w:r>
              <w:rPr>
                <w:rFonts w:ascii="Times New Roman" w:hAnsi="Times New Roman"/>
              </w:rPr>
              <w:t>光电探测器类型</w:t>
            </w:r>
          </w:p>
        </w:tc>
        <w:tc>
          <w:tcPr>
            <w:tcW w:w="2466" w:type="pct"/>
            <w:vAlign w:val="center"/>
          </w:tcPr>
          <w:p>
            <w:pPr>
              <w:pStyle w:val="NormalIndent"/>
              <w:ind w:firstLine="0" w:firstLineChars="0"/>
              <w:jc w:val="center"/>
              <w:rPr>
                <w:rFonts w:ascii="Times New Roman" w:hAnsi="Times New Roman"/>
              </w:rPr>
            </w:pPr>
            <w:r>
              <w:rPr>
                <w:rFonts w:ascii="Times New Roman" w:hAnsi="Times New Roman"/>
              </w:rPr>
              <w:t>PMT、APD</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pStyle w:val="NormalIndent"/>
              <w:jc w:val="center"/>
              <w:rPr>
                <w:rFonts w:ascii="Times New Roman" w:hAnsi="Times New Roman"/>
              </w:rPr>
            </w:pPr>
          </w:p>
        </w:tc>
        <w:tc>
          <w:tcPr>
            <w:tcW w:w="1748" w:type="pct"/>
            <w:vAlign w:val="center"/>
          </w:tcPr>
          <w:p>
            <w:pPr>
              <w:pStyle w:val="NormalIndent"/>
              <w:ind w:firstLine="0" w:firstLineChars="0"/>
              <w:jc w:val="center"/>
              <w:rPr>
                <w:rFonts w:ascii="Times New Roman" w:hAnsi="Times New Roman"/>
              </w:rPr>
            </w:pPr>
            <w:r>
              <w:rPr>
                <w:rFonts w:ascii="Times New Roman" w:hAnsi="Times New Roman"/>
              </w:rPr>
              <w:t>光电探测器模式</w:t>
            </w:r>
          </w:p>
        </w:tc>
        <w:tc>
          <w:tcPr>
            <w:tcW w:w="2466" w:type="pct"/>
            <w:vAlign w:val="center"/>
          </w:tcPr>
          <w:p>
            <w:pPr>
              <w:pStyle w:val="NormalIndent"/>
              <w:ind w:firstLine="0" w:firstLineChars="0"/>
              <w:jc w:val="center"/>
              <w:rPr>
                <w:rFonts w:ascii="Times New Roman" w:hAnsi="Times New Roman"/>
              </w:rPr>
            </w:pPr>
            <w:r>
              <w:rPr>
                <w:rFonts w:ascii="Times New Roman" w:hAnsi="Times New Roman" w:hint="eastAsia"/>
              </w:rPr>
              <w:t>模拟或</w:t>
            </w:r>
            <w:r>
              <w:rPr>
                <w:rFonts w:ascii="Times New Roman" w:hAnsi="Times New Roman"/>
              </w:rPr>
              <w:t>光子计数</w:t>
            </w:r>
          </w:p>
        </w:tc>
      </w:tr>
      <w:tr>
        <w:tblPrEx>
          <w:tblW w:w="4928" w:type="pct"/>
          <w:tblInd w:w="0" w:type="dxa"/>
          <w:tblCellMar>
            <w:top w:w="0" w:type="dxa"/>
            <w:left w:w="108" w:type="dxa"/>
            <w:bottom w:w="0" w:type="dxa"/>
            <w:right w:w="108" w:type="dxa"/>
          </w:tblCellMar>
        </w:tblPrEx>
        <w:trPr>
          <w:trHeight w:val="90"/>
        </w:trPr>
        <w:tc>
          <w:tcPr>
            <w:tcW w:w="785" w:type="pct"/>
            <w:vMerge/>
            <w:vAlign w:val="center"/>
          </w:tcPr>
          <w:p>
            <w:pPr>
              <w:pStyle w:val="NormalIndent"/>
              <w:jc w:val="center"/>
              <w:rPr>
                <w:rFonts w:ascii="Times New Roman" w:hAnsi="Times New Roman"/>
              </w:rPr>
            </w:pPr>
          </w:p>
        </w:tc>
        <w:tc>
          <w:tcPr>
            <w:tcW w:w="1748" w:type="pct"/>
            <w:vAlign w:val="center"/>
          </w:tcPr>
          <w:p>
            <w:pPr>
              <w:pStyle w:val="NormalIndent"/>
              <w:ind w:firstLine="0" w:firstLineChars="0"/>
              <w:jc w:val="center"/>
              <w:rPr>
                <w:rFonts w:ascii="Times New Roman" w:hAnsi="Times New Roman"/>
              </w:rPr>
            </w:pPr>
            <w:r>
              <w:rPr>
                <w:rFonts w:ascii="Times New Roman" w:hAnsi="Times New Roman"/>
              </w:rPr>
              <w:t>采样位数</w:t>
            </w:r>
          </w:p>
        </w:tc>
        <w:tc>
          <w:tcPr>
            <w:tcW w:w="2466" w:type="pct"/>
            <w:vAlign w:val="center"/>
          </w:tcPr>
          <w:p>
            <w:pPr>
              <w:pStyle w:val="NormalIndent"/>
              <w:ind w:firstLine="0" w:firstLineChars="0"/>
              <w:jc w:val="center"/>
              <w:rPr>
                <w:rFonts w:ascii="Times New Roman" w:hAnsi="Times New Roman"/>
              </w:rPr>
            </w:pPr>
            <w:r>
              <w:rPr>
                <w:rFonts w:ascii="Times New Roman" w:hAnsi="Times New Roman"/>
              </w:rPr>
              <w:t>光子计数通道：200 Mc/s</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pStyle w:val="NormalIndent"/>
              <w:jc w:val="center"/>
              <w:rPr>
                <w:rFonts w:ascii="Times New Roman" w:hAnsi="Times New Roman"/>
              </w:rPr>
            </w:pPr>
          </w:p>
        </w:tc>
        <w:tc>
          <w:tcPr>
            <w:tcW w:w="1748" w:type="pct"/>
            <w:vAlign w:val="center"/>
          </w:tcPr>
          <w:p>
            <w:pPr>
              <w:pStyle w:val="NormalIndent"/>
              <w:ind w:firstLine="0" w:firstLineChars="0"/>
              <w:jc w:val="center"/>
              <w:rPr>
                <w:rFonts w:ascii="Times New Roman" w:hAnsi="Times New Roman"/>
              </w:rPr>
            </w:pPr>
            <w:r>
              <w:rPr>
                <w:rFonts w:ascii="Times New Roman" w:hAnsi="Times New Roman"/>
              </w:rPr>
              <w:t>分光方式</w:t>
            </w:r>
          </w:p>
        </w:tc>
        <w:tc>
          <w:tcPr>
            <w:tcW w:w="2466" w:type="pct"/>
            <w:vAlign w:val="center"/>
          </w:tcPr>
          <w:p>
            <w:pPr>
              <w:pStyle w:val="NormalIndent"/>
              <w:ind w:firstLine="0" w:firstLineChars="0"/>
              <w:jc w:val="center"/>
              <w:rPr>
                <w:rFonts w:ascii="Times New Roman" w:hAnsi="Times New Roman"/>
              </w:rPr>
            </w:pPr>
            <w:r>
              <w:rPr>
                <w:rFonts w:ascii="Times New Roman" w:hAnsi="Times New Roman"/>
              </w:rPr>
              <w:t>干涉滤光片分光</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pStyle w:val="NormalIndent"/>
              <w:jc w:val="center"/>
              <w:rPr>
                <w:rFonts w:ascii="Times New Roman" w:hAnsi="Times New Roman"/>
              </w:rPr>
            </w:pPr>
          </w:p>
        </w:tc>
        <w:tc>
          <w:tcPr>
            <w:tcW w:w="1748" w:type="pct"/>
            <w:vAlign w:val="center"/>
          </w:tcPr>
          <w:p>
            <w:pPr>
              <w:pStyle w:val="a2"/>
              <w:spacing w:line="240" w:lineRule="auto"/>
              <w:rPr>
                <w:rFonts w:ascii="Times New Roman" w:hAnsi="Times New Roman"/>
                <w:color w:val="auto"/>
                <w:sz w:val="21"/>
                <w:szCs w:val="22"/>
              </w:rPr>
            </w:pPr>
            <w:r>
              <w:rPr>
                <w:rFonts w:ascii="Times New Roman" w:hAnsi="Times New Roman" w:hint="eastAsia"/>
                <w:color w:val="auto"/>
                <w:sz w:val="21"/>
                <w:szCs w:val="22"/>
              </w:rPr>
              <w:t>弹性到拉曼通道（386，407，607）串扰</w:t>
            </w:r>
          </w:p>
        </w:tc>
        <w:tc>
          <w:tcPr>
            <w:tcW w:w="2466" w:type="pct"/>
            <w:vAlign w:val="center"/>
          </w:tcPr>
          <w:p>
            <w:pPr>
              <w:pStyle w:val="a2"/>
              <w:spacing w:line="240" w:lineRule="auto"/>
              <w:rPr>
                <w:rFonts w:ascii="等线" w:eastAsia="等线" w:hAnsi="等线" w:cs="等线" w:hint="eastAsia"/>
                <w:sz w:val="21"/>
                <w:szCs w:val="21"/>
              </w:rPr>
            </w:pPr>
            <w:r>
              <w:rPr>
                <w:rFonts w:ascii="等线" w:eastAsia="等线" w:hAnsi="等线" w:cs="等线" w:hint="eastAsia"/>
                <w:sz w:val="21"/>
                <w:szCs w:val="21"/>
              </w:rPr>
              <w:t xml:space="preserve">≤0.01% </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pStyle w:val="NormalIndent"/>
              <w:jc w:val="center"/>
              <w:rPr>
                <w:rFonts w:ascii="Times New Roman" w:hAnsi="Times New Roman"/>
              </w:rPr>
            </w:pPr>
          </w:p>
        </w:tc>
        <w:tc>
          <w:tcPr>
            <w:tcW w:w="1748" w:type="pct"/>
            <w:vAlign w:val="center"/>
          </w:tcPr>
          <w:p>
            <w:pPr>
              <w:pStyle w:val="NormalIndent"/>
              <w:ind w:firstLine="0" w:firstLineChars="0"/>
              <w:jc w:val="center"/>
              <w:rPr>
                <w:rFonts w:ascii="Times New Roman" w:hAnsi="Times New Roman"/>
              </w:rPr>
            </w:pPr>
            <w:r>
              <w:rPr>
                <w:rFonts w:ascii="Times New Roman" w:hAnsi="Times New Roman" w:hint="eastAsia"/>
              </w:rPr>
              <w:t>弹性到转动拉曼通道（测温通道）串扰</w:t>
            </w:r>
          </w:p>
        </w:tc>
        <w:tc>
          <w:tcPr>
            <w:tcW w:w="2466" w:type="pct"/>
            <w:vAlign w:val="center"/>
          </w:tcPr>
          <w:p>
            <w:pPr>
              <w:pStyle w:val="a2"/>
              <w:spacing w:line="240" w:lineRule="auto"/>
              <w:rPr>
                <w:rFonts w:ascii="等线" w:eastAsia="等线" w:hAnsi="等线" w:cs="等线" w:hint="eastAsia"/>
                <w:sz w:val="21"/>
                <w:szCs w:val="21"/>
              </w:rPr>
            </w:pPr>
            <w:r>
              <w:rPr>
                <w:rFonts w:ascii="等线" w:eastAsia="等线" w:hAnsi="等线" w:cs="等线" w:hint="eastAsia"/>
                <w:sz w:val="21"/>
                <w:szCs w:val="21"/>
              </w:rPr>
              <w:t>≤0.1%</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pStyle w:val="NormalIndent"/>
              <w:jc w:val="center"/>
              <w:rPr>
                <w:rFonts w:ascii="Times New Roman" w:hAnsi="Times New Roman"/>
              </w:rPr>
            </w:pPr>
          </w:p>
        </w:tc>
        <w:tc>
          <w:tcPr>
            <w:tcW w:w="1748" w:type="pct"/>
            <w:vAlign w:val="center"/>
          </w:tcPr>
          <w:p>
            <w:pPr>
              <w:pStyle w:val="NormalIndent"/>
              <w:ind w:firstLine="0" w:firstLineChars="0"/>
              <w:jc w:val="center"/>
              <w:rPr>
                <w:rFonts w:ascii="Times New Roman" w:hAnsi="Times New Roman"/>
              </w:rPr>
            </w:pPr>
            <w:r>
              <w:rPr>
                <w:rFonts w:ascii="Times New Roman" w:hAnsi="Times New Roman"/>
              </w:rPr>
              <w:t>#干涉滤光片带宽</w:t>
            </w:r>
          </w:p>
        </w:tc>
        <w:tc>
          <w:tcPr>
            <w:tcW w:w="2466" w:type="pct"/>
            <w:vAlign w:val="center"/>
          </w:tcPr>
          <w:p>
            <w:pPr>
              <w:pStyle w:val="NormalIndent"/>
              <w:ind w:firstLine="0" w:firstLineChars="0"/>
              <w:jc w:val="center"/>
              <w:rPr>
                <w:rFonts w:ascii="Times New Roman" w:hAnsi="Times New Roman"/>
              </w:rPr>
            </w:pPr>
            <w:r>
              <w:rPr>
                <w:rFonts w:ascii="Times New Roman" w:hAnsi="Times New Roman"/>
              </w:rPr>
              <w:t>带宽≤</w:t>
            </w:r>
            <w:r>
              <w:rPr>
                <w:rFonts w:ascii="Times New Roman" w:hAnsi="Times New Roman" w:hint="eastAsia"/>
              </w:rPr>
              <w:t>2</w:t>
            </w:r>
            <w:r>
              <w:rPr>
                <w:rFonts w:ascii="Times New Roman" w:hAnsi="Times New Roman"/>
              </w:rPr>
              <w:t>nm</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pStyle w:val="NormalIndent"/>
              <w:jc w:val="center"/>
              <w:rPr>
                <w:rFonts w:ascii="Times New Roman" w:hAnsi="Times New Roman"/>
              </w:rPr>
            </w:pPr>
          </w:p>
        </w:tc>
        <w:tc>
          <w:tcPr>
            <w:tcW w:w="1748" w:type="pct"/>
            <w:vAlign w:val="center"/>
          </w:tcPr>
          <w:p>
            <w:pPr>
              <w:pStyle w:val="NormalIndent"/>
              <w:ind w:firstLine="0" w:firstLineChars="0"/>
              <w:jc w:val="center"/>
              <w:rPr>
                <w:rFonts w:ascii="Times New Roman" w:hAnsi="Times New Roman"/>
              </w:rPr>
            </w:pPr>
            <w:r>
              <w:rPr>
                <w:rFonts w:ascii="Times New Roman" w:hAnsi="Times New Roman"/>
              </w:rPr>
              <w:t>干涉滤光片带宽抑制</w:t>
            </w:r>
          </w:p>
        </w:tc>
        <w:tc>
          <w:tcPr>
            <w:tcW w:w="2466" w:type="pct"/>
            <w:vAlign w:val="center"/>
          </w:tcPr>
          <w:p>
            <w:pPr>
              <w:pStyle w:val="NormalIndent"/>
              <w:ind w:firstLine="0" w:firstLineChars="0"/>
              <w:jc w:val="center"/>
              <w:rPr>
                <w:rFonts w:ascii="Times New Roman" w:hAnsi="Times New Roman"/>
              </w:rPr>
            </w:pPr>
            <w:r>
              <w:rPr>
                <w:rFonts w:ascii="Times New Roman" w:hAnsi="Times New Roman"/>
              </w:rPr>
              <w:t>＞OD</w:t>
            </w:r>
            <w:r>
              <w:rPr>
                <w:rFonts w:ascii="Times New Roman" w:hAnsi="Times New Roman" w:hint="eastAsia"/>
              </w:rPr>
              <w:t>6</w:t>
            </w:r>
          </w:p>
        </w:tc>
      </w:tr>
      <w:tr>
        <w:tblPrEx>
          <w:tblW w:w="4928" w:type="pct"/>
          <w:tblInd w:w="0" w:type="dxa"/>
          <w:tblCellMar>
            <w:top w:w="0" w:type="dxa"/>
            <w:left w:w="108" w:type="dxa"/>
            <w:bottom w:w="0" w:type="dxa"/>
            <w:right w:w="108" w:type="dxa"/>
          </w:tblCellMar>
        </w:tblPrEx>
        <w:trPr>
          <w:trHeight w:val="173"/>
        </w:trPr>
        <w:tc>
          <w:tcPr>
            <w:tcW w:w="785" w:type="pct"/>
            <w:vMerge w:val="restart"/>
            <w:vAlign w:val="center"/>
          </w:tcPr>
          <w:p>
            <w:pPr>
              <w:pStyle w:val="NormalIndent"/>
              <w:ind w:firstLine="0" w:firstLineChars="0"/>
              <w:jc w:val="center"/>
              <w:rPr>
                <w:rFonts w:ascii="Times New Roman" w:hAnsi="Times New Roman"/>
              </w:rPr>
            </w:pPr>
            <w:r>
              <w:rPr>
                <w:rFonts w:ascii="Times New Roman" w:hAnsi="Times New Roman"/>
              </w:rPr>
              <w:t>性能指标</w:t>
            </w:r>
          </w:p>
        </w:tc>
        <w:tc>
          <w:tcPr>
            <w:tcW w:w="1748" w:type="pct"/>
            <w:vAlign w:val="center"/>
          </w:tcPr>
          <w:p>
            <w:pPr>
              <w:pStyle w:val="NormalIndent"/>
              <w:ind w:firstLine="0" w:firstLineChars="0"/>
              <w:jc w:val="center"/>
              <w:rPr>
                <w:rFonts w:ascii="Times New Roman" w:hAnsi="Times New Roman"/>
              </w:rPr>
            </w:pPr>
            <w:r>
              <w:rPr>
                <w:rFonts w:ascii="Times New Roman" w:hAnsi="Times New Roman"/>
              </w:rPr>
              <w:t>#有效探测范围</w:t>
            </w:r>
          </w:p>
        </w:tc>
        <w:tc>
          <w:tcPr>
            <w:tcW w:w="2466" w:type="pct"/>
            <w:vAlign w:val="center"/>
          </w:tcPr>
          <w:p>
            <w:pPr>
              <w:pStyle w:val="NormalIndent"/>
              <w:jc w:val="center"/>
              <w:rPr>
                <w:rFonts w:ascii="Times New Roman" w:hAnsi="Times New Roman"/>
              </w:rPr>
            </w:pPr>
            <w:r>
              <w:rPr>
                <w:rFonts w:ascii="Times New Roman" w:hAnsi="Times New Roman"/>
              </w:rPr>
              <w:t>气溶胶通道：≥10km；</w:t>
            </w:r>
          </w:p>
          <w:p>
            <w:pPr>
              <w:pStyle w:val="NormalIndent"/>
              <w:ind w:firstLine="0" w:firstLineChars="0"/>
              <w:rPr>
                <w:rFonts w:ascii="Times New Roman" w:hAnsi="Times New Roman"/>
              </w:rPr>
            </w:pPr>
            <w:r>
              <w:rPr>
                <w:rFonts w:ascii="Times New Roman" w:hAnsi="Times New Roman"/>
              </w:rPr>
              <w:t>温度通道：白天≥3km，夜间≥10km；</w:t>
            </w:r>
          </w:p>
          <w:p>
            <w:pPr>
              <w:pStyle w:val="NormalIndent"/>
              <w:ind w:firstLine="0" w:firstLineChars="0"/>
              <w:jc w:val="center"/>
              <w:rPr>
                <w:rFonts w:ascii="Times New Roman" w:hAnsi="Times New Roman"/>
              </w:rPr>
            </w:pPr>
            <w:r>
              <w:rPr>
                <w:rFonts w:ascii="Times New Roman" w:hAnsi="Times New Roman"/>
              </w:rPr>
              <w:t>水汽通道：白天≥3km，夜间≥5km</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pStyle w:val="NormalIndent"/>
              <w:jc w:val="center"/>
              <w:rPr>
                <w:rFonts w:ascii="Times New Roman" w:hAnsi="Times New Roman"/>
              </w:rPr>
            </w:pPr>
          </w:p>
        </w:tc>
        <w:tc>
          <w:tcPr>
            <w:tcW w:w="1748" w:type="pct"/>
            <w:vAlign w:val="center"/>
          </w:tcPr>
          <w:p>
            <w:pPr>
              <w:pStyle w:val="NormalIndent"/>
              <w:ind w:firstLine="0" w:firstLineChars="0"/>
              <w:jc w:val="center"/>
              <w:rPr>
                <w:rFonts w:ascii="Times New Roman" w:hAnsi="Times New Roman"/>
              </w:rPr>
            </w:pPr>
            <w:r>
              <w:rPr>
                <w:rFonts w:ascii="Times New Roman" w:hAnsi="Times New Roman"/>
              </w:rPr>
              <w:t>空间分辨率</w:t>
            </w:r>
          </w:p>
        </w:tc>
        <w:tc>
          <w:tcPr>
            <w:tcW w:w="2466" w:type="pct"/>
            <w:vAlign w:val="center"/>
          </w:tcPr>
          <w:p>
            <w:pPr>
              <w:pStyle w:val="NormalIndent"/>
              <w:jc w:val="center"/>
              <w:rPr>
                <w:rFonts w:ascii="Times New Roman" w:hAnsi="Times New Roman"/>
              </w:rPr>
            </w:pPr>
            <w:r>
              <w:rPr>
                <w:rFonts w:ascii="Times New Roman" w:hAnsi="Times New Roman"/>
              </w:rPr>
              <w:t>15m及其倍数，可调</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pStyle w:val="NormalIndent"/>
              <w:jc w:val="center"/>
              <w:rPr>
                <w:rFonts w:ascii="Times New Roman" w:hAnsi="Times New Roman"/>
              </w:rPr>
            </w:pPr>
          </w:p>
        </w:tc>
        <w:tc>
          <w:tcPr>
            <w:tcW w:w="1748" w:type="pct"/>
            <w:vAlign w:val="center"/>
          </w:tcPr>
          <w:p>
            <w:pPr>
              <w:pStyle w:val="NormalIndent"/>
              <w:ind w:firstLine="0" w:firstLineChars="0"/>
              <w:jc w:val="center"/>
              <w:rPr>
                <w:rFonts w:ascii="Times New Roman" w:hAnsi="Times New Roman"/>
              </w:rPr>
            </w:pPr>
            <w:r>
              <w:rPr>
                <w:rFonts w:ascii="Times New Roman" w:hAnsi="Times New Roman"/>
              </w:rPr>
              <w:t>时间分辨率</w:t>
            </w:r>
          </w:p>
        </w:tc>
        <w:tc>
          <w:tcPr>
            <w:tcW w:w="2466" w:type="pct"/>
            <w:vAlign w:val="center"/>
          </w:tcPr>
          <w:p>
            <w:pPr>
              <w:pStyle w:val="NormalIndent"/>
              <w:ind w:firstLine="0" w:firstLineChars="0"/>
              <w:jc w:val="center"/>
              <w:rPr>
                <w:rFonts w:ascii="Times New Roman" w:hAnsi="Times New Roman"/>
              </w:rPr>
            </w:pPr>
            <w:r>
              <w:rPr>
                <w:rFonts w:ascii="Times New Roman" w:hAnsi="Times New Roman"/>
              </w:rPr>
              <w:t>1-30min可调</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pStyle w:val="NormalIndent"/>
              <w:jc w:val="center"/>
              <w:rPr>
                <w:rFonts w:ascii="Times New Roman" w:hAnsi="Times New Roman"/>
              </w:rPr>
            </w:pPr>
          </w:p>
        </w:tc>
        <w:tc>
          <w:tcPr>
            <w:tcW w:w="1748" w:type="pct"/>
            <w:vAlign w:val="center"/>
          </w:tcPr>
          <w:p>
            <w:pPr>
              <w:pStyle w:val="NormalIndent"/>
              <w:ind w:firstLine="0" w:firstLineChars="0"/>
              <w:jc w:val="center"/>
              <w:rPr>
                <w:rFonts w:ascii="Times New Roman" w:hAnsi="Times New Roman"/>
              </w:rPr>
            </w:pPr>
            <w:r>
              <w:rPr>
                <w:rFonts w:ascii="Times New Roman" w:hAnsi="Times New Roman"/>
              </w:rPr>
              <w:t xml:space="preserve">数据产品种类 </w:t>
            </w:r>
          </w:p>
        </w:tc>
        <w:tc>
          <w:tcPr>
            <w:tcW w:w="2466" w:type="pct"/>
            <w:vAlign w:val="center"/>
          </w:tcPr>
          <w:p>
            <w:pPr>
              <w:pStyle w:val="NormalIndent"/>
              <w:ind w:firstLine="0" w:firstLineChars="0"/>
              <w:jc w:val="center"/>
              <w:rPr>
                <w:rFonts w:ascii="Times New Roman" w:hAnsi="Times New Roman"/>
              </w:rPr>
            </w:pPr>
            <w:r>
              <w:rPr>
                <w:rFonts w:ascii="Times New Roman" w:hAnsi="Times New Roman"/>
              </w:rPr>
              <w:t>水汽混合比廓线、温度廓线、气溶胶消光系数、气溶胶后向散射系数、气溶胶粒子退偏振比、云信息、光学厚度、污染物混合层高度、能见度等、 PM2.5/PM10质量浓度、气溶胶和云相态分类、气溶胶色比，气溶胶激光雷达比，复折射率指数等</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pStyle w:val="NormalIndent"/>
              <w:jc w:val="center"/>
              <w:rPr>
                <w:rFonts w:ascii="Times New Roman" w:hAnsi="Times New Roman"/>
              </w:rPr>
            </w:pPr>
          </w:p>
        </w:tc>
        <w:tc>
          <w:tcPr>
            <w:tcW w:w="1748" w:type="pct"/>
            <w:vAlign w:val="center"/>
          </w:tcPr>
          <w:p>
            <w:pPr>
              <w:pStyle w:val="NormalIndent"/>
              <w:ind w:firstLine="0" w:firstLineChars="0"/>
              <w:jc w:val="center"/>
              <w:rPr>
                <w:rFonts w:ascii="Times New Roman" w:hAnsi="Times New Roman"/>
              </w:rPr>
            </w:pPr>
            <w:r>
              <w:rPr>
                <w:rFonts w:ascii="Times New Roman" w:hAnsi="Times New Roman"/>
              </w:rPr>
              <w:t>数据格式</w:t>
            </w:r>
          </w:p>
        </w:tc>
        <w:tc>
          <w:tcPr>
            <w:tcW w:w="2466" w:type="pct"/>
            <w:vAlign w:val="center"/>
          </w:tcPr>
          <w:p>
            <w:pPr>
              <w:pStyle w:val="NormalIndent"/>
              <w:ind w:firstLine="0" w:firstLineChars="0"/>
              <w:jc w:val="center"/>
              <w:rPr>
                <w:rFonts w:ascii="Times New Roman" w:hAnsi="Times New Roman"/>
              </w:rPr>
            </w:pPr>
            <w:r>
              <w:rPr>
                <w:rFonts w:ascii="Times New Roman" w:hAnsi="Times New Roman"/>
              </w:rPr>
              <w:t>按照中国气象局统一要求</w:t>
            </w:r>
          </w:p>
        </w:tc>
      </w:tr>
      <w:tr>
        <w:tblPrEx>
          <w:tblW w:w="4928" w:type="pct"/>
          <w:tblInd w:w="0" w:type="dxa"/>
          <w:tblCellMar>
            <w:top w:w="0" w:type="dxa"/>
            <w:left w:w="108" w:type="dxa"/>
            <w:bottom w:w="0" w:type="dxa"/>
            <w:right w:w="108" w:type="dxa"/>
          </w:tblCellMar>
        </w:tblPrEx>
        <w:trPr>
          <w:trHeight w:val="347"/>
        </w:trPr>
        <w:tc>
          <w:tcPr>
            <w:tcW w:w="785" w:type="pct"/>
            <w:vMerge/>
            <w:vAlign w:val="center"/>
          </w:tcPr>
          <w:p>
            <w:pPr>
              <w:pStyle w:val="NormalIndent"/>
              <w:jc w:val="center"/>
              <w:rPr>
                <w:rFonts w:ascii="Times New Roman" w:hAnsi="Times New Roman"/>
              </w:rPr>
            </w:pPr>
          </w:p>
        </w:tc>
        <w:tc>
          <w:tcPr>
            <w:tcW w:w="1748" w:type="pct"/>
            <w:vMerge w:val="restart"/>
            <w:vAlign w:val="center"/>
          </w:tcPr>
          <w:p>
            <w:pPr>
              <w:pStyle w:val="NormalIndent"/>
              <w:ind w:firstLine="0" w:firstLineChars="0"/>
              <w:jc w:val="center"/>
              <w:rPr>
                <w:rFonts w:ascii="Times New Roman" w:hAnsi="Times New Roman"/>
              </w:rPr>
            </w:pPr>
            <w:r>
              <w:rPr>
                <w:rFonts w:ascii="等线" w:eastAsia="等线" w:hAnsi="等线" w:cs="等线" w:hint="eastAsia"/>
                <w:b/>
                <w:bCs/>
                <w:szCs w:val="21"/>
              </w:rPr>
              <w:t>#</w:t>
            </w:r>
            <w:r>
              <w:rPr>
                <w:rFonts w:ascii="Times New Roman" w:hAnsi="Times New Roman"/>
              </w:rPr>
              <w:t>温度夜间探测精度</w:t>
            </w:r>
          </w:p>
        </w:tc>
        <w:tc>
          <w:tcPr>
            <w:tcW w:w="2466" w:type="pct"/>
            <w:vAlign w:val="center"/>
          </w:tcPr>
          <w:p>
            <w:pPr>
              <w:pStyle w:val="NormalIndent"/>
              <w:ind w:firstLine="0" w:firstLineChars="0"/>
              <w:jc w:val="center"/>
              <w:rPr>
                <w:rFonts w:ascii="Times New Roman" w:hAnsi="Times New Roman"/>
              </w:rPr>
            </w:pPr>
            <w:r>
              <w:rPr>
                <w:rFonts w:ascii="Times New Roman" w:hAnsi="Times New Roman"/>
              </w:rPr>
              <w:t>0.5-2km，温度平均偏差小于</w:t>
            </w:r>
            <w:r>
              <w:rPr>
                <w:rFonts w:ascii="Times New Roman" w:hAnsi="Times New Roman" w:hint="eastAsia"/>
              </w:rPr>
              <w:t>2</w:t>
            </w:r>
            <w:r>
              <w:rPr>
                <w:rFonts w:ascii="Times New Roman" w:hAnsi="Times New Roman"/>
              </w:rPr>
              <w:t>K</w:t>
            </w:r>
          </w:p>
        </w:tc>
      </w:tr>
      <w:tr>
        <w:tblPrEx>
          <w:tblW w:w="4928" w:type="pct"/>
          <w:tblInd w:w="0" w:type="dxa"/>
          <w:tblCellMar>
            <w:top w:w="0" w:type="dxa"/>
            <w:left w:w="108" w:type="dxa"/>
            <w:bottom w:w="0" w:type="dxa"/>
            <w:right w:w="108" w:type="dxa"/>
          </w:tblCellMar>
        </w:tblPrEx>
        <w:trPr>
          <w:trHeight w:val="347"/>
        </w:trPr>
        <w:tc>
          <w:tcPr>
            <w:tcW w:w="785" w:type="pct"/>
            <w:vMerge/>
            <w:vAlign w:val="center"/>
          </w:tcPr>
          <w:p>
            <w:pPr>
              <w:pStyle w:val="NormalIndent"/>
              <w:jc w:val="center"/>
              <w:rPr>
                <w:rFonts w:ascii="Times New Roman" w:hAnsi="Times New Roman"/>
              </w:rPr>
            </w:pPr>
          </w:p>
        </w:tc>
        <w:tc>
          <w:tcPr>
            <w:tcW w:w="1748" w:type="pct"/>
            <w:vMerge/>
            <w:vAlign w:val="center"/>
          </w:tcPr>
          <w:p>
            <w:pPr>
              <w:pStyle w:val="NormalIndent"/>
              <w:ind w:firstLine="0" w:firstLineChars="0"/>
              <w:jc w:val="center"/>
              <w:rPr>
                <w:rFonts w:ascii="Times New Roman" w:hAnsi="Times New Roman"/>
              </w:rPr>
            </w:pPr>
          </w:p>
        </w:tc>
        <w:tc>
          <w:tcPr>
            <w:tcW w:w="2466" w:type="pct"/>
            <w:vAlign w:val="center"/>
          </w:tcPr>
          <w:p>
            <w:pPr>
              <w:pStyle w:val="NormalIndent"/>
              <w:ind w:firstLine="0" w:firstLineChars="0"/>
              <w:jc w:val="center"/>
              <w:rPr>
                <w:rFonts w:ascii="Times New Roman" w:hAnsi="Times New Roman"/>
              </w:rPr>
            </w:pPr>
            <w:r>
              <w:rPr>
                <w:rFonts w:ascii="Times New Roman" w:hAnsi="Times New Roman"/>
              </w:rPr>
              <w:t>2-4km，温度平均偏差小于</w:t>
            </w:r>
            <w:r>
              <w:rPr>
                <w:rFonts w:ascii="Times New Roman" w:hAnsi="Times New Roman" w:hint="eastAsia"/>
              </w:rPr>
              <w:t>2</w:t>
            </w:r>
            <w:r>
              <w:rPr>
                <w:rFonts w:ascii="Times New Roman" w:hAnsi="Times New Roman"/>
              </w:rPr>
              <w:t>K</w:t>
            </w:r>
          </w:p>
        </w:tc>
      </w:tr>
      <w:tr>
        <w:tblPrEx>
          <w:tblW w:w="4928" w:type="pct"/>
          <w:tblInd w:w="0" w:type="dxa"/>
          <w:tblCellMar>
            <w:top w:w="0" w:type="dxa"/>
            <w:left w:w="108" w:type="dxa"/>
            <w:bottom w:w="0" w:type="dxa"/>
            <w:right w:w="108" w:type="dxa"/>
          </w:tblCellMar>
        </w:tblPrEx>
        <w:trPr>
          <w:trHeight w:val="347"/>
        </w:trPr>
        <w:tc>
          <w:tcPr>
            <w:tcW w:w="785" w:type="pct"/>
            <w:vMerge/>
            <w:vAlign w:val="center"/>
          </w:tcPr>
          <w:p>
            <w:pPr>
              <w:pStyle w:val="NormalIndent"/>
              <w:jc w:val="center"/>
              <w:rPr>
                <w:rFonts w:ascii="Times New Roman" w:hAnsi="Times New Roman"/>
              </w:rPr>
            </w:pPr>
          </w:p>
        </w:tc>
        <w:tc>
          <w:tcPr>
            <w:tcW w:w="1748" w:type="pct"/>
            <w:vMerge w:val="restart"/>
            <w:vAlign w:val="center"/>
          </w:tcPr>
          <w:p>
            <w:pPr>
              <w:pStyle w:val="NormalIndent"/>
              <w:ind w:firstLine="0" w:firstLineChars="0"/>
              <w:jc w:val="center"/>
              <w:rPr>
                <w:rFonts w:ascii="Times New Roman" w:hAnsi="Times New Roman"/>
              </w:rPr>
            </w:pPr>
            <w:r>
              <w:rPr>
                <w:rFonts w:ascii="等线" w:eastAsia="等线" w:hAnsi="等线" w:cs="等线" w:hint="eastAsia"/>
                <w:b/>
                <w:bCs/>
                <w:szCs w:val="21"/>
              </w:rPr>
              <w:t>#</w:t>
            </w:r>
            <w:r>
              <w:rPr>
                <w:rFonts w:ascii="Times New Roman" w:hAnsi="Times New Roman"/>
              </w:rPr>
              <w:t>温度白天探测精度</w:t>
            </w:r>
          </w:p>
        </w:tc>
        <w:tc>
          <w:tcPr>
            <w:tcW w:w="2466" w:type="pct"/>
            <w:vAlign w:val="center"/>
          </w:tcPr>
          <w:p>
            <w:pPr>
              <w:pStyle w:val="NormalIndent"/>
              <w:ind w:firstLine="0" w:firstLineChars="0"/>
              <w:jc w:val="center"/>
              <w:rPr>
                <w:rFonts w:ascii="Times New Roman" w:hAnsi="Times New Roman"/>
              </w:rPr>
            </w:pPr>
            <w:r>
              <w:rPr>
                <w:rFonts w:ascii="Times New Roman" w:hAnsi="Times New Roman"/>
              </w:rPr>
              <w:t>0.5-1.5km，温度平均偏差小于</w:t>
            </w:r>
            <w:r>
              <w:rPr>
                <w:rFonts w:ascii="Times New Roman" w:hAnsi="Times New Roman" w:hint="eastAsia"/>
              </w:rPr>
              <w:t>2</w:t>
            </w:r>
            <w:r>
              <w:rPr>
                <w:rFonts w:ascii="Times New Roman" w:hAnsi="Times New Roman"/>
              </w:rPr>
              <w:t>K</w:t>
            </w:r>
          </w:p>
        </w:tc>
      </w:tr>
      <w:tr>
        <w:tblPrEx>
          <w:tblW w:w="4928" w:type="pct"/>
          <w:tblInd w:w="0" w:type="dxa"/>
          <w:tblCellMar>
            <w:top w:w="0" w:type="dxa"/>
            <w:left w:w="108" w:type="dxa"/>
            <w:bottom w:w="0" w:type="dxa"/>
            <w:right w:w="108" w:type="dxa"/>
          </w:tblCellMar>
        </w:tblPrEx>
        <w:trPr>
          <w:trHeight w:val="347"/>
        </w:trPr>
        <w:tc>
          <w:tcPr>
            <w:tcW w:w="785" w:type="pct"/>
            <w:vMerge/>
            <w:vAlign w:val="center"/>
          </w:tcPr>
          <w:p>
            <w:pPr>
              <w:pStyle w:val="NormalIndent"/>
              <w:jc w:val="center"/>
              <w:rPr>
                <w:rFonts w:ascii="Times New Roman" w:hAnsi="Times New Roman"/>
              </w:rPr>
            </w:pPr>
          </w:p>
        </w:tc>
        <w:tc>
          <w:tcPr>
            <w:tcW w:w="1748" w:type="pct"/>
            <w:vMerge/>
            <w:vAlign w:val="center"/>
          </w:tcPr>
          <w:p>
            <w:pPr>
              <w:pStyle w:val="NormalIndent"/>
              <w:ind w:firstLine="0" w:firstLineChars="0"/>
              <w:jc w:val="center"/>
              <w:rPr>
                <w:rFonts w:ascii="Times New Roman" w:hAnsi="Times New Roman"/>
              </w:rPr>
            </w:pPr>
          </w:p>
        </w:tc>
        <w:tc>
          <w:tcPr>
            <w:tcW w:w="2466" w:type="pct"/>
            <w:vAlign w:val="center"/>
          </w:tcPr>
          <w:p>
            <w:pPr>
              <w:pStyle w:val="NormalIndent"/>
              <w:ind w:firstLine="0" w:firstLineChars="0"/>
              <w:jc w:val="center"/>
              <w:rPr>
                <w:rFonts w:ascii="Times New Roman" w:hAnsi="Times New Roman"/>
              </w:rPr>
            </w:pPr>
            <w:r>
              <w:rPr>
                <w:rFonts w:ascii="Times New Roman" w:hAnsi="Times New Roman"/>
              </w:rPr>
              <w:t>1.5-3km，温度平均偏差小于</w:t>
            </w:r>
            <w:r>
              <w:rPr>
                <w:rFonts w:ascii="Times New Roman" w:hAnsi="Times New Roman" w:hint="eastAsia"/>
              </w:rPr>
              <w:t>2</w:t>
            </w:r>
            <w:r>
              <w:rPr>
                <w:rFonts w:ascii="Times New Roman" w:hAnsi="Times New Roman"/>
              </w:rPr>
              <w:t>K</w:t>
            </w:r>
          </w:p>
        </w:tc>
      </w:tr>
      <w:tr>
        <w:tblPrEx>
          <w:tblW w:w="4928" w:type="pct"/>
          <w:tblInd w:w="0" w:type="dxa"/>
          <w:tblCellMar>
            <w:top w:w="0" w:type="dxa"/>
            <w:left w:w="108" w:type="dxa"/>
            <w:bottom w:w="0" w:type="dxa"/>
            <w:right w:w="108" w:type="dxa"/>
          </w:tblCellMar>
        </w:tblPrEx>
        <w:trPr>
          <w:trHeight w:val="347"/>
        </w:trPr>
        <w:tc>
          <w:tcPr>
            <w:tcW w:w="785" w:type="pct"/>
            <w:vMerge/>
            <w:vAlign w:val="center"/>
          </w:tcPr>
          <w:p>
            <w:pPr>
              <w:pStyle w:val="NormalIndent"/>
              <w:jc w:val="center"/>
              <w:rPr>
                <w:rFonts w:ascii="Times New Roman" w:hAnsi="Times New Roman"/>
              </w:rPr>
            </w:pPr>
          </w:p>
        </w:tc>
        <w:tc>
          <w:tcPr>
            <w:tcW w:w="1748" w:type="pct"/>
            <w:vMerge w:val="restart"/>
            <w:vAlign w:val="center"/>
          </w:tcPr>
          <w:p>
            <w:pPr>
              <w:pStyle w:val="NormalIndent"/>
              <w:ind w:firstLine="0" w:firstLineChars="0"/>
              <w:jc w:val="center"/>
              <w:rPr>
                <w:rFonts w:ascii="Times New Roman" w:hAnsi="Times New Roman"/>
              </w:rPr>
            </w:pPr>
            <w:r>
              <w:rPr>
                <w:rFonts w:ascii="等线" w:eastAsia="等线" w:hAnsi="等线" w:cs="等线" w:hint="eastAsia"/>
                <w:b/>
                <w:bCs/>
                <w:szCs w:val="21"/>
              </w:rPr>
              <w:t>#</w:t>
            </w:r>
            <w:r>
              <w:rPr>
                <w:rFonts w:ascii="Times New Roman" w:hAnsi="Times New Roman"/>
              </w:rPr>
              <w:t>水汽夜间探测精度</w:t>
            </w:r>
          </w:p>
        </w:tc>
        <w:tc>
          <w:tcPr>
            <w:tcW w:w="2466" w:type="pct"/>
            <w:vAlign w:val="center"/>
          </w:tcPr>
          <w:p>
            <w:pPr>
              <w:pStyle w:val="NormalIndent"/>
              <w:ind w:firstLine="0" w:firstLineChars="0"/>
              <w:jc w:val="center"/>
              <w:rPr>
                <w:rFonts w:ascii="Times New Roman" w:hAnsi="Times New Roman"/>
              </w:rPr>
            </w:pPr>
            <w:r>
              <w:rPr>
                <w:rFonts w:ascii="Times New Roman" w:hAnsi="Times New Roman"/>
              </w:rPr>
              <w:t>0.5-1km，相对湿度平均偏差小于</w:t>
            </w:r>
            <w:r>
              <w:rPr>
                <w:rFonts w:ascii="Times New Roman" w:hAnsi="Times New Roman" w:hint="eastAsia"/>
              </w:rPr>
              <w:t>15</w:t>
            </w:r>
            <w:r>
              <w:rPr>
                <w:rFonts w:ascii="Times New Roman" w:hAnsi="Times New Roman"/>
              </w:rPr>
              <w:t>%</w:t>
            </w:r>
          </w:p>
        </w:tc>
      </w:tr>
      <w:tr>
        <w:tblPrEx>
          <w:tblW w:w="4928" w:type="pct"/>
          <w:tblInd w:w="0" w:type="dxa"/>
          <w:tblCellMar>
            <w:top w:w="0" w:type="dxa"/>
            <w:left w:w="108" w:type="dxa"/>
            <w:bottom w:w="0" w:type="dxa"/>
            <w:right w:w="108" w:type="dxa"/>
          </w:tblCellMar>
        </w:tblPrEx>
        <w:trPr>
          <w:trHeight w:val="347"/>
        </w:trPr>
        <w:tc>
          <w:tcPr>
            <w:tcW w:w="785" w:type="pct"/>
            <w:vMerge/>
            <w:vAlign w:val="center"/>
          </w:tcPr>
          <w:p>
            <w:pPr>
              <w:pStyle w:val="NormalIndent"/>
              <w:jc w:val="center"/>
              <w:rPr>
                <w:rFonts w:ascii="Times New Roman" w:hAnsi="Times New Roman"/>
              </w:rPr>
            </w:pPr>
          </w:p>
        </w:tc>
        <w:tc>
          <w:tcPr>
            <w:tcW w:w="1748" w:type="pct"/>
            <w:vMerge/>
            <w:vAlign w:val="center"/>
          </w:tcPr>
          <w:p>
            <w:pPr>
              <w:pStyle w:val="NormalIndent"/>
              <w:ind w:firstLine="0" w:firstLineChars="0"/>
              <w:jc w:val="center"/>
              <w:rPr>
                <w:rFonts w:ascii="Times New Roman" w:hAnsi="Times New Roman"/>
              </w:rPr>
            </w:pPr>
          </w:p>
        </w:tc>
        <w:tc>
          <w:tcPr>
            <w:tcW w:w="2466" w:type="pct"/>
            <w:vAlign w:val="center"/>
          </w:tcPr>
          <w:p>
            <w:pPr>
              <w:pStyle w:val="NormalIndent"/>
              <w:ind w:firstLine="0" w:firstLineChars="0"/>
              <w:jc w:val="center"/>
              <w:rPr>
                <w:rFonts w:ascii="Times New Roman" w:hAnsi="Times New Roman"/>
              </w:rPr>
            </w:pPr>
            <w:r>
              <w:rPr>
                <w:rFonts w:ascii="Times New Roman" w:hAnsi="Times New Roman"/>
              </w:rPr>
              <w:t>1-3km，相对湿度平均偏差小于</w:t>
            </w:r>
            <w:r>
              <w:rPr>
                <w:rFonts w:ascii="Times New Roman" w:hAnsi="Times New Roman" w:hint="eastAsia"/>
              </w:rPr>
              <w:t>15</w:t>
            </w:r>
            <w:r>
              <w:rPr>
                <w:rFonts w:ascii="Times New Roman" w:hAnsi="Times New Roman"/>
              </w:rPr>
              <w:t>%</w:t>
            </w:r>
          </w:p>
        </w:tc>
      </w:tr>
      <w:tr>
        <w:tblPrEx>
          <w:tblW w:w="4928" w:type="pct"/>
          <w:tblInd w:w="0" w:type="dxa"/>
          <w:tblCellMar>
            <w:top w:w="0" w:type="dxa"/>
            <w:left w:w="108" w:type="dxa"/>
            <w:bottom w:w="0" w:type="dxa"/>
            <w:right w:w="108" w:type="dxa"/>
          </w:tblCellMar>
        </w:tblPrEx>
        <w:trPr>
          <w:trHeight w:val="347"/>
        </w:trPr>
        <w:tc>
          <w:tcPr>
            <w:tcW w:w="785" w:type="pct"/>
            <w:vMerge/>
            <w:vAlign w:val="center"/>
          </w:tcPr>
          <w:p>
            <w:pPr>
              <w:pStyle w:val="NormalIndent"/>
              <w:jc w:val="center"/>
              <w:rPr>
                <w:rFonts w:ascii="Times New Roman" w:hAnsi="Times New Roman"/>
              </w:rPr>
            </w:pPr>
          </w:p>
        </w:tc>
        <w:tc>
          <w:tcPr>
            <w:tcW w:w="1748" w:type="pct"/>
            <w:vMerge w:val="restart"/>
            <w:vAlign w:val="center"/>
          </w:tcPr>
          <w:p>
            <w:pPr>
              <w:pStyle w:val="NormalIndent"/>
              <w:ind w:firstLine="0" w:firstLineChars="0"/>
              <w:jc w:val="center"/>
              <w:rPr>
                <w:rFonts w:ascii="Times New Roman" w:hAnsi="Times New Roman"/>
              </w:rPr>
            </w:pPr>
            <w:r>
              <w:rPr>
                <w:rFonts w:ascii="等线" w:eastAsia="等线" w:hAnsi="等线" w:cs="等线" w:hint="eastAsia"/>
                <w:b/>
                <w:bCs/>
                <w:szCs w:val="21"/>
              </w:rPr>
              <w:t>#</w:t>
            </w:r>
            <w:r>
              <w:rPr>
                <w:rFonts w:ascii="Times New Roman" w:hAnsi="Times New Roman"/>
              </w:rPr>
              <w:t>水汽白天探测精度</w:t>
            </w:r>
          </w:p>
        </w:tc>
        <w:tc>
          <w:tcPr>
            <w:tcW w:w="2466" w:type="pct"/>
            <w:vAlign w:val="center"/>
          </w:tcPr>
          <w:p>
            <w:pPr>
              <w:pStyle w:val="NormalIndent"/>
              <w:ind w:firstLine="0" w:firstLineChars="0"/>
              <w:jc w:val="center"/>
              <w:rPr>
                <w:rFonts w:ascii="Times New Roman" w:hAnsi="Times New Roman"/>
              </w:rPr>
            </w:pPr>
            <w:r>
              <w:rPr>
                <w:rFonts w:ascii="Times New Roman" w:hAnsi="Times New Roman"/>
              </w:rPr>
              <w:t>0.5-1km，相对湿度平均偏差小于</w:t>
            </w:r>
            <w:r>
              <w:rPr>
                <w:rFonts w:ascii="Times New Roman" w:hAnsi="Times New Roman" w:hint="eastAsia"/>
              </w:rPr>
              <w:t>15</w:t>
            </w:r>
            <w:r>
              <w:rPr>
                <w:rFonts w:ascii="Times New Roman" w:hAnsi="Times New Roman"/>
              </w:rPr>
              <w:t>%</w:t>
            </w:r>
          </w:p>
        </w:tc>
      </w:tr>
      <w:tr>
        <w:tblPrEx>
          <w:tblW w:w="4928" w:type="pct"/>
          <w:tblInd w:w="0" w:type="dxa"/>
          <w:tblCellMar>
            <w:top w:w="0" w:type="dxa"/>
            <w:left w:w="108" w:type="dxa"/>
            <w:bottom w:w="0" w:type="dxa"/>
            <w:right w:w="108" w:type="dxa"/>
          </w:tblCellMar>
        </w:tblPrEx>
        <w:trPr>
          <w:trHeight w:val="347"/>
        </w:trPr>
        <w:tc>
          <w:tcPr>
            <w:tcW w:w="785" w:type="pct"/>
            <w:vMerge/>
            <w:vAlign w:val="center"/>
          </w:tcPr>
          <w:p>
            <w:pPr>
              <w:pStyle w:val="NormalIndent"/>
              <w:jc w:val="center"/>
              <w:rPr>
                <w:rFonts w:ascii="Times New Roman" w:hAnsi="Times New Roman"/>
              </w:rPr>
            </w:pPr>
          </w:p>
        </w:tc>
        <w:tc>
          <w:tcPr>
            <w:tcW w:w="1748" w:type="pct"/>
            <w:vMerge/>
            <w:vAlign w:val="center"/>
          </w:tcPr>
          <w:p>
            <w:pPr>
              <w:pStyle w:val="NormalIndent"/>
              <w:ind w:firstLine="0" w:firstLineChars="0"/>
              <w:jc w:val="center"/>
              <w:rPr>
                <w:rFonts w:ascii="Times New Roman" w:hAnsi="Times New Roman"/>
              </w:rPr>
            </w:pPr>
          </w:p>
        </w:tc>
        <w:tc>
          <w:tcPr>
            <w:tcW w:w="2466" w:type="pct"/>
            <w:vAlign w:val="center"/>
          </w:tcPr>
          <w:p>
            <w:pPr>
              <w:pStyle w:val="NormalIndent"/>
              <w:ind w:firstLine="0" w:firstLineChars="0"/>
              <w:jc w:val="center"/>
              <w:rPr>
                <w:rFonts w:ascii="Times New Roman" w:hAnsi="Times New Roman"/>
              </w:rPr>
            </w:pPr>
            <w:r>
              <w:rPr>
                <w:rFonts w:ascii="Times New Roman" w:hAnsi="Times New Roman"/>
              </w:rPr>
              <w:t>1-2km，相对湿度平均偏差小于</w:t>
            </w:r>
            <w:r>
              <w:rPr>
                <w:rFonts w:ascii="Times New Roman" w:hAnsi="Times New Roman" w:hint="eastAsia"/>
              </w:rPr>
              <w:t>15</w:t>
            </w:r>
            <w:r>
              <w:rPr>
                <w:rFonts w:ascii="Times New Roman" w:hAnsi="Times New Roman"/>
              </w:rPr>
              <w:t>%</w:t>
            </w:r>
          </w:p>
        </w:tc>
      </w:tr>
      <w:tr>
        <w:tblPrEx>
          <w:tblW w:w="4928" w:type="pct"/>
          <w:tblInd w:w="0" w:type="dxa"/>
          <w:tblCellMar>
            <w:top w:w="0" w:type="dxa"/>
            <w:left w:w="108" w:type="dxa"/>
            <w:bottom w:w="0" w:type="dxa"/>
            <w:right w:w="108" w:type="dxa"/>
          </w:tblCellMar>
        </w:tblPrEx>
        <w:trPr>
          <w:trHeight w:val="347"/>
        </w:trPr>
        <w:tc>
          <w:tcPr>
            <w:tcW w:w="785" w:type="pct"/>
            <w:vMerge/>
            <w:vAlign w:val="center"/>
          </w:tcPr>
          <w:p>
            <w:pPr>
              <w:pStyle w:val="NormalIndent"/>
              <w:jc w:val="center"/>
              <w:rPr>
                <w:rFonts w:ascii="Times New Roman" w:hAnsi="Times New Roman"/>
              </w:rPr>
            </w:pPr>
          </w:p>
        </w:tc>
        <w:tc>
          <w:tcPr>
            <w:tcW w:w="1748" w:type="pct"/>
            <w:vAlign w:val="center"/>
          </w:tcPr>
          <w:p>
            <w:pPr>
              <w:pStyle w:val="NormalIndent"/>
              <w:ind w:firstLine="0" w:firstLineChars="0"/>
              <w:jc w:val="center"/>
              <w:rPr>
                <w:rFonts w:ascii="等线" w:eastAsia="等线" w:hAnsi="等线" w:cs="等线" w:hint="eastAsia"/>
                <w:szCs w:val="21"/>
              </w:rPr>
            </w:pPr>
            <w:r>
              <w:rPr>
                <w:rFonts w:ascii="等线" w:eastAsia="等线" w:hAnsi="等线" w:cs="等线" w:hint="eastAsia"/>
                <w:szCs w:val="21"/>
              </w:rPr>
              <w:t>#气溶胶后向散射系数精度</w:t>
            </w:r>
          </w:p>
        </w:tc>
        <w:tc>
          <w:tcPr>
            <w:tcW w:w="2466" w:type="pct"/>
            <w:vAlign w:val="center"/>
          </w:tcPr>
          <w:p>
            <w:pPr>
              <w:pStyle w:val="a2"/>
              <w:spacing w:line="240" w:lineRule="auto"/>
              <w:rPr>
                <w:rFonts w:ascii="Times New Roman" w:hAnsi="Times New Roman"/>
                <w:color w:val="auto"/>
                <w:sz w:val="21"/>
                <w:szCs w:val="22"/>
              </w:rPr>
            </w:pPr>
            <w:r>
              <w:rPr>
                <w:rFonts w:ascii="Times New Roman" w:hAnsi="Times New Roman" w:hint="eastAsia"/>
                <w:color w:val="auto"/>
                <w:sz w:val="21"/>
                <w:szCs w:val="22"/>
              </w:rPr>
              <w:t>米散射：0.5-2 km：不大于20%，满足后向散射系数&gt;1×10-7时，2-5 km：不大于40%（不计入激光观测仪比误差）；</w:t>
            </w:r>
          </w:p>
          <w:p>
            <w:pPr>
              <w:pStyle w:val="a2"/>
              <w:spacing w:line="240" w:lineRule="auto"/>
              <w:rPr>
                <w:rFonts w:ascii="Times New Roman" w:hAnsi="Times New Roman"/>
                <w:color w:val="auto"/>
                <w:sz w:val="21"/>
                <w:szCs w:val="22"/>
              </w:rPr>
            </w:pPr>
            <w:r>
              <w:rPr>
                <w:rFonts w:ascii="Times New Roman" w:hAnsi="Times New Roman" w:hint="eastAsia"/>
                <w:color w:val="auto"/>
                <w:sz w:val="21"/>
                <w:szCs w:val="22"/>
              </w:rPr>
              <w:t>拉曼散射：0.5-2 km：不大于25%，2-5 km：不大于30%（不计入激光观测仪比误差）</w:t>
            </w:r>
          </w:p>
        </w:tc>
      </w:tr>
      <w:tr>
        <w:tblPrEx>
          <w:tblW w:w="4928" w:type="pct"/>
          <w:tblInd w:w="0" w:type="dxa"/>
          <w:tblCellMar>
            <w:top w:w="0" w:type="dxa"/>
            <w:left w:w="108" w:type="dxa"/>
            <w:bottom w:w="0" w:type="dxa"/>
            <w:right w:w="108" w:type="dxa"/>
          </w:tblCellMar>
        </w:tblPrEx>
        <w:trPr>
          <w:trHeight w:val="347"/>
        </w:trPr>
        <w:tc>
          <w:tcPr>
            <w:tcW w:w="785" w:type="pct"/>
            <w:vMerge/>
            <w:vAlign w:val="center"/>
          </w:tcPr>
          <w:p>
            <w:pPr>
              <w:pStyle w:val="NormalIndent"/>
              <w:jc w:val="center"/>
              <w:rPr>
                <w:rFonts w:ascii="Times New Roman" w:hAnsi="Times New Roman"/>
              </w:rPr>
            </w:pPr>
          </w:p>
        </w:tc>
        <w:tc>
          <w:tcPr>
            <w:tcW w:w="1748" w:type="pct"/>
            <w:vAlign w:val="center"/>
          </w:tcPr>
          <w:p>
            <w:pPr>
              <w:pStyle w:val="NormalIndent"/>
              <w:ind w:firstLine="0" w:firstLineChars="0"/>
              <w:jc w:val="center"/>
              <w:rPr>
                <w:rFonts w:ascii="等线" w:eastAsia="等线" w:hAnsi="等线" w:cs="等线" w:hint="eastAsia"/>
                <w:szCs w:val="21"/>
              </w:rPr>
            </w:pPr>
            <w:r>
              <w:rPr>
                <w:rFonts w:ascii="等线" w:eastAsia="等线" w:hAnsi="等线" w:cs="等线" w:hint="eastAsia"/>
                <w:szCs w:val="21"/>
              </w:rPr>
              <w:t>#气溶胶消光系数测量精度</w:t>
            </w:r>
          </w:p>
        </w:tc>
        <w:tc>
          <w:tcPr>
            <w:tcW w:w="2466" w:type="pct"/>
            <w:vAlign w:val="center"/>
          </w:tcPr>
          <w:p>
            <w:pPr>
              <w:pStyle w:val="a2"/>
              <w:spacing w:line="240" w:lineRule="auto"/>
              <w:rPr>
                <w:rFonts w:ascii="Times New Roman" w:hAnsi="Times New Roman"/>
                <w:color w:val="auto"/>
                <w:sz w:val="21"/>
                <w:szCs w:val="22"/>
              </w:rPr>
            </w:pPr>
            <w:r>
              <w:rPr>
                <w:rFonts w:ascii="Times New Roman" w:hAnsi="Times New Roman" w:hint="eastAsia"/>
                <w:color w:val="auto"/>
                <w:sz w:val="21"/>
                <w:szCs w:val="22"/>
              </w:rPr>
              <w:t>米散射：0.5-2 km：不大于20%，满足后向散射系数&gt;1×10-7时，2-5 km：不大于40%（不计入激光观测仪比误差）；</w:t>
            </w:r>
          </w:p>
          <w:p>
            <w:pPr>
              <w:pStyle w:val="a2"/>
              <w:spacing w:line="240" w:lineRule="auto"/>
              <w:rPr>
                <w:rFonts w:ascii="Times New Roman" w:hAnsi="Times New Roman"/>
                <w:color w:val="auto"/>
                <w:sz w:val="21"/>
                <w:szCs w:val="22"/>
              </w:rPr>
            </w:pPr>
            <w:r>
              <w:rPr>
                <w:rFonts w:ascii="Times New Roman" w:hAnsi="Times New Roman" w:hint="eastAsia"/>
                <w:color w:val="auto"/>
                <w:sz w:val="21"/>
                <w:szCs w:val="22"/>
              </w:rPr>
              <w:t>拉曼散射：0.5-2 km：不大于30%， 2-5 km：不大于40%；</w:t>
            </w:r>
          </w:p>
        </w:tc>
      </w:tr>
      <w:tr>
        <w:tblPrEx>
          <w:tblW w:w="4928" w:type="pct"/>
          <w:tblInd w:w="0" w:type="dxa"/>
          <w:tblCellMar>
            <w:top w:w="0" w:type="dxa"/>
            <w:left w:w="108" w:type="dxa"/>
            <w:bottom w:w="0" w:type="dxa"/>
            <w:right w:w="108" w:type="dxa"/>
          </w:tblCellMar>
        </w:tblPrEx>
        <w:trPr>
          <w:trHeight w:val="347"/>
        </w:trPr>
        <w:tc>
          <w:tcPr>
            <w:tcW w:w="785" w:type="pct"/>
            <w:vMerge w:val="restart"/>
            <w:vAlign w:val="center"/>
          </w:tcPr>
          <w:p>
            <w:pPr>
              <w:pStyle w:val="NormalIndent"/>
              <w:ind w:firstLine="0" w:firstLineChars="0"/>
              <w:jc w:val="center"/>
              <w:rPr>
                <w:rFonts w:ascii="Times New Roman" w:hAnsi="Times New Roman"/>
              </w:rPr>
            </w:pPr>
            <w:r>
              <w:rPr>
                <w:rFonts w:ascii="Times New Roman" w:hAnsi="Times New Roman"/>
              </w:rPr>
              <w:t>设备</w:t>
            </w:r>
          </w:p>
        </w:tc>
        <w:tc>
          <w:tcPr>
            <w:tcW w:w="1748" w:type="pct"/>
            <w:vAlign w:val="center"/>
          </w:tcPr>
          <w:p>
            <w:pPr>
              <w:pStyle w:val="NormalIndent"/>
              <w:ind w:firstLine="0" w:firstLineChars="0"/>
              <w:jc w:val="center"/>
              <w:rPr>
                <w:rFonts w:ascii="Times New Roman" w:hAnsi="Times New Roman"/>
              </w:rPr>
            </w:pPr>
            <w:r>
              <w:rPr>
                <w:rFonts w:ascii="Times New Roman" w:hAnsi="Times New Roman"/>
              </w:rPr>
              <w:t>电磁兼容性要求</w:t>
            </w:r>
          </w:p>
        </w:tc>
        <w:tc>
          <w:tcPr>
            <w:tcW w:w="2466" w:type="pct"/>
            <w:vAlign w:val="center"/>
          </w:tcPr>
          <w:p>
            <w:pPr>
              <w:pStyle w:val="NormalIndent"/>
              <w:ind w:firstLine="0" w:firstLineChars="0"/>
              <w:jc w:val="center"/>
              <w:rPr>
                <w:rFonts w:ascii="Times New Roman" w:hAnsi="Times New Roman"/>
              </w:rPr>
            </w:pPr>
            <w:r>
              <w:rPr>
                <w:rFonts w:ascii="Times New Roman" w:hAnsi="Times New Roman"/>
              </w:rPr>
              <w:t>产品通过电快速瞬变脉冲群抗扰度测试、浪涌抗扰度测试、静电放电抗扰度测试、电压暂降和短时中断抗扰度试验要求</w:t>
            </w:r>
          </w:p>
        </w:tc>
      </w:tr>
      <w:tr>
        <w:tblPrEx>
          <w:tblW w:w="4928" w:type="pct"/>
          <w:tblInd w:w="0" w:type="dxa"/>
          <w:tblCellMar>
            <w:top w:w="0" w:type="dxa"/>
            <w:left w:w="108" w:type="dxa"/>
            <w:bottom w:w="0" w:type="dxa"/>
            <w:right w:w="108" w:type="dxa"/>
          </w:tblCellMar>
        </w:tblPrEx>
        <w:trPr>
          <w:trHeight w:val="347"/>
        </w:trPr>
        <w:tc>
          <w:tcPr>
            <w:tcW w:w="785" w:type="pct"/>
            <w:vMerge/>
            <w:vAlign w:val="center"/>
          </w:tcPr>
          <w:p>
            <w:pPr>
              <w:pStyle w:val="NormalIndent"/>
              <w:ind w:firstLine="0" w:firstLineChars="0"/>
              <w:jc w:val="center"/>
              <w:rPr>
                <w:rFonts w:ascii="Times New Roman" w:hAnsi="Times New Roman"/>
              </w:rPr>
            </w:pPr>
          </w:p>
        </w:tc>
        <w:tc>
          <w:tcPr>
            <w:tcW w:w="1748" w:type="pct"/>
            <w:vAlign w:val="center"/>
          </w:tcPr>
          <w:p>
            <w:pPr>
              <w:pStyle w:val="NormalIndent"/>
              <w:ind w:firstLine="0" w:firstLineChars="0"/>
              <w:jc w:val="center"/>
              <w:rPr>
                <w:rFonts w:ascii="Times New Roman" w:hAnsi="Times New Roman"/>
                <w:highlight w:val="yellow"/>
              </w:rPr>
            </w:pPr>
            <w:r>
              <w:rPr>
                <w:rFonts w:ascii="Times New Roman" w:hAnsi="Times New Roman"/>
              </w:rPr>
              <w:t>信号自适应调节功能</w:t>
            </w:r>
          </w:p>
        </w:tc>
        <w:tc>
          <w:tcPr>
            <w:tcW w:w="2466" w:type="pct"/>
            <w:vAlign w:val="center"/>
          </w:tcPr>
          <w:p>
            <w:pPr>
              <w:pStyle w:val="NormalIndent"/>
              <w:ind w:firstLine="0" w:firstLineChars="0"/>
              <w:jc w:val="left"/>
              <w:rPr>
                <w:rFonts w:ascii="Times New Roman" w:hAnsi="Times New Roman"/>
              </w:rPr>
            </w:pPr>
            <w:r>
              <w:rPr>
                <w:rFonts w:ascii="Times New Roman" w:hAnsi="Times New Roman"/>
              </w:rPr>
              <w:t>产品具备信号自适应调节功能，通过软硬件适配实现最佳信号获取，满足不同天气条件下的探测需求</w:t>
            </w:r>
          </w:p>
          <w:p>
            <w:pPr>
              <w:pStyle w:val="NormalIndent"/>
              <w:ind w:firstLine="0" w:firstLineChars="0"/>
              <w:jc w:val="left"/>
              <w:rPr>
                <w:rFonts w:ascii="Times New Roman" w:hAnsi="Times New Roman"/>
              </w:rPr>
            </w:pPr>
            <w:r>
              <w:rPr>
                <w:rFonts w:ascii="Times New Roman" w:hAnsi="Times New Roman"/>
              </w:rPr>
              <w:t xml:space="preserve">（1）接收通道衰减片可根据接收信号强度等级通过舵机自动衰减； </w:t>
            </w:r>
          </w:p>
          <w:p>
            <w:pPr>
              <w:pStyle w:val="NormalIndent"/>
              <w:ind w:firstLine="0" w:firstLineChars="0"/>
              <w:jc w:val="left"/>
              <w:rPr>
                <w:rFonts w:ascii="Times New Roman" w:hAnsi="Times New Roman"/>
              </w:rPr>
            </w:pPr>
            <w:r>
              <w:rPr>
                <w:rFonts w:ascii="Times New Roman" w:hAnsi="Times New Roman"/>
              </w:rPr>
              <w:t>（2）拉曼通道探测器电压可根据信号强度等级进行自适应匹配。</w:t>
            </w:r>
          </w:p>
          <w:p>
            <w:pPr>
              <w:pStyle w:val="NormalIndent"/>
              <w:ind w:firstLine="0" w:firstLineChars="0"/>
              <w:jc w:val="left"/>
              <w:rPr>
                <w:rFonts w:ascii="Times New Roman" w:hAnsi="Times New Roman"/>
              </w:rPr>
            </w:pPr>
            <w:r>
              <w:rPr>
                <w:rStyle w:val="font21"/>
                <w:lang w:bidi="ar"/>
              </w:rPr>
              <w:t>（</w:t>
            </w:r>
            <w:r>
              <w:rPr>
                <w:rStyle w:val="font21"/>
                <w:rFonts w:hint="eastAsia"/>
                <w:lang w:bidi="ar"/>
              </w:rPr>
              <w:t>3</w:t>
            </w:r>
            <w:r>
              <w:rPr>
                <w:rStyle w:val="font21"/>
                <w:lang w:bidi="ar"/>
              </w:rPr>
              <w:t>）远程自动调节激光雷达信号；</w:t>
            </w:r>
          </w:p>
        </w:tc>
      </w:tr>
      <w:tr>
        <w:tblPrEx>
          <w:tblW w:w="4928" w:type="pct"/>
          <w:tblInd w:w="0" w:type="dxa"/>
          <w:tblCellMar>
            <w:top w:w="0" w:type="dxa"/>
            <w:left w:w="108" w:type="dxa"/>
            <w:bottom w:w="0" w:type="dxa"/>
            <w:right w:w="108" w:type="dxa"/>
          </w:tblCellMar>
        </w:tblPrEx>
        <w:trPr>
          <w:trHeight w:val="347"/>
        </w:trPr>
        <w:tc>
          <w:tcPr>
            <w:tcW w:w="785" w:type="pct"/>
            <w:vMerge/>
            <w:vAlign w:val="center"/>
          </w:tcPr>
          <w:p>
            <w:pPr>
              <w:pStyle w:val="NormalIndent"/>
              <w:ind w:firstLine="0" w:firstLineChars="0"/>
              <w:jc w:val="center"/>
              <w:rPr>
                <w:rFonts w:ascii="Times New Roman" w:hAnsi="Times New Roman"/>
              </w:rPr>
            </w:pPr>
          </w:p>
        </w:tc>
        <w:tc>
          <w:tcPr>
            <w:tcW w:w="1748" w:type="pct"/>
            <w:vAlign w:val="center"/>
          </w:tcPr>
          <w:p>
            <w:pPr>
              <w:pStyle w:val="NormalIndent"/>
              <w:ind w:firstLine="0" w:firstLineChars="0"/>
              <w:jc w:val="center"/>
              <w:rPr>
                <w:rFonts w:ascii="Times New Roman" w:hAnsi="Times New Roman"/>
              </w:rPr>
            </w:pPr>
            <w:r>
              <w:rPr>
                <w:rFonts w:ascii="Times New Roman" w:hAnsi="Times New Roman"/>
              </w:rPr>
              <w:t>数据质控</w:t>
            </w:r>
          </w:p>
        </w:tc>
        <w:tc>
          <w:tcPr>
            <w:tcW w:w="2466" w:type="pct"/>
            <w:vAlign w:val="center"/>
          </w:tcPr>
          <w:p>
            <w:pPr>
              <w:pStyle w:val="NormalIndent"/>
              <w:ind w:firstLine="0" w:firstLineChars="0"/>
              <w:rPr>
                <w:rFonts w:ascii="Times New Roman" w:hAnsi="Times New Roman"/>
              </w:rPr>
            </w:pPr>
            <w:r>
              <w:rPr>
                <w:rFonts w:ascii="Times New Roman" w:hAnsi="Times New Roman" w:hint="eastAsia"/>
              </w:rPr>
              <w:t>设备具备智能化数据质控功能，能够直接实现最大探测距离、接收横截面四象限均匀性、大气瑞利信号拟合一致性等指标的在线自动化标定（无需人为现场进行检测），辅助及时识别设备潜在问题</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pStyle w:val="NormalIndent"/>
              <w:rPr>
                <w:rFonts w:ascii="Times New Roman" w:hAnsi="Times New Roman"/>
              </w:rPr>
            </w:pPr>
          </w:p>
        </w:tc>
        <w:tc>
          <w:tcPr>
            <w:tcW w:w="1748" w:type="pct"/>
            <w:vAlign w:val="center"/>
          </w:tcPr>
          <w:p>
            <w:pPr>
              <w:pStyle w:val="NormalIndent"/>
              <w:ind w:firstLine="0" w:firstLineChars="0"/>
              <w:jc w:val="center"/>
              <w:rPr>
                <w:rFonts w:ascii="Times New Roman" w:hAnsi="Times New Roman"/>
              </w:rPr>
            </w:pPr>
            <w:r>
              <w:rPr>
                <w:rFonts w:ascii="Times New Roman" w:hAnsi="Times New Roman"/>
              </w:rPr>
              <w:t>平均无故障运行时间</w:t>
            </w:r>
          </w:p>
        </w:tc>
        <w:tc>
          <w:tcPr>
            <w:tcW w:w="2466" w:type="pct"/>
            <w:vAlign w:val="center"/>
          </w:tcPr>
          <w:p>
            <w:pPr>
              <w:pStyle w:val="NormalIndent"/>
              <w:ind w:firstLine="0" w:firstLineChars="0"/>
              <w:jc w:val="center"/>
              <w:rPr>
                <w:rFonts w:ascii="Times New Roman" w:hAnsi="Times New Roman"/>
              </w:rPr>
            </w:pPr>
            <w:r>
              <w:rPr>
                <w:rFonts w:ascii="Times New Roman" w:hAnsi="Times New Roman"/>
              </w:rPr>
              <w:t>≥</w:t>
            </w:r>
            <w:r>
              <w:rPr>
                <w:rFonts w:ascii="Times New Roman" w:hAnsi="Times New Roman" w:hint="eastAsia"/>
              </w:rPr>
              <w:t>2</w:t>
            </w:r>
            <w:r>
              <w:rPr>
                <w:rFonts w:ascii="Times New Roman" w:hAnsi="Times New Roman"/>
              </w:rPr>
              <w:t>000h</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pStyle w:val="NormalIndent"/>
              <w:rPr>
                <w:rFonts w:ascii="Times New Roman" w:hAnsi="Times New Roman"/>
              </w:rPr>
            </w:pPr>
          </w:p>
        </w:tc>
        <w:tc>
          <w:tcPr>
            <w:tcW w:w="1748" w:type="pct"/>
            <w:vAlign w:val="center"/>
          </w:tcPr>
          <w:p>
            <w:pPr>
              <w:pStyle w:val="a2"/>
              <w:spacing w:line="240" w:lineRule="auto"/>
            </w:pPr>
            <w:r>
              <w:rPr>
                <w:rFonts w:hint="eastAsia"/>
              </w:rPr>
              <w:t>平均无故障修复时间</w:t>
            </w:r>
          </w:p>
        </w:tc>
        <w:tc>
          <w:tcPr>
            <w:tcW w:w="2466" w:type="pct"/>
            <w:vAlign w:val="center"/>
          </w:tcPr>
          <w:p>
            <w:pPr>
              <w:pStyle w:val="a2"/>
              <w:tabs>
                <w:tab w:val="left" w:pos="775"/>
                <w:tab w:val="center" w:pos="2079"/>
              </w:tabs>
              <w:spacing w:line="240" w:lineRule="auto"/>
            </w:pPr>
            <w:r>
              <w:rPr>
                <w:rFonts w:hint="eastAsia"/>
              </w:rPr>
              <w:t>≤0.5h</w:t>
            </w:r>
          </w:p>
        </w:tc>
      </w:tr>
      <w:tr>
        <w:tblPrEx>
          <w:tblW w:w="4928" w:type="pct"/>
          <w:tblInd w:w="0" w:type="dxa"/>
          <w:tblCellMar>
            <w:top w:w="0" w:type="dxa"/>
            <w:left w:w="108" w:type="dxa"/>
            <w:bottom w:w="0" w:type="dxa"/>
            <w:right w:w="108" w:type="dxa"/>
          </w:tblCellMar>
        </w:tblPrEx>
        <w:trPr>
          <w:trHeight w:val="173"/>
        </w:trPr>
        <w:tc>
          <w:tcPr>
            <w:tcW w:w="785" w:type="pct"/>
            <w:vMerge/>
            <w:vAlign w:val="center"/>
          </w:tcPr>
          <w:p>
            <w:pPr>
              <w:pStyle w:val="NormalIndent"/>
              <w:rPr>
                <w:rFonts w:ascii="Times New Roman" w:hAnsi="Times New Roman"/>
              </w:rPr>
            </w:pPr>
          </w:p>
        </w:tc>
        <w:tc>
          <w:tcPr>
            <w:tcW w:w="1748" w:type="pct"/>
            <w:vAlign w:val="center"/>
          </w:tcPr>
          <w:p>
            <w:pPr>
              <w:pStyle w:val="NormalIndent"/>
              <w:ind w:firstLine="0" w:firstLineChars="0"/>
              <w:jc w:val="center"/>
              <w:rPr>
                <w:rFonts w:ascii="Times New Roman" w:hAnsi="Times New Roman"/>
              </w:rPr>
            </w:pPr>
            <w:r>
              <w:rPr>
                <w:rFonts w:ascii="Times New Roman" w:hAnsi="Times New Roman"/>
              </w:rPr>
              <w:t>工作温度</w:t>
            </w:r>
          </w:p>
        </w:tc>
        <w:tc>
          <w:tcPr>
            <w:tcW w:w="2466" w:type="pct"/>
            <w:vAlign w:val="center"/>
          </w:tcPr>
          <w:p>
            <w:pPr>
              <w:pStyle w:val="NormalIndent"/>
              <w:ind w:firstLine="0" w:firstLineChars="0"/>
              <w:jc w:val="center"/>
              <w:rPr>
                <w:rFonts w:ascii="Times New Roman" w:hAnsi="Times New Roman"/>
              </w:rPr>
            </w:pPr>
            <w:r>
              <w:rPr>
                <w:rFonts w:ascii="Times New Roman" w:hAnsi="Times New Roman"/>
              </w:rPr>
              <w:t>舱外装置：-40℃~+50℃，舱内装置：+10℃~30℃</w:t>
            </w:r>
          </w:p>
        </w:tc>
      </w:tr>
      <w:tr>
        <w:tblPrEx>
          <w:tblW w:w="4928" w:type="pct"/>
          <w:tblInd w:w="0" w:type="dxa"/>
          <w:tblCellMar>
            <w:top w:w="0" w:type="dxa"/>
            <w:left w:w="108" w:type="dxa"/>
            <w:bottom w:w="0" w:type="dxa"/>
            <w:right w:w="108" w:type="dxa"/>
          </w:tblCellMar>
        </w:tblPrEx>
        <w:trPr>
          <w:trHeight w:val="180"/>
        </w:trPr>
        <w:tc>
          <w:tcPr>
            <w:tcW w:w="785" w:type="pct"/>
            <w:vMerge/>
            <w:vAlign w:val="center"/>
          </w:tcPr>
          <w:p>
            <w:pPr>
              <w:pStyle w:val="NormalIndent"/>
              <w:rPr>
                <w:rFonts w:ascii="Times New Roman" w:hAnsi="Times New Roman"/>
              </w:rPr>
            </w:pPr>
          </w:p>
        </w:tc>
        <w:tc>
          <w:tcPr>
            <w:tcW w:w="1748" w:type="pct"/>
            <w:vAlign w:val="center"/>
          </w:tcPr>
          <w:p>
            <w:pPr>
              <w:pStyle w:val="NormalIndent"/>
              <w:ind w:firstLine="0" w:firstLineChars="0"/>
              <w:jc w:val="center"/>
              <w:rPr>
                <w:rFonts w:ascii="Times New Roman" w:hAnsi="Times New Roman"/>
              </w:rPr>
            </w:pPr>
            <w:r>
              <w:rPr>
                <w:rFonts w:ascii="Times New Roman" w:hAnsi="Times New Roman"/>
              </w:rPr>
              <w:t>电源要求</w:t>
            </w:r>
          </w:p>
        </w:tc>
        <w:tc>
          <w:tcPr>
            <w:tcW w:w="2466" w:type="pct"/>
            <w:vAlign w:val="center"/>
          </w:tcPr>
          <w:p>
            <w:pPr>
              <w:pStyle w:val="NormalIndent"/>
              <w:ind w:firstLine="0" w:firstLineChars="0"/>
              <w:jc w:val="center"/>
              <w:rPr>
                <w:rFonts w:ascii="Times New Roman" w:hAnsi="Times New Roman"/>
              </w:rPr>
            </w:pPr>
            <w:r>
              <w:rPr>
                <w:rFonts w:ascii="Times New Roman" w:hAnsi="Times New Roman"/>
              </w:rPr>
              <w:t>单相，AC220 V±15%，50 Hz±5%</w:t>
            </w:r>
          </w:p>
        </w:tc>
      </w:tr>
    </w:tbl>
    <w:p>
      <w:pPr>
        <w:spacing w:line="360" w:lineRule="auto"/>
        <w:ind w:firstLine="420" w:firstLineChars="200"/>
        <w:rPr>
          <w:rFonts w:ascii="宋体" w:hAnsi="宋体" w:hint="eastAsia"/>
          <w:szCs w:val="21"/>
        </w:rPr>
      </w:pPr>
      <w:r>
        <w:rPr>
          <w:rFonts w:ascii="宋体" w:hAnsi="宋体" w:hint="eastAsia"/>
          <w:szCs w:val="21"/>
        </w:rPr>
        <w:t>四、检验考核要求</w:t>
      </w:r>
    </w:p>
    <w:p>
      <w:pPr>
        <w:widowControl/>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1.出厂验收</w:t>
      </w:r>
    </w:p>
    <w:p>
      <w:pPr>
        <w:widowControl/>
        <w:spacing w:line="360" w:lineRule="auto"/>
        <w:ind w:firstLine="420" w:firstLineChars="200"/>
        <w:jc w:val="left"/>
        <w:rPr>
          <w:rFonts w:ascii="宋体" w:eastAsia="宋体" w:hAnsi="宋体" w:cs="Times New Roman" w:hint="eastAsia"/>
          <w:szCs w:val="21"/>
          <w:lang w:bidi="ar"/>
        </w:rPr>
      </w:pPr>
      <w:r>
        <w:rPr>
          <w:rFonts w:ascii="宋体" w:eastAsia="宋体" w:hAnsi="宋体" w:cs="Times New Roman" w:hint="eastAsia"/>
          <w:szCs w:val="21"/>
          <w:lang w:bidi="ar"/>
        </w:rPr>
        <w:t>中标人应在设备出厂前严格按照中国气象局业务规范、相关行业标准及招标文件技术要求组织出厂验收，完成整机性能、关键技术指标、系统功能及连续考机测试，提交全套资质文件、技术资料、校准及检测报告。采购人派员参与验收，验收合格并签署出厂验收报告后方可发货，未通过出厂验收严禁出厂。</w:t>
      </w:r>
    </w:p>
    <w:p>
      <w:pPr>
        <w:widowControl/>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2 现场安装验收</w:t>
      </w:r>
    </w:p>
    <w:p>
      <w:pPr>
        <w:widowControl/>
        <w:spacing w:line="360" w:lineRule="auto"/>
        <w:ind w:firstLine="420" w:firstLineChars="200"/>
        <w:jc w:val="left"/>
        <w:rPr>
          <w:rFonts w:ascii="宋体" w:eastAsia="宋体" w:hAnsi="宋体" w:cs="Times New Roman" w:hint="eastAsia"/>
          <w:szCs w:val="21"/>
          <w:lang w:bidi="ar"/>
        </w:rPr>
      </w:pPr>
      <w:r>
        <w:rPr>
          <w:rFonts w:ascii="宋体" w:eastAsia="宋体" w:hAnsi="宋体" w:cs="Times New Roman" w:hint="eastAsia"/>
          <w:szCs w:val="21"/>
          <w:lang w:bidi="ar"/>
        </w:rPr>
        <w:t>设备到货后，中标人负责完成设备安装就位、基础及塔架施工、线缆敷设、防雷接地、供电及机房配套建设，按气象装备安装规范完成系统安装、标校调试、整机联调及业务数据链路接入测试。安装调试完成后由采购人组织现场安装验收，核查安装工艺、设备状态及系统联调功能，验收合格后方可进入试运行阶段。</w:t>
      </w:r>
    </w:p>
    <w:p>
      <w:pPr>
        <w:widowControl/>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3.试运行验收</w:t>
      </w:r>
    </w:p>
    <w:p>
      <w:pPr>
        <w:widowControl/>
        <w:spacing w:line="360" w:lineRule="auto"/>
        <w:ind w:firstLine="420" w:firstLineChars="200"/>
        <w:jc w:val="left"/>
        <w:rPr>
          <w:rFonts w:ascii="宋体" w:eastAsia="宋体" w:hAnsi="宋体" w:cs="Times New Roman" w:hint="eastAsia"/>
          <w:szCs w:val="21"/>
          <w:lang w:bidi="ar"/>
        </w:rPr>
      </w:pPr>
      <w:r>
        <w:rPr>
          <w:rFonts w:ascii="宋体" w:eastAsia="宋体" w:hAnsi="宋体" w:cs="Times New Roman" w:hint="eastAsia"/>
          <w:szCs w:val="21"/>
          <w:lang w:bidi="ar"/>
        </w:rPr>
        <w:t>设备现场调试合格后进入试运行期，试运行周期不少于 90 天。试运行期间设备应连续稳定运行，无重大故障停机，观测数据完整率、运行稳定性、产品精度均满足气象业务运行要求。中标人做好运行值守、故障处置、运行台账记录，并完成现场操作及维护培训。试运行期满组织专项验收，验收合格后方可申请最终验收。</w:t>
      </w:r>
    </w:p>
    <w:p>
      <w:pPr>
        <w:widowControl/>
        <w:spacing w:line="360" w:lineRule="auto"/>
        <w:ind w:firstLine="420" w:firstLineChars="200"/>
        <w:rPr>
          <w:rFonts w:ascii="宋体" w:eastAsia="宋体" w:hAnsi="宋体" w:cs="Times New Roman" w:hint="eastAsia"/>
          <w:szCs w:val="21"/>
        </w:rPr>
      </w:pPr>
      <w:r>
        <w:rPr>
          <w:rFonts w:ascii="宋体" w:eastAsia="宋体" w:hAnsi="宋体" w:cs="Times New Roman" w:hint="eastAsia"/>
          <w:szCs w:val="21"/>
        </w:rPr>
        <w:t>4.合同验收</w:t>
      </w:r>
    </w:p>
    <w:p>
      <w:pPr>
        <w:widowControl/>
        <w:spacing w:line="360" w:lineRule="auto"/>
        <w:ind w:firstLine="420" w:firstLineChars="200"/>
        <w:jc w:val="left"/>
        <w:rPr>
          <w:rFonts w:ascii="宋体" w:eastAsia="宋体" w:hAnsi="宋体" w:cs="Times New Roman" w:hint="eastAsia"/>
          <w:szCs w:val="21"/>
          <w:lang w:bidi="ar"/>
        </w:rPr>
      </w:pPr>
      <w:r>
        <w:rPr>
          <w:rFonts w:ascii="宋体" w:eastAsia="宋体" w:hAnsi="宋体" w:cs="Times New Roman" w:hint="eastAsia"/>
          <w:szCs w:val="21"/>
          <w:lang w:bidi="ar"/>
        </w:rPr>
        <w:t>在出厂、安装、试运行各阶段验收均合格的前提下，组织项目合同最终验收。全面核查设备配置、资料归档、备品备件、技术培训、履约服务及质保承诺等全部合同内容，对照技术参数、行业标准及业务应用要求综合评审，全部满足要求后签署最终验收证书，正式交付投入业务运行，进入质保期。若最终验收仍存在缺项、指标不达标、资料不全等问题，不予通过验收，中标人须限期完成补齐、整改、完善，直至终审合格，相关费用及责任由中标人自行承担。</w:t>
      </w:r>
    </w:p>
    <w:p>
      <w:pPr>
        <w:numPr>
          <w:ilvl w:val="0"/>
          <w:numId w:val="4"/>
        </w:numPr>
        <w:spacing w:line="360" w:lineRule="auto"/>
        <w:ind w:firstLine="420" w:firstLineChars="200"/>
        <w:rPr>
          <w:rFonts w:ascii="宋体" w:hAnsi="宋体" w:hint="eastAsia"/>
          <w:szCs w:val="21"/>
        </w:rPr>
      </w:pPr>
      <w:r>
        <w:rPr>
          <w:rFonts w:ascii="宋体" w:hAnsi="宋体" w:hint="eastAsia"/>
          <w:szCs w:val="21"/>
        </w:rPr>
        <w:t>技术服务和质保期服务要求</w:t>
      </w:r>
    </w:p>
    <w:p>
      <w:pPr>
        <w:spacing w:line="360" w:lineRule="auto"/>
        <w:ind w:firstLine="420" w:firstLineChars="200"/>
        <w:rPr>
          <w:rFonts w:ascii="宋体" w:eastAsia="宋体" w:hAnsi="宋体" w:hint="eastAsia"/>
          <w:szCs w:val="21"/>
        </w:rPr>
      </w:pPr>
      <w:r>
        <w:rPr>
          <w:rFonts w:ascii="宋体" w:hAnsi="宋体" w:hint="eastAsia"/>
          <w:szCs w:val="21"/>
        </w:rPr>
        <w:t>（一）技术服务</w:t>
      </w:r>
    </w:p>
    <w:p>
      <w:pPr>
        <w:spacing w:line="360" w:lineRule="auto"/>
        <w:ind w:firstLine="420" w:firstLineChars="200"/>
        <w:rPr>
          <w:rFonts w:ascii="宋体" w:hAnsi="宋体" w:hint="eastAsia"/>
          <w:szCs w:val="21"/>
        </w:rPr>
      </w:pPr>
      <w:r>
        <w:rPr>
          <w:rFonts w:ascii="宋体" w:hAnsi="宋体" w:hint="eastAsia"/>
          <w:szCs w:val="21"/>
        </w:rPr>
        <w:t>1.中标人需提供详细技术方案，包括但不限于:设备安装建设规范、设备工作原理、设备部件结构组成、设备操作手册、设备运行维护手册、设备软件使用手册、相关产品算法说明文档等。</w:t>
      </w:r>
    </w:p>
    <w:p>
      <w:pPr>
        <w:spacing w:line="360" w:lineRule="auto"/>
        <w:ind w:firstLine="420" w:firstLineChars="200"/>
        <w:rPr>
          <w:rFonts w:ascii="宋体" w:hAnsi="宋体" w:hint="eastAsia"/>
          <w:szCs w:val="21"/>
        </w:rPr>
      </w:pPr>
      <w:r>
        <w:rPr>
          <w:rFonts w:ascii="宋体" w:hAnsi="宋体" w:hint="eastAsia"/>
          <w:szCs w:val="21"/>
        </w:rPr>
        <w:t>2.中标人需提供详细售后服务方案，包括设备售后服务组织机构、人员组成、技术支持文档等。其中，售后服务组织机构设置合理，人员技术能力强，技术文档内容全面。</w:t>
      </w:r>
    </w:p>
    <w:p>
      <w:pPr>
        <w:widowControl/>
        <w:spacing w:line="360" w:lineRule="auto"/>
        <w:ind w:firstLine="420" w:firstLineChars="200"/>
        <w:jc w:val="left"/>
        <w:rPr>
          <w:rFonts w:ascii="宋体" w:hAnsi="宋体" w:hint="eastAsia"/>
          <w:szCs w:val="21"/>
        </w:rPr>
      </w:pPr>
      <w:r>
        <w:rPr>
          <w:rFonts w:ascii="宋体" w:hAnsi="宋体" w:hint="eastAsia"/>
          <w:szCs w:val="21"/>
        </w:rPr>
        <w:t>3.中标人需提供详细培训方案，包括设备使用、日常维护、观测原理及产品应用等理论培训及现场培训至少2次，培训讲师具有中级以上职称或从事该设备技术工作至少2年；培训时间及地点双方协商确定，确保使用方参训人员熟练掌握设备操作、日常维护及业务应用技能。</w:t>
      </w:r>
    </w:p>
    <w:p>
      <w:pPr>
        <w:spacing w:line="360" w:lineRule="auto"/>
        <w:ind w:firstLine="420" w:firstLineChars="200"/>
        <w:rPr>
          <w:rFonts w:ascii="宋体" w:hAnsi="宋体" w:hint="eastAsia"/>
          <w:szCs w:val="21"/>
        </w:rPr>
      </w:pPr>
      <w:r>
        <w:rPr>
          <w:rFonts w:ascii="宋体" w:eastAsia="宋体" w:hAnsi="宋体" w:cs="Times New Roman" w:hint="eastAsia"/>
          <w:szCs w:val="21"/>
        </w:rPr>
        <w:t>4.采购人有重大活动或应急保障时，可要求中标人提供现场保障服务。</w:t>
      </w:r>
    </w:p>
    <w:p>
      <w:pPr>
        <w:spacing w:line="360" w:lineRule="auto"/>
        <w:ind w:firstLine="420" w:firstLineChars="200"/>
        <w:rPr>
          <w:rFonts w:ascii="宋体" w:eastAsia="宋体" w:hAnsi="宋体" w:hint="eastAsia"/>
          <w:szCs w:val="21"/>
        </w:rPr>
      </w:pPr>
      <w:r>
        <w:rPr>
          <w:rFonts w:ascii="宋体" w:hAnsi="宋体" w:hint="eastAsia"/>
          <w:szCs w:val="21"/>
        </w:rPr>
        <w:t>（二）质保期服务</w:t>
      </w:r>
    </w:p>
    <w:p>
      <w:pPr>
        <w:spacing w:line="360" w:lineRule="auto"/>
        <w:ind w:firstLine="420" w:firstLineChars="200"/>
        <w:rPr>
          <w:rFonts w:ascii="宋体" w:hAnsi="宋体" w:hint="eastAsia"/>
          <w:szCs w:val="21"/>
        </w:rPr>
      </w:pPr>
      <w:r>
        <w:rPr>
          <w:rFonts w:ascii="宋体" w:hAnsi="宋体" w:hint="eastAsia"/>
          <w:szCs w:val="21"/>
        </w:rPr>
        <w:t>1.中标人提供自用户验收合格后8年的免费质保期服务（提供相关承诺函）</w:t>
      </w:r>
      <w:r>
        <w:rPr>
          <w:rFonts w:ascii="宋体" w:hAnsi="宋体" w:hint="eastAsia"/>
          <w:szCs w:val="21"/>
          <w:lang w:val="en-US" w:eastAsia="zh-CN"/>
        </w:rPr>
        <w:t>*</w:t>
      </w:r>
      <w:r>
        <w:rPr>
          <w:rFonts w:ascii="宋体" w:hAnsi="宋体" w:hint="eastAsia"/>
          <w:szCs w:val="21"/>
        </w:rPr>
        <w:t>,质保期内因设备设计、质量出现问题，均由中标人即时无偿解决(包括更换器件)，如因自身故障致设备停用时间累计超过20天时，则质保期在状态恢复正常时重新计算。质保期内，经中标人累计5次维修仍无法正常使用或达不到相关质量标准的，视作设备存在严重质量问题，应支付赔偿金并退还已付全部款项。</w:t>
      </w:r>
    </w:p>
    <w:p>
      <w:pPr>
        <w:spacing w:line="360" w:lineRule="auto"/>
        <w:ind w:firstLine="420" w:firstLineChars="200"/>
        <w:rPr>
          <w:rFonts w:ascii="宋体" w:hAnsi="宋体" w:hint="eastAsia"/>
          <w:szCs w:val="21"/>
        </w:rPr>
      </w:pPr>
      <w:r>
        <w:rPr>
          <w:rFonts w:ascii="宋体" w:hAnsi="宋体" w:hint="eastAsia"/>
          <w:szCs w:val="21"/>
        </w:rPr>
        <w:t>2.中标人应对投标产品提供巡检和定标服务，主要包括</w:t>
      </w:r>
      <w:r>
        <w:rPr>
          <w:rFonts w:ascii="宋体" w:eastAsia="宋体" w:hAnsi="宋体" w:cs="Times New Roman" w:hint="eastAsia"/>
          <w:szCs w:val="21"/>
        </w:rPr>
        <w:t>日巡查、周维护、月维护及标校、汛前巡检及标校、年维护及标校（标定）、消防设备检测等现场巡检巡查工作。</w:t>
      </w:r>
    </w:p>
    <w:p>
      <w:pPr>
        <w:spacing w:line="360" w:lineRule="auto"/>
        <w:ind w:firstLine="420" w:firstLineChars="200"/>
        <w:rPr>
          <w:rFonts w:ascii="宋体" w:hAnsi="宋体" w:hint="eastAsia"/>
          <w:szCs w:val="21"/>
        </w:rPr>
      </w:pPr>
      <w:r>
        <w:rPr>
          <w:rFonts w:ascii="宋体" w:hAnsi="宋体" w:hint="eastAsia"/>
          <w:szCs w:val="21"/>
        </w:rPr>
        <w:t>3.在质保期内，中标人服务时间应为7</w:t>
      </w:r>
      <w:r>
        <w:t>×</w:t>
      </w:r>
      <w:r>
        <w:rPr>
          <w:rFonts w:ascii="宋体" w:hAnsi="宋体" w:hint="eastAsia"/>
          <w:szCs w:val="21"/>
        </w:rPr>
        <w:t>24小时，在接报后1小时内响应，给予远程技术支持；需现场处理的，观测期12小时内到达现场，48小时完成故障修复；非观测期24小时内到达现场，72小时完成故障修复，确保设备正常投入业务运行。如在检修时间后仍无法排除故障，则中标方应在24小时内提供不低于故障设备规格、型号、性能的备用设备供甲方使用，直至故障设备修复或更换。由此产生的一切费用均由中标人承担。</w:t>
      </w:r>
    </w:p>
    <w:p>
      <w:pPr>
        <w:widowControl/>
        <w:spacing w:line="360" w:lineRule="auto"/>
        <w:ind w:firstLine="420" w:firstLineChars="200"/>
        <w:rPr>
          <w:rFonts w:ascii="宋体" w:eastAsia="宋体" w:hAnsi="宋体" w:cs="Times New Roman" w:hint="eastAsia"/>
          <w:szCs w:val="21"/>
        </w:rPr>
      </w:pPr>
      <w:r>
        <w:rPr>
          <w:rFonts w:ascii="宋体" w:hAnsi="宋体" w:hint="eastAsia"/>
          <w:szCs w:val="21"/>
        </w:rPr>
        <w:t>4.提供投标产品软件免费升级服务，</w:t>
      </w:r>
      <w:r>
        <w:rPr>
          <w:rFonts w:ascii="宋体" w:eastAsia="宋体" w:hAnsi="宋体" w:cs="Times New Roman" w:hint="eastAsia"/>
          <w:szCs w:val="21"/>
        </w:rPr>
        <w:t>所提供观测设备观测数据能接入采购人现有气象数据平台。</w:t>
      </w:r>
    </w:p>
    <w:p>
      <w:pPr>
        <w:spacing w:line="360" w:lineRule="auto"/>
        <w:ind w:firstLine="420" w:firstLineChars="200"/>
        <w:rPr>
          <w:rFonts w:ascii="宋体" w:eastAsia="宋体" w:hAnsi="宋体" w:cs="Times New Roman" w:hint="eastAsia"/>
          <w:szCs w:val="21"/>
        </w:rPr>
      </w:pPr>
      <w:r>
        <w:rPr>
          <w:rFonts w:ascii="宋体" w:hAnsi="宋体" w:hint="eastAsia"/>
          <w:szCs w:val="21"/>
        </w:rPr>
        <w:t>5.质保期内中标人免费提供产品升级服务，并提供相关承诺函。</w:t>
      </w:r>
    </w:p>
    <w:p>
      <w:pPr>
        <w:spacing w:line="360" w:lineRule="auto"/>
        <w:ind w:firstLine="420" w:firstLineChars="200"/>
        <w:rPr>
          <w:rFonts w:ascii="宋体" w:hAnsi="宋体" w:hint="eastAsia"/>
          <w:szCs w:val="21"/>
        </w:rPr>
      </w:pPr>
      <w:r>
        <w:rPr>
          <w:rFonts w:ascii="宋体" w:eastAsia="宋体" w:hAnsi="宋体" w:hint="eastAsia"/>
          <w:szCs w:val="21"/>
        </w:rPr>
        <w:t>6</w:t>
      </w:r>
      <w:r>
        <w:rPr>
          <w:rFonts w:ascii="宋体" w:eastAsia="宋体" w:hAnsi="宋体" w:cs="Times New Roman" w:hint="eastAsia"/>
          <w:szCs w:val="21"/>
        </w:rPr>
        <w:t>.</w:t>
      </w:r>
      <w:r>
        <w:rPr>
          <w:rFonts w:ascii="宋体" w:hAnsi="宋体" w:hint="eastAsia"/>
          <w:szCs w:val="21"/>
        </w:rPr>
        <w:t>质保期过后，中标人仍有义务提供技术服务(包括提供设备维护、备件等)。</w:t>
      </w:r>
    </w:p>
    <w:p>
      <w:pPr>
        <w:spacing w:line="360" w:lineRule="auto"/>
        <w:ind w:firstLine="420" w:firstLineChars="200"/>
        <w:rPr>
          <w:rFonts w:ascii="宋体" w:hAnsi="宋体" w:hint="eastAsia"/>
          <w:szCs w:val="21"/>
        </w:rPr>
      </w:pPr>
    </w:p>
    <w:p>
      <w:pPr>
        <w:spacing w:line="360" w:lineRule="auto"/>
        <w:ind w:firstLine="420" w:firstLineChars="200"/>
        <w:rPr>
          <w:rFonts w:ascii="宋体" w:hAnsi="宋体" w:hint="eastAsia"/>
          <w:szCs w:val="21"/>
        </w:rPr>
      </w:pPr>
    </w:p>
    <w:p>
      <w:pPr>
        <w:spacing w:line="360" w:lineRule="auto"/>
        <w:ind w:firstLine="420" w:firstLineChars="200"/>
        <w:rPr>
          <w:rFonts w:ascii="宋体" w:eastAsia="宋体" w:hAnsi="宋体" w:cs="Times New Roman" w:hint="eastAsia"/>
          <w:szCs w:val="21"/>
        </w:rPr>
      </w:pPr>
    </w:p>
    <w:p>
      <w:pPr>
        <w:spacing w:line="360" w:lineRule="auto"/>
        <w:rPr>
          <w:rFonts w:ascii="宋体" w:eastAsia="宋体" w:hAnsi="宋体" w:cs="Times New Roman" w:hint="eastAsia"/>
          <w:szCs w:val="21"/>
        </w:rPr>
      </w:pPr>
      <w:r>
        <w:rPr>
          <w:rFonts w:ascii="宋体" w:eastAsia="宋体" w:hAnsi="宋体" w:cs="Times New Roman" w:hint="eastAsia"/>
          <w:szCs w:val="21"/>
        </w:rPr>
        <w:t>第七章 采购需求 附表</w:t>
      </w:r>
    </w:p>
    <w:p>
      <w:pPr>
        <w:spacing w:line="360" w:lineRule="auto"/>
        <w:ind w:firstLine="420" w:firstLineChars="200"/>
        <w:rPr>
          <w:rFonts w:ascii="宋体" w:eastAsia="宋体" w:hAnsi="宋体" w:cs="Times New Roman" w:hint="eastAsia"/>
          <w:szCs w:val="21"/>
        </w:rPr>
      </w:pP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36"/>
        <w:gridCol w:w="995"/>
        <w:gridCol w:w="716"/>
        <w:gridCol w:w="995"/>
        <w:gridCol w:w="1135"/>
        <w:gridCol w:w="3860"/>
        <w:gridCol w:w="424"/>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拉曼激光雷达</w:t>
            </w:r>
          </w:p>
        </w:tc>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3,250,000.00</w:t>
            </w:r>
          </w:p>
        </w:tc>
        <w:tc>
          <w:tcPr/>
          <w:p>
            <w:pPr>
              <w:autoSpaceDE w:val="0"/>
              <w:jc w:val="center"/>
              <w:rPr>
                <w:rFonts w:asciiTheme="minorEastAsia" w:hAnsiTheme="minorEastAsia" w:cstheme="minorEastAsia" w:hint="eastAsia"/>
                <w:kern w:val="0"/>
                <w:szCs w:val="21"/>
              </w:rPr>
            </w:pPr>
            <w:r>
              <w:t>合同签订后180天内完成供货、安装调试并具备现场测试条件</w:t>
            </w:r>
          </w:p>
        </w:tc>
        <w:tc>
          <w:tcPr/>
          <w:p>
            <w:pPr>
              <w:autoSpaceDE w:val="0"/>
              <w:autoSpaceDN w:val="0"/>
              <w:adjustRightInd w:val="0"/>
              <w:spacing w:before="48"/>
              <w:ind w:right="-20"/>
              <w:jc w:val="center"/>
              <w:rPr>
                <w:rFonts w:asciiTheme="minorEastAsia" w:hAnsiTheme="minorEastAsia" w:cstheme="minorEastAsia"/>
                <w:kern w:val="0"/>
                <w:szCs w:val="21"/>
              </w:rPr>
            </w:pP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3,250,000.00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557"/>
        <w:gridCol w:w="2161"/>
        <w:gridCol w:w="1270"/>
        <w:gridCol w:w="557"/>
        <w:gridCol w:w="1270"/>
        <w:gridCol w:w="1059"/>
        <w:gridCol w:w="1092"/>
        <w:gridCol w:w="556"/>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内蒙古区气象局(001035)</w:t>
            </w:r>
          </w:p>
        </w:tc>
        <w:tc>
          <w:tcPr/>
          <w:p>
            <w:r>
              <w:t>拉曼激光雷达</w:t>
            </w:r>
          </w:p>
        </w:tc>
        <w:tc>
          <w:tcPr/>
          <w:p>
            <w:r>
              <w:t>1</w:t>
            </w:r>
          </w:p>
        </w:tc>
        <w:tc>
          <w:tcPr/>
          <w:p>
            <w:r>
              <w:t>3250000.00</w:t>
            </w:r>
          </w:p>
        </w:tc>
        <w:tc>
          <w:tcPr/>
          <w:p>
            <w:r>
              <w:t xml:space="preserve">3250000.00  </w:t>
            </w:r>
          </w:p>
        </w:tc>
        <w:tc>
          <w:tcPr/>
          <w:p>
            <w:r>
              <w:t>呼和浩特市</w:t>
            </w:r>
          </w:p>
        </w:tc>
        <w:tc>
          <w:tcP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A77B3E"/>
    <w:p>
      <w:pPr>
        <w:spacing w:before="156" w:beforeLines="50" w:line="360" w:lineRule="auto"/>
        <w:jc w:val="center"/>
        <w:outlineLvl w:val="1"/>
        <w:rPr>
          <w:rFonts w:ascii="宋体" w:hAnsi="宋体" w:hint="eastAsia"/>
          <w:b/>
          <w:sz w:val="30"/>
          <w:szCs w:val="30"/>
        </w:rPr>
        <w:sectPr>
          <w:pgSz w:w="11906" w:h="16838"/>
          <w:pgMar w:top="1418" w:right="1418" w:bottom="1418" w:left="1701" w:header="851" w:footer="851" w:gutter="0"/>
          <w:cols w:space="708"/>
          <w:docGrid w:type="linesAndChars" w:linePitch="312"/>
        </w:sectPr>
      </w:pPr>
      <w:bookmarkEnd w:id="59"/>
    </w:p>
    <w:p w:rsidR="00FD2D1F">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w:t>
      </w:r>
      <w:r>
        <w:rPr>
          <w:rFonts w:hint="eastAsia"/>
          <w:b/>
          <w:sz w:val="30"/>
          <w:szCs w:val="30"/>
        </w:rPr>
        <w:t xml:space="preserve">  </w:t>
      </w:r>
      <w:r>
        <w:rPr>
          <w:rFonts w:hint="eastAsia"/>
          <w:b/>
          <w:sz w:val="30"/>
          <w:szCs w:val="30"/>
        </w:rPr>
        <w:t>投标被拒绝条款专用部分</w:t>
      </w:r>
    </w:p>
    <w:p w:rsidR="00FD2D1F">
      <w:pPr>
        <w:adjustRightInd w:val="0"/>
        <w:snapToGrid w:val="0"/>
        <w:spacing w:before="156" w:beforeLines="50" w:line="360" w:lineRule="auto"/>
        <w:ind w:firstLine="420"/>
        <w:rPr>
          <w:rFonts w:ascii="宋体" w:hAnsi="宋体" w:hint="eastAsia"/>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4"/>
        <w:gridCol w:w="898"/>
        <w:gridCol w:w="7347"/>
      </w:tblGrid>
      <w:tr w:rsidTr="002E1DDE">
        <w:tblPrEx>
          <w:tblW w:w="8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Ex>
        <w:trPr>
          <w:cantSplit/>
          <w:trHeight w:val="746"/>
        </w:trPr>
        <w:tc>
          <w:tcPr>
            <w:tcW w:w="544" w:type="dxa"/>
            <w:vAlign w:val="center"/>
          </w:tcPr>
          <w:p w:rsidR="00FD2D1F">
            <w:pPr>
              <w:rPr>
                <w:sz w:val="18"/>
                <w:szCs w:val="18"/>
              </w:rPr>
            </w:pPr>
            <w:r>
              <w:rPr>
                <w:rFonts w:hint="eastAsia"/>
                <w:sz w:val="18"/>
                <w:szCs w:val="18"/>
              </w:rPr>
              <w:t>序号</w:t>
            </w:r>
          </w:p>
        </w:tc>
        <w:tc>
          <w:tcPr>
            <w:tcW w:w="898" w:type="dxa"/>
            <w:vAlign w:val="center"/>
          </w:tcPr>
          <w:p w:rsidR="00FD2D1F">
            <w:pPr>
              <w:jc w:val="center"/>
              <w:rPr>
                <w:sz w:val="18"/>
                <w:szCs w:val="18"/>
              </w:rPr>
            </w:pPr>
            <w:r>
              <w:rPr>
                <w:rFonts w:hint="eastAsia"/>
                <w:sz w:val="18"/>
                <w:szCs w:val="18"/>
              </w:rPr>
              <w:t>对应</w:t>
            </w:r>
          </w:p>
          <w:p w:rsidR="00FD2D1F">
            <w:pPr>
              <w:jc w:val="center"/>
              <w:rPr>
                <w:sz w:val="18"/>
                <w:szCs w:val="18"/>
              </w:rPr>
            </w:pPr>
            <w:r>
              <w:rPr>
                <w:rFonts w:hint="eastAsia"/>
                <w:sz w:val="18"/>
                <w:szCs w:val="18"/>
              </w:rPr>
              <w:t>条款号</w:t>
            </w:r>
          </w:p>
        </w:tc>
        <w:tc>
          <w:tcPr>
            <w:tcW w:w="7347" w:type="dxa"/>
            <w:vAlign w:val="center"/>
          </w:tcPr>
          <w:p w:rsidR="00FD2D1F">
            <w:pPr>
              <w:jc w:val="center"/>
              <w:rPr>
                <w:sz w:val="18"/>
                <w:szCs w:val="18"/>
              </w:rPr>
            </w:pPr>
            <w:r>
              <w:rPr>
                <w:rFonts w:hint="eastAsia"/>
                <w:sz w:val="18"/>
                <w:szCs w:val="18"/>
              </w:rPr>
              <w:t>内</w:t>
            </w:r>
            <w:r>
              <w:rPr>
                <w:rFonts w:hint="eastAsia"/>
                <w:sz w:val="18"/>
                <w:szCs w:val="18"/>
              </w:rPr>
              <w:t xml:space="preserve"> </w:t>
            </w:r>
            <w:r>
              <w:rPr>
                <w:rFonts w:hint="eastAsia"/>
                <w:sz w:val="18"/>
                <w:szCs w:val="18"/>
              </w:rPr>
              <w:t>容</w:t>
            </w:r>
          </w:p>
        </w:tc>
      </w:tr>
      <w:tr w:rsidTr="002E1DDE">
        <w:tblPrEx>
          <w:tblW w:w="8789" w:type="dxa"/>
          <w:tblLayout w:type="fixed"/>
          <w:tblLook w:val="04A0"/>
        </w:tblPrEx>
        <w:trPr>
          <w:cantSplit/>
        </w:trPr>
        <w:tc>
          <w:tcPr>
            <w:tcW w:w="8789" w:type="dxa"/>
            <w:gridSpan w:val="3"/>
            <w:vAlign w:val="center"/>
          </w:tcPr>
          <w:p w:rsidR="00FD2D1F">
            <w:pPr>
              <w:jc w:val="center"/>
              <w:rPr>
                <w:b/>
                <w:sz w:val="18"/>
                <w:szCs w:val="18"/>
              </w:rPr>
            </w:pPr>
            <w:r>
              <w:rPr>
                <w:rFonts w:hint="eastAsia"/>
                <w:b/>
                <w:sz w:val="18"/>
                <w:szCs w:val="18"/>
              </w:rPr>
              <w:t>第五章</w:t>
            </w:r>
            <w:r>
              <w:rPr>
                <w:rFonts w:hint="eastAsia"/>
                <w:b/>
                <w:sz w:val="18"/>
                <w:szCs w:val="18"/>
              </w:rPr>
              <w:t xml:space="preserve"> </w:t>
            </w:r>
            <w:r>
              <w:rPr>
                <w:rFonts w:hint="eastAsia"/>
                <w:b/>
                <w:sz w:val="18"/>
                <w:szCs w:val="18"/>
              </w:rPr>
              <w:t>投标人须知专用部分</w:t>
            </w:r>
          </w:p>
        </w:tc>
      </w:tr>
      <w:tr w:rsidTr="002E1DDE">
        <w:tblPrEx>
          <w:tblW w:w="8789" w:type="dxa"/>
          <w:tblLayout w:type="fixed"/>
          <w:tblLook w:val="04A0"/>
        </w:tblPrEx>
        <w:trPr>
          <w:cantSplit/>
        </w:trPr>
        <w:tc>
          <w:tcPr>
            <w:tcW w:w="544" w:type="dxa"/>
            <w:vAlign w:val="center"/>
          </w:tcPr>
          <w:p w:rsidR="00FD2D1F">
            <w:pPr>
              <w:numPr>
                <w:ilvl w:val="0"/>
                <w:numId w:val="14"/>
              </w:numPr>
              <w:rPr>
                <w:rFonts w:ascii="宋体" w:hAnsi="宋体" w:hint="eastAsia"/>
                <w:sz w:val="18"/>
                <w:szCs w:val="18"/>
              </w:rPr>
            </w:pPr>
          </w:p>
        </w:tc>
        <w:tc>
          <w:tcPr>
            <w:tcW w:w="898" w:type="dxa"/>
            <w:vAlign w:val="center"/>
          </w:tcPr>
          <w:p w:rsidR="00FD2D1F">
            <w:pPr>
              <w:jc w:val="center"/>
              <w:rPr>
                <w:rFonts w:ascii="宋体" w:hAnsi="宋体" w:hint="eastAsia"/>
                <w:sz w:val="18"/>
                <w:szCs w:val="18"/>
              </w:rPr>
            </w:pPr>
            <w:r>
              <w:rPr>
                <w:rFonts w:ascii="宋体" w:hAnsi="宋体" w:hint="eastAsia"/>
                <w:sz w:val="18"/>
                <w:szCs w:val="18"/>
              </w:rPr>
              <w:t>-</w:t>
            </w:r>
          </w:p>
        </w:tc>
        <w:tc>
          <w:tcPr>
            <w:tcW w:w="7347" w:type="dxa"/>
          </w:tcPr>
          <w:p w:rsidR="00FD2D1F">
            <w:pPr>
              <w:tabs>
                <w:tab w:val="left" w:pos="709"/>
              </w:tabs>
              <w:spacing w:line="360" w:lineRule="auto"/>
              <w:jc w:val="left"/>
              <w:rPr>
                <w:rFonts w:ascii="宋体" w:hAnsi="宋体" w:cs="微软雅黑" w:hint="eastAsia"/>
                <w:b/>
                <w:color w:val="0000FF"/>
                <w:kern w:val="0"/>
                <w:sz w:val="18"/>
                <w:szCs w:val="18"/>
              </w:rPr>
            </w:pPr>
            <w:r>
              <w:rPr>
                <w:rFonts w:ascii="宋体" w:hAnsi="宋体" w:cs="微软雅黑" w:hint="eastAsia"/>
                <w:b/>
                <w:color w:val="0000FF"/>
                <w:kern w:val="0"/>
                <w:sz w:val="18"/>
                <w:szCs w:val="18"/>
              </w:rPr>
              <w:t>-</w:t>
            </w:r>
          </w:p>
        </w:tc>
      </w:tr>
      <w:tr w:rsidTr="002E1DDE">
        <w:tblPrEx>
          <w:tblW w:w="8789" w:type="dxa"/>
          <w:tblLayout w:type="fixed"/>
          <w:tblLook w:val="04A0"/>
        </w:tblPrEx>
        <w:trPr>
          <w:cantSplit/>
        </w:trPr>
        <w:tc>
          <w:tcPr>
            <w:tcW w:w="544" w:type="dxa"/>
            <w:vAlign w:val="center"/>
          </w:tcPr>
          <w:p w:rsidR="00FD2D1F">
            <w:pPr>
              <w:numPr>
                <w:ilvl w:val="0"/>
                <w:numId w:val="14"/>
              </w:numPr>
              <w:rPr>
                <w:rFonts w:ascii="宋体" w:hAnsi="宋体" w:hint="eastAsia"/>
                <w:sz w:val="18"/>
                <w:szCs w:val="18"/>
              </w:rPr>
            </w:pPr>
          </w:p>
        </w:tc>
        <w:tc>
          <w:tcPr>
            <w:tcW w:w="898" w:type="dxa"/>
            <w:vAlign w:val="center"/>
          </w:tcPr>
          <w:p w:rsidR="00FD2D1F">
            <w:pPr>
              <w:jc w:val="center"/>
              <w:rPr>
                <w:rFonts w:ascii="宋体" w:hAnsi="宋体" w:hint="eastAsia"/>
                <w:sz w:val="18"/>
                <w:szCs w:val="18"/>
              </w:rPr>
            </w:pPr>
            <w:r>
              <w:rPr>
                <w:rFonts w:ascii="宋体" w:hAnsi="宋体" w:hint="eastAsia"/>
                <w:sz w:val="18"/>
                <w:szCs w:val="18"/>
              </w:rPr>
              <w:t>-</w:t>
            </w:r>
          </w:p>
        </w:tc>
        <w:tc>
          <w:tcPr>
            <w:tcW w:w="7347" w:type="dxa"/>
            <w:vAlign w:val="center"/>
          </w:tcPr>
          <w:p w:rsidR="00FD2D1F">
            <w:pPr>
              <w:rPr>
                <w:rFonts w:cs="微软雅黑" w:hint="eastAsia"/>
                <w:b/>
                <w:color w:val="0000FF"/>
                <w:kern w:val="0"/>
                <w:sz w:val="18"/>
                <w:szCs w:val="18"/>
              </w:rPr>
            </w:pPr>
            <w:r>
              <w:rPr>
                <w:rFonts w:ascii="宋体" w:hAnsi="宋体" w:cs="微软雅黑" w:hint="eastAsia"/>
                <w:b/>
                <w:color w:val="0000FF"/>
                <w:kern w:val="0"/>
                <w:sz w:val="18"/>
                <w:szCs w:val="18"/>
              </w:rPr>
              <w:t>-</w:t>
            </w:r>
          </w:p>
        </w:tc>
      </w:tr>
      <w:tr w:rsidTr="002E1DDE">
        <w:tblPrEx>
          <w:tblW w:w="8789" w:type="dxa"/>
          <w:tblLayout w:type="fixed"/>
          <w:tblLook w:val="04A0"/>
        </w:tblPrEx>
        <w:trPr>
          <w:cantSplit/>
        </w:trPr>
        <w:tc>
          <w:tcPr>
            <w:tcW w:w="8789" w:type="dxa"/>
            <w:gridSpan w:val="3"/>
            <w:vAlign w:val="center"/>
          </w:tcPr>
          <w:p w:rsidR="00FD2D1F">
            <w:pPr>
              <w:jc w:val="center"/>
              <w:rPr>
                <w:sz w:val="18"/>
                <w:szCs w:val="18"/>
              </w:rPr>
            </w:pPr>
            <w:r>
              <w:rPr>
                <w:rFonts w:hint="eastAsia"/>
                <w:b/>
                <w:sz w:val="18"/>
                <w:szCs w:val="18"/>
              </w:rPr>
              <w:t>第七章</w:t>
            </w:r>
            <w:r>
              <w:rPr>
                <w:rFonts w:hint="eastAsia"/>
                <w:b/>
                <w:sz w:val="18"/>
                <w:szCs w:val="18"/>
              </w:rPr>
              <w:t xml:space="preserve">  </w:t>
            </w:r>
            <w:r>
              <w:rPr>
                <w:rFonts w:hint="eastAsia"/>
                <w:b/>
                <w:sz w:val="18"/>
                <w:szCs w:val="18"/>
              </w:rPr>
              <w:t>采购需求</w:t>
            </w:r>
          </w:p>
        </w:tc>
      </w:tr>
      <w:tr w:rsidTr="002E1DDE">
        <w:tblPrEx>
          <w:tblW w:w="8789" w:type="dxa"/>
          <w:tblLayout w:type="fixed"/>
          <w:tblLook w:val="04A0"/>
        </w:tblPrEx>
        <w:trPr>
          <w:cantSplit/>
        </w:trPr>
        <w:tc>
          <w:tcPr>
            <w:tcW w:w="544" w:type="dxa"/>
            <w:vAlign w:val="center"/>
          </w:tcPr>
          <w:p w:rsidR="00FD2D1F">
            <w:pPr>
              <w:numPr>
                <w:ilvl w:val="0"/>
                <w:numId w:val="14"/>
              </w:numPr>
              <w:rPr>
                <w:rFonts w:ascii="宋体" w:hAnsi="宋体" w:hint="eastAsia"/>
                <w:sz w:val="18"/>
                <w:szCs w:val="18"/>
              </w:rPr>
            </w:pPr>
          </w:p>
        </w:tc>
        <w:tc>
          <w:tcPr>
            <w:tcW w:w="898" w:type="dxa"/>
            <w:vAlign w:val="center"/>
          </w:tcPr>
          <w:p w:rsidR="00FD2D1F">
            <w:pPr>
              <w:jc w:val="center"/>
              <w:rPr>
                <w:rFonts w:ascii="宋体" w:hAnsi="宋体" w:hint="eastAsia"/>
                <w:sz w:val="18"/>
                <w:szCs w:val="18"/>
              </w:rPr>
            </w:pPr>
            <w:r>
              <w:rPr>
                <w:rFonts w:ascii="宋体" w:hAnsi="宋体" w:hint="eastAsia"/>
                <w:sz w:val="18"/>
                <w:szCs w:val="18"/>
              </w:rPr>
              <w:t>五（二）</w:t>
            </w:r>
          </w:p>
        </w:tc>
        <w:tc>
          <w:tcPr>
            <w:tcW w:w="7347" w:type="dxa"/>
            <w:vAlign w:val="center"/>
          </w:tcPr>
          <w:p w:rsidR="00FD2D1F">
            <w:pPr>
              <w:tabs>
                <w:tab w:val="left" w:pos="709"/>
              </w:tabs>
              <w:spacing w:line="360" w:lineRule="auto"/>
              <w:jc w:val="left"/>
              <w:rPr>
                <w:rFonts w:ascii="宋体" w:hAnsi="宋体" w:hint="eastAsia"/>
                <w:sz w:val="18"/>
                <w:szCs w:val="18"/>
              </w:rPr>
            </w:pPr>
            <w:r>
              <w:rPr>
                <w:rFonts w:ascii="宋体" w:hAnsi="宋体" w:hint="eastAsia"/>
                <w:szCs w:val="21"/>
              </w:rPr>
              <w:t>提供自验收合格后8年的免费质保期服务</w:t>
            </w:r>
          </w:p>
        </w:tc>
      </w:tr>
    </w:tbl>
    <w:p w:rsidR="00FD2D1F">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rsidR="00FD2D1F">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ilvl w:val="0"/>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rFonts w:ascii="宋体" w:hAnsi="宋体" w:hint="eastAsia"/>
          <w:szCs w:val="21"/>
          <w:highlight w:val="none"/>
        </w:rPr>
      </w:pPr>
      <w:r>
        <w:rPr>
          <w:rFonts w:ascii="Wingdings" w:hAnsi="Wingdings"/>
          <w:szCs w:val="21"/>
          <w:highlight w:val="none"/>
        </w:rPr>
        <w:sym w:font="Wingdings" w:char="F0FE"/>
      </w:r>
      <w:r>
        <w:rPr>
          <w:rFonts w:ascii="宋体" w:hAnsi="宋体" w:hint="eastAsia"/>
          <w:szCs w:val="21"/>
          <w:highlight w:val="none"/>
        </w:rPr>
        <w:t>分期付款：</w:t>
      </w:r>
    </w:p>
    <w:p>
      <w:pPr>
        <w:spacing w:line="360" w:lineRule="auto"/>
        <w:ind w:firstLine="420" w:firstLineChars="200"/>
        <w:rPr>
          <w:rFonts w:ascii="宋体" w:hAnsi="宋体"/>
          <w:szCs w:val="21"/>
        </w:rPr>
      </w:pPr>
      <w:r>
        <w:rPr>
          <w:rFonts w:ascii="宋体" w:hAnsi="宋体" w:hint="eastAsia"/>
          <w:szCs w:val="21"/>
        </w:rPr>
        <w:t>1.合同签订后，乙方向甲方提供合同总金额 5 %的银行履约保函，设备验收合格一年后，甲方将银行履约保函退还乙方。</w:t>
      </w:r>
    </w:p>
    <w:p>
      <w:pPr>
        <w:adjustRightInd/>
        <w:snapToGrid/>
        <w:spacing w:line="360" w:lineRule="auto"/>
        <w:ind w:firstLine="420" w:firstLineChars="200"/>
        <w:rPr>
          <w:rFonts w:ascii="宋体" w:hAnsi="宋体" w:hint="eastAsia"/>
          <w:szCs w:val="21"/>
          <w:highlight w:val="none"/>
        </w:rPr>
      </w:pPr>
      <w:r>
        <w:rPr>
          <w:rFonts w:ascii="宋体" w:hAnsi="宋体" w:hint="eastAsia"/>
          <w:color w:val="auto"/>
          <w:szCs w:val="21"/>
          <w:highlight w:val="none"/>
        </w:rPr>
        <w:t>2.</w:t>
      </w:r>
      <w:r>
        <w:rPr>
          <w:rFonts w:ascii="宋体" w:hAnsi="宋体" w:hint="eastAsia"/>
          <w:szCs w:val="21"/>
          <w:highlight w:val="none"/>
        </w:rPr>
        <w:t>合同签订后30日</w:t>
      </w:r>
      <w:r>
        <w:rPr>
          <w:rFonts w:ascii="宋体" w:hAnsi="宋体" w:hint="eastAsia"/>
          <w:szCs w:val="21"/>
          <w:highlight w:val="none"/>
          <w:lang w:val="en-US" w:eastAsia="zh-CN"/>
        </w:rPr>
        <w:t>内</w:t>
      </w:r>
      <w:r>
        <w:rPr>
          <w:rFonts w:ascii="宋体" w:hAnsi="宋体" w:hint="eastAsia"/>
          <w:color w:val="auto"/>
          <w:szCs w:val="21"/>
          <w:highlight w:val="none"/>
        </w:rPr>
        <w:t>甲方向乙方</w:t>
      </w:r>
      <w:r>
        <w:rPr>
          <w:rFonts w:ascii="宋体" w:hAnsi="宋体" w:hint="eastAsia"/>
          <w:szCs w:val="21"/>
          <w:highlight w:val="none"/>
        </w:rPr>
        <w:t>支付合同</w:t>
      </w:r>
      <w:r>
        <w:rPr>
          <w:rFonts w:ascii="宋体" w:hAnsi="宋体" w:hint="eastAsia"/>
          <w:color w:val="auto"/>
          <w:szCs w:val="21"/>
          <w:highlight w:val="none"/>
        </w:rPr>
        <w:t>总</w:t>
      </w:r>
      <w:r>
        <w:rPr>
          <w:rFonts w:ascii="宋体" w:hAnsi="宋体" w:hint="eastAsia"/>
          <w:szCs w:val="21"/>
          <w:highlight w:val="none"/>
        </w:rPr>
        <w:t>金额的</w:t>
      </w:r>
      <w:r>
        <w:rPr>
          <w:rFonts w:ascii="宋体" w:hAnsi="宋体" w:hint="eastAsia"/>
          <w:color w:val="auto"/>
          <w:szCs w:val="21"/>
          <w:highlight w:val="none"/>
        </w:rPr>
        <w:t>3</w:t>
      </w:r>
      <w:r>
        <w:rPr>
          <w:rFonts w:ascii="宋体" w:hAnsi="宋体" w:hint="eastAsia"/>
          <w:szCs w:val="21"/>
          <w:highlight w:val="none"/>
        </w:rPr>
        <w:t>0%</w:t>
      </w:r>
      <w:r>
        <w:rPr>
          <w:rFonts w:ascii="宋体" w:hAnsi="宋体" w:hint="eastAsia"/>
          <w:color w:val="auto"/>
          <w:szCs w:val="21"/>
          <w:highlight w:val="none"/>
        </w:rPr>
        <w:t>；</w:t>
      </w:r>
      <w:r>
        <w:rPr>
          <w:rFonts w:ascii="宋体" w:hAnsi="宋体" w:hint="eastAsia"/>
          <w:szCs w:val="21"/>
          <w:highlight w:val="none"/>
        </w:rPr>
        <w:t>设备</w:t>
      </w:r>
      <w:r>
        <w:rPr>
          <w:rFonts w:ascii="宋体" w:hAnsi="宋体" w:hint="eastAsia"/>
          <w:szCs w:val="21"/>
          <w:highlight w:val="none"/>
          <w:lang w:val="en-US" w:eastAsia="zh-CN"/>
        </w:rPr>
        <w:t>出厂验收合格后30日内</w:t>
      </w:r>
      <w:r>
        <w:rPr>
          <w:rFonts w:ascii="宋体" w:hAnsi="宋体" w:hint="eastAsia"/>
          <w:color w:val="auto"/>
          <w:szCs w:val="21"/>
          <w:highlight w:val="none"/>
        </w:rPr>
        <w:t>向乙方</w:t>
      </w:r>
      <w:r>
        <w:rPr>
          <w:rFonts w:ascii="宋体" w:hAnsi="宋体" w:hint="eastAsia"/>
          <w:szCs w:val="21"/>
          <w:highlight w:val="none"/>
        </w:rPr>
        <w:t>支付合同</w:t>
      </w:r>
      <w:r>
        <w:rPr>
          <w:rFonts w:ascii="宋体" w:hAnsi="宋体" w:hint="eastAsia"/>
          <w:color w:val="auto"/>
          <w:szCs w:val="21"/>
          <w:highlight w:val="none"/>
        </w:rPr>
        <w:t>总</w:t>
      </w:r>
      <w:r>
        <w:rPr>
          <w:rFonts w:ascii="宋体" w:hAnsi="宋体" w:hint="eastAsia"/>
          <w:szCs w:val="21"/>
          <w:highlight w:val="none"/>
        </w:rPr>
        <w:t>金额的</w:t>
      </w:r>
      <w:r>
        <w:rPr>
          <w:rFonts w:ascii="宋体" w:hAnsi="宋体" w:hint="eastAsia"/>
          <w:color w:val="auto"/>
          <w:szCs w:val="21"/>
          <w:highlight w:val="none"/>
        </w:rPr>
        <w:t>3</w:t>
      </w:r>
      <w:r>
        <w:rPr>
          <w:rFonts w:ascii="宋体" w:hAnsi="宋体" w:hint="eastAsia"/>
          <w:szCs w:val="21"/>
          <w:highlight w:val="none"/>
        </w:rPr>
        <w:t>0%</w:t>
      </w:r>
      <w:r>
        <w:rPr>
          <w:rFonts w:ascii="宋体" w:hAnsi="宋体" w:hint="eastAsia"/>
          <w:color w:val="auto"/>
          <w:szCs w:val="21"/>
          <w:highlight w:val="none"/>
        </w:rPr>
        <w:t>；</w:t>
      </w:r>
      <w:r>
        <w:rPr>
          <w:rFonts w:ascii="宋体" w:hAnsi="宋体" w:hint="eastAsia"/>
          <w:color w:val="auto"/>
          <w:szCs w:val="21"/>
          <w:highlight w:val="none"/>
          <w:lang w:val="en-US" w:eastAsia="zh-CN"/>
        </w:rPr>
        <w:t>设备</w:t>
      </w:r>
      <w:r>
        <w:rPr>
          <w:rFonts w:ascii="宋体" w:hAnsi="宋体" w:hint="eastAsia"/>
          <w:szCs w:val="21"/>
          <w:highlight w:val="none"/>
        </w:rPr>
        <w:t>安装调试完毕，</w:t>
      </w:r>
      <w:r>
        <w:rPr>
          <w:rFonts w:ascii="宋体" w:hAnsi="宋体" w:hint="eastAsia"/>
          <w:color w:val="auto"/>
          <w:szCs w:val="21"/>
          <w:highlight w:val="none"/>
        </w:rPr>
        <w:t>现场验收合格</w:t>
      </w:r>
      <w:r>
        <w:rPr>
          <w:rFonts w:ascii="宋体" w:hAnsi="宋体" w:hint="eastAsia"/>
          <w:color w:val="auto"/>
          <w:szCs w:val="21"/>
          <w:highlight w:val="none"/>
          <w:lang w:val="en-US" w:eastAsia="zh-CN"/>
        </w:rPr>
        <w:t>30日内</w:t>
      </w:r>
      <w:r>
        <w:rPr>
          <w:rFonts w:ascii="宋体" w:hAnsi="宋体" w:hint="eastAsia"/>
          <w:szCs w:val="21"/>
          <w:highlight w:val="none"/>
        </w:rPr>
        <w:t>支付合同</w:t>
      </w:r>
      <w:r>
        <w:rPr>
          <w:rFonts w:ascii="宋体" w:hAnsi="宋体" w:hint="eastAsia"/>
          <w:color w:val="auto"/>
          <w:szCs w:val="21"/>
          <w:highlight w:val="none"/>
        </w:rPr>
        <w:t>总</w:t>
      </w:r>
      <w:r>
        <w:rPr>
          <w:rFonts w:ascii="宋体" w:hAnsi="宋体" w:hint="eastAsia"/>
          <w:szCs w:val="21"/>
          <w:highlight w:val="none"/>
        </w:rPr>
        <w:t>金额的</w:t>
      </w:r>
      <w:r>
        <w:rPr>
          <w:rFonts w:ascii="宋体" w:hAnsi="宋体" w:hint="eastAsia"/>
          <w:color w:val="auto"/>
          <w:szCs w:val="21"/>
          <w:highlight w:val="none"/>
        </w:rPr>
        <w:t>3</w:t>
      </w:r>
      <w:r>
        <w:rPr>
          <w:rFonts w:ascii="宋体" w:hAnsi="宋体" w:hint="eastAsia"/>
          <w:szCs w:val="21"/>
          <w:highlight w:val="none"/>
        </w:rPr>
        <w:t>0%；</w:t>
      </w:r>
    </w:p>
    <w:p>
      <w:pPr>
        <w:adjustRightInd/>
        <w:snapToGrid/>
        <w:spacing w:line="360" w:lineRule="auto"/>
        <w:rPr>
          <w:rFonts w:ascii="宋体" w:eastAsia="宋体" w:hAnsi="宋体" w:cs="Times New Roman" w:hint="eastAsia"/>
          <w:szCs w:val="21"/>
          <w:highlight w:val="none"/>
        </w:rPr>
      </w:pPr>
      <w:r>
        <w:rPr>
          <w:rFonts w:ascii="宋体" w:eastAsia="宋体" w:hAnsi="宋体" w:cs="Times New Roman" w:hint="eastAsia"/>
          <w:sz w:val="21"/>
          <w:szCs w:val="21"/>
          <w:highlight w:val="none"/>
        </w:rPr>
        <w:t>合同验收通过后支付</w:t>
      </w:r>
      <w:r>
        <w:rPr>
          <w:rFonts w:ascii="宋体" w:hAnsi="宋体" w:hint="eastAsia"/>
          <w:color w:val="auto"/>
          <w:szCs w:val="21"/>
          <w:highlight w:val="none"/>
        </w:rPr>
        <w:t>合同总金额的</w:t>
      </w:r>
      <w:r>
        <w:rPr>
          <w:rFonts w:ascii="宋体" w:eastAsia="宋体" w:hAnsi="宋体" w:cs="Times New Roman" w:hint="eastAsia"/>
          <w:sz w:val="21"/>
          <w:szCs w:val="21"/>
          <w:highlight w:val="none"/>
        </w:rPr>
        <w:t>10%。</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5"/>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decorative"/>
    <w:pitch w:val="variable"/>
    <w:sig w:usb0="00000203" w:usb1="288F0000" w:usb2="00000006" w:usb3="00000000" w:csb0="00060001" w:csb1="00000000"/>
  </w:font>
  <w:font w:name="Arial">
    <w:panose1 w:val="020B0604020202020204"/>
    <w:charset w:val="01"/>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等线">
    <w:panose1 w:val="02010600030101010101"/>
    <w:charset w:val="86"/>
    <w:family w:val="auto"/>
    <w:pitch w:val="default"/>
    <w:sig w:usb0="A00002BF" w:usb1="38CF7CFA" w:usb2="00000016" w:usb3="00000000" w:csb0="0004000F" w:csb1="00000000"/>
  </w:font>
  <w:font w:name="楷体">
    <w:panose1 w:val="02010609060101010101"/>
    <w:charset w:val="86"/>
    <w:family w:val="modern"/>
    <w:pitch w:val="default"/>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A12C43B"/>
    <w:multiLevelType w:val="singleLevel"/>
    <w:tmpl w:val="AA12C43B"/>
    <w:lvl w:ilvl="0">
      <w:start w:val="5"/>
      <w:numFmt w:val="chineseCounting"/>
      <w:suff w:val="nothing"/>
      <w:lvlText w:val="%1、"/>
      <w:lvlJc w:val="left"/>
      <w:rPr>
        <w:rFonts w:hint="eastAsia"/>
      </w:rPr>
    </w:lvl>
  </w:abstractNum>
  <w:abstractNum w:abstractNumId="1">
    <w:nsid w:val="BF6BC116"/>
    <w:multiLevelType w:val="singleLevel"/>
    <w:tmpl w:val="BF6BC116"/>
    <w:lvl w:ilvl="0">
      <w:start w:val="16"/>
      <w:numFmt w:val="decimal"/>
      <w:suff w:val="space"/>
      <w:lvlText w:val="%1."/>
      <w:lvlJc w:val="left"/>
    </w:lvl>
  </w:abstractNum>
  <w:abstractNum w:abstractNumId="2">
    <w:nsid w:val="CFE7C3F8"/>
    <w:multiLevelType w:val="singleLevel"/>
    <w:tmpl w:val="CFE7C3F8"/>
    <w:lvl w:ilvl="0">
      <w:start w:val="1"/>
      <w:numFmt w:val="decimal"/>
      <w:suff w:val="nothing"/>
      <w:lvlText w:val="（%1）"/>
      <w:lvlJc w:val="left"/>
    </w:lvl>
  </w:abstractNum>
  <w:abstractNum w:abstractNumId="3">
    <w:nsid w:val="DDECD3BC"/>
    <w:multiLevelType w:val="singleLevel"/>
    <w:tmpl w:val="DDECD3BC"/>
    <w:lvl w:ilvl="0">
      <w:start w:val="6"/>
      <w:numFmt w:val="decimal"/>
      <w:suff w:val="space"/>
      <w:lvlText w:val="%1."/>
      <w:lvlJc w:val="left"/>
    </w:lvl>
  </w:abstractNum>
  <w:abstractNum w:abstractNumId="4">
    <w:nsid w:val="DE759F4B"/>
    <w:multiLevelType w:val="singleLevel"/>
    <w:tmpl w:val="DE759F4B"/>
    <w:lvl w:ilvl="0">
      <w:start w:val="2"/>
      <w:numFmt w:val="decimal"/>
      <w:suff w:val="space"/>
      <w:lvlText w:val="%1."/>
      <w:lvlJc w:val="left"/>
    </w:lvl>
  </w:abstractNum>
  <w:abstractNum w:abstractNumId="5">
    <w:nsid w:val="DEABE1DB"/>
    <w:multiLevelType w:val="singleLevel"/>
    <w:tmpl w:val="DEABE1DB"/>
    <w:lvl w:ilvl="0">
      <w:start w:val="23"/>
      <w:numFmt w:val="decimal"/>
      <w:suff w:val="space"/>
      <w:lvlText w:val="%1."/>
      <w:lvlJc w:val="left"/>
    </w:lvl>
  </w:abstractNum>
  <w:abstractNum w:abstractNumId="6">
    <w:nsid w:val="FFEFC674"/>
    <w:multiLevelType w:val="singleLevel"/>
    <w:tmpl w:val="FFEFC674"/>
    <w:lvl w:ilvl="0">
      <w:start w:val="1"/>
      <w:numFmt w:val="decimal"/>
      <w:suff w:val="nothing"/>
      <w:lvlText w:val="（%1）"/>
      <w:lvlJc w:val="left"/>
    </w:lvl>
  </w:abstractNum>
  <w:abstractNum w:abstractNumId="7">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8">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9">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8"/>
  </w:num>
  <w:num w:numId="2">
    <w:abstractNumId w:val="7"/>
  </w:num>
  <w:num w:numId="3">
    <w:abstractNumId w:val="9"/>
  </w:num>
  <w:num w:numId="4">
    <w:abstractNumId w:val="0"/>
  </w:num>
  <w:num w:numId="5">
    <w:abstractNumId w:val="12"/>
  </w:num>
  <w:num w:numId="6">
    <w:abstractNumId w:val="13"/>
  </w:num>
  <w:num w:numId="7">
    <w:abstractNumId w:val="2"/>
  </w:num>
  <w:num w:numId="8">
    <w:abstractNumId w:val="6"/>
  </w:num>
  <w:num w:numId="9">
    <w:abstractNumId w:val="4"/>
  </w:num>
  <w:num w:numId="10">
    <w:abstractNumId w:val="3"/>
  </w:num>
  <w:num w:numId="11">
    <w:abstractNumId w:val="11"/>
  </w:num>
  <w:num w:numId="12">
    <w:abstractNumId w:val="1"/>
  </w:num>
  <w:num w:numId="13">
    <w:abstractNumId w:val="5"/>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2"/>
  <w:stylePaneFormatFilter w:val="3F01"/>
  <w:documentProtection w:edit="trackedChanges" w:enforcement="0"/>
  <w:defaultTabStop w:val="420"/>
  <w:drawingGridHorizontalSpacing w:val="105"/>
  <w:drawingGridVerticalSpacing w:val="156"/>
  <w:noPunctuationKerning/>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doNotWrapTextWithPunct/>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2D1F"/>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7D72482"/>
    <w:rsid w:val="2C524B24"/>
    <w:rsid w:val="30901049"/>
    <w:rsid w:val="30FA7AC8"/>
    <w:rsid w:val="325C2291"/>
    <w:rsid w:val="35B53FBD"/>
    <w:rsid w:val="3653693B"/>
    <w:rsid w:val="38D40889"/>
    <w:rsid w:val="390D2D52"/>
    <w:rsid w:val="3AC23405"/>
    <w:rsid w:val="3BAE7045"/>
    <w:rsid w:val="450656E4"/>
    <w:rsid w:val="478D4909"/>
    <w:rsid w:val="48F46997"/>
    <w:rsid w:val="4E754480"/>
    <w:rsid w:val="4ED765AF"/>
    <w:rsid w:val="510E299D"/>
    <w:rsid w:val="5AE70CB8"/>
    <w:rsid w:val="5BAD110F"/>
    <w:rsid w:val="5CBB779A"/>
    <w:rsid w:val="5DF92D4C"/>
    <w:rsid w:val="62F85366"/>
    <w:rsid w:val="63161C90"/>
    <w:rsid w:val="79ED357D"/>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styleId="NormalIndent">
    <w:name w:val="Normal Indent"/>
    <w:basedOn w:val="Normal"/>
    <w:uiPriority w:val="99"/>
    <w:unhideWhenUsed/>
    <w:qFormat/>
    <w:pPr>
      <w:ind w:firstLine="420" w:firstLineChars="200"/>
    </w:pPr>
    <w:rPr>
      <w:rFonts w:asciiTheme="minorHAnsi" w:eastAsiaTheme="minorEastAsia" w:hAnsiTheme="minorHAnsi" w:cstheme="minorBidi"/>
      <w:szCs w:val="22"/>
    </w:rPr>
  </w:style>
  <w:style w:type="paragraph" w:customStyle="1" w:styleId="a2">
    <w:name w:val="表格"/>
    <w:basedOn w:val="Normal"/>
    <w:qFormat/>
    <w:pPr>
      <w:spacing w:line="440" w:lineRule="exact"/>
      <w:jc w:val="center"/>
    </w:pPr>
    <w:rPr>
      <w:rFonts w:asciiTheme="minorHAnsi" w:eastAsiaTheme="minorEastAsia" w:hAnsiTheme="minorHAnsi" w:cstheme="minorBidi"/>
      <w:color w:val="000000"/>
      <w:sz w:val="18"/>
      <w:szCs w:val="18"/>
    </w:rPr>
  </w:style>
  <w:style w:type="character" w:customStyle="1" w:styleId="font21">
    <w:name w:val="font21"/>
    <w:basedOn w:val="DefaultParagraphFont"/>
    <w:qFormat/>
    <w:rPr>
      <w:rFonts w:ascii="Times New Roman" w:hAnsi="Times New Roman" w:cs="Times New Roman"/>
      <w:color w:val="000000"/>
      <w:sz w:val="21"/>
      <w:szCs w:val="21"/>
      <w:u w:val="none"/>
    </w:rPr>
  </w:style>
  <w:style w:type="character" w:styleId="Emphasis">
    <w:name w:val="Emphasis"/>
    <w:qFormat/>
    <w:rPr>
      <w: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157260480</TotalTime>
  <Pages>38</Pages>
  <Words>24654</Words>
  <Characters>26059</Characters>
  <Application>Microsoft Office Word</Application>
  <DocSecurity>0</DocSecurity>
  <Lines>209</Lines>
  <Paragraphs>59</Paragraphs>
  <ScaleCrop>false</ScaleCrop>
  <Company>中国气象局</Company>
  <LinksUpToDate>false</LinksUpToDate>
  <CharactersWithSpaces>26175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2026-03-17T08:52:06Z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2052-12.1.0.25225</vt:lpwstr>
  </property>
  <property fmtid="{D5CDD505-2E9C-101B-9397-08002B2CF9AE}" pid="4" name="KSOTemplateDocerSaveRecord">
    <vt:lpwstr>eyJoZGlkIjoiM2FkMjdjNjAxZjdmYjI5MjMyNmE5MTA5ZjJkMDM4NmEiLCJ1c2VySWQiOiI0MTI2MjIxMDYifQ==</vt:lpwstr>
  </property>
</Properties>
</file>