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省级计量自动化能力</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ZQCD-25260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湖北省气象信息与技术保障中心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省级计量自动化能力</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ZQCD-25260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湖北</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2025年09月02日 00:00:00</w:t>
      </w:r>
      <w:bookmarkEnd w:id="26"/>
      <w:r>
        <w:rPr>
          <w:rFonts w:ascii="宋体" w:hint="eastAsia"/>
          <w:szCs w:val="21"/>
          <w:highlight w:val="none"/>
        </w:rPr>
        <w:t>至</w:t>
      </w:r>
      <w:bookmarkStart w:id="27" w:name="项目公告_signUpLastTime"/>
      <w:r>
        <w:rPr>
          <w:rFonts w:ascii="宋体" w:hint="eastAsia"/>
          <w:szCs w:val="21"/>
          <w:highlight w:val="none"/>
        </w:rPr>
        <w:t>2025年09月09日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湖北省气象信息与技术保障中心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田丹</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027-67848019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湖北省武汉市洪山区东湖东路3号湖北省气象局</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湖北省气象信息与技术保障中心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允许（仅针对以下产品：省级计量自动化信息化能力：温度自动计量系统、湿度自动计量系统、气压自动计量系统允许代理商投标）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（1）标的：省级计量自动化信息化能力，温度自动计量系统、湿度自动计量系统、气压自动计量系统，属于工业行业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593.000000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593.000000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4"/>
        <w:gridCol w:w="285"/>
        <w:gridCol w:w="1451"/>
        <w:gridCol w:w="285"/>
        <w:gridCol w:w="686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 xml:space="preserve">投标人具有 ISO9000 系列或 GJB9001B质量管理体系认证、ISO14001环境管理体系认证、ISO45001职业健康安全管理体系认证,每提供一类认证得1分，最多得3分。 </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投标人软件支撑能力</w:t>
            </w:r>
          </w:p>
        </w:tc>
        <w:tc>
          <w:tcPr/>
          <w:p>
            <w:r>
              <w:t>勾选打分</w:t>
            </w:r>
            <w:r>
              <w:t>(2)</w:t>
            </w:r>
          </w:p>
        </w:tc>
        <w:tc>
          <w:tcPr/>
          <w:p>
            <w:r>
              <w:t>评审标准：</w:t>
            </w:r>
          </w:p>
          <w:p>
            <w:r>
              <w:t>投标人独立开发大气压力、气象温度、气象湿度等计量检定系统，并获得相关软件著作权或专利等知识产权证书的，提供一项得 1 分，最多得 2 分。</w:t>
            </w:r>
          </w:p>
          <w:p>
            <w:r>
              <w:t>评审标准说明：</w:t>
            </w:r>
          </w:p>
          <w:p>
            <w:r>
              <w:t>提供证书复印件，证明材料需加盖投标人公章。</w:t>
            </w:r>
          </w:p>
          <w:p/>
        </w:tc>
      </w:tr>
      <w:tr>
        <w:tblPrEx>
          <w:tblW w:w="5000" w:type="pct"/>
          <w:tblCellMar>
            <w:left w:w="108" w:type="dxa"/>
            <w:right w:w="108" w:type="dxa"/>
          </w:tblCellMar>
        </w:tblPrEx>
        <w:tc>
          <w:tcPr/>
          <w:p>
            <w:r>
              <w:t>4</w:t>
            </w:r>
          </w:p>
        </w:tc>
        <w:tc>
          <w:tcPr>
            <w:vMerge/>
          </w:tcPr>
          <w:p>
            <w:r>
              <w:t>商务部分</w:t>
            </w:r>
          </w:p>
        </w:tc>
        <w:tc>
          <w:tcPr/>
          <w:p>
            <w:r>
              <w:t>投标人业绩（客观分）</w:t>
            </w:r>
          </w:p>
        </w:tc>
        <w:tc>
          <w:tcPr/>
          <w:p>
            <w:r>
              <w:t>勾选打分</w:t>
            </w:r>
            <w:r>
              <w:t>(4)</w:t>
            </w:r>
          </w:p>
        </w:tc>
        <w:tc>
          <w:tcPr/>
          <w:p>
            <w:r>
              <w:t>评审标准：</w:t>
            </w:r>
          </w:p>
          <w:p>
            <w:r>
              <w:t>销售合同 必须包括计量自动化相关业绩，每提供 1 份合同得 1 分， 最多得 4 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5</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6</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7</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交货期保证（客观分）</w:t>
            </w:r>
          </w:p>
        </w:tc>
        <w:tc>
          <w:tcPr/>
          <w:p>
            <w:r>
              <w:t>勾选打分</w:t>
            </w:r>
            <w:r>
              <w:t>(2)</w:t>
            </w:r>
          </w:p>
        </w:tc>
        <w:tc>
          <w:tcPr/>
          <w:p>
            <w:r>
              <w:t>评审标准：</w:t>
            </w:r>
          </w:p>
          <w:p>
            <w:r>
              <w:t>针对本项目采购计量自动化系统，承诺每提前 5天交货的得 1 分，最多得 2 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10</w:t>
            </w:r>
          </w:p>
        </w:tc>
        <w:tc>
          <w:tcPr>
            <w:vMerge/>
          </w:tcPr>
          <w:p>
            <w:r>
              <w:t>技术部分</w:t>
            </w:r>
          </w:p>
        </w:tc>
        <w:tc>
          <w:tcPr/>
          <w:p>
            <w:r>
              <w:t>投标产品技术方案及综合性能（主观分）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11</w:t>
            </w:r>
          </w:p>
        </w:tc>
        <w:tc>
          <w:tcPr>
            <w:vMerge/>
          </w:tcPr>
          <w:p>
            <w:r>
              <w:t>技术部分</w:t>
            </w:r>
          </w:p>
        </w:tc>
        <w:tc>
          <w:tcPr/>
          <w:p>
            <w:r>
              <w:t>实施方案（主观分）</w:t>
            </w:r>
          </w:p>
        </w:tc>
        <w:tc>
          <w:tcPr/>
          <w:p>
            <w:r>
              <w:t>勾选打分</w:t>
            </w:r>
            <w:r>
              <w:t>(3)</w:t>
            </w:r>
          </w:p>
        </w:tc>
        <w:tc>
          <w:tcPr/>
          <w:p>
            <w:r>
              <w:t>评审标准：</w:t>
            </w:r>
          </w:p>
          <w:p>
            <w:r>
              <w:t>一档0分</w:t>
              <w:cr/>
              <w:t>二档1分</w:t>
              <w:cr/>
              <w:t>三档2分</w:t>
              <w:cr/>
              <w:t>四档3分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12</w:t>
            </w:r>
          </w:p>
        </w:tc>
        <w:tc>
          <w:tcPr>
            <w:vMerge/>
          </w:tcPr>
          <w:p>
            <w:r>
              <w:t>技术部分</w:t>
            </w:r>
          </w:p>
        </w:tc>
        <w:tc>
          <w:tcPr/>
          <w:p>
            <w:r>
              <w:t>技术支撑能力</w:t>
            </w:r>
          </w:p>
        </w:tc>
        <w:tc>
          <w:tcPr/>
          <w:p>
            <w:r>
              <w:t>勾选打分</w:t>
            </w:r>
            <w:r>
              <w:t>(3)</w:t>
            </w:r>
          </w:p>
        </w:tc>
        <w:tc>
          <w:tcPr/>
          <w:p>
            <w:r>
              <w:t>评审标准：</w:t>
            </w:r>
          </w:p>
          <w:p>
            <w:r>
              <w:t>一档 0 分</w:t>
              <w:cr/>
              <w:t xml:space="preserve">二档 1 分 </w:t>
              <w:cr/>
              <w:t>三档 2 分</w:t>
              <w:cr/>
              <w:t>四档 3 分</w:t>
            </w:r>
          </w:p>
          <w:p>
            <w:r>
              <w:t>评审标准说明：</w:t>
            </w:r>
          </w:p>
          <w:p>
            <w:r>
              <w:t>根据投标人能为本项目提供的信息安全管理方案评分。</w:t>
              <w:cr/>
              <w:t>一档：未提供方案。</w:t>
              <w:cr/>
              <w:t>二档：信息安全管理方案简单可行性针对性差。</w:t>
              <w:cr/>
              <w:t>三档 ：信息安全管理方案详细，但可行性一般，针对性不强。</w:t>
              <w:cr/>
              <w:t>四档 ：信息安全管理方案详细，但可行性、针对性强；投标人应指派至少1 名具有信息安全高级工程师证书的技术人员负责本项目信息技术工作，提供相关人员的职称证书复印件。</w:t>
            </w:r>
          </w:p>
          <w:p/>
        </w:tc>
      </w:tr>
      <w:tr>
        <w:tblPrEx>
          <w:tblW w:w="5000" w:type="pct"/>
          <w:tblCellMar>
            <w:left w:w="108" w:type="dxa"/>
            <w:right w:w="108" w:type="dxa"/>
          </w:tblCellMar>
        </w:tblPrEx>
        <w:tc>
          <w:tcPr/>
          <w:p>
            <w:r>
              <w:t>13</w:t>
            </w:r>
          </w:p>
        </w:tc>
        <w:tc>
          <w:tcPr>
            <w:vMerge/>
          </w:tcPr>
          <w:p>
            <w:r>
              <w:t>技术部分</w:t>
            </w:r>
          </w:p>
        </w:tc>
        <w:tc>
          <w:tcPr/>
          <w:p>
            <w:r>
              <w:t>产品质量保证能力</w:t>
            </w:r>
          </w:p>
        </w:tc>
        <w:tc>
          <w:tcPr/>
          <w:p>
            <w:r>
              <w:t>勾选打分</w:t>
            </w:r>
            <w:r>
              <w:t>(5)</w:t>
            </w:r>
          </w:p>
        </w:tc>
        <w:tc>
          <w:tcPr/>
          <w:p>
            <w:r>
              <w:t>评审标准：</w:t>
            </w:r>
          </w:p>
          <w:p>
            <w:r>
              <w:t>1、投标人具有生产测试及环境测试条件（需提供生产测试设备及环境照片等资料），具有检测和校准实验室能力的第三方检测机构认可证书，提供完整材料的得3分，不提供得0分。</w:t>
              <w:cr/>
              <w:t>2、投标人具有气压、湿度或温度等气象要素《计量标准考核证书》，每提供一项，得1分，满分2 分，须提供证书复印件，否则不得分。</w:t>
            </w:r>
          </w:p>
          <w:p>
            <w:r>
              <w:t>评审标准说明：</w:t>
            </w:r>
          </w:p>
          <w:p>
            <w:r>
              <w:t>需提供证书复印件或证明材料，并加盖投标人公章。</w:t>
            </w:r>
          </w:p>
          <w:p/>
        </w:tc>
      </w:tr>
    </w:tbl>
    <w:p w:rsidR="00A77B3E">
      <w:r>
        <w:t xml:space="preserve">      </w:t>
      </w:r>
    </w:p>
    <w:p w:rsidR="00A77B3E"/>
    <w:p w:rsidR="00A77B3E">
      <w:bookmarkEnd w:id="58"/>
    </w:p>
    <w:p>
      <w:pPr>
        <w:numPr>
          <w:ilvl w:val="0"/>
          <w:numId w:val="4"/>
        </w:numPr>
        <w:spacing w:before="290" w:beforeLines="50" w:line="360" w:lineRule="auto"/>
        <w:jc w:val="center"/>
        <w:outlineLvl w:val="1"/>
        <w:rPr>
          <w:rFonts w:ascii="宋体" w:hAnsi="宋体" w:hint="eastAsia"/>
          <w:b/>
          <w:sz w:val="30"/>
          <w:szCs w:val="30"/>
        </w:rPr>
      </w:pPr>
      <w:r>
        <w:rPr>
          <w:bCs/>
          <w:szCs w:val="21"/>
          <w:highlight w:val="none"/>
        </w:rPr>
        <w:br w:type="page"/>
      </w:r>
      <w:bookmarkStart w:id="59" w:name="插入_采购需求书"/>
      <w:r>
        <w:rPr>
          <w:rFonts w:ascii="宋体" w:hAnsi="宋体" w:hint="eastAsia"/>
          <w:b/>
          <w:sz w:val="30"/>
          <w:szCs w:val="30"/>
        </w:rPr>
        <w:t xml:space="preserve"> 采购需求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hAnsi="宋体" w:hint="eastAsia"/>
          <w:szCs w:val="21"/>
        </w:rPr>
      </w:pPr>
      <w:r>
        <w:rPr>
          <w:rFonts w:ascii="宋体" w:hAnsi="宋体" w:hint="eastAsia"/>
          <w:szCs w:val="21"/>
          <w:lang w:val="en-US" w:eastAsia="zh-CN"/>
        </w:rPr>
        <w:t>3.1系统架构</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Cs w:val="21"/>
          <w:highlight w:val="none"/>
          <w:lang w:val="en-US" w:eastAsia="zh-CN"/>
        </w:rPr>
        <w:t>3.1.1</w:t>
      </w:r>
      <w:r>
        <w:rPr>
          <w:rFonts w:ascii="宋体" w:eastAsia="宋体" w:hAnsi="宋体" w:cs="宋体" w:hint="eastAsia"/>
          <w:color w:val="auto"/>
          <w:szCs w:val="21"/>
          <w:highlight w:val="none"/>
        </w:rPr>
        <w:t>温度自动计量系统</w:t>
      </w:r>
    </w:p>
    <w:p>
      <w:pPr>
        <w:keepNext w:val="0"/>
        <w:keepLines w:val="0"/>
        <w:pageBreakBefore w:val="0"/>
        <w:widowControl w:val="0"/>
        <w:kinsoku/>
        <w:wordWrap/>
        <w:overflowPunct/>
        <w:topLinePunct w:val="0"/>
        <w:autoSpaceDE/>
        <w:autoSpaceDN/>
        <w:bidi w:val="0"/>
        <w:adjustRightInd/>
        <w:snapToGrid/>
        <w:spacing w:line="240" w:lineRule="auto"/>
        <w:ind w:left="0" w:firstLine="420" w:firstLineChars="200"/>
        <w:textAlignment w:val="auto"/>
        <w:rPr>
          <w:rFonts w:ascii="宋体" w:eastAsia="宋体" w:hAnsi="宋体" w:cs="宋体" w:hint="eastAsia"/>
          <w:color w:val="auto"/>
          <w:szCs w:val="21"/>
          <w:highlight w:val="none"/>
        </w:rPr>
      </w:pPr>
      <w:r>
        <w:rPr>
          <w:rFonts w:ascii="宋体" w:eastAsia="宋体" w:hAnsi="宋体" w:cs="宋体" w:hint="eastAsia"/>
          <w:color w:val="auto"/>
          <w:szCs w:val="21"/>
          <w:highlight w:val="none"/>
        </w:rPr>
        <w:t>多槽单点恒温计量模式的硬件结构由温度标准器、温场控制设备、环境监测模块、多通道数据采集模块、传感器辅助工装件、自动输送模块、通信传输模块、供电系统和电源控制模块组成，如图</w:t>
      </w:r>
      <w:r>
        <w:rPr>
          <w:rFonts w:ascii="宋体" w:eastAsia="宋体" w:hAnsi="宋体" w:cs="宋体" w:hint="eastAsia"/>
          <w:color w:val="auto"/>
          <w:szCs w:val="21"/>
          <w:highlight w:val="none"/>
          <w:lang w:val="en-US" w:eastAsia="zh-CN"/>
        </w:rPr>
        <w:t>1</w:t>
      </w:r>
      <w:r>
        <w:rPr>
          <w:rFonts w:ascii="宋体" w:eastAsia="宋体" w:hAnsi="宋体" w:cs="宋体" w:hint="eastAsia"/>
          <w:color w:val="auto"/>
          <w:szCs w:val="21"/>
          <w:highlight w:val="none"/>
        </w:rPr>
        <w:t>所示。</w:t>
      </w:r>
    </w:p>
    <w:p>
      <w:pPr>
        <w:pStyle w:val="Default"/>
        <w:jc w:val="center"/>
        <w:rPr>
          <w:rFonts w:cs="宋体" w:hint="eastAsia"/>
          <w:color w:val="auto"/>
          <w:sz w:val="21"/>
          <w:szCs w:val="21"/>
          <w:highlight w:val="none"/>
        </w:rPr>
      </w:pPr>
      <w:r>
        <w:rPr>
          <w:rFonts w:ascii="宋体" w:eastAsia="宋体" w:cs="宋体" w:hint="eastAsia"/>
          <w:color w:val="auto"/>
          <w:sz w:val="21"/>
          <w:szCs w:val="21"/>
          <w:highlight w:val="none"/>
        </w:rPr>
        <w:drawing>
          <wp:inline distT="0" distB="0" distL="114300" distR="114300">
            <wp:extent cx="5035550" cy="3441065"/>
            <wp:effectExtent l="0" t="0" r="12700" b="6985"/>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icPr>
                  <pic:blipFill>
                    <a:blip xmlns:r="http://schemas.openxmlformats.org/officeDocument/2006/relationships" r:embed="rId6"/>
                    <a:stretch>
                      <a:fillRect/>
                    </a:stretch>
                  </pic:blipFill>
                  <pic:spPr>
                    <a:xfrm>
                      <a:off x="0" y="0"/>
                      <a:ext cx="5035550" cy="344106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60" w:lineRule="exact"/>
        <w:ind w:left="0" w:firstLine="0" w:firstLineChars="0"/>
        <w:jc w:val="center"/>
        <w:textAlignment w:val="auto"/>
        <w:rPr>
          <w:rFonts w:ascii="宋体" w:eastAsia="宋体" w:hAnsi="宋体" w:cs="宋体" w:hint="eastAsia"/>
          <w:color w:val="auto"/>
          <w:kern w:val="0"/>
          <w:szCs w:val="21"/>
          <w:highlight w:val="none"/>
        </w:rPr>
      </w:pPr>
      <w:r>
        <w:rPr>
          <w:rFonts w:ascii="宋体" w:eastAsia="宋体" w:hAnsi="宋体" w:cs="宋体" w:hint="eastAsia"/>
          <w:color w:val="auto"/>
          <w:kern w:val="0"/>
          <w:sz w:val="21"/>
          <w:szCs w:val="21"/>
          <w:highlight w:val="none"/>
        </w:rPr>
        <w:t>图</w:t>
      </w:r>
      <w:r>
        <w:rPr>
          <w:rFonts w:ascii="宋体" w:eastAsia="宋体" w:hAnsi="宋体" w:cs="宋体" w:hint="eastAsia"/>
          <w:color w:val="auto"/>
          <w:kern w:val="0"/>
          <w:sz w:val="21"/>
          <w:szCs w:val="21"/>
          <w:highlight w:val="none"/>
          <w:lang w:val="en-US" w:eastAsia="zh-CN"/>
        </w:rPr>
        <w:t>1</w:t>
      </w:r>
      <w:r>
        <w:rPr>
          <w:rFonts w:ascii="宋体" w:eastAsia="宋体" w:hAnsi="宋体" w:cs="宋体" w:hint="eastAsia"/>
          <w:color w:val="auto"/>
          <w:kern w:val="0"/>
          <w:sz w:val="21"/>
          <w:szCs w:val="21"/>
          <w:highlight w:val="none"/>
        </w:rPr>
        <w:t xml:space="preserve"> 温度自动计量系统结构框图</w:t>
      </w:r>
    </w:p>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ascii="宋体" w:eastAsia="宋体" w:hAnsi="宋体" w:cs="宋体" w:hint="eastAsia"/>
          <w:color w:val="auto"/>
          <w:kern w:val="0"/>
          <w:szCs w:val="21"/>
          <w:highlight w:val="none"/>
        </w:rPr>
      </w:pPr>
    </w:p>
    <w:p>
      <w:pPr>
        <w:keepNext w:val="0"/>
        <w:keepLines w:val="0"/>
        <w:pageBreakBefore w:val="0"/>
        <w:widowControl w:val="0"/>
        <w:kinsoku/>
        <w:wordWrap/>
        <w:overflowPunct/>
        <w:topLinePunct w:val="0"/>
        <w:bidi w:val="0"/>
        <w:adjustRightInd/>
        <w:snapToGrid/>
        <w:spacing w:line="560" w:lineRule="exact"/>
        <w:ind w:left="0" w:firstLine="0" w:firstLineChars="0"/>
        <w:textAlignment w:val="auto"/>
        <w:rPr>
          <w:rFonts w:ascii="宋体" w:eastAsia="宋体" w:hAnsi="宋体" w:cs="宋体" w:hint="eastAsia"/>
          <w:color w:val="auto"/>
          <w:szCs w:val="21"/>
          <w:highlight w:val="none"/>
        </w:rPr>
      </w:pPr>
      <w:r>
        <w:rPr>
          <w:rFonts w:ascii="宋体" w:eastAsia="宋体" w:hAnsi="宋体" w:cs="宋体" w:hint="eastAsia"/>
          <w:color w:val="auto"/>
          <w:szCs w:val="21"/>
          <w:highlight w:val="none"/>
          <w:lang w:val="en-US" w:eastAsia="zh-CN"/>
        </w:rPr>
        <w:t>3.1.2</w:t>
      </w:r>
      <w:r>
        <w:rPr>
          <w:rFonts w:ascii="宋体" w:eastAsia="宋体" w:hAnsi="宋体" w:cs="宋体" w:hint="eastAsia"/>
          <w:color w:val="auto"/>
          <w:szCs w:val="21"/>
          <w:highlight w:val="none"/>
        </w:rPr>
        <w:t>湿度自动计量系统</w:t>
      </w:r>
    </w:p>
    <w:p>
      <w:pPr>
        <w:pStyle w:val="Default"/>
        <w:keepNext w:val="0"/>
        <w:keepLines w:val="0"/>
        <w:pageBreakBefore w:val="0"/>
        <w:widowControl w:val="0"/>
        <w:kinsoku/>
        <w:wordWrap/>
        <w:overflowPunct/>
        <w:topLinePunct w:val="0"/>
        <w:bidi w:val="0"/>
        <w:adjustRightInd/>
        <w:snapToGrid/>
        <w:spacing w:line="560" w:lineRule="exact"/>
        <w:ind w:left="0" w:firstLine="420" w:firstLineChars="200"/>
        <w:textAlignment w:val="auto"/>
        <w:rPr>
          <w:rFonts w:cs="宋体" w:hint="eastAsia"/>
          <w:color w:val="auto"/>
          <w:kern w:val="2"/>
          <w:sz w:val="21"/>
          <w:szCs w:val="21"/>
          <w:highlight w:val="none"/>
        </w:rPr>
      </w:pPr>
      <w:r>
        <w:rPr>
          <w:rFonts w:ascii="宋体" w:eastAsia="宋体" w:hAnsi="宋体" w:cs="宋体" w:hint="eastAsia"/>
          <w:color w:val="auto"/>
          <w:kern w:val="2"/>
          <w:sz w:val="21"/>
          <w:szCs w:val="21"/>
          <w:highlight w:val="none"/>
        </w:rPr>
        <w:t>湿度发生器计量模式由湿度发生器（双压法）、精密露点仪、智能工装模块、自动传输模块和上位机等配套设备组成，如图</w:t>
      </w:r>
      <w:r>
        <w:rPr>
          <w:rFonts w:ascii="宋体" w:eastAsia="宋体" w:hAnsi="宋体" w:cs="宋体" w:hint="eastAsia"/>
          <w:color w:val="auto"/>
          <w:kern w:val="2"/>
          <w:sz w:val="21"/>
          <w:szCs w:val="21"/>
          <w:highlight w:val="none"/>
          <w:lang w:val="en-US" w:eastAsia="zh-CN"/>
        </w:rPr>
        <w:t>2</w:t>
      </w:r>
      <w:r>
        <w:rPr>
          <w:rFonts w:ascii="宋体" w:eastAsia="宋体" w:hAnsi="宋体" w:cs="宋体" w:hint="eastAsia"/>
          <w:color w:val="auto"/>
          <w:kern w:val="2"/>
          <w:sz w:val="21"/>
          <w:szCs w:val="21"/>
          <w:highlight w:val="none"/>
        </w:rPr>
        <w:t>所示。</w:t>
      </w:r>
    </w:p>
    <w:p>
      <w:pPr>
        <w:pStyle w:val="Default"/>
        <w:jc w:val="center"/>
        <w:rPr>
          <w:rFonts w:cs="宋体" w:hint="eastAsia"/>
          <w:color w:val="auto"/>
          <w:sz w:val="21"/>
          <w:szCs w:val="21"/>
          <w:highlight w:val="none"/>
        </w:rPr>
      </w:pPr>
      <w:r>
        <w:rPr>
          <w:rFonts w:ascii="宋体" w:eastAsia="宋体" w:cs="宋体" w:hint="eastAsia"/>
          <w:color w:val="auto"/>
          <w:sz w:val="21"/>
          <w:szCs w:val="21"/>
          <w:highlight w:val="none"/>
          <w:lang w:eastAsia="zh-CN"/>
        </w:rPr>
        <w:drawing>
          <wp:inline distT="0" distB="0" distL="114300" distR="114300">
            <wp:extent cx="5312410" cy="3314700"/>
            <wp:effectExtent l="0" t="0" r="2540" b="0"/>
            <wp:docPr id="2" name="图片 2" descr="图片2"/>
            <wp:cNvGraphicFramePr/>
            <a:graphic xmlns:a="http://schemas.openxmlformats.org/drawingml/2006/main">
              <a:graphicData uri="http://schemas.openxmlformats.org/drawingml/2006/picture">
                <pic:pic xmlns:pic="http://schemas.openxmlformats.org/drawingml/2006/picture">
                  <pic:nvPicPr>
                    <pic:cNvPr id="2" name="图片 2" descr="图片2"/>
                    <pic:cNvPicPr/>
                  </pic:nvPicPr>
                  <pic:blipFill>
                    <a:blip xmlns:r="http://schemas.openxmlformats.org/officeDocument/2006/relationships" r:embed="rId7"/>
                    <a:stretch>
                      <a:fillRect/>
                    </a:stretch>
                  </pic:blipFill>
                  <pic:spPr>
                    <a:xfrm>
                      <a:off x="0" y="0"/>
                      <a:ext cx="5312410" cy="3314700"/>
                    </a:xfrm>
                    <a:prstGeom prst="rect">
                      <a:avLst/>
                    </a:prstGeom>
                    <a:noFill/>
                    <a:ln>
                      <a:noFill/>
                    </a:ln>
                  </pic:spPr>
                </pic:pic>
              </a:graphicData>
            </a:graphic>
          </wp:inline>
        </w:drawing>
      </w:r>
    </w:p>
    <w:p>
      <w:pPr>
        <w:pStyle w:val="Default"/>
        <w:keepNext w:val="0"/>
        <w:keepLines w:val="0"/>
        <w:pageBreakBefore w:val="0"/>
        <w:widowControl w:val="0"/>
        <w:kinsoku/>
        <w:wordWrap/>
        <w:overflowPunct/>
        <w:topLinePunct w:val="0"/>
        <w:autoSpaceDE w:val="0"/>
        <w:autoSpaceDN w:val="0"/>
        <w:bidi w:val="0"/>
        <w:adjustRightInd/>
        <w:snapToGrid/>
        <w:spacing w:line="560" w:lineRule="exact"/>
        <w:jc w:val="center"/>
        <w:textAlignment w:val="auto"/>
        <w:rPr>
          <w:rFonts w:cs="宋体" w:hint="eastAsia"/>
          <w:color w:val="auto"/>
          <w:kern w:val="0"/>
          <w:sz w:val="21"/>
          <w:szCs w:val="21"/>
          <w:highlight w:val="none"/>
        </w:rPr>
      </w:pPr>
      <w:r>
        <w:rPr>
          <w:rFonts w:ascii="宋体" w:eastAsia="宋体" w:hAnsi="宋体" w:cs="宋体" w:hint="eastAsia"/>
          <w:color w:val="auto"/>
          <w:kern w:val="0"/>
          <w:sz w:val="21"/>
          <w:szCs w:val="21"/>
          <w:highlight w:val="none"/>
        </w:rPr>
        <w:t>图</w:t>
      </w:r>
      <w:r>
        <w:rPr>
          <w:rFonts w:ascii="宋体" w:eastAsia="宋体" w:hAnsi="宋体" w:cs="宋体" w:hint="eastAsia"/>
          <w:color w:val="auto"/>
          <w:kern w:val="0"/>
          <w:sz w:val="21"/>
          <w:szCs w:val="21"/>
          <w:highlight w:val="none"/>
          <w:lang w:val="en-US" w:eastAsia="zh-CN"/>
        </w:rPr>
        <w:t>2</w:t>
      </w:r>
      <w:r>
        <w:rPr>
          <w:rFonts w:ascii="宋体" w:eastAsia="宋体" w:hAnsi="宋体" w:cs="宋体" w:hint="eastAsia"/>
          <w:color w:val="auto"/>
          <w:kern w:val="0"/>
          <w:sz w:val="21"/>
          <w:szCs w:val="21"/>
          <w:highlight w:val="none"/>
        </w:rPr>
        <w:t xml:space="preserve"> </w:t>
      </w:r>
      <w:r>
        <w:rPr>
          <w:rFonts w:ascii="宋体" w:eastAsia="宋体" w:hAnsi="宋体" w:cs="宋体" w:hint="eastAsia"/>
          <w:color w:val="auto"/>
          <w:kern w:val="0"/>
          <w:sz w:val="21"/>
          <w:szCs w:val="21"/>
          <w:highlight w:val="none"/>
          <w:lang w:val="en-US" w:eastAsia="zh-CN"/>
        </w:rPr>
        <w:t>湿度</w:t>
      </w:r>
      <w:r>
        <w:rPr>
          <w:rFonts w:ascii="宋体" w:eastAsia="宋体" w:hAnsi="宋体" w:cs="宋体" w:hint="eastAsia"/>
          <w:color w:val="auto"/>
          <w:kern w:val="0"/>
          <w:sz w:val="21"/>
          <w:szCs w:val="21"/>
          <w:highlight w:val="none"/>
        </w:rPr>
        <w:t>自动计量系统结构框图</w:t>
      </w:r>
    </w:p>
    <w:p>
      <w:pPr>
        <w:pStyle w:val="Default"/>
        <w:keepNext w:val="0"/>
        <w:keepLines w:val="0"/>
        <w:pageBreakBefore w:val="0"/>
        <w:widowControl w:val="0"/>
        <w:kinsoku/>
        <w:wordWrap/>
        <w:overflowPunct/>
        <w:topLinePunct w:val="0"/>
        <w:autoSpaceDE w:val="0"/>
        <w:autoSpaceDN w:val="0"/>
        <w:bidi w:val="0"/>
        <w:adjustRightInd/>
        <w:snapToGrid/>
        <w:spacing w:line="560" w:lineRule="exact"/>
        <w:ind w:firstLine="0" w:firstLineChars="0"/>
        <w:textAlignment w:val="auto"/>
        <w:rPr>
          <w:rFonts w:cs="宋体" w:hint="eastAsia"/>
          <w:color w:val="auto"/>
          <w:kern w:val="2"/>
          <w:sz w:val="21"/>
          <w:szCs w:val="21"/>
          <w:highlight w:val="none"/>
        </w:rPr>
      </w:pPr>
      <w:r>
        <w:rPr>
          <w:rFonts w:cs="宋体" w:hint="eastAsia"/>
          <w:color w:val="auto"/>
          <w:kern w:val="2"/>
          <w:sz w:val="21"/>
          <w:szCs w:val="21"/>
          <w:highlight w:val="none"/>
          <w:lang w:val="en-US" w:eastAsia="zh-CN"/>
        </w:rPr>
        <w:t>3.1.</w:t>
      </w:r>
      <w:r>
        <w:rPr>
          <w:rFonts w:ascii="宋体" w:eastAsia="宋体" w:hAnsi="宋体" w:cs="宋体" w:hint="eastAsia"/>
          <w:color w:val="auto"/>
          <w:kern w:val="2"/>
          <w:sz w:val="21"/>
          <w:szCs w:val="21"/>
          <w:highlight w:val="none"/>
          <w:lang w:val="en-US" w:eastAsia="zh-CN"/>
        </w:rPr>
        <w:t>3</w:t>
      </w:r>
      <w:r>
        <w:rPr>
          <w:rFonts w:cs="宋体" w:hint="eastAsia"/>
          <w:color w:val="auto"/>
          <w:kern w:val="2"/>
          <w:sz w:val="21"/>
          <w:szCs w:val="21"/>
          <w:highlight w:val="none"/>
          <w:lang w:val="en-US" w:eastAsia="zh-CN"/>
        </w:rPr>
        <w:t xml:space="preserve"> </w:t>
      </w:r>
      <w:r>
        <w:rPr>
          <w:rFonts w:ascii="宋体" w:eastAsia="宋体" w:hAnsi="宋体" w:cs="宋体" w:hint="eastAsia"/>
          <w:color w:val="auto"/>
          <w:kern w:val="2"/>
          <w:sz w:val="21"/>
          <w:szCs w:val="21"/>
          <w:highlight w:val="none"/>
        </w:rPr>
        <w:t>气压自动计量系统</w:t>
      </w:r>
    </w:p>
    <w:p>
      <w:pPr>
        <w:pStyle w:val="Default"/>
        <w:keepNext w:val="0"/>
        <w:keepLines w:val="0"/>
        <w:pageBreakBefore w:val="0"/>
        <w:widowControl w:val="0"/>
        <w:kinsoku/>
        <w:wordWrap/>
        <w:overflowPunct/>
        <w:topLinePunct w:val="0"/>
        <w:autoSpaceDE w:val="0"/>
        <w:autoSpaceDN w:val="0"/>
        <w:bidi w:val="0"/>
        <w:adjustRightInd/>
        <w:snapToGrid/>
        <w:spacing w:line="560" w:lineRule="exact"/>
        <w:ind w:firstLine="420" w:firstLineChars="200"/>
        <w:textAlignment w:val="auto"/>
        <w:rPr>
          <w:rFonts w:cs="宋体" w:hint="eastAsia"/>
          <w:color w:val="auto"/>
          <w:kern w:val="2"/>
          <w:sz w:val="21"/>
          <w:szCs w:val="21"/>
          <w:highlight w:val="none"/>
        </w:rPr>
      </w:pPr>
      <w:r>
        <w:rPr>
          <w:rFonts w:ascii="宋体" w:eastAsia="宋体" w:hAnsi="宋体" w:cs="宋体" w:hint="eastAsia"/>
          <w:color w:val="auto"/>
          <w:kern w:val="2"/>
          <w:sz w:val="21"/>
          <w:szCs w:val="21"/>
          <w:highlight w:val="none"/>
        </w:rPr>
        <w:t>气压自动计量系统主要由气压标准器、气压发生器/压力控制装置、环境监测设备、多通道直流电源、通信传输模块、设备信息采集和智能识别模块、自动</w:t>
      </w:r>
      <w:r>
        <w:rPr>
          <w:rFonts w:ascii="宋体" w:eastAsia="宋体" w:hAnsi="宋体" w:cs="宋体" w:hint="eastAsia"/>
          <w:color w:val="auto"/>
          <w:kern w:val="2"/>
          <w:sz w:val="21"/>
          <w:szCs w:val="21"/>
          <w:highlight w:val="none"/>
          <w:lang w:val="en-US" w:eastAsia="zh-CN"/>
        </w:rPr>
        <w:t>传送</w:t>
      </w:r>
      <w:r>
        <w:rPr>
          <w:rFonts w:ascii="宋体" w:eastAsia="宋体" w:hAnsi="宋体" w:cs="宋体" w:hint="eastAsia"/>
          <w:color w:val="auto"/>
          <w:kern w:val="2"/>
          <w:sz w:val="21"/>
          <w:szCs w:val="21"/>
          <w:highlight w:val="none"/>
        </w:rPr>
        <w:t>系统、传感器工装板和上位机组成，如图</w:t>
      </w:r>
      <w:r>
        <w:rPr>
          <w:rFonts w:ascii="宋体" w:eastAsia="宋体" w:hAnsi="宋体" w:cs="宋体" w:hint="eastAsia"/>
          <w:color w:val="auto"/>
          <w:kern w:val="2"/>
          <w:sz w:val="21"/>
          <w:szCs w:val="21"/>
          <w:highlight w:val="none"/>
          <w:lang w:val="en-US" w:eastAsia="zh-CN"/>
        </w:rPr>
        <w:t>3</w:t>
      </w:r>
      <w:r>
        <w:rPr>
          <w:rFonts w:ascii="宋体" w:eastAsia="宋体" w:hAnsi="宋体" w:cs="宋体" w:hint="eastAsia"/>
          <w:color w:val="auto"/>
          <w:kern w:val="2"/>
          <w:sz w:val="21"/>
          <w:szCs w:val="21"/>
          <w:highlight w:val="none"/>
        </w:rPr>
        <w:t>所示。</w:t>
      </w:r>
    </w:p>
    <w:p>
      <w:pPr>
        <w:pStyle w:val="Default"/>
        <w:jc w:val="center"/>
        <w:rPr>
          <w:rFonts w:cs="宋体" w:hint="eastAsia"/>
          <w:color w:val="auto"/>
          <w:sz w:val="21"/>
          <w:szCs w:val="21"/>
          <w:highlight w:val="none"/>
        </w:rPr>
      </w:pPr>
      <w:r>
        <w:rPr>
          <w:rFonts w:ascii="宋体" w:eastAsia="宋体" w:cs="宋体" w:hint="eastAsia"/>
          <w:color w:val="auto"/>
          <w:sz w:val="21"/>
          <w:szCs w:val="21"/>
          <w:highlight w:val="none"/>
        </w:rPr>
        <w:drawing>
          <wp:inline distT="0" distB="0" distL="114300" distR="114300">
            <wp:extent cx="4970780" cy="2496820"/>
            <wp:effectExtent l="0" t="0" r="1270" b="1778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xmlns:r="http://schemas.openxmlformats.org/officeDocument/2006/relationships" r:embed="rId8"/>
                    <a:stretch>
                      <a:fillRect/>
                    </a:stretch>
                  </pic:blipFill>
                  <pic:spPr>
                    <a:xfrm>
                      <a:off x="0" y="0"/>
                      <a:ext cx="4970780" cy="24968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Cs w:val="21"/>
          <w:highlight w:val="none"/>
          <w:lang w:val="en-US" w:eastAsia="zh-CN"/>
        </w:rPr>
        <w:t>图3 气压自动计量系统结构框图</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outlineLvl w:val="9"/>
        <w:rPr>
          <w:rFonts w:ascii="宋体" w:eastAsia="宋体" w:hAnsi="宋体" w:cs="宋体" w:hint="eastAsia"/>
          <w:b/>
          <w:bCs/>
          <w:color w:val="auto"/>
          <w:szCs w:val="21"/>
          <w:highlight w:val="none"/>
        </w:rPr>
      </w:pPr>
      <w:r>
        <w:rPr>
          <w:rFonts w:ascii="宋体" w:eastAsia="宋体" w:hAnsi="宋体" w:cs="宋体" w:hint="eastAsia"/>
          <w:b w:val="0"/>
          <w:bCs w:val="0"/>
          <w:color w:val="auto"/>
          <w:sz w:val="21"/>
          <w:szCs w:val="21"/>
          <w:highlight w:val="none"/>
          <w:lang w:val="en-US" w:eastAsia="zh-CN"/>
        </w:rPr>
        <w:t>3.2</w:t>
      </w:r>
      <w:r>
        <w:rPr>
          <w:rFonts w:ascii="宋体" w:eastAsia="宋体" w:hAnsi="宋体" w:cs="宋体" w:hint="eastAsia"/>
          <w:b w:val="0"/>
          <w:bCs w:val="0"/>
          <w:color w:val="auto"/>
          <w:sz w:val="21"/>
          <w:szCs w:val="21"/>
          <w:highlight w:val="none"/>
        </w:rPr>
        <w:t>信息流程</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3.2.1温度自动计量系统</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温度自动计量系统严格按照《JJG（气象）002-2015自动气象站铂电阻温度传感器检定规程》进行，可自动生成满足规程要求的excel原始记录文件，采用《省级气象计量信息标准数据格式》规定的方式实现与省级计量管理系统的数据同步，原始记录文件可以按照用户自定义方式进行打印，并在本地进行存储。</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3.2.2 湿度自动计量系统</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湿度自动计量系统应严格按照《JJG（气象）003-2011自动气象站湿度传感器检定规程》进行，可自动生成满足规程要求的excel原始记录文件，采用《省级气象计量信息标准数据格式》规定的方式实现与省级计量管理系统的数据同步，原始记录文件可以按照用户自定义方式进行打印，并在本地进行存储。</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3.2.3气压自动计量系统</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contextualSpacing/>
        <w:textAlignment w:val="auto"/>
        <w:outlineLvl w:val="9"/>
        <w:rPr>
          <w:rFonts w:ascii="宋体" w:eastAsia="宋体" w:hAnsi="宋体" w:cs="宋体" w:hint="eastAsia"/>
          <w:b/>
          <w:bCs/>
          <w:color w:val="auto"/>
          <w:szCs w:val="21"/>
          <w:highlight w:val="none"/>
        </w:rPr>
      </w:pPr>
      <w:r>
        <w:rPr>
          <w:rFonts w:ascii="宋体" w:eastAsia="宋体" w:hAnsi="宋体" w:cs="宋体" w:hint="eastAsia"/>
          <w:b w:val="0"/>
          <w:bCs w:val="0"/>
          <w:color w:val="auto"/>
          <w:sz w:val="21"/>
          <w:szCs w:val="21"/>
          <w:highlight w:val="none"/>
          <w:lang w:val="en-US" w:eastAsia="zh-CN"/>
        </w:rPr>
        <w:t>气压自动计量系统应严格按照《JJG（气象）001-2015自动气象站气压传感器检定规程》《JJG 1084-2013数字式气压计检定规程》进行，可自动生成满足上述检定规程要求的excel原始记录文件，采用《省级气象计量信息标准数据格式》规定的数据方式实现与省级计量管理系统的数据同步，原始记录文件可以按照用户自定义方式进行打印，并在本地进行存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ascii="宋体" w:eastAsia="宋体" w:hAnsi="宋体" w:cs="宋体" w:hint="eastAsia"/>
          <w:b w:val="0"/>
          <w:bCs w:val="0"/>
          <w:color w:val="auto"/>
          <w:szCs w:val="21"/>
          <w:highlight w:val="none"/>
        </w:rPr>
      </w:pPr>
      <w:r>
        <w:rPr>
          <w:rFonts w:ascii="宋体" w:eastAsia="宋体" w:hAnsi="宋体" w:cs="宋体" w:hint="eastAsia"/>
          <w:szCs w:val="21"/>
          <w:highlight w:val="none"/>
          <w:lang w:val="en-US" w:eastAsia="zh-CN"/>
        </w:rPr>
        <w:t>3.3.1系统内</w:t>
      </w:r>
      <w:r>
        <w:rPr>
          <w:rFonts w:ascii="宋体" w:eastAsia="宋体" w:hAnsi="宋体" w:cs="宋体" w:hint="eastAsia"/>
          <w:szCs w:val="21"/>
          <w:highlight w:val="none"/>
        </w:rPr>
        <w:t>设备需求一览表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ascii="宋体" w:eastAsia="宋体" w:hAnsi="宋体" w:cs="宋体" w:hint="eastAsia"/>
          <w:b w:val="0"/>
          <w:bCs w:val="0"/>
          <w:color w:val="auto"/>
          <w:szCs w:val="21"/>
          <w:highlight w:val="none"/>
        </w:rPr>
      </w:pPr>
      <w:r>
        <w:rPr>
          <w:rFonts w:ascii="宋体" w:eastAsia="宋体" w:hAnsi="宋体" w:cs="宋体" w:hint="eastAsia"/>
          <w:b w:val="0"/>
          <w:bCs w:val="0"/>
          <w:color w:val="auto"/>
          <w:kern w:val="2"/>
          <w:sz w:val="21"/>
          <w:szCs w:val="21"/>
          <w:highlight w:val="none"/>
          <w:lang w:val="en-US" w:eastAsia="zh-CN" w:bidi="ar-SA"/>
        </w:rPr>
        <w:t>投标人应充分按用户需求，在产品选型过程中，提供的投标产品功能、性能，应满足用户技术要求， 其中，加“#”的技术指标为重要指标，可优于，不可降低标准。</w:t>
      </w:r>
    </w:p>
    <w:p>
      <w:pPr>
        <w:keepNext w:val="0"/>
        <w:keepLines w:val="0"/>
        <w:pageBreakBefore w:val="0"/>
        <w:widowControl w:val="0"/>
        <w:kinsoku/>
        <w:wordWrap/>
        <w:overflowPunct/>
        <w:topLinePunct w:val="0"/>
        <w:bidi w:val="0"/>
        <w:adjustRightInd/>
        <w:snapToGrid/>
        <w:ind w:firstLine="420" w:firstLineChars="20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3.3.1.1温度自动计量系统性能指标见表1。</w:t>
      </w:r>
    </w:p>
    <w:p>
      <w:pPr>
        <w:pStyle w:val="Default"/>
        <w:keepNext w:val="0"/>
        <w:keepLines w:val="0"/>
        <w:pageBreakBefore w:val="0"/>
        <w:widowControl w:val="0"/>
        <w:kinsoku/>
        <w:wordWrap/>
        <w:overflowPunct/>
        <w:topLinePunct w:val="0"/>
        <w:autoSpaceDE w:val="0"/>
        <w:autoSpaceDN w:val="0"/>
        <w:bidi w:val="0"/>
        <w:adjustRightInd/>
        <w:snapToGrid/>
        <w:spacing w:line="560" w:lineRule="exact"/>
        <w:jc w:val="center"/>
        <w:textAlignment w:val="auto"/>
        <w:rPr>
          <w:rFonts w:cs="宋体" w:hint="eastAsia"/>
          <w:color w:val="auto"/>
          <w:sz w:val="21"/>
          <w:szCs w:val="21"/>
          <w:highlight w:val="none"/>
        </w:rPr>
      </w:pPr>
      <w:r>
        <w:rPr>
          <w:rFonts w:ascii="宋体" w:eastAsia="宋体" w:hAnsi="宋体" w:cs="宋体" w:hint="eastAsia"/>
          <w:color w:val="auto"/>
          <w:sz w:val="21"/>
          <w:szCs w:val="21"/>
          <w:highlight w:val="none"/>
        </w:rPr>
        <w:t>表</w:t>
      </w:r>
      <w:r>
        <w:rPr>
          <w:rFonts w:ascii="宋体" w:eastAsia="宋体" w:hAnsi="宋体" w:cs="宋体" w:hint="eastAsia"/>
          <w:color w:val="auto"/>
          <w:sz w:val="21"/>
          <w:szCs w:val="21"/>
          <w:highlight w:val="none"/>
          <w:lang w:val="en-US" w:eastAsia="zh-CN"/>
        </w:rPr>
        <w:t>1</w:t>
      </w:r>
      <w:r>
        <w:rPr>
          <w:rFonts w:ascii="宋体" w:eastAsia="宋体" w:hAnsi="宋体" w:cs="宋体" w:hint="eastAsia"/>
          <w:color w:val="auto"/>
          <w:sz w:val="21"/>
          <w:szCs w:val="21"/>
          <w:highlight w:val="none"/>
        </w:rPr>
        <w:t xml:space="preserve"> 温度自动计量系统技术性能要求</w:t>
      </w:r>
    </w:p>
    <w:tbl>
      <w:tblPr>
        <w:tblStyle w:val="TableNormal"/>
        <w:tblW w:w="45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49"/>
        <w:gridCol w:w="1556"/>
        <w:gridCol w:w="4242"/>
        <w:gridCol w:w="710"/>
        <w:gridCol w:w="761"/>
      </w:tblGrid>
      <w:tr>
        <w:tblPrEx>
          <w:tblW w:w="45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577"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类别</w:t>
            </w:r>
          </w:p>
        </w:tc>
        <w:tc>
          <w:tcPr>
            <w:tcW w:w="946"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设备名称</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主要技术指标</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单位</w:t>
            </w:r>
          </w:p>
        </w:tc>
        <w:tc>
          <w:tcPr>
            <w:tcW w:w="463"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数量</w:t>
            </w:r>
          </w:p>
        </w:tc>
      </w:tr>
      <w:tr>
        <w:tblPrEx>
          <w:tblW w:w="4535" w:type="pct"/>
          <w:jc w:val="center"/>
          <w:tblLayout w:type="fixed"/>
          <w:tblCellMar>
            <w:top w:w="0" w:type="dxa"/>
            <w:left w:w="108" w:type="dxa"/>
            <w:bottom w:w="0" w:type="dxa"/>
            <w:right w:w="108" w:type="dxa"/>
          </w:tblCellMar>
        </w:tblPrEx>
        <w:trPr>
          <w:jc w:val="center"/>
        </w:trPr>
        <w:tc>
          <w:tcPr>
            <w:tcW w:w="577"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标准器</w:t>
            </w:r>
          </w:p>
        </w:tc>
        <w:tc>
          <w:tcPr>
            <w:tcW w:w="946"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标准铂电阻温度计</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eastAsia="zh-CN"/>
              </w:rPr>
              <w:t>#</w:t>
            </w:r>
            <w:r>
              <w:rPr>
                <w:rFonts w:ascii="宋体" w:eastAsia="宋体" w:hAnsi="宋体" w:cs="宋体" w:hint="eastAsia"/>
                <w:color w:val="auto"/>
                <w:sz w:val="21"/>
                <w:szCs w:val="21"/>
                <w:highlight w:val="none"/>
              </w:rPr>
              <w:t>测量范围满足：（-60～80）℃；</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准确度等级：二等。</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支</w:t>
            </w:r>
          </w:p>
        </w:tc>
        <w:tc>
          <w:tcPr>
            <w:tcW w:w="463"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8</w:t>
            </w:r>
          </w:p>
        </w:tc>
      </w:tr>
      <w:tr>
        <w:tblPrEx>
          <w:tblW w:w="4535" w:type="pct"/>
          <w:jc w:val="center"/>
          <w:tblLayout w:type="fixed"/>
          <w:tblCellMar>
            <w:top w:w="0" w:type="dxa"/>
            <w:left w:w="108" w:type="dxa"/>
            <w:bottom w:w="0" w:type="dxa"/>
            <w:right w:w="108" w:type="dxa"/>
          </w:tblCellMar>
        </w:tblPrEx>
        <w:trPr>
          <w:jc w:val="center"/>
        </w:trPr>
        <w:tc>
          <w:tcPr>
            <w:tcW w:w="577" w:type="pct"/>
            <w:vMerge w:val="restar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配套</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w:t>
            </w:r>
          </w:p>
        </w:tc>
        <w:tc>
          <w:tcPr>
            <w:tcW w:w="946"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精密测温</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电桥</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eastAsia="zh-CN"/>
              </w:rPr>
              <w:t>#</w:t>
            </w:r>
            <w:r>
              <w:rPr>
                <w:rFonts w:ascii="宋体" w:eastAsia="宋体" w:hAnsi="宋体" w:cs="宋体" w:hint="eastAsia"/>
                <w:color w:val="auto"/>
                <w:sz w:val="21"/>
                <w:szCs w:val="21"/>
                <w:highlight w:val="none"/>
              </w:rPr>
              <w:t>相对误差不大于1×10</w:t>
            </w:r>
            <w:r>
              <w:rPr>
                <w:rFonts w:ascii="宋体" w:eastAsia="宋体" w:hAnsi="宋体" w:cs="宋体" w:hint="eastAsia"/>
                <w:color w:val="auto"/>
                <w:sz w:val="21"/>
                <w:szCs w:val="21"/>
                <w:highlight w:val="none"/>
                <w:vertAlign w:val="superscript"/>
              </w:rPr>
              <w:t>-5</w:t>
            </w:r>
            <w:r>
              <w:rPr>
                <w:rFonts w:ascii="宋体" w:eastAsia="宋体" w:hAnsi="宋体" w:cs="宋体" w:hint="eastAsia"/>
                <w:color w:val="auto"/>
                <w:sz w:val="21"/>
                <w:szCs w:val="21"/>
                <w:highlight w:val="none"/>
              </w:rPr>
              <w:t>。</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套</w:t>
            </w:r>
          </w:p>
        </w:tc>
        <w:tc>
          <w:tcPr>
            <w:tcW w:w="463"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1</w:t>
            </w:r>
          </w:p>
        </w:tc>
      </w:tr>
      <w:tr>
        <w:tblPrEx>
          <w:tblW w:w="4535" w:type="pct"/>
          <w:jc w:val="center"/>
          <w:tblLayout w:type="fixed"/>
          <w:tblCellMar>
            <w:top w:w="0" w:type="dxa"/>
            <w:left w:w="108" w:type="dxa"/>
            <w:bottom w:w="0" w:type="dxa"/>
            <w:right w:w="108" w:type="dxa"/>
          </w:tblCellMar>
        </w:tblPrEx>
        <w:trPr>
          <w:jc w:val="center"/>
        </w:trPr>
        <w:tc>
          <w:tcPr>
            <w:tcW w:w="577" w:type="pct"/>
            <w:vMerge/>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p>
        </w:tc>
        <w:tc>
          <w:tcPr>
            <w:tcW w:w="946"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温场控制</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eastAsia="zh-CN"/>
              </w:rPr>
              <w:t>#</w:t>
            </w:r>
            <w:r>
              <w:rPr>
                <w:rFonts w:ascii="宋体" w:eastAsia="宋体" w:hAnsi="宋体" w:cs="宋体" w:hint="eastAsia"/>
                <w:color w:val="auto"/>
                <w:sz w:val="21"/>
                <w:szCs w:val="21"/>
                <w:highlight w:val="none"/>
              </w:rPr>
              <w:t>温度范围：（-60～80）℃；</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eastAsia="zh-CN"/>
              </w:rPr>
              <w:t>#</w:t>
            </w:r>
            <w:r>
              <w:rPr>
                <w:rFonts w:ascii="宋体" w:eastAsia="宋体" w:hAnsi="宋体" w:cs="宋体" w:hint="eastAsia"/>
                <w:color w:val="auto"/>
                <w:sz w:val="21"/>
                <w:szCs w:val="21"/>
                <w:highlight w:val="none"/>
              </w:rPr>
              <w:t>温度均匀性：水平温差≤0.02℃（-60～0）℃时，≤0.01℃（0～80）℃时；最大温差≤0.02℃（-60～0）℃时，≤0.01℃（0～80）℃时；</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eastAsia="zh-CN"/>
              </w:rPr>
              <w:t>#</w:t>
            </w:r>
            <w:r>
              <w:rPr>
                <w:rFonts w:ascii="宋体" w:eastAsia="宋体" w:hAnsi="宋体" w:cs="宋体" w:hint="eastAsia"/>
                <w:color w:val="auto"/>
                <w:sz w:val="21"/>
                <w:szCs w:val="21"/>
                <w:highlight w:val="none"/>
              </w:rPr>
              <w:t>温度波动性：0.02℃/10 min（-60～80）℃；</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有效工作区域尺寸：测试槽开口应不小于φ145 mm，深度应不小于450 mm；</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具备自动换液、补液功能；</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配备排气装置，防止导热介质挥发污染空气；</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具备远程控温设置、压缩机启停、开关机等功能。</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台</w:t>
            </w:r>
          </w:p>
        </w:tc>
        <w:tc>
          <w:tcPr>
            <w:tcW w:w="463"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4</w:t>
            </w:r>
          </w:p>
        </w:tc>
      </w:tr>
      <w:tr>
        <w:tblPrEx>
          <w:tblW w:w="4535" w:type="pct"/>
          <w:jc w:val="center"/>
          <w:tblLayout w:type="fixed"/>
          <w:tblCellMar>
            <w:top w:w="0" w:type="dxa"/>
            <w:left w:w="108" w:type="dxa"/>
            <w:bottom w:w="0" w:type="dxa"/>
            <w:right w:w="108" w:type="dxa"/>
          </w:tblCellMar>
        </w:tblPrEx>
        <w:trPr>
          <w:jc w:val="center"/>
        </w:trPr>
        <w:tc>
          <w:tcPr>
            <w:tcW w:w="577" w:type="pct"/>
            <w:vMerge/>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p>
        </w:tc>
        <w:tc>
          <w:tcPr>
            <w:tcW w:w="946"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环境监测设备</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#温度测量范围：（0～50）℃，最大允许误差：±0.5 ℃；</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#湿度测量范围：（10～90）%RH</w:t>
            </w:r>
            <w:r>
              <w:rPr>
                <w:rFonts w:ascii="宋体" w:eastAsia="宋体" w:hAnsi="宋体" w:cs="宋体" w:hint="eastAsia"/>
                <w:color w:val="auto"/>
                <w:sz w:val="21"/>
                <w:szCs w:val="21"/>
                <w:highlight w:val="none"/>
                <w:lang w:eastAsia="zh-CN"/>
              </w:rPr>
              <w:t>，</w:t>
            </w:r>
            <w:r>
              <w:rPr>
                <w:rFonts w:ascii="宋体" w:eastAsia="宋体" w:hAnsi="宋体" w:cs="宋体" w:hint="eastAsia"/>
                <w:color w:val="auto"/>
                <w:sz w:val="21"/>
                <w:szCs w:val="21"/>
                <w:highlight w:val="none"/>
              </w:rPr>
              <w:t>最大允许误差：±5 %RH</w:t>
            </w:r>
            <w:r>
              <w:rPr>
                <w:rFonts w:ascii="宋体" w:eastAsia="宋体" w:hAnsi="宋体" w:cs="宋体" w:hint="eastAsia"/>
                <w:color w:val="auto"/>
                <w:sz w:val="21"/>
                <w:szCs w:val="21"/>
                <w:highlight w:val="none"/>
                <w:lang w:eastAsia="zh-CN"/>
              </w:rPr>
              <w:t>；</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#气压测量范围：（500～1100）hPa，最大允许误差：±2.5hPa。</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套</w:t>
            </w:r>
          </w:p>
        </w:tc>
        <w:tc>
          <w:tcPr>
            <w:tcW w:w="463"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1</w:t>
            </w:r>
          </w:p>
        </w:tc>
      </w:tr>
      <w:tr>
        <w:tblPrEx>
          <w:tblW w:w="4535" w:type="pct"/>
          <w:jc w:val="center"/>
          <w:tblLayout w:type="fixed"/>
          <w:tblCellMar>
            <w:top w:w="0" w:type="dxa"/>
            <w:left w:w="108" w:type="dxa"/>
            <w:bottom w:w="0" w:type="dxa"/>
            <w:right w:w="108" w:type="dxa"/>
          </w:tblCellMar>
        </w:tblPrEx>
        <w:trPr>
          <w:jc w:val="center"/>
        </w:trPr>
        <w:tc>
          <w:tcPr>
            <w:tcW w:w="577" w:type="pct"/>
            <w:vMerge w:val="restar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辅助</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w:t>
            </w:r>
          </w:p>
        </w:tc>
        <w:tc>
          <w:tcPr>
            <w:tcW w:w="946"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供电系统及电源控制模块</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输出电压范围：（0～24）VDC；</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输出数量：单工装不低于6个测量通道；</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输出精度：±0.1 V；</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内置电池：支持不低于连续8小时供电。</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套</w:t>
            </w:r>
          </w:p>
        </w:tc>
        <w:tc>
          <w:tcPr>
            <w:tcW w:w="463"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4</w:t>
            </w:r>
          </w:p>
        </w:tc>
      </w:tr>
      <w:tr>
        <w:tblPrEx>
          <w:tblW w:w="4535" w:type="pct"/>
          <w:jc w:val="center"/>
          <w:tblLayout w:type="fixed"/>
          <w:tblCellMar>
            <w:top w:w="0" w:type="dxa"/>
            <w:left w:w="108" w:type="dxa"/>
            <w:bottom w:w="0" w:type="dxa"/>
            <w:right w:w="108" w:type="dxa"/>
          </w:tblCellMar>
        </w:tblPrEx>
        <w:trPr>
          <w:jc w:val="center"/>
        </w:trPr>
        <w:tc>
          <w:tcPr>
            <w:tcW w:w="577" w:type="pct"/>
            <w:vMerge/>
            <w:noWrap w:val="0"/>
            <w:vAlign w:val="center"/>
          </w:tcPr>
          <w:p>
            <w:pPr>
              <w:keepNext w:val="0"/>
              <w:keepLines w:val="0"/>
              <w:pageBreakBefore w:val="0"/>
              <w:kinsoku/>
              <w:wordWrap/>
              <w:overflowPunct/>
              <w:topLinePunct w:val="0"/>
              <w:autoSpaceDE/>
              <w:autoSpaceDN/>
              <w:bidi w:val="0"/>
              <w:adjustRightInd/>
              <w:snapToGrid/>
              <w:spacing w:line="300" w:lineRule="exact"/>
              <w:textAlignment w:val="auto"/>
              <w:rPr>
                <w:rFonts w:ascii="宋体" w:eastAsia="宋体" w:hAnsi="宋体" w:cs="宋体" w:hint="eastAsia"/>
                <w:color w:val="auto"/>
                <w:szCs w:val="21"/>
                <w:highlight w:val="none"/>
              </w:rPr>
            </w:pPr>
          </w:p>
        </w:tc>
        <w:tc>
          <w:tcPr>
            <w:tcW w:w="946"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通信传输模块</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支持</w:t>
            </w:r>
            <w:r>
              <w:rPr>
                <w:rFonts w:ascii="宋体" w:eastAsia="宋体" w:hAnsi="宋体" w:cs="宋体" w:hint="eastAsia"/>
                <w:color w:val="auto"/>
                <w:sz w:val="21"/>
                <w:szCs w:val="21"/>
                <w:highlight w:val="none"/>
                <w:lang w:eastAsia="zh-CN"/>
              </w:rPr>
              <w:t>Wi-Fi</w:t>
            </w:r>
            <w:r>
              <w:rPr>
                <w:rFonts w:ascii="宋体" w:eastAsia="宋体" w:hAnsi="宋体" w:cs="宋体" w:hint="eastAsia"/>
                <w:color w:val="auto"/>
                <w:sz w:val="21"/>
                <w:szCs w:val="21"/>
                <w:highlight w:val="none"/>
              </w:rPr>
              <w:t>、USB、LAN或RS-232等方式。</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套</w:t>
            </w:r>
          </w:p>
        </w:tc>
        <w:tc>
          <w:tcPr>
            <w:tcW w:w="463"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4</w:t>
            </w:r>
          </w:p>
        </w:tc>
      </w:tr>
      <w:tr>
        <w:tblPrEx>
          <w:tblW w:w="4535" w:type="pct"/>
          <w:jc w:val="center"/>
          <w:tblLayout w:type="fixed"/>
          <w:tblCellMar>
            <w:top w:w="0" w:type="dxa"/>
            <w:left w:w="108" w:type="dxa"/>
            <w:bottom w:w="0" w:type="dxa"/>
            <w:right w:w="108" w:type="dxa"/>
          </w:tblCellMar>
        </w:tblPrEx>
        <w:trPr>
          <w:jc w:val="center"/>
        </w:trPr>
        <w:tc>
          <w:tcPr>
            <w:tcW w:w="577" w:type="pct"/>
            <w:vMerge/>
            <w:noWrap w:val="0"/>
            <w:vAlign w:val="center"/>
          </w:tcPr>
          <w:p>
            <w:pPr>
              <w:keepNext w:val="0"/>
              <w:keepLines w:val="0"/>
              <w:pageBreakBefore w:val="0"/>
              <w:kinsoku/>
              <w:wordWrap/>
              <w:overflowPunct/>
              <w:topLinePunct w:val="0"/>
              <w:autoSpaceDE/>
              <w:autoSpaceDN/>
              <w:bidi w:val="0"/>
              <w:adjustRightInd/>
              <w:snapToGrid/>
              <w:spacing w:line="300" w:lineRule="exact"/>
              <w:textAlignment w:val="auto"/>
              <w:rPr>
                <w:rFonts w:ascii="宋体" w:eastAsia="宋体" w:hAnsi="宋体" w:cs="宋体" w:hint="eastAsia"/>
                <w:color w:val="auto"/>
                <w:szCs w:val="21"/>
                <w:highlight w:val="none"/>
              </w:rPr>
            </w:pPr>
          </w:p>
        </w:tc>
        <w:tc>
          <w:tcPr>
            <w:tcW w:w="946"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设备信息采集和智能识别模块</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支持被检传感器快速便捷接入系统，具备二维码扫描，自动在计量业务系统中匹配传感器基础数据信息，实现二维码、被检智能气（地）温测量仪和采集通道自动匹配。单工装可配置不低于16支温度传感器</w:t>
            </w:r>
            <w:r>
              <w:rPr>
                <w:rFonts w:ascii="宋体" w:eastAsia="宋体" w:hAnsi="宋体" w:cs="宋体" w:hint="eastAsia"/>
                <w:color w:val="auto"/>
                <w:sz w:val="21"/>
                <w:szCs w:val="21"/>
                <w:highlight w:val="none"/>
                <w:lang w:eastAsia="zh-CN"/>
              </w:rPr>
              <w:t>，</w:t>
            </w:r>
            <w:r>
              <w:rPr>
                <w:rFonts w:ascii="宋体" w:eastAsia="宋体" w:hAnsi="宋体" w:cs="宋体" w:hint="eastAsia"/>
                <w:color w:val="auto"/>
                <w:sz w:val="21"/>
                <w:szCs w:val="21"/>
                <w:highlight w:val="none"/>
              </w:rPr>
              <w:t>单工装可配置不低于6支智能气（地）温测量仪。</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套</w:t>
            </w:r>
          </w:p>
        </w:tc>
        <w:tc>
          <w:tcPr>
            <w:tcW w:w="463"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4</w:t>
            </w:r>
          </w:p>
        </w:tc>
      </w:tr>
      <w:tr>
        <w:tblPrEx>
          <w:tblW w:w="4535" w:type="pct"/>
          <w:jc w:val="center"/>
          <w:tblLayout w:type="fixed"/>
          <w:tblCellMar>
            <w:top w:w="0" w:type="dxa"/>
            <w:left w:w="108" w:type="dxa"/>
            <w:bottom w:w="0" w:type="dxa"/>
            <w:right w:w="108" w:type="dxa"/>
          </w:tblCellMar>
        </w:tblPrEx>
        <w:trPr>
          <w:jc w:val="center"/>
        </w:trPr>
        <w:tc>
          <w:tcPr>
            <w:tcW w:w="577" w:type="pct"/>
            <w:vMerge/>
            <w:noWrap w:val="0"/>
            <w:vAlign w:val="center"/>
          </w:tcPr>
          <w:p>
            <w:pPr>
              <w:keepNext w:val="0"/>
              <w:keepLines w:val="0"/>
              <w:pageBreakBefore w:val="0"/>
              <w:kinsoku/>
              <w:wordWrap/>
              <w:overflowPunct/>
              <w:topLinePunct w:val="0"/>
              <w:autoSpaceDE/>
              <w:autoSpaceDN/>
              <w:bidi w:val="0"/>
              <w:adjustRightInd/>
              <w:snapToGrid/>
              <w:spacing w:line="300" w:lineRule="exact"/>
              <w:textAlignment w:val="auto"/>
              <w:rPr>
                <w:rFonts w:ascii="宋体" w:eastAsia="宋体" w:hAnsi="宋体" w:cs="宋体" w:hint="eastAsia"/>
                <w:color w:val="auto"/>
                <w:szCs w:val="21"/>
                <w:highlight w:val="none"/>
              </w:rPr>
            </w:pPr>
          </w:p>
        </w:tc>
        <w:tc>
          <w:tcPr>
            <w:tcW w:w="946"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自动输送模块</w:t>
            </w:r>
          </w:p>
        </w:tc>
        <w:tc>
          <w:tcPr>
            <w:tcW w:w="2580" w:type="pct"/>
            <w:noWrap w:val="0"/>
            <w:vAlign w:val="center"/>
          </w:tcPr>
          <w:p>
            <w:pPr>
              <w:keepNext w:val="0"/>
              <w:keepLines w:val="0"/>
              <w:pageBreakBefore w:val="0"/>
              <w:kinsoku/>
              <w:wordWrap/>
              <w:overflowPunct/>
              <w:topLinePunct w:val="0"/>
              <w:autoSpaceDE/>
              <w:autoSpaceDN/>
              <w:bidi w:val="0"/>
              <w:adjustRightInd/>
              <w:snapToGrid/>
              <w:spacing w:line="300" w:lineRule="exac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实现被检传感器在不同温场控制设备间自动切换功能，负重能力需满足传感器工装及负荷重量要求，在加载智能气（地）温测量仪工装下具有防</w:t>
            </w:r>
            <w:r>
              <w:rPr>
                <w:rFonts w:ascii="宋体" w:eastAsia="宋体" w:hAnsi="宋体" w:cs="宋体" w:hint="eastAsia"/>
                <w:color w:val="auto"/>
                <w:sz w:val="21"/>
                <w:szCs w:val="21"/>
                <w:highlight w:val="none"/>
                <w:lang w:eastAsia="zh-CN"/>
              </w:rPr>
              <w:t>振动</w:t>
            </w:r>
            <w:r>
              <w:rPr>
                <w:rFonts w:ascii="宋体" w:eastAsia="宋体" w:hAnsi="宋体" w:cs="宋体" w:hint="eastAsia"/>
                <w:color w:val="auto"/>
                <w:sz w:val="21"/>
                <w:szCs w:val="21"/>
                <w:highlight w:val="none"/>
              </w:rPr>
              <w:t>/抖动设计，防止介质外溅。</w:t>
            </w:r>
          </w:p>
        </w:tc>
        <w:tc>
          <w:tcPr>
            <w:tcW w:w="432"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套</w:t>
            </w:r>
          </w:p>
        </w:tc>
        <w:tc>
          <w:tcPr>
            <w:tcW w:w="463"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1</w:t>
            </w:r>
          </w:p>
        </w:tc>
      </w:tr>
    </w:tbl>
    <w:p>
      <w:pPr>
        <w:pStyle w:val="Default"/>
        <w:keepNext w:val="0"/>
        <w:keepLines w:val="0"/>
        <w:pageBreakBefore w:val="0"/>
        <w:widowControl w:val="0"/>
        <w:kinsoku/>
        <w:wordWrap/>
        <w:overflowPunct/>
        <w:topLinePunct w:val="0"/>
        <w:autoSpaceDE w:val="0"/>
        <w:autoSpaceDN w:val="0"/>
        <w:bidi w:val="0"/>
        <w:adjustRightInd/>
        <w:snapToGrid/>
        <w:spacing w:line="560" w:lineRule="exact"/>
        <w:ind w:firstLine="420" w:firstLineChars="200"/>
        <w:jc w:val="both"/>
        <w:textAlignment w:val="auto"/>
        <w:outlineLvl w:val="9"/>
        <w:rPr>
          <w:rFonts w:cs="宋体" w:hint="eastAsia"/>
          <w:color w:val="auto"/>
          <w:kern w:val="2"/>
          <w:sz w:val="21"/>
          <w:szCs w:val="21"/>
          <w:highlight w:val="none"/>
        </w:rPr>
      </w:pPr>
      <w:r>
        <w:rPr>
          <w:rFonts w:ascii="宋体" w:eastAsia="宋体" w:hAnsi="宋体" w:cs="宋体" w:hint="eastAsia"/>
          <w:b w:val="0"/>
          <w:bCs w:val="0"/>
          <w:color w:val="auto"/>
          <w:sz w:val="21"/>
          <w:szCs w:val="21"/>
          <w:highlight w:val="none"/>
          <w:lang w:val="en-US" w:eastAsia="zh-CN"/>
        </w:rPr>
        <w:t>3.3.1.</w:t>
      </w:r>
      <w:r>
        <w:rPr>
          <w:rFonts w:ascii="宋体" w:eastAsia="宋体" w:hAnsi="宋体" w:cs="宋体" w:hint="eastAsia"/>
          <w:color w:val="auto"/>
          <w:kern w:val="2"/>
          <w:sz w:val="21"/>
          <w:szCs w:val="21"/>
          <w:highlight w:val="none"/>
          <w:lang w:val="en-US" w:eastAsia="zh-CN"/>
        </w:rPr>
        <w:t>2</w:t>
      </w:r>
      <w:r>
        <w:rPr>
          <w:rFonts w:cs="宋体" w:hint="eastAsia"/>
          <w:color w:val="auto"/>
          <w:kern w:val="2"/>
          <w:sz w:val="21"/>
          <w:szCs w:val="21"/>
          <w:highlight w:val="none"/>
          <w:lang w:val="en-US" w:eastAsia="zh-CN"/>
        </w:rPr>
        <w:t xml:space="preserve"> </w:t>
      </w:r>
      <w:r>
        <w:rPr>
          <w:rFonts w:ascii="宋体" w:eastAsia="宋体" w:hAnsi="宋体" w:cs="宋体" w:hint="eastAsia"/>
          <w:color w:val="auto"/>
          <w:kern w:val="2"/>
          <w:sz w:val="21"/>
          <w:szCs w:val="21"/>
          <w:highlight w:val="none"/>
        </w:rPr>
        <w:t>湿度自动计量系统</w:t>
      </w:r>
      <w:r>
        <w:rPr>
          <w:rFonts w:ascii="宋体" w:eastAsia="宋体" w:hAnsi="宋体" w:cs="宋体" w:hint="eastAsia"/>
          <w:color w:val="auto"/>
          <w:kern w:val="2"/>
          <w:sz w:val="21"/>
          <w:szCs w:val="21"/>
          <w:highlight w:val="none"/>
          <w:lang w:val="en-US" w:eastAsia="zh-CN"/>
        </w:rPr>
        <w:t>性能</w:t>
      </w:r>
      <w:r>
        <w:rPr>
          <w:rFonts w:ascii="宋体" w:eastAsia="宋体" w:hAnsi="宋体" w:cs="宋体" w:hint="eastAsia"/>
          <w:color w:val="auto"/>
          <w:kern w:val="2"/>
          <w:sz w:val="21"/>
          <w:szCs w:val="21"/>
          <w:highlight w:val="none"/>
        </w:rPr>
        <w:t>指标见表</w:t>
      </w:r>
      <w:r>
        <w:rPr>
          <w:rFonts w:ascii="宋体" w:eastAsia="宋体" w:hAnsi="宋体" w:cs="宋体" w:hint="eastAsia"/>
          <w:color w:val="auto"/>
          <w:kern w:val="2"/>
          <w:sz w:val="21"/>
          <w:szCs w:val="21"/>
          <w:highlight w:val="none"/>
          <w:lang w:val="en-US" w:eastAsia="zh-CN"/>
        </w:rPr>
        <w:t>2</w:t>
      </w:r>
      <w:r>
        <w:rPr>
          <w:rFonts w:ascii="宋体" w:eastAsia="宋体" w:hAnsi="宋体" w:cs="宋体" w:hint="eastAsia"/>
          <w:color w:val="auto"/>
          <w:kern w:val="2"/>
          <w:sz w:val="21"/>
          <w:szCs w:val="21"/>
          <w:highlight w:val="none"/>
        </w:rPr>
        <w:t>。</w:t>
      </w:r>
    </w:p>
    <w:p>
      <w:pPr>
        <w:pStyle w:val="Default"/>
        <w:keepNext w:val="0"/>
        <w:keepLines w:val="0"/>
        <w:pageBreakBefore w:val="0"/>
        <w:widowControl w:val="0"/>
        <w:kinsoku/>
        <w:wordWrap/>
        <w:overflowPunct/>
        <w:topLinePunct w:val="0"/>
        <w:autoSpaceDE w:val="0"/>
        <w:autoSpaceDN w:val="0"/>
        <w:bidi w:val="0"/>
        <w:adjustRightInd/>
        <w:snapToGrid/>
        <w:spacing w:line="560" w:lineRule="exact"/>
        <w:jc w:val="center"/>
        <w:textAlignment w:val="auto"/>
        <w:outlineLvl w:val="9"/>
        <w:rPr>
          <w:rFonts w:cs="宋体" w:hint="eastAsia"/>
          <w:color w:val="auto"/>
          <w:kern w:val="2"/>
          <w:sz w:val="21"/>
          <w:szCs w:val="21"/>
          <w:highlight w:val="none"/>
        </w:rPr>
      </w:pPr>
      <w:r>
        <w:rPr>
          <w:rFonts w:ascii="宋体" w:eastAsia="宋体" w:hAnsi="宋体" w:cs="宋体" w:hint="eastAsia"/>
          <w:color w:val="auto"/>
          <w:kern w:val="2"/>
          <w:sz w:val="21"/>
          <w:szCs w:val="21"/>
          <w:highlight w:val="none"/>
        </w:rPr>
        <w:t>表</w:t>
      </w:r>
      <w:r>
        <w:rPr>
          <w:rFonts w:ascii="宋体" w:eastAsia="宋体" w:hAnsi="宋体" w:cs="宋体" w:hint="eastAsia"/>
          <w:color w:val="auto"/>
          <w:kern w:val="2"/>
          <w:sz w:val="21"/>
          <w:szCs w:val="21"/>
          <w:highlight w:val="none"/>
          <w:lang w:val="en-US" w:eastAsia="zh-CN"/>
        </w:rPr>
        <w:t>2</w:t>
      </w:r>
      <w:r>
        <w:rPr>
          <w:rFonts w:ascii="宋体" w:eastAsia="宋体" w:hAnsi="宋体" w:cs="宋体" w:hint="eastAsia"/>
          <w:color w:val="auto"/>
          <w:kern w:val="2"/>
          <w:sz w:val="21"/>
          <w:szCs w:val="21"/>
          <w:highlight w:val="none"/>
        </w:rPr>
        <w:t xml:space="preserve"> 湿度自动计量系统技术性能要求</w:t>
      </w:r>
    </w:p>
    <w:tbl>
      <w:tblPr>
        <w:tblStyle w:val="TableNormal"/>
        <w:tblW w:w="7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75"/>
        <w:gridCol w:w="1417"/>
        <w:gridCol w:w="3969"/>
        <w:gridCol w:w="724"/>
        <w:gridCol w:w="718"/>
      </w:tblGrid>
      <w:tr>
        <w:tblPrEx>
          <w:tblW w:w="7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975" w:type="dxa"/>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类别</w:t>
            </w:r>
          </w:p>
        </w:tc>
        <w:tc>
          <w:tcPr>
            <w:tcW w:w="1417" w:type="dxa"/>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设备名称</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主要技术指标</w:t>
            </w:r>
          </w:p>
        </w:tc>
        <w:tc>
          <w:tcPr>
            <w:tcW w:w="724" w:type="dxa"/>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单位</w:t>
            </w:r>
          </w:p>
        </w:tc>
        <w:tc>
          <w:tcPr>
            <w:tcW w:w="718" w:type="dxa"/>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数量</w:t>
            </w:r>
          </w:p>
        </w:tc>
      </w:tr>
      <w:tr>
        <w:tblPrEx>
          <w:tblW w:w="7803" w:type="dxa"/>
          <w:jc w:val="center"/>
          <w:tblLayout w:type="fixed"/>
          <w:tblCellMar>
            <w:top w:w="0" w:type="dxa"/>
            <w:left w:w="108" w:type="dxa"/>
            <w:bottom w:w="0" w:type="dxa"/>
            <w:right w:w="108" w:type="dxa"/>
          </w:tblCellMar>
        </w:tblPrEx>
        <w:trPr>
          <w:jc w:val="center"/>
        </w:trPr>
        <w:tc>
          <w:tcPr>
            <w:tcW w:w="975" w:type="dxa"/>
            <w:vMerge w:val="restar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标准器</w:t>
            </w:r>
          </w:p>
        </w:tc>
        <w:tc>
          <w:tcPr>
            <w:tcW w:w="1417" w:type="dxa"/>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湿度发生器（双压法）</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#湿度范围：（10～95）%RH；</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湿度波动度：±0.2 %RH /10 min；</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#湿度最大允许误差：±1.0%RH；</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流量范围：＞80%RH时，（5～15）L/min；≤80%RH时（15～25）L/min；</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测试室尺寸：不低于φ100mm×400 mm；</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温度范围：（5～50）℃；</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温度最大允许误差：±0.1 ℃。</w:t>
            </w:r>
          </w:p>
        </w:tc>
        <w:tc>
          <w:tcPr>
            <w:tcW w:w="724"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kern w:val="0"/>
                <w:szCs w:val="21"/>
                <w:highlight w:val="none"/>
                <w:lang w:bidi="ar"/>
              </w:rPr>
            </w:pPr>
            <w:r>
              <w:rPr>
                <w:rFonts w:ascii="宋体" w:eastAsia="宋体" w:hAnsi="宋体" w:cs="宋体" w:hint="eastAsia"/>
                <w:color w:val="auto"/>
                <w:kern w:val="0"/>
                <w:sz w:val="21"/>
                <w:szCs w:val="21"/>
                <w:highlight w:val="none"/>
                <w:lang w:bidi="ar"/>
              </w:rPr>
              <w:t>台</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2</w:t>
            </w:r>
          </w:p>
        </w:tc>
      </w:tr>
      <w:tr>
        <w:tblPrEx>
          <w:tblW w:w="7803" w:type="dxa"/>
          <w:jc w:val="center"/>
          <w:tblLayout w:type="fixed"/>
          <w:tblCellMar>
            <w:top w:w="0" w:type="dxa"/>
            <w:left w:w="108" w:type="dxa"/>
            <w:bottom w:w="0" w:type="dxa"/>
            <w:right w:w="108" w:type="dxa"/>
          </w:tblCellMar>
        </w:tblPrEx>
        <w:trPr>
          <w:jc w:val="center"/>
        </w:trPr>
        <w:tc>
          <w:tcPr>
            <w:tcW w:w="975" w:type="dxa"/>
            <w:vMerge/>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p>
        </w:tc>
        <w:tc>
          <w:tcPr>
            <w:tcW w:w="1417" w:type="dxa"/>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精密露点仪</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300" w:lineRule="exac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eastAsia="zh-CN"/>
              </w:rPr>
              <w:t>#</w:t>
            </w:r>
            <w:r>
              <w:rPr>
                <w:rFonts w:ascii="宋体" w:eastAsia="宋体" w:hAnsi="宋体" w:cs="宋体" w:hint="eastAsia"/>
                <w:color w:val="auto"/>
                <w:sz w:val="21"/>
                <w:szCs w:val="21"/>
                <w:highlight w:val="none"/>
              </w:rPr>
              <w:t>露点测量范围：-20℃DP～40℃DP；</w:t>
            </w:r>
          </w:p>
          <w:p>
            <w:pPr>
              <w:keepNext w:val="0"/>
              <w:keepLines w:val="0"/>
              <w:pageBreakBefore w:val="0"/>
              <w:kinsoku/>
              <w:wordWrap/>
              <w:overflowPunct/>
              <w:topLinePunct w:val="0"/>
              <w:autoSpaceDE/>
              <w:autoSpaceDN/>
              <w:bidi w:val="0"/>
              <w:adjustRightInd/>
              <w:snapToGrid/>
              <w:spacing w:line="300" w:lineRule="exac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eastAsia="zh-CN"/>
              </w:rPr>
              <w:t>#</w:t>
            </w:r>
            <w:r>
              <w:rPr>
                <w:rFonts w:ascii="宋体" w:eastAsia="宋体" w:hAnsi="宋体" w:cs="宋体" w:hint="eastAsia"/>
                <w:color w:val="auto"/>
                <w:sz w:val="21"/>
                <w:szCs w:val="21"/>
                <w:highlight w:val="none"/>
              </w:rPr>
              <w:t>露点最大允许误差：≤±0.2℃DP；</w:t>
            </w:r>
          </w:p>
          <w:p>
            <w:pPr>
              <w:keepNext w:val="0"/>
              <w:keepLines w:val="0"/>
              <w:pageBreakBefore w:val="0"/>
              <w:kinsoku/>
              <w:wordWrap/>
              <w:overflowPunct/>
              <w:topLinePunct w:val="0"/>
              <w:autoSpaceDE/>
              <w:autoSpaceDN/>
              <w:bidi w:val="0"/>
              <w:adjustRightInd/>
              <w:snapToGrid/>
              <w:spacing w:line="300" w:lineRule="exac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湿度最大允许误差：≤±1.0%RH。</w:t>
            </w:r>
          </w:p>
        </w:tc>
        <w:tc>
          <w:tcPr>
            <w:tcW w:w="724"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kern w:val="0"/>
                <w:szCs w:val="21"/>
                <w:highlight w:val="none"/>
                <w:lang w:bidi="ar"/>
              </w:rPr>
            </w:pPr>
            <w:r>
              <w:rPr>
                <w:rFonts w:ascii="宋体" w:eastAsia="宋体" w:hAnsi="宋体" w:cs="宋体" w:hint="eastAsia"/>
                <w:color w:val="auto"/>
                <w:kern w:val="0"/>
                <w:sz w:val="21"/>
                <w:szCs w:val="21"/>
                <w:highlight w:val="none"/>
                <w:lang w:bidi="ar"/>
              </w:rPr>
              <w:t>台</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2</w:t>
            </w:r>
          </w:p>
        </w:tc>
      </w:tr>
      <w:tr>
        <w:tblPrEx>
          <w:tblW w:w="7803" w:type="dxa"/>
          <w:jc w:val="center"/>
          <w:tblLayout w:type="fixed"/>
          <w:tblCellMar>
            <w:top w:w="0" w:type="dxa"/>
            <w:left w:w="108" w:type="dxa"/>
            <w:bottom w:w="0" w:type="dxa"/>
            <w:right w:w="108" w:type="dxa"/>
          </w:tblCellMar>
        </w:tblPrEx>
        <w:trPr>
          <w:trHeight w:val="1068"/>
          <w:jc w:val="center"/>
        </w:trPr>
        <w:tc>
          <w:tcPr>
            <w:tcW w:w="975" w:type="dxa"/>
            <w:vMerge w:val="restar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配套</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w:t>
            </w:r>
          </w:p>
        </w:tc>
        <w:tc>
          <w:tcPr>
            <w:tcW w:w="1417" w:type="dxa"/>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电源控制</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模块</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输出电压范围：（0～24）VDC；</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输出数量：不低于5个。</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输出精度：±0.1V；</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内置电池：支持不低于连续8小时供电。</w:t>
            </w:r>
          </w:p>
        </w:tc>
        <w:tc>
          <w:tcPr>
            <w:tcW w:w="724"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kern w:val="0"/>
                <w:szCs w:val="21"/>
                <w:highlight w:val="none"/>
                <w:lang w:bidi="ar"/>
              </w:rPr>
            </w:pPr>
            <w:r>
              <w:rPr>
                <w:rFonts w:ascii="宋体" w:eastAsia="宋体" w:hAnsi="宋体" w:cs="宋体" w:hint="eastAsia"/>
                <w:color w:val="auto"/>
                <w:kern w:val="0"/>
                <w:sz w:val="21"/>
                <w:szCs w:val="21"/>
                <w:highlight w:val="none"/>
                <w:lang w:bidi="ar"/>
              </w:rPr>
              <w:t>套</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2</w:t>
            </w:r>
          </w:p>
        </w:tc>
      </w:tr>
      <w:tr>
        <w:tblPrEx>
          <w:tblW w:w="7803" w:type="dxa"/>
          <w:jc w:val="center"/>
          <w:tblLayout w:type="fixed"/>
          <w:tblCellMar>
            <w:top w:w="0" w:type="dxa"/>
            <w:left w:w="108" w:type="dxa"/>
            <w:bottom w:w="0" w:type="dxa"/>
            <w:right w:w="108" w:type="dxa"/>
          </w:tblCellMar>
        </w:tblPrEx>
        <w:trPr>
          <w:trHeight w:val="274"/>
          <w:jc w:val="center"/>
        </w:trPr>
        <w:tc>
          <w:tcPr>
            <w:tcW w:w="975" w:type="dxa"/>
            <w:vMerge/>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p>
        </w:tc>
        <w:tc>
          <w:tcPr>
            <w:tcW w:w="1417" w:type="dxa"/>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环境监测</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温度测量范围：（0～50）℃，最大允许误差：±0.5℃；</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w:t>
            </w:r>
            <w:r>
              <w:rPr>
                <w:rFonts w:ascii="宋体" w:eastAsia="宋体" w:hAnsi="宋体" w:cs="宋体" w:hint="eastAsia"/>
                <w:color w:val="auto"/>
                <w:sz w:val="21"/>
                <w:szCs w:val="21"/>
                <w:highlight w:val="none"/>
              </w:rPr>
              <w:t>湿度测量范围：（10～90）%RH，最大允许误差：±5 %RH；</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w:t>
            </w:r>
            <w:r>
              <w:rPr>
                <w:rFonts w:ascii="宋体" w:eastAsia="宋体" w:hAnsi="宋体" w:cs="宋体" w:hint="eastAsia"/>
                <w:color w:val="auto"/>
                <w:sz w:val="21"/>
                <w:szCs w:val="21"/>
                <w:highlight w:val="none"/>
              </w:rPr>
              <w:t>气压测量范围：（500～1100）hPa，最大允许误差：±2.5hPa。</w:t>
            </w:r>
          </w:p>
        </w:tc>
        <w:tc>
          <w:tcPr>
            <w:tcW w:w="724"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kern w:val="0"/>
                <w:szCs w:val="21"/>
                <w:highlight w:val="none"/>
                <w:lang w:bidi="ar"/>
              </w:rPr>
            </w:pPr>
            <w:r>
              <w:rPr>
                <w:rFonts w:ascii="宋体" w:eastAsia="宋体" w:hAnsi="宋体" w:cs="宋体" w:hint="eastAsia"/>
                <w:color w:val="auto"/>
                <w:kern w:val="0"/>
                <w:sz w:val="21"/>
                <w:szCs w:val="21"/>
                <w:highlight w:val="none"/>
                <w:lang w:bidi="ar"/>
              </w:rPr>
              <w:t>套</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1</w:t>
            </w:r>
          </w:p>
        </w:tc>
      </w:tr>
      <w:tr>
        <w:tblPrEx>
          <w:tblW w:w="7803" w:type="dxa"/>
          <w:jc w:val="center"/>
          <w:tblLayout w:type="fixed"/>
          <w:tblCellMar>
            <w:top w:w="0" w:type="dxa"/>
            <w:left w:w="108" w:type="dxa"/>
            <w:bottom w:w="0" w:type="dxa"/>
            <w:right w:w="108" w:type="dxa"/>
          </w:tblCellMar>
        </w:tblPrEx>
        <w:trPr>
          <w:trHeight w:val="1068"/>
          <w:jc w:val="center"/>
        </w:trPr>
        <w:tc>
          <w:tcPr>
            <w:tcW w:w="975" w:type="dxa"/>
            <w:vMerge/>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p>
        </w:tc>
        <w:tc>
          <w:tcPr>
            <w:tcW w:w="1417" w:type="dxa"/>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设备信息采集和智能识别模块</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支持线路盲接和智能识别功能，具备二维码扫描，自动在计量业务系统中匹配智能湿度测量仪基础数据信息，实现二维码、被检传感器和采集通道自动匹配。</w:t>
            </w:r>
          </w:p>
        </w:tc>
        <w:tc>
          <w:tcPr>
            <w:tcW w:w="724"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kern w:val="0"/>
                <w:szCs w:val="21"/>
                <w:highlight w:val="none"/>
                <w:lang w:bidi="ar"/>
              </w:rPr>
            </w:pPr>
            <w:r>
              <w:rPr>
                <w:rFonts w:ascii="宋体" w:eastAsia="宋体" w:hAnsi="宋体" w:cs="宋体" w:hint="eastAsia"/>
                <w:color w:val="auto"/>
                <w:kern w:val="0"/>
                <w:sz w:val="21"/>
                <w:szCs w:val="21"/>
                <w:highlight w:val="none"/>
                <w:lang w:bidi="ar"/>
              </w:rPr>
              <w:t>套</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2</w:t>
            </w:r>
          </w:p>
        </w:tc>
      </w:tr>
      <w:tr>
        <w:tblPrEx>
          <w:tblW w:w="7803" w:type="dxa"/>
          <w:jc w:val="center"/>
          <w:tblLayout w:type="fixed"/>
          <w:tblCellMar>
            <w:top w:w="0" w:type="dxa"/>
            <w:left w:w="108" w:type="dxa"/>
            <w:bottom w:w="0" w:type="dxa"/>
            <w:right w:w="108" w:type="dxa"/>
          </w:tblCellMar>
        </w:tblPrEx>
        <w:trPr>
          <w:trHeight w:val="743"/>
          <w:jc w:val="center"/>
        </w:trPr>
        <w:tc>
          <w:tcPr>
            <w:tcW w:w="975" w:type="dxa"/>
            <w:vMerge/>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p>
        </w:tc>
        <w:tc>
          <w:tcPr>
            <w:tcW w:w="1417" w:type="dxa"/>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通信传输</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模块</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通信接口支持</w:t>
            </w:r>
            <w:r>
              <w:rPr>
                <w:rFonts w:ascii="宋体" w:eastAsia="宋体" w:hAnsi="宋体" w:cs="宋体" w:hint="eastAsia"/>
                <w:color w:val="auto"/>
                <w:sz w:val="21"/>
                <w:szCs w:val="21"/>
                <w:highlight w:val="none"/>
                <w:lang w:eastAsia="zh-CN"/>
              </w:rPr>
              <w:t>Wi-Fi</w:t>
            </w:r>
            <w:r>
              <w:rPr>
                <w:rFonts w:ascii="宋体" w:eastAsia="宋体" w:hAnsi="宋体" w:cs="宋体" w:hint="eastAsia"/>
                <w:color w:val="auto"/>
                <w:sz w:val="21"/>
                <w:szCs w:val="21"/>
                <w:highlight w:val="none"/>
              </w:rPr>
              <w:t>、USB、LAN或RS232等方式。</w:t>
            </w:r>
          </w:p>
        </w:tc>
        <w:tc>
          <w:tcPr>
            <w:tcW w:w="724"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kern w:val="0"/>
                <w:szCs w:val="21"/>
                <w:highlight w:val="none"/>
                <w:lang w:bidi="ar"/>
              </w:rPr>
            </w:pPr>
            <w:r>
              <w:rPr>
                <w:rFonts w:ascii="宋体" w:eastAsia="宋体" w:hAnsi="宋体" w:cs="宋体" w:hint="eastAsia"/>
                <w:color w:val="auto"/>
                <w:kern w:val="0"/>
                <w:sz w:val="21"/>
                <w:szCs w:val="21"/>
                <w:highlight w:val="none"/>
                <w:lang w:bidi="ar"/>
              </w:rPr>
              <w:t>套</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2</w:t>
            </w:r>
          </w:p>
        </w:tc>
      </w:tr>
      <w:tr>
        <w:tblPrEx>
          <w:tblW w:w="7803" w:type="dxa"/>
          <w:jc w:val="center"/>
          <w:tblLayout w:type="fixed"/>
          <w:tblCellMar>
            <w:top w:w="0" w:type="dxa"/>
            <w:left w:w="108" w:type="dxa"/>
            <w:bottom w:w="0" w:type="dxa"/>
            <w:right w:w="108" w:type="dxa"/>
          </w:tblCellMar>
        </w:tblPrEx>
        <w:trPr>
          <w:jc w:val="center"/>
        </w:trPr>
        <w:tc>
          <w:tcPr>
            <w:tcW w:w="975" w:type="dxa"/>
            <w:vMerge/>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p>
        </w:tc>
        <w:tc>
          <w:tcPr>
            <w:tcW w:w="1417" w:type="dxa"/>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自动传输</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模块</w:t>
            </w:r>
          </w:p>
        </w:tc>
        <w:tc>
          <w:tcPr>
            <w:tcW w:w="3969" w:type="dxa"/>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负重能力需满足传感器工装及负荷重量要求，在加载智能湿度测量仪工装下具有防</w:t>
            </w:r>
            <w:r>
              <w:rPr>
                <w:rFonts w:ascii="宋体" w:eastAsia="宋体" w:hAnsi="宋体" w:cs="宋体" w:hint="eastAsia"/>
                <w:color w:val="auto"/>
                <w:sz w:val="21"/>
                <w:szCs w:val="21"/>
                <w:highlight w:val="none"/>
                <w:lang w:eastAsia="zh-CN"/>
              </w:rPr>
              <w:t>振动</w:t>
            </w:r>
            <w:r>
              <w:rPr>
                <w:rFonts w:ascii="宋体" w:eastAsia="宋体" w:hAnsi="宋体" w:cs="宋体" w:hint="eastAsia"/>
                <w:color w:val="auto"/>
                <w:sz w:val="21"/>
                <w:szCs w:val="21"/>
                <w:highlight w:val="none"/>
              </w:rPr>
              <w:t>/抖动设计。</w:t>
            </w:r>
          </w:p>
        </w:tc>
        <w:tc>
          <w:tcPr>
            <w:tcW w:w="724"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kern w:val="0"/>
                <w:szCs w:val="21"/>
                <w:highlight w:val="none"/>
                <w:lang w:bidi="ar"/>
              </w:rPr>
            </w:pPr>
            <w:r>
              <w:rPr>
                <w:rFonts w:ascii="宋体" w:eastAsia="宋体" w:hAnsi="宋体" w:cs="宋体" w:hint="eastAsia"/>
                <w:color w:val="auto"/>
                <w:kern w:val="0"/>
                <w:sz w:val="21"/>
                <w:szCs w:val="21"/>
                <w:highlight w:val="none"/>
                <w:lang w:bidi="ar"/>
              </w:rPr>
              <w:t>套</w:t>
            </w:r>
          </w:p>
        </w:tc>
        <w:tc>
          <w:tcPr>
            <w:tcW w:w="718" w:type="dxa"/>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1</w:t>
            </w:r>
          </w:p>
        </w:tc>
      </w:tr>
    </w:tbl>
    <w:p>
      <w:pPr>
        <w:pStyle w:val="Default"/>
        <w:keepNext w:val="0"/>
        <w:keepLines w:val="0"/>
        <w:pageBreakBefore w:val="0"/>
        <w:widowControl w:val="0"/>
        <w:kinsoku/>
        <w:wordWrap/>
        <w:overflowPunct/>
        <w:topLinePunct w:val="0"/>
        <w:autoSpaceDE w:val="0"/>
        <w:autoSpaceDN w:val="0"/>
        <w:bidi w:val="0"/>
        <w:adjustRightInd/>
        <w:snapToGrid/>
        <w:spacing w:line="560" w:lineRule="exact"/>
        <w:ind w:firstLine="420" w:firstLineChars="200"/>
        <w:jc w:val="both"/>
        <w:textAlignment w:val="auto"/>
        <w:rPr>
          <w:rFonts w:cs="宋体" w:hint="eastAsia"/>
          <w:color w:val="auto"/>
          <w:sz w:val="21"/>
          <w:szCs w:val="21"/>
          <w:highlight w:val="none"/>
        </w:rPr>
      </w:pPr>
      <w:r>
        <w:rPr>
          <w:rFonts w:ascii="宋体" w:eastAsia="宋体" w:hAnsi="宋体" w:cs="宋体" w:hint="eastAsia"/>
          <w:b w:val="0"/>
          <w:bCs w:val="0"/>
          <w:color w:val="auto"/>
          <w:sz w:val="21"/>
          <w:szCs w:val="21"/>
          <w:highlight w:val="none"/>
          <w:lang w:val="en-US" w:eastAsia="zh-CN"/>
        </w:rPr>
        <w:t>3.3.1.</w:t>
      </w:r>
      <w:r>
        <w:rPr>
          <w:rFonts w:ascii="宋体" w:eastAsia="宋体" w:hAnsi="宋体" w:cs="宋体" w:hint="eastAsia"/>
          <w:color w:val="auto"/>
          <w:sz w:val="21"/>
          <w:szCs w:val="21"/>
          <w:highlight w:val="none"/>
          <w:lang w:val="en-US" w:eastAsia="zh-CN"/>
        </w:rPr>
        <w:t>3</w:t>
      </w:r>
      <w:r>
        <w:rPr>
          <w:rFonts w:cs="宋体" w:hint="eastAsia"/>
          <w:color w:val="auto"/>
          <w:sz w:val="21"/>
          <w:szCs w:val="21"/>
          <w:highlight w:val="none"/>
          <w:lang w:val="en-US" w:eastAsia="zh-CN"/>
        </w:rPr>
        <w:t xml:space="preserve"> </w:t>
      </w:r>
      <w:r>
        <w:rPr>
          <w:rFonts w:ascii="宋体" w:eastAsia="宋体" w:hAnsi="宋体" w:cs="宋体" w:hint="eastAsia"/>
          <w:color w:val="auto"/>
          <w:sz w:val="21"/>
          <w:szCs w:val="21"/>
          <w:highlight w:val="none"/>
          <w:lang w:val="en-US" w:eastAsia="zh-CN"/>
        </w:rPr>
        <w:t>气压</w:t>
      </w:r>
      <w:r>
        <w:rPr>
          <w:rFonts w:ascii="宋体" w:eastAsia="宋体" w:hAnsi="宋体" w:cs="宋体" w:hint="eastAsia"/>
          <w:color w:val="auto"/>
          <w:sz w:val="21"/>
          <w:szCs w:val="21"/>
          <w:highlight w:val="none"/>
        </w:rPr>
        <w:t>自动计量系统性能指标见表</w:t>
      </w:r>
      <w:r>
        <w:rPr>
          <w:rFonts w:ascii="宋体" w:eastAsia="宋体" w:hAnsi="宋体" w:cs="宋体" w:hint="eastAsia"/>
          <w:color w:val="auto"/>
          <w:sz w:val="21"/>
          <w:szCs w:val="21"/>
          <w:highlight w:val="none"/>
          <w:lang w:val="en-US" w:eastAsia="zh-CN"/>
        </w:rPr>
        <w:t>3</w:t>
      </w:r>
      <w:r>
        <w:rPr>
          <w:rFonts w:ascii="宋体" w:eastAsia="宋体" w:hAnsi="宋体" w:cs="宋体" w:hint="eastAsia"/>
          <w:color w:val="auto"/>
          <w:sz w:val="21"/>
          <w:szCs w:val="21"/>
          <w:highlight w:val="none"/>
        </w:rPr>
        <w:t>。</w:t>
      </w:r>
    </w:p>
    <w:p>
      <w:pPr>
        <w:pStyle w:val="Default"/>
        <w:keepNext w:val="0"/>
        <w:keepLines w:val="0"/>
        <w:pageBreakBefore w:val="0"/>
        <w:widowControl w:val="0"/>
        <w:kinsoku/>
        <w:wordWrap/>
        <w:overflowPunct/>
        <w:topLinePunct w:val="0"/>
        <w:autoSpaceDE w:val="0"/>
        <w:autoSpaceDN w:val="0"/>
        <w:bidi w:val="0"/>
        <w:adjustRightInd/>
        <w:snapToGrid/>
        <w:spacing w:line="560" w:lineRule="exact"/>
        <w:jc w:val="center"/>
        <w:textAlignment w:val="auto"/>
        <w:rPr>
          <w:rFonts w:cs="宋体" w:hint="eastAsia"/>
          <w:color w:val="auto"/>
          <w:sz w:val="21"/>
          <w:szCs w:val="21"/>
          <w:highlight w:val="none"/>
        </w:rPr>
      </w:pPr>
      <w:r>
        <w:rPr>
          <w:rFonts w:ascii="宋体" w:eastAsia="宋体" w:hAnsi="宋体" w:cs="宋体" w:hint="eastAsia"/>
          <w:color w:val="auto"/>
          <w:sz w:val="21"/>
          <w:szCs w:val="21"/>
          <w:highlight w:val="none"/>
        </w:rPr>
        <w:t>表</w:t>
      </w:r>
      <w:r>
        <w:rPr>
          <w:rFonts w:ascii="宋体" w:eastAsia="宋体" w:hAnsi="宋体" w:cs="宋体" w:hint="eastAsia"/>
          <w:color w:val="auto"/>
          <w:sz w:val="21"/>
          <w:szCs w:val="21"/>
          <w:highlight w:val="none"/>
          <w:lang w:val="en-US" w:eastAsia="zh-CN"/>
        </w:rPr>
        <w:t>3</w:t>
      </w:r>
      <w:r>
        <w:rPr>
          <w:rFonts w:ascii="宋体" w:eastAsia="宋体" w:hAnsi="宋体" w:cs="宋体" w:hint="eastAsia"/>
          <w:color w:val="auto"/>
          <w:sz w:val="21"/>
          <w:szCs w:val="21"/>
          <w:highlight w:val="none"/>
        </w:rPr>
        <w:t xml:space="preserve"> 气压自动计量系统技术性能要求</w:t>
      </w:r>
    </w:p>
    <w:tbl>
      <w:tblPr>
        <w:tblStyle w:val="TableNormal"/>
        <w:tblW w:w="45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45"/>
        <w:gridCol w:w="1431"/>
        <w:gridCol w:w="4325"/>
        <w:gridCol w:w="787"/>
        <w:gridCol w:w="787"/>
      </w:tblGrid>
      <w:tr>
        <w:tblPrEx>
          <w:tblW w:w="45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571"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类别</w:t>
            </w:r>
          </w:p>
        </w:tc>
        <w:tc>
          <w:tcPr>
            <w:tcW w:w="864"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设备名称</w:t>
            </w:r>
          </w:p>
        </w:tc>
        <w:tc>
          <w:tcPr>
            <w:tcW w:w="2612"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主要技术指标</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单位</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数量</w:t>
            </w:r>
          </w:p>
        </w:tc>
      </w:tr>
      <w:tr>
        <w:tblPrEx>
          <w:tblW w:w="4566" w:type="pct"/>
          <w:jc w:val="center"/>
          <w:tblLayout w:type="fixed"/>
          <w:tblCellMar>
            <w:top w:w="0" w:type="dxa"/>
            <w:left w:w="108" w:type="dxa"/>
            <w:bottom w:w="0" w:type="dxa"/>
            <w:right w:w="108" w:type="dxa"/>
          </w:tblCellMar>
        </w:tblPrEx>
        <w:trPr>
          <w:jc w:val="center"/>
        </w:trPr>
        <w:tc>
          <w:tcPr>
            <w:tcW w:w="571"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标准器</w:t>
            </w:r>
          </w:p>
        </w:tc>
        <w:tc>
          <w:tcPr>
            <w:tcW w:w="864"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绝压型气体活塞式压力计</w:t>
            </w:r>
          </w:p>
        </w:tc>
        <w:tc>
          <w:tcPr>
            <w:tcW w:w="2612"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eastAsia="zh-CN"/>
              </w:rPr>
              <w:t>#</w:t>
            </w:r>
            <w:r>
              <w:rPr>
                <w:rFonts w:ascii="宋体" w:eastAsia="宋体" w:hAnsi="宋体" w:cs="宋体" w:hint="eastAsia"/>
                <w:color w:val="auto"/>
                <w:sz w:val="21"/>
                <w:szCs w:val="21"/>
                <w:highlight w:val="none"/>
              </w:rPr>
              <w:t>测量范围：（100～1600） hPa；</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准确度等级：0.01级；</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压力计最大允许误差：实际测量压力值的±0.01%；</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eastAsia="zh-CN"/>
              </w:rPr>
              <w:t>#</w:t>
            </w:r>
            <w:r>
              <w:rPr>
                <w:rFonts w:ascii="宋体" w:eastAsia="宋体" w:hAnsi="宋体" w:cs="宋体" w:hint="eastAsia"/>
                <w:color w:val="auto"/>
                <w:sz w:val="21"/>
                <w:szCs w:val="21"/>
                <w:highlight w:val="none"/>
              </w:rPr>
              <w:t>活塞有效面积：不小于0.97 cm</w:t>
            </w:r>
            <w:r>
              <w:rPr>
                <w:rFonts w:ascii="宋体" w:eastAsia="宋体" w:hAnsi="宋体" w:cs="宋体" w:hint="eastAsia"/>
                <w:color w:val="auto"/>
                <w:sz w:val="21"/>
                <w:szCs w:val="21"/>
                <w:highlight w:val="none"/>
                <w:vertAlign w:val="superscript"/>
              </w:rPr>
              <w:t>2</w:t>
            </w:r>
            <w:r>
              <w:rPr>
                <w:rFonts w:ascii="宋体" w:eastAsia="宋体" w:hAnsi="宋体" w:cs="宋体" w:hint="eastAsia"/>
                <w:color w:val="auto"/>
                <w:sz w:val="21"/>
                <w:szCs w:val="21"/>
                <w:highlight w:val="none"/>
              </w:rPr>
              <w:t>；</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活塞有效面积最大允许误差：±0.006%；</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活塞及其连接件质量和专用砝码质量最大允许误差：±0.003%；</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活塞垂直度：不大于2′；</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测量范围下限的专用砝码外径：不大于180 mm；</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eastAsia="zh-CN"/>
              </w:rPr>
              <w:t>#</w:t>
            </w:r>
            <w:r>
              <w:rPr>
                <w:rFonts w:ascii="宋体" w:eastAsia="宋体" w:hAnsi="宋体" w:cs="宋体" w:hint="eastAsia"/>
                <w:color w:val="auto"/>
                <w:sz w:val="21"/>
                <w:szCs w:val="21"/>
                <w:highlight w:val="none"/>
              </w:rPr>
              <w:t>活塞转动延续时间：不小于50 s；</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eastAsia="zh-CN"/>
              </w:rPr>
              <w:t>#</w:t>
            </w:r>
            <w:r>
              <w:rPr>
                <w:rFonts w:ascii="宋体" w:eastAsia="宋体" w:hAnsi="宋体" w:cs="宋体" w:hint="eastAsia"/>
                <w:color w:val="auto"/>
                <w:sz w:val="21"/>
                <w:szCs w:val="21"/>
                <w:highlight w:val="none"/>
              </w:rPr>
              <w:t>活塞下降速度：不大于1.2 mm/min；</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鉴别阈：不超过与测量范围下限最大允许误差绝对值相应的砝码质量值，一般放大到5 mg的整数倍最接近的值；</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密封性：在压力计测量范围上限试验压力下，压力计校验器密封性试验的后5 min压力下降值不超过试验压力的2%；</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活塞有效面积周期变化：不大于0.006%。</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1</w:t>
            </w:r>
          </w:p>
        </w:tc>
      </w:tr>
      <w:tr>
        <w:tblPrEx>
          <w:tblW w:w="4566" w:type="pct"/>
          <w:jc w:val="center"/>
          <w:tblLayout w:type="fixed"/>
          <w:tblCellMar>
            <w:top w:w="0" w:type="dxa"/>
            <w:left w:w="108" w:type="dxa"/>
            <w:bottom w:w="0" w:type="dxa"/>
            <w:right w:w="108" w:type="dxa"/>
          </w:tblCellMar>
        </w:tblPrEx>
        <w:trPr>
          <w:jc w:val="center"/>
        </w:trPr>
        <w:tc>
          <w:tcPr>
            <w:tcW w:w="571" w:type="pct"/>
            <w:vMerge w:val="restar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配套</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w:t>
            </w:r>
          </w:p>
        </w:tc>
        <w:tc>
          <w:tcPr>
            <w:tcW w:w="864"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气体压力控制装置</w:t>
            </w:r>
          </w:p>
        </w:tc>
        <w:tc>
          <w:tcPr>
            <w:tcW w:w="2612"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一般由压力源、真空源和压力调节器组成。</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1</w:t>
            </w:r>
          </w:p>
        </w:tc>
      </w:tr>
      <w:tr>
        <w:tblPrEx>
          <w:tblW w:w="4566" w:type="pct"/>
          <w:jc w:val="center"/>
          <w:tblLayout w:type="fixed"/>
          <w:tblCellMar>
            <w:top w:w="0" w:type="dxa"/>
            <w:left w:w="108" w:type="dxa"/>
            <w:bottom w:w="0" w:type="dxa"/>
            <w:right w:w="108" w:type="dxa"/>
          </w:tblCellMar>
        </w:tblPrEx>
        <w:trPr>
          <w:jc w:val="center"/>
        </w:trPr>
        <w:tc>
          <w:tcPr>
            <w:tcW w:w="571" w:type="pct"/>
            <w:vMerge/>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p>
        </w:tc>
        <w:tc>
          <w:tcPr>
            <w:tcW w:w="864"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环境监测</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w:t>
            </w:r>
          </w:p>
        </w:tc>
        <w:tc>
          <w:tcPr>
            <w:tcW w:w="2612"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温度测量范围：（0～50）℃，最大允许误差：±0.5℃；</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w:t>
            </w:r>
            <w:r>
              <w:rPr>
                <w:rFonts w:ascii="宋体" w:eastAsia="宋体" w:hAnsi="宋体" w:cs="宋体" w:hint="eastAsia"/>
                <w:color w:val="auto"/>
                <w:sz w:val="21"/>
                <w:szCs w:val="21"/>
                <w:highlight w:val="none"/>
              </w:rPr>
              <w:t>湿度测量范围：（10～90）%RH，最大允许误差：±5 %RH；</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lang w:val="en-US" w:eastAsia="zh-CN"/>
              </w:rPr>
              <w:t>#</w:t>
            </w:r>
            <w:r>
              <w:rPr>
                <w:rFonts w:ascii="宋体" w:eastAsia="宋体" w:hAnsi="宋体" w:cs="宋体" w:hint="eastAsia"/>
                <w:color w:val="auto"/>
                <w:sz w:val="21"/>
                <w:szCs w:val="21"/>
                <w:highlight w:val="none"/>
              </w:rPr>
              <w:t>气压测量范围：（500～1100）hPa，最大允许误差：±2.5hPa。</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1</w:t>
            </w:r>
          </w:p>
        </w:tc>
      </w:tr>
      <w:tr>
        <w:tblPrEx>
          <w:tblW w:w="4566" w:type="pct"/>
          <w:jc w:val="center"/>
          <w:tblLayout w:type="fixed"/>
          <w:tblCellMar>
            <w:top w:w="0" w:type="dxa"/>
            <w:left w:w="108" w:type="dxa"/>
            <w:bottom w:w="0" w:type="dxa"/>
            <w:right w:w="108" w:type="dxa"/>
          </w:tblCellMar>
        </w:tblPrEx>
        <w:trPr>
          <w:jc w:val="center"/>
        </w:trPr>
        <w:tc>
          <w:tcPr>
            <w:tcW w:w="571" w:type="pct"/>
            <w:vMerge w:val="restar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辅助</w:t>
            </w:r>
          </w:p>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w:t>
            </w:r>
          </w:p>
        </w:tc>
        <w:tc>
          <w:tcPr>
            <w:tcW w:w="864"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电源控制</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模块</w:t>
            </w:r>
          </w:p>
        </w:tc>
        <w:tc>
          <w:tcPr>
            <w:tcW w:w="2612"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输出电压范围：（0～24）VDC；</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输出电压精度：±0.1V；</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要求：各通道可独立设置（0～24）VDC的可调电压输出。</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1</w:t>
            </w:r>
          </w:p>
        </w:tc>
      </w:tr>
      <w:tr>
        <w:tblPrEx>
          <w:tblW w:w="4566" w:type="pct"/>
          <w:jc w:val="center"/>
          <w:tblLayout w:type="fixed"/>
          <w:tblCellMar>
            <w:top w:w="0" w:type="dxa"/>
            <w:left w:w="108" w:type="dxa"/>
            <w:bottom w:w="0" w:type="dxa"/>
            <w:right w:w="108" w:type="dxa"/>
          </w:tblCellMar>
        </w:tblPrEx>
        <w:trPr>
          <w:jc w:val="center"/>
        </w:trPr>
        <w:tc>
          <w:tcPr>
            <w:tcW w:w="571" w:type="pct"/>
            <w:vMerge/>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p>
        </w:tc>
        <w:tc>
          <w:tcPr>
            <w:tcW w:w="864"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通信传输</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模块</w:t>
            </w:r>
          </w:p>
        </w:tc>
        <w:tc>
          <w:tcPr>
            <w:tcW w:w="2612"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通道数量：不少于16路；</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接口要求：支持RS232/RS485、LAN接口、</w:t>
            </w:r>
            <w:r>
              <w:rPr>
                <w:rFonts w:ascii="宋体" w:eastAsia="宋体" w:hAnsi="宋体" w:cs="宋体" w:hint="eastAsia"/>
                <w:color w:val="auto"/>
                <w:sz w:val="21"/>
                <w:szCs w:val="21"/>
                <w:highlight w:val="none"/>
                <w:lang w:eastAsia="zh-CN"/>
              </w:rPr>
              <w:t>Wi-Fi</w:t>
            </w:r>
            <w:r>
              <w:rPr>
                <w:rFonts w:ascii="宋体" w:eastAsia="宋体" w:hAnsi="宋体" w:cs="宋体" w:hint="eastAsia"/>
                <w:color w:val="auto"/>
                <w:sz w:val="21"/>
                <w:szCs w:val="21"/>
                <w:highlight w:val="none"/>
              </w:rPr>
              <w:t>或USB。</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1</w:t>
            </w:r>
          </w:p>
        </w:tc>
      </w:tr>
      <w:tr>
        <w:tblPrEx>
          <w:tblW w:w="4566" w:type="pct"/>
          <w:jc w:val="center"/>
          <w:tblLayout w:type="fixed"/>
          <w:tblCellMar>
            <w:top w:w="0" w:type="dxa"/>
            <w:left w:w="108" w:type="dxa"/>
            <w:bottom w:w="0" w:type="dxa"/>
            <w:right w:w="108" w:type="dxa"/>
          </w:tblCellMar>
        </w:tblPrEx>
        <w:trPr>
          <w:jc w:val="center"/>
        </w:trPr>
        <w:tc>
          <w:tcPr>
            <w:tcW w:w="571" w:type="pct"/>
            <w:vMerge/>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p>
        </w:tc>
        <w:tc>
          <w:tcPr>
            <w:tcW w:w="864"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测试辅助</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模块</w:t>
            </w:r>
          </w:p>
        </w:tc>
        <w:tc>
          <w:tcPr>
            <w:tcW w:w="2612"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传感器工装板数量：单个传感器工装板槽位数不少于8个；</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槽位设计要求：支持电源接口、通信接口和管路接口的同时快插接入、自动锁紧和一键释放。</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2</w:t>
            </w:r>
          </w:p>
        </w:tc>
      </w:tr>
      <w:tr>
        <w:tblPrEx>
          <w:tblW w:w="4566" w:type="pct"/>
          <w:jc w:val="center"/>
          <w:tblLayout w:type="fixed"/>
          <w:tblCellMar>
            <w:top w:w="0" w:type="dxa"/>
            <w:left w:w="108" w:type="dxa"/>
            <w:bottom w:w="0" w:type="dxa"/>
            <w:right w:w="108" w:type="dxa"/>
          </w:tblCellMar>
        </w:tblPrEx>
        <w:trPr>
          <w:jc w:val="center"/>
        </w:trPr>
        <w:tc>
          <w:tcPr>
            <w:tcW w:w="571" w:type="pct"/>
            <w:vMerge/>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p>
        </w:tc>
        <w:tc>
          <w:tcPr>
            <w:tcW w:w="864"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设备信息采集和智能识别模块</w:t>
            </w:r>
          </w:p>
        </w:tc>
        <w:tc>
          <w:tcPr>
            <w:tcW w:w="2612"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设备信息采集器模块：支持对传感器工装板槽位安装的传感器进行批量扫码信息识别，匹配数据采集通道；</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智能识别模块：支持从传感器通信接口获取设备唯一UID，从业务信息系统关联获取设备信息，与数据采集通道匹配。</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1</w:t>
            </w:r>
          </w:p>
        </w:tc>
      </w:tr>
      <w:tr>
        <w:tblPrEx>
          <w:tblW w:w="4566" w:type="pct"/>
          <w:jc w:val="center"/>
          <w:tblLayout w:type="fixed"/>
          <w:tblCellMar>
            <w:top w:w="0" w:type="dxa"/>
            <w:left w:w="108" w:type="dxa"/>
            <w:bottom w:w="0" w:type="dxa"/>
            <w:right w:w="108" w:type="dxa"/>
          </w:tblCellMar>
        </w:tblPrEx>
        <w:trPr>
          <w:jc w:val="center"/>
        </w:trPr>
        <w:tc>
          <w:tcPr>
            <w:tcW w:w="571" w:type="pct"/>
            <w:vMerge/>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p>
        </w:tc>
        <w:tc>
          <w:tcPr>
            <w:tcW w:w="864"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自动传送</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模块</w:t>
            </w:r>
          </w:p>
        </w:tc>
        <w:tc>
          <w:tcPr>
            <w:tcW w:w="2612" w:type="pct"/>
            <w:noWrap w:val="0"/>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1.支持不少于4个传感器工装板的自动切换和装载，传感器工装板电源、通信和管路自动接入系统；</w:t>
            </w:r>
          </w:p>
          <w:p>
            <w:pPr>
              <w:keepNext w:val="0"/>
              <w:keepLines w:val="0"/>
              <w:pageBreakBefore w:val="0"/>
              <w:kinsoku/>
              <w:wordWrap/>
              <w:overflowPunct/>
              <w:topLinePunct w:val="0"/>
              <w:autoSpaceDE/>
              <w:autoSpaceDN/>
              <w:bidi w:val="0"/>
              <w:adjustRightInd/>
              <w:snapToGrid/>
              <w:spacing w:line="300" w:lineRule="exact"/>
              <w:jc w:val="left"/>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2.传感器工装板高度位置可自动升降调节至标准压力参考位置高度。</w:t>
            </w:r>
          </w:p>
        </w:tc>
        <w:tc>
          <w:tcPr>
            <w:tcW w:w="475" w:type="pct"/>
            <w:noWrap w:val="0"/>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sz w:val="21"/>
                <w:szCs w:val="21"/>
                <w:highlight w:val="none"/>
              </w:rPr>
              <w:t>套</w:t>
            </w:r>
          </w:p>
        </w:tc>
        <w:tc>
          <w:tcPr>
            <w:tcW w:w="475"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eastAsia="宋体" w:hAnsi="宋体" w:cs="宋体" w:hint="eastAsia"/>
                <w:color w:val="auto"/>
                <w:szCs w:val="21"/>
                <w:highlight w:val="none"/>
              </w:rPr>
            </w:pPr>
            <w:r>
              <w:rPr>
                <w:rFonts w:ascii="宋体" w:eastAsia="宋体" w:hAnsi="宋体" w:cs="宋体" w:hint="eastAsia"/>
                <w:color w:val="auto"/>
                <w:kern w:val="0"/>
                <w:sz w:val="21"/>
                <w:szCs w:val="21"/>
                <w:highlight w:val="none"/>
                <w:lang w:bidi="ar"/>
              </w:rPr>
              <w:t>1</w:t>
            </w:r>
          </w:p>
        </w:tc>
      </w:tr>
    </w:tbl>
    <w:p>
      <w:pPr>
        <w:snapToGrid w:val="0"/>
        <w:spacing w:line="360" w:lineRule="auto"/>
        <w:ind w:firstLine="0" w:firstLineChars="0"/>
        <w:rPr>
          <w:rFonts w:ascii="宋体" w:eastAsia="宋体" w:hAnsi="宋体" w:cs="宋体" w:hint="eastAsia"/>
          <w:color w:val="auto"/>
          <w:szCs w:val="21"/>
          <w:highlight w:val="none"/>
        </w:rPr>
      </w:pPr>
    </w:p>
    <w:p>
      <w:pPr>
        <w:snapToGrid w:val="0"/>
        <w:spacing w:line="360" w:lineRule="auto"/>
        <w:ind w:firstLine="0" w:firstLineChars="0"/>
        <w:rPr>
          <w:rFonts w:ascii="宋体" w:eastAsia="宋体" w:hAnsi="宋体" w:cs="宋体" w:hint="eastAsia"/>
          <w:color w:val="auto"/>
          <w:szCs w:val="21"/>
          <w:highlight w:val="none"/>
        </w:rPr>
      </w:pPr>
      <w:r>
        <w:rPr>
          <w:rFonts w:ascii="宋体" w:eastAsia="宋体" w:hAnsi="宋体" w:cs="宋体" w:hint="eastAsia"/>
          <w:szCs w:val="21"/>
          <w:highlight w:val="none"/>
          <w:lang w:val="en-US" w:eastAsia="zh-CN"/>
        </w:rPr>
        <w:t>3.4</w:t>
      </w:r>
      <w:r>
        <w:rPr>
          <w:rFonts w:ascii="宋体" w:eastAsia="宋体" w:hAnsi="宋体" w:cs="宋体" w:hint="eastAsia"/>
          <w:color w:val="auto"/>
          <w:szCs w:val="21"/>
          <w:highlight w:val="none"/>
          <w:lang w:val="en-US" w:eastAsia="zh-CN"/>
        </w:rPr>
        <w:t>系统软件功能技术要求</w:t>
      </w:r>
    </w:p>
    <w:p>
      <w:pPr>
        <w:snapToGrid w:val="0"/>
        <w:spacing w:line="360" w:lineRule="auto"/>
        <w:ind w:firstLine="420" w:firstLineChars="200"/>
        <w:rPr>
          <w:rFonts w:ascii="宋体" w:eastAsia="宋体" w:hAnsi="宋体" w:cs="宋体" w:hint="eastAsia"/>
          <w:color w:val="auto"/>
          <w:szCs w:val="21"/>
          <w:highlight w:val="none"/>
        </w:rPr>
      </w:pPr>
      <w:r>
        <w:rPr>
          <w:rFonts w:ascii="宋体" w:eastAsia="宋体" w:hAnsi="宋体" w:cs="宋体" w:hint="eastAsia"/>
          <w:color w:val="auto"/>
          <w:szCs w:val="21"/>
          <w:highlight w:val="none"/>
          <w:lang w:val="en-US" w:eastAsia="zh-CN"/>
        </w:rPr>
        <w:t>地面气象观测仪自动化计量系统包括温度自动计量系统、湿度自动计量系统、气压自动计量系统，各系统应能够自动完成气象观测仪计量工作，应满足以下技术要求：</w:t>
      </w:r>
    </w:p>
    <w:tbl>
      <w:tblPr>
        <w:tblStyle w:val="TableGrid"/>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42"/>
        <w:gridCol w:w="7433"/>
      </w:tblGrid>
      <w:tr>
        <w:tblPrEx>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16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contextualSpacing/>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基本要求</w:t>
            </w:r>
          </w:p>
        </w:tc>
        <w:tc>
          <w:tcPr>
            <w:tcW w:w="7433"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contextualSpacing/>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color w:val="auto"/>
                <w:szCs w:val="21"/>
                <w:highlight w:val="none"/>
                <w:lang w:val="en-US" w:eastAsia="zh-CN"/>
              </w:rPr>
              <w:t>自动计量系统应适用于自动气象站湿度传感器、温度传感器、气压传感器测量仪自动计量业务，支持温度、湿度和气压等智能传感器超差自动调整和重检。</w:t>
            </w:r>
          </w:p>
        </w:tc>
      </w:tr>
      <w:tr>
        <w:tblPrEx>
          <w:tblW w:w="9075" w:type="dxa"/>
          <w:jc w:val="center"/>
          <w:tblCellMar>
            <w:top w:w="0" w:type="dxa"/>
            <w:left w:w="108" w:type="dxa"/>
            <w:bottom w:w="0" w:type="dxa"/>
            <w:right w:w="108" w:type="dxa"/>
          </w:tblCellMar>
        </w:tblPrEx>
        <w:trPr>
          <w:jc w:val="center"/>
        </w:trPr>
        <w:tc>
          <w:tcPr>
            <w:tcW w:w="16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420" w:firstLineChars="200"/>
              <w:contextualSpacing/>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数据读取</w:t>
            </w:r>
          </w:p>
        </w:tc>
        <w:tc>
          <w:tcPr>
            <w:tcW w:w="7433"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contextualSpacing/>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标准器和被检传感器的数据读取支持无线和有线两种方式传输至自动化检定系统。</w:t>
            </w:r>
          </w:p>
        </w:tc>
      </w:tr>
      <w:tr>
        <w:tblPrEx>
          <w:tblW w:w="9075" w:type="dxa"/>
          <w:jc w:val="center"/>
          <w:tblCellMar>
            <w:top w:w="0" w:type="dxa"/>
            <w:left w:w="108" w:type="dxa"/>
            <w:bottom w:w="0" w:type="dxa"/>
            <w:right w:w="108" w:type="dxa"/>
          </w:tblCellMar>
        </w:tblPrEx>
        <w:trPr>
          <w:jc w:val="center"/>
        </w:trPr>
        <w:tc>
          <w:tcPr>
            <w:tcW w:w="1642" w:type="dxa"/>
            <w:noWrap w:val="0"/>
            <w:vAlign w:val="center"/>
          </w:tcPr>
          <w:p>
            <w:pPr>
              <w:spacing w:line="360" w:lineRule="auto"/>
              <w:jc w:val="center"/>
              <w:rPr>
                <w:rFonts w:ascii="宋体" w:eastAsia="宋体" w:hAnsi="宋体" w:cs="宋体" w:hint="eastAsia"/>
                <w:szCs w:val="21"/>
                <w:highlight w:val="none"/>
                <w:vertAlign w:val="baseline"/>
              </w:rPr>
            </w:pPr>
            <w:r>
              <w:rPr>
                <w:rFonts w:ascii="宋体" w:eastAsia="宋体" w:hAnsi="宋体" w:cs="宋体" w:hint="eastAsia"/>
                <w:szCs w:val="21"/>
                <w:highlight w:val="none"/>
                <w:vertAlign w:val="baseline"/>
                <w:lang w:val="en-US" w:eastAsia="zh-CN"/>
              </w:rPr>
              <w:t>数据格式</w:t>
            </w:r>
          </w:p>
        </w:tc>
        <w:tc>
          <w:tcPr>
            <w:tcW w:w="7433" w:type="dxa"/>
            <w:noWrap w:val="0"/>
            <w:vAlign w:val="top"/>
          </w:tcPr>
          <w:p>
            <w:pPr>
              <w:snapToGrid w:val="0"/>
              <w:spacing w:line="360" w:lineRule="auto"/>
              <w:ind w:firstLine="0" w:firstLineChars="0"/>
              <w:rPr>
                <w:rFonts w:ascii="宋体" w:eastAsia="宋体" w:hAnsi="宋体" w:cs="宋体" w:hint="eastAsia"/>
                <w:color w:val="auto"/>
                <w:szCs w:val="21"/>
                <w:highlight w:val="none"/>
              </w:rPr>
            </w:pPr>
            <w:r>
              <w:rPr>
                <w:rFonts w:ascii="宋体" w:eastAsia="宋体" w:hAnsi="宋体" w:cs="宋体" w:hint="eastAsia"/>
                <w:color w:val="auto"/>
                <w:szCs w:val="21"/>
                <w:highlight w:val="none"/>
                <w:lang w:val="en-US" w:eastAsia="zh-CN"/>
              </w:rPr>
              <w:t>系统应具备与计量业务系统数据交互功能，如获取传感器基础数据和上传计量数据信息等，数据格式须符合《省级气象计量信息标准数据格式》（气测函〔2023〕281号）要求。</w:t>
            </w:r>
          </w:p>
        </w:tc>
      </w:tr>
      <w:tr>
        <w:tblPrEx>
          <w:tblW w:w="9075" w:type="dxa"/>
          <w:jc w:val="center"/>
          <w:tblCellMar>
            <w:top w:w="0" w:type="dxa"/>
            <w:left w:w="108" w:type="dxa"/>
            <w:bottom w:w="0" w:type="dxa"/>
            <w:right w:w="108" w:type="dxa"/>
          </w:tblCellMar>
        </w:tblPrEx>
        <w:trPr>
          <w:jc w:val="center"/>
        </w:trPr>
        <w:tc>
          <w:tcPr>
            <w:tcW w:w="16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contextualSpacing/>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自动扫码与设备信息关联</w:t>
            </w:r>
          </w:p>
        </w:tc>
        <w:tc>
          <w:tcPr>
            <w:tcW w:w="7433" w:type="dxa"/>
            <w:noWrap w:val="0"/>
            <w:vAlign w:val="top"/>
          </w:tcPr>
          <w:p>
            <w:pPr>
              <w:keepNext w:val="0"/>
              <w:keepLines w:val="0"/>
              <w:pageBreakBefore w:val="0"/>
              <w:widowControl w:val="0"/>
              <w:kinsoku/>
              <w:wordWrap/>
              <w:overflowPunct/>
              <w:topLinePunct w:val="0"/>
              <w:autoSpaceDE/>
              <w:autoSpaceDN/>
              <w:bidi w:val="0"/>
              <w:adjustRightInd/>
              <w:snapToGrid/>
              <w:spacing w:line="240" w:lineRule="auto"/>
              <w:contextualSpacing/>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 w:val="21"/>
                <w:szCs w:val="21"/>
                <w:highlight w:val="none"/>
                <w:lang w:val="en-US" w:eastAsia="zh-CN"/>
              </w:rPr>
              <w:t>系统应具备批量扫码信息识别功能，自动实现被检传感器、二维码和数据采集通道的匹配;系统应支持从智能气象测量仪通信接口获取设备唯一标识（UID），具备与天元码的自动关联功能,从计量业务系统关联获取设备信息，与数据采集通道匹配。</w:t>
            </w:r>
          </w:p>
        </w:tc>
      </w:tr>
      <w:tr>
        <w:tblPrEx>
          <w:tblW w:w="9075" w:type="dxa"/>
          <w:jc w:val="center"/>
          <w:tblCellMar>
            <w:top w:w="0" w:type="dxa"/>
            <w:left w:w="108" w:type="dxa"/>
            <w:bottom w:w="0" w:type="dxa"/>
            <w:right w:w="108" w:type="dxa"/>
          </w:tblCellMar>
        </w:tblPrEx>
        <w:trPr>
          <w:jc w:val="center"/>
        </w:trPr>
        <w:tc>
          <w:tcPr>
            <w:tcW w:w="1642" w:type="dxa"/>
            <w:noWrap w:val="0"/>
            <w:vAlign w:val="center"/>
          </w:tcPr>
          <w:p>
            <w:pPr>
              <w:spacing w:line="360" w:lineRule="auto"/>
              <w:jc w:val="center"/>
              <w:rPr>
                <w:rFonts w:ascii="宋体" w:eastAsia="宋体" w:hAnsi="宋体" w:cs="宋体" w:hint="eastAsia"/>
                <w:szCs w:val="21"/>
                <w:highlight w:val="none"/>
                <w:vertAlign w:val="baseline"/>
              </w:rPr>
            </w:pPr>
            <w:r>
              <w:rPr>
                <w:rFonts w:ascii="宋体" w:eastAsia="宋体" w:hAnsi="宋体" w:cs="宋体" w:hint="eastAsia"/>
                <w:szCs w:val="21"/>
                <w:highlight w:val="none"/>
                <w:vertAlign w:val="baseline"/>
                <w:lang w:val="en-US" w:eastAsia="zh-CN"/>
              </w:rPr>
              <w:t>图形化显示及存储要求</w:t>
            </w:r>
          </w:p>
        </w:tc>
        <w:tc>
          <w:tcPr>
            <w:tcW w:w="7433" w:type="dxa"/>
            <w:noWrap w:val="0"/>
            <w:vAlign w:val="top"/>
          </w:tcPr>
          <w:p>
            <w:pPr>
              <w:spacing w:line="360" w:lineRule="auto"/>
              <w:rPr>
                <w:rFonts w:ascii="宋体" w:eastAsia="宋体" w:hAnsi="宋体" w:cs="宋体" w:hint="eastAsia"/>
                <w:color w:val="auto"/>
                <w:szCs w:val="21"/>
                <w:highlight w:val="none"/>
              </w:rPr>
            </w:pPr>
            <w:r>
              <w:rPr>
                <w:rFonts w:ascii="宋体" w:eastAsia="宋体" w:hAnsi="宋体" w:cs="宋体" w:hint="eastAsia"/>
                <w:color w:val="auto"/>
                <w:szCs w:val="21"/>
                <w:highlight w:val="none"/>
                <w:lang w:val="en-US" w:eastAsia="zh-CN"/>
              </w:rPr>
              <w:t>系统应支持标准器、配套设备、被检传感器数据实时图形化显示和存储功能</w:t>
            </w:r>
          </w:p>
        </w:tc>
      </w:tr>
      <w:tr>
        <w:tblPrEx>
          <w:tblW w:w="9075" w:type="dxa"/>
          <w:jc w:val="center"/>
          <w:tblCellMar>
            <w:top w:w="0" w:type="dxa"/>
            <w:left w:w="108" w:type="dxa"/>
            <w:bottom w:w="0" w:type="dxa"/>
            <w:right w:w="108" w:type="dxa"/>
          </w:tblCellMar>
        </w:tblPrEx>
        <w:trPr>
          <w:jc w:val="center"/>
        </w:trPr>
        <w:tc>
          <w:tcPr>
            <w:tcW w:w="1642" w:type="dxa"/>
            <w:noWrap w:val="0"/>
            <w:vAlign w:val="center"/>
          </w:tcPr>
          <w:p>
            <w:pPr>
              <w:spacing w:line="360" w:lineRule="auto"/>
              <w:jc w:val="center"/>
              <w:rPr>
                <w:rFonts w:ascii="宋体" w:eastAsia="宋体" w:hAnsi="宋体" w:cs="宋体" w:hint="eastAsia"/>
                <w:szCs w:val="21"/>
                <w:highlight w:val="none"/>
                <w:vertAlign w:val="baseline"/>
              </w:rPr>
            </w:pPr>
            <w:r>
              <w:rPr>
                <w:rFonts w:ascii="宋体" w:eastAsia="宋体" w:hAnsi="宋体" w:cs="宋体" w:hint="eastAsia"/>
                <w:color w:val="auto"/>
                <w:szCs w:val="21"/>
                <w:highlight w:val="none"/>
                <w:lang w:val="en-US" w:eastAsia="zh-CN"/>
              </w:rPr>
              <w:t>一键启动功能</w:t>
            </w:r>
          </w:p>
        </w:tc>
        <w:tc>
          <w:tcPr>
            <w:tcW w:w="7433" w:type="dxa"/>
            <w:noWrap w:val="0"/>
            <w:vAlign w:val="top"/>
          </w:tcPr>
          <w:p>
            <w:pPr>
              <w:spacing w:line="360" w:lineRule="auto"/>
              <w:rPr>
                <w:rFonts w:ascii="宋体" w:eastAsia="宋体" w:hAnsi="宋体" w:cs="宋体" w:hint="eastAsia"/>
                <w:color w:val="auto"/>
                <w:szCs w:val="21"/>
                <w:highlight w:val="none"/>
              </w:rPr>
            </w:pPr>
            <w:r>
              <w:rPr>
                <w:rFonts w:ascii="宋体" w:eastAsia="宋体" w:hAnsi="宋体" w:cs="宋体" w:hint="eastAsia"/>
                <w:color w:val="auto"/>
                <w:szCs w:val="21"/>
                <w:highlight w:val="none"/>
                <w:lang w:val="en-US" w:eastAsia="zh-CN"/>
              </w:rPr>
              <w:t>系统应具备一键启动功能，能够实现计量环节全自动运行，自动完成检定（校准）点控制、稳定性判断和数据采集等</w:t>
            </w:r>
          </w:p>
        </w:tc>
      </w:tr>
      <w:tr>
        <w:tblPrEx>
          <w:tblW w:w="9075" w:type="dxa"/>
          <w:jc w:val="center"/>
          <w:tblCellMar>
            <w:top w:w="0" w:type="dxa"/>
            <w:left w:w="108" w:type="dxa"/>
            <w:bottom w:w="0" w:type="dxa"/>
            <w:right w:w="108" w:type="dxa"/>
          </w:tblCellMar>
        </w:tblPrEx>
        <w:trPr>
          <w:jc w:val="center"/>
        </w:trPr>
        <w:tc>
          <w:tcPr>
            <w:tcW w:w="1642" w:type="dxa"/>
            <w:noWrap w:val="0"/>
            <w:vAlign w:val="center"/>
          </w:tcPr>
          <w:p>
            <w:pPr>
              <w:spacing w:line="360" w:lineRule="auto"/>
              <w:jc w:val="center"/>
              <w:rPr>
                <w:rFonts w:ascii="宋体" w:eastAsia="宋体" w:hAnsi="宋体" w:cs="宋体" w:hint="eastAsia"/>
                <w:szCs w:val="21"/>
                <w:highlight w:val="none"/>
                <w:vertAlign w:val="baseline"/>
              </w:rPr>
            </w:pPr>
            <w:r>
              <w:rPr>
                <w:rFonts w:ascii="宋体" w:eastAsia="宋体" w:hAnsi="宋体" w:cs="宋体" w:hint="eastAsia"/>
                <w:szCs w:val="21"/>
                <w:highlight w:val="none"/>
                <w:vertAlign w:val="baseline"/>
                <w:lang w:val="en-US" w:eastAsia="zh-CN"/>
              </w:rPr>
              <w:t>数据处理要求</w:t>
            </w:r>
          </w:p>
        </w:tc>
        <w:tc>
          <w:tcPr>
            <w:tcW w:w="7433" w:type="dxa"/>
            <w:noWrap w:val="0"/>
            <w:vAlign w:val="top"/>
          </w:tcPr>
          <w:p>
            <w:pPr>
              <w:snapToGrid w:val="0"/>
              <w:spacing w:line="360" w:lineRule="auto"/>
              <w:ind w:firstLine="0" w:firstLineChars="0"/>
              <w:rPr>
                <w:rFonts w:ascii="宋体" w:eastAsia="宋体" w:hAnsi="宋体" w:cs="宋体" w:hint="eastAsia"/>
                <w:color w:val="auto"/>
                <w:szCs w:val="21"/>
                <w:highlight w:val="none"/>
              </w:rPr>
            </w:pPr>
            <w:r>
              <w:rPr>
                <w:rFonts w:ascii="宋体" w:eastAsia="宋体" w:hAnsi="宋体" w:cs="宋体" w:hint="eastAsia"/>
                <w:color w:val="auto"/>
                <w:szCs w:val="21"/>
                <w:highlight w:val="none"/>
                <w:lang w:val="en-US" w:eastAsia="zh-CN"/>
              </w:rPr>
              <w:t>系统应具备计量数据自动处理功能，按照计量技术规范要求生成相应原始记录，自动提示传感器是否合格。系统输出的检定数据可直接对接计量信息化系统或天元系统。</w:t>
            </w:r>
          </w:p>
        </w:tc>
      </w:tr>
      <w:tr>
        <w:tblPrEx>
          <w:tblW w:w="9075" w:type="dxa"/>
          <w:jc w:val="center"/>
          <w:tblCellMar>
            <w:top w:w="0" w:type="dxa"/>
            <w:left w:w="108" w:type="dxa"/>
            <w:bottom w:w="0" w:type="dxa"/>
            <w:right w:w="108" w:type="dxa"/>
          </w:tblCellMar>
        </w:tblPrEx>
        <w:trPr>
          <w:jc w:val="center"/>
        </w:trPr>
        <w:tc>
          <w:tcPr>
            <w:tcW w:w="1642" w:type="dxa"/>
            <w:noWrap w:val="0"/>
            <w:vAlign w:val="center"/>
          </w:tcPr>
          <w:p>
            <w:pPr>
              <w:spacing w:line="360" w:lineRule="auto"/>
              <w:jc w:val="center"/>
              <w:rPr>
                <w:rFonts w:ascii="宋体" w:eastAsia="宋体" w:hAnsi="宋体" w:cs="宋体" w:hint="eastAsia"/>
                <w:szCs w:val="21"/>
                <w:highlight w:val="none"/>
                <w:vertAlign w:val="baseline"/>
              </w:rPr>
            </w:pPr>
            <w:r>
              <w:rPr>
                <w:rFonts w:ascii="宋体" w:eastAsia="宋体" w:hAnsi="宋体" w:cs="宋体" w:hint="eastAsia"/>
                <w:szCs w:val="21"/>
                <w:highlight w:val="none"/>
                <w:vertAlign w:val="baseline"/>
                <w:lang w:val="en-US" w:eastAsia="zh-CN"/>
              </w:rPr>
              <w:t>证书及原始记录格式、</w:t>
            </w:r>
          </w:p>
        </w:tc>
        <w:tc>
          <w:tcPr>
            <w:tcW w:w="7433" w:type="dxa"/>
            <w:noWrap w:val="0"/>
            <w:vAlign w:val="top"/>
          </w:tcPr>
          <w:p>
            <w:pPr>
              <w:spacing w:line="360" w:lineRule="auto"/>
              <w:rPr>
                <w:rFonts w:ascii="宋体" w:eastAsia="宋体" w:hAnsi="宋体" w:cs="宋体" w:hint="eastAsia"/>
                <w:color w:val="auto"/>
                <w:szCs w:val="21"/>
                <w:highlight w:val="none"/>
              </w:rPr>
            </w:pPr>
            <w:r>
              <w:rPr>
                <w:rFonts w:ascii="宋体" w:eastAsia="宋体" w:hAnsi="宋体" w:cs="宋体" w:hint="eastAsia"/>
                <w:color w:val="auto"/>
                <w:szCs w:val="21"/>
                <w:highlight w:val="none"/>
                <w:lang w:val="en-US" w:eastAsia="zh-CN"/>
              </w:rPr>
              <w:t>系统应具备证书定制功能，根据审核和批准结果自动生成证书和检定结果通知书，原始记录和证书格式可根据需求定制</w:t>
            </w:r>
          </w:p>
        </w:tc>
      </w:tr>
      <w:tr>
        <w:tblPrEx>
          <w:tblW w:w="9075" w:type="dxa"/>
          <w:jc w:val="center"/>
          <w:tblCellMar>
            <w:top w:w="0" w:type="dxa"/>
            <w:left w:w="108" w:type="dxa"/>
            <w:bottom w:w="0" w:type="dxa"/>
            <w:right w:w="108" w:type="dxa"/>
          </w:tblCellMar>
        </w:tblPrEx>
        <w:trPr>
          <w:jc w:val="center"/>
        </w:trPr>
        <w:tc>
          <w:tcPr>
            <w:tcW w:w="1642" w:type="dxa"/>
            <w:noWrap w:val="0"/>
            <w:vAlign w:val="center"/>
          </w:tcPr>
          <w:p>
            <w:pPr>
              <w:spacing w:line="360" w:lineRule="auto"/>
              <w:jc w:val="center"/>
              <w:rPr>
                <w:rFonts w:ascii="宋体" w:eastAsia="宋体" w:hAnsi="宋体" w:cs="宋体" w:hint="eastAsia"/>
                <w:szCs w:val="21"/>
                <w:highlight w:val="none"/>
                <w:vertAlign w:val="baseline"/>
              </w:rPr>
            </w:pPr>
            <w:r>
              <w:rPr>
                <w:rFonts w:ascii="宋体" w:eastAsia="宋体" w:hAnsi="宋体" w:cs="宋体" w:hint="eastAsia"/>
                <w:color w:val="auto"/>
                <w:szCs w:val="21"/>
                <w:highlight w:val="none"/>
                <w:lang w:val="en-US" w:eastAsia="zh-CN"/>
              </w:rPr>
              <w:t>冗余设计和故障恢复能力</w:t>
            </w:r>
          </w:p>
        </w:tc>
        <w:tc>
          <w:tcPr>
            <w:tcW w:w="7433" w:type="dxa"/>
            <w:noWrap w:val="0"/>
            <w:vAlign w:val="top"/>
          </w:tcPr>
          <w:p>
            <w:pPr>
              <w:snapToGrid w:val="0"/>
              <w:spacing w:line="360" w:lineRule="auto"/>
              <w:rPr>
                <w:rFonts w:ascii="宋体" w:eastAsia="宋体" w:hAnsi="宋体" w:cs="宋体" w:hint="eastAsia"/>
                <w:color w:val="auto"/>
                <w:szCs w:val="21"/>
                <w:highlight w:val="none"/>
              </w:rPr>
            </w:pPr>
            <w:r>
              <w:rPr>
                <w:rFonts w:ascii="宋体" w:eastAsia="宋体" w:hAnsi="宋体" w:cs="宋体" w:hint="eastAsia"/>
                <w:color w:val="auto"/>
                <w:szCs w:val="21"/>
                <w:highlight w:val="none"/>
                <w:lang w:val="en-US" w:eastAsia="zh-CN"/>
              </w:rPr>
              <w:t>系统应具备冗余设计和故障恢复能力，确保在自动辅助设备故障或网络故障等情况下，计量工作可在人工模式下正常完成。</w:t>
            </w:r>
          </w:p>
        </w:tc>
      </w:tr>
      <w:tr>
        <w:tblPrEx>
          <w:tblW w:w="9075" w:type="dxa"/>
          <w:jc w:val="center"/>
          <w:tblCellMar>
            <w:top w:w="0" w:type="dxa"/>
            <w:left w:w="108" w:type="dxa"/>
            <w:bottom w:w="0" w:type="dxa"/>
            <w:right w:w="108" w:type="dxa"/>
          </w:tblCellMar>
        </w:tblPrEx>
        <w:trPr>
          <w:jc w:val="center"/>
        </w:trPr>
        <w:tc>
          <w:tcPr>
            <w:tcW w:w="1642" w:type="dxa"/>
            <w:noWrap w:val="0"/>
            <w:vAlign w:val="center"/>
          </w:tcPr>
          <w:p>
            <w:pPr>
              <w:spacing w:line="360" w:lineRule="auto"/>
              <w:jc w:val="center"/>
              <w:rPr>
                <w:rFonts w:ascii="宋体" w:eastAsia="宋体" w:hAnsi="宋体" w:cs="宋体" w:hint="eastAsia"/>
                <w:szCs w:val="21"/>
                <w:highlight w:val="none"/>
                <w:vertAlign w:val="baseline"/>
              </w:rPr>
            </w:pPr>
            <w:r>
              <w:rPr>
                <w:rFonts w:ascii="宋体" w:eastAsia="宋体" w:hAnsi="宋体" w:cs="宋体" w:hint="eastAsia"/>
                <w:szCs w:val="21"/>
                <w:highlight w:val="none"/>
                <w:vertAlign w:val="baseline"/>
                <w:lang w:val="en-US" w:eastAsia="zh-CN"/>
              </w:rPr>
              <w:t>系统安全</w:t>
            </w:r>
          </w:p>
        </w:tc>
        <w:tc>
          <w:tcPr>
            <w:tcW w:w="7433" w:type="dxa"/>
            <w:noWrap w:val="0"/>
            <w:vAlign w:val="top"/>
          </w:tcPr>
          <w:p>
            <w:pPr>
              <w:spacing w:line="360" w:lineRule="auto"/>
              <w:rPr>
                <w:rFonts w:ascii="宋体" w:eastAsia="宋体" w:hAnsi="宋体" w:cs="宋体" w:hint="eastAsia"/>
                <w:color w:val="auto"/>
                <w:szCs w:val="21"/>
                <w:highlight w:val="none"/>
              </w:rPr>
            </w:pPr>
            <w:r>
              <w:rPr>
                <w:rFonts w:ascii="宋体" w:eastAsia="宋体" w:hAnsi="宋体" w:cs="宋体" w:hint="eastAsia"/>
                <w:color w:val="auto"/>
                <w:szCs w:val="21"/>
                <w:highlight w:val="none"/>
                <w:lang w:val="en-US" w:eastAsia="zh-CN"/>
              </w:rPr>
              <w:t>系统应具有电气安全、控制安全和数据安全设计，防止系统运行过程中出现危及人身、设备设施和数据信息安全的状况；系统具备访问控制和加密通信等安全机制，确保数据的完整性和保密性。</w:t>
            </w:r>
          </w:p>
        </w:tc>
      </w:tr>
      <w:tr>
        <w:tblPrEx>
          <w:tblW w:w="9075" w:type="dxa"/>
          <w:jc w:val="center"/>
          <w:tblCellMar>
            <w:top w:w="0" w:type="dxa"/>
            <w:left w:w="108" w:type="dxa"/>
            <w:bottom w:w="0" w:type="dxa"/>
            <w:right w:w="108" w:type="dxa"/>
          </w:tblCellMar>
        </w:tblPrEx>
        <w:trPr>
          <w:jc w:val="center"/>
        </w:trPr>
        <w:tc>
          <w:tcPr>
            <w:tcW w:w="1642" w:type="dxa"/>
            <w:noWrap w:val="0"/>
            <w:vAlign w:val="center"/>
          </w:tcPr>
          <w:p>
            <w:pPr>
              <w:spacing w:line="360" w:lineRule="auto"/>
              <w:jc w:val="center"/>
              <w:rPr>
                <w:rFonts w:ascii="宋体" w:eastAsia="宋体" w:hAnsi="宋体" w:cs="宋体" w:hint="eastAsia"/>
                <w:szCs w:val="21"/>
                <w:highlight w:val="none"/>
                <w:vertAlign w:val="baseline"/>
              </w:rPr>
            </w:pPr>
            <w:r>
              <w:rPr>
                <w:rFonts w:ascii="宋体" w:eastAsia="宋体" w:hAnsi="宋体" w:cs="宋体" w:hint="eastAsia"/>
                <w:szCs w:val="21"/>
                <w:highlight w:val="none"/>
                <w:vertAlign w:val="baseline"/>
                <w:lang w:val="en-US" w:eastAsia="zh-CN"/>
              </w:rPr>
              <w:t>系统扩展性</w:t>
            </w:r>
          </w:p>
        </w:tc>
        <w:tc>
          <w:tcPr>
            <w:tcW w:w="7433" w:type="dxa"/>
            <w:noWrap w:val="0"/>
            <w:vAlign w:val="top"/>
          </w:tcPr>
          <w:p>
            <w:pPr>
              <w:spacing w:line="360" w:lineRule="auto"/>
              <w:rPr>
                <w:rFonts w:ascii="宋体" w:eastAsia="宋体" w:hAnsi="宋体" w:cs="宋体" w:hint="eastAsia"/>
                <w:color w:val="auto"/>
                <w:szCs w:val="21"/>
                <w:highlight w:val="none"/>
              </w:rPr>
            </w:pPr>
            <w:r>
              <w:rPr>
                <w:rFonts w:ascii="宋体" w:eastAsia="宋体" w:hAnsi="宋体" w:cs="宋体" w:hint="eastAsia"/>
                <w:color w:val="auto"/>
                <w:szCs w:val="21"/>
                <w:highlight w:val="none"/>
                <w:lang w:val="en-US" w:eastAsia="zh-CN"/>
              </w:rPr>
              <w:t>系统应具备可扩展性，具有二次开发接口，具备灵活配置计量技术规范参数的能力，能够适应业务发展需求。</w:t>
            </w:r>
          </w:p>
        </w:tc>
      </w:tr>
      <w:tr>
        <w:tblPrEx>
          <w:tblW w:w="9075" w:type="dxa"/>
          <w:jc w:val="center"/>
          <w:tblCellMar>
            <w:top w:w="0" w:type="dxa"/>
            <w:left w:w="108" w:type="dxa"/>
            <w:bottom w:w="0" w:type="dxa"/>
            <w:right w:w="108" w:type="dxa"/>
          </w:tblCellMar>
        </w:tblPrEx>
        <w:trPr>
          <w:jc w:val="center"/>
        </w:trPr>
        <w:tc>
          <w:tcPr>
            <w:tcW w:w="1642" w:type="dxa"/>
            <w:noWrap w:val="0"/>
            <w:vAlign w:val="center"/>
          </w:tcPr>
          <w:p>
            <w:pPr>
              <w:spacing w:line="360" w:lineRule="auto"/>
              <w:jc w:val="center"/>
              <w:rPr>
                <w:rFonts w:ascii="宋体" w:eastAsia="宋体" w:hAnsi="宋体" w:cs="宋体" w:hint="eastAsia"/>
                <w:szCs w:val="21"/>
                <w:highlight w:val="none"/>
                <w:vertAlign w:val="baseline"/>
              </w:rPr>
            </w:pPr>
            <w:r>
              <w:rPr>
                <w:rFonts w:ascii="宋体" w:eastAsia="宋体" w:hAnsi="宋体" w:cs="宋体" w:hint="eastAsia"/>
                <w:szCs w:val="21"/>
                <w:highlight w:val="none"/>
                <w:vertAlign w:val="baseline"/>
                <w:lang w:val="en-US" w:eastAsia="zh-CN"/>
              </w:rPr>
              <w:t>设备运行监控</w:t>
            </w:r>
          </w:p>
        </w:tc>
        <w:tc>
          <w:tcPr>
            <w:tcW w:w="7433" w:type="dxa"/>
            <w:noWrap w:val="0"/>
            <w:vAlign w:val="top"/>
          </w:tcPr>
          <w:p>
            <w:pPr>
              <w:spacing w:line="360" w:lineRule="auto"/>
              <w:rPr>
                <w:rFonts w:ascii="宋体" w:eastAsia="宋体" w:hAnsi="宋体" w:cs="宋体" w:hint="eastAsia"/>
                <w:color w:val="auto"/>
                <w:szCs w:val="21"/>
                <w:highlight w:val="none"/>
              </w:rPr>
            </w:pPr>
            <w:r>
              <w:rPr>
                <w:rFonts w:ascii="宋体" w:eastAsia="宋体" w:hAnsi="宋体" w:cs="宋体" w:hint="eastAsia"/>
                <w:color w:val="auto"/>
                <w:szCs w:val="21"/>
                <w:highlight w:val="none"/>
                <w:lang w:val="en-US" w:eastAsia="zh-CN"/>
              </w:rPr>
              <w:t>系统应能够实时监测设备运行情况，自动判断设备工作状态，当设备出现异常应能够示警，严重时应终止设备运行。</w:t>
            </w:r>
          </w:p>
        </w:tc>
      </w:tr>
    </w:tbl>
    <w:p>
      <w:pPr>
        <w:snapToGrid w:val="0"/>
        <w:spacing w:line="360" w:lineRule="auto"/>
        <w:ind w:firstLine="0" w:firstLineChars="0"/>
        <w:rPr>
          <w:rFonts w:ascii="宋体" w:eastAsia="宋体" w:hAnsi="宋体" w:cs="宋体" w:hint="eastAsia"/>
          <w:color w:val="auto"/>
          <w:szCs w:val="21"/>
          <w:highlight w:val="none"/>
        </w:rPr>
      </w:pPr>
    </w:p>
    <w:p>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Cs w:val="21"/>
          <w:highlight w:val="none"/>
          <w:lang w:val="en-US" w:eastAsia="zh-CN"/>
        </w:rPr>
        <w:t>3.5 设备技术要求</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Cs w:val="21"/>
          <w:highlight w:val="none"/>
        </w:rPr>
        <w:t>温度自动计量系统应适用于自动气象站铂电阻温度传感器、智能气温测量仪和智能地温测量仪自动计量业务。温度自动计量系统设计采用多槽单点恒温计量模式。多槽单点恒温计量模式应能实现系统依托自动输送模块实现被检设备在各个温场控制设备中的单点计量，被检设备在各个温场控制设备间的移动由系统按照计量流程自动控制，并行协同完成全计量流程。多槽单点恒温计量模式应具备单工装模块不低于16支温度传感器或6支智能气（地）温测量仪计量能力。多槽单点恒温计量模式下，系统应兼容单槽多点变温计量模式。</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Cs w:val="21"/>
          <w:highlight w:val="none"/>
        </w:rPr>
        <w:t>湿度自动计量系统应适用于自动气象站湿度传感器和智能湿度测量仪自动计量业务。湿度自动计量系统设计采用湿度发生器计量模式。湿度发生器计量模式下，湿度发生器提供稳定的湿度环境，精密露点仪提供标准数值，智能工装模块用于采集被检湿度传感器的电信号及供电，自动传输模块用于传感器自动搬运，上位机检定系统软件可以控制湿度发生器、精密露点仪和自动传输模块等设备，按照相关计量技术规范要求实现湿度传感器的自动计量工作。湿度发生器计量模式具有单机单批次不低于5支计量能力。支持超差传感器的自动调整和重检。</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ascii="宋体" w:eastAsia="宋体" w:hAnsi="宋体" w:cs="宋体" w:hint="eastAsia"/>
          <w:b w:val="0"/>
          <w:bCs w:val="0"/>
          <w:color w:val="auto"/>
          <w:szCs w:val="21"/>
          <w:highlight w:val="none"/>
        </w:rPr>
      </w:pPr>
      <w:r>
        <w:rPr>
          <w:rFonts w:ascii="宋体" w:eastAsia="宋体" w:hAnsi="宋体" w:cs="宋体" w:hint="eastAsia"/>
          <w:b w:val="0"/>
          <w:bCs w:val="0"/>
          <w:color w:val="auto"/>
          <w:szCs w:val="21"/>
          <w:highlight w:val="none"/>
        </w:rPr>
        <w:t>气压自动计量系统适用于自动气象站气压传感器和智能气压测量仪自动计量业务。气压发生器/压力控制装置产生稳定气压环境，通过管路与气压标准器和被检气压传感器连接。环境监测设备用于监测采集温度、湿度、气压等环境参数。多通道直流电源用于为被检气压传感器供电，满足传感器供电要求。通信传输模块实现各硬件设备通信，采集被检气压传感器输出的数字信号。设备信息采集和智能识别模块用于批量识别被检气压传感器设备信息，与数据采集通道关联匹配。自动传送系统用于多个工装板的自动切换和装载，使系统具备多批次连续自动检定能力，并能够自动升降调节被检气压传感器高度，使被检气压传感器高度与标准压力参考位置高度在同一水平面。系统可配置不少于4个传感器工装板，传感器工装板至少有8个传感器快插槽位，传感器工装板自动切换和装载时支持将传感器工装板上所有被检气压传感器电源接口、通信接口和管路接口与系统自动连接和断开。上位机检定系统软件可以控制气压发生器/压力控制装置、气压标准器、多通道数据采集器、自动传送系统等设备，按照相关计量技术规范要求实现气压传感器的自动检定和校准，并进行符合性判定，计量数据本地存储并自动上传计量业务系统。系统能够实现人工/半自动状态运行，并支持超差传感器的自动调整和重检。系统单机单次检定能力不低于8台，具备多批次连续自动计量能力。系统具有多任务集约控制功能，支持设备倍增扩展计量能力。</w:t>
      </w:r>
    </w:p>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lang w:val="en-US" w:eastAsia="zh-CN"/>
        </w:rPr>
        <w:t>投标人须保证所提供材料产品为相应厂家原装正品，符合国家有关规定。投标人须保证所提供产品具有合法的版权或使用权，如有相关发明专利、实用新型专利、软件著作权的一并提供作为佐证；本项目采购的产品，如在本项目范围内使用过程中出现版权或使用权纠纷，应由中标人负责，采购人不承担责任。投标产品必须是符合仪器自身需求和质量标准的合格产品，满足采购人的使用需求，并具有可靠的售后服务体系，质量可靠、使用安全；中标方必须提供仪器的现场安装调试并达到招标书要求的技术性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供应商对所有设备提供自验收合格后8年的质保服务，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五、其他要求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sectPr>
          <w:pgSz w:w="11906" w:h="16838"/>
          <w:pgMar w:top="2154" w:right="1474" w:bottom="2041" w:left="1587" w:header="709" w:footer="1417" w:gutter="0"/>
          <w:cols w:num="1" w:space="708"/>
          <w:docGrid w:type="linesAndChars" w:linePitch="579" w:charSpace="-849"/>
        </w:sectPr>
      </w:pPr>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hint="eastAsia"/>
          <w:b/>
          <w:bCs/>
          <w:color w:val="auto"/>
          <w:sz w:val="28"/>
          <w:szCs w:val="20"/>
          <w:highlight w:val="none"/>
        </w:rPr>
      </w:pPr>
      <w:r>
        <w:rPr>
          <w:rFonts w:ascii="仿宋" w:eastAsia="仿宋" w:hAnsi="仿宋" w:cs="仿宋" w:hint="eastAsia"/>
          <w:b/>
          <w:bCs/>
          <w:color w:val="auto"/>
          <w:sz w:val="28"/>
          <w:szCs w:val="20"/>
          <w:highlight w:val="none"/>
        </w:rPr>
        <w:t>一、项目概况及总体要求</w:t>
      </w:r>
    </w:p>
    <w:p>
      <w:p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lang w:val="en-US" w:eastAsia="zh-CN"/>
        </w:rPr>
        <w:t>在湖北省气象信息与技术保障中心建设1套地面气象观测仪自动化计量系统，包括温度自动计量系统、湿度自动计量系统和气压自动计量系统，各系统应能够自动完成地面气象观测仪计量检定工作。</w:t>
      </w:r>
    </w:p>
    <w:p>
      <w:pPr>
        <w:ind w:firstLine="560" w:firstLineChars="200"/>
        <w:rPr>
          <w:rFonts w:ascii="仿宋" w:eastAsia="仿宋" w:hAnsi="仿宋" w:cs="仿宋"/>
          <w:b/>
          <w:bCs/>
          <w:color w:val="auto"/>
          <w:sz w:val="28"/>
          <w:szCs w:val="20"/>
          <w:highlight w:val="none"/>
        </w:rPr>
      </w:pPr>
      <w:r>
        <w:rPr>
          <w:rFonts w:ascii="仿宋" w:eastAsia="仿宋" w:hAnsi="仿宋" w:cs="仿宋" w:hint="eastAsia"/>
          <w:b/>
          <w:bCs/>
          <w:color w:val="auto"/>
          <w:sz w:val="28"/>
          <w:szCs w:val="20"/>
          <w:highlight w:val="none"/>
        </w:rPr>
        <w:t>二、售后服务要求</w:t>
      </w:r>
    </w:p>
    <w:p>
      <w:p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lang w:val="en-US" w:eastAsia="zh-CN"/>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color w:val="auto"/>
          <w:sz w:val="28"/>
          <w:szCs w:val="20"/>
          <w:highlight w:val="none"/>
        </w:rPr>
      </w:pPr>
      <w:r>
        <w:rPr>
          <w:rFonts w:ascii="仿宋" w:eastAsia="仿宋" w:hAnsi="仿宋" w:cs="仿宋" w:hint="eastAsia"/>
          <w:b/>
          <w:bCs/>
          <w:color w:val="auto"/>
          <w:sz w:val="28"/>
          <w:szCs w:val="20"/>
          <w:highlight w:val="none"/>
        </w:rPr>
        <w:t>三、培训要求</w:t>
      </w:r>
    </w:p>
    <w:p>
      <w:p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lang w:val="en-US" w:eastAsia="zh-CN"/>
        </w:rPr>
        <w:t>系统完成安装及现场测试后，中标方需在现场组织理论基础、实践操作与应用培训，培训内容为：气压、温度、湿度等自动化系统硬件和软件操作培训；自动化系统日常维护培训。培训人数不少于8人次，培训时长不少于3天，培训费用由中标方承担。为确保系统正常运行、管理及维护，投标人应提供全套的书面技术材料，至少应包括：技 术资料详细清单；系统说明文件；技术手册(安装、操作、维护、故障排除等)；基于业务运行和日常维护的规范操作说明等。</w:t>
      </w:r>
    </w:p>
    <w:p>
      <w:pPr>
        <w:ind w:firstLine="560" w:firstLineChars="200"/>
        <w:rPr>
          <w:rFonts w:ascii="仿宋" w:eastAsia="仿宋" w:hAnsi="仿宋" w:cs="仿宋"/>
          <w:b/>
          <w:bCs/>
          <w:color w:val="auto"/>
          <w:sz w:val="28"/>
          <w:szCs w:val="20"/>
          <w:highlight w:val="none"/>
        </w:rPr>
      </w:pPr>
      <w:r>
        <w:rPr>
          <w:rFonts w:ascii="仿宋" w:eastAsia="仿宋" w:hAnsi="仿宋" w:cs="仿宋" w:hint="eastAsia"/>
          <w:b/>
          <w:bCs/>
          <w:color w:val="auto"/>
          <w:sz w:val="28"/>
          <w:szCs w:val="20"/>
          <w:highlight w:val="none"/>
        </w:rPr>
        <w:t>四、交货要求及履约地点</w:t>
      </w:r>
    </w:p>
    <w:p>
      <w:p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lang w:val="en-US" w:eastAsia="zh-CN"/>
        </w:rPr>
        <w:t>中标供应商将所有设备运送至湖北省气象信息与技术保障中心检定场所（运输相关费用由供应商负责），并负责安装调试。合同签订后90天内交货，30天内完成安装调试并具备验收条件。</w:t>
      </w:r>
    </w:p>
    <w:p>
      <w:pPr>
        <w:ind w:left="559" w:leftChars="266"/>
        <w:rPr>
          <w:rFonts w:ascii="仿宋" w:eastAsia="仿宋" w:hAnsi="仿宋" w:cs="仿宋" w:hint="default"/>
          <w:b/>
          <w:bCs/>
          <w:color w:val="auto"/>
          <w:sz w:val="28"/>
          <w:szCs w:val="20"/>
          <w:highlight w:val="none"/>
        </w:rPr>
      </w:pPr>
      <w:r>
        <w:rPr>
          <w:rFonts w:ascii="仿宋" w:eastAsia="仿宋" w:hAnsi="仿宋" w:cs="仿宋" w:hint="eastAsia"/>
          <w:b/>
          <w:bCs/>
          <w:color w:val="auto"/>
          <w:sz w:val="28"/>
          <w:szCs w:val="20"/>
          <w:highlight w:val="none"/>
        </w:rPr>
        <w:t>五、服务团队</w:t>
      </w:r>
      <w:r>
        <w:rPr>
          <w:rFonts w:ascii="仿宋" w:eastAsia="仿宋" w:hAnsi="仿宋" w:cs="仿宋" w:hint="eastAsia"/>
          <w:b/>
          <w:bCs/>
          <w:color w:val="auto"/>
          <w:sz w:val="28"/>
          <w:szCs w:val="20"/>
          <w:highlight w:val="none"/>
          <w:lang w:val="en-US" w:eastAsia="zh-CN"/>
        </w:rPr>
        <w:t>及服务标准要求</w:t>
      </w:r>
    </w:p>
    <w:p>
      <w:pPr>
        <w:numPr>
          <w:ilvl w:val="0"/>
          <w:numId w:val="0"/>
        </w:numPr>
        <w:ind w:firstLine="560" w:firstLineChars="200"/>
        <w:rPr>
          <w:rFonts w:ascii="仿宋" w:eastAsia="仿宋" w:hAnsi="仿宋" w:cs="仿宋" w:hint="eastAsia"/>
          <w:b/>
          <w:bCs/>
          <w:color w:val="auto"/>
          <w:sz w:val="28"/>
          <w:szCs w:val="20"/>
          <w:highlight w:val="none"/>
        </w:rPr>
      </w:pPr>
      <w:r>
        <w:rPr>
          <w:rFonts w:ascii="仿宋" w:eastAsia="仿宋" w:hAnsi="仿宋" w:cs="仿宋" w:hint="eastAsia"/>
          <w:color w:val="auto"/>
          <w:sz w:val="28"/>
          <w:szCs w:val="20"/>
          <w:highlight w:val="none"/>
          <w:lang w:val="en-US" w:eastAsia="zh-CN"/>
        </w:rPr>
        <w:t xml:space="preserve">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投标人应明确说明此次投标的服务策略，提供此次投标货物的服务计划（售后服务 内容、等级、相关服务指标、售后服务组织机构及人员安排情况及其联络信息）。 </w:t>
      </w:r>
    </w:p>
    <w:p>
      <w:pPr>
        <w:numPr>
          <w:ilvl w:val="0"/>
          <w:numId w:val="5"/>
        </w:numPr>
        <w:ind w:left="70" w:firstLine="560" w:leftChars="0" w:firstLineChars="0"/>
        <w:rPr>
          <w:rFonts w:ascii="仿宋" w:eastAsia="仿宋" w:hAnsi="仿宋" w:cs="仿宋" w:hint="eastAsia"/>
          <w:b/>
          <w:bCs/>
          <w:color w:val="auto"/>
          <w:sz w:val="28"/>
          <w:szCs w:val="20"/>
          <w:highlight w:val="none"/>
        </w:rPr>
      </w:pPr>
      <w:r>
        <w:rPr>
          <w:rFonts w:ascii="仿宋" w:eastAsia="仿宋" w:hAnsi="仿宋" w:cs="仿宋" w:hint="eastAsia"/>
          <w:b/>
          <w:bCs/>
          <w:color w:val="auto"/>
          <w:sz w:val="28"/>
          <w:szCs w:val="20"/>
          <w:highlight w:val="none"/>
          <w:lang w:val="en-US" w:eastAsia="zh-CN"/>
        </w:rPr>
        <w:t>出厂测试及现场测试要求</w:t>
      </w:r>
    </w:p>
    <w:p>
      <w:pPr>
        <w:numPr>
          <w:ilvl w:val="0"/>
          <w:numId w:val="0"/>
        </w:num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lang w:val="en-US" w:eastAsia="zh-CN"/>
        </w:rPr>
        <w:t>出厂测试：设备在出厂前，由供应商和建设单位技术人员进行严格的测试和检验，确保设备性能符合技术要求。测试内容包括设备的外观检查、功能测试、精度测试等。测试结果应记录在出厂检验报告中，并随设备一同交付。</w:t>
      </w:r>
    </w:p>
    <w:p>
      <w:pPr>
        <w:numPr>
          <w:ilvl w:val="0"/>
          <w:numId w:val="0"/>
        </w:num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lang w:val="en-US" w:eastAsia="zh-CN"/>
        </w:rPr>
        <w:t>现场测试：设备到达现场后，由各建设单位组织技术人员和供应商代表进行现场测试。测试内容包括设备的安装调试、功能验证、精度校准等。测试过程中，应严格按照相关技术规范和标准进行操作，确保测试结果的准确性和可靠性。</w:t>
      </w:r>
    </w:p>
    <w:p>
      <w:pPr>
        <w:numPr>
          <w:ilvl w:val="0"/>
          <w:numId w:val="0"/>
        </w:num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lang w:val="en-US" w:eastAsia="zh-CN"/>
        </w:rPr>
        <w:t>测试结果评估：现场测试结束后，各建设单位技术人员将对测试结果进行评估，确认设备是否满足项目要求。如设备存在质量问题或性能不符合要求，将要求供应商进行整改或更换。</w:t>
      </w:r>
    </w:p>
    <w:p>
      <w:pPr>
        <w:numPr>
          <w:ilvl w:val="0"/>
          <w:numId w:val="0"/>
        </w:num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lang w:val="en-US" w:eastAsia="zh-CN"/>
        </w:rPr>
        <w:t>设备试运行评估要求</w:t>
      </w:r>
    </w:p>
    <w:p>
      <w:pPr>
        <w:numPr>
          <w:ilvl w:val="0"/>
          <w:numId w:val="0"/>
        </w:num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lang w:val="en-US" w:eastAsia="zh-CN"/>
        </w:rPr>
        <w:t>试运行期：设备通过现场测试后，进入试运行阶段，试运行期为3个月。在试运行期间，设备将按照正常工作模式进行运行，以检验其稳定性和可靠性。</w:t>
      </w:r>
    </w:p>
    <w:p>
      <w:pPr>
        <w:numPr>
          <w:ilvl w:val="0"/>
          <w:numId w:val="0"/>
        </w:num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lang w:val="en-US" w:eastAsia="zh-CN"/>
        </w:rPr>
        <w:t>评估内容：试运行期间，将对设备的运行稳定性、数据准确性、故障率等进行评估。同时，还将对设备的操作便捷性、维护保养便利性等进行评估。</w:t>
      </w:r>
    </w:p>
    <w:p>
      <w:pPr>
        <w:numPr>
          <w:ilvl w:val="0"/>
          <w:numId w:val="0"/>
        </w:num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lang w:val="en-US" w:eastAsia="zh-CN"/>
        </w:rPr>
        <w:t>评估方法：各建设单位技术人员将定期对设备进行检查和维护，记录设备的运行情况和出现的问题。试运行结束后，将对记录的数据进行分析，形成试运行评估报告。</w:t>
      </w:r>
    </w:p>
    <w:p>
      <w:pPr>
        <w:numPr>
          <w:ilvl w:val="0"/>
          <w:numId w:val="0"/>
        </w:num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lang w:val="en-US" w:eastAsia="zh-CN"/>
        </w:rPr>
        <w:t>评估结果处理：根据试运行评估报告，如设备运行稳定、性能符合要求，将办理正式验收手续，投入正式运行。如设备存在需要改进的问题，将与供应商协商，制定整改方案，确保设备达到预期性能。</w:t>
      </w:r>
    </w:p>
    <w:p>
      <w:pPr>
        <w:numPr>
          <w:ilvl w:val="0"/>
          <w:numId w:val="5"/>
        </w:numPr>
        <w:ind w:left="70" w:firstLine="560" w:leftChars="0" w:firstLineChars="0"/>
        <w:rPr>
          <w:rFonts w:ascii="仿宋" w:eastAsia="仿宋" w:hAnsi="仿宋" w:cs="仿宋" w:hint="eastAsia"/>
          <w:b/>
          <w:bCs/>
          <w:color w:val="auto"/>
          <w:sz w:val="28"/>
          <w:szCs w:val="20"/>
          <w:highlight w:val="none"/>
        </w:rPr>
      </w:pPr>
      <w:r>
        <w:rPr>
          <w:rFonts w:ascii="仿宋" w:eastAsia="仿宋" w:hAnsi="仿宋" w:cs="仿宋" w:hint="eastAsia"/>
          <w:b/>
          <w:bCs/>
          <w:color w:val="auto"/>
          <w:sz w:val="28"/>
          <w:szCs w:val="20"/>
          <w:highlight w:val="none"/>
          <w:lang w:val="en-US" w:eastAsia="zh-CN"/>
        </w:rPr>
        <w:t>检验考核要求</w:t>
      </w:r>
    </w:p>
    <w:p>
      <w:pPr>
        <w:spacing w:line="360" w:lineRule="auto"/>
        <w:ind w:firstLine="560" w:firstLineChars="200"/>
        <w:rPr>
          <w:rFonts w:ascii="仿宋" w:eastAsia="仿宋" w:hAnsi="仿宋" w:cs="仿宋" w:hint="eastAsia"/>
          <w:color w:val="auto"/>
          <w:kern w:val="20"/>
          <w:sz w:val="28"/>
          <w:szCs w:val="20"/>
          <w:highlight w:val="none"/>
        </w:rPr>
      </w:pPr>
      <w:r>
        <w:rPr>
          <w:rFonts w:ascii="仿宋" w:eastAsia="仿宋" w:hAnsi="仿宋" w:cs="仿宋" w:hint="eastAsia"/>
          <w:color w:val="auto"/>
          <w:kern w:val="20"/>
          <w:sz w:val="28"/>
          <w:szCs w:val="20"/>
          <w:highlight w:val="none"/>
          <w:lang w:val="en-US" w:eastAsia="zh-CN" w:bidi="ar-SA"/>
        </w:rPr>
        <w:t>中标人在合同签订后，应及时组织采购，到货后，向采购人提交全部材料， 由采购人组织验收，经验收通过后出具验收报告。</w:t>
      </w:r>
    </w:p>
    <w:p>
      <w:pPr>
        <w:spacing w:line="360" w:lineRule="auto"/>
        <w:ind w:firstLine="560" w:firstLineChars="200"/>
        <w:rPr>
          <w:rFonts w:ascii="仿宋" w:eastAsia="仿宋" w:hAnsi="仿宋" w:cs="仿宋" w:hint="eastAsia"/>
          <w:color w:val="auto"/>
          <w:kern w:val="20"/>
          <w:sz w:val="28"/>
          <w:szCs w:val="20"/>
          <w:highlight w:val="none"/>
        </w:rPr>
      </w:pPr>
      <w:r>
        <w:rPr>
          <w:rFonts w:ascii="仿宋" w:eastAsia="仿宋" w:hAnsi="仿宋" w:cs="仿宋" w:hint="eastAsia"/>
          <w:color w:val="auto"/>
          <w:kern w:val="20"/>
          <w:sz w:val="28"/>
          <w:szCs w:val="20"/>
          <w:highlight w:val="none"/>
          <w:lang w:val="en-US" w:eastAsia="zh-CN" w:bidi="ar-SA"/>
        </w:rPr>
        <w:t>（1）设备出厂前，采购人有权派人到工厂进行检验，中标人应在设备出厂前提供出厂检验项目指标测试程序和检验方法，供采购人参考，采购人可根据需要进行补充和修改。</w:t>
      </w:r>
    </w:p>
    <w:p>
      <w:pPr>
        <w:spacing w:line="360" w:lineRule="auto"/>
        <w:ind w:firstLine="560" w:firstLineChars="200"/>
        <w:rPr>
          <w:rFonts w:ascii="仿宋" w:eastAsia="仿宋" w:hAnsi="仿宋" w:cs="仿宋" w:hint="eastAsia"/>
          <w:color w:val="auto"/>
          <w:kern w:val="20"/>
          <w:sz w:val="28"/>
          <w:szCs w:val="20"/>
          <w:highlight w:val="none"/>
        </w:rPr>
      </w:pPr>
      <w:r>
        <w:rPr>
          <w:rFonts w:ascii="仿宋" w:eastAsia="仿宋" w:hAnsi="仿宋" w:cs="仿宋" w:hint="eastAsia"/>
          <w:color w:val="auto"/>
          <w:kern w:val="20"/>
          <w:sz w:val="28"/>
          <w:szCs w:val="20"/>
          <w:highlight w:val="none"/>
          <w:lang w:val="en-US" w:eastAsia="zh-CN" w:bidi="ar-SA"/>
        </w:rPr>
        <w:t>（2）设备运抵安装现场后，采购人将与中标人共同开箱验收，如中标人届时不派人到场， 则验收结果应以采购人的验收报告为最终验收结果。验收时发现设备短缺、破损，中标人应立即补发进行更换。</w:t>
      </w:r>
    </w:p>
    <w:p>
      <w:pPr>
        <w:spacing w:line="360" w:lineRule="auto"/>
        <w:ind w:firstLine="560" w:firstLineChars="200"/>
        <w:rPr>
          <w:rFonts w:ascii="仿宋" w:eastAsia="仿宋" w:hAnsi="仿宋" w:cs="仿宋" w:hint="eastAsia"/>
          <w:color w:val="auto"/>
          <w:kern w:val="20"/>
          <w:sz w:val="28"/>
          <w:szCs w:val="20"/>
          <w:highlight w:val="none"/>
        </w:rPr>
      </w:pPr>
      <w:r>
        <w:rPr>
          <w:rFonts w:ascii="仿宋" w:eastAsia="仿宋" w:hAnsi="仿宋" w:cs="仿宋" w:hint="eastAsia"/>
          <w:color w:val="auto"/>
          <w:kern w:val="20"/>
          <w:sz w:val="28"/>
          <w:szCs w:val="20"/>
          <w:highlight w:val="none"/>
          <w:lang w:val="en-US" w:eastAsia="zh-CN" w:bidi="ar-SA"/>
        </w:rPr>
        <w:t>（3）设备安装、调试达到招标文件或后续签订合同规定的指标后，可进行初步验收。验收规范(包括项目、指标、方式和测试仪器等)由中标人提前提交给采购人。采购人可根据合同以 及采购人的有关规定进行修改和补充，经双方确认后形成验收文件作为验收依据。验收测试合格后，设备进入试运行期。</w:t>
      </w:r>
    </w:p>
    <w:p>
      <w:pPr>
        <w:spacing w:line="360" w:lineRule="auto"/>
        <w:ind w:firstLine="560" w:firstLineChars="200"/>
        <w:rPr>
          <w:rFonts w:ascii="仿宋" w:eastAsia="仿宋" w:hAnsi="仿宋" w:cs="仿宋" w:hint="eastAsia"/>
          <w:color w:val="auto"/>
          <w:kern w:val="20"/>
          <w:sz w:val="28"/>
          <w:szCs w:val="20"/>
          <w:highlight w:val="none"/>
        </w:rPr>
      </w:pPr>
      <w:r>
        <w:rPr>
          <w:rFonts w:ascii="仿宋" w:eastAsia="仿宋" w:hAnsi="仿宋" w:cs="仿宋" w:hint="eastAsia"/>
          <w:color w:val="auto"/>
          <w:kern w:val="20"/>
          <w:sz w:val="28"/>
          <w:szCs w:val="20"/>
          <w:highlight w:val="none"/>
          <w:lang w:val="en-US" w:eastAsia="zh-CN" w:bidi="ar-SA"/>
        </w:rPr>
        <w:t>（4）设备安装调试和试运行结束后，采购人组织最终验收。当满足以下条件时，采购人确认验收合格：</w:t>
      </w:r>
    </w:p>
    <w:p>
      <w:pPr>
        <w:spacing w:line="360" w:lineRule="auto"/>
        <w:ind w:firstLine="560" w:firstLineChars="200"/>
        <w:rPr>
          <w:rFonts w:ascii="仿宋" w:eastAsia="仿宋" w:hAnsi="仿宋" w:cs="仿宋" w:hint="eastAsia"/>
          <w:color w:val="auto"/>
          <w:kern w:val="20"/>
          <w:sz w:val="28"/>
          <w:szCs w:val="20"/>
          <w:highlight w:val="none"/>
        </w:rPr>
      </w:pPr>
      <w:r>
        <w:rPr>
          <w:rFonts w:ascii="仿宋" w:eastAsia="仿宋" w:hAnsi="仿宋" w:cs="仿宋" w:hint="eastAsia"/>
          <w:color w:val="auto"/>
          <w:kern w:val="20"/>
          <w:sz w:val="28"/>
          <w:szCs w:val="20"/>
          <w:highlight w:val="none"/>
          <w:lang w:val="en-US" w:eastAsia="zh-CN" w:bidi="ar-SA"/>
        </w:rPr>
        <w:t>① 中标人已提供合同中签署的全部货物及完整技术资料；</w:t>
      </w:r>
    </w:p>
    <w:p>
      <w:pPr>
        <w:spacing w:line="360" w:lineRule="auto"/>
        <w:ind w:firstLine="560" w:firstLineChars="200"/>
        <w:rPr>
          <w:rFonts w:ascii="仿宋" w:eastAsia="仿宋" w:hAnsi="仿宋" w:cs="仿宋" w:hint="eastAsia"/>
          <w:color w:val="auto"/>
          <w:kern w:val="20"/>
          <w:sz w:val="28"/>
          <w:szCs w:val="20"/>
          <w:highlight w:val="none"/>
        </w:rPr>
      </w:pPr>
      <w:r>
        <w:rPr>
          <w:rFonts w:ascii="仿宋" w:eastAsia="仿宋" w:hAnsi="仿宋" w:cs="仿宋" w:hint="eastAsia"/>
          <w:color w:val="auto"/>
          <w:kern w:val="20"/>
          <w:sz w:val="28"/>
          <w:szCs w:val="20"/>
          <w:highlight w:val="none"/>
          <w:lang w:val="en-US" w:eastAsia="zh-CN" w:bidi="ar-SA"/>
        </w:rPr>
        <w:t>② 货物符合技术规格，性能满足要求；</w:t>
      </w:r>
    </w:p>
    <w:p>
      <w:pPr>
        <w:spacing w:line="360" w:lineRule="auto"/>
        <w:ind w:firstLine="560" w:firstLineChars="200"/>
        <w:rPr>
          <w:rFonts w:ascii="仿宋" w:eastAsia="仿宋" w:hAnsi="仿宋" w:cs="仿宋" w:hint="eastAsia"/>
          <w:color w:val="auto"/>
          <w:kern w:val="20"/>
          <w:sz w:val="28"/>
          <w:szCs w:val="20"/>
          <w:highlight w:val="none"/>
        </w:rPr>
      </w:pPr>
      <w:r>
        <w:rPr>
          <w:rFonts w:ascii="仿宋" w:eastAsia="仿宋" w:hAnsi="仿宋" w:cs="仿宋" w:hint="eastAsia"/>
          <w:color w:val="auto"/>
          <w:kern w:val="20"/>
          <w:sz w:val="28"/>
          <w:szCs w:val="20"/>
          <w:highlight w:val="none"/>
          <w:lang w:val="en-US" w:eastAsia="zh-CN" w:bidi="ar-SA"/>
        </w:rPr>
        <w:t>③ 安装工程符合技术要求，系统性能满足要求，设备正常运行。</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pStyle w:val="Heading1"/>
        <w:numPr>
          <w:ilvl w:val="0"/>
          <w:numId w:val="0"/>
        </w:numPr>
        <w:rPr>
          <w:rFonts w:ascii="仿宋" w:eastAsia="仿宋" w:hAnsi="仿宋" w:cs="仿宋" w:hint="eastAsia"/>
          <w:color w:val="auto"/>
          <w:kern w:val="20"/>
          <w:sz w:val="28"/>
          <w:szCs w:val="20"/>
          <w:highlight w:val="none"/>
          <w:lang w:val="en-US" w:bidi="ar-SA"/>
        </w:rPr>
      </w:pPr>
    </w:p>
    <w:p>
      <w:pPr>
        <w:snapToGrid w:val="0"/>
        <w:spacing w:line="360" w:lineRule="auto"/>
        <w:ind w:firstLine="0" w:firstLineChars="0"/>
        <w:rPr>
          <w:rFonts w:ascii="宋体" w:eastAsia="宋体" w:hAnsi="宋体" w:cs="宋体" w:hint="eastAsia"/>
          <w:color w:val="auto"/>
          <w:szCs w:val="21"/>
          <w:highlight w:val="none"/>
        </w:rPr>
      </w:pPr>
      <w:r>
        <w:rPr>
          <w:rFonts w:ascii="宋体" w:eastAsia="宋体" w:hAnsi="宋体" w:cs="宋体" w:hint="eastAsia"/>
          <w:color w:val="auto"/>
          <w:szCs w:val="21"/>
          <w:highlight w:val="none"/>
          <w:lang w:val="en-US" w:eastAsia="zh-CN"/>
        </w:rPr>
        <w:t xml:space="preserve"> </w:t>
      </w:r>
    </w:p>
    <w:p>
      <w:pPr>
        <w:spacing w:line="360" w:lineRule="auto"/>
        <w:ind w:firstLine="420" w:firstLineChars="200"/>
        <w:rPr>
          <w:rFonts w:ascii="宋体" w:hAnsi="宋体" w:hint="eastAsia"/>
          <w:szCs w:val="21"/>
        </w:rPr>
      </w:pPr>
    </w:p>
    <w:p>
      <w:pPr>
        <w:spacing w:line="360" w:lineRule="auto"/>
        <w:ind w:firstLine="420" w:firstLineChars="200"/>
        <w:rPr>
          <w:rFonts w:ascii="宋体" w:hAnsi="宋体" w:hint="eastAsia"/>
          <w:szCs w:val="21"/>
        </w:rPr>
      </w:pPr>
    </w:p>
    <w:p>
      <w:pPr>
        <w:spacing w:line="360" w:lineRule="auto"/>
        <w:ind w:firstLine="420" w:firstLineChars="200"/>
        <w:rPr>
          <w:rFonts w:ascii="宋体" w:hAnsi="宋体" w:hint="eastAsia"/>
          <w:szCs w:val="21"/>
        </w:rPr>
      </w:pPr>
    </w:p>
    <w:p>
      <w:pPr>
        <w:spacing w:line="560" w:lineRule="exact"/>
        <w:rPr>
          <w:rFonts w:ascii="仿宋" w:eastAsia="仿宋" w:hAnsi="仿宋" w:cs="仿宋"/>
          <w:b/>
          <w:sz w:val="28"/>
          <w:szCs w:val="20"/>
          <w:highlight w:val="re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07"/>
        <w:gridCol w:w="1480"/>
        <w:gridCol w:w="831"/>
        <w:gridCol w:w="1156"/>
        <w:gridCol w:w="1318"/>
        <w:gridCol w:w="831"/>
        <w:gridCol w:w="243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气象计量检定系统</w:t>
            </w:r>
          </w:p>
        </w:tc>
        <w:tc>
          <w:tcPr/>
          <w:p>
            <w:pPr>
              <w:autoSpaceDE w:val="0"/>
              <w:jc w:val="center"/>
              <w:rPr>
                <w:rFonts w:asciiTheme="minorEastAsia" w:hAnsiTheme="minorEastAsia" w:cstheme="minorEastAsia"/>
                <w:kern w:val="0"/>
                <w:szCs w:val="21"/>
              </w:rPr>
            </w:pPr>
            <w:r>
              <w:t>47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5,280,000.00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r>
              <w:t>湖北省气象信息与技术保障中心 027-67848019</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气象计量检定系统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650,000.00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r>
              <w:t>湖北省气象信息与技术保障中心 027-67848019</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5,930,000.00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11"/>
        <w:gridCol w:w="1660"/>
        <w:gridCol w:w="1200"/>
        <w:gridCol w:w="411"/>
        <w:gridCol w:w="937"/>
        <w:gridCol w:w="781"/>
        <w:gridCol w:w="674"/>
        <w:gridCol w:w="244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信息保障中心(001047019)</w:t>
            </w:r>
          </w:p>
        </w:tc>
        <w:tc>
          <w:tcPr/>
          <w:p>
            <w:r>
              <w:t>气象计量检定系统</w:t>
            </w:r>
          </w:p>
        </w:tc>
        <w:tc>
          <w:tcPr/>
          <w:p>
            <w:r>
              <w:t>1</w:t>
            </w:r>
          </w:p>
        </w:tc>
        <w:tc>
          <w:tcPr/>
          <w:p>
            <w:r>
              <w:t>5000.00</w:t>
            </w:r>
          </w:p>
        </w:tc>
        <w:tc>
          <w:tcPr>
            <w:vMerge w:val="restart"/>
          </w:tcPr>
          <w:p>
            <w:r>
              <w:t xml:space="preserve">5930000.00  </w:t>
            </w:r>
          </w:p>
        </w:tc>
        <w:tc>
          <w:tcPr/>
          <w:p>
            <w:r>
              <w:t>湖北</w:t>
            </w:r>
          </w:p>
        </w:tc>
        <w:tc>
          <w:tcPr/>
          <w:p>
            <w:r>
              <w:t>环境监测设备1套</w:t>
            </w:r>
          </w:p>
        </w:tc>
      </w:tr>
      <w:tr>
        <w:tblPrEx>
          <w:tblW w:w="5000" w:type="pct"/>
          <w:tblCellMar>
            <w:left w:w="108" w:type="dxa"/>
            <w:right w:w="108" w:type="dxa"/>
          </w:tblCellMar>
        </w:tblPrEx>
        <w:tc>
          <w:tcPr/>
          <w:p>
            <w:r>
              <w:t>2</w:t>
            </w:r>
          </w:p>
        </w:tc>
        <w:tc>
          <w:tcPr>
            <w:vMerge/>
          </w:tcPr>
          <w:p>
            <w:r>
              <w:t>信息保障中心(001047019)</w:t>
            </w:r>
          </w:p>
        </w:tc>
        <w:tc>
          <w:tcPr/>
          <w:p>
            <w:r>
              <w:t>气象计量检定系统</w:t>
            </w:r>
          </w:p>
        </w:tc>
        <w:tc>
          <w:tcPr/>
          <w:p>
            <w:r>
              <w:t>1</w:t>
            </w:r>
          </w:p>
        </w:tc>
        <w:tc>
          <w:tcPr/>
          <w:p>
            <w:r>
              <w:t>650000.00</w:t>
            </w:r>
          </w:p>
        </w:tc>
        <w:tc>
          <w:tcPr>
            <w:vMerge/>
          </w:tcPr>
          <w:p>
            <w:r>
              <w:t xml:space="preserve">5930000.00  </w:t>
            </w:r>
          </w:p>
        </w:tc>
        <w:tc>
          <w:tcPr/>
          <w:p>
            <w:r>
              <w:t>湖北</w:t>
            </w:r>
          </w:p>
        </w:tc>
        <w:tc>
          <w:tcPr/>
          <w:p>
            <w:r>
              <w:tab/>
              <w:t>绝压型气体活塞式压力计1套</w:t>
            </w:r>
          </w:p>
        </w:tc>
      </w:tr>
      <w:tr>
        <w:tblPrEx>
          <w:tblW w:w="5000" w:type="pct"/>
          <w:tblCellMar>
            <w:left w:w="108" w:type="dxa"/>
            <w:right w:w="108" w:type="dxa"/>
          </w:tblCellMar>
        </w:tblPrEx>
        <w:tc>
          <w:tcPr/>
          <w:p>
            <w:r>
              <w:t>3</w:t>
            </w:r>
          </w:p>
        </w:tc>
        <w:tc>
          <w:tcPr>
            <w:vMerge/>
          </w:tcPr>
          <w:p>
            <w:r>
              <w:t>信息保障中心(001047019)</w:t>
            </w:r>
          </w:p>
        </w:tc>
        <w:tc>
          <w:tcPr/>
          <w:p>
            <w:r>
              <w:t>气象计量检定系统</w:t>
            </w:r>
          </w:p>
        </w:tc>
        <w:tc>
          <w:tcPr/>
          <w:p>
            <w:r>
              <w:t>1</w:t>
            </w:r>
          </w:p>
        </w:tc>
        <w:tc>
          <w:tcPr/>
          <w:p>
            <w:r>
              <w:t>950000.00</w:t>
            </w:r>
          </w:p>
        </w:tc>
        <w:tc>
          <w:tcPr>
            <w:vMerge/>
          </w:tcPr>
          <w:p>
            <w:r>
              <w:t xml:space="preserve">5930000.00  </w:t>
            </w:r>
          </w:p>
        </w:tc>
        <w:tc>
          <w:tcPr/>
          <w:p>
            <w:r>
              <w:t>湖北</w:t>
            </w:r>
          </w:p>
        </w:tc>
        <w:tc>
          <w:tcPr/>
          <w:p>
            <w:r>
              <w:t>自动传送模块1套</w:t>
            </w:r>
          </w:p>
        </w:tc>
      </w:tr>
      <w:tr>
        <w:tblPrEx>
          <w:tblW w:w="5000" w:type="pct"/>
          <w:tblCellMar>
            <w:left w:w="108" w:type="dxa"/>
            <w:right w:w="108" w:type="dxa"/>
          </w:tblCellMar>
        </w:tblPrEx>
        <w:tc>
          <w:tcPr/>
          <w:p>
            <w:r>
              <w:t>4</w:t>
            </w:r>
          </w:p>
        </w:tc>
        <w:tc>
          <w:tcPr>
            <w:vMerge/>
          </w:tcPr>
          <w:p>
            <w:r>
              <w:t>信息保障中心(001047019)</w:t>
            </w:r>
          </w:p>
        </w:tc>
        <w:tc>
          <w:tcPr/>
          <w:p>
            <w:r>
              <w:t>气象计量检定系统</w:t>
            </w:r>
          </w:p>
        </w:tc>
        <w:tc>
          <w:tcPr/>
          <w:p>
            <w:r>
              <w:t>1</w:t>
            </w:r>
          </w:p>
        </w:tc>
        <w:tc>
          <w:tcPr/>
          <w:p>
            <w:r>
              <w:t>80000.00</w:t>
            </w:r>
          </w:p>
        </w:tc>
        <w:tc>
          <w:tcPr>
            <w:vMerge/>
          </w:tcPr>
          <w:p>
            <w:r>
              <w:t xml:space="preserve">5930000.00  </w:t>
            </w:r>
          </w:p>
        </w:tc>
        <w:tc>
          <w:tcPr/>
          <w:p>
            <w:r>
              <w:t>湖北</w:t>
            </w:r>
          </w:p>
        </w:tc>
        <w:tc>
          <w:tcPr/>
          <w:p>
            <w:r>
              <w:t>设备信息采集和智能识别模块1套</w:t>
            </w:r>
          </w:p>
        </w:tc>
      </w:tr>
      <w:tr>
        <w:tblPrEx>
          <w:tblW w:w="5000" w:type="pct"/>
          <w:tblCellMar>
            <w:left w:w="108" w:type="dxa"/>
            <w:right w:w="108" w:type="dxa"/>
          </w:tblCellMar>
        </w:tblPrEx>
        <w:tc>
          <w:tcPr/>
          <w:p>
            <w:r>
              <w:t>5</w:t>
            </w:r>
          </w:p>
        </w:tc>
        <w:tc>
          <w:tcPr>
            <w:vMerge/>
          </w:tcPr>
          <w:p>
            <w:r>
              <w:t>信息保障中心(001047019)</w:t>
            </w:r>
          </w:p>
        </w:tc>
        <w:tc>
          <w:tcPr/>
          <w:p>
            <w:r>
              <w:t>气象计量检定系统</w:t>
            </w:r>
          </w:p>
        </w:tc>
        <w:tc>
          <w:tcPr/>
          <w:p>
            <w:r>
              <w:t>2</w:t>
            </w:r>
          </w:p>
        </w:tc>
        <w:tc>
          <w:tcPr/>
          <w:p>
            <w:r>
              <w:t>60000.00</w:t>
            </w:r>
          </w:p>
        </w:tc>
        <w:tc>
          <w:tcPr>
            <w:vMerge/>
          </w:tcPr>
          <w:p>
            <w:r>
              <w:t xml:space="preserve">5930000.00  </w:t>
            </w:r>
          </w:p>
        </w:tc>
        <w:tc>
          <w:tcPr/>
          <w:p>
            <w:r>
              <w:t>湖北</w:t>
            </w:r>
          </w:p>
        </w:tc>
        <w:tc>
          <w:tcPr/>
          <w:p>
            <w:r>
              <w:t>测试辅助模块2套</w:t>
            </w:r>
          </w:p>
        </w:tc>
      </w:tr>
      <w:tr>
        <w:tblPrEx>
          <w:tblW w:w="5000" w:type="pct"/>
          <w:tblCellMar>
            <w:left w:w="108" w:type="dxa"/>
            <w:right w:w="108" w:type="dxa"/>
          </w:tblCellMar>
        </w:tblPrEx>
        <w:tc>
          <w:tcPr/>
          <w:p>
            <w:r>
              <w:t>6</w:t>
            </w:r>
          </w:p>
        </w:tc>
        <w:tc>
          <w:tcPr>
            <w:vMerge/>
          </w:tcPr>
          <w:p>
            <w:r>
              <w:t>信息保障中心(001047019)</w:t>
            </w:r>
          </w:p>
        </w:tc>
        <w:tc>
          <w:tcPr/>
          <w:p>
            <w:r>
              <w:t>气象计量检定系统</w:t>
            </w:r>
          </w:p>
        </w:tc>
        <w:tc>
          <w:tcPr/>
          <w:p>
            <w:r>
              <w:t>1</w:t>
            </w:r>
          </w:p>
        </w:tc>
        <w:tc>
          <w:tcPr/>
          <w:p>
            <w:r>
              <w:t>30000.00</w:t>
            </w:r>
          </w:p>
        </w:tc>
        <w:tc>
          <w:tcPr>
            <w:vMerge/>
          </w:tcPr>
          <w:p>
            <w:r>
              <w:t xml:space="preserve">5930000.00  </w:t>
            </w:r>
          </w:p>
        </w:tc>
        <w:tc>
          <w:tcPr/>
          <w:p>
            <w:r>
              <w:t>湖北</w:t>
            </w:r>
          </w:p>
        </w:tc>
        <w:tc>
          <w:tcPr/>
          <w:p>
            <w:r>
              <w:t>通信传输模块1套</w:t>
            </w:r>
          </w:p>
        </w:tc>
      </w:tr>
      <w:tr>
        <w:tblPrEx>
          <w:tblW w:w="5000" w:type="pct"/>
          <w:tblCellMar>
            <w:left w:w="108" w:type="dxa"/>
            <w:right w:w="108" w:type="dxa"/>
          </w:tblCellMar>
        </w:tblPrEx>
        <w:tc>
          <w:tcPr/>
          <w:p>
            <w:r>
              <w:t>7</w:t>
            </w:r>
          </w:p>
        </w:tc>
        <w:tc>
          <w:tcPr>
            <w:vMerge/>
          </w:tcPr>
          <w:p>
            <w:r>
              <w:t>信息保障中心(001047019)</w:t>
            </w:r>
          </w:p>
        </w:tc>
        <w:tc>
          <w:tcPr/>
          <w:p>
            <w:r>
              <w:t>气象计量检定系统</w:t>
            </w:r>
          </w:p>
        </w:tc>
        <w:tc>
          <w:tcPr/>
          <w:p>
            <w:r>
              <w:t>1</w:t>
            </w:r>
          </w:p>
        </w:tc>
        <w:tc>
          <w:tcPr/>
          <w:p>
            <w:r>
              <w:t>25000.00</w:t>
            </w:r>
          </w:p>
        </w:tc>
        <w:tc>
          <w:tcPr>
            <w:vMerge/>
          </w:tcPr>
          <w:p>
            <w:r>
              <w:t xml:space="preserve">5930000.00  </w:t>
            </w:r>
          </w:p>
        </w:tc>
        <w:tc>
          <w:tcPr/>
          <w:p>
            <w:r>
              <w:t>湖北</w:t>
            </w:r>
          </w:p>
        </w:tc>
        <w:tc>
          <w:tcPr/>
          <w:p>
            <w:r>
              <w:t>电源控制模块1套</w:t>
            </w:r>
          </w:p>
        </w:tc>
      </w:tr>
      <w:tr>
        <w:tblPrEx>
          <w:tblW w:w="5000" w:type="pct"/>
          <w:tblCellMar>
            <w:left w:w="108" w:type="dxa"/>
            <w:right w:w="108" w:type="dxa"/>
          </w:tblCellMar>
        </w:tblPrEx>
        <w:tc>
          <w:tcPr/>
          <w:p>
            <w:r>
              <w:t>8</w:t>
            </w:r>
          </w:p>
        </w:tc>
        <w:tc>
          <w:tcPr>
            <w:vMerge/>
          </w:tcPr>
          <w:p>
            <w:r>
              <w:t>信息保障中心(001047019)</w:t>
            </w:r>
          </w:p>
        </w:tc>
        <w:tc>
          <w:tcPr/>
          <w:p>
            <w:r>
              <w:t>气象计量检定系统</w:t>
            </w:r>
          </w:p>
        </w:tc>
        <w:tc>
          <w:tcPr/>
          <w:p>
            <w:r>
              <w:t>1</w:t>
            </w:r>
          </w:p>
        </w:tc>
        <w:tc>
          <w:tcPr/>
          <w:p>
            <w:r>
              <w:t>5000.00</w:t>
            </w:r>
          </w:p>
        </w:tc>
        <w:tc>
          <w:tcPr>
            <w:vMerge/>
          </w:tcPr>
          <w:p>
            <w:r>
              <w:t xml:space="preserve">5930000.00  </w:t>
            </w:r>
          </w:p>
        </w:tc>
        <w:tc>
          <w:tcPr/>
          <w:p>
            <w:r>
              <w:t>湖北</w:t>
            </w:r>
          </w:p>
        </w:tc>
        <w:tc>
          <w:tcPr/>
          <w:p>
            <w:r>
              <w:t>环境监测设备1套</w:t>
            </w:r>
          </w:p>
        </w:tc>
      </w:tr>
      <w:tr>
        <w:tblPrEx>
          <w:tblW w:w="5000" w:type="pct"/>
          <w:tblCellMar>
            <w:left w:w="108" w:type="dxa"/>
            <w:right w:w="108" w:type="dxa"/>
          </w:tblCellMar>
        </w:tblPrEx>
        <w:tc>
          <w:tcPr/>
          <w:p>
            <w:r>
              <w:t>9</w:t>
            </w:r>
          </w:p>
        </w:tc>
        <w:tc>
          <w:tcPr>
            <w:vMerge/>
          </w:tcPr>
          <w:p>
            <w:r>
              <w:t>信息保障中心(001047019)</w:t>
            </w:r>
          </w:p>
        </w:tc>
        <w:tc>
          <w:tcPr/>
          <w:p>
            <w:r>
              <w:t>气象计量检定系统</w:t>
            </w:r>
          </w:p>
        </w:tc>
        <w:tc>
          <w:tcPr/>
          <w:p>
            <w:r>
              <w:t>1</w:t>
            </w:r>
          </w:p>
        </w:tc>
        <w:tc>
          <w:tcPr/>
          <w:p>
            <w:r>
              <w:t>70000.00</w:t>
            </w:r>
          </w:p>
        </w:tc>
        <w:tc>
          <w:tcPr>
            <w:vMerge/>
          </w:tcPr>
          <w:p>
            <w:r>
              <w:t xml:space="preserve">5930000.00  </w:t>
            </w:r>
          </w:p>
        </w:tc>
        <w:tc>
          <w:tcPr/>
          <w:p>
            <w:r>
              <w:t>湖北</w:t>
            </w:r>
          </w:p>
        </w:tc>
        <w:tc>
          <w:tcPr/>
          <w:p>
            <w:r>
              <w:t>气体压力控制装置1套</w:t>
            </w:r>
          </w:p>
        </w:tc>
      </w:tr>
      <w:tr>
        <w:tblPrEx>
          <w:tblW w:w="5000" w:type="pct"/>
          <w:tblCellMar>
            <w:left w:w="108" w:type="dxa"/>
            <w:right w:w="108" w:type="dxa"/>
          </w:tblCellMar>
        </w:tblPrEx>
        <w:tc>
          <w:tcPr/>
          <w:p>
            <w:r>
              <w:t>10</w:t>
            </w:r>
          </w:p>
        </w:tc>
        <w:tc>
          <w:tcPr>
            <w:vMerge/>
          </w:tcPr>
          <w:p>
            <w:r>
              <w:t>信息保障中心(001047019)</w:t>
            </w:r>
          </w:p>
        </w:tc>
        <w:tc>
          <w:tcPr/>
          <w:p>
            <w:r>
              <w:t>气象计量检定系统</w:t>
            </w:r>
          </w:p>
        </w:tc>
        <w:tc>
          <w:tcPr/>
          <w:p>
            <w:r>
              <w:t>1</w:t>
            </w:r>
          </w:p>
        </w:tc>
        <w:tc>
          <w:tcPr/>
          <w:p>
            <w:r>
              <w:t>950000.00</w:t>
            </w:r>
          </w:p>
        </w:tc>
        <w:tc>
          <w:tcPr>
            <w:vMerge/>
          </w:tcPr>
          <w:p>
            <w:r>
              <w:t xml:space="preserve">5930000.00  </w:t>
            </w:r>
          </w:p>
        </w:tc>
        <w:tc>
          <w:tcPr/>
          <w:p>
            <w:r>
              <w:t>湖北</w:t>
            </w:r>
          </w:p>
        </w:tc>
        <w:tc>
          <w:tcPr/>
          <w:p>
            <w:r>
              <w:t>自动传输模块1套</w:t>
            </w:r>
          </w:p>
        </w:tc>
      </w:tr>
      <w:tr>
        <w:tblPrEx>
          <w:tblW w:w="5000" w:type="pct"/>
          <w:tblCellMar>
            <w:left w:w="108" w:type="dxa"/>
            <w:right w:w="108" w:type="dxa"/>
          </w:tblCellMar>
        </w:tblPrEx>
        <w:tc>
          <w:tcPr/>
          <w:p>
            <w:r>
              <w:t>11</w:t>
            </w:r>
          </w:p>
        </w:tc>
        <w:tc>
          <w:tcPr>
            <w:vMerge/>
          </w:tcPr>
          <w:p>
            <w:r>
              <w:t>信息保障中心(001047019)</w:t>
            </w:r>
          </w:p>
        </w:tc>
        <w:tc>
          <w:tcPr/>
          <w:p>
            <w:r>
              <w:t>气象计量检定系统</w:t>
            </w:r>
          </w:p>
        </w:tc>
        <w:tc>
          <w:tcPr/>
          <w:p>
            <w:r>
              <w:t>2</w:t>
            </w:r>
          </w:p>
        </w:tc>
        <w:tc>
          <w:tcPr/>
          <w:p>
            <w:r>
              <w:t>60000.00</w:t>
            </w:r>
          </w:p>
        </w:tc>
        <w:tc>
          <w:tcPr>
            <w:vMerge/>
          </w:tcPr>
          <w:p>
            <w:r>
              <w:t xml:space="preserve">5930000.00  </w:t>
            </w:r>
          </w:p>
        </w:tc>
        <w:tc>
          <w:tcPr/>
          <w:p>
            <w:r>
              <w:t>湖北</w:t>
            </w:r>
          </w:p>
        </w:tc>
        <w:tc>
          <w:tcPr/>
          <w:p>
            <w:r>
              <w:t>通信传输模块2套</w:t>
            </w:r>
          </w:p>
        </w:tc>
      </w:tr>
      <w:tr>
        <w:tblPrEx>
          <w:tblW w:w="5000" w:type="pct"/>
          <w:tblCellMar>
            <w:left w:w="108" w:type="dxa"/>
            <w:right w:w="108" w:type="dxa"/>
          </w:tblCellMar>
        </w:tblPrEx>
        <w:tc>
          <w:tcPr/>
          <w:p>
            <w:r>
              <w:t>12</w:t>
            </w:r>
          </w:p>
        </w:tc>
        <w:tc>
          <w:tcPr>
            <w:vMerge/>
          </w:tcPr>
          <w:p>
            <w:r>
              <w:t>信息保障中心(001047019)</w:t>
            </w:r>
          </w:p>
        </w:tc>
        <w:tc>
          <w:tcPr/>
          <w:p>
            <w:r>
              <w:t>气象计量检定系统</w:t>
            </w:r>
          </w:p>
        </w:tc>
        <w:tc>
          <w:tcPr/>
          <w:p>
            <w:r>
              <w:t>2</w:t>
            </w:r>
          </w:p>
        </w:tc>
        <w:tc>
          <w:tcPr/>
          <w:p>
            <w:r>
              <w:t>80000.00</w:t>
            </w:r>
          </w:p>
        </w:tc>
        <w:tc>
          <w:tcPr>
            <w:vMerge/>
          </w:tcPr>
          <w:p>
            <w:r>
              <w:t xml:space="preserve">5930000.00  </w:t>
            </w:r>
          </w:p>
        </w:tc>
        <w:tc>
          <w:tcPr/>
          <w:p>
            <w:r>
              <w:t>湖北</w:t>
            </w:r>
          </w:p>
        </w:tc>
        <w:tc>
          <w:tcPr/>
          <w:p>
            <w:r>
              <w:t>设备信息采集和智能识别模块2套</w:t>
            </w:r>
          </w:p>
        </w:tc>
      </w:tr>
      <w:tr>
        <w:tblPrEx>
          <w:tblW w:w="5000" w:type="pct"/>
          <w:tblCellMar>
            <w:left w:w="108" w:type="dxa"/>
            <w:right w:w="108" w:type="dxa"/>
          </w:tblCellMar>
        </w:tblPrEx>
        <w:tc>
          <w:tcPr/>
          <w:p>
            <w:r>
              <w:t>13</w:t>
            </w:r>
          </w:p>
        </w:tc>
        <w:tc>
          <w:tcPr>
            <w:vMerge/>
          </w:tcPr>
          <w:p>
            <w:r>
              <w:t>信息保障中心(001047019)</w:t>
            </w:r>
          </w:p>
        </w:tc>
        <w:tc>
          <w:tcPr/>
          <w:p>
            <w:r>
              <w:t>气象计量检定系统</w:t>
            </w:r>
          </w:p>
        </w:tc>
        <w:tc>
          <w:tcPr/>
          <w:p>
            <w:r>
              <w:t>8</w:t>
            </w:r>
          </w:p>
        </w:tc>
        <w:tc>
          <w:tcPr/>
          <w:p>
            <w:r>
              <w:t>144000.00</w:t>
            </w:r>
          </w:p>
        </w:tc>
        <w:tc>
          <w:tcPr>
            <w:vMerge/>
          </w:tcPr>
          <w:p>
            <w:r>
              <w:t xml:space="preserve">5930000.00  </w:t>
            </w:r>
          </w:p>
        </w:tc>
        <w:tc>
          <w:tcPr/>
          <w:p>
            <w:r>
              <w:t>湖北</w:t>
            </w:r>
          </w:p>
        </w:tc>
        <w:tc>
          <w:tcPr/>
          <w:p>
            <w:r>
              <w:t>标准铂电阻温度计8（支、台、套、件）</w:t>
            </w:r>
          </w:p>
        </w:tc>
      </w:tr>
      <w:tr>
        <w:tblPrEx>
          <w:tblW w:w="5000" w:type="pct"/>
          <w:tblCellMar>
            <w:left w:w="108" w:type="dxa"/>
            <w:right w:w="108" w:type="dxa"/>
          </w:tblCellMar>
        </w:tblPrEx>
        <w:tc>
          <w:tcPr/>
          <w:p>
            <w:r>
              <w:t>14</w:t>
            </w:r>
          </w:p>
        </w:tc>
        <w:tc>
          <w:tcPr>
            <w:vMerge/>
          </w:tcPr>
          <w:p>
            <w:r>
              <w:t>信息保障中心(001047019)</w:t>
            </w:r>
          </w:p>
        </w:tc>
        <w:tc>
          <w:tcPr/>
          <w:p>
            <w:r>
              <w:t>气象计量检定系统</w:t>
            </w:r>
          </w:p>
        </w:tc>
        <w:tc>
          <w:tcPr/>
          <w:p>
            <w:r>
              <w:t>2</w:t>
            </w:r>
          </w:p>
        </w:tc>
        <w:tc>
          <w:tcPr/>
          <w:p>
            <w:r>
              <w:t>40000.00</w:t>
            </w:r>
          </w:p>
        </w:tc>
        <w:tc>
          <w:tcPr>
            <w:vMerge/>
          </w:tcPr>
          <w:p>
            <w:r>
              <w:t xml:space="preserve">5930000.00  </w:t>
            </w:r>
          </w:p>
        </w:tc>
        <w:tc>
          <w:tcPr/>
          <w:p>
            <w:r>
              <w:t>湖北</w:t>
            </w:r>
          </w:p>
        </w:tc>
        <w:tc>
          <w:tcPr/>
          <w:p>
            <w:r>
              <w:t>电源控制模块2套</w:t>
            </w:r>
          </w:p>
        </w:tc>
      </w:tr>
      <w:tr>
        <w:tblPrEx>
          <w:tblW w:w="5000" w:type="pct"/>
          <w:tblCellMar>
            <w:left w:w="108" w:type="dxa"/>
            <w:right w:w="108" w:type="dxa"/>
          </w:tblCellMar>
        </w:tblPrEx>
        <w:tc>
          <w:tcPr/>
          <w:p>
            <w:r>
              <w:t>15</w:t>
            </w:r>
          </w:p>
        </w:tc>
        <w:tc>
          <w:tcPr>
            <w:vMerge/>
          </w:tcPr>
          <w:p>
            <w:r>
              <w:t>信息保障中心(001047019)</w:t>
            </w:r>
          </w:p>
        </w:tc>
        <w:tc>
          <w:tcPr/>
          <w:p>
            <w:r>
              <w:t>气象计量检定系统</w:t>
            </w:r>
          </w:p>
        </w:tc>
        <w:tc>
          <w:tcPr/>
          <w:p>
            <w:r>
              <w:t>2</w:t>
            </w:r>
          </w:p>
        </w:tc>
        <w:tc>
          <w:tcPr/>
          <w:p>
            <w:r>
              <w:t>140000.00</w:t>
            </w:r>
          </w:p>
        </w:tc>
        <w:tc>
          <w:tcPr>
            <w:vMerge/>
          </w:tcPr>
          <w:p>
            <w:r>
              <w:t xml:space="preserve">5930000.00  </w:t>
            </w:r>
          </w:p>
        </w:tc>
        <w:tc>
          <w:tcPr/>
          <w:p>
            <w:r>
              <w:t>湖北</w:t>
            </w:r>
          </w:p>
        </w:tc>
        <w:tc>
          <w:tcPr/>
          <w:p>
            <w:r>
              <w:t>精密露点仪2台</w:t>
            </w:r>
          </w:p>
        </w:tc>
      </w:tr>
      <w:tr>
        <w:tblPrEx>
          <w:tblW w:w="5000" w:type="pct"/>
          <w:tblCellMar>
            <w:left w:w="108" w:type="dxa"/>
            <w:right w:w="108" w:type="dxa"/>
          </w:tblCellMar>
        </w:tblPrEx>
        <w:tc>
          <w:tcPr/>
          <w:p>
            <w:r>
              <w:t>16</w:t>
            </w:r>
          </w:p>
        </w:tc>
        <w:tc>
          <w:tcPr>
            <w:vMerge/>
          </w:tcPr>
          <w:p>
            <w:r>
              <w:t>信息保障中心(001047019)</w:t>
            </w:r>
          </w:p>
        </w:tc>
        <w:tc>
          <w:tcPr/>
          <w:p>
            <w:r>
              <w:t>气象计量检定系统</w:t>
            </w:r>
          </w:p>
        </w:tc>
        <w:tc>
          <w:tcPr/>
          <w:p>
            <w:r>
              <w:t>2</w:t>
            </w:r>
          </w:p>
        </w:tc>
        <w:tc>
          <w:tcPr/>
          <w:p>
            <w:r>
              <w:t>600000.00</w:t>
            </w:r>
          </w:p>
        </w:tc>
        <w:tc>
          <w:tcPr>
            <w:vMerge/>
          </w:tcPr>
          <w:p>
            <w:r>
              <w:t xml:space="preserve">5930000.00  </w:t>
            </w:r>
          </w:p>
        </w:tc>
        <w:tc>
          <w:tcPr/>
          <w:p>
            <w:r>
              <w:t>湖北</w:t>
            </w:r>
          </w:p>
        </w:tc>
        <w:tc>
          <w:tcPr/>
          <w:p>
            <w:r>
              <w:t>湿度发生器（双压法）2台</w:t>
            </w:r>
          </w:p>
        </w:tc>
      </w:tr>
      <w:tr>
        <w:tblPrEx>
          <w:tblW w:w="5000" w:type="pct"/>
          <w:tblCellMar>
            <w:left w:w="108" w:type="dxa"/>
            <w:right w:w="108" w:type="dxa"/>
          </w:tblCellMar>
        </w:tblPrEx>
        <w:tc>
          <w:tcPr/>
          <w:p>
            <w:r>
              <w:t>17</w:t>
            </w:r>
          </w:p>
        </w:tc>
        <w:tc>
          <w:tcPr>
            <w:vMerge/>
          </w:tcPr>
          <w:p>
            <w:r>
              <w:t>信息保障中心(001047019)</w:t>
            </w:r>
          </w:p>
        </w:tc>
        <w:tc>
          <w:tcPr/>
          <w:p>
            <w:r>
              <w:t>气象计量检定系统</w:t>
            </w:r>
          </w:p>
        </w:tc>
        <w:tc>
          <w:tcPr/>
          <w:p>
            <w:r>
              <w:t>1</w:t>
            </w:r>
          </w:p>
        </w:tc>
        <w:tc>
          <w:tcPr/>
          <w:p>
            <w:r>
              <w:t>950000.00</w:t>
            </w:r>
          </w:p>
        </w:tc>
        <w:tc>
          <w:tcPr>
            <w:vMerge/>
          </w:tcPr>
          <w:p>
            <w:r>
              <w:t xml:space="preserve">5930000.00  </w:t>
            </w:r>
          </w:p>
        </w:tc>
        <w:tc>
          <w:tcPr/>
          <w:p>
            <w:r>
              <w:t>湖北</w:t>
            </w:r>
          </w:p>
        </w:tc>
        <w:tc>
          <w:tcPr/>
          <w:p>
            <w:r>
              <w:t>自动输送模块1套</w:t>
            </w:r>
          </w:p>
        </w:tc>
      </w:tr>
      <w:tr>
        <w:tblPrEx>
          <w:tblW w:w="5000" w:type="pct"/>
          <w:tblCellMar>
            <w:left w:w="108" w:type="dxa"/>
            <w:right w:w="108" w:type="dxa"/>
          </w:tblCellMar>
        </w:tblPrEx>
        <w:tc>
          <w:tcPr/>
          <w:p>
            <w:r>
              <w:t>18</w:t>
            </w:r>
          </w:p>
        </w:tc>
        <w:tc>
          <w:tcPr>
            <w:vMerge/>
          </w:tcPr>
          <w:p>
            <w:r>
              <w:t>信息保障中心(001047019)</w:t>
            </w:r>
          </w:p>
        </w:tc>
        <w:tc>
          <w:tcPr/>
          <w:p>
            <w:r>
              <w:t>气象计量检定系统</w:t>
            </w:r>
          </w:p>
        </w:tc>
        <w:tc>
          <w:tcPr/>
          <w:p>
            <w:r>
              <w:t>4</w:t>
            </w:r>
          </w:p>
        </w:tc>
        <w:tc>
          <w:tcPr/>
          <w:p>
            <w:r>
              <w:t>80000.00</w:t>
            </w:r>
          </w:p>
        </w:tc>
        <w:tc>
          <w:tcPr>
            <w:vMerge/>
          </w:tcPr>
          <w:p>
            <w:r>
              <w:t xml:space="preserve">5930000.00  </w:t>
            </w:r>
          </w:p>
        </w:tc>
        <w:tc>
          <w:tcPr/>
          <w:p>
            <w:r>
              <w:t>湖北</w:t>
            </w:r>
          </w:p>
        </w:tc>
        <w:tc>
          <w:tcPr/>
          <w:p>
            <w:r>
              <w:t>设备信息采集和智能识别模块4套</w:t>
            </w:r>
          </w:p>
        </w:tc>
      </w:tr>
      <w:tr>
        <w:tblPrEx>
          <w:tblW w:w="5000" w:type="pct"/>
          <w:tblCellMar>
            <w:left w:w="108" w:type="dxa"/>
            <w:right w:w="108" w:type="dxa"/>
          </w:tblCellMar>
        </w:tblPrEx>
        <w:tc>
          <w:tcPr/>
          <w:p>
            <w:r>
              <w:t>19</w:t>
            </w:r>
          </w:p>
        </w:tc>
        <w:tc>
          <w:tcPr>
            <w:vMerge/>
          </w:tcPr>
          <w:p>
            <w:r>
              <w:t>信息保障中心(001047019)</w:t>
            </w:r>
          </w:p>
        </w:tc>
        <w:tc>
          <w:tcPr/>
          <w:p>
            <w:r>
              <w:t>气象计量检定系统</w:t>
            </w:r>
          </w:p>
        </w:tc>
        <w:tc>
          <w:tcPr/>
          <w:p>
            <w:r>
              <w:t>4</w:t>
            </w:r>
          </w:p>
        </w:tc>
        <w:tc>
          <w:tcPr/>
          <w:p>
            <w:r>
              <w:t>120000.00</w:t>
            </w:r>
          </w:p>
        </w:tc>
        <w:tc>
          <w:tcPr>
            <w:vMerge/>
          </w:tcPr>
          <w:p>
            <w:r>
              <w:t xml:space="preserve">5930000.00  </w:t>
            </w:r>
          </w:p>
        </w:tc>
        <w:tc>
          <w:tcPr/>
          <w:p>
            <w:r>
              <w:t>湖北</w:t>
            </w:r>
          </w:p>
        </w:tc>
        <w:tc>
          <w:tcPr/>
          <w:p>
            <w:r>
              <w:t>通信传输模块4套</w:t>
            </w:r>
          </w:p>
        </w:tc>
      </w:tr>
      <w:tr>
        <w:tblPrEx>
          <w:tblW w:w="5000" w:type="pct"/>
          <w:tblCellMar>
            <w:left w:w="108" w:type="dxa"/>
            <w:right w:w="108" w:type="dxa"/>
          </w:tblCellMar>
        </w:tblPrEx>
        <w:tc>
          <w:tcPr/>
          <w:p>
            <w:r>
              <w:t>20</w:t>
            </w:r>
          </w:p>
        </w:tc>
        <w:tc>
          <w:tcPr>
            <w:vMerge/>
          </w:tcPr>
          <w:p>
            <w:r>
              <w:t>信息保障中心(001047019)</w:t>
            </w:r>
          </w:p>
        </w:tc>
        <w:tc>
          <w:tcPr/>
          <w:p>
            <w:r>
              <w:t>气象计量检定系统</w:t>
            </w:r>
          </w:p>
        </w:tc>
        <w:tc>
          <w:tcPr/>
          <w:p>
            <w:r>
              <w:t>4</w:t>
            </w:r>
          </w:p>
        </w:tc>
        <w:tc>
          <w:tcPr/>
          <w:p>
            <w:r>
              <w:t>200000.00</w:t>
            </w:r>
          </w:p>
        </w:tc>
        <w:tc>
          <w:tcPr>
            <w:vMerge/>
          </w:tcPr>
          <w:p>
            <w:r>
              <w:t xml:space="preserve">5930000.00  </w:t>
            </w:r>
          </w:p>
        </w:tc>
        <w:tc>
          <w:tcPr/>
          <w:p>
            <w:r>
              <w:t>湖北</w:t>
            </w:r>
          </w:p>
        </w:tc>
        <w:tc>
          <w:tcPr/>
          <w:p>
            <w:r>
              <w:t>供电系统及电源控制模块4套</w:t>
            </w:r>
          </w:p>
        </w:tc>
      </w:tr>
      <w:tr>
        <w:tblPrEx>
          <w:tblW w:w="5000" w:type="pct"/>
          <w:tblCellMar>
            <w:left w:w="108" w:type="dxa"/>
            <w:right w:w="108" w:type="dxa"/>
          </w:tblCellMar>
        </w:tblPrEx>
        <w:tc>
          <w:tcPr/>
          <w:p>
            <w:r>
              <w:t>21</w:t>
            </w:r>
          </w:p>
        </w:tc>
        <w:tc>
          <w:tcPr>
            <w:vMerge/>
          </w:tcPr>
          <w:p>
            <w:r>
              <w:t>信息保障中心(001047019)</w:t>
            </w:r>
          </w:p>
        </w:tc>
        <w:tc>
          <w:tcPr/>
          <w:p>
            <w:r>
              <w:t>气象计量检定系统</w:t>
            </w:r>
          </w:p>
        </w:tc>
        <w:tc>
          <w:tcPr/>
          <w:p>
            <w:r>
              <w:t>1</w:t>
            </w:r>
          </w:p>
        </w:tc>
        <w:tc>
          <w:tcPr/>
          <w:p>
            <w:r>
              <w:t>5000.00</w:t>
            </w:r>
          </w:p>
        </w:tc>
        <w:tc>
          <w:tcPr>
            <w:vMerge/>
          </w:tcPr>
          <w:p>
            <w:r>
              <w:t xml:space="preserve">5930000.00  </w:t>
            </w:r>
          </w:p>
        </w:tc>
        <w:tc>
          <w:tcPr/>
          <w:p>
            <w:r>
              <w:t>湖北</w:t>
            </w:r>
          </w:p>
        </w:tc>
        <w:tc>
          <w:tcPr/>
          <w:p>
            <w:r>
              <w:t>环境监测设备1套</w:t>
            </w:r>
          </w:p>
        </w:tc>
      </w:tr>
      <w:tr>
        <w:tblPrEx>
          <w:tblW w:w="5000" w:type="pct"/>
          <w:tblCellMar>
            <w:left w:w="108" w:type="dxa"/>
            <w:right w:w="108" w:type="dxa"/>
          </w:tblCellMar>
        </w:tblPrEx>
        <w:tc>
          <w:tcPr/>
          <w:p>
            <w:r>
              <w:t>22</w:t>
            </w:r>
          </w:p>
        </w:tc>
        <w:tc>
          <w:tcPr>
            <w:vMerge/>
          </w:tcPr>
          <w:p>
            <w:r>
              <w:t>信息保障中心(001047019)</w:t>
            </w:r>
          </w:p>
        </w:tc>
        <w:tc>
          <w:tcPr/>
          <w:p>
            <w:r>
              <w:t>气象计量检定系统</w:t>
            </w:r>
          </w:p>
        </w:tc>
        <w:tc>
          <w:tcPr/>
          <w:p>
            <w:r>
              <w:t>4</w:t>
            </w:r>
          </w:p>
        </w:tc>
        <w:tc>
          <w:tcPr/>
          <w:p>
            <w:r>
              <w:t>280000.00</w:t>
            </w:r>
          </w:p>
        </w:tc>
        <w:tc>
          <w:tcPr>
            <w:vMerge/>
          </w:tcPr>
          <w:p>
            <w:r>
              <w:t xml:space="preserve">5930000.00  </w:t>
            </w:r>
          </w:p>
        </w:tc>
        <w:tc>
          <w:tcPr/>
          <w:p>
            <w:r>
              <w:t>湖北</w:t>
            </w:r>
          </w:p>
        </w:tc>
        <w:tc>
          <w:tcPr/>
          <w:p>
            <w:r>
              <w:t>温场控制设备4台</w:t>
            </w:r>
          </w:p>
        </w:tc>
      </w:tr>
      <w:tr>
        <w:tblPrEx>
          <w:tblW w:w="5000" w:type="pct"/>
          <w:tblCellMar>
            <w:left w:w="108" w:type="dxa"/>
            <w:right w:w="108" w:type="dxa"/>
          </w:tblCellMar>
        </w:tblPrEx>
        <w:tc>
          <w:tcPr/>
          <w:p>
            <w:r>
              <w:t>23</w:t>
            </w:r>
          </w:p>
        </w:tc>
        <w:tc>
          <w:tcPr>
            <w:vMerge/>
          </w:tcPr>
          <w:p>
            <w:r>
              <w:t>信息保障中心(001047019)</w:t>
            </w:r>
          </w:p>
        </w:tc>
        <w:tc>
          <w:tcPr/>
          <w:p>
            <w:r>
              <w:t>气象计量检定系统</w:t>
            </w:r>
          </w:p>
        </w:tc>
        <w:tc>
          <w:tcPr/>
          <w:p>
            <w:r>
              <w:t>1</w:t>
            </w:r>
          </w:p>
        </w:tc>
        <w:tc>
          <w:tcPr/>
          <w:p>
            <w:r>
              <w:t>406000.00</w:t>
            </w:r>
          </w:p>
        </w:tc>
        <w:tc>
          <w:tcPr>
            <w:vMerge/>
          </w:tcPr>
          <w:p>
            <w:r>
              <w:t xml:space="preserve">5930000.00  </w:t>
            </w:r>
          </w:p>
        </w:tc>
        <w:tc>
          <w:tcPr/>
          <w:p>
            <w:r>
              <w:t>湖北</w:t>
            </w:r>
          </w:p>
        </w:tc>
        <w:tc>
          <w:tcPr/>
          <w:p>
            <w:r>
              <w:t>精密测温电桥1套</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numPr>
          <w:ilvl w:val="0"/>
          <w:numId w:val="4"/>
        </w:numPr>
        <w:spacing w:before="290" w:beforeLines="50" w:line="360" w:lineRule="auto"/>
        <w:jc w:val="center"/>
        <w:outlineLvl w:val="1"/>
        <w:rPr>
          <w:rFonts w:ascii="宋体" w:hAnsi="宋体" w:hint="eastAsia"/>
          <w:b/>
          <w:sz w:val="30"/>
          <w:szCs w:val="30"/>
        </w:rPr>
        <w:sectPr>
          <w:pgSz w:w="11906" w:h="16838"/>
          <w:pgMar w:top="2154" w:right="1474" w:bottom="2041" w:left="1587" w:header="709" w:footer="1417" w:gutter="0"/>
          <w:cols w:num="1" w:space="708"/>
          <w:docGrid w:type="linesAndChars" w:linePitch="579" w:charSpace="-849"/>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9"/>
          <w:footerReference w:type="default" r:id="rId10"/>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签订合同后支付总合同款的</w:t>
      </w:r>
      <w:r>
        <w:rPr>
          <w:rFonts w:ascii="宋体" w:hAnsi="宋体" w:hint="eastAsia"/>
          <w:szCs w:val="21"/>
          <w:highlight w:val="none"/>
          <w:u w:val="single"/>
          <w:lang w:val="en-US" w:eastAsia="zh-CN"/>
        </w:rPr>
        <w:t>5</w:t>
      </w:r>
      <w:r>
        <w:rPr>
          <w:rFonts w:ascii="宋体" w:hAnsi="宋体" w:hint="eastAsia"/>
          <w:szCs w:val="21"/>
          <w:highlight w:val="none"/>
          <w:u w:val="single"/>
          <w:lang w:val="en-US" w:eastAsia="zh-CN"/>
        </w:rPr>
        <w:t>0</w:t>
      </w:r>
      <w:r>
        <w:rPr>
          <w:rFonts w:ascii="宋体" w:hAnsi="宋体" w:hint="eastAsia"/>
          <w:szCs w:val="21"/>
          <w:highlight w:val="none"/>
          <w:u w:val="single"/>
        </w:rPr>
        <w:t xml:space="preserve">%，到货安装后支付至总合同款的90%， 验收通过后支付至总合同款100% </w:t>
      </w:r>
      <w:r>
        <w:rPr>
          <w:rFonts w:ascii="宋体" w:hAnsi="宋体" w:hint="eastAsia"/>
          <w:szCs w:val="21"/>
          <w:highlight w:val="none"/>
        </w:rPr>
        <w:t>，其中涉及预付款的：</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6"/>
        </w:numPr>
        <w:spacing w:line="360" w:lineRule="auto"/>
        <w:ind w:firstLine="3066" w:firstLineChars="1460"/>
        <w:jc w:val="left"/>
        <w:rPr>
          <w:rFonts w:hint="eastAsia"/>
          <w:b/>
          <w:bCs/>
          <w:szCs w:val="21"/>
          <w:highlight w:val="none"/>
        </w:rPr>
      </w:pPr>
      <w:bookmarkEnd w:id="6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roman"/>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Noto Sans Syriac Eastern">
    <w:panose1 w:val="02040503050306020203"/>
    <w:charset w:val="86"/>
    <w:family w:val="auto"/>
    <w:pitch w:val="default"/>
    <w:sig w:usb0="00000000" w:usb1="00000000" w:usb2="00000080" w:usb3="00000000" w:csb0="203E0161" w:csb1="D7FF0000"/>
  </w:font>
  <w:font w:name="Microsoft YaHei">
    <w:panose1 w:val="020B0503020204020204"/>
    <w:charset w:val="86"/>
    <w:family w:val="auto"/>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4B05B6F"/>
    <w:multiLevelType w:val="singleLevel"/>
    <w:tmpl w:val="34B05B6F"/>
    <w:lvl w:ilvl="0">
      <w:start w:val="7"/>
      <w:numFmt w:val="chineseCounting"/>
      <w:suff w:val="space"/>
      <w:lvlText w:val="第%1章"/>
      <w:lvlJc w:val="left"/>
      <w:rPr>
        <w:rFonts w:hint="eastAsia"/>
      </w:r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5B930AD4"/>
    <w:multiLevelType w:val="singleLevel"/>
    <w:tmpl w:val="5B930AD4"/>
    <w:lvl w:ilvl="0">
      <w:start w:val="6"/>
      <w:numFmt w:val="chineseCounting"/>
      <w:suff w:val="nothing"/>
      <w:lvlText w:val="%1、"/>
      <w:lvlJc w:val="left"/>
      <w:pPr>
        <w:ind w:left="70"/>
      </w:pPr>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0"/>
  </w:num>
  <w:num w:numId="5">
    <w:abstractNumId w:val="13"/>
  </w:num>
  <w:num w:numId="6">
    <w:abstractNumId w:val="12"/>
  </w:num>
  <w:num w:numId="7">
    <w:abstractNumId w:val="14"/>
  </w:num>
  <w:num w:numId="8">
    <w:abstractNumId w:val="1"/>
  </w:num>
  <w:num w:numId="9">
    <w:abstractNumId w:val="5"/>
  </w:num>
  <w:num w:numId="10">
    <w:abstractNumId w:val="3"/>
  </w:num>
  <w:num w:numId="11">
    <w:abstractNumId w:val="2"/>
  </w:num>
  <w:num w:numId="12">
    <w:abstractNumId w:val="11"/>
  </w:num>
  <w:num w:numId="13">
    <w:abstractNumId w:val="0"/>
  </w:num>
  <w:num w:numId="14">
    <w:abstractNumId w:val="4"/>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jpeg" /><Relationship Id="rId8" Type="http://schemas.openxmlformats.org/officeDocument/2006/relationships/image" Target="media/image3.emf" /><Relationship Id="rId9" Type="http://schemas.openxmlformats.org/officeDocument/2006/relationships/header" Target="head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