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2025年雷达工程宁夏等3省C波段天气雷达双偏振技术升级和技术升级及技术标准统一建设项目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ZQCD-25288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宁夏回族自治区大气探测技术保障中心；四川省气象探测数据中心(四川省气象技术装备中心、四川省气象档案馆)；青海省大气探测技术保障中心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2025年雷达工程宁夏等3省C波段天气雷达双偏振技术升级和技术升级及技术标准统一建设项目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ZQCD-25288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合同签订后60天内交货，到货后120天内完成安装调试并具备验收条件。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宁夏银川、四川、青海。</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2025年09月24日 00:00:00</w:t>
      </w:r>
      <w:bookmarkEnd w:id="26"/>
      <w:r>
        <w:rPr>
          <w:rFonts w:ascii="宋体" w:hint="eastAsia"/>
          <w:szCs w:val="21"/>
          <w:highlight w:val="none"/>
        </w:rPr>
        <w:t>至</w:t>
      </w:r>
      <w:bookmarkStart w:id="27" w:name="项目公告_signUpLastTime"/>
      <w:r>
        <w:rPr>
          <w:rFonts w:ascii="宋体" w:hint="eastAsia"/>
          <w:szCs w:val="21"/>
          <w:highlight w:val="none"/>
        </w:rPr>
        <w:t>2025年09月29日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宁夏回族自治区大气探测技术保障中心；四川省气象探测数据中心(四川省气象技术装备中心、四川省气象档案馆)；青海省大气探测技术保障中心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杨晨芳</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0951-5029414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宁夏银川市兴庆区掌政镇西华街雷达站</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宁夏回族自治区大气探测技术保障中心；四川省气象探测数据中心(四川省气象技术装备中心、四川省气象档案馆)；青海省大气探测技术保障中心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不允许（仅针对以下产品：C波段天气雷达双偏振技术升级和技术升级及技术标准统一不允许代理商投标）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标的：C波段天气雷达双偏振技术升级和技术升级及技术标准统一，属于工业行业。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是，中标服务费：11.2万元。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2,687.000000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2,687.000000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销售合同必须包括C波段天气雷达双偏振技术升级和技术升级及技术标准统一，每提供1份合同得1分，最多得5分。否则不得分。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针对本项目采购的C波段天气雷达双偏振技术升级和技术升级及技术标准统一，</w:t>
              <w:cr/>
              <w:t>承诺每提前10天交货的得0.2分，最多得1分。否则不得分。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针对C波段天气雷达双偏振技术升级和技术升级及技术标准统一设备，每提供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针对C波段天气雷达双偏振技术升级和技术升级及技术标准统一设备，测试报告应涵盖高低温环境测试、电磁环境测试、环境适应性检测等内容，每包含一项得1分，最多得3分。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eastAsia="仿宋"/>
          <w:sz w:val="28"/>
          <w:szCs w:val="20"/>
        </w:rPr>
        <w:t>一、项目概况及总体要求（详见采购需求-其他技术及商务需求）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1120" w:firstLineChars="400"/>
        <w:rPr>
          <w:rFonts w:eastAsia="仿宋"/>
          <w:sz w:val="28"/>
          <w:szCs w:val="20"/>
        </w:rPr>
      </w:pPr>
      <w:r>
        <w:rPr>
          <w:rFonts w:eastAsia="仿宋"/>
          <w:sz w:val="28"/>
          <w:szCs w:val="20"/>
        </w:rPr>
        <w:t>表1. C波段天气雷达双偏振技术升级技术性能指标</w:t>
      </w:r>
    </w:p>
    <w:tbl>
      <w:tblPr>
        <w:tblStyle w:val="TableNormal"/>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18"/>
        <w:gridCol w:w="141"/>
        <w:gridCol w:w="330"/>
        <w:gridCol w:w="379"/>
        <w:gridCol w:w="750"/>
        <w:gridCol w:w="1076"/>
        <w:gridCol w:w="1572"/>
        <w:gridCol w:w="3936"/>
      </w:tblGrid>
      <w:tr>
        <w:tblPrEx>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5"/>
          <w:jc w:val="center"/>
        </w:trPr>
        <w:tc>
          <w:tcPr>
            <w:tcW w:w="9002" w:type="dxa"/>
            <w:gridSpan w:val="8"/>
            <w:vAlign w:val="center"/>
          </w:tcPr>
          <w:p>
            <w:pPr>
              <w:pStyle w:val="a2"/>
              <w:ind w:firstLine="0" w:firstLineChars="0"/>
              <w:rPr>
                <w:rFonts w:ascii="Times New Roman"/>
                <w:sz w:val="24"/>
                <w:szCs w:val="24"/>
              </w:rPr>
            </w:pPr>
            <w:r>
              <w:rPr>
                <w:rFonts w:ascii="Times New Roman"/>
                <w:b/>
                <w:bCs/>
                <w:sz w:val="24"/>
                <w:szCs w:val="24"/>
              </w:rPr>
              <w:t>总</w:t>
            </w:r>
            <w:r>
              <w:rPr>
                <w:rFonts w:ascii="宋体" w:eastAsia="宋体" w:hAnsi="宋体" w:cs="宋体" w:hint="eastAsia"/>
                <w:b/>
                <w:bCs/>
                <w:sz w:val="24"/>
                <w:szCs w:val="24"/>
              </w:rPr>
              <w:t>体技术要</w:t>
            </w:r>
            <w:r>
              <w:rPr>
                <w:rFonts w:ascii="___WRD_EMBED_SUB_40" w:eastAsia="___WRD_EMBED_SUB_40" w:hAnsi="___WRD_EMBED_SUB_40" w:cs="___WRD_EMBED_SUB_40" w:hint="eastAsia"/>
                <w:b/>
                <w:bCs/>
                <w:sz w:val="24"/>
                <w:szCs w:val="24"/>
              </w:rPr>
              <w:t>求</w:t>
            </w:r>
          </w:p>
        </w:tc>
      </w:tr>
      <w:tr>
        <w:tblPrEx>
          <w:tblW w:w="9002" w:type="dxa"/>
          <w:jc w:val="center"/>
          <w:tblLayout w:type="fixed"/>
          <w:tblCellMar>
            <w:top w:w="0" w:type="dxa"/>
            <w:left w:w="108" w:type="dxa"/>
            <w:bottom w:w="0" w:type="dxa"/>
            <w:right w:w="108" w:type="dxa"/>
          </w:tblCellMar>
          <w:tblLook w:val="0000"/>
        </w:tblPrEx>
        <w:trPr>
          <w:trHeight w:val="345"/>
          <w:jc w:val="center"/>
        </w:trPr>
        <w:tc>
          <w:tcPr>
            <w:tcW w:w="5066" w:type="dxa"/>
            <w:gridSpan w:val="7"/>
            <w:vAlign w:val="center"/>
          </w:tcPr>
          <w:p>
            <w:pPr>
              <w:pStyle w:val="a2"/>
              <w:ind w:firstLine="0" w:firstLineChars="0"/>
              <w:rPr>
                <w:rFonts w:ascii="Times New Roman"/>
                <w:b/>
                <w:sz w:val="24"/>
                <w:szCs w:val="24"/>
              </w:rPr>
            </w:pPr>
            <w:r>
              <w:rPr>
                <w:rFonts w:ascii="宋体" w:eastAsia="宋体" w:hAnsi="宋体" w:cs="宋体" w:hint="eastAsia"/>
                <w:b/>
                <w:sz w:val="24"/>
                <w:szCs w:val="24"/>
              </w:rPr>
              <w:t>项目</w:t>
            </w:r>
          </w:p>
        </w:tc>
        <w:tc>
          <w:tcPr>
            <w:tcW w:w="3936" w:type="dxa"/>
            <w:vAlign w:val="center"/>
          </w:tcPr>
          <w:p>
            <w:pPr>
              <w:pStyle w:val="a2"/>
              <w:ind w:firstLine="0" w:firstLineChars="0"/>
              <w:rPr>
                <w:rFonts w:ascii="Times New Roman"/>
                <w:b/>
                <w:sz w:val="24"/>
                <w:szCs w:val="24"/>
              </w:rPr>
            </w:pPr>
            <w:r>
              <w:rPr>
                <w:rFonts w:ascii="宋体" w:eastAsia="宋体" w:hAnsi="宋体" w:cs="宋体" w:hint="eastAsia"/>
                <w:b/>
                <w:sz w:val="24"/>
                <w:szCs w:val="24"/>
              </w:rPr>
              <w:t>性能指标要</w:t>
            </w:r>
            <w:r>
              <w:rPr>
                <w:rFonts w:ascii="___WRD_EMBED_SUB_40" w:eastAsia="___WRD_EMBED_SUB_40" w:hAnsi="___WRD_EMBED_SUB_40" w:cs="___WRD_EMBED_SUB_40" w:hint="eastAsia"/>
                <w:b/>
                <w:sz w:val="24"/>
                <w:szCs w:val="24"/>
              </w:rPr>
              <w:t>求</w:t>
            </w:r>
          </w:p>
        </w:tc>
      </w:tr>
      <w:tr>
        <w:tblPrEx>
          <w:tblW w:w="9002" w:type="dxa"/>
          <w:jc w:val="center"/>
          <w:tblLayout w:type="fixed"/>
          <w:tblCellMar>
            <w:top w:w="0" w:type="dxa"/>
            <w:left w:w="108" w:type="dxa"/>
            <w:bottom w:w="0" w:type="dxa"/>
            <w:right w:w="108" w:type="dxa"/>
          </w:tblCellMar>
          <w:tblLook w:val="0000"/>
        </w:tblPrEx>
        <w:trPr>
          <w:trHeight w:val="349"/>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工作频率</w:t>
            </w:r>
          </w:p>
        </w:tc>
        <w:tc>
          <w:tcPr>
            <w:tcW w:w="3936" w:type="dxa"/>
            <w:vAlign w:val="center"/>
          </w:tcPr>
          <w:p>
            <w:pPr>
              <w:pStyle w:val="a2"/>
              <w:ind w:firstLine="0" w:firstLineChars="0"/>
              <w:rPr>
                <w:rFonts w:ascii="Times New Roman"/>
                <w:sz w:val="24"/>
                <w:szCs w:val="24"/>
              </w:rPr>
            </w:pPr>
            <w:r>
              <w:rPr>
                <w:rFonts w:ascii="Times New Roman"/>
                <w:sz w:val="24"/>
                <w:szCs w:val="24"/>
              </w:rPr>
              <w:t>C</w:t>
            </w:r>
            <w:r>
              <w:rPr>
                <w:rFonts w:ascii="宋体" w:eastAsia="宋体" w:hAnsi="宋体" w:cs="宋体" w:hint="eastAsia"/>
                <w:sz w:val="24"/>
                <w:szCs w:val="24"/>
              </w:rPr>
              <w:t>波段</w:t>
            </w:r>
            <w:r>
              <w:rPr>
                <w:rFonts w:ascii="Times New Roman"/>
                <w:sz w:val="24"/>
                <w:szCs w:val="24"/>
              </w:rPr>
              <w:t xml:space="preserve"> 5.3GHz</w:t>
            </w:r>
            <w:r>
              <w:rPr>
                <w:rFonts w:ascii="宋体" w:eastAsia="宋体" w:hAnsi="宋体" w:cs="宋体" w:hint="eastAsia"/>
                <w:sz w:val="24"/>
                <w:szCs w:val="24"/>
              </w:rPr>
              <w:t>～</w:t>
            </w:r>
            <w:r>
              <w:rPr>
                <w:rFonts w:ascii="Times New Roman"/>
                <w:sz w:val="24"/>
                <w:szCs w:val="24"/>
              </w:rPr>
              <w:t>5.7GHz</w:t>
            </w:r>
            <w:r>
              <w:rPr>
                <w:rFonts w:ascii="宋体" w:eastAsia="宋体" w:hAnsi="宋体" w:cs="宋体" w:hint="eastAsia"/>
                <w:sz w:val="24"/>
                <w:szCs w:val="24"/>
              </w:rPr>
              <w:t>范围内可选</w:t>
            </w:r>
          </w:p>
        </w:tc>
      </w:tr>
      <w:tr>
        <w:tblPrEx>
          <w:tblW w:w="9002" w:type="dxa"/>
          <w:jc w:val="center"/>
          <w:tblLayout w:type="fixed"/>
          <w:tblCellMar>
            <w:top w:w="0" w:type="dxa"/>
            <w:left w:w="108" w:type="dxa"/>
            <w:bottom w:w="0" w:type="dxa"/>
            <w:right w:w="108" w:type="dxa"/>
          </w:tblCellMar>
          <w:tblLook w:val="0000"/>
        </w:tblPrEx>
        <w:trPr>
          <w:trHeight w:val="439"/>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天线扫描范围</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方位角</w:t>
            </w:r>
          </w:p>
        </w:tc>
        <w:tc>
          <w:tcPr>
            <w:tcW w:w="3936" w:type="dxa"/>
            <w:vAlign w:val="center"/>
          </w:tcPr>
          <w:p>
            <w:pPr>
              <w:pStyle w:val="a2"/>
              <w:ind w:firstLine="0" w:firstLineChars="0"/>
              <w:rPr>
                <w:rFonts w:ascii="Times New Roman"/>
                <w:sz w:val="24"/>
                <w:szCs w:val="24"/>
              </w:rPr>
            </w:pPr>
            <w:r>
              <w:rPr>
                <w:rFonts w:ascii="Times New Roman"/>
                <w:sz w:val="24"/>
                <w:szCs w:val="24"/>
              </w:rPr>
              <w:t>0</w:t>
            </w:r>
            <w:r>
              <w:rPr>
                <w:rFonts w:ascii="宋体" w:eastAsia="宋体" w:hAnsi="宋体" w:cs="宋体" w:hint="eastAsia"/>
                <w:sz w:val="24"/>
                <w:szCs w:val="24"/>
              </w:rPr>
              <w:t>～</w:t>
            </w:r>
            <w:r>
              <w:rPr>
                <w:rFonts w:ascii="Times New Roman"/>
                <w:sz w:val="24"/>
                <w:szCs w:val="24"/>
              </w:rPr>
              <w:t>360°</w:t>
            </w:r>
            <w:r>
              <w:rPr>
                <w:rFonts w:ascii="宋体" w:eastAsia="宋体" w:hAnsi="宋体" w:cs="宋体" w:hint="eastAsia"/>
                <w:sz w:val="24"/>
                <w:szCs w:val="24"/>
              </w:rPr>
              <w:t>（无限制）</w:t>
            </w:r>
          </w:p>
        </w:tc>
      </w:tr>
      <w:tr>
        <w:tblPrEx>
          <w:tblW w:w="9002" w:type="dxa"/>
          <w:jc w:val="center"/>
          <w:tblLayout w:type="fixed"/>
          <w:tblCellMar>
            <w:top w:w="0" w:type="dxa"/>
            <w:left w:w="108" w:type="dxa"/>
            <w:bottom w:w="0" w:type="dxa"/>
            <w:right w:w="108" w:type="dxa"/>
          </w:tblCellMar>
          <w:tblLook w:val="0000"/>
        </w:tblPrEx>
        <w:trPr>
          <w:trHeight w:val="439"/>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俯仰角</w:t>
            </w:r>
          </w:p>
        </w:tc>
        <w:tc>
          <w:tcPr>
            <w:tcW w:w="3936" w:type="dxa"/>
            <w:vAlign w:val="center"/>
          </w:tcPr>
          <w:p>
            <w:pPr>
              <w:pStyle w:val="a2"/>
              <w:ind w:firstLine="0" w:firstLineChars="0"/>
              <w:rPr>
                <w:rFonts w:ascii="Times New Roman"/>
                <w:sz w:val="24"/>
                <w:szCs w:val="24"/>
              </w:rPr>
            </w:pPr>
            <w:r>
              <w:rPr>
                <w:rFonts w:ascii="Times New Roman"/>
                <w:sz w:val="24"/>
                <w:szCs w:val="24"/>
              </w:rPr>
              <w:t>-2°</w:t>
            </w:r>
            <w:r>
              <w:rPr>
                <w:rFonts w:ascii="宋体" w:eastAsia="宋体" w:hAnsi="宋体" w:cs="宋体" w:hint="eastAsia"/>
                <w:sz w:val="24"/>
                <w:szCs w:val="24"/>
              </w:rPr>
              <w:t>～</w:t>
            </w:r>
            <w:r>
              <w:rPr>
                <w:rFonts w:ascii="Times New Roman"/>
                <w:sz w:val="24"/>
                <w:szCs w:val="24"/>
              </w:rPr>
              <w:t>+90°</w:t>
            </w:r>
            <w:r>
              <w:rPr>
                <w:rFonts w:ascii="宋体" w:eastAsia="宋体" w:hAnsi="宋体" w:cs="宋体" w:hint="eastAsia"/>
                <w:sz w:val="24"/>
                <w:szCs w:val="24"/>
              </w:rPr>
              <w:t>（电气及机械限位）</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探测距离范围（</w:t>
            </w:r>
            <w:r>
              <w:rPr>
                <w:rFonts w:ascii="Times New Roman"/>
                <w:sz w:val="24"/>
                <w:szCs w:val="24"/>
              </w:rPr>
              <w:t>km</w:t>
            </w:r>
            <w:r>
              <w:rPr>
                <w:rFonts w:ascii="宋体" w:eastAsia="宋体" w:hAnsi="宋体" w:cs="宋体" w:hint="eastAsia"/>
                <w:sz w:val="24"/>
                <w:szCs w:val="24"/>
              </w:rPr>
              <w:t>）</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盲区</w:t>
            </w:r>
          </w:p>
        </w:tc>
        <w:tc>
          <w:tcPr>
            <w:tcW w:w="3936" w:type="dxa"/>
            <w:vAlign w:val="center"/>
          </w:tcPr>
          <w:p>
            <w:pPr>
              <w:pStyle w:val="a2"/>
              <w:ind w:firstLine="0" w:firstLineChars="0"/>
              <w:rPr>
                <w:rFonts w:ascii="Times New Roman"/>
                <w:sz w:val="24"/>
                <w:szCs w:val="24"/>
              </w:rPr>
            </w:pPr>
            <w:r>
              <w:rPr>
                <w:rFonts w:ascii="Times New Roman"/>
                <w:sz w:val="24"/>
                <w:szCs w:val="24"/>
              </w:rPr>
              <w:t>≤0.5</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强度</w:t>
            </w:r>
          </w:p>
        </w:tc>
        <w:tc>
          <w:tcPr>
            <w:tcW w:w="3936" w:type="dxa"/>
            <w:vAlign w:val="center"/>
          </w:tcPr>
          <w:p>
            <w:pPr>
              <w:pStyle w:val="a2"/>
              <w:ind w:firstLine="0" w:firstLineChars="0"/>
              <w:rPr>
                <w:rFonts w:ascii="Times New Roman"/>
                <w:sz w:val="24"/>
                <w:szCs w:val="24"/>
              </w:rPr>
            </w:pPr>
            <w:r>
              <w:rPr>
                <w:rFonts w:ascii="Times New Roman"/>
                <w:sz w:val="24"/>
                <w:szCs w:val="24"/>
              </w:rPr>
              <w:t>≥400</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速度</w:t>
            </w:r>
          </w:p>
        </w:tc>
        <w:tc>
          <w:tcPr>
            <w:tcW w:w="3936" w:type="dxa"/>
            <w:vAlign w:val="center"/>
          </w:tcPr>
          <w:p>
            <w:pPr>
              <w:pStyle w:val="a2"/>
              <w:ind w:firstLine="0" w:firstLineChars="0"/>
              <w:rPr>
                <w:rFonts w:ascii="Times New Roman"/>
                <w:sz w:val="24"/>
                <w:szCs w:val="24"/>
              </w:rPr>
            </w:pPr>
            <w:r>
              <w:rPr>
                <w:rFonts w:ascii="Times New Roman"/>
                <w:sz w:val="24"/>
                <w:szCs w:val="24"/>
              </w:rPr>
              <w:t>≥200</w:t>
            </w:r>
          </w:p>
        </w:tc>
      </w:tr>
      <w:tr>
        <w:tblPrEx>
          <w:tblW w:w="9002" w:type="dxa"/>
          <w:jc w:val="center"/>
          <w:tblLayout w:type="fixed"/>
          <w:tblCellMar>
            <w:top w:w="0" w:type="dxa"/>
            <w:left w:w="108" w:type="dxa"/>
            <w:bottom w:w="0" w:type="dxa"/>
            <w:right w:w="108" w:type="dxa"/>
          </w:tblCellMar>
          <w:tblLook w:val="0000"/>
        </w:tblPrEx>
        <w:trPr>
          <w:trHeight w:val="67"/>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谱宽</w:t>
            </w:r>
          </w:p>
        </w:tc>
        <w:tc>
          <w:tcPr>
            <w:tcW w:w="3936" w:type="dxa"/>
            <w:vAlign w:val="center"/>
          </w:tcPr>
          <w:p>
            <w:pPr>
              <w:pStyle w:val="a2"/>
              <w:ind w:firstLine="0" w:firstLineChars="0"/>
              <w:rPr>
                <w:rFonts w:ascii="Times New Roman"/>
                <w:sz w:val="24"/>
                <w:szCs w:val="24"/>
              </w:rPr>
            </w:pPr>
            <w:r>
              <w:rPr>
                <w:rFonts w:ascii="Times New Roman"/>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差分反射率</w:t>
            </w:r>
          </w:p>
        </w:tc>
        <w:tc>
          <w:tcPr>
            <w:tcW w:w="3936" w:type="dxa"/>
            <w:vAlign w:val="center"/>
          </w:tcPr>
          <w:p>
            <w:pPr>
              <w:pStyle w:val="a2"/>
              <w:ind w:firstLine="0" w:firstLineChars="0"/>
              <w:rPr>
                <w:rFonts w:ascii="Times New Roman"/>
                <w:sz w:val="24"/>
                <w:szCs w:val="24"/>
              </w:rPr>
            </w:pPr>
            <w:r>
              <w:rPr>
                <w:rFonts w:ascii="Times New Roman"/>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相关系数</w:t>
            </w:r>
          </w:p>
        </w:tc>
        <w:tc>
          <w:tcPr>
            <w:tcW w:w="3936" w:type="dxa"/>
            <w:vAlign w:val="center"/>
          </w:tcPr>
          <w:p>
            <w:pPr>
              <w:pStyle w:val="a2"/>
              <w:ind w:firstLine="0" w:firstLineChars="0"/>
              <w:rPr>
                <w:rFonts w:ascii="Times New Roman"/>
                <w:sz w:val="24"/>
                <w:szCs w:val="24"/>
              </w:rPr>
            </w:pPr>
            <w:r>
              <w:rPr>
                <w:rFonts w:ascii="Times New Roman"/>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差分传播相移</w:t>
            </w:r>
          </w:p>
        </w:tc>
        <w:tc>
          <w:tcPr>
            <w:tcW w:w="3936" w:type="dxa"/>
            <w:vAlign w:val="center"/>
          </w:tcPr>
          <w:p>
            <w:pPr>
              <w:pStyle w:val="a2"/>
              <w:ind w:firstLine="0" w:firstLineChars="0"/>
              <w:rPr>
                <w:rFonts w:ascii="Times New Roman"/>
                <w:sz w:val="24"/>
                <w:szCs w:val="24"/>
              </w:rPr>
            </w:pPr>
            <w:r>
              <w:rPr>
                <w:rFonts w:ascii="Times New Roman"/>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差分传播相移率</w:t>
            </w:r>
          </w:p>
        </w:tc>
        <w:tc>
          <w:tcPr>
            <w:tcW w:w="3936" w:type="dxa"/>
            <w:vAlign w:val="center"/>
          </w:tcPr>
          <w:p>
            <w:pPr>
              <w:pStyle w:val="a2"/>
              <w:ind w:firstLine="0" w:firstLineChars="0"/>
              <w:rPr>
                <w:rFonts w:ascii="Times New Roman"/>
                <w:sz w:val="24"/>
                <w:szCs w:val="24"/>
              </w:rPr>
            </w:pPr>
            <w:r>
              <w:rPr>
                <w:rFonts w:ascii="Times New Roman"/>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退偏振比</w:t>
            </w:r>
          </w:p>
        </w:tc>
        <w:tc>
          <w:tcPr>
            <w:tcW w:w="3936" w:type="dxa"/>
            <w:vAlign w:val="center"/>
          </w:tcPr>
          <w:p>
            <w:pPr>
              <w:pStyle w:val="a2"/>
              <w:ind w:firstLine="0" w:firstLineChars="0"/>
              <w:rPr>
                <w:rFonts w:ascii="Times New Roman"/>
                <w:sz w:val="24"/>
                <w:szCs w:val="24"/>
              </w:rPr>
            </w:pPr>
            <w:r>
              <w:rPr>
                <w:rFonts w:ascii="Times New Roman"/>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探测高度（</w:t>
            </w:r>
            <w:r>
              <w:rPr>
                <w:rFonts w:ascii="Times New Roman"/>
                <w:sz w:val="24"/>
                <w:szCs w:val="24"/>
              </w:rPr>
              <w:t>km</w:t>
            </w:r>
            <w:r>
              <w:rPr>
                <w:rFonts w:ascii="宋体" w:eastAsia="宋体" w:hAnsi="宋体" w:cs="宋体" w:hint="eastAsia"/>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≥24</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分辨力</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距离</w:t>
            </w:r>
            <w:r>
              <w:rPr>
                <w:rFonts w:ascii="Times New Roman"/>
                <w:sz w:val="24"/>
                <w:szCs w:val="24"/>
              </w:rPr>
              <w:t>(m)</w:t>
            </w:r>
          </w:p>
        </w:tc>
        <w:tc>
          <w:tcPr>
            <w:tcW w:w="3936" w:type="dxa"/>
            <w:vAlign w:val="center"/>
          </w:tcPr>
          <w:p>
            <w:pPr>
              <w:pStyle w:val="a2"/>
              <w:ind w:firstLine="0" w:firstLineChars="0"/>
              <w:rPr>
                <w:rFonts w:ascii="Times New Roman"/>
                <w:sz w:val="24"/>
                <w:szCs w:val="24"/>
              </w:rPr>
            </w:pPr>
            <w:r>
              <w:rPr>
                <w:rFonts w:ascii="Times New Roman"/>
                <w:sz w:val="24"/>
                <w:szCs w:val="24"/>
              </w:rPr>
              <w:t>≤150</w:t>
            </w:r>
          </w:p>
        </w:tc>
      </w:tr>
      <w:tr>
        <w:tblPrEx>
          <w:tblW w:w="9002" w:type="dxa"/>
          <w:jc w:val="center"/>
          <w:tblLayout w:type="fixed"/>
          <w:tblCellMar>
            <w:top w:w="0" w:type="dxa"/>
            <w:left w:w="108" w:type="dxa"/>
            <w:bottom w:w="0" w:type="dxa"/>
            <w:right w:w="108" w:type="dxa"/>
          </w:tblCellMar>
          <w:tblLook w:val="0000"/>
        </w:tblPrEx>
        <w:trPr>
          <w:trHeight w:val="49"/>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方位角</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≤0.022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俯仰角</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≤0.022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强度</w:t>
            </w:r>
            <w:r>
              <w:rPr>
                <w:rFonts w:ascii="Times New Roman"/>
                <w:sz w:val="24"/>
                <w:szCs w:val="24"/>
              </w:rPr>
              <w:t>(dBZ)</w:t>
            </w:r>
          </w:p>
        </w:tc>
        <w:tc>
          <w:tcPr>
            <w:tcW w:w="3936" w:type="dxa"/>
            <w:vAlign w:val="center"/>
          </w:tcPr>
          <w:p>
            <w:pPr>
              <w:pStyle w:val="a2"/>
              <w:ind w:firstLine="0" w:firstLineChars="0"/>
              <w:rPr>
                <w:rFonts w:ascii="Times New Roman"/>
                <w:sz w:val="24"/>
                <w:szCs w:val="24"/>
              </w:rPr>
            </w:pPr>
            <w:r>
              <w:rPr>
                <w:rFonts w:ascii="Times New Roman"/>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速度</w:t>
            </w:r>
            <w:r>
              <w:rPr>
                <w:rFonts w:ascii="Times New Roman"/>
                <w:sz w:val="24"/>
                <w:szCs w:val="24"/>
              </w:rPr>
              <w:t>(m/s)</w:t>
            </w:r>
          </w:p>
        </w:tc>
        <w:tc>
          <w:tcPr>
            <w:tcW w:w="3936" w:type="dxa"/>
            <w:vAlign w:val="center"/>
          </w:tcPr>
          <w:p>
            <w:pPr>
              <w:pStyle w:val="a2"/>
              <w:ind w:firstLine="0" w:firstLineChars="0"/>
              <w:rPr>
                <w:rFonts w:ascii="Times New Roman"/>
                <w:sz w:val="24"/>
                <w:szCs w:val="24"/>
              </w:rPr>
            </w:pPr>
            <w:r>
              <w:rPr>
                <w:rFonts w:ascii="Times New Roman"/>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谱宽</w:t>
            </w:r>
            <w:r>
              <w:rPr>
                <w:rFonts w:ascii="Times New Roman"/>
                <w:sz w:val="24"/>
                <w:szCs w:val="24"/>
              </w:rPr>
              <w:t>(m/s)</w:t>
            </w:r>
          </w:p>
        </w:tc>
        <w:tc>
          <w:tcPr>
            <w:tcW w:w="3936" w:type="dxa"/>
            <w:vAlign w:val="center"/>
          </w:tcPr>
          <w:p>
            <w:pPr>
              <w:pStyle w:val="a2"/>
              <w:ind w:firstLine="0" w:firstLineChars="0"/>
              <w:rPr>
                <w:rFonts w:ascii="Times New Roman"/>
                <w:sz w:val="24"/>
                <w:szCs w:val="24"/>
              </w:rPr>
            </w:pPr>
            <w:r>
              <w:rPr>
                <w:rFonts w:ascii="Times New Roman"/>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差分反射率</w:t>
            </w:r>
            <w:r>
              <w:rPr>
                <w:rFonts w:ascii="Times New Roman"/>
                <w:sz w:val="24"/>
                <w:szCs w:val="24"/>
              </w:rPr>
              <w:t xml:space="preserve"> (dB)</w:t>
            </w:r>
          </w:p>
        </w:tc>
        <w:tc>
          <w:tcPr>
            <w:tcW w:w="3936" w:type="dxa"/>
            <w:vAlign w:val="center"/>
          </w:tcPr>
          <w:p>
            <w:pPr>
              <w:pStyle w:val="a2"/>
              <w:ind w:firstLine="0" w:firstLineChars="0"/>
              <w:rPr>
                <w:rFonts w:ascii="Times New Roman"/>
                <w:sz w:val="24"/>
                <w:szCs w:val="24"/>
              </w:rPr>
            </w:pPr>
            <w:r>
              <w:rPr>
                <w:rFonts w:ascii="Times New Roman"/>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相关系数</w:t>
            </w:r>
          </w:p>
        </w:tc>
        <w:tc>
          <w:tcPr>
            <w:tcW w:w="3936" w:type="dxa"/>
            <w:vAlign w:val="center"/>
          </w:tcPr>
          <w:p>
            <w:pPr>
              <w:pStyle w:val="a2"/>
              <w:ind w:firstLine="0" w:firstLineChars="0"/>
              <w:rPr>
                <w:rFonts w:ascii="Times New Roman"/>
                <w:sz w:val="24"/>
                <w:szCs w:val="24"/>
              </w:rPr>
            </w:pPr>
            <w:r>
              <w:rPr>
                <w:rFonts w:ascii="Times New Roman"/>
                <w:sz w:val="24"/>
                <w:szCs w:val="24"/>
              </w:rPr>
              <w:t>≤0.005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差分传播相移</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差分传播相移率</w:t>
            </w:r>
            <w:r>
              <w:rPr>
                <w:rFonts w:ascii="Times New Roman"/>
                <w:sz w:val="24"/>
                <w:szCs w:val="24"/>
              </w:rPr>
              <w:t>(°/km)</w:t>
            </w:r>
          </w:p>
        </w:tc>
        <w:tc>
          <w:tcPr>
            <w:tcW w:w="3936" w:type="dxa"/>
            <w:vAlign w:val="center"/>
          </w:tcPr>
          <w:p>
            <w:pPr>
              <w:pStyle w:val="a2"/>
              <w:ind w:firstLine="0" w:firstLineChars="0"/>
              <w:rPr>
                <w:rFonts w:ascii="Times New Roman"/>
                <w:sz w:val="24"/>
                <w:szCs w:val="24"/>
              </w:rPr>
            </w:pPr>
            <w:r>
              <w:rPr>
                <w:rFonts w:ascii="Times New Roman"/>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退偏振比</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7"/>
            <w:vAlign w:val="center"/>
          </w:tcPr>
          <w:p>
            <w:pPr>
              <w:pStyle w:val="a2"/>
              <w:ind w:firstLine="0" w:firstLineChars="0"/>
              <w:rPr>
                <w:rFonts w:ascii="Times New Roman"/>
                <w:sz w:val="24"/>
                <w:szCs w:val="24"/>
              </w:rPr>
            </w:pPr>
            <w:r>
              <w:rPr>
                <w:rFonts w:ascii="Times New Roman"/>
                <w:color w:val="FF0000"/>
                <w:sz w:val="24"/>
                <w:szCs w:val="24"/>
              </w:rPr>
              <w:t>#</w:t>
            </w:r>
            <w:r>
              <w:rPr>
                <w:rFonts w:ascii="宋体" w:eastAsia="宋体" w:hAnsi="宋体" w:cs="宋体" w:hint="eastAsia"/>
                <w:sz w:val="24"/>
                <w:szCs w:val="24"/>
              </w:rPr>
              <w:t>系统相位噪声</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≤0.06</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7"/>
            <w:vAlign w:val="center"/>
          </w:tcPr>
          <w:p>
            <w:pPr>
              <w:pStyle w:val="a2"/>
              <w:ind w:firstLine="0" w:firstLineChars="0"/>
              <w:rPr>
                <w:rFonts w:ascii="Times New Roman"/>
                <w:sz w:val="24"/>
                <w:szCs w:val="24"/>
              </w:rPr>
            </w:pPr>
            <w:r>
              <w:rPr>
                <w:rFonts w:ascii="Times New Roman"/>
                <w:color w:val="FF0000"/>
                <w:sz w:val="24"/>
                <w:szCs w:val="24"/>
              </w:rPr>
              <w:t>#</w:t>
            </w:r>
            <w:r>
              <w:rPr>
                <w:rFonts w:ascii="宋体" w:eastAsia="宋体" w:hAnsi="宋体" w:cs="宋体" w:hint="eastAsia"/>
                <w:sz w:val="24"/>
                <w:szCs w:val="24"/>
              </w:rPr>
              <w:t>系统极限改善因子</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≥58.0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7"/>
            <w:vAlign w:val="center"/>
          </w:tcPr>
          <w:p>
            <w:pPr>
              <w:pStyle w:val="a2"/>
              <w:ind w:firstLine="0" w:firstLineChars="0"/>
              <w:rPr>
                <w:rFonts w:ascii="Times New Roman"/>
                <w:sz w:val="24"/>
                <w:szCs w:val="24"/>
              </w:rPr>
            </w:pPr>
            <w:r>
              <w:rPr>
                <w:rFonts w:ascii="Times New Roman"/>
                <w:color w:val="FF0000"/>
                <w:sz w:val="24"/>
                <w:szCs w:val="24"/>
              </w:rPr>
              <w:t>#</w:t>
            </w:r>
            <w:r>
              <w:rPr>
                <w:rFonts w:ascii="宋体" w:eastAsia="宋体" w:hAnsi="宋体" w:cs="宋体" w:hint="eastAsia"/>
                <w:sz w:val="24"/>
                <w:szCs w:val="24"/>
              </w:rPr>
              <w:t>地物杂波抑制能力</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≥60.0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双线偏振参数检验</w:t>
            </w:r>
          </w:p>
        </w:tc>
        <w:tc>
          <w:tcPr>
            <w:tcW w:w="2648" w:type="dxa"/>
            <w:gridSpan w:val="2"/>
            <w:vAlign w:val="center"/>
          </w:tcPr>
          <w:p>
            <w:pPr>
              <w:pStyle w:val="a2"/>
              <w:ind w:firstLine="0" w:firstLineChars="0"/>
              <w:rPr>
                <w:rFonts w:ascii="Times New Roman"/>
                <w:sz w:val="24"/>
                <w:szCs w:val="24"/>
              </w:rPr>
            </w:pPr>
            <w:r>
              <w:rPr>
                <w:rFonts w:ascii="Times New Roman"/>
                <w:color w:val="FF0000"/>
                <w:sz w:val="24"/>
                <w:szCs w:val="24"/>
              </w:rPr>
              <w:t>#</w:t>
            </w:r>
            <w:r>
              <w:rPr>
                <w:rFonts w:ascii="宋体" w:eastAsia="宋体" w:hAnsi="宋体" w:cs="宋体" w:hint="eastAsia"/>
                <w:sz w:val="24"/>
                <w:szCs w:val="24"/>
              </w:rPr>
              <w:t>差分反射率标准差</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Times New Roman"/>
                <w:color w:val="FF0000"/>
                <w:sz w:val="24"/>
                <w:szCs w:val="24"/>
              </w:rPr>
              <w:t>#</w:t>
            </w:r>
            <w:r>
              <w:rPr>
                <w:rFonts w:ascii="宋体" w:eastAsia="宋体" w:hAnsi="宋体" w:cs="宋体" w:hint="eastAsia"/>
                <w:sz w:val="24"/>
                <w:szCs w:val="24"/>
              </w:rPr>
              <w:t>差分传播相移标准差</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≤3.0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测量误差</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距离定位</w:t>
            </w:r>
            <w:r>
              <w:rPr>
                <w:rFonts w:ascii="Times New Roman"/>
                <w:sz w:val="24"/>
                <w:szCs w:val="24"/>
              </w:rPr>
              <w:t>(m)</w:t>
            </w:r>
          </w:p>
        </w:tc>
        <w:tc>
          <w:tcPr>
            <w:tcW w:w="3936" w:type="dxa"/>
            <w:vAlign w:val="center"/>
          </w:tcPr>
          <w:p>
            <w:pPr>
              <w:pStyle w:val="a2"/>
              <w:ind w:firstLine="0" w:firstLineChars="0"/>
              <w:rPr>
                <w:rFonts w:ascii="Times New Roman"/>
                <w:sz w:val="24"/>
                <w:szCs w:val="24"/>
              </w:rPr>
            </w:pPr>
            <w:r>
              <w:rPr>
                <w:rFonts w:ascii="Times New Roman"/>
                <w:sz w:val="24"/>
                <w:szCs w:val="24"/>
              </w:rPr>
              <w:t>≤50.0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相关系数</w:t>
            </w:r>
          </w:p>
        </w:tc>
        <w:tc>
          <w:tcPr>
            <w:tcW w:w="3936" w:type="dxa"/>
            <w:vAlign w:val="center"/>
          </w:tcPr>
          <w:p>
            <w:pPr>
              <w:pStyle w:val="a2"/>
              <w:ind w:firstLine="0" w:firstLineChars="0"/>
              <w:rPr>
                <w:rFonts w:ascii="Times New Roman"/>
                <w:sz w:val="24"/>
                <w:szCs w:val="24"/>
              </w:rPr>
            </w:pPr>
            <w:r>
              <w:rPr>
                <w:rFonts w:ascii="Times New Roman"/>
                <w:sz w:val="24"/>
                <w:szCs w:val="24"/>
              </w:rPr>
              <w:t>≤0.01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退偏振比</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≤0.3</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预热时间</w:t>
            </w:r>
            <w:r>
              <w:rPr>
                <w:rFonts w:ascii="Times New Roman"/>
                <w:sz w:val="24"/>
                <w:szCs w:val="24"/>
              </w:rPr>
              <w:t>(min)</w:t>
            </w:r>
          </w:p>
        </w:tc>
        <w:tc>
          <w:tcPr>
            <w:tcW w:w="3936" w:type="dxa"/>
            <w:vAlign w:val="center"/>
          </w:tcPr>
          <w:p>
            <w:pPr>
              <w:pStyle w:val="a2"/>
              <w:ind w:firstLine="0" w:firstLineChars="0"/>
              <w:rPr>
                <w:rFonts w:ascii="Times New Roman"/>
                <w:sz w:val="24"/>
                <w:szCs w:val="24"/>
              </w:rPr>
            </w:pPr>
            <w:r>
              <w:rPr>
                <w:rFonts w:ascii="Times New Roman"/>
                <w:sz w:val="24"/>
                <w:szCs w:val="24"/>
              </w:rPr>
              <w:t>≤15</w:t>
            </w:r>
          </w:p>
        </w:tc>
      </w:tr>
      <w:tr>
        <w:tblPrEx>
          <w:tblW w:w="9002" w:type="dxa"/>
          <w:jc w:val="center"/>
          <w:tblLayout w:type="fixed"/>
          <w:tblCellMar>
            <w:top w:w="0" w:type="dxa"/>
            <w:left w:w="108" w:type="dxa"/>
            <w:bottom w:w="0" w:type="dxa"/>
            <w:right w:w="108" w:type="dxa"/>
          </w:tblCellMar>
          <w:tblLook w:val="0000"/>
        </w:tblPrEx>
        <w:trPr>
          <w:cantSplit/>
          <w:trHeight w:val="283"/>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最小可测回波强度</w:t>
            </w:r>
            <w:r>
              <w:rPr>
                <w:rFonts w:ascii="Times New Roman"/>
                <w:sz w:val="24"/>
                <w:szCs w:val="24"/>
              </w:rPr>
              <w:t>(dBZ)</w:t>
            </w:r>
          </w:p>
        </w:tc>
        <w:tc>
          <w:tcPr>
            <w:tcW w:w="3936" w:type="dxa"/>
            <w:vAlign w:val="center"/>
          </w:tcPr>
          <w:p>
            <w:pPr>
              <w:pStyle w:val="a2"/>
              <w:ind w:firstLine="0" w:firstLineChars="0"/>
              <w:rPr>
                <w:rFonts w:ascii="Times New Roman"/>
                <w:sz w:val="24"/>
                <w:szCs w:val="24"/>
              </w:rPr>
            </w:pPr>
            <w:r>
              <w:rPr>
                <w:rFonts w:ascii="Times New Roman"/>
                <w:sz w:val="24"/>
                <w:szCs w:val="24"/>
              </w:rPr>
              <w:t>≤-3.5</w:t>
            </w:r>
            <w:r>
              <w:rPr>
                <w:rFonts w:ascii="宋体" w:eastAsia="宋体" w:hAnsi="宋体" w:cs="宋体" w:hint="eastAsia"/>
                <w:sz w:val="24"/>
                <w:szCs w:val="24"/>
              </w:rPr>
              <w:t>（</w:t>
            </w:r>
            <w:r>
              <w:rPr>
                <w:rFonts w:ascii="Times New Roman"/>
                <w:sz w:val="24"/>
                <w:szCs w:val="24"/>
              </w:rPr>
              <w:t>2.0μs@ 50km</w:t>
            </w:r>
            <w:r>
              <w:rPr>
                <w:rFonts w:ascii="宋体" w:eastAsia="宋体" w:hAnsi="宋体" w:cs="宋体"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453"/>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退距离模糊恢复比例</w:t>
            </w:r>
          </w:p>
        </w:tc>
        <w:tc>
          <w:tcPr>
            <w:tcW w:w="3936" w:type="dxa"/>
            <w:vAlign w:val="center"/>
          </w:tcPr>
          <w:p>
            <w:pPr>
              <w:pStyle w:val="a2"/>
              <w:ind w:firstLine="0" w:firstLineChars="0"/>
              <w:rPr>
                <w:rFonts w:ascii="Times New Roman"/>
                <w:sz w:val="24"/>
                <w:szCs w:val="24"/>
              </w:rPr>
            </w:pPr>
            <w:r>
              <w:rPr>
                <w:rFonts w:ascii="Times New Roman"/>
                <w:sz w:val="24"/>
                <w:szCs w:val="24"/>
              </w:rPr>
              <w:t>≥60%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测量范围</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强度值</w:t>
            </w:r>
            <w:r>
              <w:rPr>
                <w:rFonts w:ascii="Times New Roman"/>
                <w:sz w:val="24"/>
                <w:szCs w:val="24"/>
              </w:rPr>
              <w:t>(dBZ)</w:t>
            </w:r>
          </w:p>
        </w:tc>
        <w:tc>
          <w:tcPr>
            <w:tcW w:w="3936" w:type="dxa"/>
            <w:vAlign w:val="center"/>
          </w:tcPr>
          <w:p>
            <w:pPr>
              <w:pStyle w:val="a2"/>
              <w:ind w:firstLine="0" w:firstLineChars="0"/>
              <w:rPr>
                <w:rFonts w:ascii="Times New Roman"/>
                <w:sz w:val="24"/>
                <w:szCs w:val="24"/>
              </w:rPr>
            </w:pPr>
            <w:r>
              <w:rPr>
                <w:rFonts w:ascii="Times New Roman"/>
                <w:sz w:val="24"/>
                <w:szCs w:val="24"/>
              </w:rPr>
              <w:t>-35</w:t>
            </w:r>
            <w:r>
              <w:rPr>
                <w:rFonts w:ascii="宋体" w:eastAsia="宋体" w:hAnsi="宋体" w:cs="宋体" w:hint="eastAsia"/>
                <w:sz w:val="24"/>
                <w:szCs w:val="24"/>
              </w:rPr>
              <w:t>～</w:t>
            </w:r>
            <w:r>
              <w:rPr>
                <w:rFonts w:ascii="Times New Roman"/>
                <w:sz w:val="24"/>
                <w:szCs w:val="24"/>
              </w:rPr>
              <w:t>75</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速度值</w:t>
            </w:r>
            <w:r>
              <w:rPr>
                <w:rFonts w:ascii="Times New Roman"/>
                <w:sz w:val="24"/>
                <w:szCs w:val="24"/>
              </w:rPr>
              <w:t>(m/s)</w:t>
            </w:r>
          </w:p>
        </w:tc>
        <w:tc>
          <w:tcPr>
            <w:tcW w:w="3936" w:type="dxa"/>
            <w:vAlign w:val="center"/>
          </w:tcPr>
          <w:p>
            <w:pPr>
              <w:pStyle w:val="a2"/>
              <w:ind w:firstLine="0" w:firstLineChars="0"/>
              <w:rPr>
                <w:rFonts w:ascii="Times New Roman"/>
                <w:sz w:val="24"/>
                <w:szCs w:val="24"/>
              </w:rPr>
            </w:pPr>
            <w:r>
              <w:rPr>
                <w:rFonts w:ascii="Times New Roman"/>
                <w:sz w:val="24"/>
                <w:szCs w:val="24"/>
              </w:rPr>
              <w:t>-48</w:t>
            </w:r>
            <w:r>
              <w:rPr>
                <w:rFonts w:ascii="宋体" w:eastAsia="宋体" w:hAnsi="宋体" w:cs="宋体" w:hint="eastAsia"/>
                <w:sz w:val="24"/>
                <w:szCs w:val="24"/>
              </w:rPr>
              <w:t>～</w:t>
            </w:r>
            <w:r>
              <w:rPr>
                <w:rFonts w:ascii="Times New Roman"/>
                <w:sz w:val="24"/>
                <w:szCs w:val="24"/>
              </w:rPr>
              <w:t>48</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谱宽值</w:t>
            </w:r>
            <w:r>
              <w:rPr>
                <w:rFonts w:ascii="Times New Roman"/>
                <w:sz w:val="24"/>
                <w:szCs w:val="24"/>
              </w:rPr>
              <w:t>(m/s)</w:t>
            </w:r>
          </w:p>
        </w:tc>
        <w:tc>
          <w:tcPr>
            <w:tcW w:w="3936" w:type="dxa"/>
            <w:vAlign w:val="center"/>
          </w:tcPr>
          <w:p>
            <w:pPr>
              <w:pStyle w:val="a2"/>
              <w:ind w:firstLine="0" w:firstLineChars="0"/>
              <w:rPr>
                <w:rFonts w:ascii="Times New Roman"/>
                <w:sz w:val="24"/>
                <w:szCs w:val="24"/>
              </w:rPr>
            </w:pPr>
            <w:r>
              <w:rPr>
                <w:rFonts w:ascii="Times New Roman"/>
                <w:sz w:val="24"/>
                <w:szCs w:val="24"/>
              </w:rPr>
              <w:t>0</w:t>
            </w:r>
            <w:r>
              <w:rPr>
                <w:rFonts w:ascii="宋体" w:eastAsia="宋体" w:hAnsi="宋体" w:cs="宋体" w:hint="eastAsia"/>
                <w:sz w:val="24"/>
                <w:szCs w:val="24"/>
              </w:rPr>
              <w:t>～</w:t>
            </w:r>
            <w:r>
              <w:rPr>
                <w:rFonts w:ascii="Times New Roman"/>
                <w:sz w:val="24"/>
                <w:szCs w:val="24"/>
              </w:rPr>
              <w:t>16</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差分反射率</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-7.9</w:t>
            </w:r>
            <w:r>
              <w:rPr>
                <w:rFonts w:ascii="宋体" w:eastAsia="宋体" w:hAnsi="宋体" w:cs="宋体" w:hint="eastAsia"/>
                <w:sz w:val="24"/>
                <w:szCs w:val="24"/>
              </w:rPr>
              <w:t>～</w:t>
            </w:r>
            <w:r>
              <w:rPr>
                <w:rFonts w:ascii="Times New Roman"/>
                <w:sz w:val="24"/>
                <w:szCs w:val="24"/>
              </w:rPr>
              <w:t>7.9</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相关系数</w:t>
            </w:r>
          </w:p>
        </w:tc>
        <w:tc>
          <w:tcPr>
            <w:tcW w:w="3936" w:type="dxa"/>
            <w:vAlign w:val="center"/>
          </w:tcPr>
          <w:p>
            <w:pPr>
              <w:pStyle w:val="a2"/>
              <w:ind w:firstLine="0" w:firstLineChars="0"/>
              <w:rPr>
                <w:rFonts w:ascii="Times New Roman"/>
                <w:sz w:val="24"/>
                <w:szCs w:val="24"/>
              </w:rPr>
            </w:pPr>
            <w:r>
              <w:rPr>
                <w:rFonts w:ascii="Times New Roman"/>
                <w:sz w:val="24"/>
                <w:szCs w:val="24"/>
              </w:rPr>
              <w:t>0</w:t>
            </w:r>
            <w:r>
              <w:rPr>
                <w:rFonts w:ascii="宋体" w:eastAsia="宋体" w:hAnsi="宋体" w:cs="宋体" w:hint="eastAsia"/>
                <w:sz w:val="24"/>
                <w:szCs w:val="24"/>
              </w:rPr>
              <w:t>～</w:t>
            </w: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差分传播相移</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0</w:t>
            </w:r>
            <w:r>
              <w:rPr>
                <w:rFonts w:ascii="宋体" w:eastAsia="宋体" w:hAnsi="宋体" w:cs="宋体" w:hint="eastAsia"/>
                <w:sz w:val="24"/>
                <w:szCs w:val="24"/>
              </w:rPr>
              <w:t>～</w:t>
            </w:r>
            <w:r>
              <w:rPr>
                <w:rFonts w:ascii="Times New Roman"/>
                <w:sz w:val="24"/>
                <w:szCs w:val="24"/>
              </w:rPr>
              <w:t>360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差分传播相移率</w:t>
            </w:r>
            <w:r>
              <w:rPr>
                <w:rFonts w:ascii="Times New Roman"/>
                <w:sz w:val="24"/>
                <w:szCs w:val="24"/>
              </w:rPr>
              <w:t>(°/km)</w:t>
            </w:r>
          </w:p>
        </w:tc>
        <w:tc>
          <w:tcPr>
            <w:tcW w:w="3936" w:type="dxa"/>
            <w:vAlign w:val="center"/>
          </w:tcPr>
          <w:p>
            <w:pPr>
              <w:pStyle w:val="a2"/>
              <w:ind w:firstLine="0" w:firstLineChars="0"/>
              <w:rPr>
                <w:rFonts w:ascii="Times New Roman"/>
                <w:sz w:val="24"/>
                <w:szCs w:val="24"/>
              </w:rPr>
            </w:pPr>
            <w:r>
              <w:rPr>
                <w:rFonts w:ascii="Times New Roman"/>
                <w:sz w:val="24"/>
                <w:szCs w:val="24"/>
              </w:rPr>
              <w:t>-2</w:t>
            </w:r>
            <w:r>
              <w:rPr>
                <w:rFonts w:ascii="宋体" w:eastAsia="宋体" w:hAnsi="宋体" w:cs="宋体" w:hint="eastAsia"/>
                <w:sz w:val="24"/>
                <w:szCs w:val="24"/>
              </w:rPr>
              <w:t>～</w:t>
            </w: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退偏振比</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-44</w:t>
            </w:r>
            <w:r>
              <w:rPr>
                <w:rFonts w:ascii="宋体" w:eastAsia="宋体" w:hAnsi="宋体" w:cs="宋体" w:hint="eastAsia"/>
                <w:sz w:val="24"/>
                <w:szCs w:val="24"/>
              </w:rPr>
              <w:t>～</w:t>
            </w:r>
            <w:r>
              <w:rPr>
                <w:rFonts w:ascii="Times New Roman"/>
                <w:sz w:val="24"/>
                <w:szCs w:val="24"/>
              </w:rPr>
              <w:t>6</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可靠性</w:t>
            </w:r>
          </w:p>
        </w:tc>
        <w:tc>
          <w:tcPr>
            <w:tcW w:w="2648" w:type="dxa"/>
            <w:gridSpan w:val="2"/>
            <w:vAlign w:val="center"/>
          </w:tcPr>
          <w:p>
            <w:pPr>
              <w:pStyle w:val="a2"/>
              <w:ind w:firstLine="0" w:firstLineChars="0"/>
              <w:rPr>
                <w:rFonts w:ascii="Times New Roman"/>
                <w:sz w:val="24"/>
                <w:szCs w:val="24"/>
              </w:rPr>
            </w:pPr>
            <w:r>
              <w:rPr>
                <w:rFonts w:ascii="Times New Roman"/>
                <w:sz w:val="24"/>
                <w:szCs w:val="24"/>
              </w:rPr>
              <w:t>MTBF(h)</w:t>
            </w:r>
          </w:p>
        </w:tc>
        <w:tc>
          <w:tcPr>
            <w:tcW w:w="3936" w:type="dxa"/>
            <w:vAlign w:val="center"/>
          </w:tcPr>
          <w:p>
            <w:pPr>
              <w:pStyle w:val="a2"/>
              <w:ind w:firstLine="0" w:firstLineChars="0"/>
              <w:rPr>
                <w:rFonts w:ascii="Times New Roman"/>
                <w:sz w:val="24"/>
                <w:szCs w:val="24"/>
              </w:rPr>
            </w:pPr>
            <w:r>
              <w:rPr>
                <w:rFonts w:ascii="Times New Roman"/>
                <w:sz w:val="24"/>
                <w:szCs w:val="24"/>
              </w:rPr>
              <w:t>≥1500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方位齿轮轴承</w:t>
            </w:r>
            <w:r>
              <w:rPr>
                <w:rFonts w:ascii="Times New Roman"/>
                <w:sz w:val="24"/>
                <w:szCs w:val="24"/>
              </w:rPr>
              <w:t>(a)</w:t>
            </w:r>
          </w:p>
        </w:tc>
        <w:tc>
          <w:tcPr>
            <w:tcW w:w="3936" w:type="dxa"/>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俯仰齿轮轴承</w:t>
            </w:r>
            <w:r>
              <w:rPr>
                <w:rFonts w:ascii="Times New Roman"/>
                <w:sz w:val="24"/>
                <w:szCs w:val="24"/>
              </w:rPr>
              <w:t>(a)</w:t>
            </w:r>
          </w:p>
        </w:tc>
        <w:tc>
          <w:tcPr>
            <w:tcW w:w="3936" w:type="dxa"/>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汇流环</w:t>
            </w:r>
            <w:r>
              <w:rPr>
                <w:rFonts w:ascii="Times New Roman"/>
                <w:sz w:val="24"/>
                <w:szCs w:val="24"/>
              </w:rPr>
              <w:t>(a)</w:t>
            </w:r>
          </w:p>
        </w:tc>
        <w:tc>
          <w:tcPr>
            <w:tcW w:w="3936" w:type="dxa"/>
            <w:vAlign w:val="center"/>
          </w:tcPr>
          <w:p>
            <w:pPr>
              <w:pStyle w:val="a2"/>
              <w:ind w:firstLine="0" w:firstLineChars="0"/>
              <w:rPr>
                <w:rFonts w:ascii="Times New Roman"/>
                <w:sz w:val="24"/>
                <w:szCs w:val="24"/>
              </w:rPr>
            </w:pPr>
            <w:r>
              <w:rPr>
                <w:rFonts w:ascii="Times New Roman"/>
                <w:sz w:val="24"/>
                <w:szCs w:val="24"/>
              </w:rPr>
              <w:t>≥8</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速调管</w:t>
            </w:r>
            <w:r>
              <w:rPr>
                <w:rFonts w:ascii="Times New Roman"/>
                <w:sz w:val="24"/>
                <w:szCs w:val="24"/>
              </w:rPr>
              <w:t>(h)</w:t>
            </w:r>
          </w:p>
        </w:tc>
        <w:tc>
          <w:tcPr>
            <w:tcW w:w="3936" w:type="dxa"/>
            <w:vAlign w:val="center"/>
          </w:tcPr>
          <w:p>
            <w:pPr>
              <w:pStyle w:val="a2"/>
              <w:ind w:firstLine="0" w:firstLineChars="0"/>
              <w:rPr>
                <w:rFonts w:ascii="Times New Roman"/>
                <w:sz w:val="24"/>
                <w:szCs w:val="24"/>
              </w:rPr>
            </w:pPr>
            <w:r>
              <w:rPr>
                <w:rFonts w:ascii="Times New Roman"/>
                <w:sz w:val="24"/>
                <w:szCs w:val="24"/>
              </w:rPr>
              <w:t>≥15000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功耗</w:t>
            </w:r>
            <w:r>
              <w:rPr>
                <w:rFonts w:ascii="Times New Roman"/>
                <w:sz w:val="24"/>
                <w:szCs w:val="24"/>
              </w:rPr>
              <w:t>(kW)</w:t>
            </w:r>
          </w:p>
        </w:tc>
        <w:tc>
          <w:tcPr>
            <w:tcW w:w="3936" w:type="dxa"/>
            <w:vAlign w:val="center"/>
          </w:tcPr>
          <w:p>
            <w:pPr>
              <w:pStyle w:val="a2"/>
              <w:ind w:firstLine="0" w:firstLineChars="0"/>
              <w:rPr>
                <w:rFonts w:ascii="Times New Roman"/>
                <w:sz w:val="24"/>
                <w:szCs w:val="24"/>
              </w:rPr>
            </w:pPr>
            <w:r>
              <w:rPr>
                <w:rFonts w:ascii="Times New Roman"/>
                <w:sz w:val="24"/>
                <w:szCs w:val="24"/>
              </w:rPr>
              <w:t>≤50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Align w:val="center"/>
          </w:tcPr>
          <w:p>
            <w:pPr>
              <w:pStyle w:val="a2"/>
              <w:ind w:firstLine="0" w:firstLineChars="0"/>
              <w:rPr>
                <w:rFonts w:ascii="Times New Roman"/>
                <w:sz w:val="24"/>
                <w:szCs w:val="24"/>
              </w:rPr>
            </w:pPr>
            <w:r>
              <w:rPr>
                <w:rFonts w:ascii="宋体" w:eastAsia="宋体" w:hAnsi="宋体" w:cs="宋体" w:hint="eastAsia"/>
                <w:sz w:val="24"/>
                <w:szCs w:val="24"/>
              </w:rPr>
              <w:t>输出参数</w:t>
            </w:r>
          </w:p>
        </w:tc>
        <w:tc>
          <w:tcPr>
            <w:tcW w:w="6584" w:type="dxa"/>
            <w:gridSpan w:val="3"/>
            <w:vAlign w:val="center"/>
          </w:tcPr>
          <w:p>
            <w:pPr>
              <w:pStyle w:val="a2"/>
              <w:ind w:firstLine="0" w:firstLineChars="0"/>
              <w:rPr>
                <w:rFonts w:ascii="Times New Roman"/>
                <w:sz w:val="24"/>
                <w:szCs w:val="24"/>
              </w:rPr>
            </w:pPr>
            <w:r>
              <w:rPr>
                <w:rFonts w:ascii="Times New Roman"/>
                <w:sz w:val="24"/>
                <w:szCs w:val="24"/>
              </w:rPr>
              <w:t>Z</w:t>
            </w:r>
            <w:r>
              <w:rPr>
                <w:rFonts w:ascii="宋体" w:eastAsia="宋体" w:hAnsi="宋体" w:cs="宋体" w:hint="eastAsia"/>
                <w:sz w:val="24"/>
                <w:szCs w:val="24"/>
              </w:rPr>
              <w:t>、</w:t>
            </w:r>
            <w:r>
              <w:rPr>
                <w:rFonts w:ascii="Times New Roman"/>
                <w:sz w:val="24"/>
                <w:szCs w:val="24"/>
              </w:rPr>
              <w:t>V</w:t>
            </w:r>
            <w:r>
              <w:rPr>
                <w:rFonts w:ascii="宋体" w:eastAsia="宋体" w:hAnsi="宋体" w:cs="宋体" w:hint="eastAsia"/>
                <w:sz w:val="24"/>
                <w:szCs w:val="24"/>
              </w:rPr>
              <w:t>、</w:t>
            </w:r>
            <w:r>
              <w:rPr>
                <w:rFonts w:ascii="Times New Roman"/>
                <w:sz w:val="24"/>
                <w:szCs w:val="24"/>
              </w:rPr>
              <w:t>W</w:t>
            </w:r>
            <w:r>
              <w:rPr>
                <w:rFonts w:ascii="宋体" w:eastAsia="宋体" w:hAnsi="宋体" w:cs="宋体" w:hint="eastAsia"/>
                <w:sz w:val="24"/>
                <w:szCs w:val="24"/>
              </w:rPr>
              <w:t>、</w:t>
            </w:r>
            <w:r>
              <w:rPr>
                <w:rFonts w:ascii="Times New Roman"/>
                <w:sz w:val="24"/>
                <w:szCs w:val="24"/>
              </w:rPr>
              <w:t>ZDR</w:t>
            </w:r>
            <w:r>
              <w:rPr>
                <w:rFonts w:ascii="宋体" w:eastAsia="宋体" w:hAnsi="宋体" w:cs="宋体" w:hint="eastAsia"/>
                <w:sz w:val="24"/>
                <w:szCs w:val="24"/>
              </w:rPr>
              <w:t>、</w:t>
            </w:r>
            <w:r>
              <w:rPr>
                <w:rFonts w:ascii="Times New Roman"/>
                <w:sz w:val="24"/>
                <w:szCs w:val="24"/>
              </w:rPr>
              <w:t>ΦDP</w:t>
            </w:r>
            <w:r>
              <w:rPr>
                <w:rFonts w:ascii="宋体" w:eastAsia="宋体" w:hAnsi="宋体" w:cs="宋体" w:hint="eastAsia"/>
                <w:sz w:val="24"/>
                <w:szCs w:val="24"/>
              </w:rPr>
              <w:t>、</w:t>
            </w:r>
            <w:r>
              <w:rPr>
                <w:rFonts w:ascii="Times New Roman"/>
                <w:sz w:val="24"/>
                <w:szCs w:val="24"/>
              </w:rPr>
              <w:t>KDP</w:t>
            </w:r>
            <w:r>
              <w:rPr>
                <w:rFonts w:ascii="宋体" w:eastAsia="宋体" w:hAnsi="宋体" w:cs="宋体" w:hint="eastAsia"/>
                <w:sz w:val="24"/>
                <w:szCs w:val="24"/>
              </w:rPr>
              <w:t>、</w:t>
            </w:r>
            <w:r>
              <w:rPr>
                <w:rFonts w:ascii="Times New Roman"/>
                <w:sz w:val="24"/>
                <w:szCs w:val="24"/>
              </w:rPr>
              <w:t>ρHV</w:t>
            </w:r>
            <w:r>
              <w:rPr>
                <w:rFonts w:ascii="宋体" w:eastAsia="宋体" w:hAnsi="宋体" w:cs="宋体" w:hint="eastAsia"/>
                <w:sz w:val="24"/>
                <w:szCs w:val="24"/>
              </w:rPr>
              <w:t>、</w:t>
            </w:r>
            <w:r>
              <w:rPr>
                <w:rFonts w:ascii="Times New Roman"/>
                <w:sz w:val="24"/>
                <w:szCs w:val="24"/>
              </w:rPr>
              <w:t>LDR</w:t>
            </w:r>
            <w:r>
              <w:rPr>
                <w:rFonts w:ascii="宋体" w:eastAsia="宋体" w:hAnsi="宋体" w:cs="宋体" w:hint="eastAsia"/>
                <w:sz w:val="24"/>
                <w:szCs w:val="24"/>
              </w:rPr>
              <w:t>、</w:t>
            </w:r>
            <w:r>
              <w:rPr>
                <w:rFonts w:ascii="Times New Roman"/>
                <w:sz w:val="24"/>
                <w:szCs w:val="24"/>
              </w:rPr>
              <w:t xml:space="preserve"> SNR</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8"/>
            <w:vAlign w:val="center"/>
          </w:tcPr>
          <w:p>
            <w:pPr>
              <w:pStyle w:val="a2"/>
              <w:ind w:firstLine="0" w:firstLineChars="0"/>
              <w:rPr>
                <w:rFonts w:ascii="Times New Roman"/>
                <w:sz w:val="24"/>
                <w:szCs w:val="24"/>
              </w:rPr>
            </w:pPr>
            <w:r>
              <w:rPr>
                <w:rFonts w:ascii="宋体" w:eastAsia="宋体" w:hAnsi="宋体" w:cs="宋体" w:hint="eastAsia"/>
                <w:b/>
                <w:sz w:val="24"/>
                <w:szCs w:val="24"/>
              </w:rPr>
              <w:t>天线罩技术指标</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天线罩直径</w:t>
            </w:r>
            <w:r>
              <w:rPr>
                <w:rFonts w:ascii="Times New Roman"/>
                <w:sz w:val="24"/>
                <w:szCs w:val="24"/>
              </w:rPr>
              <w:t>(m)</w:t>
            </w:r>
          </w:p>
        </w:tc>
        <w:tc>
          <w:tcPr>
            <w:tcW w:w="3936" w:type="dxa"/>
            <w:vAlign w:val="center"/>
          </w:tcPr>
          <w:p>
            <w:pPr>
              <w:pStyle w:val="a2"/>
              <w:ind w:firstLine="0" w:firstLineChars="0"/>
              <w:rPr>
                <w:rFonts w:ascii="Times New Roman"/>
                <w:sz w:val="24"/>
                <w:szCs w:val="24"/>
              </w:rPr>
            </w:pPr>
            <w:r>
              <w:rPr>
                <w:rFonts w:ascii="Times New Roman" w:eastAsia="宋体"/>
                <w:sz w:val="24"/>
                <w:szCs w:val="24"/>
              </w:rPr>
              <w:t>≥7.2</w:t>
            </w:r>
          </w:p>
        </w:tc>
      </w:tr>
      <w:tr>
        <w:tblPrEx>
          <w:tblW w:w="9002" w:type="dxa"/>
          <w:jc w:val="center"/>
          <w:tblLayout w:type="fixed"/>
          <w:tblCellMar>
            <w:top w:w="0" w:type="dxa"/>
            <w:left w:w="108" w:type="dxa"/>
            <w:bottom w:w="0" w:type="dxa"/>
            <w:right w:w="108" w:type="dxa"/>
          </w:tblCellMar>
          <w:tblLook w:val="0000"/>
        </w:tblPrEx>
        <w:trPr>
          <w:cantSplit/>
          <w:trHeight w:val="210"/>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引入波束偏差</w:t>
            </w:r>
            <w:r>
              <w:rPr>
                <w:rFonts w:ascii="Times New Roman"/>
                <w:sz w:val="24"/>
                <w:szCs w:val="24"/>
              </w:rPr>
              <w:t>(°)</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≤0.03</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25"/>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引入波束展宽</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 xml:space="preserve">≤5% </w:t>
            </w:r>
          </w:p>
        </w:tc>
      </w:tr>
      <w:tr>
        <w:tblPrEx>
          <w:tblW w:w="9002" w:type="dxa"/>
          <w:jc w:val="center"/>
          <w:tblLayout w:type="fixed"/>
          <w:tblCellMar>
            <w:top w:w="0" w:type="dxa"/>
            <w:left w:w="108" w:type="dxa"/>
            <w:bottom w:w="0" w:type="dxa"/>
            <w:right w:w="108" w:type="dxa"/>
          </w:tblCellMar>
          <w:tblLook w:val="0000"/>
        </w:tblPrEx>
        <w:trPr>
          <w:cantSplit/>
          <w:trHeight w:val="20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射频损失</w:t>
            </w:r>
            <w:r>
              <w:rPr>
                <w:rFonts w:ascii="Times New Roman"/>
                <w:sz w:val="24"/>
                <w:szCs w:val="24"/>
              </w:rPr>
              <w:t>(dB)</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≤0.6</w:t>
            </w:r>
            <w:r>
              <w:rPr>
                <w:rFonts w:ascii="宋体" w:eastAsia="宋体" w:hAnsi="宋体" w:cs="宋体" w:hint="eastAsia"/>
                <w:sz w:val="24"/>
                <w:szCs w:val="24"/>
              </w:rPr>
              <w:t>（双程）</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b/>
                <w:sz w:val="24"/>
                <w:szCs w:val="24"/>
              </w:rPr>
            </w:pPr>
            <w:r>
              <w:rPr>
                <w:rFonts w:ascii="Times New Roman" w:eastAsia="宋体"/>
                <w:sz w:val="24"/>
                <w:szCs w:val="24"/>
              </w:rPr>
              <w:t>与天线口径比</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≥1.5</w:t>
            </w:r>
          </w:p>
        </w:tc>
      </w:tr>
      <w:tr>
        <w:tblPrEx>
          <w:tblW w:w="9002" w:type="dxa"/>
          <w:jc w:val="center"/>
          <w:tblLayout w:type="fixed"/>
          <w:tblCellMar>
            <w:top w:w="0" w:type="dxa"/>
            <w:left w:w="108" w:type="dxa"/>
            <w:bottom w:w="0" w:type="dxa"/>
            <w:right w:w="108" w:type="dxa"/>
          </w:tblCellMar>
          <w:tblLook w:val="0000"/>
        </w:tblPrEx>
        <w:trPr>
          <w:cantSplit/>
          <w:trHeight w:val="411"/>
          <w:jc w:val="center"/>
        </w:trPr>
        <w:tc>
          <w:tcPr>
            <w:tcW w:w="5066" w:type="dxa"/>
            <w:gridSpan w:val="7"/>
            <w:vAlign w:val="center"/>
          </w:tcPr>
          <w:p>
            <w:pPr>
              <w:pStyle w:val="a2"/>
              <w:ind w:firstLine="0" w:firstLineChars="0"/>
              <w:rPr>
                <w:rFonts w:ascii="Times New Roman"/>
                <w:b/>
                <w:sz w:val="24"/>
                <w:szCs w:val="24"/>
              </w:rPr>
            </w:pPr>
            <w:r>
              <w:rPr>
                <w:rFonts w:ascii="Times New Roman" w:eastAsia="宋体"/>
                <w:sz w:val="24"/>
                <w:szCs w:val="24"/>
              </w:rPr>
              <w:t>引入交叉极化隔离度影响(dB)</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≤1.0</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8"/>
            <w:vAlign w:val="center"/>
          </w:tcPr>
          <w:p>
            <w:pPr>
              <w:pStyle w:val="a2"/>
              <w:ind w:firstLine="0" w:firstLineChars="0"/>
              <w:rPr>
                <w:rFonts w:ascii="Times New Roman"/>
                <w:b/>
                <w:sz w:val="24"/>
                <w:szCs w:val="24"/>
              </w:rPr>
            </w:pPr>
            <w:r>
              <w:rPr>
                <w:rFonts w:ascii="宋体" w:eastAsia="宋体" w:hAnsi="宋体" w:cs="宋体" w:hint="eastAsia"/>
                <w:b/>
                <w:sz w:val="24"/>
                <w:szCs w:val="24"/>
              </w:rPr>
              <w:t>天线系统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b/>
                <w:sz w:val="24"/>
                <w:szCs w:val="24"/>
              </w:rPr>
            </w:pPr>
            <w:r>
              <w:rPr>
                <w:rFonts w:ascii="宋体" w:eastAsia="宋体" w:hAnsi="宋体" w:cs="宋体" w:hint="eastAsia"/>
                <w:sz w:val="24"/>
                <w:szCs w:val="24"/>
              </w:rPr>
              <w:t>天线反射体直径</w:t>
            </w:r>
            <w:r>
              <w:rPr>
                <w:rFonts w:ascii="Times New Roman"/>
                <w:sz w:val="24"/>
                <w:szCs w:val="24"/>
              </w:rPr>
              <w:t>(m)</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≥4.5</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功率增益</w:t>
            </w:r>
            <w:r>
              <w:rPr>
                <w:rFonts w:ascii="Times New Roman"/>
                <w:sz w:val="24"/>
                <w:szCs w:val="24"/>
              </w:rPr>
              <w:t>(dB)</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≥43.0</w:t>
            </w:r>
          </w:p>
        </w:tc>
      </w:tr>
      <w:tr>
        <w:tblPrEx>
          <w:tblW w:w="9002" w:type="dxa"/>
          <w:jc w:val="center"/>
          <w:tblLayout w:type="fixed"/>
          <w:tblCellMar>
            <w:top w:w="0" w:type="dxa"/>
            <w:left w:w="108" w:type="dxa"/>
            <w:bottom w:w="0" w:type="dxa"/>
            <w:right w:w="108" w:type="dxa"/>
          </w:tblCellMar>
          <w:tblLook w:val="0000"/>
        </w:tblPrEx>
        <w:trPr>
          <w:cantSplit/>
          <w:trHeight w:val="399"/>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功率增益偏差</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≤0.3</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1668" w:type="dxa"/>
            <w:gridSpan w:val="4"/>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波束宽度</w:t>
            </w:r>
            <w:r>
              <w:rPr>
                <w:rFonts w:ascii="Times New Roman"/>
                <w:sz w:val="24"/>
                <w:szCs w:val="24"/>
              </w:rPr>
              <w:t>(°)</w:t>
            </w:r>
          </w:p>
        </w:tc>
        <w:tc>
          <w:tcPr>
            <w:tcW w:w="750"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2648" w:type="dxa"/>
            <w:gridSpan w:val="2"/>
            <w:vAlign w:val="center"/>
          </w:tcPr>
          <w:p>
            <w:pPr>
              <w:pStyle w:val="a2"/>
              <w:ind w:firstLine="0" w:firstLineChars="0"/>
              <w:rPr>
                <w:rFonts w:ascii="Times New Roman"/>
                <w:sz w:val="24"/>
                <w:szCs w:val="24"/>
              </w:rPr>
            </w:pPr>
            <w:r>
              <w:rPr>
                <w:rFonts w:ascii="Times New Roman"/>
                <w:sz w:val="24"/>
                <w:szCs w:val="24"/>
              </w:rPr>
              <w:t>H</w:t>
            </w:r>
            <w:r>
              <w:rPr>
                <w:rFonts w:ascii="宋体" w:eastAsia="宋体" w:hAnsi="宋体" w:cs="宋体" w:hint="eastAsia"/>
                <w:sz w:val="24"/>
                <w:szCs w:val="24"/>
              </w:rPr>
              <w:t>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1668" w:type="dxa"/>
            <w:gridSpan w:val="4"/>
            <w:vMerge/>
            <w:vAlign w:val="center"/>
          </w:tcPr>
          <w:p>
            <w:pPr>
              <w:pStyle w:val="a2"/>
              <w:ind w:firstLine="0" w:firstLineChars="0"/>
              <w:rPr>
                <w:rFonts w:ascii="Times New Roman"/>
                <w:sz w:val="24"/>
                <w:szCs w:val="24"/>
              </w:rPr>
            </w:pPr>
          </w:p>
        </w:tc>
        <w:tc>
          <w:tcPr>
            <w:tcW w:w="750" w:type="dxa"/>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Times New Roman"/>
                <w:sz w:val="24"/>
                <w:szCs w:val="24"/>
              </w:rPr>
              <w:t>E</w:t>
            </w:r>
            <w:r>
              <w:rPr>
                <w:rFonts w:ascii="宋体" w:eastAsia="宋体" w:hAnsi="宋体" w:cs="宋体" w:hint="eastAsia"/>
                <w:sz w:val="24"/>
                <w:szCs w:val="24"/>
              </w:rPr>
              <w:t>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1668" w:type="dxa"/>
            <w:gridSpan w:val="4"/>
            <w:vMerge/>
            <w:vAlign w:val="center"/>
          </w:tcPr>
          <w:p>
            <w:pPr>
              <w:pStyle w:val="a2"/>
              <w:ind w:firstLine="0" w:firstLineChars="0"/>
              <w:rPr>
                <w:rFonts w:ascii="Times New Roman"/>
                <w:sz w:val="24"/>
                <w:szCs w:val="24"/>
              </w:rPr>
            </w:pPr>
          </w:p>
        </w:tc>
        <w:tc>
          <w:tcPr>
            <w:tcW w:w="750"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2648" w:type="dxa"/>
            <w:gridSpan w:val="2"/>
            <w:vAlign w:val="center"/>
          </w:tcPr>
          <w:p>
            <w:pPr>
              <w:pStyle w:val="a2"/>
              <w:ind w:firstLine="0" w:firstLineChars="0"/>
              <w:rPr>
                <w:rFonts w:ascii="Times New Roman"/>
                <w:sz w:val="24"/>
                <w:szCs w:val="24"/>
              </w:rPr>
            </w:pPr>
            <w:r>
              <w:rPr>
                <w:rFonts w:ascii="Times New Roman"/>
                <w:sz w:val="24"/>
                <w:szCs w:val="24"/>
              </w:rPr>
              <w:t>H</w:t>
            </w:r>
            <w:r>
              <w:rPr>
                <w:rFonts w:ascii="宋体" w:eastAsia="宋体" w:hAnsi="宋体" w:cs="宋体" w:hint="eastAsia"/>
                <w:sz w:val="24"/>
                <w:szCs w:val="24"/>
              </w:rPr>
              <w:t>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1668" w:type="dxa"/>
            <w:gridSpan w:val="4"/>
            <w:vMerge/>
            <w:vAlign w:val="center"/>
          </w:tcPr>
          <w:p>
            <w:pPr>
              <w:pStyle w:val="a2"/>
              <w:ind w:firstLine="0" w:firstLineChars="0"/>
              <w:rPr>
                <w:rFonts w:ascii="Times New Roman"/>
                <w:sz w:val="24"/>
                <w:szCs w:val="24"/>
              </w:rPr>
            </w:pPr>
          </w:p>
        </w:tc>
        <w:tc>
          <w:tcPr>
            <w:tcW w:w="750" w:type="dxa"/>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Times New Roman"/>
                <w:sz w:val="24"/>
                <w:szCs w:val="24"/>
              </w:rPr>
              <w:t>E</w:t>
            </w:r>
            <w:r>
              <w:rPr>
                <w:rFonts w:ascii="宋体" w:eastAsia="宋体" w:hAnsi="宋体" w:cs="宋体" w:hint="eastAsia"/>
                <w:sz w:val="24"/>
                <w:szCs w:val="24"/>
              </w:rPr>
              <w:t>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宋体" w:eastAsia="宋体" w:hAnsi="宋体" w:cs="宋体" w:hint="eastAsia"/>
                <w:sz w:val="24"/>
                <w:szCs w:val="24"/>
              </w:rPr>
              <w:t>双极化波束宽度差异</w:t>
            </w:r>
            <w:r>
              <w:rPr>
                <w:rFonts w:ascii="Times New Roman"/>
                <w:sz w:val="24"/>
                <w:szCs w:val="24"/>
              </w:rPr>
              <w:t>(°)</w:t>
            </w:r>
          </w:p>
        </w:tc>
        <w:tc>
          <w:tcPr>
            <w:tcW w:w="2648" w:type="dxa"/>
            <w:gridSpan w:val="2"/>
            <w:vAlign w:val="center"/>
          </w:tcPr>
          <w:p>
            <w:pPr>
              <w:pStyle w:val="a2"/>
              <w:ind w:firstLine="0" w:firstLineChars="0"/>
              <w:rPr>
                <w:rFonts w:ascii="Times New Roman"/>
                <w:sz w:val="24"/>
                <w:szCs w:val="24"/>
              </w:rPr>
            </w:pPr>
            <w:r>
              <w:rPr>
                <w:rFonts w:ascii="Times New Roman"/>
                <w:sz w:val="24"/>
                <w:szCs w:val="24"/>
              </w:rPr>
              <w:t>H</w:t>
            </w:r>
            <w:r>
              <w:rPr>
                <w:rFonts w:ascii="宋体" w:eastAsia="宋体" w:hAnsi="宋体" w:cs="宋体" w:hint="eastAsia"/>
                <w:sz w:val="24"/>
                <w:szCs w:val="24"/>
              </w:rPr>
              <w:t>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≤0.1</w:t>
            </w:r>
            <w:r>
              <w:rPr>
                <w:rFonts w:ascii="宋体" w:eastAsia="宋体" w:hAnsi="宋体" w:cs="宋体" w:hint="eastAsia"/>
                <w:sz w:val="24"/>
                <w:szCs w:val="24"/>
              </w:rPr>
              <w:t>（</w:t>
            </w:r>
            <w:r>
              <w:rPr>
                <w:rFonts w:ascii="Times New Roman"/>
                <w:sz w:val="24"/>
                <w:szCs w:val="24"/>
              </w:rPr>
              <w:t>3dB</w:t>
            </w:r>
            <w:r>
              <w:rPr>
                <w:rFonts w:ascii="宋体" w:eastAsia="宋体" w:hAnsi="宋体" w:cs="宋体" w:hint="eastAsia"/>
                <w:sz w:val="24"/>
                <w:szCs w:val="24"/>
              </w:rPr>
              <w:t>处）</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Times New Roman"/>
                <w:sz w:val="24"/>
                <w:szCs w:val="24"/>
              </w:rPr>
              <w:t>E</w:t>
            </w:r>
            <w:r>
              <w:rPr>
                <w:rFonts w:ascii="宋体" w:eastAsia="宋体" w:hAnsi="宋体" w:cs="宋体" w:hint="eastAsia"/>
                <w:sz w:val="24"/>
                <w:szCs w:val="24"/>
              </w:rPr>
              <w:t>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第一旁瓣电平</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≤-27.0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bCs/>
                <w:color w:val="auto"/>
              </w:rPr>
            </w:pPr>
            <w:r>
              <w:rPr>
                <w:rFonts w:ascii="宋体" w:eastAsia="宋体" w:hAnsi="宋体" w:cs="宋体" w:hint="eastAsia"/>
                <w:sz w:val="24"/>
                <w:szCs w:val="24"/>
              </w:rPr>
              <w:t>旁瓣电平</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 xml:space="preserve">≤-38.0  </w:t>
            </w:r>
            <w:r>
              <w:rPr>
                <w:rFonts w:ascii="宋体" w:eastAsia="宋体" w:hAnsi="宋体" w:cs="宋体" w:hint="eastAsia"/>
                <w:sz w:val="24"/>
                <w:szCs w:val="24"/>
              </w:rPr>
              <w:t>（</w:t>
            </w:r>
            <w:r>
              <w:rPr>
                <w:rFonts w:ascii="Times New Roman"/>
                <w:sz w:val="24"/>
                <w:szCs w:val="24"/>
              </w:rPr>
              <w:t xml:space="preserve"> ±10°</w:t>
            </w:r>
            <w:r>
              <w:rPr>
                <w:rFonts w:ascii="宋体" w:eastAsia="宋体" w:hAnsi="宋体" w:cs="宋体" w:hint="eastAsia"/>
                <w:sz w:val="24"/>
                <w:szCs w:val="24"/>
              </w:rPr>
              <w:t>处）</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远端旁瓣电平</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 xml:space="preserve">≤-40.0 </w:t>
            </w:r>
            <w:r>
              <w:rPr>
                <w:rFonts w:ascii="宋体" w:eastAsia="宋体" w:hAnsi="宋体" w:cs="宋体" w:hint="eastAsia"/>
                <w:sz w:val="24"/>
                <w:szCs w:val="24"/>
              </w:rPr>
              <w:t>（</w:t>
            </w:r>
            <w:r>
              <w:rPr>
                <w:rFonts w:ascii="Times New Roman"/>
                <w:sz w:val="24"/>
                <w:szCs w:val="24"/>
              </w:rPr>
              <w:t>±10°</w:t>
            </w:r>
            <w:r>
              <w:rPr>
                <w:rFonts w:ascii="宋体" w:eastAsia="宋体" w:hAnsi="宋体" w:cs="宋体" w:hint="eastAsia"/>
                <w:sz w:val="24"/>
                <w:szCs w:val="24"/>
              </w:rPr>
              <w:t>以外）</w:t>
            </w: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交</w:t>
            </w:r>
            <w:r>
              <w:rPr>
                <w:rFonts w:ascii="宋体" w:eastAsia="宋体" w:hAnsi="宋体" w:cs="宋体" w:hint="eastAsia"/>
                <w:sz w:val="24"/>
                <w:szCs w:val="24"/>
              </w:rPr>
              <w:t>叉极化隔离度</w:t>
            </w:r>
            <w:r>
              <w:rPr>
                <w:rFonts w:ascii="Times New Roman"/>
                <w:sz w:val="24"/>
                <w:szCs w:val="24"/>
              </w:rPr>
              <w:t>(dB)</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≥35.0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双极化正</w:t>
            </w:r>
            <w:r>
              <w:rPr>
                <w:rFonts w:ascii="___WRD_EMBED_SUB_40" w:eastAsia="___WRD_EMBED_SUB_40" w:hAnsi="___WRD_EMBED_SUB_40" w:cs="___WRD_EMBED_SUB_40" w:hint="eastAsia"/>
                <w:sz w:val="24"/>
                <w:szCs w:val="24"/>
              </w:rPr>
              <w:t>交</w:t>
            </w:r>
            <w:r>
              <w:rPr>
                <w:rFonts w:ascii="宋体" w:eastAsia="宋体" w:hAnsi="宋体" w:cs="宋体" w:hint="eastAsia"/>
                <w:sz w:val="24"/>
                <w:szCs w:val="24"/>
              </w:rPr>
              <w:t>度</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90±0.03</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8"/>
            <w:vAlign w:val="center"/>
          </w:tcPr>
          <w:p>
            <w:pPr>
              <w:pStyle w:val="a2"/>
              <w:ind w:firstLine="0" w:firstLineChars="0"/>
              <w:rPr>
                <w:rFonts w:ascii="Times New Roman"/>
                <w:b/>
                <w:sz w:val="24"/>
                <w:szCs w:val="24"/>
              </w:rPr>
            </w:pPr>
            <w:r>
              <w:rPr>
                <w:rFonts w:ascii="宋体" w:eastAsia="宋体" w:hAnsi="宋体" w:cs="宋体" w:hint="eastAsia"/>
                <w:b/>
                <w:sz w:val="24"/>
                <w:szCs w:val="24"/>
              </w:rPr>
              <w:t>馈线系统</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收发支路损耗</w:t>
            </w:r>
            <w:r>
              <w:rPr>
                <w:rFonts w:ascii="Times New Roman"/>
                <w:sz w:val="24"/>
                <w:szCs w:val="24"/>
              </w:rPr>
              <w:t>(dB)</w:t>
            </w:r>
          </w:p>
        </w:tc>
        <w:tc>
          <w:tcPr>
            <w:tcW w:w="709" w:type="dxa"/>
            <w:gridSpan w:val="2"/>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单发双收</w:t>
            </w:r>
          </w:p>
        </w:tc>
        <w:tc>
          <w:tcPr>
            <w:tcW w:w="750"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2648" w:type="dxa"/>
            <w:gridSpan w:val="2"/>
            <w:vAlign w:val="center"/>
          </w:tcPr>
          <w:p>
            <w:pPr>
              <w:pStyle w:val="a2"/>
              <w:ind w:firstLine="0" w:firstLineChars="0"/>
              <w:jc w:val="both"/>
              <w:rPr>
                <w:rFonts w:ascii="Times New Roman"/>
                <w:sz w:val="24"/>
                <w:szCs w:val="24"/>
              </w:rPr>
            </w:pPr>
            <w:r>
              <w:rPr>
                <w:rFonts w:ascii="宋体" w:eastAsia="宋体" w:hAnsi="宋体" w:cs="宋体" w:hint="eastAsia"/>
                <w:sz w:val="24"/>
                <w:szCs w:val="24"/>
              </w:rPr>
              <w:t>发射支路</w:t>
            </w:r>
          </w:p>
        </w:tc>
        <w:tc>
          <w:tcPr>
            <w:tcW w:w="3936" w:type="dxa"/>
            <w:vAlign w:val="center"/>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709" w:type="dxa"/>
            <w:gridSpan w:val="2"/>
            <w:vMerge/>
            <w:vAlign w:val="center"/>
          </w:tcPr>
          <w:p>
            <w:pPr>
              <w:pStyle w:val="a2"/>
              <w:ind w:firstLine="0" w:firstLineChars="0"/>
              <w:rPr>
                <w:rFonts w:ascii="Times New Roman"/>
                <w:sz w:val="24"/>
                <w:szCs w:val="24"/>
              </w:rPr>
            </w:pPr>
          </w:p>
        </w:tc>
        <w:tc>
          <w:tcPr>
            <w:tcW w:w="750" w:type="dxa"/>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jc w:val="both"/>
              <w:rPr>
                <w:rFonts w:ascii="Times New Roman"/>
                <w:sz w:val="24"/>
                <w:szCs w:val="24"/>
              </w:rPr>
            </w:pPr>
            <w:r>
              <w:rPr>
                <w:rFonts w:ascii="宋体" w:eastAsia="宋体" w:hAnsi="宋体" w:cs="宋体" w:hint="eastAsia"/>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ign w:val="center"/>
          </w:tcPr>
          <w:p>
            <w:pPr>
              <w:pStyle w:val="a2"/>
              <w:ind w:firstLine="0" w:firstLineChars="0"/>
              <w:rPr>
                <w:rFonts w:ascii="Times New Roman"/>
                <w:sz w:val="24"/>
                <w:szCs w:val="24"/>
              </w:rPr>
            </w:pPr>
          </w:p>
        </w:tc>
        <w:tc>
          <w:tcPr>
            <w:tcW w:w="709" w:type="dxa"/>
            <w:gridSpan w:val="2"/>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双发双收</w:t>
            </w:r>
          </w:p>
        </w:tc>
        <w:tc>
          <w:tcPr>
            <w:tcW w:w="750"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2648" w:type="dxa"/>
            <w:gridSpan w:val="2"/>
            <w:vAlign w:val="center"/>
          </w:tcPr>
          <w:p>
            <w:pPr>
              <w:pStyle w:val="a2"/>
              <w:ind w:firstLine="0" w:firstLineChars="0"/>
              <w:jc w:val="both"/>
              <w:rPr>
                <w:rFonts w:ascii="Times New Roman"/>
                <w:sz w:val="24"/>
                <w:szCs w:val="24"/>
              </w:rPr>
            </w:pPr>
            <w:r>
              <w:rPr>
                <w:rFonts w:ascii="宋体" w:eastAsia="宋体" w:hAnsi="宋体" w:cs="宋体" w:hint="eastAsia"/>
                <w:sz w:val="24"/>
                <w:szCs w:val="24"/>
              </w:rPr>
              <w:t>发射支路</w:t>
            </w:r>
          </w:p>
        </w:tc>
        <w:tc>
          <w:tcPr>
            <w:tcW w:w="3936" w:type="dxa"/>
          </w:tcPr>
          <w:p>
            <w:pPr>
              <w:pStyle w:val="a2"/>
              <w:ind w:firstLine="0" w:firstLineChars="0"/>
              <w:rPr>
                <w:rFonts w:ascii="Times New Roman"/>
                <w:sz w:val="24"/>
                <w:szCs w:val="24"/>
              </w:rPr>
            </w:pPr>
            <w:r>
              <w:rPr>
                <w:rFonts w:ascii="Times New Roman" w:eastAsia="宋体"/>
                <w:sz w:val="24"/>
                <w:szCs w:val="24"/>
              </w:rPr>
              <w:t>≤7.0</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ign w:val="center"/>
          </w:tcPr>
          <w:p>
            <w:pPr>
              <w:pStyle w:val="a2"/>
              <w:ind w:firstLine="0" w:firstLineChars="0"/>
              <w:rPr>
                <w:rFonts w:ascii="Times New Roman"/>
                <w:sz w:val="24"/>
                <w:szCs w:val="24"/>
              </w:rPr>
            </w:pPr>
          </w:p>
        </w:tc>
        <w:tc>
          <w:tcPr>
            <w:tcW w:w="709" w:type="dxa"/>
            <w:gridSpan w:val="2"/>
            <w:vMerge/>
            <w:vAlign w:val="center"/>
          </w:tcPr>
          <w:p>
            <w:pPr>
              <w:pStyle w:val="a2"/>
              <w:ind w:firstLine="0" w:firstLineChars="0"/>
              <w:rPr>
                <w:rFonts w:ascii="Times New Roman"/>
                <w:sz w:val="24"/>
                <w:szCs w:val="24"/>
              </w:rPr>
            </w:pPr>
          </w:p>
        </w:tc>
        <w:tc>
          <w:tcPr>
            <w:tcW w:w="750" w:type="dxa"/>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jc w:val="both"/>
              <w:rPr>
                <w:rFonts w:ascii="Times New Roman"/>
                <w:sz w:val="24"/>
                <w:szCs w:val="24"/>
              </w:rPr>
            </w:pPr>
            <w:r>
              <w:rPr>
                <w:rFonts w:ascii="宋体" w:eastAsia="宋体" w:hAnsi="宋体" w:cs="宋体" w:hint="eastAsia"/>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709" w:type="dxa"/>
            <w:gridSpan w:val="2"/>
            <w:vMerge/>
            <w:vAlign w:val="center"/>
          </w:tcPr>
          <w:p>
            <w:pPr>
              <w:pStyle w:val="a2"/>
              <w:ind w:firstLine="0" w:firstLineChars="0"/>
              <w:rPr>
                <w:rFonts w:ascii="Times New Roman"/>
                <w:sz w:val="24"/>
                <w:szCs w:val="24"/>
              </w:rPr>
            </w:pPr>
          </w:p>
        </w:tc>
        <w:tc>
          <w:tcPr>
            <w:tcW w:w="750"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2648" w:type="dxa"/>
            <w:gridSpan w:val="2"/>
            <w:vAlign w:val="center"/>
          </w:tcPr>
          <w:p>
            <w:pPr>
              <w:pStyle w:val="a2"/>
              <w:ind w:firstLine="0" w:firstLineChars="0"/>
              <w:jc w:val="both"/>
              <w:rPr>
                <w:rFonts w:ascii="Times New Roman"/>
                <w:sz w:val="24"/>
                <w:szCs w:val="24"/>
              </w:rPr>
            </w:pPr>
            <w:r>
              <w:rPr>
                <w:rFonts w:ascii="宋体" w:eastAsia="宋体" w:hAnsi="宋体" w:cs="宋体" w:hint="eastAsia"/>
                <w:sz w:val="24"/>
                <w:szCs w:val="24"/>
              </w:rPr>
              <w:t>发射支路</w:t>
            </w:r>
          </w:p>
        </w:tc>
        <w:tc>
          <w:tcPr>
            <w:tcW w:w="3936" w:type="dxa"/>
          </w:tcPr>
          <w:p>
            <w:pPr>
              <w:pStyle w:val="a2"/>
              <w:ind w:firstLine="0" w:firstLineChars="0"/>
              <w:rPr>
                <w:rFonts w:ascii="Times New Roman"/>
                <w:sz w:val="24"/>
                <w:szCs w:val="24"/>
              </w:rPr>
            </w:pPr>
            <w:r>
              <w:rPr>
                <w:rFonts w:ascii="Times New Roman" w:eastAsia="宋体"/>
                <w:sz w:val="24"/>
                <w:szCs w:val="24"/>
              </w:rPr>
              <w:t>≤7.0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709" w:type="dxa"/>
            <w:gridSpan w:val="2"/>
            <w:vMerge/>
            <w:vAlign w:val="center"/>
          </w:tcPr>
          <w:p>
            <w:pPr>
              <w:pStyle w:val="a2"/>
              <w:ind w:firstLine="0" w:firstLineChars="0"/>
              <w:rPr>
                <w:rFonts w:ascii="Times New Roman"/>
                <w:sz w:val="24"/>
                <w:szCs w:val="24"/>
              </w:rPr>
            </w:pPr>
          </w:p>
        </w:tc>
        <w:tc>
          <w:tcPr>
            <w:tcW w:w="750" w:type="dxa"/>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jc w:val="both"/>
              <w:rPr>
                <w:rFonts w:ascii="Times New Roman"/>
                <w:sz w:val="24"/>
                <w:szCs w:val="24"/>
              </w:rPr>
            </w:pPr>
            <w:r>
              <w:rPr>
                <w:rFonts w:ascii="宋体" w:eastAsia="宋体" w:hAnsi="宋体" w:cs="宋体" w:hint="eastAsia"/>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水平垂直收发支路损耗差异</w:t>
            </w:r>
            <w:r>
              <w:rPr>
                <w:rFonts w:ascii="Times New Roman"/>
                <w:sz w:val="24"/>
                <w:szCs w:val="24"/>
              </w:rPr>
              <w:t>(dB)</w:t>
            </w:r>
          </w:p>
        </w:tc>
        <w:tc>
          <w:tcPr>
            <w:tcW w:w="2648" w:type="dxa"/>
            <w:gridSpan w:val="2"/>
            <w:vAlign w:val="center"/>
          </w:tcPr>
          <w:p>
            <w:pPr>
              <w:pStyle w:val="a2"/>
              <w:ind w:firstLine="0" w:firstLineChars="0"/>
              <w:jc w:val="both"/>
              <w:rPr>
                <w:rFonts w:ascii="Times New Roman"/>
                <w:sz w:val="24"/>
                <w:szCs w:val="24"/>
              </w:rPr>
            </w:pPr>
            <w:r>
              <w:rPr>
                <w:rFonts w:ascii="宋体" w:eastAsia="宋体" w:hAnsi="宋体" w:cs="宋体" w:hint="eastAsia"/>
                <w:sz w:val="24"/>
                <w:szCs w:val="24"/>
              </w:rPr>
              <w:t>发射支路</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≤0.3</w:t>
            </w:r>
            <w:r>
              <w:rPr>
                <w:rFonts w:ascii="宋体" w:eastAsia="宋体" w:hAnsi="宋体" w:cs="宋体" w:hint="eastAsia"/>
                <w:sz w:val="24"/>
                <w:szCs w:val="24"/>
              </w:rPr>
              <w:t>（双发双收）</w:t>
            </w:r>
          </w:p>
        </w:tc>
      </w:tr>
      <w:tr>
        <w:tblPrEx>
          <w:tblW w:w="9002" w:type="dxa"/>
          <w:jc w:val="center"/>
          <w:tblLayout w:type="fixed"/>
          <w:tblCellMar>
            <w:top w:w="0" w:type="dxa"/>
            <w:left w:w="108" w:type="dxa"/>
            <w:bottom w:w="0" w:type="dxa"/>
            <w:right w:w="108" w:type="dxa"/>
          </w:tblCellMar>
          <w:tblLook w:val="0000"/>
        </w:tblPrEx>
        <w:trPr>
          <w:cantSplit/>
          <w:trHeight w:val="347"/>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jc w:val="both"/>
              <w:rPr>
                <w:rFonts w:ascii="Times New Roman"/>
                <w:sz w:val="24"/>
                <w:szCs w:val="24"/>
              </w:rPr>
            </w:pPr>
            <w:r>
              <w:rPr>
                <w:rFonts w:ascii="宋体" w:eastAsia="宋体" w:hAnsi="宋体" w:cs="宋体" w:hint="eastAsia"/>
                <w:sz w:val="24"/>
                <w:szCs w:val="24"/>
              </w:rPr>
              <w:t>接收支路</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驻波比</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≤1.5:1</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9002" w:type="dxa"/>
            <w:gridSpan w:val="8"/>
            <w:vAlign w:val="center"/>
          </w:tcPr>
          <w:p>
            <w:pPr>
              <w:pStyle w:val="a2"/>
              <w:ind w:firstLine="0" w:firstLineChars="0"/>
              <w:rPr>
                <w:rFonts w:ascii="Times New Roman"/>
                <w:b/>
                <w:sz w:val="24"/>
                <w:szCs w:val="24"/>
              </w:rPr>
            </w:pPr>
            <w:r>
              <w:rPr>
                <w:rFonts w:ascii="宋体" w:eastAsia="宋体" w:hAnsi="宋体" w:cs="宋体" w:hint="eastAsia"/>
                <w:b/>
                <w:sz w:val="24"/>
                <w:szCs w:val="24"/>
              </w:rPr>
              <w:t>伺服系统</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控制精度</w:t>
            </w:r>
            <w:r>
              <w:rPr>
                <w:rFonts w:ascii="Times New Roman"/>
                <w:sz w:val="24"/>
                <w:szCs w:val="24"/>
              </w:rPr>
              <w:t>(°)</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方位角最大误差</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±0.1之</w:t>
            </w:r>
            <w:r>
              <w:rPr>
                <w:rFonts w:ascii="宋体" w:eastAsia="宋体" w:hAnsi="宋体" w:cs="宋体" w:hint="eastAsia"/>
                <w:sz w:val="24"/>
                <w:szCs w:val="24"/>
              </w:rPr>
              <w:t>间</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俯仰角最大误差</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天线波束指向误差</w:t>
            </w:r>
            <w:r>
              <w:rPr>
                <w:rFonts w:ascii="Times New Roman"/>
                <w:sz w:val="24"/>
                <w:szCs w:val="24"/>
              </w:rPr>
              <w:t>(°)</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方位角最大误差</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±0.1之</w:t>
            </w:r>
            <w:r>
              <w:rPr>
                <w:rFonts w:ascii="宋体" w:eastAsia="宋体" w:hAnsi="宋体" w:cs="宋体" w:hint="eastAsia"/>
                <w:sz w:val="24"/>
                <w:szCs w:val="24"/>
              </w:rPr>
              <w:t>间</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俯仰角最大误差</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天线最大扫描速度</w:t>
            </w:r>
            <w:r>
              <w:rPr>
                <w:rFonts w:ascii="Times New Roman"/>
                <w:sz w:val="24"/>
                <w:szCs w:val="24"/>
              </w:rPr>
              <w:t>(°/s)</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方位</w:t>
            </w:r>
          </w:p>
        </w:tc>
        <w:tc>
          <w:tcPr>
            <w:tcW w:w="3936" w:type="dxa"/>
            <w:vAlign w:val="center"/>
          </w:tcPr>
          <w:p>
            <w:pPr>
              <w:pStyle w:val="a2"/>
              <w:ind w:firstLine="0" w:firstLineChars="0"/>
              <w:rPr>
                <w:rFonts w:ascii="Times New Roman"/>
                <w:sz w:val="24"/>
                <w:szCs w:val="24"/>
              </w:rPr>
            </w:pPr>
            <w:r>
              <w:rPr>
                <w:rFonts w:ascii="Times New Roman"/>
                <w:sz w:val="24"/>
                <w:szCs w:val="24"/>
              </w:rPr>
              <w:t>≥36</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俯仰</w:t>
            </w:r>
          </w:p>
        </w:tc>
        <w:tc>
          <w:tcPr>
            <w:tcW w:w="3936" w:type="dxa"/>
            <w:vAlign w:val="center"/>
          </w:tcPr>
          <w:p>
            <w:pPr>
              <w:pStyle w:val="a2"/>
              <w:ind w:firstLine="0" w:firstLineChars="0"/>
              <w:rPr>
                <w:rFonts w:ascii="Times New Roman"/>
                <w:sz w:val="24"/>
                <w:szCs w:val="24"/>
              </w:rPr>
            </w:pPr>
            <w:r>
              <w:rPr>
                <w:rFonts w:ascii="Times New Roman"/>
                <w:sz w:val="24"/>
                <w:szCs w:val="24"/>
              </w:rPr>
              <w:t>≥12</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天线最大扫描速度误差</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方位</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≤5%</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俯仰</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restart"/>
            <w:vAlign w:val="center"/>
          </w:tcPr>
          <w:p>
            <w:pPr>
              <w:pStyle w:val="a2"/>
              <w:ind w:firstLine="0" w:firstLineChars="0"/>
              <w:jc w:val="both"/>
              <w:rPr>
                <w:rFonts w:ascii="Times New Roman" w:eastAsia="宋体"/>
                <w:sz w:val="24"/>
                <w:szCs w:val="24"/>
              </w:rPr>
            </w:pPr>
            <w:r>
              <w:rPr>
                <w:rFonts w:ascii="Times New Roman" w:eastAsia="宋体"/>
                <w:sz w:val="24"/>
                <w:szCs w:val="24"/>
              </w:rPr>
              <w:t>天线加速度（°/s</w:t>
            </w:r>
            <w:r>
              <w:rPr>
                <w:rFonts w:ascii="Times New Roman" w:eastAsia="宋体"/>
                <w:sz w:val="24"/>
                <w:szCs w:val="24"/>
                <w:vertAlign w:val="superscript"/>
              </w:rPr>
              <w:t>2</w:t>
            </w:r>
            <w:r>
              <w:rPr>
                <w:rFonts w:ascii="Times New Roman" w:eastAsia="宋体"/>
                <w:sz w:val="24"/>
                <w:szCs w:val="24"/>
              </w:rPr>
              <w:t>）</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方位</w:t>
            </w:r>
          </w:p>
        </w:tc>
        <w:tc>
          <w:tcPr>
            <w:tcW w:w="3936" w:type="dxa"/>
            <w:vMerge w:val="restart"/>
            <w:vAlign w:val="center"/>
          </w:tcPr>
          <w:p>
            <w:pPr>
              <w:pStyle w:val="-"/>
              <w:ind w:firstLine="0" w:firstLineChars="0"/>
              <w:jc w:val="center"/>
              <w:rPr>
                <w:rFonts w:ascii="Times New Roman" w:eastAsia="宋体"/>
                <w:sz w:val="24"/>
                <w:szCs w:val="24"/>
              </w:rPr>
            </w:pPr>
            <w:r>
              <w:rPr>
                <w:rFonts w:ascii="Times New Roman" w:eastAsia="宋体"/>
                <w:sz w:val="24"/>
                <w:szCs w:val="24"/>
              </w:rPr>
              <w:t>≥15</w:t>
            </w: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ign w:val="center"/>
          </w:tcPr>
          <w:p>
            <w:pPr>
              <w:pStyle w:val="a2"/>
              <w:ind w:firstLine="0" w:firstLineChars="0"/>
              <w:rPr>
                <w:rFonts w:ascii="Times New Roman" w:eastAsia="宋体"/>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俯仰</w:t>
            </w:r>
          </w:p>
        </w:tc>
        <w:tc>
          <w:tcPr>
            <w:tcW w:w="3936" w:type="dxa"/>
            <w:vMerge/>
            <w:vAlign w:val="center"/>
          </w:tcPr>
          <w:p>
            <w:pPr>
              <w:pStyle w:val="-"/>
              <w:ind w:firstLine="0" w:firstLineChars="0"/>
              <w:jc w:val="center"/>
              <w:rPr>
                <w:rFonts w:ascii="Times New Roman" w:eastAsia="宋体"/>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天线座水平度</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≤30.0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方位角转动范围</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0.0</w:t>
            </w:r>
            <w:r>
              <w:rPr>
                <w:rFonts w:ascii="宋体" w:eastAsia="宋体" w:hAnsi="宋体" w:cs="宋体" w:hint="eastAsia"/>
                <w:sz w:val="24"/>
                <w:szCs w:val="24"/>
              </w:rPr>
              <w:t>～</w:t>
            </w:r>
            <w:r>
              <w:rPr>
                <w:rFonts w:ascii="Times New Roman"/>
                <w:sz w:val="24"/>
                <w:szCs w:val="24"/>
              </w:rPr>
              <w:t>360.0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俯仰角转动范围</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-2.0</w:t>
            </w:r>
            <w:r>
              <w:rPr>
                <w:rFonts w:ascii="宋体" w:eastAsia="宋体" w:hAnsi="宋体" w:cs="宋体" w:hint="eastAsia"/>
                <w:sz w:val="24"/>
                <w:szCs w:val="24"/>
              </w:rPr>
              <w:t>～＋</w:t>
            </w:r>
            <w:r>
              <w:rPr>
                <w:rFonts w:ascii="Times New Roman"/>
                <w:sz w:val="24"/>
                <w:szCs w:val="24"/>
              </w:rPr>
              <w:t>90.0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Times New Roman"/>
                <w:sz w:val="24"/>
                <w:szCs w:val="24"/>
              </w:rPr>
              <w:t>PPI</w:t>
            </w:r>
            <w:r>
              <w:rPr>
                <w:rFonts w:ascii="宋体" w:eastAsia="宋体" w:hAnsi="宋体" w:cs="宋体" w:hint="eastAsia"/>
                <w:sz w:val="24"/>
                <w:szCs w:val="24"/>
              </w:rPr>
              <w:t>扫描范围</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0.0</w:t>
            </w:r>
            <w:r>
              <w:rPr>
                <w:rFonts w:ascii="宋体" w:eastAsia="宋体" w:hAnsi="宋体" w:cs="宋体" w:hint="eastAsia"/>
                <w:sz w:val="24"/>
                <w:szCs w:val="24"/>
              </w:rPr>
              <w:t>～</w:t>
            </w:r>
            <w:r>
              <w:rPr>
                <w:rFonts w:ascii="Times New Roman"/>
                <w:sz w:val="24"/>
                <w:szCs w:val="24"/>
              </w:rPr>
              <w:t>360.0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Times New Roman"/>
                <w:sz w:val="24"/>
                <w:szCs w:val="24"/>
              </w:rPr>
              <w:t>RHI</w:t>
            </w:r>
            <w:r>
              <w:rPr>
                <w:rFonts w:ascii="宋体" w:eastAsia="宋体" w:hAnsi="宋体" w:cs="宋体" w:hint="eastAsia"/>
                <w:sz w:val="24"/>
                <w:szCs w:val="24"/>
              </w:rPr>
              <w:t>扫描范围</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0.0</w:t>
            </w:r>
            <w:r>
              <w:rPr>
                <w:rFonts w:ascii="宋体" w:eastAsia="宋体" w:hAnsi="宋体" w:cs="宋体" w:hint="eastAsia"/>
                <w:sz w:val="24"/>
                <w:szCs w:val="24"/>
              </w:rPr>
              <w:t>～</w:t>
            </w:r>
            <w:r>
              <w:rPr>
                <w:rFonts w:ascii="Times New Roman"/>
                <w:sz w:val="24"/>
                <w:szCs w:val="24"/>
              </w:rPr>
              <w:t>30.0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Align w:val="center"/>
          </w:tcPr>
          <w:p>
            <w:pPr>
              <w:pStyle w:val="a2"/>
              <w:ind w:firstLine="0" w:firstLineChars="0"/>
              <w:jc w:val="both"/>
              <w:rPr>
                <w:rFonts w:ascii="Times New Roman"/>
                <w:sz w:val="24"/>
                <w:szCs w:val="24"/>
              </w:rPr>
            </w:pPr>
            <w:r>
              <w:rPr>
                <w:rFonts w:ascii="宋体" w:eastAsia="宋体" w:hAnsi="宋体" w:cs="宋体" w:hint="eastAsia"/>
                <w:sz w:val="24"/>
                <w:szCs w:val="24"/>
              </w:rPr>
              <w:t>控制字长</w:t>
            </w:r>
            <w:r>
              <w:rPr>
                <w:rFonts w:ascii="Times New Roman"/>
                <w:sz w:val="24"/>
                <w:szCs w:val="24"/>
              </w:rPr>
              <w:t>(bit)</w:t>
            </w:r>
          </w:p>
        </w:tc>
        <w:tc>
          <w:tcPr>
            <w:tcW w:w="2648" w:type="dxa"/>
            <w:gridSpan w:val="2"/>
            <w:vAlign w:val="center"/>
          </w:tcPr>
          <w:p>
            <w:pPr>
              <w:pStyle w:val="a2"/>
              <w:ind w:firstLine="0" w:firstLineChars="0"/>
              <w:rPr>
                <w:rFonts w:ascii="Times New Roman"/>
                <w:sz w:val="24"/>
                <w:szCs w:val="24"/>
              </w:rPr>
            </w:pPr>
            <w:r>
              <w:rPr>
                <w:rFonts w:ascii="Times New Roman"/>
                <w:sz w:val="24"/>
                <w:szCs w:val="24"/>
              </w:rPr>
              <w:t>≥14</w:t>
            </w:r>
          </w:p>
        </w:tc>
        <w:tc>
          <w:tcPr>
            <w:tcW w:w="3936" w:type="dxa"/>
            <w:vAlign w:val="center"/>
          </w:tcPr>
          <w:p>
            <w:pPr>
              <w:pStyle w:val="a2"/>
              <w:ind w:firstLine="0" w:firstLineChars="0"/>
              <w:rPr>
                <w:rFonts w:ascii="Times New Roman"/>
                <w:sz w:val="24"/>
                <w:szCs w:val="24"/>
                <w:highlight w:val="none"/>
              </w:rPr>
            </w:pPr>
            <w:r>
              <w:rPr>
                <w:rFonts w:ascii="宋体" w:eastAsia="宋体" w:hAnsi="宋体" w:cs="宋体" w:hint="eastAsia"/>
                <w:sz w:val="24"/>
                <w:szCs w:val="24"/>
                <w:highlight w:val="none"/>
              </w:rPr>
              <w:t>检查</w:t>
            </w: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Align w:val="center"/>
          </w:tcPr>
          <w:p>
            <w:pPr>
              <w:pStyle w:val="a2"/>
              <w:ind w:firstLine="0" w:firstLineChars="0"/>
              <w:jc w:val="both"/>
              <w:rPr>
                <w:rFonts w:ascii="Times New Roman"/>
                <w:sz w:val="24"/>
                <w:szCs w:val="24"/>
              </w:rPr>
            </w:pPr>
            <w:r>
              <w:rPr>
                <w:rFonts w:ascii="宋体" w:eastAsia="宋体" w:hAnsi="宋体" w:cs="宋体" w:hint="eastAsia"/>
                <w:sz w:val="24"/>
                <w:szCs w:val="24"/>
              </w:rPr>
              <w:t>角码数据字长</w:t>
            </w:r>
            <w:r>
              <w:rPr>
                <w:rFonts w:ascii="Times New Roman"/>
                <w:sz w:val="24"/>
                <w:szCs w:val="24"/>
              </w:rPr>
              <w:t>(bit)</w:t>
            </w:r>
          </w:p>
        </w:tc>
        <w:tc>
          <w:tcPr>
            <w:tcW w:w="2648" w:type="dxa"/>
            <w:gridSpan w:val="2"/>
            <w:vAlign w:val="center"/>
          </w:tcPr>
          <w:p>
            <w:pPr>
              <w:pStyle w:val="a2"/>
              <w:ind w:firstLine="0" w:firstLineChars="0"/>
              <w:rPr>
                <w:rFonts w:ascii="Times New Roman"/>
                <w:sz w:val="24"/>
                <w:szCs w:val="24"/>
              </w:rPr>
            </w:pPr>
            <w:r>
              <w:rPr>
                <w:rFonts w:ascii="Times New Roman"/>
                <w:sz w:val="24"/>
                <w:szCs w:val="24"/>
              </w:rPr>
              <w:t>≥14</w:t>
            </w:r>
          </w:p>
        </w:tc>
        <w:tc>
          <w:tcPr>
            <w:tcW w:w="3936" w:type="dxa"/>
            <w:vAlign w:val="center"/>
          </w:tcPr>
          <w:p>
            <w:pPr>
              <w:pStyle w:val="a2"/>
              <w:ind w:firstLine="0" w:firstLineChars="0"/>
              <w:rPr>
                <w:rFonts w:ascii="Times New Roman"/>
                <w:sz w:val="24"/>
                <w:szCs w:val="24"/>
                <w:highlight w:val="none"/>
              </w:rPr>
            </w:pPr>
            <w:r>
              <w:rPr>
                <w:rFonts w:ascii="宋体" w:eastAsia="宋体" w:hAnsi="宋体" w:cs="宋体" w:hint="eastAsia"/>
                <w:sz w:val="24"/>
                <w:szCs w:val="24"/>
                <w:highlight w:val="none"/>
              </w:rPr>
              <w:t>检查</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8"/>
            <w:vAlign w:val="center"/>
          </w:tcPr>
          <w:p>
            <w:pPr>
              <w:pStyle w:val="a2"/>
              <w:ind w:firstLine="0" w:firstLineChars="0"/>
              <w:rPr>
                <w:rFonts w:ascii="Times New Roman"/>
                <w:b/>
                <w:sz w:val="24"/>
                <w:szCs w:val="24"/>
              </w:rPr>
            </w:pPr>
            <w:r>
              <w:rPr>
                <w:rFonts w:ascii="宋体" w:eastAsia="宋体" w:hAnsi="宋体" w:cs="宋体" w:hint="eastAsia"/>
                <w:b/>
                <w:sz w:val="24"/>
                <w:szCs w:val="24"/>
              </w:rPr>
              <w:t>发射系统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工作频率</w:t>
            </w:r>
            <w:r>
              <w:rPr>
                <w:rFonts w:ascii="Times New Roman"/>
                <w:sz w:val="24"/>
                <w:szCs w:val="24"/>
              </w:rPr>
              <w:t>(GHz)</w:t>
            </w:r>
          </w:p>
        </w:tc>
        <w:tc>
          <w:tcPr>
            <w:tcW w:w="3936" w:type="dxa"/>
            <w:vAlign w:val="center"/>
          </w:tcPr>
          <w:p>
            <w:pPr>
              <w:pStyle w:val="a2"/>
              <w:ind w:firstLine="0" w:firstLineChars="0"/>
              <w:rPr>
                <w:rFonts w:ascii="Times New Roman"/>
                <w:sz w:val="24"/>
                <w:szCs w:val="24"/>
              </w:rPr>
            </w:pPr>
            <w:r>
              <w:rPr>
                <w:rFonts w:ascii="Times New Roman"/>
                <w:sz w:val="24"/>
                <w:szCs w:val="24"/>
              </w:rPr>
              <w:t>5.3</w:t>
            </w:r>
            <w:r>
              <w:rPr>
                <w:rFonts w:ascii="宋体" w:eastAsia="宋体" w:hAnsi="宋体" w:cs="宋体" w:hint="eastAsia"/>
                <w:sz w:val="24"/>
                <w:szCs w:val="24"/>
              </w:rPr>
              <w:t>～</w:t>
            </w:r>
            <w:r>
              <w:rPr>
                <w:rFonts w:ascii="Times New Roman"/>
                <w:sz w:val="24"/>
                <w:szCs w:val="24"/>
              </w:rPr>
              <w:t>5.7</w:t>
            </w:r>
          </w:p>
        </w:tc>
      </w:tr>
      <w:tr>
        <w:tblPrEx>
          <w:tblW w:w="9002" w:type="dxa"/>
          <w:jc w:val="center"/>
          <w:tblLayout w:type="fixed"/>
          <w:tblCellMar>
            <w:top w:w="0" w:type="dxa"/>
            <w:left w:w="108" w:type="dxa"/>
            <w:bottom w:w="0" w:type="dxa"/>
            <w:right w:w="108" w:type="dxa"/>
          </w:tblCellMar>
          <w:tblLook w:val="0000"/>
        </w:tblPrEx>
        <w:trPr>
          <w:cantSplit/>
          <w:trHeight w:val="458"/>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脉冲重复频率</w:t>
            </w:r>
            <w:r>
              <w:rPr>
                <w:rFonts w:ascii="Times New Roman"/>
                <w:sz w:val="24"/>
                <w:szCs w:val="24"/>
              </w:rPr>
              <w:t>(Hz)</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Align w:val="center"/>
          </w:tcPr>
          <w:p>
            <w:pPr>
              <w:pStyle w:val="a2"/>
              <w:ind w:firstLine="0" w:firstLineChars="0"/>
              <w:rPr>
                <w:rFonts w:ascii="Times New Roman"/>
                <w:sz w:val="24"/>
                <w:szCs w:val="24"/>
              </w:rPr>
            </w:pPr>
            <w:r>
              <w:rPr>
                <w:rFonts w:ascii="Times New Roman"/>
                <w:sz w:val="24"/>
                <w:szCs w:val="24"/>
              </w:rPr>
              <w:t>300</w:t>
            </w:r>
            <w:r>
              <w:rPr>
                <w:rFonts w:ascii="宋体" w:eastAsia="宋体" w:hAnsi="宋体" w:cs="宋体" w:hint="eastAsia"/>
                <w:sz w:val="24"/>
                <w:szCs w:val="24"/>
              </w:rPr>
              <w:t>～</w:t>
            </w:r>
            <w:r>
              <w:rPr>
                <w:rFonts w:ascii="Times New Roman"/>
                <w:sz w:val="24"/>
                <w:szCs w:val="24"/>
              </w:rPr>
              <w:t>2000</w:t>
            </w:r>
          </w:p>
        </w:tc>
      </w:tr>
      <w:tr>
        <w:tblPrEx>
          <w:tblW w:w="9002" w:type="dxa"/>
          <w:jc w:val="center"/>
          <w:tblLayout w:type="fixed"/>
          <w:tblCellMar>
            <w:top w:w="0" w:type="dxa"/>
            <w:left w:w="108" w:type="dxa"/>
            <w:bottom w:w="0" w:type="dxa"/>
            <w:right w:w="108" w:type="dxa"/>
          </w:tblCellMar>
          <w:tblLook w:val="0000"/>
        </w:tblPrEx>
        <w:trPr>
          <w:cantSplit/>
          <w:trHeight w:val="458"/>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300</w:t>
            </w:r>
            <w:r>
              <w:rPr>
                <w:rFonts w:ascii="宋体" w:eastAsia="宋体" w:hAnsi="宋体" w:cs="宋体" w:hint="eastAsia"/>
                <w:sz w:val="24"/>
                <w:szCs w:val="24"/>
              </w:rPr>
              <w:t>～</w:t>
            </w:r>
            <w:r>
              <w:rPr>
                <w:rFonts w:ascii="Times New Roman"/>
                <w:sz w:val="24"/>
                <w:szCs w:val="24"/>
              </w:rPr>
              <w:t>1000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参差脉冲重复频率比</w:t>
            </w:r>
          </w:p>
        </w:tc>
        <w:tc>
          <w:tcPr>
            <w:tcW w:w="3936" w:type="dxa"/>
            <w:vAlign w:val="center"/>
          </w:tcPr>
          <w:p>
            <w:pPr>
              <w:pStyle w:val="a2"/>
              <w:ind w:firstLine="0" w:firstLineChars="0"/>
              <w:rPr>
                <w:rFonts w:ascii="Times New Roman"/>
                <w:sz w:val="24"/>
                <w:szCs w:val="24"/>
              </w:rPr>
            </w:pPr>
            <w:r>
              <w:rPr>
                <w:rFonts w:ascii="Times New Roman"/>
                <w:sz w:val="24"/>
                <w:szCs w:val="24"/>
              </w:rPr>
              <w:t>3/2,4/3,5/4</w:t>
            </w:r>
          </w:p>
        </w:tc>
      </w:tr>
      <w:tr>
        <w:tblPrEx>
          <w:tblW w:w="9002" w:type="dxa"/>
          <w:jc w:val="center"/>
          <w:tblLayout w:type="fixed"/>
          <w:tblCellMar>
            <w:top w:w="0" w:type="dxa"/>
            <w:left w:w="108" w:type="dxa"/>
            <w:bottom w:w="0" w:type="dxa"/>
            <w:right w:w="108" w:type="dxa"/>
          </w:tblCellMar>
          <w:tblLook w:val="0000"/>
        </w:tblPrEx>
        <w:trPr>
          <w:cantSplit/>
          <w:trHeight w:val="385"/>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脉冲宽度</w:t>
            </w:r>
            <w:r>
              <w:rPr>
                <w:rFonts w:ascii="Times New Roman"/>
                <w:sz w:val="24"/>
                <w:szCs w:val="24"/>
              </w:rPr>
              <w:t>(μs)</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Align w:val="center"/>
          </w:tcPr>
          <w:p>
            <w:pPr>
              <w:pStyle w:val="a2"/>
              <w:ind w:firstLine="0" w:firstLineChars="0"/>
              <w:rPr>
                <w:rFonts w:ascii="Times New Roman"/>
                <w:sz w:val="24"/>
                <w:szCs w:val="24"/>
              </w:rPr>
            </w:pPr>
            <w:r>
              <w:rPr>
                <w:rFonts w:ascii="Times New Roman"/>
                <w:sz w:val="24"/>
                <w:szCs w:val="24"/>
              </w:rPr>
              <w:t>1.00±0.10</w:t>
            </w:r>
          </w:p>
        </w:tc>
      </w:tr>
      <w:tr>
        <w:tblPrEx>
          <w:tblW w:w="9002" w:type="dxa"/>
          <w:jc w:val="center"/>
          <w:tblLayout w:type="fixed"/>
          <w:tblCellMar>
            <w:top w:w="0" w:type="dxa"/>
            <w:left w:w="108" w:type="dxa"/>
            <w:bottom w:w="0" w:type="dxa"/>
            <w:right w:w="108" w:type="dxa"/>
          </w:tblCellMar>
          <w:tblLook w:val="0000"/>
        </w:tblPrEx>
        <w:trPr>
          <w:cantSplit/>
          <w:trHeight w:val="385"/>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2.00±0.20</w:t>
            </w:r>
          </w:p>
        </w:tc>
      </w:tr>
      <w:tr>
        <w:tblPrEx>
          <w:tblW w:w="9002" w:type="dxa"/>
          <w:jc w:val="center"/>
          <w:tblLayout w:type="fixed"/>
          <w:tblCellMar>
            <w:top w:w="0" w:type="dxa"/>
            <w:left w:w="108" w:type="dxa"/>
            <w:bottom w:w="0" w:type="dxa"/>
            <w:right w:w="108" w:type="dxa"/>
          </w:tblCellMar>
          <w:tblLook w:val="0000"/>
        </w:tblPrEx>
        <w:trPr>
          <w:cantSplit/>
          <w:trHeight w:val="295"/>
          <w:jc w:val="center"/>
        </w:trPr>
        <w:tc>
          <w:tcPr>
            <w:tcW w:w="2418" w:type="dxa"/>
            <w:gridSpan w:val="5"/>
            <w:vAlign w:val="center"/>
          </w:tcPr>
          <w:p>
            <w:pPr>
              <w:pStyle w:val="a2"/>
              <w:ind w:firstLine="0" w:firstLineChars="0"/>
              <w:jc w:val="both"/>
              <w:rPr>
                <w:rFonts w:ascii="Times New Roman"/>
                <w:sz w:val="24"/>
                <w:szCs w:val="24"/>
              </w:rPr>
            </w:pPr>
            <w:r>
              <w:rPr>
                <w:rFonts w:ascii="宋体" w:eastAsia="宋体" w:hAnsi="宋体" w:cs="宋体" w:hint="eastAsia"/>
                <w:sz w:val="24"/>
                <w:szCs w:val="24"/>
              </w:rPr>
              <w:t>上升时间</w:t>
            </w:r>
            <w:r>
              <w:rPr>
                <w:rFonts w:ascii="Times New Roman"/>
                <w:sz w:val="24"/>
                <w:szCs w:val="24"/>
              </w:rPr>
              <w:t>(ns)</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80</w:t>
            </w:r>
            <w:r>
              <w:rPr>
                <w:rFonts w:ascii="宋体" w:eastAsia="宋体" w:hAnsi="宋体" w:cs="宋体" w:hint="eastAsia"/>
                <w:sz w:val="24"/>
                <w:szCs w:val="24"/>
              </w:rPr>
              <w:t>～</w:t>
            </w:r>
            <w:r>
              <w:rPr>
                <w:rFonts w:ascii="Times New Roman"/>
                <w:sz w:val="24"/>
                <w:szCs w:val="24"/>
              </w:rPr>
              <w:t>250</w:t>
            </w:r>
          </w:p>
        </w:tc>
      </w:tr>
      <w:tr>
        <w:tblPrEx>
          <w:tblW w:w="9002" w:type="dxa"/>
          <w:jc w:val="center"/>
          <w:tblLayout w:type="fixed"/>
          <w:tblCellMar>
            <w:top w:w="0" w:type="dxa"/>
            <w:left w:w="108" w:type="dxa"/>
            <w:bottom w:w="0" w:type="dxa"/>
            <w:right w:w="108" w:type="dxa"/>
          </w:tblCellMar>
          <w:tblLook w:val="0000"/>
        </w:tblPrEx>
        <w:trPr>
          <w:cantSplit/>
          <w:trHeight w:val="295"/>
          <w:jc w:val="center"/>
        </w:trPr>
        <w:tc>
          <w:tcPr>
            <w:tcW w:w="2418" w:type="dxa"/>
            <w:gridSpan w:val="5"/>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下降时间</w:t>
            </w:r>
            <w:r>
              <w:rPr>
                <w:rFonts w:ascii="Times New Roman"/>
                <w:sz w:val="24"/>
                <w:szCs w:val="24"/>
              </w:rPr>
              <w:t>(ns)</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顶降</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≤5%</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0"/>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输出峰值功率平均值</w:t>
            </w:r>
            <w:r>
              <w:rPr>
                <w:rFonts w:ascii="Times New Roman"/>
                <w:sz w:val="24"/>
                <w:szCs w:val="24"/>
              </w:rPr>
              <w:t>(kW)</w:t>
            </w:r>
          </w:p>
        </w:tc>
        <w:tc>
          <w:tcPr>
            <w:tcW w:w="3936" w:type="dxa"/>
            <w:vAlign w:val="center"/>
          </w:tcPr>
          <w:p>
            <w:pPr>
              <w:pStyle w:val="a2"/>
              <w:ind w:firstLine="0" w:firstLineChars="0"/>
              <w:rPr>
                <w:rFonts w:ascii="Times New Roman"/>
                <w:sz w:val="24"/>
                <w:szCs w:val="24"/>
              </w:rPr>
            </w:pPr>
            <w:r>
              <w:rPr>
                <w:rFonts w:ascii="Times New Roman"/>
                <w:sz w:val="24"/>
                <w:szCs w:val="24"/>
              </w:rPr>
              <w:t>≥250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机外输出峰值功率波动</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±0.3之</w:t>
            </w:r>
            <w:r>
              <w:rPr>
                <w:rFonts w:ascii="宋体" w:eastAsia="宋体" w:hAnsi="宋体" w:cs="宋体" w:hint="eastAsia"/>
                <w:sz w:val="24"/>
                <w:szCs w:val="24"/>
              </w:rPr>
              <w:t>间</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机内输出峰值功率波动</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±0.4之</w:t>
            </w:r>
            <w:r>
              <w:rPr>
                <w:rFonts w:ascii="宋体" w:eastAsia="宋体" w:hAnsi="宋体" w:cs="宋体" w:hint="eastAsia"/>
                <w:sz w:val="24"/>
                <w:szCs w:val="24"/>
              </w:rPr>
              <w:t>间</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机内外输出峰值功率最大偏差</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±0.2之</w:t>
            </w:r>
            <w:r>
              <w:rPr>
                <w:rFonts w:ascii="宋体" w:eastAsia="宋体" w:hAnsi="宋体" w:cs="宋体" w:hint="eastAsia"/>
                <w:sz w:val="24"/>
                <w:szCs w:val="24"/>
              </w:rPr>
              <w:t>间</w:t>
            </w:r>
          </w:p>
        </w:tc>
      </w:tr>
      <w:tr>
        <w:tblPrEx>
          <w:tblW w:w="9002" w:type="dxa"/>
          <w:jc w:val="center"/>
          <w:tblLayout w:type="fixed"/>
          <w:tblCellMar>
            <w:top w:w="0" w:type="dxa"/>
            <w:left w:w="108" w:type="dxa"/>
            <w:bottom w:w="0" w:type="dxa"/>
            <w:right w:w="108" w:type="dxa"/>
          </w:tblCellMar>
          <w:tblLook w:val="0000"/>
        </w:tblPrEx>
        <w:trPr>
          <w:cantSplit/>
          <w:trHeight w:val="182"/>
          <w:jc w:val="center"/>
        </w:trPr>
        <w:tc>
          <w:tcPr>
            <w:tcW w:w="1289" w:type="dxa"/>
            <w:gridSpan w:val="3"/>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谱宽特性</w:t>
            </w:r>
          </w:p>
        </w:tc>
        <w:tc>
          <w:tcPr>
            <w:tcW w:w="1129" w:type="dxa"/>
            <w:gridSpan w:val="2"/>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左频偏</w:t>
            </w:r>
            <w:r>
              <w:rPr>
                <w:rFonts w:ascii="Times New Roman"/>
                <w:sz w:val="24"/>
                <w:szCs w:val="24"/>
              </w:rPr>
              <w:t>(MHz)</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≥-22.95</w:t>
            </w:r>
          </w:p>
        </w:tc>
      </w:tr>
      <w:tr>
        <w:tblPrEx>
          <w:tblW w:w="9002" w:type="dxa"/>
          <w:jc w:val="center"/>
          <w:tblLayout w:type="fixed"/>
          <w:tblCellMar>
            <w:top w:w="0" w:type="dxa"/>
            <w:left w:w="108" w:type="dxa"/>
            <w:bottom w:w="0" w:type="dxa"/>
            <w:right w:w="108" w:type="dxa"/>
          </w:tblCellMar>
          <w:tblLook w:val="0000"/>
        </w:tblPrEx>
        <w:trPr>
          <w:cantSplit/>
          <w:trHeight w:val="419"/>
          <w:jc w:val="center"/>
        </w:trPr>
        <w:tc>
          <w:tcPr>
            <w:tcW w:w="1289" w:type="dxa"/>
            <w:gridSpan w:val="3"/>
            <w:vMerge/>
            <w:vAlign w:val="center"/>
          </w:tcPr>
          <w:p>
            <w:pPr>
              <w:pStyle w:val="a2"/>
              <w:ind w:firstLine="0" w:firstLineChars="0"/>
              <w:rPr>
                <w:rFonts w:ascii="Times New Roman"/>
                <w:sz w:val="24"/>
                <w:szCs w:val="24"/>
              </w:rPr>
            </w:pPr>
          </w:p>
        </w:tc>
        <w:tc>
          <w:tcPr>
            <w:tcW w:w="1129" w:type="dxa"/>
            <w:gridSpan w:val="2"/>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58"/>
          <w:jc w:val="center"/>
        </w:trPr>
        <w:tc>
          <w:tcPr>
            <w:tcW w:w="1289" w:type="dxa"/>
            <w:gridSpan w:val="3"/>
            <w:vMerge/>
            <w:vAlign w:val="center"/>
          </w:tcPr>
          <w:p>
            <w:pPr>
              <w:pStyle w:val="a2"/>
              <w:ind w:firstLine="0" w:firstLineChars="0"/>
              <w:rPr>
                <w:rFonts w:ascii="Times New Roman"/>
                <w:sz w:val="24"/>
                <w:szCs w:val="24"/>
              </w:rPr>
            </w:pPr>
          </w:p>
        </w:tc>
        <w:tc>
          <w:tcPr>
            <w:tcW w:w="1129" w:type="dxa"/>
            <w:gridSpan w:val="2"/>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右频偏</w:t>
            </w:r>
            <w:r>
              <w:rPr>
                <w:rFonts w:ascii="Times New Roman"/>
                <w:sz w:val="24"/>
                <w:szCs w:val="24"/>
              </w:rPr>
              <w:t>(MHz)</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≤22.95</w:t>
            </w:r>
          </w:p>
        </w:tc>
      </w:tr>
      <w:tr>
        <w:tblPrEx>
          <w:tblW w:w="9002" w:type="dxa"/>
          <w:jc w:val="center"/>
          <w:tblLayout w:type="fixed"/>
          <w:tblCellMar>
            <w:top w:w="0" w:type="dxa"/>
            <w:left w:w="108" w:type="dxa"/>
            <w:bottom w:w="0" w:type="dxa"/>
            <w:right w:w="108" w:type="dxa"/>
          </w:tblCellMar>
          <w:tblLook w:val="0000"/>
        </w:tblPrEx>
        <w:trPr>
          <w:cantSplit/>
          <w:trHeight w:val="158"/>
          <w:jc w:val="center"/>
        </w:trPr>
        <w:tc>
          <w:tcPr>
            <w:tcW w:w="1289" w:type="dxa"/>
            <w:gridSpan w:val="3"/>
            <w:vMerge/>
            <w:vAlign w:val="center"/>
          </w:tcPr>
          <w:p>
            <w:pPr>
              <w:pStyle w:val="a2"/>
              <w:ind w:firstLine="0" w:firstLineChars="0"/>
              <w:rPr>
                <w:rFonts w:ascii="Times New Roman"/>
                <w:sz w:val="24"/>
                <w:szCs w:val="24"/>
              </w:rPr>
            </w:pPr>
          </w:p>
        </w:tc>
        <w:tc>
          <w:tcPr>
            <w:tcW w:w="1129" w:type="dxa"/>
            <w:gridSpan w:val="2"/>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526"/>
          <w:jc w:val="center"/>
        </w:trPr>
        <w:tc>
          <w:tcPr>
            <w:tcW w:w="2418"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宋体" w:eastAsia="宋体" w:hAnsi="宋体" w:cs="宋体" w:hint="eastAsia"/>
                <w:sz w:val="24"/>
                <w:szCs w:val="24"/>
              </w:rPr>
              <w:t>发射机输出端极限改善因子</w:t>
            </w:r>
            <w:r>
              <w:rPr>
                <w:rFonts w:ascii="Times New Roman"/>
                <w:sz w:val="24"/>
                <w:szCs w:val="24"/>
              </w:rPr>
              <w:t>(dB)</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低重频</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 xml:space="preserve">≥58.0 </w:t>
            </w:r>
          </w:p>
        </w:tc>
      </w:tr>
      <w:tr>
        <w:tblPrEx>
          <w:tblW w:w="9002" w:type="dxa"/>
          <w:jc w:val="center"/>
          <w:tblLayout w:type="fixed"/>
          <w:tblCellMar>
            <w:top w:w="0" w:type="dxa"/>
            <w:left w:w="108" w:type="dxa"/>
            <w:bottom w:w="0" w:type="dxa"/>
            <w:right w:w="108" w:type="dxa"/>
          </w:tblCellMar>
          <w:tblLook w:val="0000"/>
        </w:tblPrEx>
        <w:trPr>
          <w:cantSplit/>
          <w:trHeight w:val="526"/>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高重频</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宋体" w:eastAsia="宋体" w:hAnsi="宋体" w:cs="宋体" w:hint="eastAsia"/>
                <w:sz w:val="24"/>
                <w:szCs w:val="24"/>
              </w:rPr>
              <w:t>发射机输出端杂噪比</w:t>
            </w:r>
            <w:r>
              <w:rPr>
                <w:rFonts w:ascii="Times New Roman"/>
                <w:sz w:val="24"/>
                <w:szCs w:val="24"/>
              </w:rPr>
              <w:t>(dB)</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低重频</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高重频</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8"/>
            <w:vAlign w:val="center"/>
          </w:tcPr>
          <w:p>
            <w:pPr>
              <w:pStyle w:val="a2"/>
              <w:ind w:firstLine="0" w:firstLineChars="0"/>
              <w:rPr>
                <w:rFonts w:ascii="Times New Roman"/>
                <w:b/>
                <w:sz w:val="24"/>
                <w:szCs w:val="24"/>
              </w:rPr>
            </w:pPr>
            <w:r>
              <w:rPr>
                <w:rFonts w:ascii="宋体" w:eastAsia="宋体" w:hAnsi="宋体" w:cs="宋体" w:hint="eastAsia"/>
                <w:b/>
                <w:sz w:val="24"/>
                <w:szCs w:val="24"/>
              </w:rPr>
              <w:t>接收机系统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数字中频</w:t>
            </w:r>
            <w:r>
              <w:rPr>
                <w:rFonts w:ascii="___WRD_EMBED_SUB_40" w:eastAsia="___WRD_EMBED_SUB_40" w:hAnsi="___WRD_EMBED_SUB_40" w:cs="___WRD_EMBED_SUB_40" w:hint="eastAsia"/>
                <w:sz w:val="24"/>
                <w:szCs w:val="24"/>
              </w:rPr>
              <w:t>采</w:t>
            </w:r>
            <w:r>
              <w:rPr>
                <w:rFonts w:ascii="宋体" w:eastAsia="宋体" w:hAnsi="宋体" w:cs="宋体" w:hint="eastAsia"/>
                <w:sz w:val="24"/>
                <w:szCs w:val="24"/>
              </w:rPr>
              <w:t>样速率</w:t>
            </w:r>
            <w:r>
              <w:rPr>
                <w:rFonts w:ascii="Times New Roman"/>
                <w:sz w:val="24"/>
                <w:szCs w:val="24"/>
              </w:rPr>
              <w:t>(MHz)</w:t>
            </w:r>
          </w:p>
        </w:tc>
        <w:tc>
          <w:tcPr>
            <w:tcW w:w="3936" w:type="dxa"/>
            <w:vAlign w:val="center"/>
          </w:tcPr>
          <w:p>
            <w:pPr>
              <w:pStyle w:val="a2"/>
              <w:ind w:firstLine="0" w:firstLineChars="0"/>
              <w:rPr>
                <w:rFonts w:ascii="Times New Roman"/>
                <w:sz w:val="24"/>
                <w:szCs w:val="24"/>
              </w:rPr>
            </w:pPr>
            <w:r>
              <w:rPr>
                <w:rFonts w:ascii="Times New Roman"/>
                <w:sz w:val="24"/>
                <w:szCs w:val="24"/>
              </w:rPr>
              <w:t>≥48.0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中频带宽</w:t>
            </w:r>
            <w:r>
              <w:rPr>
                <w:rFonts w:ascii="Times New Roman"/>
                <w:sz w:val="24"/>
                <w:szCs w:val="24"/>
              </w:rPr>
              <w:t>(MHz)</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Align w:val="center"/>
          </w:tcPr>
          <w:p>
            <w:pPr>
              <w:pStyle w:val="a2"/>
              <w:ind w:firstLine="0" w:firstLineChars="0"/>
              <w:rPr>
                <w:rFonts w:ascii="Times New Roman"/>
                <w:color w:val="auto"/>
                <w:sz w:val="24"/>
                <w:szCs w:val="24"/>
              </w:rPr>
            </w:pPr>
            <w:r>
              <w:rPr>
                <w:rFonts w:ascii="Times New Roman"/>
                <w:color w:val="auto"/>
                <w:sz w:val="24"/>
                <w:szCs w:val="24"/>
              </w:rPr>
              <w:t>1.00±0.10</w:t>
            </w:r>
          </w:p>
        </w:tc>
      </w:tr>
      <w:tr>
        <w:tblPrEx>
          <w:tblW w:w="9002" w:type="dxa"/>
          <w:jc w:val="center"/>
          <w:tblLayout w:type="fixed"/>
          <w:tblCellMar>
            <w:top w:w="0" w:type="dxa"/>
            <w:left w:w="108" w:type="dxa"/>
            <w:bottom w:w="0" w:type="dxa"/>
            <w:right w:w="108" w:type="dxa"/>
          </w:tblCellMar>
          <w:tblLook w:val="0000"/>
        </w:tblPrEx>
        <w:trPr>
          <w:cantSplit/>
          <w:trHeight w:val="18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0.50±0.10</w:t>
            </w: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接收机噪声系数</w:t>
            </w:r>
            <w:r>
              <w:rPr>
                <w:rFonts w:ascii="Times New Roman"/>
                <w:sz w:val="24"/>
                <w:szCs w:val="24"/>
              </w:rPr>
              <w:t>(dB)</w:t>
            </w: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≤3.0</w:t>
            </w:r>
            <w:r>
              <w:rPr>
                <w:rFonts w:ascii="宋体" w:eastAsia="宋体" w:hAnsi="宋体" w:cs="宋体" w:hint="eastAsia"/>
                <w:sz w:val="24"/>
                <w:szCs w:val="24"/>
              </w:rPr>
              <w:t>（机外</w:t>
            </w:r>
            <w:r>
              <w:rPr>
                <w:rFonts w:ascii="Times New Roman"/>
                <w:sz w:val="24"/>
                <w:szCs w:val="24"/>
              </w:rPr>
              <w:t>/</w:t>
            </w:r>
            <w:r>
              <w:rPr>
                <w:rFonts w:ascii="宋体" w:eastAsia="宋体" w:hAnsi="宋体" w:cs="宋体" w:hint="eastAsia"/>
                <w:sz w:val="24"/>
                <w:szCs w:val="24"/>
              </w:rPr>
              <w:t>机内）</w:t>
            </w: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53"/>
          <w:jc w:val="center"/>
        </w:trPr>
        <w:tc>
          <w:tcPr>
            <w:tcW w:w="2418"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宋体" w:eastAsia="宋体" w:hAnsi="宋体" w:cs="宋体" w:hint="eastAsia"/>
                <w:sz w:val="24"/>
                <w:szCs w:val="24"/>
              </w:rPr>
              <w:t>双通道噪声系数差异</w:t>
            </w:r>
            <w:r>
              <w:rPr>
                <w:rFonts w:ascii="Times New Roman"/>
                <w:sz w:val="24"/>
                <w:szCs w:val="24"/>
              </w:rPr>
              <w:t>(dB)</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≤0.3</w:t>
            </w:r>
            <w:r>
              <w:rPr>
                <w:rFonts w:ascii="宋体" w:eastAsia="宋体" w:hAnsi="宋体" w:cs="宋体" w:hint="eastAsia"/>
                <w:sz w:val="24"/>
                <w:szCs w:val="24"/>
              </w:rPr>
              <w:t>（机外</w:t>
            </w:r>
            <w:r>
              <w:rPr>
                <w:rFonts w:ascii="Times New Roman"/>
                <w:sz w:val="24"/>
                <w:szCs w:val="24"/>
              </w:rPr>
              <w:t>/</w:t>
            </w:r>
            <w:r>
              <w:rPr>
                <w:rFonts w:ascii="宋体" w:eastAsia="宋体" w:hAnsi="宋体" w:cs="宋体" w:hint="eastAsia"/>
                <w:sz w:val="24"/>
                <w:szCs w:val="24"/>
              </w:rPr>
              <w:t>机内）</w:t>
            </w:r>
          </w:p>
        </w:tc>
      </w:tr>
      <w:tr>
        <w:tblPrEx>
          <w:tblW w:w="9002" w:type="dxa"/>
          <w:jc w:val="center"/>
          <w:tblLayout w:type="fixed"/>
          <w:tblCellMar>
            <w:top w:w="0" w:type="dxa"/>
            <w:left w:w="108" w:type="dxa"/>
            <w:bottom w:w="0" w:type="dxa"/>
            <w:right w:w="108" w:type="dxa"/>
          </w:tblCellMar>
          <w:tblLook w:val="0000"/>
        </w:tblPrEx>
        <w:trPr>
          <w:cantSplit/>
          <w:trHeight w:val="417"/>
          <w:jc w:val="center"/>
        </w:trPr>
        <w:tc>
          <w:tcPr>
            <w:tcW w:w="2418" w:type="dxa"/>
            <w:gridSpan w:val="5"/>
            <w:vMerge/>
            <w:vAlign w:val="center"/>
          </w:tcPr>
          <w:p>
            <w:pPr>
              <w:pStyle w:val="a2"/>
              <w:ind w:firstLine="0" w:firstLineChars="0"/>
              <w:jc w:val="both"/>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18" w:type="dxa"/>
            <w:gridSpan w:val="5"/>
            <w:vMerge w:val="restart"/>
            <w:vAlign w:val="center"/>
          </w:tcPr>
          <w:p>
            <w:pPr>
              <w:pStyle w:val="a2"/>
              <w:ind w:firstLine="0" w:firstLineChars="0"/>
              <w:jc w:val="both"/>
              <w:rPr>
                <w:rFonts w:ascii="Times New Roman"/>
                <w:sz w:val="24"/>
                <w:szCs w:val="24"/>
              </w:rPr>
            </w:pPr>
          </w:p>
          <w:p>
            <w:pPr>
              <w:pStyle w:val="a2"/>
              <w:ind w:firstLine="0" w:firstLineChars="0"/>
              <w:jc w:val="both"/>
              <w:rPr>
                <w:rFonts w:ascii="Times New Roman"/>
                <w:sz w:val="24"/>
                <w:szCs w:val="24"/>
              </w:rPr>
            </w:pPr>
            <w:r>
              <w:rPr>
                <w:rFonts w:ascii="宋体" w:eastAsia="宋体" w:hAnsi="宋体" w:cs="宋体" w:hint="eastAsia"/>
                <w:sz w:val="24"/>
                <w:szCs w:val="24"/>
              </w:rPr>
              <w:t>机内、机外噪声系数差异</w:t>
            </w:r>
            <w:r>
              <w:rPr>
                <w:rFonts w:ascii="Times New Roman"/>
                <w:sz w:val="24"/>
                <w:szCs w:val="24"/>
              </w:rPr>
              <w:t>(dB)</w:t>
            </w: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20"/>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最小可测功率</w:t>
            </w:r>
            <w:r>
              <w:rPr>
                <w:rFonts w:ascii="Times New Roman"/>
                <w:sz w:val="24"/>
                <w:szCs w:val="24"/>
              </w:rPr>
              <w:t>(dBm)</w:t>
            </w:r>
          </w:p>
        </w:tc>
        <w:tc>
          <w:tcPr>
            <w:tcW w:w="1076" w:type="dxa"/>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≤-108.0</w:t>
            </w:r>
          </w:p>
        </w:tc>
      </w:tr>
      <w:tr>
        <w:tblPrEx>
          <w:tblW w:w="9002" w:type="dxa"/>
          <w:jc w:val="center"/>
          <w:tblLayout w:type="fixed"/>
          <w:tblCellMar>
            <w:top w:w="0" w:type="dxa"/>
            <w:left w:w="108" w:type="dxa"/>
            <w:bottom w:w="0" w:type="dxa"/>
            <w:right w:w="108" w:type="dxa"/>
          </w:tblCellMar>
          <w:tblLook w:val="0000"/>
        </w:tblPrEx>
        <w:trPr>
          <w:cantSplit/>
          <w:trHeight w:val="220"/>
          <w:jc w:val="center"/>
        </w:trPr>
        <w:tc>
          <w:tcPr>
            <w:tcW w:w="2418" w:type="dxa"/>
            <w:gridSpan w:val="5"/>
            <w:vMerge/>
            <w:vAlign w:val="center"/>
          </w:tcPr>
          <w:p>
            <w:pPr>
              <w:pStyle w:val="a2"/>
              <w:ind w:firstLine="0" w:firstLineChars="0"/>
              <w:rPr>
                <w:rFonts w:ascii="Times New Roman"/>
                <w:sz w:val="24"/>
                <w:szCs w:val="24"/>
              </w:rPr>
            </w:pPr>
          </w:p>
        </w:tc>
        <w:tc>
          <w:tcPr>
            <w:tcW w:w="1076" w:type="dxa"/>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30"/>
          <w:jc w:val="center"/>
        </w:trPr>
        <w:tc>
          <w:tcPr>
            <w:tcW w:w="2418" w:type="dxa"/>
            <w:gridSpan w:val="5"/>
            <w:vMerge/>
            <w:vAlign w:val="center"/>
          </w:tcPr>
          <w:p>
            <w:pPr>
              <w:pStyle w:val="a2"/>
              <w:ind w:firstLine="0" w:firstLineChars="0"/>
              <w:rPr>
                <w:rFonts w:ascii="Times New Roman"/>
                <w:sz w:val="24"/>
                <w:szCs w:val="24"/>
              </w:rPr>
            </w:pPr>
          </w:p>
        </w:tc>
        <w:tc>
          <w:tcPr>
            <w:tcW w:w="1076" w:type="dxa"/>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≤-111.0</w:t>
            </w:r>
          </w:p>
        </w:tc>
      </w:tr>
      <w:tr>
        <w:tblPrEx>
          <w:tblW w:w="9002" w:type="dxa"/>
          <w:jc w:val="center"/>
          <w:tblLayout w:type="fixed"/>
          <w:tblCellMar>
            <w:top w:w="0" w:type="dxa"/>
            <w:left w:w="108" w:type="dxa"/>
            <w:bottom w:w="0" w:type="dxa"/>
            <w:right w:w="108" w:type="dxa"/>
          </w:tblCellMar>
          <w:tblLook w:val="0000"/>
        </w:tblPrEx>
        <w:trPr>
          <w:cantSplit/>
          <w:trHeight w:val="230"/>
          <w:jc w:val="center"/>
        </w:trPr>
        <w:tc>
          <w:tcPr>
            <w:tcW w:w="2418" w:type="dxa"/>
            <w:gridSpan w:val="5"/>
            <w:vMerge/>
            <w:vAlign w:val="center"/>
          </w:tcPr>
          <w:p>
            <w:pPr>
              <w:pStyle w:val="a2"/>
              <w:ind w:firstLine="0" w:firstLineChars="0"/>
              <w:rPr>
                <w:rFonts w:ascii="Times New Roman"/>
                <w:sz w:val="24"/>
                <w:szCs w:val="24"/>
              </w:rPr>
            </w:pPr>
          </w:p>
        </w:tc>
        <w:tc>
          <w:tcPr>
            <w:tcW w:w="1076" w:type="dxa"/>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频率源</w:t>
            </w:r>
            <w:r>
              <w:rPr>
                <w:rFonts w:ascii="宋体" w:eastAsia="宋体" w:hAnsi="宋体" w:cs="宋体" w:hint="eastAsia"/>
                <w:color w:val="auto"/>
                <w:sz w:val="24"/>
                <w:szCs w:val="24"/>
              </w:rPr>
              <w:t>射频输出相</w:t>
            </w:r>
            <w:r>
              <w:rPr>
                <w:rFonts w:ascii="宋体" w:eastAsia="宋体" w:hAnsi="宋体" w:cs="宋体" w:hint="eastAsia"/>
                <w:sz w:val="24"/>
                <w:szCs w:val="24"/>
              </w:rPr>
              <w:t>位噪声</w:t>
            </w:r>
            <w:r>
              <w:rPr>
                <w:rFonts w:ascii="Times New Roman"/>
                <w:sz w:val="24"/>
                <w:szCs w:val="24"/>
              </w:rPr>
              <w:t>(dBc/Hz)</w:t>
            </w:r>
          </w:p>
        </w:tc>
        <w:tc>
          <w:tcPr>
            <w:tcW w:w="3936" w:type="dxa"/>
            <w:vAlign w:val="center"/>
          </w:tcPr>
          <w:p>
            <w:pPr>
              <w:pStyle w:val="a2"/>
              <w:ind w:firstLine="0" w:firstLineChars="0"/>
              <w:rPr>
                <w:rFonts w:ascii="Times New Roman"/>
                <w:sz w:val="24"/>
                <w:szCs w:val="24"/>
              </w:rPr>
            </w:pPr>
            <w:r>
              <w:rPr>
                <w:rFonts w:ascii="Times New Roman"/>
                <w:sz w:val="24"/>
                <w:szCs w:val="24"/>
              </w:rPr>
              <w:t>≤-132.0</w:t>
            </w:r>
            <w:r>
              <w:rPr>
                <w:rFonts w:ascii="宋体" w:eastAsia="宋体" w:hAnsi="宋体" w:cs="宋体" w:hint="eastAsia"/>
                <w:sz w:val="24"/>
                <w:szCs w:val="24"/>
              </w:rPr>
              <w:t>（</w:t>
            </w:r>
            <w:r>
              <w:rPr>
                <w:rFonts w:ascii="Times New Roman"/>
                <w:sz w:val="24"/>
                <w:szCs w:val="24"/>
              </w:rPr>
              <w:t>10kHz</w:t>
            </w:r>
            <w:r>
              <w:rPr>
                <w:rFonts w:ascii="宋体" w:eastAsia="宋体" w:hAnsi="宋体" w:cs="宋体" w:hint="eastAsia"/>
                <w:sz w:val="24"/>
                <w:szCs w:val="24"/>
              </w:rPr>
              <w:t>处）</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频率源晶振短</w:t>
            </w:r>
            <w:r>
              <w:rPr>
                <w:rFonts w:ascii="___WRD_EMBED_SUB_40" w:eastAsia="___WRD_EMBED_SUB_40" w:hAnsi="___WRD_EMBED_SUB_40" w:cs="___WRD_EMBED_SUB_40" w:hint="eastAsia"/>
                <w:sz w:val="24"/>
                <w:szCs w:val="24"/>
              </w:rPr>
              <w:t>期</w:t>
            </w:r>
            <w:r>
              <w:rPr>
                <w:rFonts w:ascii="Times New Roman"/>
                <w:sz w:val="24"/>
                <w:szCs w:val="24"/>
              </w:rPr>
              <w:t>(1ms)</w:t>
            </w:r>
            <w:r>
              <w:rPr>
                <w:rFonts w:ascii="宋体" w:eastAsia="宋体" w:hAnsi="宋体" w:cs="宋体" w:hint="eastAsia"/>
                <w:sz w:val="24"/>
                <w:szCs w:val="24"/>
              </w:rPr>
              <w:t>稳定度</w:t>
            </w:r>
          </w:p>
        </w:tc>
        <w:tc>
          <w:tcPr>
            <w:tcW w:w="3936" w:type="dxa"/>
            <w:vAlign w:val="center"/>
          </w:tcPr>
          <w:p>
            <w:pPr>
              <w:pStyle w:val="a2"/>
              <w:ind w:firstLine="0" w:firstLineChars="0"/>
              <w:rPr>
                <w:rFonts w:ascii="Times New Roman"/>
                <w:sz w:val="24"/>
                <w:szCs w:val="24"/>
              </w:rPr>
            </w:pPr>
            <w:r>
              <w:rPr>
                <w:rFonts w:ascii="Times New Roman"/>
                <w:sz w:val="24"/>
                <w:szCs w:val="24"/>
              </w:rPr>
              <w:t>≤10</w:t>
            </w:r>
            <w:r>
              <w:rPr>
                <w:rFonts w:ascii="Times New Roman"/>
                <w:sz w:val="24"/>
                <w:szCs w:val="24"/>
                <w:vertAlign w:val="superscript"/>
              </w:rPr>
              <w:t>-11</w:t>
            </w:r>
          </w:p>
        </w:tc>
      </w:tr>
      <w:tr>
        <w:tblPrEx>
          <w:tblW w:w="9002" w:type="dxa"/>
          <w:jc w:val="center"/>
          <w:tblLayout w:type="fixed"/>
          <w:tblCellMar>
            <w:top w:w="0" w:type="dxa"/>
            <w:left w:w="108" w:type="dxa"/>
            <w:bottom w:w="0" w:type="dxa"/>
            <w:right w:w="108" w:type="dxa"/>
          </w:tblCellMar>
          <w:tblLook w:val="0000"/>
        </w:tblPrEx>
        <w:trPr>
          <w:cantSplit/>
          <w:trHeight w:val="400"/>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接收机线性动态范围</w:t>
            </w:r>
            <w:r>
              <w:rPr>
                <w:rFonts w:ascii="Times New Roman"/>
                <w:sz w:val="24"/>
                <w:szCs w:val="24"/>
              </w:rPr>
              <w:t>(dB)</w:t>
            </w: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≥95</w:t>
            </w:r>
            <w:r>
              <w:rPr>
                <w:rFonts w:ascii="宋体" w:eastAsia="宋体" w:hAnsi="宋体" w:cs="宋体" w:hint="eastAsia"/>
                <w:sz w:val="24"/>
                <w:szCs w:val="24"/>
              </w:rPr>
              <w:t>（机内）</w:t>
            </w:r>
          </w:p>
        </w:tc>
      </w:tr>
      <w:tr>
        <w:tblPrEx>
          <w:tblW w:w="9002" w:type="dxa"/>
          <w:jc w:val="center"/>
          <w:tblLayout w:type="fixed"/>
          <w:tblCellMar>
            <w:top w:w="0" w:type="dxa"/>
            <w:left w:w="108" w:type="dxa"/>
            <w:bottom w:w="0" w:type="dxa"/>
            <w:right w:w="108" w:type="dxa"/>
          </w:tblCellMar>
          <w:tblLook w:val="0000"/>
        </w:tblPrEx>
        <w:trPr>
          <w:cantSplit/>
          <w:trHeight w:val="389"/>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89"/>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≥111</w:t>
            </w:r>
            <w:r>
              <w:rPr>
                <w:rFonts w:ascii="宋体" w:eastAsia="宋体" w:hAnsi="宋体" w:cs="宋体" w:hint="eastAsia"/>
                <w:sz w:val="24"/>
                <w:szCs w:val="24"/>
              </w:rPr>
              <w:t>（机外）</w:t>
            </w: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接收机线性动态拟</w:t>
            </w:r>
            <w:r>
              <w:rPr>
                <w:rFonts w:ascii="___WRD_EMBED_SUB_40" w:eastAsia="___WRD_EMBED_SUB_40" w:hAnsi="___WRD_EMBED_SUB_40" w:cs="___WRD_EMBED_SUB_40" w:hint="eastAsia"/>
                <w:sz w:val="24"/>
                <w:szCs w:val="24"/>
              </w:rPr>
              <w:t>合</w:t>
            </w:r>
            <w:r>
              <w:rPr>
                <w:rFonts w:ascii="宋体" w:eastAsia="宋体" w:hAnsi="宋体" w:cs="宋体" w:hint="eastAsia"/>
                <w:sz w:val="24"/>
                <w:szCs w:val="24"/>
              </w:rPr>
              <w:t>直线斜率</w:t>
            </w: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1.000±0.015</w:t>
            </w: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highlight w:val="yellow"/>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highlight w:val="yellow"/>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highlight w:val="yellow"/>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highlight w:val="yellow"/>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highlight w:val="yellow"/>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restart"/>
            <w:vAlign w:val="center"/>
          </w:tcPr>
          <w:p>
            <w:pPr>
              <w:pStyle w:val="a2"/>
              <w:ind w:firstLine="0" w:firstLineChars="0"/>
              <w:jc w:val="both"/>
              <w:rPr>
                <w:rFonts w:ascii="Times New Roman"/>
                <w:sz w:val="24"/>
                <w:szCs w:val="24"/>
                <w:highlight w:val="yellow"/>
              </w:rPr>
            </w:pPr>
            <w:r>
              <w:rPr>
                <w:rFonts w:ascii="宋体" w:eastAsia="宋体" w:hAnsi="宋体" w:cs="宋体" w:hint="eastAsia"/>
                <w:sz w:val="24"/>
                <w:szCs w:val="24"/>
              </w:rPr>
              <w:t>接收机线性动态拟</w:t>
            </w:r>
            <w:r>
              <w:rPr>
                <w:rFonts w:ascii="___WRD_EMBED_SUB_40" w:eastAsia="___WRD_EMBED_SUB_40" w:hAnsi="___WRD_EMBED_SUB_40" w:cs="___WRD_EMBED_SUB_40" w:hint="eastAsia"/>
                <w:sz w:val="24"/>
                <w:szCs w:val="24"/>
              </w:rPr>
              <w:t>合</w:t>
            </w:r>
            <w:r>
              <w:rPr>
                <w:rFonts w:ascii="宋体" w:eastAsia="宋体" w:hAnsi="宋体" w:cs="宋体" w:hint="eastAsia"/>
                <w:sz w:val="24"/>
                <w:szCs w:val="24"/>
              </w:rPr>
              <w:t>直线均方根误差</w:t>
            </w:r>
            <w:r>
              <w:rPr>
                <w:rFonts w:ascii="Times New Roman"/>
                <w:sz w:val="24"/>
                <w:szCs w:val="24"/>
              </w:rPr>
              <w:t>(dB)</w:t>
            </w: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≤0.5</w:t>
            </w: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系统相位噪声</w:t>
            </w:r>
            <w:r>
              <w:rPr>
                <w:rFonts w:ascii="Times New Roman"/>
                <w:sz w:val="24"/>
                <w:szCs w:val="24"/>
              </w:rPr>
              <w:t>(°)</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color w:val="auto"/>
                <w:sz w:val="24"/>
                <w:szCs w:val="24"/>
              </w:rPr>
            </w:pPr>
            <w:r>
              <w:rPr>
                <w:rFonts w:ascii="Times New Roman"/>
                <w:sz w:val="24"/>
                <w:szCs w:val="24"/>
              </w:rPr>
              <w:t>≤0.06</w:t>
            </w: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09"/>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系统极限改善因子</w:t>
            </w:r>
            <w:r>
              <w:rPr>
                <w:rFonts w:ascii="Times New Roman"/>
                <w:sz w:val="24"/>
                <w:szCs w:val="24"/>
              </w:rPr>
              <w:t>(dB)</w:t>
            </w:r>
          </w:p>
        </w:tc>
        <w:tc>
          <w:tcPr>
            <w:tcW w:w="2648" w:type="dxa"/>
            <w:gridSpan w:val="2"/>
            <w:vAlign w:val="center"/>
          </w:tcPr>
          <w:p>
            <w:pPr>
              <w:pStyle w:val="a2"/>
              <w:ind w:firstLine="0" w:firstLineChars="0"/>
              <w:rPr>
                <w:rFonts w:ascii="Times New Roman"/>
                <w:sz w:val="24"/>
                <w:szCs w:val="24"/>
              </w:rPr>
            </w:pPr>
            <w:r>
              <w:rPr>
                <w:rFonts w:ascii="Times New Roman"/>
                <w:sz w:val="24"/>
                <w:szCs w:val="24"/>
              </w:rPr>
              <w:t>128</w:t>
            </w:r>
            <w:r>
              <w:rPr>
                <w:rFonts w:ascii="宋体" w:eastAsia="宋体" w:hAnsi="宋体" w:cs="宋体" w:hint="eastAsia"/>
                <w:sz w:val="24"/>
                <w:szCs w:val="24"/>
              </w:rPr>
              <w:t>处理点</w:t>
            </w:r>
          </w:p>
        </w:tc>
        <w:tc>
          <w:tcPr>
            <w:tcW w:w="3936" w:type="dxa"/>
            <w:vMerge w:val="restart"/>
            <w:vAlign w:val="center"/>
          </w:tcPr>
          <w:p>
            <w:pPr>
              <w:pStyle w:val="a2"/>
              <w:ind w:firstLine="0" w:firstLineChars="0"/>
              <w:rPr>
                <w:rFonts w:ascii="Times New Roman"/>
                <w:color w:val="auto"/>
                <w:sz w:val="24"/>
                <w:szCs w:val="24"/>
              </w:rPr>
            </w:pPr>
            <w:r>
              <w:rPr>
                <w:rFonts w:ascii="Times New Roman"/>
                <w:color w:val="auto"/>
                <w:sz w:val="24"/>
                <w:szCs w:val="24"/>
              </w:rPr>
              <w:t>≥58.0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Times New Roman"/>
                <w:sz w:val="24"/>
                <w:szCs w:val="24"/>
              </w:rPr>
              <w:t>256</w:t>
            </w:r>
            <w:r>
              <w:rPr>
                <w:rFonts w:ascii="宋体" w:eastAsia="宋体" w:hAnsi="宋体" w:cs="宋体" w:hint="eastAsia"/>
                <w:sz w:val="24"/>
                <w:szCs w:val="24"/>
              </w:rPr>
              <w:t>处理点</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602"/>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滤波前后功率比</w:t>
            </w:r>
            <w:r>
              <w:rPr>
                <w:rFonts w:ascii="Times New Roman"/>
                <w:sz w:val="24"/>
                <w:szCs w:val="24"/>
              </w:rPr>
              <w:t>(dB)</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 xml:space="preserve">≥60.0 </w:t>
            </w:r>
          </w:p>
        </w:tc>
      </w:tr>
      <w:tr>
        <w:tblPrEx>
          <w:tblW w:w="9002" w:type="dxa"/>
          <w:jc w:val="center"/>
          <w:tblLayout w:type="fixed"/>
          <w:tblCellMar>
            <w:top w:w="0" w:type="dxa"/>
            <w:left w:w="108" w:type="dxa"/>
            <w:bottom w:w="0" w:type="dxa"/>
            <w:right w:w="108" w:type="dxa"/>
          </w:tblCellMar>
          <w:tblLook w:val="0000"/>
        </w:tblPrEx>
        <w:trPr>
          <w:cantSplit/>
          <w:trHeight w:val="555"/>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7"/>
            <w:vAlign w:val="center"/>
          </w:tcPr>
          <w:p>
            <w:pPr>
              <w:pStyle w:val="a2"/>
              <w:ind w:firstLine="0" w:firstLineChars="0"/>
              <w:rPr>
                <w:rFonts w:ascii="Times New Roman"/>
                <w:sz w:val="24"/>
                <w:szCs w:val="24"/>
              </w:rPr>
            </w:pPr>
            <w:r>
              <w:rPr>
                <w:rFonts w:ascii="宋体" w:eastAsia="宋体" w:hAnsi="宋体" w:cs="宋体" w:hint="eastAsia"/>
                <w:sz w:val="24"/>
                <w:szCs w:val="24"/>
              </w:rPr>
              <w:t>实际地物对消能力</w:t>
            </w:r>
            <w:r>
              <w:rPr>
                <w:rFonts w:ascii="Times New Roman"/>
                <w:sz w:val="24"/>
                <w:szCs w:val="24"/>
              </w:rPr>
              <w:t>(dB)</w:t>
            </w:r>
          </w:p>
        </w:tc>
        <w:tc>
          <w:tcPr>
            <w:tcW w:w="3936" w:type="dxa"/>
            <w:vAlign w:val="center"/>
          </w:tcPr>
          <w:p>
            <w:pPr>
              <w:pStyle w:val="a2"/>
              <w:ind w:firstLine="0" w:firstLineChars="0"/>
              <w:rPr>
                <w:rFonts w:ascii="Times New Roman"/>
                <w:sz w:val="24"/>
                <w:szCs w:val="24"/>
              </w:rPr>
            </w:pPr>
            <w:r>
              <w:rPr>
                <w:rFonts w:ascii="Times New Roman"/>
                <w:sz w:val="24"/>
                <w:szCs w:val="24"/>
              </w:rPr>
              <w:t>≥50.0</w:t>
            </w: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强度定标误差</w:t>
            </w:r>
            <w:r>
              <w:rPr>
                <w:rFonts w:ascii="Times New Roman"/>
                <w:sz w:val="24"/>
                <w:szCs w:val="24"/>
              </w:rPr>
              <w:t>(dB)</w:t>
            </w:r>
          </w:p>
        </w:tc>
        <w:tc>
          <w:tcPr>
            <w:tcW w:w="1600" w:type="dxa"/>
            <w:gridSpan w:val="4"/>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单发双收</w:t>
            </w:r>
          </w:p>
        </w:tc>
        <w:tc>
          <w:tcPr>
            <w:tcW w:w="1076" w:type="dxa"/>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w:t>
            </w:r>
            <w:r>
              <w:rPr>
                <w:rFonts w:ascii="宋体" w:eastAsia="宋体" w:hAnsi="宋体" w:cs="宋体" w:hint="eastAsia"/>
                <w:sz w:val="24"/>
                <w:szCs w:val="24"/>
              </w:rPr>
              <w:t>间（机外</w:t>
            </w:r>
            <w:r>
              <w:rPr>
                <w:rFonts w:ascii="Times New Roman"/>
                <w:sz w:val="24"/>
                <w:szCs w:val="24"/>
              </w:rPr>
              <w:t>/</w:t>
            </w:r>
            <w:r>
              <w:rPr>
                <w:rFonts w:ascii="宋体" w:eastAsia="宋体" w:hAnsi="宋体" w:cs="宋体" w:hint="eastAsia"/>
                <w:sz w:val="24"/>
                <w:szCs w:val="24"/>
              </w:rPr>
              <w:t>机内）</w:t>
            </w: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双发双</w:t>
            </w:r>
            <w:r>
              <w:rPr>
                <w:rFonts w:ascii="Times New Roman"/>
                <w:sz w:val="24"/>
                <w:szCs w:val="24"/>
              </w:rPr>
              <w:t xml:space="preserve">  </w:t>
            </w:r>
            <w:r>
              <w:rPr>
                <w:rFonts w:ascii="宋体" w:eastAsia="宋体" w:hAnsi="宋体" w:cs="宋体" w:hint="eastAsia"/>
                <w:sz w:val="24"/>
                <w:szCs w:val="24"/>
              </w:rPr>
              <w:t>收</w:t>
            </w:r>
          </w:p>
        </w:tc>
        <w:tc>
          <w:tcPr>
            <w:tcW w:w="1076" w:type="dxa"/>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600" w:type="dxa"/>
            <w:gridSpan w:val="4"/>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44"/>
          <w:jc w:val="center"/>
        </w:trPr>
        <w:tc>
          <w:tcPr>
            <w:tcW w:w="818" w:type="dxa"/>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径向速度测量检</w:t>
            </w:r>
            <w:r>
              <w:rPr>
                <w:rFonts w:ascii="Times New Roman"/>
                <w:sz w:val="24"/>
                <w:szCs w:val="24"/>
              </w:rPr>
              <w:t xml:space="preserve">  </w:t>
            </w:r>
            <w:r>
              <w:rPr>
                <w:rFonts w:ascii="宋体" w:eastAsia="宋体" w:hAnsi="宋体" w:cs="宋体" w:hint="eastAsia"/>
                <w:sz w:val="24"/>
                <w:szCs w:val="24"/>
              </w:rPr>
              <w:t>验</w:t>
            </w:r>
          </w:p>
        </w:tc>
        <w:tc>
          <w:tcPr>
            <w:tcW w:w="1600" w:type="dxa"/>
            <w:gridSpan w:val="4"/>
            <w:vMerge w:val="restart"/>
            <w:vAlign w:val="center"/>
          </w:tcPr>
          <w:p>
            <w:pPr>
              <w:pStyle w:val="a2"/>
              <w:ind w:firstLine="0" w:firstLineChars="0"/>
              <w:jc w:val="left"/>
              <w:rPr>
                <w:rFonts w:ascii="Times New Roman"/>
                <w:sz w:val="24"/>
                <w:szCs w:val="24"/>
              </w:rPr>
            </w:pPr>
            <w:r>
              <w:rPr>
                <w:rFonts w:ascii="宋体" w:eastAsia="宋体" w:hAnsi="宋体" w:cs="宋体" w:hint="eastAsia"/>
                <w:sz w:val="24"/>
                <w:szCs w:val="24"/>
              </w:rPr>
              <w:t>单重频速度测量最大误差</w:t>
            </w:r>
            <w:r>
              <w:rPr>
                <w:rFonts w:ascii="Times New Roman"/>
                <w:sz w:val="24"/>
                <w:szCs w:val="24"/>
              </w:rPr>
              <w:t>(m/s)</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w:t>
            </w:r>
            <w:r>
              <w:rPr>
                <w:rFonts w:ascii="宋体" w:eastAsia="宋体" w:hAnsi="宋体" w:cs="宋体" w:hint="eastAsia"/>
                <w:sz w:val="24"/>
                <w:szCs w:val="24"/>
              </w:rPr>
              <w:t>间</w:t>
            </w:r>
          </w:p>
        </w:tc>
      </w:tr>
      <w:tr>
        <w:tblPrEx>
          <w:tblW w:w="9002" w:type="dxa"/>
          <w:jc w:val="center"/>
          <w:tblLayout w:type="fixed"/>
          <w:tblCellMar>
            <w:top w:w="0" w:type="dxa"/>
            <w:left w:w="108" w:type="dxa"/>
            <w:bottom w:w="0" w:type="dxa"/>
            <w:right w:w="108" w:type="dxa"/>
          </w:tblCellMar>
          <w:tblLook w:val="0000"/>
        </w:tblPrEx>
        <w:trPr>
          <w:cantSplit/>
          <w:trHeight w:val="686"/>
          <w:jc w:val="center"/>
        </w:trPr>
        <w:tc>
          <w:tcPr>
            <w:tcW w:w="818" w:type="dxa"/>
            <w:vMerge/>
            <w:vAlign w:val="center"/>
          </w:tcPr>
          <w:p>
            <w:pPr>
              <w:pStyle w:val="a2"/>
              <w:ind w:firstLine="0" w:firstLineChars="0"/>
              <w:jc w:val="both"/>
              <w:rPr>
                <w:rFonts w:ascii="Times New Roman"/>
                <w:sz w:val="24"/>
                <w:szCs w:val="24"/>
              </w:rPr>
            </w:pPr>
          </w:p>
        </w:tc>
        <w:tc>
          <w:tcPr>
            <w:tcW w:w="1600" w:type="dxa"/>
            <w:gridSpan w:val="4"/>
            <w:vMerge/>
            <w:vAlign w:val="center"/>
          </w:tcPr>
          <w:p>
            <w:pPr>
              <w:pStyle w:val="a2"/>
              <w:ind w:firstLine="0" w:firstLineChars="0"/>
              <w:jc w:val="left"/>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637"/>
          <w:jc w:val="center"/>
        </w:trPr>
        <w:tc>
          <w:tcPr>
            <w:tcW w:w="818" w:type="dxa"/>
            <w:vMerge/>
            <w:vAlign w:val="center"/>
          </w:tcPr>
          <w:p>
            <w:pPr>
              <w:pStyle w:val="a2"/>
              <w:ind w:firstLine="0" w:firstLineChars="0"/>
              <w:jc w:val="both"/>
              <w:rPr>
                <w:rFonts w:ascii="Times New Roman"/>
                <w:sz w:val="24"/>
                <w:szCs w:val="24"/>
              </w:rPr>
            </w:pPr>
          </w:p>
        </w:tc>
        <w:tc>
          <w:tcPr>
            <w:tcW w:w="1600" w:type="dxa"/>
            <w:gridSpan w:val="4"/>
            <w:vMerge w:val="restart"/>
            <w:vAlign w:val="center"/>
          </w:tcPr>
          <w:p>
            <w:pPr>
              <w:pStyle w:val="a2"/>
              <w:ind w:firstLine="0" w:firstLineChars="0"/>
              <w:jc w:val="both"/>
              <w:rPr>
                <w:rFonts w:ascii="Times New Roman"/>
                <w:color w:val="auto"/>
                <w:sz w:val="24"/>
                <w:szCs w:val="24"/>
              </w:rPr>
            </w:pPr>
            <w:r>
              <w:rPr>
                <w:rFonts w:ascii="宋体" w:eastAsia="宋体" w:hAnsi="宋体" w:cs="宋体" w:hint="eastAsia"/>
                <w:color w:val="auto"/>
                <w:sz w:val="24"/>
                <w:szCs w:val="24"/>
              </w:rPr>
              <w:t>双重频速度测量最大偏差</w:t>
            </w:r>
            <w:r>
              <w:rPr>
                <w:rFonts w:ascii="Times New Roman"/>
                <w:color w:val="auto"/>
                <w:sz w:val="24"/>
                <w:szCs w:val="24"/>
              </w:rPr>
              <w:t>(m/s)</w:t>
            </w: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w:t>
            </w:r>
            <w:r>
              <w:rPr>
                <w:rFonts w:ascii="宋体" w:eastAsia="宋体" w:hAnsi="宋体" w:cs="宋体" w:hint="eastAsia"/>
                <w:sz w:val="24"/>
                <w:szCs w:val="24"/>
              </w:rPr>
              <w:t>间</w:t>
            </w:r>
          </w:p>
        </w:tc>
      </w:tr>
      <w:tr>
        <w:tblPrEx>
          <w:tblW w:w="9002" w:type="dxa"/>
          <w:jc w:val="center"/>
          <w:tblLayout w:type="fixed"/>
          <w:tblCellMar>
            <w:top w:w="0" w:type="dxa"/>
            <w:left w:w="108" w:type="dxa"/>
            <w:bottom w:w="0" w:type="dxa"/>
            <w:right w:w="108" w:type="dxa"/>
          </w:tblCellMar>
          <w:tblLook w:val="0000"/>
        </w:tblPrEx>
        <w:trPr>
          <w:cantSplit/>
          <w:trHeight w:val="729"/>
          <w:jc w:val="center"/>
        </w:trPr>
        <w:tc>
          <w:tcPr>
            <w:tcW w:w="818" w:type="dxa"/>
            <w:vMerge/>
            <w:vAlign w:val="center"/>
          </w:tcPr>
          <w:p>
            <w:pPr>
              <w:pStyle w:val="a2"/>
              <w:ind w:firstLine="0" w:firstLineChars="0"/>
              <w:jc w:val="both"/>
              <w:rPr>
                <w:rFonts w:ascii="Times New Roman"/>
                <w:sz w:val="24"/>
                <w:szCs w:val="24"/>
              </w:rPr>
            </w:pPr>
          </w:p>
        </w:tc>
        <w:tc>
          <w:tcPr>
            <w:tcW w:w="1600" w:type="dxa"/>
            <w:gridSpan w:val="4"/>
            <w:vMerge/>
            <w:vAlign w:val="center"/>
          </w:tcPr>
          <w:p>
            <w:pPr>
              <w:pStyle w:val="a2"/>
              <w:ind w:firstLine="0" w:firstLineChars="0"/>
              <w:jc w:val="both"/>
              <w:rPr>
                <w:rFonts w:ascii="Times New Roman"/>
                <w:color w:val="auto"/>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99"/>
          <w:jc w:val="center"/>
        </w:trPr>
        <w:tc>
          <w:tcPr>
            <w:tcW w:w="818" w:type="dxa"/>
            <w:vMerge/>
            <w:vAlign w:val="center"/>
          </w:tcPr>
          <w:p>
            <w:pPr>
              <w:pStyle w:val="a2"/>
              <w:ind w:firstLine="0" w:firstLineChars="0"/>
              <w:rPr>
                <w:rFonts w:ascii="Times New Roman"/>
                <w:sz w:val="24"/>
                <w:szCs w:val="24"/>
              </w:rPr>
            </w:pPr>
          </w:p>
        </w:tc>
        <w:tc>
          <w:tcPr>
            <w:tcW w:w="4248" w:type="dxa"/>
            <w:gridSpan w:val="6"/>
            <w:vAlign w:val="center"/>
          </w:tcPr>
          <w:p>
            <w:pPr>
              <w:pStyle w:val="a2"/>
              <w:ind w:firstLine="0" w:firstLineChars="0"/>
              <w:rPr>
                <w:rFonts w:ascii="Times New Roman"/>
                <w:sz w:val="24"/>
                <w:szCs w:val="24"/>
              </w:rPr>
            </w:pPr>
            <w:r>
              <w:rPr>
                <w:rFonts w:ascii="宋体" w:eastAsia="宋体" w:hAnsi="宋体" w:cs="宋体" w:hint="eastAsia"/>
                <w:sz w:val="24"/>
                <w:szCs w:val="24"/>
              </w:rPr>
              <w:t>径向速度测量最大误差</w:t>
            </w:r>
            <w:r>
              <w:rPr>
                <w:rFonts w:ascii="Times New Roman"/>
                <w:sz w:val="24"/>
                <w:szCs w:val="24"/>
              </w:rPr>
              <w:t>(m/s)</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w:t>
            </w:r>
            <w:r>
              <w:rPr>
                <w:rFonts w:ascii="宋体" w:eastAsia="宋体" w:hAnsi="宋体" w:cs="宋体" w:hint="eastAsia"/>
                <w:sz w:val="24"/>
                <w:szCs w:val="24"/>
              </w:rPr>
              <w:t>间</w:t>
            </w:r>
          </w:p>
        </w:tc>
      </w:tr>
      <w:tr>
        <w:tblPrEx>
          <w:tblW w:w="9002" w:type="dxa"/>
          <w:jc w:val="center"/>
          <w:tblLayout w:type="fixed"/>
          <w:tblCellMar>
            <w:top w:w="0" w:type="dxa"/>
            <w:left w:w="108" w:type="dxa"/>
            <w:bottom w:w="0" w:type="dxa"/>
            <w:right w:w="108" w:type="dxa"/>
          </w:tblCellMar>
          <w:tblLook w:val="0000"/>
        </w:tblPrEx>
        <w:trPr>
          <w:cantSplit/>
          <w:trHeight w:val="371"/>
          <w:jc w:val="center"/>
        </w:trPr>
        <w:tc>
          <w:tcPr>
            <w:tcW w:w="818" w:type="dxa"/>
            <w:vMerge/>
            <w:vAlign w:val="center"/>
          </w:tcPr>
          <w:p>
            <w:pPr>
              <w:pStyle w:val="a2"/>
              <w:ind w:firstLine="0" w:firstLineChars="0"/>
              <w:rPr>
                <w:rFonts w:ascii="Times New Roman"/>
                <w:sz w:val="24"/>
                <w:szCs w:val="24"/>
              </w:rPr>
            </w:pPr>
          </w:p>
        </w:tc>
        <w:tc>
          <w:tcPr>
            <w:tcW w:w="4248" w:type="dxa"/>
            <w:gridSpan w:val="6"/>
            <w:vAlign w:val="center"/>
          </w:tcPr>
          <w:p>
            <w:pPr>
              <w:pStyle w:val="a2"/>
              <w:ind w:firstLine="0" w:firstLineChars="0"/>
              <w:rPr>
                <w:rFonts w:ascii="Times New Roman"/>
                <w:sz w:val="24"/>
                <w:szCs w:val="24"/>
              </w:rPr>
            </w:pPr>
            <w:r>
              <w:rPr>
                <w:rFonts w:ascii="宋体" w:eastAsia="宋体" w:hAnsi="宋体" w:cs="宋体" w:hint="eastAsia"/>
                <w:sz w:val="24"/>
                <w:szCs w:val="24"/>
              </w:rPr>
              <w:t>速度谱宽测量最大误差</w:t>
            </w:r>
            <w:r>
              <w:rPr>
                <w:rFonts w:ascii="Times New Roman"/>
                <w:sz w:val="24"/>
                <w:szCs w:val="24"/>
              </w:rPr>
              <w:t>(m/s)</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40"/>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双偏振参数检验</w:t>
            </w:r>
          </w:p>
        </w:tc>
        <w:tc>
          <w:tcPr>
            <w:tcW w:w="2648" w:type="dxa"/>
            <w:gridSpan w:val="2"/>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差分反射率标准差</w:t>
            </w:r>
            <w:r>
              <w:rPr>
                <w:rFonts w:ascii="Times New Roman"/>
                <w:sz w:val="24"/>
                <w:szCs w:val="24"/>
              </w:rPr>
              <w:t>(dB)</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cantSplit/>
          <w:trHeight w:val="44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890"/>
          <w:jc w:val="center"/>
        </w:trPr>
        <w:tc>
          <w:tcPr>
            <w:tcW w:w="2418" w:type="dxa"/>
            <w:gridSpan w:val="5"/>
            <w:vMerge/>
            <w:vAlign w:val="center"/>
          </w:tcPr>
          <w:p>
            <w:pPr>
              <w:pStyle w:val="a2"/>
              <w:ind w:firstLine="0" w:firstLineChars="0"/>
              <w:rPr>
                <w:rFonts w:ascii="Times New Roman"/>
                <w:sz w:val="24"/>
                <w:szCs w:val="24"/>
              </w:rPr>
            </w:pPr>
          </w:p>
        </w:tc>
        <w:tc>
          <w:tcPr>
            <w:tcW w:w="2648" w:type="dxa"/>
            <w:gridSpan w:val="2"/>
            <w:vAlign w:val="center"/>
          </w:tcPr>
          <w:p>
            <w:pPr>
              <w:pStyle w:val="a2"/>
              <w:ind w:firstLine="0" w:firstLineChars="0"/>
              <w:rPr>
                <w:rFonts w:ascii="Times New Roman"/>
                <w:sz w:val="24"/>
                <w:szCs w:val="24"/>
              </w:rPr>
            </w:pPr>
            <w:r>
              <w:rPr>
                <w:rFonts w:ascii="宋体" w:eastAsia="宋体" w:hAnsi="宋体" w:cs="宋体" w:hint="eastAsia"/>
                <w:sz w:val="24"/>
                <w:szCs w:val="24"/>
              </w:rPr>
              <w:t>差分传播相移标准差</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sz w:val="24"/>
                <w:szCs w:val="24"/>
              </w:rPr>
              <w:t>≤3.0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restart"/>
            <w:vAlign w:val="center"/>
          </w:tcPr>
          <w:p>
            <w:pPr>
              <w:pStyle w:val="a2"/>
              <w:ind w:firstLine="0" w:firstLineChars="0"/>
              <w:jc w:val="both"/>
              <w:rPr>
                <w:rFonts w:ascii="Times New Roman"/>
                <w:sz w:val="24"/>
                <w:szCs w:val="24"/>
              </w:rPr>
            </w:pPr>
            <w:r>
              <w:rPr>
                <w:rFonts w:ascii="宋体" w:eastAsia="宋体" w:hAnsi="宋体" w:cs="宋体" w:hint="eastAsia"/>
                <w:sz w:val="24"/>
                <w:szCs w:val="24"/>
              </w:rPr>
              <w:t>在线自动标校能力检验</w:t>
            </w: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水平</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w:t>
            </w:r>
            <w:r>
              <w:rPr>
                <w:rFonts w:ascii="宋体" w:eastAsia="宋体" w:hAnsi="宋体" w:cs="宋体" w:hint="eastAsia"/>
                <w:sz w:val="24"/>
                <w:szCs w:val="24"/>
              </w:rPr>
              <w:t>间</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5"/>
            <w:vMerge/>
            <w:vAlign w:val="center"/>
          </w:tcPr>
          <w:p>
            <w:pPr>
              <w:pStyle w:val="a2"/>
              <w:ind w:firstLine="0" w:firstLineChars="0"/>
              <w:rPr>
                <w:rFonts w:ascii="Times New Roman"/>
                <w:sz w:val="24"/>
                <w:szCs w:val="24"/>
              </w:rPr>
            </w:pPr>
          </w:p>
        </w:tc>
        <w:tc>
          <w:tcPr>
            <w:tcW w:w="1076" w:type="dxa"/>
            <w:vMerge w:val="restart"/>
            <w:vAlign w:val="center"/>
          </w:tcPr>
          <w:p>
            <w:pPr>
              <w:pStyle w:val="a2"/>
              <w:ind w:firstLine="0" w:firstLineChars="0"/>
              <w:rPr>
                <w:rFonts w:ascii="Times New Roman"/>
                <w:sz w:val="24"/>
                <w:szCs w:val="24"/>
              </w:rPr>
            </w:pPr>
            <w:r>
              <w:rPr>
                <w:rFonts w:ascii="宋体" w:eastAsia="宋体" w:hAnsi="宋体" w:cs="宋体" w:hint="eastAsia"/>
                <w:sz w:val="24"/>
                <w:szCs w:val="24"/>
              </w:rPr>
              <w:t>垂直</w:t>
            </w: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47"/>
          <w:jc w:val="center"/>
        </w:trPr>
        <w:tc>
          <w:tcPr>
            <w:tcW w:w="2418" w:type="dxa"/>
            <w:gridSpan w:val="5"/>
            <w:vMerge/>
            <w:vAlign w:val="center"/>
          </w:tcPr>
          <w:p>
            <w:pPr>
              <w:pStyle w:val="a2"/>
              <w:ind w:firstLine="0" w:firstLineChars="0"/>
              <w:rPr>
                <w:rFonts w:ascii="Times New Roman"/>
                <w:sz w:val="24"/>
                <w:szCs w:val="24"/>
              </w:rPr>
            </w:pPr>
          </w:p>
        </w:tc>
        <w:tc>
          <w:tcPr>
            <w:tcW w:w="1076" w:type="dxa"/>
            <w:vMerge/>
            <w:vAlign w:val="center"/>
          </w:tcPr>
          <w:p>
            <w:pPr>
              <w:pStyle w:val="a2"/>
              <w:ind w:firstLine="0" w:firstLineChars="0"/>
              <w:rPr>
                <w:rFonts w:ascii="Times New Roman"/>
                <w:sz w:val="24"/>
                <w:szCs w:val="24"/>
              </w:rPr>
            </w:pPr>
          </w:p>
        </w:tc>
        <w:tc>
          <w:tcPr>
            <w:tcW w:w="1572" w:type="dxa"/>
            <w:vAlign w:val="center"/>
          </w:tcPr>
          <w:p>
            <w:pPr>
              <w:pStyle w:val="a2"/>
              <w:ind w:firstLine="0" w:firstLineChars="0"/>
              <w:rPr>
                <w:rFonts w:ascii="Times New Roman"/>
                <w:sz w:val="24"/>
                <w:szCs w:val="24"/>
              </w:rPr>
            </w:pPr>
            <w:r>
              <w:rPr>
                <w:rFonts w:ascii="宋体" w:eastAsia="宋体" w:hAnsi="宋体" w:cs="宋体" w:hint="eastAsia"/>
                <w:sz w:val="24"/>
                <w:szCs w:val="24"/>
              </w:rPr>
              <w:t>宽脉冲</w:t>
            </w:r>
          </w:p>
        </w:tc>
        <w:tc>
          <w:tcPr>
            <w:tcW w:w="3936" w:type="dxa"/>
            <w:vMerge/>
            <w:vAlign w:val="center"/>
          </w:tcPr>
          <w:p>
            <w:pPr>
              <w:pStyle w:val="a2"/>
              <w:ind w:firstLine="0" w:firstLineChars="0"/>
              <w:rPr>
                <w:rFonts w:ascii="Times New Roman"/>
                <w:sz w:val="24"/>
                <w:szCs w:val="24"/>
              </w:rPr>
            </w:pPr>
          </w:p>
        </w:tc>
      </w:tr>
    </w:tbl>
    <w:p>
      <w:pPr>
        <w:spacing w:line="560" w:lineRule="exact"/>
        <w:rPr>
          <w:rFonts w:eastAsia="仿宋"/>
          <w:sz w:val="28"/>
          <w:szCs w:val="20"/>
        </w:rPr>
      </w:pPr>
    </w:p>
    <w:p>
      <w:pPr>
        <w:spacing w:line="560" w:lineRule="exact"/>
        <w:ind w:firstLine="560" w:firstLineChars="200"/>
        <w:rPr>
          <w:rFonts w:eastAsia="仿宋"/>
          <w:sz w:val="28"/>
          <w:szCs w:val="20"/>
          <w:highlight w:val="yellow"/>
        </w:rPr>
      </w:pPr>
      <w:r>
        <w:rPr>
          <w:rFonts w:eastAsia="仿宋"/>
          <w:sz w:val="28"/>
          <w:szCs w:val="20"/>
        </w:rPr>
        <w:t>表2.C波段新一代天气雷达技术升级及技术标准统一技术性能指标</w:t>
      </w:r>
    </w:p>
    <w:tbl>
      <w:tblPr>
        <w:tblStyle w:val="TableNormal"/>
        <w:tblW w:w="86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9"/>
        <w:gridCol w:w="1843"/>
        <w:gridCol w:w="2976"/>
        <w:gridCol w:w="2019"/>
      </w:tblGrid>
      <w:tr>
        <w:tblPrEx>
          <w:tblW w:w="86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482"/>
              <w:jc w:val="center"/>
              <w:rPr>
                <w:rFonts w:eastAsia="仿宋"/>
                <w:b/>
                <w:kern w:val="0"/>
              </w:rPr>
            </w:pPr>
            <w:r>
              <w:rPr>
                <w:rFonts w:eastAsia="仿宋"/>
                <w:b/>
                <w:kern w:val="0"/>
                <w:sz w:val="24"/>
              </w:rPr>
              <w:t>项目</w:t>
            </w:r>
          </w:p>
        </w:tc>
        <w:tc>
          <w:tcPr>
            <w:tcW w:w="2976" w:type="dxa"/>
            <w:vAlign w:val="center"/>
          </w:tcPr>
          <w:p>
            <w:pPr>
              <w:ind w:firstLine="482"/>
              <w:jc w:val="center"/>
              <w:rPr>
                <w:rFonts w:eastAsia="仿宋"/>
                <w:b/>
                <w:kern w:val="0"/>
              </w:rPr>
            </w:pPr>
            <w:r>
              <w:rPr>
                <w:rFonts w:eastAsia="仿宋"/>
                <w:b/>
                <w:kern w:val="0"/>
                <w:sz w:val="24"/>
              </w:rPr>
              <w:t>指标</w:t>
            </w:r>
          </w:p>
        </w:tc>
        <w:tc>
          <w:tcPr>
            <w:tcW w:w="2019" w:type="dxa"/>
            <w:vAlign w:val="center"/>
          </w:tcPr>
          <w:p>
            <w:pPr>
              <w:ind w:firstLine="482"/>
              <w:jc w:val="center"/>
              <w:rPr>
                <w:rFonts w:eastAsia="仿宋"/>
                <w:b/>
                <w:kern w:val="0"/>
              </w:rPr>
            </w:pPr>
            <w:r>
              <w:rPr>
                <w:rFonts w:eastAsia="仿宋"/>
                <w:b/>
                <w:kern w:val="0"/>
                <w:sz w:val="24"/>
              </w:rPr>
              <w:t>备注</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rPr>
                <w:rFonts w:eastAsia="仿宋"/>
                <w:b/>
                <w:bCs/>
                <w:kern w:val="0"/>
              </w:rPr>
            </w:pPr>
            <w:r>
              <w:rPr>
                <w:rFonts w:eastAsia="仿宋"/>
                <w:b/>
                <w:bCs/>
                <w:kern w:val="0"/>
                <w:sz w:val="24"/>
              </w:rPr>
              <w:t>1.天线系统、馈线系统和伺服系统</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rPr>
                <w:rFonts w:eastAsia="仿宋"/>
                <w:b/>
                <w:bCs/>
                <w:kern w:val="0"/>
              </w:rPr>
            </w:pPr>
            <w:r>
              <w:rPr>
                <w:rFonts w:eastAsia="仿宋"/>
                <w:b/>
                <w:bCs/>
                <w:kern w:val="0"/>
                <w:sz w:val="24"/>
              </w:rPr>
              <w:t>1.1. 天线罩</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直径</w:t>
            </w:r>
          </w:p>
        </w:tc>
        <w:tc>
          <w:tcPr>
            <w:tcW w:w="2976" w:type="dxa"/>
            <w:vAlign w:val="center"/>
          </w:tcPr>
          <w:p>
            <w:pPr>
              <w:ind w:firstLine="24" w:firstLineChars="10"/>
              <w:rPr>
                <w:rFonts w:eastAsia="仿宋"/>
                <w:kern w:val="0"/>
              </w:rPr>
            </w:pPr>
            <w:r>
              <w:rPr>
                <w:rFonts w:eastAsia="仿宋"/>
                <w:sz w:val="24"/>
              </w:rPr>
              <w:t>≥7.2m</w:t>
            </w:r>
          </w:p>
        </w:tc>
        <w:tc>
          <w:tcPr>
            <w:tcW w:w="2019" w:type="dxa"/>
            <w:vMerge w:val="restart"/>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引入波束偏差</w:t>
            </w:r>
          </w:p>
        </w:tc>
        <w:tc>
          <w:tcPr>
            <w:tcW w:w="2976" w:type="dxa"/>
            <w:vAlign w:val="center"/>
          </w:tcPr>
          <w:p>
            <w:pPr>
              <w:ind w:firstLine="24" w:firstLineChars="10"/>
              <w:rPr>
                <w:rFonts w:eastAsia="仿宋"/>
                <w:kern w:val="0"/>
              </w:rPr>
            </w:pPr>
            <w:r>
              <w:rPr>
                <w:rFonts w:eastAsia="仿宋"/>
                <w:kern w:val="0"/>
                <w:sz w:val="24"/>
              </w:rPr>
              <w:t>≤0.03°</w:t>
            </w:r>
          </w:p>
        </w:tc>
        <w:tc>
          <w:tcPr>
            <w:tcW w:w="2019" w:type="dxa"/>
            <w:vMerge/>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引入波束展宽</w:t>
            </w:r>
          </w:p>
        </w:tc>
        <w:tc>
          <w:tcPr>
            <w:tcW w:w="2976" w:type="dxa"/>
            <w:vAlign w:val="center"/>
          </w:tcPr>
          <w:p>
            <w:pPr>
              <w:ind w:firstLine="24" w:firstLineChars="10"/>
              <w:rPr>
                <w:rFonts w:eastAsia="仿宋"/>
                <w:kern w:val="0"/>
              </w:rPr>
            </w:pPr>
            <w:r>
              <w:rPr>
                <w:rFonts w:eastAsia="仿宋"/>
                <w:kern w:val="0"/>
                <w:sz w:val="24"/>
              </w:rPr>
              <w:t>≤5%</w:t>
            </w:r>
          </w:p>
        </w:tc>
        <w:tc>
          <w:tcPr>
            <w:tcW w:w="2019" w:type="dxa"/>
            <w:vMerge/>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射频损失</w:t>
            </w:r>
          </w:p>
        </w:tc>
        <w:tc>
          <w:tcPr>
            <w:tcW w:w="2976" w:type="dxa"/>
            <w:vAlign w:val="center"/>
          </w:tcPr>
          <w:p>
            <w:pPr>
              <w:ind w:firstLine="24" w:firstLineChars="10"/>
              <w:rPr>
                <w:rFonts w:eastAsia="仿宋"/>
                <w:kern w:val="0"/>
              </w:rPr>
            </w:pPr>
            <w:r>
              <w:rPr>
                <w:rFonts w:eastAsia="仿宋"/>
                <w:kern w:val="0"/>
                <w:sz w:val="24"/>
              </w:rPr>
              <w:t>≤0.6dB</w:t>
            </w:r>
          </w:p>
        </w:tc>
        <w:tc>
          <w:tcPr>
            <w:tcW w:w="2019" w:type="dxa"/>
            <w:vAlign w:val="center"/>
          </w:tcPr>
          <w:p>
            <w:pPr>
              <w:rPr>
                <w:rFonts w:eastAsia="仿宋"/>
                <w:kern w:val="0"/>
              </w:rPr>
            </w:pPr>
            <w:r>
              <w:rPr>
                <w:rFonts w:eastAsia="仿宋"/>
                <w:kern w:val="0"/>
                <w:sz w:val="24"/>
              </w:rPr>
              <w:t>双程</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与天线口径比</w:t>
            </w:r>
          </w:p>
        </w:tc>
        <w:tc>
          <w:tcPr>
            <w:tcW w:w="2976" w:type="dxa"/>
            <w:vAlign w:val="center"/>
          </w:tcPr>
          <w:p>
            <w:pPr>
              <w:ind w:firstLine="24" w:firstLineChars="10"/>
              <w:rPr>
                <w:rFonts w:eastAsia="仿宋"/>
                <w:kern w:val="0"/>
              </w:rPr>
            </w:pPr>
            <w:r>
              <w:rPr>
                <w:rFonts w:eastAsia="仿宋"/>
                <w:kern w:val="0"/>
                <w:sz w:val="24"/>
              </w:rPr>
              <w:t>≥1.5</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ind w:firstLine="24" w:firstLineChars="10"/>
              <w:rPr>
                <w:rFonts w:eastAsia="仿宋"/>
                <w:b/>
                <w:bCs/>
                <w:kern w:val="0"/>
              </w:rPr>
            </w:pPr>
            <w:r>
              <w:rPr>
                <w:rFonts w:eastAsia="仿宋"/>
                <w:b/>
                <w:bCs/>
                <w:kern w:val="0"/>
                <w:sz w:val="24"/>
              </w:rPr>
              <w:t>1.2. 天线系统</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功率增益</w:t>
            </w:r>
          </w:p>
        </w:tc>
        <w:tc>
          <w:tcPr>
            <w:tcW w:w="2976" w:type="dxa"/>
            <w:vAlign w:val="center"/>
          </w:tcPr>
          <w:p>
            <w:pPr>
              <w:ind w:firstLine="24" w:firstLineChars="10"/>
              <w:rPr>
                <w:rFonts w:eastAsia="仿宋"/>
                <w:kern w:val="0"/>
              </w:rPr>
            </w:pPr>
            <w:r>
              <w:rPr>
                <w:rFonts w:eastAsia="仿宋"/>
                <w:kern w:val="0"/>
                <w:sz w:val="24"/>
              </w:rPr>
              <w:t>≥43.0dB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color w:val="FF0000"/>
                <w:kern w:val="0"/>
                <w:sz w:val="24"/>
              </w:rPr>
              <w:t>#</w:t>
            </w:r>
            <w:r>
              <w:rPr>
                <w:rFonts w:eastAsia="仿宋"/>
                <w:kern w:val="0"/>
                <w:sz w:val="24"/>
              </w:rPr>
              <w:t>波束宽度</w:t>
            </w:r>
          </w:p>
        </w:tc>
        <w:tc>
          <w:tcPr>
            <w:tcW w:w="1843" w:type="dxa"/>
            <w:vAlign w:val="center"/>
          </w:tcPr>
          <w:p>
            <w:pPr>
              <w:ind w:firstLine="17" w:firstLineChars="7"/>
              <w:rPr>
                <w:rFonts w:eastAsia="仿宋"/>
                <w:kern w:val="0"/>
              </w:rPr>
            </w:pPr>
            <w:r>
              <w:rPr>
                <w:rFonts w:eastAsia="仿宋"/>
                <w:kern w:val="0"/>
                <w:sz w:val="24"/>
              </w:rPr>
              <w:t>H面</w:t>
            </w:r>
          </w:p>
        </w:tc>
        <w:tc>
          <w:tcPr>
            <w:tcW w:w="2976" w:type="dxa"/>
            <w:vAlign w:val="center"/>
          </w:tcPr>
          <w:p>
            <w:pPr>
              <w:ind w:firstLine="24" w:firstLineChars="10"/>
              <w:rPr>
                <w:rFonts w:eastAsia="仿宋"/>
                <w:kern w:val="0"/>
              </w:rPr>
            </w:pPr>
            <w:r>
              <w:rPr>
                <w:rFonts w:eastAsia="仿宋"/>
                <w:kern w:val="0"/>
                <w:sz w:val="24"/>
              </w:rPr>
              <w:t>≤1.0°</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E面</w:t>
            </w:r>
          </w:p>
        </w:tc>
        <w:tc>
          <w:tcPr>
            <w:tcW w:w="2976" w:type="dxa"/>
            <w:vAlign w:val="center"/>
          </w:tcPr>
          <w:p>
            <w:pPr>
              <w:ind w:firstLine="24" w:firstLineChars="10"/>
              <w:rPr>
                <w:rFonts w:eastAsia="仿宋"/>
                <w:kern w:val="0"/>
              </w:rPr>
            </w:pPr>
            <w:r>
              <w:rPr>
                <w:rFonts w:eastAsia="仿宋"/>
                <w:kern w:val="0"/>
                <w:sz w:val="24"/>
              </w:rPr>
              <w:t>≤1.0°</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第一副瓣电平</w:t>
            </w:r>
          </w:p>
        </w:tc>
        <w:tc>
          <w:tcPr>
            <w:tcW w:w="2976" w:type="dxa"/>
            <w:vAlign w:val="center"/>
          </w:tcPr>
          <w:p>
            <w:pPr>
              <w:ind w:firstLine="24" w:firstLineChars="10"/>
              <w:rPr>
                <w:rFonts w:eastAsia="仿宋"/>
                <w:kern w:val="0"/>
              </w:rPr>
            </w:pPr>
            <w:r>
              <w:rPr>
                <w:rFonts w:eastAsia="仿宋"/>
                <w:kern w:val="0"/>
                <w:sz w:val="24"/>
              </w:rPr>
              <w:t>≤-27.0dB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远端副瓣电平(±10°以外)</w:t>
            </w:r>
          </w:p>
        </w:tc>
        <w:tc>
          <w:tcPr>
            <w:tcW w:w="2976" w:type="dxa"/>
            <w:vAlign w:val="center"/>
          </w:tcPr>
          <w:p>
            <w:pPr>
              <w:ind w:firstLine="24" w:firstLineChars="10"/>
              <w:rPr>
                <w:rFonts w:eastAsia="仿宋"/>
                <w:kern w:val="0"/>
              </w:rPr>
            </w:pPr>
            <w:r>
              <w:rPr>
                <w:rFonts w:eastAsia="仿宋"/>
                <w:kern w:val="0"/>
                <w:sz w:val="24"/>
              </w:rPr>
              <w:t>≤-40.0dB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PPI扫描范围</w:t>
            </w:r>
          </w:p>
        </w:tc>
        <w:tc>
          <w:tcPr>
            <w:tcW w:w="2976" w:type="dxa"/>
            <w:vAlign w:val="center"/>
          </w:tcPr>
          <w:p>
            <w:pPr>
              <w:ind w:firstLine="24" w:firstLineChars="10"/>
              <w:rPr>
                <w:rFonts w:eastAsia="仿宋"/>
                <w:kern w:val="0"/>
              </w:rPr>
            </w:pPr>
            <w:r>
              <w:rPr>
                <w:rFonts w:eastAsia="仿宋"/>
                <w:kern w:val="0"/>
                <w:sz w:val="24"/>
              </w:rPr>
              <w:t>0°～360°</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RHI扫描范围</w:t>
            </w:r>
          </w:p>
        </w:tc>
        <w:tc>
          <w:tcPr>
            <w:tcW w:w="2976" w:type="dxa"/>
            <w:vAlign w:val="center"/>
          </w:tcPr>
          <w:p>
            <w:pPr>
              <w:ind w:firstLine="24" w:firstLineChars="10"/>
              <w:rPr>
                <w:rFonts w:eastAsia="仿宋"/>
                <w:kern w:val="0"/>
              </w:rPr>
            </w:pPr>
            <w:r>
              <w:rPr>
                <w:rFonts w:eastAsia="仿宋"/>
                <w:kern w:val="0"/>
                <w:sz w:val="24"/>
              </w:rPr>
              <w:t>0°～30°</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6618" w:type="dxa"/>
            <w:gridSpan w:val="3"/>
            <w:vAlign w:val="center"/>
          </w:tcPr>
          <w:p>
            <w:pPr>
              <w:ind w:firstLine="17" w:firstLineChars="7"/>
              <w:rPr>
                <w:rFonts w:eastAsia="仿宋"/>
                <w:b/>
                <w:bCs/>
                <w:kern w:val="0"/>
              </w:rPr>
            </w:pPr>
            <w:r>
              <w:rPr>
                <w:rFonts w:eastAsia="仿宋"/>
                <w:b/>
                <w:bCs/>
                <w:kern w:val="0"/>
                <w:sz w:val="24"/>
              </w:rPr>
              <w:t>1.3. 馈线系统</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收发支路馈线损耗</w:t>
            </w:r>
          </w:p>
        </w:tc>
        <w:tc>
          <w:tcPr>
            <w:tcW w:w="2976" w:type="dxa"/>
            <w:vAlign w:val="center"/>
          </w:tcPr>
          <w:p>
            <w:pPr>
              <w:ind w:firstLine="24" w:firstLineChars="10"/>
              <w:rPr>
                <w:rFonts w:eastAsia="仿宋"/>
                <w:kern w:val="0"/>
              </w:rPr>
            </w:pPr>
            <w:r>
              <w:rPr>
                <w:rFonts w:eastAsia="仿宋"/>
                <w:kern w:val="0"/>
                <w:sz w:val="24"/>
              </w:rPr>
              <w:t>发射支路损耗：≤4 dB</w:t>
            </w:r>
          </w:p>
          <w:p>
            <w:pPr>
              <w:ind w:firstLine="24" w:firstLineChars="10"/>
              <w:rPr>
                <w:rFonts w:eastAsia="仿宋"/>
                <w:kern w:val="0"/>
              </w:rPr>
            </w:pPr>
            <w:r>
              <w:rPr>
                <w:rFonts w:eastAsia="仿宋"/>
                <w:kern w:val="0"/>
                <w:sz w:val="24"/>
              </w:rPr>
              <w:t>接收支路损耗均：≤4 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驻波比</w:t>
            </w:r>
          </w:p>
        </w:tc>
        <w:tc>
          <w:tcPr>
            <w:tcW w:w="2976" w:type="dxa"/>
            <w:vAlign w:val="center"/>
          </w:tcPr>
          <w:p>
            <w:pPr>
              <w:ind w:firstLine="24" w:firstLineChars="10"/>
              <w:rPr>
                <w:rFonts w:eastAsia="仿宋"/>
                <w:kern w:val="0"/>
              </w:rPr>
            </w:pPr>
            <w:r>
              <w:rPr>
                <w:rFonts w:eastAsia="仿宋"/>
                <w:kern w:val="0"/>
                <w:sz w:val="24"/>
              </w:rPr>
              <w:t>≤1.5:1</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ind w:firstLine="17" w:firstLineChars="7"/>
              <w:rPr>
                <w:rFonts w:eastAsia="仿宋"/>
                <w:b/>
                <w:bCs/>
                <w:kern w:val="0"/>
              </w:rPr>
            </w:pPr>
            <w:r>
              <w:rPr>
                <w:rFonts w:eastAsia="仿宋"/>
                <w:b/>
                <w:bCs/>
                <w:kern w:val="0"/>
                <w:sz w:val="24"/>
              </w:rPr>
              <w:t>1.4. 伺服系统</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kern w:val="0"/>
                <w:sz w:val="24"/>
              </w:rPr>
              <w:t>天线扫描范围</w:t>
            </w:r>
          </w:p>
        </w:tc>
        <w:tc>
          <w:tcPr>
            <w:tcW w:w="1843" w:type="dxa"/>
            <w:vAlign w:val="center"/>
          </w:tcPr>
          <w:p>
            <w:pPr>
              <w:ind w:firstLine="17" w:firstLineChars="7"/>
              <w:rPr>
                <w:rFonts w:eastAsia="仿宋"/>
                <w:kern w:val="0"/>
              </w:rPr>
            </w:pPr>
            <w:r>
              <w:rPr>
                <w:rFonts w:eastAsia="仿宋"/>
                <w:kern w:val="0"/>
                <w:sz w:val="24"/>
              </w:rPr>
              <w:t>方位</w:t>
            </w:r>
          </w:p>
        </w:tc>
        <w:tc>
          <w:tcPr>
            <w:tcW w:w="2976" w:type="dxa"/>
            <w:vAlign w:val="center"/>
          </w:tcPr>
          <w:p>
            <w:pPr>
              <w:ind w:firstLine="24" w:firstLineChars="10"/>
              <w:rPr>
                <w:rFonts w:eastAsia="仿宋"/>
                <w:kern w:val="0"/>
              </w:rPr>
            </w:pPr>
            <w:r>
              <w:rPr>
                <w:rFonts w:eastAsia="仿宋"/>
                <w:kern w:val="0"/>
                <w:sz w:val="24"/>
              </w:rPr>
              <w:t>0°～360°</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俯仰</w:t>
            </w:r>
          </w:p>
        </w:tc>
        <w:tc>
          <w:tcPr>
            <w:tcW w:w="2976" w:type="dxa"/>
            <w:vAlign w:val="center"/>
          </w:tcPr>
          <w:p>
            <w:pPr>
              <w:ind w:firstLine="24" w:firstLineChars="10"/>
              <w:rPr>
                <w:rFonts w:eastAsia="仿宋"/>
                <w:kern w:val="0"/>
              </w:rPr>
            </w:pPr>
            <w:r>
              <w:rPr>
                <w:rFonts w:eastAsia="仿宋"/>
                <w:kern w:val="0"/>
                <w:sz w:val="24"/>
              </w:rPr>
              <w:t>－2°～＋90°</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color w:val="FF0000"/>
                <w:kern w:val="0"/>
                <w:sz w:val="24"/>
              </w:rPr>
              <w:t>#</w:t>
            </w:r>
            <w:r>
              <w:rPr>
                <w:rFonts w:eastAsia="仿宋"/>
                <w:kern w:val="0"/>
                <w:sz w:val="24"/>
              </w:rPr>
              <w:t>最大扫描速度</w:t>
            </w:r>
          </w:p>
        </w:tc>
        <w:tc>
          <w:tcPr>
            <w:tcW w:w="1843" w:type="dxa"/>
            <w:vAlign w:val="center"/>
          </w:tcPr>
          <w:p>
            <w:pPr>
              <w:ind w:firstLine="17" w:firstLineChars="7"/>
              <w:rPr>
                <w:rFonts w:eastAsia="仿宋"/>
                <w:kern w:val="0"/>
              </w:rPr>
            </w:pPr>
            <w:r>
              <w:rPr>
                <w:rFonts w:eastAsia="仿宋"/>
                <w:kern w:val="0"/>
                <w:sz w:val="24"/>
              </w:rPr>
              <w:t>方位</w:t>
            </w:r>
          </w:p>
        </w:tc>
        <w:tc>
          <w:tcPr>
            <w:tcW w:w="2976" w:type="dxa"/>
            <w:vAlign w:val="center"/>
          </w:tcPr>
          <w:p>
            <w:pPr>
              <w:ind w:firstLine="24" w:firstLineChars="10"/>
              <w:rPr>
                <w:rFonts w:eastAsia="仿宋"/>
                <w:kern w:val="0"/>
              </w:rPr>
            </w:pPr>
            <w:r>
              <w:rPr>
                <w:rFonts w:eastAsia="仿宋"/>
                <w:kern w:val="0"/>
                <w:sz w:val="24"/>
              </w:rPr>
              <w:t>≥36°/s，误差不大于5%</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俯仰</w:t>
            </w:r>
          </w:p>
        </w:tc>
        <w:tc>
          <w:tcPr>
            <w:tcW w:w="2976" w:type="dxa"/>
            <w:vAlign w:val="center"/>
          </w:tcPr>
          <w:p>
            <w:pPr>
              <w:ind w:firstLine="24" w:firstLineChars="10"/>
              <w:rPr>
                <w:rFonts w:eastAsia="仿宋"/>
                <w:kern w:val="0"/>
              </w:rPr>
            </w:pPr>
            <w:r>
              <w:rPr>
                <w:rFonts w:eastAsia="仿宋"/>
                <w:kern w:val="0"/>
                <w:sz w:val="24"/>
              </w:rPr>
              <w:t>≥12°/s，误差不大于5%</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kern w:val="0"/>
                <w:sz w:val="24"/>
              </w:rPr>
              <w:t>天线加速度</w:t>
            </w:r>
          </w:p>
        </w:tc>
        <w:tc>
          <w:tcPr>
            <w:tcW w:w="1843" w:type="dxa"/>
            <w:vAlign w:val="center"/>
          </w:tcPr>
          <w:p>
            <w:pPr>
              <w:ind w:firstLine="17" w:firstLineChars="7"/>
              <w:rPr>
                <w:rFonts w:eastAsia="仿宋"/>
                <w:kern w:val="0"/>
              </w:rPr>
            </w:pPr>
            <w:r>
              <w:rPr>
                <w:rFonts w:eastAsia="仿宋"/>
                <w:kern w:val="0"/>
                <w:sz w:val="24"/>
              </w:rPr>
              <w:t>方位</w:t>
            </w:r>
          </w:p>
        </w:tc>
        <w:tc>
          <w:tcPr>
            <w:tcW w:w="2976" w:type="dxa"/>
            <w:vAlign w:val="center"/>
          </w:tcPr>
          <w:p>
            <w:pPr>
              <w:ind w:firstLine="24" w:firstLineChars="10"/>
              <w:rPr>
                <w:rFonts w:eastAsia="仿宋"/>
                <w:kern w:val="0"/>
              </w:rPr>
            </w:pPr>
            <w:r>
              <w:rPr>
                <w:rFonts w:eastAsia="仿宋"/>
                <w:kern w:val="0"/>
                <w:sz w:val="24"/>
              </w:rPr>
              <w:t>≥15°/s</w:t>
            </w:r>
            <w:r>
              <w:rPr>
                <w:rFonts w:eastAsia="仿宋"/>
                <w:kern w:val="0"/>
                <w:sz w:val="24"/>
                <w:vertAlign w:val="superscript"/>
              </w:rPr>
              <w:t>2</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俯仰</w:t>
            </w:r>
          </w:p>
        </w:tc>
        <w:tc>
          <w:tcPr>
            <w:tcW w:w="2976" w:type="dxa"/>
            <w:vAlign w:val="center"/>
          </w:tcPr>
          <w:p>
            <w:pPr>
              <w:ind w:firstLine="24" w:firstLineChars="10"/>
              <w:rPr>
                <w:rFonts w:eastAsia="仿宋"/>
                <w:kern w:val="0"/>
              </w:rPr>
            </w:pPr>
            <w:r>
              <w:rPr>
                <w:rFonts w:eastAsia="仿宋"/>
                <w:kern w:val="0"/>
                <w:sz w:val="24"/>
              </w:rPr>
              <w:t>≥15°/s</w:t>
            </w:r>
            <w:r>
              <w:rPr>
                <w:rFonts w:eastAsia="仿宋"/>
                <w:kern w:val="0"/>
                <w:sz w:val="24"/>
                <w:vertAlign w:val="superscript"/>
              </w:rPr>
              <w:t>2</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color w:val="FF0000"/>
                <w:kern w:val="0"/>
                <w:sz w:val="24"/>
              </w:rPr>
              <w:t>#</w:t>
            </w:r>
            <w:r>
              <w:rPr>
                <w:rFonts w:eastAsia="仿宋"/>
                <w:kern w:val="0"/>
                <w:sz w:val="24"/>
              </w:rPr>
              <w:t>伺服系统角度控制精度</w:t>
            </w:r>
          </w:p>
        </w:tc>
        <w:tc>
          <w:tcPr>
            <w:tcW w:w="1843" w:type="dxa"/>
            <w:vAlign w:val="center"/>
          </w:tcPr>
          <w:p>
            <w:pPr>
              <w:ind w:firstLine="17" w:firstLineChars="7"/>
              <w:rPr>
                <w:rFonts w:eastAsia="仿宋"/>
                <w:kern w:val="0"/>
              </w:rPr>
            </w:pPr>
            <w:r>
              <w:rPr>
                <w:rFonts w:eastAsia="仿宋"/>
                <w:kern w:val="0"/>
                <w:sz w:val="24"/>
              </w:rPr>
              <w:t>方位角</w:t>
            </w:r>
          </w:p>
        </w:tc>
        <w:tc>
          <w:tcPr>
            <w:tcW w:w="2976" w:type="dxa"/>
            <w:vAlign w:val="center"/>
          </w:tcPr>
          <w:p>
            <w:pPr>
              <w:ind w:firstLine="24" w:firstLineChars="10"/>
              <w:rPr>
                <w:rFonts w:eastAsia="仿宋"/>
                <w:kern w:val="0"/>
              </w:rPr>
            </w:pPr>
            <w:r>
              <w:rPr>
                <w:rFonts w:eastAsia="仿宋"/>
                <w:kern w:val="0"/>
                <w:sz w:val="24"/>
              </w:rPr>
              <w:t>优于±0.1°</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俯仰角</w:t>
            </w:r>
          </w:p>
        </w:tc>
        <w:tc>
          <w:tcPr>
            <w:tcW w:w="2976" w:type="dxa"/>
            <w:vAlign w:val="center"/>
          </w:tcPr>
          <w:p>
            <w:pPr>
              <w:ind w:firstLine="24" w:firstLineChars="10"/>
              <w:rPr>
                <w:rFonts w:eastAsia="仿宋"/>
                <w:kern w:val="0"/>
              </w:rPr>
            </w:pPr>
            <w:r>
              <w:rPr>
                <w:rFonts w:eastAsia="仿宋"/>
                <w:kern w:val="0"/>
                <w:sz w:val="24"/>
              </w:rPr>
              <w:t>优于±0.1°</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color w:val="FF0000"/>
                <w:kern w:val="0"/>
                <w:sz w:val="24"/>
              </w:rPr>
              <w:t>#</w:t>
            </w:r>
            <w:r>
              <w:rPr>
                <w:rFonts w:eastAsia="仿宋"/>
                <w:kern w:val="0"/>
                <w:sz w:val="24"/>
              </w:rPr>
              <w:t>天线空间指向误差</w:t>
            </w:r>
          </w:p>
        </w:tc>
        <w:tc>
          <w:tcPr>
            <w:tcW w:w="1843" w:type="dxa"/>
            <w:vAlign w:val="center"/>
          </w:tcPr>
          <w:p>
            <w:pPr>
              <w:ind w:firstLine="17" w:firstLineChars="7"/>
              <w:rPr>
                <w:rFonts w:eastAsia="仿宋"/>
                <w:kern w:val="0"/>
              </w:rPr>
            </w:pPr>
            <w:r>
              <w:rPr>
                <w:rFonts w:eastAsia="仿宋"/>
                <w:kern w:val="0"/>
                <w:sz w:val="24"/>
              </w:rPr>
              <w:t>方位角</w:t>
            </w:r>
          </w:p>
        </w:tc>
        <w:tc>
          <w:tcPr>
            <w:tcW w:w="2976" w:type="dxa"/>
            <w:vAlign w:val="center"/>
          </w:tcPr>
          <w:p>
            <w:pPr>
              <w:ind w:firstLine="24" w:firstLineChars="10"/>
              <w:rPr>
                <w:rFonts w:eastAsia="仿宋"/>
                <w:kern w:val="0"/>
              </w:rPr>
            </w:pPr>
            <w:r>
              <w:rPr>
                <w:rFonts w:eastAsia="仿宋"/>
                <w:kern w:val="0"/>
                <w:sz w:val="24"/>
              </w:rPr>
              <w:t>优于±0.1°</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俯仰角</w:t>
            </w:r>
          </w:p>
        </w:tc>
        <w:tc>
          <w:tcPr>
            <w:tcW w:w="2976" w:type="dxa"/>
            <w:vAlign w:val="center"/>
          </w:tcPr>
          <w:p>
            <w:pPr>
              <w:ind w:firstLine="24" w:firstLineChars="10"/>
              <w:rPr>
                <w:rFonts w:eastAsia="仿宋"/>
                <w:kern w:val="0"/>
              </w:rPr>
            </w:pPr>
            <w:r>
              <w:rPr>
                <w:rFonts w:eastAsia="仿宋"/>
                <w:kern w:val="0"/>
                <w:sz w:val="24"/>
              </w:rPr>
              <w:t>优于±0.1°</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天线座水平度</w:t>
            </w:r>
          </w:p>
        </w:tc>
        <w:tc>
          <w:tcPr>
            <w:tcW w:w="2976" w:type="dxa"/>
            <w:vAlign w:val="center"/>
          </w:tcPr>
          <w:p>
            <w:pPr>
              <w:ind w:firstLine="24" w:firstLineChars="10"/>
              <w:rPr>
                <w:rFonts w:eastAsia="仿宋"/>
                <w:kern w:val="0"/>
              </w:rPr>
            </w:pPr>
            <w:r>
              <w:rPr>
                <w:rFonts w:eastAsia="仿宋"/>
                <w:kern w:val="0"/>
                <w:sz w:val="24"/>
              </w:rPr>
              <w:t>≤30″</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ind w:firstLine="17" w:firstLineChars="7"/>
              <w:rPr>
                <w:rFonts w:eastAsia="仿宋"/>
                <w:b/>
                <w:bCs/>
                <w:kern w:val="0"/>
              </w:rPr>
            </w:pPr>
            <w:r>
              <w:rPr>
                <w:rFonts w:eastAsia="仿宋"/>
                <w:b/>
                <w:bCs/>
                <w:kern w:val="0"/>
                <w:sz w:val="24"/>
              </w:rPr>
              <w:t>2.发射机</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工作频率</w:t>
            </w:r>
          </w:p>
        </w:tc>
        <w:tc>
          <w:tcPr>
            <w:tcW w:w="2976" w:type="dxa"/>
            <w:vAlign w:val="center"/>
          </w:tcPr>
          <w:p>
            <w:pPr>
              <w:ind w:firstLine="24" w:firstLineChars="10"/>
              <w:rPr>
                <w:rFonts w:eastAsia="仿宋"/>
                <w:kern w:val="0"/>
              </w:rPr>
            </w:pPr>
            <w:r>
              <w:rPr>
                <w:rFonts w:eastAsia="仿宋"/>
                <w:kern w:val="0"/>
                <w:sz w:val="24"/>
              </w:rPr>
              <w:t>5.3 GHz～5.7GHz</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kern w:val="0"/>
                <w:sz w:val="24"/>
              </w:rPr>
              <w:t>脉冲重复频率</w:t>
            </w:r>
          </w:p>
        </w:tc>
        <w:tc>
          <w:tcPr>
            <w:tcW w:w="1843" w:type="dxa"/>
            <w:vAlign w:val="center"/>
          </w:tcPr>
          <w:p>
            <w:pPr>
              <w:ind w:firstLine="17" w:firstLineChars="7"/>
              <w:rPr>
                <w:rFonts w:eastAsia="仿宋"/>
                <w:kern w:val="0"/>
              </w:rPr>
            </w:pPr>
            <w:r>
              <w:rPr>
                <w:rFonts w:eastAsia="仿宋"/>
                <w:kern w:val="0"/>
                <w:sz w:val="24"/>
              </w:rPr>
              <w:t>窄脉冲</w:t>
            </w:r>
          </w:p>
        </w:tc>
        <w:tc>
          <w:tcPr>
            <w:tcW w:w="2976" w:type="dxa"/>
            <w:vAlign w:val="center"/>
          </w:tcPr>
          <w:p>
            <w:pPr>
              <w:ind w:firstLine="24" w:firstLineChars="10"/>
              <w:rPr>
                <w:rFonts w:eastAsia="仿宋"/>
                <w:kern w:val="0"/>
              </w:rPr>
            </w:pPr>
            <w:r>
              <w:rPr>
                <w:rFonts w:eastAsia="仿宋"/>
                <w:kern w:val="0"/>
                <w:sz w:val="24"/>
              </w:rPr>
              <w:t>300 Hz～2000Hz</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宽脉冲</w:t>
            </w:r>
          </w:p>
        </w:tc>
        <w:tc>
          <w:tcPr>
            <w:tcW w:w="2976" w:type="dxa"/>
            <w:vAlign w:val="center"/>
          </w:tcPr>
          <w:p>
            <w:pPr>
              <w:ind w:firstLine="24" w:firstLineChars="10"/>
              <w:rPr>
                <w:rFonts w:eastAsia="仿宋"/>
                <w:kern w:val="0"/>
              </w:rPr>
            </w:pPr>
            <w:r>
              <w:rPr>
                <w:rFonts w:eastAsia="仿宋"/>
                <w:kern w:val="0"/>
                <w:sz w:val="24"/>
              </w:rPr>
              <w:t>300Hz~1000Hz</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参差脉冲重复频率比</w:t>
            </w:r>
          </w:p>
        </w:tc>
        <w:tc>
          <w:tcPr>
            <w:tcW w:w="2976" w:type="dxa"/>
            <w:vAlign w:val="center"/>
          </w:tcPr>
          <w:p>
            <w:pPr>
              <w:ind w:firstLine="24" w:firstLineChars="10"/>
              <w:rPr>
                <w:rFonts w:eastAsia="仿宋"/>
                <w:kern w:val="0"/>
              </w:rPr>
            </w:pPr>
            <w:r>
              <w:rPr>
                <w:rFonts w:eastAsia="仿宋"/>
                <w:kern w:val="0"/>
                <w:sz w:val="24"/>
              </w:rPr>
              <w:t>3/2，4/3，5/4</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ind w:firstLine="17" w:firstLineChars="7"/>
              <w:rPr>
                <w:rFonts w:eastAsia="仿宋"/>
                <w:b/>
                <w:bCs/>
                <w:kern w:val="0"/>
              </w:rPr>
            </w:pPr>
            <w:r>
              <w:rPr>
                <w:rFonts w:eastAsia="仿宋"/>
                <w:b/>
                <w:bCs/>
                <w:kern w:val="0"/>
                <w:sz w:val="24"/>
              </w:rPr>
              <w:t>2.1. 脉冲包络</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kern w:val="0"/>
                <w:sz w:val="24"/>
              </w:rPr>
              <w:t>脉冲宽度</w:t>
            </w:r>
          </w:p>
        </w:tc>
        <w:tc>
          <w:tcPr>
            <w:tcW w:w="1843" w:type="dxa"/>
            <w:vAlign w:val="center"/>
          </w:tcPr>
          <w:p>
            <w:pPr>
              <w:ind w:firstLine="17" w:firstLineChars="7"/>
              <w:rPr>
                <w:rFonts w:eastAsia="仿宋"/>
                <w:kern w:val="0"/>
              </w:rPr>
            </w:pPr>
            <w:r>
              <w:rPr>
                <w:rFonts w:eastAsia="仿宋"/>
                <w:kern w:val="0"/>
                <w:sz w:val="24"/>
              </w:rPr>
              <w:t>窄脉冲</w:t>
            </w:r>
          </w:p>
        </w:tc>
        <w:tc>
          <w:tcPr>
            <w:tcW w:w="2976" w:type="dxa"/>
            <w:vAlign w:val="center"/>
          </w:tcPr>
          <w:p>
            <w:pPr>
              <w:ind w:firstLine="24" w:firstLineChars="10"/>
              <w:rPr>
                <w:rFonts w:eastAsia="仿宋"/>
                <w:kern w:val="0"/>
              </w:rPr>
            </w:pPr>
            <w:r>
              <w:rPr>
                <w:rFonts w:eastAsia="仿宋"/>
                <w:kern w:val="0"/>
                <w:sz w:val="24"/>
              </w:rPr>
              <w:t>1.00μs±0.10μs</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宽脉冲</w:t>
            </w:r>
          </w:p>
        </w:tc>
        <w:tc>
          <w:tcPr>
            <w:tcW w:w="2976" w:type="dxa"/>
            <w:vAlign w:val="center"/>
          </w:tcPr>
          <w:p>
            <w:pPr>
              <w:ind w:firstLine="24" w:firstLineChars="10"/>
              <w:rPr>
                <w:rFonts w:eastAsia="仿宋"/>
                <w:kern w:val="0"/>
              </w:rPr>
            </w:pPr>
            <w:r>
              <w:rPr>
                <w:rFonts w:eastAsia="仿宋"/>
                <w:kern w:val="0"/>
                <w:sz w:val="24"/>
              </w:rPr>
              <w:t>2.00μs±0.20μs</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上升时间</w:t>
            </w:r>
          </w:p>
        </w:tc>
        <w:tc>
          <w:tcPr>
            <w:tcW w:w="2976" w:type="dxa"/>
            <w:vMerge w:val="restart"/>
            <w:vAlign w:val="center"/>
          </w:tcPr>
          <w:p>
            <w:pPr>
              <w:ind w:firstLine="24" w:firstLineChars="10"/>
              <w:rPr>
                <w:rFonts w:eastAsia="仿宋"/>
                <w:kern w:val="0"/>
              </w:rPr>
            </w:pPr>
            <w:r>
              <w:rPr>
                <w:rFonts w:eastAsia="仿宋"/>
                <w:kern w:val="0"/>
                <w:sz w:val="24"/>
              </w:rPr>
              <w:t>80 ns～250ns</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下降时间</w:t>
            </w:r>
          </w:p>
        </w:tc>
        <w:tc>
          <w:tcPr>
            <w:tcW w:w="2976" w:type="dxa"/>
            <w:vMerge/>
            <w:vAlign w:val="center"/>
          </w:tcPr>
          <w:p>
            <w:pPr>
              <w:ind w:firstLine="21" w:firstLineChars="10"/>
              <w:rPr>
                <w:rFonts w:eastAsia="仿宋"/>
                <w:kern w:val="0"/>
              </w:rPr>
            </w:pP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顶降</w:t>
            </w:r>
          </w:p>
        </w:tc>
        <w:tc>
          <w:tcPr>
            <w:tcW w:w="2976" w:type="dxa"/>
            <w:vAlign w:val="center"/>
          </w:tcPr>
          <w:p>
            <w:pPr>
              <w:ind w:firstLine="24" w:firstLineChars="10"/>
              <w:rPr>
                <w:rFonts w:eastAsia="仿宋"/>
                <w:kern w:val="0"/>
              </w:rPr>
            </w:pPr>
            <w:r>
              <w:rPr>
                <w:rFonts w:eastAsia="仿宋"/>
                <w:kern w:val="0"/>
                <w:sz w:val="24"/>
              </w:rPr>
              <w:t>≤5%</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ind w:firstLine="17" w:firstLineChars="7"/>
              <w:rPr>
                <w:rFonts w:eastAsia="仿宋"/>
                <w:b/>
                <w:bCs/>
                <w:kern w:val="0"/>
              </w:rPr>
            </w:pPr>
            <w:r>
              <w:rPr>
                <w:rFonts w:eastAsia="仿宋"/>
                <w:b/>
                <w:bCs/>
                <w:kern w:val="0"/>
                <w:sz w:val="24"/>
              </w:rPr>
              <w:t>2.2. 峰值功率</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color w:val="FF0000"/>
                <w:kern w:val="0"/>
                <w:sz w:val="24"/>
              </w:rPr>
              <w:t>#</w:t>
            </w:r>
            <w:r>
              <w:rPr>
                <w:rFonts w:eastAsia="仿宋"/>
                <w:kern w:val="0"/>
                <w:sz w:val="24"/>
              </w:rPr>
              <w:t>机外峰值功率平均值</w:t>
            </w:r>
          </w:p>
        </w:tc>
        <w:tc>
          <w:tcPr>
            <w:tcW w:w="2976" w:type="dxa"/>
            <w:vAlign w:val="center"/>
          </w:tcPr>
          <w:p>
            <w:pPr>
              <w:ind w:firstLine="24" w:firstLineChars="10"/>
              <w:rPr>
                <w:rFonts w:eastAsia="仿宋"/>
                <w:kern w:val="0"/>
              </w:rPr>
            </w:pPr>
            <w:r>
              <w:rPr>
                <w:rFonts w:eastAsia="仿宋"/>
                <w:kern w:val="0"/>
                <w:sz w:val="24"/>
              </w:rPr>
              <w:t>≥250.0kW</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color w:val="FF0000"/>
                <w:kern w:val="0"/>
                <w:sz w:val="24"/>
              </w:rPr>
              <w:t>#</w:t>
            </w:r>
            <w:r>
              <w:rPr>
                <w:rFonts w:eastAsia="仿宋"/>
                <w:kern w:val="0"/>
                <w:sz w:val="24"/>
              </w:rPr>
              <w:t>机外峰值功率波动</w:t>
            </w:r>
          </w:p>
        </w:tc>
        <w:tc>
          <w:tcPr>
            <w:tcW w:w="2976" w:type="dxa"/>
            <w:vAlign w:val="center"/>
          </w:tcPr>
          <w:p>
            <w:pPr>
              <w:ind w:firstLine="24" w:firstLineChars="10"/>
              <w:rPr>
                <w:rFonts w:eastAsia="仿宋"/>
                <w:kern w:val="0"/>
              </w:rPr>
            </w:pPr>
            <w:r>
              <w:rPr>
                <w:rFonts w:eastAsia="仿宋"/>
                <w:kern w:val="0"/>
                <w:sz w:val="24"/>
              </w:rPr>
              <w:t>≤0.3dB</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机内峰值功率波动</w:t>
            </w:r>
          </w:p>
        </w:tc>
        <w:tc>
          <w:tcPr>
            <w:tcW w:w="2976" w:type="dxa"/>
            <w:vAlign w:val="center"/>
          </w:tcPr>
          <w:p>
            <w:pPr>
              <w:ind w:firstLine="24" w:firstLineChars="10"/>
              <w:rPr>
                <w:rFonts w:eastAsia="仿宋"/>
                <w:kern w:val="0"/>
              </w:rPr>
            </w:pPr>
            <w:r>
              <w:rPr>
                <w:rFonts w:eastAsia="仿宋"/>
                <w:kern w:val="0"/>
                <w:sz w:val="24"/>
              </w:rPr>
              <w:t>≤0.4dB</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机内、机外峰值功率测量差值</w:t>
            </w:r>
          </w:p>
        </w:tc>
        <w:tc>
          <w:tcPr>
            <w:tcW w:w="2976" w:type="dxa"/>
            <w:vAlign w:val="center"/>
          </w:tcPr>
          <w:p>
            <w:pPr>
              <w:ind w:firstLine="24" w:firstLineChars="10"/>
              <w:rPr>
                <w:rFonts w:eastAsia="仿宋"/>
                <w:kern w:val="0"/>
              </w:rPr>
            </w:pPr>
            <w:r>
              <w:rPr>
                <w:rFonts w:eastAsia="仿宋"/>
                <w:kern w:val="0"/>
                <w:sz w:val="24"/>
              </w:rPr>
              <w:t>优于±0.2dB</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ind w:firstLine="17" w:firstLineChars="7"/>
              <w:rPr>
                <w:rFonts w:eastAsia="仿宋"/>
                <w:b/>
                <w:bCs/>
                <w:kern w:val="0"/>
              </w:rPr>
            </w:pPr>
            <w:r>
              <w:rPr>
                <w:rFonts w:eastAsia="仿宋"/>
                <w:b/>
                <w:bCs/>
                <w:kern w:val="0"/>
                <w:sz w:val="24"/>
              </w:rPr>
              <w:t>2.3. 频谱</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color w:val="FF0000"/>
                <w:kern w:val="0"/>
                <w:sz w:val="24"/>
              </w:rPr>
              <w:t>#</w:t>
            </w:r>
            <w:r>
              <w:rPr>
                <w:rFonts w:eastAsia="仿宋"/>
                <w:kern w:val="0"/>
                <w:sz w:val="24"/>
              </w:rPr>
              <w:t>频谱特性</w:t>
            </w:r>
          </w:p>
        </w:tc>
        <w:tc>
          <w:tcPr>
            <w:tcW w:w="2976" w:type="dxa"/>
            <w:vAlign w:val="center"/>
          </w:tcPr>
          <w:p>
            <w:pPr>
              <w:ind w:firstLine="24" w:firstLineChars="10"/>
              <w:rPr>
                <w:rFonts w:eastAsia="仿宋"/>
                <w:kern w:val="0"/>
              </w:rPr>
            </w:pPr>
            <w:r>
              <w:rPr>
                <w:rFonts w:eastAsia="仿宋"/>
                <w:kern w:val="0"/>
                <w:sz w:val="24"/>
              </w:rPr>
              <w:t>≥-22.95 MHz</w:t>
            </w:r>
            <w:r>
              <w:rPr>
                <w:rFonts w:eastAsia="仿宋"/>
                <w:sz w:val="24"/>
              </w:rPr>
              <w:t>（左频偏）</w:t>
            </w:r>
          </w:p>
          <w:p>
            <w:pPr>
              <w:ind w:firstLine="24" w:firstLineChars="10"/>
              <w:rPr>
                <w:rFonts w:eastAsia="仿宋"/>
                <w:kern w:val="0"/>
              </w:rPr>
            </w:pPr>
            <w:r>
              <w:rPr>
                <w:rFonts w:eastAsia="仿宋"/>
                <w:kern w:val="0"/>
                <w:sz w:val="24"/>
              </w:rPr>
              <w:t>≤22.95 MHz</w:t>
            </w:r>
            <w:r>
              <w:rPr>
                <w:rFonts w:eastAsia="仿宋"/>
                <w:sz w:val="24"/>
              </w:rPr>
              <w:t>（右频偏）</w:t>
            </w:r>
          </w:p>
        </w:tc>
        <w:tc>
          <w:tcPr>
            <w:tcW w:w="2019" w:type="dxa"/>
            <w:vAlign w:val="center"/>
          </w:tcPr>
          <w:p>
            <w:pPr>
              <w:rPr>
                <w:rFonts w:eastAsia="仿宋"/>
                <w:kern w:val="0"/>
              </w:rPr>
            </w:pPr>
            <w:r>
              <w:rPr>
                <w:rFonts w:eastAsia="仿宋"/>
                <w:kern w:val="0"/>
                <w:sz w:val="24"/>
              </w:rPr>
              <w:t>衰减量-60dB处</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ind w:firstLine="17" w:firstLineChars="7"/>
              <w:rPr>
                <w:rFonts w:eastAsia="仿宋"/>
                <w:b/>
                <w:bCs/>
                <w:kern w:val="0"/>
              </w:rPr>
            </w:pPr>
            <w:r>
              <w:rPr>
                <w:rFonts w:eastAsia="仿宋"/>
                <w:b/>
                <w:bCs/>
                <w:kern w:val="0"/>
                <w:sz w:val="24"/>
              </w:rPr>
              <w:t>2.4. 改善因子及杂噪比</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发射机输出端极限改善因子</w:t>
            </w:r>
          </w:p>
        </w:tc>
        <w:tc>
          <w:tcPr>
            <w:tcW w:w="2976" w:type="dxa"/>
            <w:vAlign w:val="center"/>
          </w:tcPr>
          <w:p>
            <w:pPr>
              <w:ind w:firstLine="24" w:firstLineChars="10"/>
              <w:rPr>
                <w:rFonts w:eastAsia="仿宋"/>
                <w:kern w:val="0"/>
              </w:rPr>
            </w:pPr>
            <w:r>
              <w:rPr>
                <w:rFonts w:eastAsia="仿宋"/>
                <w:kern w:val="0"/>
                <w:sz w:val="24"/>
              </w:rPr>
              <w:t>≥52.0dB</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发射机输出端杂噪比(S/N)</w:t>
            </w:r>
          </w:p>
        </w:tc>
        <w:tc>
          <w:tcPr>
            <w:tcW w:w="2976" w:type="dxa"/>
            <w:vAlign w:val="center"/>
          </w:tcPr>
          <w:p>
            <w:pPr>
              <w:ind w:firstLine="24" w:firstLineChars="10"/>
              <w:rPr>
                <w:rFonts w:eastAsia="仿宋"/>
                <w:kern w:val="0"/>
              </w:rPr>
            </w:pPr>
            <w:r>
              <w:rPr>
                <w:rFonts w:eastAsia="仿宋"/>
                <w:kern w:val="0"/>
                <w:sz w:val="24"/>
              </w:rPr>
              <w:t>≤10.0dB</w:t>
            </w:r>
          </w:p>
        </w:tc>
        <w:tc>
          <w:tcPr>
            <w:tcW w:w="2019" w:type="dxa"/>
            <w:vAlign w:val="center"/>
          </w:tcPr>
          <w:p>
            <w:pPr>
              <w:rPr>
                <w:rFonts w:eastAsia="仿宋"/>
                <w:kern w:val="0"/>
              </w:rPr>
            </w:pPr>
            <w:r>
              <w:rPr>
                <w:rFonts w:eastAsia="仿宋"/>
                <w:kern w:val="0"/>
                <w:sz w:val="24"/>
              </w:rPr>
              <w:t>　</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ind w:firstLine="17" w:firstLineChars="7"/>
              <w:rPr>
                <w:rFonts w:eastAsia="仿宋"/>
                <w:kern w:val="0"/>
              </w:rPr>
            </w:pPr>
            <w:r>
              <w:rPr>
                <w:rFonts w:eastAsia="仿宋"/>
                <w:b/>
                <w:bCs/>
                <w:kern w:val="0"/>
                <w:sz w:val="24"/>
              </w:rPr>
              <w:t>3.接收机</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中频采样速率</w:t>
            </w:r>
          </w:p>
        </w:tc>
        <w:tc>
          <w:tcPr>
            <w:tcW w:w="2976" w:type="dxa"/>
            <w:vAlign w:val="center"/>
          </w:tcPr>
          <w:p>
            <w:pPr>
              <w:ind w:firstLine="24" w:firstLineChars="10"/>
              <w:rPr>
                <w:rFonts w:eastAsia="仿宋"/>
                <w:kern w:val="0"/>
              </w:rPr>
            </w:pPr>
            <w:r>
              <w:rPr>
                <w:rFonts w:eastAsia="仿宋"/>
                <w:kern w:val="0"/>
                <w:sz w:val="24"/>
              </w:rPr>
              <w:t>≥48.0 MHz</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Merge w:val="restart"/>
            <w:vAlign w:val="center"/>
          </w:tcPr>
          <w:p>
            <w:pPr>
              <w:ind w:firstLine="17" w:firstLineChars="7"/>
              <w:rPr>
                <w:rFonts w:eastAsia="仿宋"/>
                <w:kern w:val="0"/>
              </w:rPr>
            </w:pPr>
            <w:r>
              <w:rPr>
                <w:rFonts w:eastAsia="仿宋"/>
                <w:kern w:val="0"/>
                <w:sz w:val="24"/>
              </w:rPr>
              <w:t>中频带宽</w:t>
            </w:r>
          </w:p>
        </w:tc>
        <w:tc>
          <w:tcPr>
            <w:tcW w:w="2976" w:type="dxa"/>
            <w:vAlign w:val="center"/>
          </w:tcPr>
          <w:p>
            <w:pPr>
              <w:ind w:firstLine="24" w:firstLineChars="10"/>
              <w:rPr>
                <w:rFonts w:eastAsia="仿宋"/>
                <w:kern w:val="0"/>
              </w:rPr>
            </w:pPr>
            <w:r>
              <w:rPr>
                <w:rFonts w:eastAsia="仿宋"/>
                <w:kern w:val="0"/>
                <w:sz w:val="24"/>
              </w:rPr>
              <w:t>1.0±0.10MHz(1.0μs)</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Merge/>
            <w:vAlign w:val="center"/>
          </w:tcPr>
          <w:p>
            <w:pPr>
              <w:ind w:firstLine="15" w:firstLineChars="7"/>
              <w:rPr>
                <w:rFonts w:eastAsia="仿宋"/>
                <w:kern w:val="0"/>
              </w:rPr>
            </w:pPr>
          </w:p>
        </w:tc>
        <w:tc>
          <w:tcPr>
            <w:tcW w:w="2976" w:type="dxa"/>
            <w:vAlign w:val="center"/>
          </w:tcPr>
          <w:p>
            <w:pPr>
              <w:ind w:firstLine="24" w:firstLineChars="10"/>
              <w:rPr>
                <w:rFonts w:eastAsia="仿宋"/>
                <w:kern w:val="0"/>
              </w:rPr>
            </w:pPr>
            <w:r>
              <w:rPr>
                <w:rFonts w:eastAsia="仿宋"/>
                <w:kern w:val="0"/>
                <w:sz w:val="24"/>
              </w:rPr>
              <w:t>0.50±0.05MHz(2.0μs)</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color w:val="FF0000"/>
                <w:kern w:val="0"/>
                <w:sz w:val="24"/>
              </w:rPr>
              <w:t>#</w:t>
            </w:r>
            <w:r>
              <w:rPr>
                <w:rFonts w:eastAsia="仿宋"/>
                <w:kern w:val="0"/>
                <w:sz w:val="24"/>
              </w:rPr>
              <w:t>噪声系数</w:t>
            </w:r>
          </w:p>
        </w:tc>
        <w:tc>
          <w:tcPr>
            <w:tcW w:w="2976" w:type="dxa"/>
            <w:vAlign w:val="center"/>
          </w:tcPr>
          <w:p>
            <w:pPr>
              <w:ind w:firstLine="24" w:firstLineChars="10"/>
              <w:rPr>
                <w:rFonts w:eastAsia="仿宋"/>
                <w:kern w:val="0"/>
              </w:rPr>
            </w:pPr>
            <w:r>
              <w:rPr>
                <w:rFonts w:eastAsia="仿宋"/>
                <w:kern w:val="0"/>
                <w:sz w:val="24"/>
              </w:rPr>
              <w:t>≤3.0dB，机内机外差异≤0.2</w:t>
            </w:r>
            <w:r>
              <w:rPr>
                <w:rFonts w:eastAsia="仿宋"/>
                <w:color w:val="FF0000"/>
                <w:kern w:val="0"/>
                <w:sz w:val="24"/>
              </w:rPr>
              <w:t xml:space="preserve"> </w:t>
            </w:r>
            <w:r>
              <w:rPr>
                <w:rFonts w:eastAsia="仿宋"/>
                <w:kern w:val="0"/>
                <w:sz w:val="24"/>
              </w:rPr>
              <w:t>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color w:val="FF0000"/>
                <w:kern w:val="0"/>
                <w:sz w:val="24"/>
              </w:rPr>
              <w:t>#</w:t>
            </w:r>
            <w:r>
              <w:rPr>
                <w:rFonts w:eastAsia="仿宋"/>
                <w:kern w:val="0"/>
                <w:sz w:val="24"/>
              </w:rPr>
              <w:t>最小可测功率</w:t>
            </w:r>
          </w:p>
        </w:tc>
        <w:tc>
          <w:tcPr>
            <w:tcW w:w="1843" w:type="dxa"/>
            <w:vAlign w:val="center"/>
          </w:tcPr>
          <w:p>
            <w:pPr>
              <w:ind w:firstLine="17" w:firstLineChars="7"/>
              <w:rPr>
                <w:rFonts w:eastAsia="仿宋"/>
                <w:kern w:val="0"/>
              </w:rPr>
            </w:pPr>
            <w:r>
              <w:rPr>
                <w:rFonts w:eastAsia="仿宋"/>
                <w:kern w:val="0"/>
                <w:sz w:val="24"/>
              </w:rPr>
              <w:t>1.0μs</w:t>
            </w:r>
          </w:p>
        </w:tc>
        <w:tc>
          <w:tcPr>
            <w:tcW w:w="2976" w:type="dxa"/>
            <w:vAlign w:val="center"/>
          </w:tcPr>
          <w:p>
            <w:pPr>
              <w:ind w:firstLine="24" w:firstLineChars="10"/>
              <w:rPr>
                <w:rFonts w:eastAsia="仿宋"/>
                <w:kern w:val="0"/>
              </w:rPr>
            </w:pPr>
            <w:r>
              <w:rPr>
                <w:rFonts w:eastAsia="仿宋"/>
                <w:kern w:val="0"/>
                <w:sz w:val="24"/>
              </w:rPr>
              <w:t>≤－108.0dBm</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2.0μs</w:t>
            </w:r>
          </w:p>
        </w:tc>
        <w:tc>
          <w:tcPr>
            <w:tcW w:w="2976" w:type="dxa"/>
            <w:vAlign w:val="center"/>
          </w:tcPr>
          <w:p>
            <w:pPr>
              <w:ind w:firstLine="24" w:firstLineChars="10"/>
              <w:rPr>
                <w:rFonts w:eastAsia="仿宋"/>
                <w:kern w:val="0"/>
              </w:rPr>
            </w:pPr>
            <w:r>
              <w:rPr>
                <w:rFonts w:eastAsia="仿宋"/>
                <w:kern w:val="0"/>
                <w:sz w:val="24"/>
              </w:rPr>
              <w:t>≤－111.0dBm</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color w:val="FF0000"/>
                <w:kern w:val="0"/>
                <w:sz w:val="24"/>
              </w:rPr>
              <w:t>#</w:t>
            </w:r>
            <w:r>
              <w:rPr>
                <w:rFonts w:eastAsia="仿宋"/>
                <w:kern w:val="0"/>
                <w:sz w:val="24"/>
              </w:rPr>
              <w:t>频率源相位噪声</w:t>
            </w:r>
          </w:p>
        </w:tc>
        <w:tc>
          <w:tcPr>
            <w:tcW w:w="2976" w:type="dxa"/>
            <w:vAlign w:val="center"/>
          </w:tcPr>
          <w:p>
            <w:pPr>
              <w:ind w:firstLine="24" w:firstLineChars="10"/>
              <w:rPr>
                <w:rFonts w:eastAsia="仿宋"/>
                <w:kern w:val="0"/>
              </w:rPr>
            </w:pPr>
            <w:r>
              <w:rPr>
                <w:rFonts w:eastAsia="仿宋"/>
                <w:kern w:val="0"/>
                <w:sz w:val="24"/>
              </w:rPr>
              <w:t>≤-132dBc/Hz@10kHz</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频率源晶振短期(1ms)稳定度</w:t>
            </w:r>
          </w:p>
        </w:tc>
        <w:tc>
          <w:tcPr>
            <w:tcW w:w="2976" w:type="dxa"/>
            <w:vAlign w:val="center"/>
          </w:tcPr>
          <w:p>
            <w:pPr>
              <w:ind w:firstLine="24" w:firstLineChars="10"/>
              <w:rPr>
                <w:rFonts w:eastAsia="仿宋"/>
                <w:kern w:val="0"/>
              </w:rPr>
            </w:pPr>
            <w:r>
              <w:rPr>
                <w:rFonts w:eastAsia="仿宋"/>
                <w:kern w:val="0"/>
                <w:sz w:val="24"/>
              </w:rPr>
              <w:t>≤10</w:t>
            </w:r>
            <w:r>
              <w:rPr>
                <w:rFonts w:eastAsia="仿宋"/>
                <w:kern w:val="0"/>
                <w:sz w:val="24"/>
                <w:vertAlign w:val="superscript"/>
              </w:rPr>
              <w:t>-11</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kern w:val="0"/>
                <w:sz w:val="24"/>
              </w:rPr>
              <w:t>接收系统动态特性</w:t>
            </w:r>
          </w:p>
        </w:tc>
        <w:tc>
          <w:tcPr>
            <w:tcW w:w="1843" w:type="dxa"/>
            <w:vAlign w:val="center"/>
          </w:tcPr>
          <w:p>
            <w:pPr>
              <w:ind w:firstLine="17" w:firstLineChars="7"/>
              <w:rPr>
                <w:rFonts w:eastAsia="仿宋"/>
                <w:kern w:val="0"/>
              </w:rPr>
            </w:pPr>
            <w:r>
              <w:rPr>
                <w:rFonts w:eastAsia="仿宋"/>
                <w:kern w:val="0"/>
                <w:sz w:val="24"/>
              </w:rPr>
              <w:t>动态范围</w:t>
            </w:r>
          </w:p>
        </w:tc>
        <w:tc>
          <w:tcPr>
            <w:tcW w:w="2976" w:type="dxa"/>
            <w:vAlign w:val="center"/>
          </w:tcPr>
          <w:p>
            <w:pPr>
              <w:ind w:firstLine="24" w:firstLineChars="10"/>
              <w:rPr>
                <w:rFonts w:eastAsia="仿宋"/>
                <w:kern w:val="0"/>
              </w:rPr>
            </w:pPr>
            <w:r>
              <w:rPr>
                <w:rFonts w:eastAsia="仿宋"/>
                <w:sz w:val="24"/>
              </w:rPr>
              <w:t>≥95 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拟合直线斜率</w:t>
            </w:r>
          </w:p>
        </w:tc>
        <w:tc>
          <w:tcPr>
            <w:tcW w:w="2976" w:type="dxa"/>
            <w:vAlign w:val="center"/>
          </w:tcPr>
          <w:p>
            <w:pPr>
              <w:ind w:firstLine="24" w:firstLineChars="10"/>
              <w:rPr>
                <w:rFonts w:eastAsia="仿宋"/>
                <w:kern w:val="0"/>
              </w:rPr>
            </w:pPr>
            <w:r>
              <w:rPr>
                <w:rFonts w:eastAsia="仿宋"/>
                <w:kern w:val="0"/>
                <w:sz w:val="24"/>
              </w:rPr>
              <w:t>1.000±0.015</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拟合均方根误差</w:t>
            </w:r>
          </w:p>
        </w:tc>
        <w:tc>
          <w:tcPr>
            <w:tcW w:w="2976" w:type="dxa"/>
            <w:vAlign w:val="center"/>
          </w:tcPr>
          <w:p>
            <w:pPr>
              <w:ind w:firstLine="24" w:firstLineChars="10"/>
              <w:rPr>
                <w:rFonts w:eastAsia="仿宋"/>
                <w:kern w:val="0"/>
              </w:rPr>
            </w:pPr>
            <w:r>
              <w:rPr>
                <w:rFonts w:eastAsia="仿宋"/>
                <w:kern w:val="0"/>
                <w:sz w:val="24"/>
              </w:rPr>
              <w:t>≤0.5dB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8637" w:type="dxa"/>
            <w:gridSpan w:val="4"/>
            <w:vAlign w:val="center"/>
          </w:tcPr>
          <w:p>
            <w:pPr>
              <w:ind w:firstLine="17" w:firstLineChars="7"/>
              <w:rPr>
                <w:rFonts w:eastAsia="仿宋"/>
                <w:kern w:val="0"/>
              </w:rPr>
            </w:pPr>
            <w:r>
              <w:rPr>
                <w:rFonts w:eastAsia="仿宋"/>
                <w:b/>
                <w:bCs/>
                <w:kern w:val="0"/>
                <w:sz w:val="24"/>
              </w:rPr>
              <w:t>4.系统指标</w:t>
            </w: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系统相位噪声</w:t>
            </w:r>
          </w:p>
        </w:tc>
        <w:tc>
          <w:tcPr>
            <w:tcW w:w="2976" w:type="dxa"/>
            <w:vAlign w:val="center"/>
          </w:tcPr>
          <w:p>
            <w:pPr>
              <w:ind w:firstLine="24" w:firstLineChars="10"/>
              <w:rPr>
                <w:rFonts w:eastAsia="仿宋"/>
                <w:kern w:val="0"/>
              </w:rPr>
            </w:pPr>
            <w:r>
              <w:rPr>
                <w:rFonts w:eastAsia="仿宋"/>
                <w:kern w:val="0"/>
                <w:sz w:val="24"/>
              </w:rPr>
              <w:t>≤0.15°</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估算地物对消能力</w:t>
            </w:r>
          </w:p>
        </w:tc>
        <w:tc>
          <w:tcPr>
            <w:tcW w:w="2976" w:type="dxa"/>
            <w:vAlign w:val="center"/>
          </w:tcPr>
          <w:p>
            <w:pPr>
              <w:ind w:firstLine="24" w:firstLineChars="10"/>
              <w:rPr>
                <w:rFonts w:eastAsia="仿宋"/>
                <w:kern w:val="0"/>
              </w:rPr>
            </w:pPr>
            <w:r>
              <w:rPr>
                <w:rFonts w:eastAsia="仿宋"/>
                <w:kern w:val="0"/>
                <w:sz w:val="24"/>
              </w:rPr>
              <w:t>≥52dB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实际地物对消能力</w:t>
            </w:r>
          </w:p>
        </w:tc>
        <w:tc>
          <w:tcPr>
            <w:tcW w:w="2976" w:type="dxa"/>
            <w:vAlign w:val="center"/>
          </w:tcPr>
          <w:p>
            <w:pPr>
              <w:ind w:firstLine="24" w:firstLineChars="10"/>
              <w:rPr>
                <w:rFonts w:eastAsia="仿宋"/>
                <w:kern w:val="0"/>
              </w:rPr>
            </w:pPr>
            <w:r>
              <w:rPr>
                <w:rFonts w:eastAsia="仿宋"/>
                <w:kern w:val="0"/>
                <w:sz w:val="24"/>
              </w:rPr>
              <w:t>≥50dB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强度定标检验</w:t>
            </w:r>
          </w:p>
        </w:tc>
        <w:tc>
          <w:tcPr>
            <w:tcW w:w="2976" w:type="dxa"/>
            <w:vAlign w:val="center"/>
          </w:tcPr>
          <w:p>
            <w:pPr>
              <w:ind w:firstLine="24" w:firstLineChars="10"/>
              <w:rPr>
                <w:rFonts w:eastAsia="仿宋"/>
                <w:kern w:val="0"/>
              </w:rPr>
            </w:pPr>
            <w:r>
              <w:rPr>
                <w:rFonts w:eastAsia="仿宋"/>
                <w:kern w:val="0"/>
                <w:sz w:val="24"/>
              </w:rPr>
              <w:t>优于±1.0dB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速度测量检验</w:t>
            </w:r>
          </w:p>
        </w:tc>
        <w:tc>
          <w:tcPr>
            <w:tcW w:w="2976" w:type="dxa"/>
            <w:vAlign w:val="center"/>
          </w:tcPr>
          <w:p>
            <w:pPr>
              <w:ind w:firstLine="24" w:firstLineChars="10"/>
              <w:rPr>
                <w:rFonts w:eastAsia="仿宋"/>
                <w:kern w:val="0"/>
              </w:rPr>
            </w:pPr>
            <w:r>
              <w:rPr>
                <w:rFonts w:eastAsia="仿宋"/>
                <w:kern w:val="0"/>
                <w:sz w:val="24"/>
              </w:rPr>
              <w:t>优于±1.0m/s</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ind w:firstLine="17" w:firstLineChars="7"/>
              <w:rPr>
                <w:rFonts w:eastAsia="仿宋"/>
                <w:kern w:val="0"/>
              </w:rPr>
            </w:pPr>
            <w:r>
              <w:rPr>
                <w:rFonts w:eastAsia="仿宋"/>
                <w:kern w:val="0"/>
                <w:sz w:val="24"/>
              </w:rPr>
              <w:t>速度谱宽测量检验检验</w:t>
            </w:r>
          </w:p>
        </w:tc>
        <w:tc>
          <w:tcPr>
            <w:tcW w:w="2976" w:type="dxa"/>
            <w:vAlign w:val="center"/>
          </w:tcPr>
          <w:p>
            <w:pPr>
              <w:ind w:firstLine="24" w:firstLineChars="10"/>
              <w:rPr>
                <w:rFonts w:eastAsia="仿宋"/>
                <w:kern w:val="0"/>
              </w:rPr>
            </w:pPr>
            <w:r>
              <w:rPr>
                <w:rFonts w:eastAsia="仿宋"/>
                <w:kern w:val="0"/>
                <w:sz w:val="24"/>
              </w:rPr>
              <w:t>优于±1.0m/s</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kern w:val="0"/>
                <w:sz w:val="24"/>
              </w:rPr>
              <w:t>探测距离范围</w:t>
            </w:r>
          </w:p>
        </w:tc>
        <w:tc>
          <w:tcPr>
            <w:tcW w:w="1843" w:type="dxa"/>
            <w:vAlign w:val="center"/>
          </w:tcPr>
          <w:p>
            <w:pPr>
              <w:ind w:firstLine="17" w:firstLineChars="7"/>
              <w:rPr>
                <w:rFonts w:eastAsia="仿宋"/>
                <w:kern w:val="0"/>
              </w:rPr>
            </w:pPr>
            <w:r>
              <w:rPr>
                <w:rFonts w:eastAsia="仿宋"/>
                <w:kern w:val="0"/>
                <w:sz w:val="24"/>
              </w:rPr>
              <w:t>盲区</w:t>
            </w:r>
          </w:p>
        </w:tc>
        <w:tc>
          <w:tcPr>
            <w:tcW w:w="2976" w:type="dxa"/>
            <w:vAlign w:val="center"/>
          </w:tcPr>
          <w:p>
            <w:pPr>
              <w:ind w:firstLine="24" w:firstLineChars="10"/>
              <w:rPr>
                <w:rFonts w:eastAsia="仿宋"/>
                <w:kern w:val="0"/>
              </w:rPr>
            </w:pPr>
            <w:r>
              <w:rPr>
                <w:rFonts w:eastAsia="仿宋"/>
                <w:kern w:val="0"/>
                <w:sz w:val="24"/>
              </w:rPr>
              <w:t>≤0.5km</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强度</w:t>
            </w:r>
          </w:p>
        </w:tc>
        <w:tc>
          <w:tcPr>
            <w:tcW w:w="2976" w:type="dxa"/>
            <w:vAlign w:val="center"/>
          </w:tcPr>
          <w:p>
            <w:pPr>
              <w:ind w:firstLine="24" w:firstLineChars="10"/>
              <w:rPr>
                <w:rFonts w:eastAsia="仿宋"/>
                <w:kern w:val="0"/>
              </w:rPr>
            </w:pPr>
            <w:r>
              <w:rPr>
                <w:rFonts w:eastAsia="仿宋"/>
                <w:kern w:val="0"/>
                <w:sz w:val="24"/>
              </w:rPr>
              <w:t>≥400 km</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速度</w:t>
            </w:r>
          </w:p>
        </w:tc>
        <w:tc>
          <w:tcPr>
            <w:tcW w:w="2976" w:type="dxa"/>
            <w:vAlign w:val="center"/>
          </w:tcPr>
          <w:p>
            <w:pPr>
              <w:ind w:firstLine="24" w:firstLineChars="10"/>
              <w:rPr>
                <w:rFonts w:eastAsia="仿宋"/>
                <w:kern w:val="0"/>
              </w:rPr>
            </w:pPr>
            <w:r>
              <w:rPr>
                <w:rFonts w:eastAsia="仿宋"/>
                <w:kern w:val="0"/>
                <w:sz w:val="24"/>
              </w:rPr>
              <w:t>≥200 km</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谱宽</w:t>
            </w:r>
          </w:p>
        </w:tc>
        <w:tc>
          <w:tcPr>
            <w:tcW w:w="2976" w:type="dxa"/>
            <w:vAlign w:val="center"/>
          </w:tcPr>
          <w:p>
            <w:pPr>
              <w:ind w:firstLine="24" w:firstLineChars="10"/>
              <w:rPr>
                <w:rFonts w:eastAsia="仿宋"/>
                <w:kern w:val="0"/>
              </w:rPr>
            </w:pPr>
            <w:r>
              <w:rPr>
                <w:rFonts w:eastAsia="仿宋"/>
                <w:kern w:val="0"/>
                <w:sz w:val="24"/>
              </w:rPr>
              <w:t>≥200 km</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探测高度</w:t>
            </w:r>
          </w:p>
        </w:tc>
        <w:tc>
          <w:tcPr>
            <w:tcW w:w="2976" w:type="dxa"/>
            <w:vAlign w:val="center"/>
          </w:tcPr>
          <w:p>
            <w:pPr>
              <w:ind w:firstLine="24" w:firstLineChars="10"/>
              <w:rPr>
                <w:rFonts w:eastAsia="仿宋"/>
                <w:kern w:val="0"/>
              </w:rPr>
            </w:pPr>
            <w:r>
              <w:rPr>
                <w:rFonts w:eastAsia="仿宋"/>
                <w:kern w:val="0"/>
                <w:sz w:val="24"/>
              </w:rPr>
              <w:t>≥24 km</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kern w:val="0"/>
                <w:sz w:val="24"/>
              </w:rPr>
              <w:t>分辨力</w:t>
            </w:r>
          </w:p>
        </w:tc>
        <w:tc>
          <w:tcPr>
            <w:tcW w:w="1843" w:type="dxa"/>
            <w:vAlign w:val="center"/>
          </w:tcPr>
          <w:p>
            <w:pPr>
              <w:ind w:firstLine="17" w:firstLineChars="7"/>
              <w:rPr>
                <w:rFonts w:eastAsia="仿宋"/>
                <w:kern w:val="0"/>
              </w:rPr>
            </w:pPr>
            <w:r>
              <w:rPr>
                <w:rFonts w:eastAsia="仿宋"/>
                <w:kern w:val="0"/>
                <w:sz w:val="24"/>
              </w:rPr>
              <w:t>距离</w:t>
            </w:r>
          </w:p>
        </w:tc>
        <w:tc>
          <w:tcPr>
            <w:tcW w:w="2976" w:type="dxa"/>
            <w:vAlign w:val="center"/>
          </w:tcPr>
          <w:p>
            <w:pPr>
              <w:ind w:firstLine="24" w:firstLineChars="10"/>
              <w:rPr>
                <w:rFonts w:eastAsia="仿宋"/>
                <w:kern w:val="0"/>
              </w:rPr>
            </w:pPr>
            <w:r>
              <w:rPr>
                <w:rFonts w:eastAsia="仿宋"/>
                <w:kern w:val="0"/>
                <w:sz w:val="24"/>
              </w:rPr>
              <w:t>≤150 m</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方位角</w:t>
            </w:r>
          </w:p>
        </w:tc>
        <w:tc>
          <w:tcPr>
            <w:tcW w:w="2976" w:type="dxa"/>
            <w:vAlign w:val="center"/>
          </w:tcPr>
          <w:p>
            <w:pPr>
              <w:ind w:firstLine="24" w:firstLineChars="10"/>
              <w:rPr>
                <w:rFonts w:eastAsia="仿宋"/>
                <w:kern w:val="0"/>
              </w:rPr>
            </w:pPr>
            <w:r>
              <w:rPr>
                <w:rFonts w:eastAsia="仿宋"/>
                <w:kern w:val="0"/>
                <w:sz w:val="24"/>
              </w:rPr>
              <w:t>≤0.022°</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俯仰角</w:t>
            </w:r>
          </w:p>
        </w:tc>
        <w:tc>
          <w:tcPr>
            <w:tcW w:w="2976" w:type="dxa"/>
            <w:vAlign w:val="center"/>
          </w:tcPr>
          <w:p>
            <w:pPr>
              <w:ind w:firstLine="24" w:firstLineChars="10"/>
              <w:rPr>
                <w:rFonts w:eastAsia="仿宋"/>
                <w:kern w:val="0"/>
              </w:rPr>
            </w:pPr>
            <w:r>
              <w:rPr>
                <w:rFonts w:eastAsia="仿宋"/>
                <w:kern w:val="0"/>
                <w:sz w:val="24"/>
              </w:rPr>
              <w:t>≤0.022°</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强度</w:t>
            </w:r>
          </w:p>
        </w:tc>
        <w:tc>
          <w:tcPr>
            <w:tcW w:w="2976" w:type="dxa"/>
            <w:vAlign w:val="center"/>
          </w:tcPr>
          <w:p>
            <w:pPr>
              <w:ind w:firstLine="24" w:firstLineChars="10"/>
              <w:rPr>
                <w:rFonts w:eastAsia="仿宋"/>
                <w:kern w:val="0"/>
              </w:rPr>
            </w:pPr>
            <w:r>
              <w:rPr>
                <w:rFonts w:eastAsia="仿宋"/>
                <w:kern w:val="0"/>
                <w:sz w:val="24"/>
              </w:rPr>
              <w:t>≤0.5 dBZ</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速度</w:t>
            </w:r>
          </w:p>
        </w:tc>
        <w:tc>
          <w:tcPr>
            <w:tcW w:w="2976" w:type="dxa"/>
            <w:vAlign w:val="center"/>
          </w:tcPr>
          <w:p>
            <w:pPr>
              <w:ind w:firstLine="24" w:firstLineChars="10"/>
              <w:rPr>
                <w:rFonts w:eastAsia="仿宋"/>
                <w:kern w:val="0"/>
              </w:rPr>
            </w:pPr>
            <w:r>
              <w:rPr>
                <w:rFonts w:eastAsia="仿宋"/>
                <w:kern w:val="0"/>
                <w:sz w:val="24"/>
              </w:rPr>
              <w:t>≤0.5 m/s</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谱宽</w:t>
            </w:r>
          </w:p>
        </w:tc>
        <w:tc>
          <w:tcPr>
            <w:tcW w:w="2976" w:type="dxa"/>
            <w:vAlign w:val="center"/>
          </w:tcPr>
          <w:p>
            <w:pPr>
              <w:ind w:firstLine="24" w:firstLineChars="10"/>
              <w:rPr>
                <w:rFonts w:eastAsia="仿宋"/>
                <w:kern w:val="0"/>
              </w:rPr>
            </w:pPr>
            <w:r>
              <w:rPr>
                <w:rFonts w:eastAsia="仿宋"/>
                <w:kern w:val="0"/>
                <w:sz w:val="24"/>
              </w:rPr>
              <w:t>≤0.5 m/s</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kern w:val="0"/>
                <w:sz w:val="24"/>
              </w:rPr>
              <w:t>测量范围</w:t>
            </w:r>
          </w:p>
        </w:tc>
        <w:tc>
          <w:tcPr>
            <w:tcW w:w="1843" w:type="dxa"/>
            <w:vAlign w:val="center"/>
          </w:tcPr>
          <w:p>
            <w:pPr>
              <w:ind w:firstLine="17" w:firstLineChars="7"/>
              <w:rPr>
                <w:rFonts w:eastAsia="仿宋"/>
                <w:kern w:val="0"/>
              </w:rPr>
            </w:pPr>
            <w:r>
              <w:rPr>
                <w:rFonts w:eastAsia="仿宋"/>
                <w:kern w:val="0"/>
                <w:sz w:val="24"/>
              </w:rPr>
              <w:t>距离定位</w:t>
            </w:r>
          </w:p>
        </w:tc>
        <w:tc>
          <w:tcPr>
            <w:tcW w:w="2976" w:type="dxa"/>
            <w:vAlign w:val="center"/>
          </w:tcPr>
          <w:p>
            <w:pPr>
              <w:ind w:firstLine="24" w:firstLineChars="10"/>
              <w:rPr>
                <w:rFonts w:eastAsia="仿宋"/>
                <w:kern w:val="0"/>
              </w:rPr>
            </w:pPr>
            <w:r>
              <w:rPr>
                <w:rFonts w:eastAsia="仿宋"/>
                <w:kern w:val="0"/>
                <w:sz w:val="24"/>
              </w:rPr>
              <w:t>≤50.0m</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强度值</w:t>
            </w:r>
          </w:p>
        </w:tc>
        <w:tc>
          <w:tcPr>
            <w:tcW w:w="2976" w:type="dxa"/>
            <w:vAlign w:val="center"/>
          </w:tcPr>
          <w:p>
            <w:pPr>
              <w:ind w:firstLine="24" w:firstLineChars="10"/>
              <w:rPr>
                <w:rFonts w:eastAsia="仿宋"/>
                <w:kern w:val="0"/>
              </w:rPr>
            </w:pPr>
            <w:r>
              <w:rPr>
                <w:rFonts w:eastAsia="仿宋"/>
                <w:kern w:val="0"/>
                <w:sz w:val="24"/>
              </w:rPr>
              <w:t>-35～+75</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速度值</w:t>
            </w:r>
          </w:p>
        </w:tc>
        <w:tc>
          <w:tcPr>
            <w:tcW w:w="2976" w:type="dxa"/>
            <w:vAlign w:val="center"/>
          </w:tcPr>
          <w:p>
            <w:pPr>
              <w:ind w:firstLine="24" w:firstLineChars="10"/>
              <w:rPr>
                <w:rFonts w:eastAsia="仿宋"/>
                <w:kern w:val="0"/>
              </w:rPr>
            </w:pPr>
            <w:r>
              <w:rPr>
                <w:rFonts w:eastAsia="仿宋"/>
                <w:kern w:val="0"/>
                <w:sz w:val="24"/>
              </w:rPr>
              <w:t>-48～+48</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rPr>
                <w:rFonts w:eastAsia="仿宋"/>
                <w:kern w:val="0"/>
              </w:rPr>
            </w:pPr>
          </w:p>
        </w:tc>
        <w:tc>
          <w:tcPr>
            <w:tcW w:w="1843" w:type="dxa"/>
            <w:vAlign w:val="center"/>
          </w:tcPr>
          <w:p>
            <w:pPr>
              <w:ind w:firstLine="17" w:firstLineChars="7"/>
              <w:rPr>
                <w:rFonts w:eastAsia="仿宋"/>
                <w:kern w:val="0"/>
              </w:rPr>
            </w:pPr>
            <w:r>
              <w:rPr>
                <w:rFonts w:eastAsia="仿宋"/>
                <w:kern w:val="0"/>
                <w:sz w:val="24"/>
              </w:rPr>
              <w:t>谱宽值</w:t>
            </w:r>
          </w:p>
        </w:tc>
        <w:tc>
          <w:tcPr>
            <w:tcW w:w="2976" w:type="dxa"/>
            <w:vAlign w:val="center"/>
          </w:tcPr>
          <w:p>
            <w:pPr>
              <w:ind w:firstLine="24" w:firstLineChars="10"/>
              <w:rPr>
                <w:rFonts w:eastAsia="仿宋"/>
                <w:kern w:val="0"/>
              </w:rPr>
            </w:pPr>
            <w:r>
              <w:rPr>
                <w:rFonts w:eastAsia="仿宋"/>
                <w:kern w:val="0"/>
                <w:sz w:val="24"/>
              </w:rPr>
              <w:t>0～16</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restart"/>
            <w:vAlign w:val="center"/>
          </w:tcPr>
          <w:p>
            <w:pPr>
              <w:rPr>
                <w:rFonts w:eastAsia="仿宋"/>
                <w:kern w:val="0"/>
              </w:rPr>
            </w:pPr>
            <w:r>
              <w:rPr>
                <w:rFonts w:eastAsia="仿宋"/>
                <w:kern w:val="0"/>
                <w:sz w:val="24"/>
              </w:rPr>
              <w:t>可靠性</w:t>
            </w:r>
          </w:p>
        </w:tc>
        <w:tc>
          <w:tcPr>
            <w:tcW w:w="1843" w:type="dxa"/>
            <w:vAlign w:val="center"/>
          </w:tcPr>
          <w:p>
            <w:pPr>
              <w:ind w:firstLine="17" w:firstLineChars="7"/>
              <w:rPr>
                <w:rFonts w:eastAsia="仿宋"/>
                <w:kern w:val="0"/>
              </w:rPr>
            </w:pPr>
            <w:r>
              <w:rPr>
                <w:rFonts w:eastAsia="仿宋"/>
                <w:kern w:val="0"/>
                <w:sz w:val="24"/>
              </w:rPr>
              <w:t>MTBF</w:t>
            </w:r>
          </w:p>
        </w:tc>
        <w:tc>
          <w:tcPr>
            <w:tcW w:w="2976" w:type="dxa"/>
            <w:vAlign w:val="center"/>
          </w:tcPr>
          <w:p>
            <w:pPr>
              <w:ind w:firstLine="24" w:firstLineChars="10"/>
              <w:rPr>
                <w:rFonts w:eastAsia="仿宋"/>
                <w:kern w:val="0"/>
              </w:rPr>
            </w:pPr>
            <w:r>
              <w:rPr>
                <w:rFonts w:eastAsia="仿宋"/>
                <w:kern w:val="0"/>
                <w:sz w:val="24"/>
              </w:rPr>
              <w:t>≥1500 h</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MTTR</w:t>
            </w:r>
          </w:p>
        </w:tc>
        <w:tc>
          <w:tcPr>
            <w:tcW w:w="2976" w:type="dxa"/>
            <w:vAlign w:val="center"/>
          </w:tcPr>
          <w:p>
            <w:pPr>
              <w:ind w:firstLine="24" w:firstLineChars="10"/>
              <w:rPr>
                <w:rFonts w:eastAsia="仿宋"/>
                <w:kern w:val="0"/>
              </w:rPr>
            </w:pPr>
            <w:r>
              <w:rPr>
                <w:rFonts w:eastAsia="仿宋"/>
                <w:kern w:val="0"/>
                <w:sz w:val="24"/>
              </w:rPr>
              <w:t>≤0.5 h</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方位齿轮轴承</w:t>
            </w:r>
          </w:p>
        </w:tc>
        <w:tc>
          <w:tcPr>
            <w:tcW w:w="2976" w:type="dxa"/>
            <w:vAlign w:val="center"/>
          </w:tcPr>
          <w:p>
            <w:pPr>
              <w:ind w:firstLine="24" w:firstLineChars="10"/>
              <w:rPr>
                <w:rFonts w:eastAsia="仿宋"/>
                <w:kern w:val="0"/>
              </w:rPr>
            </w:pPr>
            <w:r>
              <w:rPr>
                <w:rFonts w:eastAsia="仿宋"/>
                <w:kern w:val="0"/>
                <w:sz w:val="24"/>
              </w:rPr>
              <w:t>≥10年</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俯仰齿轮轴承</w:t>
            </w:r>
          </w:p>
        </w:tc>
        <w:tc>
          <w:tcPr>
            <w:tcW w:w="2976" w:type="dxa"/>
            <w:vAlign w:val="center"/>
          </w:tcPr>
          <w:p>
            <w:pPr>
              <w:ind w:firstLine="24" w:firstLineChars="10"/>
              <w:rPr>
                <w:rFonts w:eastAsia="仿宋"/>
                <w:kern w:val="0"/>
              </w:rPr>
            </w:pPr>
            <w:r>
              <w:rPr>
                <w:rFonts w:eastAsia="仿宋"/>
                <w:kern w:val="0"/>
                <w:sz w:val="24"/>
              </w:rPr>
              <w:t>≥10年</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汇流环</w:t>
            </w:r>
          </w:p>
        </w:tc>
        <w:tc>
          <w:tcPr>
            <w:tcW w:w="2976" w:type="dxa"/>
            <w:vAlign w:val="center"/>
          </w:tcPr>
          <w:p>
            <w:pPr>
              <w:ind w:firstLine="24" w:firstLineChars="10"/>
              <w:rPr>
                <w:rFonts w:eastAsia="仿宋"/>
                <w:kern w:val="0"/>
              </w:rPr>
            </w:pPr>
            <w:r>
              <w:rPr>
                <w:rFonts w:eastAsia="仿宋"/>
                <w:kern w:val="0"/>
                <w:sz w:val="24"/>
              </w:rPr>
              <w:t>≥8年</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1799" w:type="dxa"/>
            <w:vMerge/>
            <w:vAlign w:val="center"/>
          </w:tcPr>
          <w:p>
            <w:pPr>
              <w:ind w:firstLine="560"/>
              <w:rPr>
                <w:rFonts w:eastAsia="仿宋"/>
                <w:kern w:val="0"/>
              </w:rPr>
            </w:pPr>
          </w:p>
        </w:tc>
        <w:tc>
          <w:tcPr>
            <w:tcW w:w="1843" w:type="dxa"/>
            <w:vAlign w:val="center"/>
          </w:tcPr>
          <w:p>
            <w:pPr>
              <w:ind w:firstLine="17" w:firstLineChars="7"/>
              <w:rPr>
                <w:rFonts w:eastAsia="仿宋"/>
                <w:kern w:val="0"/>
              </w:rPr>
            </w:pPr>
            <w:r>
              <w:rPr>
                <w:rFonts w:eastAsia="仿宋"/>
                <w:kern w:val="0"/>
                <w:sz w:val="24"/>
              </w:rPr>
              <w:t>速调管</w:t>
            </w:r>
          </w:p>
        </w:tc>
        <w:tc>
          <w:tcPr>
            <w:tcW w:w="2976" w:type="dxa"/>
            <w:vAlign w:val="center"/>
          </w:tcPr>
          <w:p>
            <w:pPr>
              <w:ind w:firstLine="24" w:firstLineChars="10"/>
              <w:rPr>
                <w:rFonts w:eastAsia="仿宋"/>
                <w:kern w:val="0"/>
              </w:rPr>
            </w:pPr>
            <w:r>
              <w:rPr>
                <w:rFonts w:eastAsia="仿宋"/>
                <w:kern w:val="0"/>
                <w:sz w:val="24"/>
              </w:rPr>
              <w:t>≥15000 h</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功耗</w:t>
            </w:r>
          </w:p>
        </w:tc>
        <w:tc>
          <w:tcPr>
            <w:tcW w:w="2976" w:type="dxa"/>
            <w:vAlign w:val="center"/>
          </w:tcPr>
          <w:p>
            <w:pPr>
              <w:ind w:firstLine="24" w:firstLineChars="10"/>
              <w:rPr>
                <w:rFonts w:eastAsia="仿宋"/>
                <w:kern w:val="0"/>
              </w:rPr>
            </w:pPr>
            <w:r>
              <w:rPr>
                <w:rFonts w:eastAsia="仿宋"/>
                <w:kern w:val="0"/>
                <w:sz w:val="24"/>
              </w:rPr>
              <w:t>≤50.0kw</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6618" w:type="dxa"/>
            <w:gridSpan w:val="3"/>
            <w:vAlign w:val="center"/>
          </w:tcPr>
          <w:p>
            <w:pPr>
              <w:ind w:firstLine="24" w:firstLineChars="10"/>
              <w:rPr>
                <w:rFonts w:eastAsia="仿宋"/>
                <w:kern w:val="0"/>
              </w:rPr>
            </w:pPr>
            <w:r>
              <w:rPr>
                <w:rFonts w:eastAsia="仿宋"/>
                <w:b/>
                <w:bCs/>
                <w:kern w:val="0"/>
                <w:sz w:val="24"/>
              </w:rPr>
              <w:t>5.在线自动标校能力</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回波强度由功率变化引起的波动</w:t>
            </w:r>
          </w:p>
        </w:tc>
        <w:tc>
          <w:tcPr>
            <w:tcW w:w="2976" w:type="dxa"/>
            <w:vAlign w:val="center"/>
          </w:tcPr>
          <w:p>
            <w:pPr>
              <w:ind w:firstLine="24" w:firstLineChars="10"/>
              <w:rPr>
                <w:rFonts w:eastAsia="仿宋"/>
                <w:kern w:val="0"/>
              </w:rPr>
            </w:pPr>
            <w:r>
              <w:rPr>
                <w:rFonts w:eastAsia="仿宋"/>
                <w:kern w:val="0"/>
                <w:sz w:val="24"/>
              </w:rPr>
              <w:t>优于±1dB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回波强度由增益变化引起的波动</w:t>
            </w:r>
          </w:p>
        </w:tc>
        <w:tc>
          <w:tcPr>
            <w:tcW w:w="2976" w:type="dxa"/>
            <w:vAlign w:val="center"/>
          </w:tcPr>
          <w:p>
            <w:pPr>
              <w:ind w:firstLine="24" w:firstLineChars="10"/>
              <w:rPr>
                <w:rFonts w:eastAsia="仿宋"/>
                <w:kern w:val="0"/>
              </w:rPr>
            </w:pPr>
            <w:r>
              <w:rPr>
                <w:rFonts w:eastAsia="仿宋"/>
                <w:kern w:val="0"/>
                <w:sz w:val="24"/>
              </w:rPr>
              <w:t>优于±1dB</w:t>
            </w:r>
          </w:p>
        </w:tc>
        <w:tc>
          <w:tcPr>
            <w:tcW w:w="2019" w:type="dxa"/>
            <w:vAlign w:val="center"/>
          </w:tcPr>
          <w:p>
            <w:pPr>
              <w:rPr>
                <w:rFonts w:eastAsia="仿宋"/>
                <w:kern w:val="0"/>
              </w:rPr>
            </w:pPr>
          </w:p>
        </w:tc>
      </w:tr>
      <w:tr>
        <w:tblPrEx>
          <w:tblW w:w="8637" w:type="dxa"/>
          <w:jc w:val="center"/>
          <w:tblLayout w:type="fixed"/>
          <w:tblCellMar>
            <w:top w:w="0" w:type="dxa"/>
            <w:left w:w="108" w:type="dxa"/>
            <w:bottom w:w="0" w:type="dxa"/>
            <w:right w:w="108" w:type="dxa"/>
          </w:tblCellMar>
          <w:tblLook w:val="0000"/>
        </w:tblPrEx>
        <w:trPr>
          <w:trHeight w:val="369"/>
          <w:jc w:val="center"/>
        </w:trPr>
        <w:tc>
          <w:tcPr>
            <w:tcW w:w="3642" w:type="dxa"/>
            <w:gridSpan w:val="2"/>
            <w:vAlign w:val="center"/>
          </w:tcPr>
          <w:p>
            <w:pPr>
              <w:rPr>
                <w:rFonts w:eastAsia="仿宋"/>
                <w:kern w:val="0"/>
              </w:rPr>
            </w:pPr>
            <w:r>
              <w:rPr>
                <w:rFonts w:eastAsia="仿宋"/>
                <w:kern w:val="0"/>
                <w:sz w:val="24"/>
              </w:rPr>
              <w:t>定标系数或雷达常数波动</w:t>
            </w:r>
          </w:p>
        </w:tc>
        <w:tc>
          <w:tcPr>
            <w:tcW w:w="2976" w:type="dxa"/>
            <w:vAlign w:val="center"/>
          </w:tcPr>
          <w:p>
            <w:pPr>
              <w:ind w:firstLine="24" w:firstLineChars="10"/>
              <w:rPr>
                <w:rFonts w:eastAsia="仿宋"/>
                <w:kern w:val="0"/>
              </w:rPr>
            </w:pPr>
            <w:r>
              <w:rPr>
                <w:rFonts w:eastAsia="仿宋"/>
                <w:kern w:val="0"/>
                <w:sz w:val="24"/>
              </w:rPr>
              <w:t>优于±1dB</w:t>
            </w:r>
          </w:p>
        </w:tc>
        <w:tc>
          <w:tcPr>
            <w:tcW w:w="2019" w:type="dxa"/>
            <w:vAlign w:val="center"/>
          </w:tcPr>
          <w:p>
            <w:pPr>
              <w:rPr>
                <w:rFonts w:eastAsia="仿宋"/>
                <w:kern w:val="0"/>
              </w:rPr>
            </w:pPr>
          </w:p>
        </w:tc>
      </w:tr>
    </w:tbl>
    <w:p>
      <w:pPr>
        <w:spacing w:line="560" w:lineRule="exact"/>
        <w:ind w:firstLine="1120" w:firstLineChars="400"/>
        <w:rPr>
          <w:rFonts w:eastAsia="仿宋"/>
          <w:sz w:val="28"/>
          <w:szCs w:val="20"/>
        </w:rPr>
      </w:pPr>
    </w:p>
    <w:p>
      <w:pPr>
        <w:spacing w:line="560" w:lineRule="exact"/>
        <w:ind w:firstLine="560" w:firstLineChars="200"/>
        <w:rPr>
          <w:rFonts w:eastAsia="仿宋"/>
          <w:sz w:val="28"/>
          <w:szCs w:val="20"/>
          <w:highlight w:val="yellow"/>
        </w:rPr>
      </w:pPr>
      <w:r>
        <w:rPr>
          <w:rFonts w:eastAsia="仿宋"/>
          <w:sz w:val="28"/>
          <w:szCs w:val="20"/>
        </w:rPr>
        <w:t>四、质保服务要求</w:t>
      </w:r>
    </w:p>
    <w:p>
      <w:pPr>
        <w:spacing w:line="560" w:lineRule="exact"/>
        <w:ind w:firstLine="560" w:firstLineChars="200"/>
        <w:rPr>
          <w:rFonts w:eastAsia="仿宋"/>
          <w:sz w:val="28"/>
          <w:szCs w:val="20"/>
        </w:rPr>
      </w:pPr>
      <w:r>
        <w:rPr>
          <w:rFonts w:eastAsia="仿宋"/>
          <w:sz w:val="28"/>
          <w:szCs w:val="20"/>
        </w:rPr>
        <w:t>（1）中标方需提供详细技术服务方案，包括设备安装建设规范、设备操作手册、设备运行维护手册、设备软件使用手册、相关产品算法说明文档等。中标方应设立24（小时）技术支持热线电话，接收招标方来电、来函、器材器件服务要求，建立服务台账。在发生故障的情况下，主汛期内中标方应在12小时内派出技术人员赶赴现场并通报招标方，并在24小时内赶到现场进行维修服务。非汛期应在24小时内派出人员，并在48小时内进行故障维修服务。针对维修器件，中标方需在20天内完成维修并包装、邮寄，因外购器材采购原因无法满足维修时限的，应及时通知招标方并告知完成时间。</w:t>
      </w:r>
    </w:p>
    <w:p>
      <w:pPr>
        <w:spacing w:line="560" w:lineRule="exact"/>
        <w:ind w:firstLine="560" w:firstLineChars="200"/>
        <w:rPr>
          <w:rFonts w:eastAsia="仿宋"/>
          <w:sz w:val="28"/>
          <w:szCs w:val="20"/>
        </w:rPr>
      </w:pPr>
      <w:r>
        <w:rPr>
          <w:rFonts w:eastAsia="仿宋"/>
          <w:sz w:val="28"/>
          <w:szCs w:val="20"/>
        </w:rPr>
        <w:t>（2）中标方按照业务运行规范要求执行，确保设备可稳定运行，维保包括设备维护维修、相关附属软件及附属设备维护维修，保证每年至少1次的现场巡检，每年汛期前，按照气测函〔2009〕153号文要求对雷达系统开展巡检，对设备进行故障隐患排查，发生故障时在业务规定时间内完成维修或更换组件，巡检完成后雷达技术指标应符合《综合观测司关于印发S、C波段双线偏振多普勒天气雷达测试大纲（技术升级）》各项技术要求。</w:t>
      </w:r>
    </w:p>
    <w:p>
      <w:pPr>
        <w:spacing w:line="560" w:lineRule="exact"/>
        <w:ind w:firstLine="560" w:firstLineChars="200"/>
        <w:rPr>
          <w:rFonts w:eastAsia="仿宋"/>
          <w:sz w:val="28"/>
          <w:szCs w:val="20"/>
          <w:highlight w:val="yellow"/>
        </w:rPr>
      </w:pPr>
      <w:r>
        <w:rPr>
          <w:rFonts w:eastAsia="仿宋"/>
          <w:sz w:val="28"/>
          <w:szCs w:val="20"/>
        </w:rPr>
        <w:t>（3）</w:t>
      </w:r>
      <w:r>
        <w:rPr>
          <w:rFonts w:eastAsia="仿宋"/>
          <w:b/>
          <w:bCs/>
          <w:sz w:val="28"/>
          <w:szCs w:val="20"/>
          <w:highlight w:val="yellow"/>
        </w:rPr>
        <w:t>质保期要求。</w:t>
      </w:r>
      <w:r>
        <w:rPr>
          <w:rFonts w:eastAsia="仿宋" w:hint="eastAsia"/>
          <w:b/>
          <w:bCs/>
          <w:sz w:val="28"/>
          <w:szCs w:val="20"/>
          <w:highlight w:val="yellow"/>
        </w:rPr>
        <w:t>自</w:t>
      </w:r>
      <w:r>
        <w:rPr>
          <w:rFonts w:eastAsia="仿宋"/>
          <w:b/>
          <w:bCs/>
          <w:sz w:val="28"/>
          <w:szCs w:val="20"/>
          <w:highlight w:val="yellow"/>
        </w:rPr>
        <w:t>雷达测试验收合格交付招标方使用之日起，</w:t>
      </w:r>
      <w:r>
        <w:rPr>
          <w:rFonts w:eastAsia="仿宋"/>
          <w:b/>
          <w:bCs/>
          <w:kern w:val="0"/>
          <w:sz w:val="28"/>
          <w:szCs w:val="28"/>
          <w:highlight w:val="yellow"/>
        </w:rPr>
        <w:t>雷达系统整机</w:t>
      </w:r>
      <w:r>
        <w:rPr>
          <w:rFonts w:eastAsia="仿宋" w:hint="eastAsia"/>
          <w:b/>
          <w:bCs/>
          <w:kern w:val="0"/>
          <w:sz w:val="28"/>
          <w:szCs w:val="28"/>
          <w:highlight w:val="yellow"/>
        </w:rPr>
        <w:t>质保8</w:t>
      </w:r>
      <w:r>
        <w:rPr>
          <w:rFonts w:eastAsia="仿宋"/>
          <w:b/>
          <w:bCs/>
          <w:kern w:val="0"/>
          <w:sz w:val="28"/>
          <w:szCs w:val="28"/>
          <w:highlight w:val="yellow"/>
        </w:rPr>
        <w:t>年</w:t>
      </w:r>
      <w:r>
        <w:rPr>
          <w:rFonts w:eastAsia="仿宋" w:hint="eastAsia"/>
          <w:b/>
          <w:bCs/>
          <w:kern w:val="0"/>
          <w:sz w:val="28"/>
          <w:szCs w:val="28"/>
          <w:highlight w:val="yellow"/>
          <w:lang w:val="en-US" w:eastAsia="zh-CN"/>
        </w:rPr>
        <w:t>*</w:t>
      </w:r>
      <w:r>
        <w:rPr>
          <w:rFonts w:eastAsia="仿宋" w:hint="eastAsia"/>
          <w:b/>
          <w:bCs/>
          <w:kern w:val="0"/>
          <w:sz w:val="28"/>
          <w:szCs w:val="28"/>
          <w:highlight w:val="yellow"/>
        </w:rPr>
        <w:t>（不含速调管）</w:t>
      </w:r>
      <w:r>
        <w:rPr>
          <w:rFonts w:eastAsia="仿宋"/>
          <w:sz w:val="28"/>
          <w:szCs w:val="20"/>
        </w:rPr>
        <w:t>，设备发生故障时应在业务规定时间内完成维修、维护保障或更换组件。</w:t>
      </w:r>
    </w:p>
    <w:p>
      <w:pPr>
        <w:spacing w:line="560" w:lineRule="exact"/>
        <w:ind w:firstLine="560" w:firstLineChars="200"/>
        <w:rPr>
          <w:rFonts w:eastAsia="仿宋"/>
          <w:sz w:val="28"/>
          <w:szCs w:val="20"/>
          <w:highlight w:val="yellow"/>
        </w:rPr>
      </w:pPr>
      <w:r>
        <w:rPr>
          <w:rFonts w:eastAsia="仿宋"/>
          <w:sz w:val="28"/>
          <w:szCs w:val="20"/>
        </w:rPr>
        <w:t>五、验收要求（检验考核要求等）</w:t>
      </w:r>
    </w:p>
    <w:p>
      <w:pPr>
        <w:spacing w:line="560" w:lineRule="exact"/>
        <w:ind w:firstLine="560" w:firstLineChars="200"/>
        <w:rPr>
          <w:rFonts w:eastAsia="仿宋" w:hint="eastAsia"/>
          <w:sz w:val="28"/>
          <w:szCs w:val="20"/>
        </w:rPr>
      </w:pPr>
      <w:r>
        <w:rPr>
          <w:rFonts w:eastAsia="仿宋" w:hint="eastAsia"/>
          <w:sz w:val="28"/>
          <w:szCs w:val="20"/>
        </w:rPr>
        <w:t>采购人可根据合同</w:t>
      </w:r>
      <w:r>
        <w:rPr>
          <w:rFonts w:eastAsia="仿宋" w:hint="eastAsia"/>
          <w:sz w:val="28"/>
          <w:szCs w:val="20"/>
          <w:lang w:eastAsia="zh-CN"/>
        </w:rPr>
        <w:t>、</w:t>
      </w:r>
      <w:r>
        <w:rPr>
          <w:rFonts w:eastAsia="仿宋" w:hint="eastAsia"/>
          <w:sz w:val="28"/>
          <w:szCs w:val="20"/>
        </w:rPr>
        <w:t>技术性能指标以及采购人的有关规定进行修改和补充，经双方确认后形成验收文件作为验收依据</w:t>
      </w:r>
      <w:r>
        <w:rPr>
          <w:rFonts w:eastAsia="仿宋" w:hint="eastAsia"/>
          <w:sz w:val="28"/>
          <w:szCs w:val="20"/>
          <w:lang w:eastAsia="zh-CN"/>
        </w:rPr>
        <w:t>。</w:t>
      </w:r>
    </w:p>
    <w:p>
      <w:pPr>
        <w:spacing w:line="560" w:lineRule="exact"/>
        <w:ind w:firstLine="560" w:firstLineChars="200"/>
        <w:rPr>
          <w:rFonts w:eastAsia="仿宋"/>
          <w:sz w:val="28"/>
          <w:szCs w:val="20"/>
        </w:rPr>
      </w:pPr>
      <w:r>
        <w:rPr>
          <w:rFonts w:eastAsia="仿宋"/>
          <w:sz w:val="28"/>
          <w:szCs w:val="20"/>
        </w:rPr>
        <w:t>项目验收：中标方完成天气雷达双偏振技术升级项目建设、安装、调试工作后，依据《综合观测司关于印发S、C波段双线偏振多普勒天气雷达测试大纲（技术升级）的通知》（气测函〔2022〕55号）、《综合观测司关于印发S波段和C波段双线偏振多普勒天气雷达测试大纲的通知》（气测函〔2023〕73号）技术要求及双偏振技术升级项目合同执行。相关测试通过后，按照《综合观测司关于推进雷达工程项目业务验收工作的通知》（气测函〔2022〕121号）验收流程要求，组织完成项目业务验收。</w:t>
      </w:r>
    </w:p>
    <w:p>
      <w:pPr>
        <w:spacing w:line="560" w:lineRule="exact"/>
        <w:ind w:firstLine="560" w:firstLineChars="200"/>
        <w:rPr>
          <w:rFonts w:eastAsia="仿宋"/>
          <w:sz w:val="28"/>
          <w:szCs w:val="20"/>
        </w:rPr>
      </w:pPr>
      <w:r>
        <w:rPr>
          <w:rFonts w:eastAsia="仿宋"/>
          <w:sz w:val="28"/>
          <w:szCs w:val="20"/>
        </w:rPr>
        <w:t>如验收未获得通过，中标方应限期整改，视整改情况重新进行测试和验收。如因第三方不可控原因导致工期延迟，中标方可视情况向招标方书面递交延期申请，招标方批复同意后，方可延期。</w:t>
      </w:r>
    </w:p>
    <w:p>
      <w:pPr>
        <w:numPr>
          <w:ilvl w:val="0"/>
          <w:numId w:val="4"/>
        </w:numPr>
        <w:spacing w:line="560" w:lineRule="exact"/>
        <w:ind w:firstLine="560" w:firstLineChars="200"/>
        <w:rPr>
          <w:rFonts w:eastAsia="仿宋"/>
          <w:sz w:val="28"/>
          <w:szCs w:val="20"/>
        </w:rPr>
      </w:pPr>
      <w:r>
        <w:rPr>
          <w:rFonts w:eastAsia="仿宋"/>
          <w:sz w:val="28"/>
          <w:szCs w:val="20"/>
        </w:rPr>
        <w:t>其他要求</w:t>
      </w:r>
      <w:r>
        <w:rPr>
          <w:rFonts w:eastAsia="仿宋"/>
          <w:sz w:val="28"/>
          <w:szCs w:val="20"/>
        </w:rPr>
        <w:br/>
      </w:r>
      <w:r>
        <w:rPr>
          <w:rFonts w:eastAsia="仿宋"/>
          <w:sz w:val="28"/>
          <w:szCs w:val="20"/>
        </w:rPr>
        <w:t xml:space="preserve">    详见采购需求-其他技术及商务需求。</w:t>
      </w:r>
    </w:p>
    <w:p>
      <w:pPr>
        <w:numPr>
          <w:ilvl w:val="0"/>
          <w:numId w:val="0"/>
        </w:numPr>
        <w:spacing w:line="560" w:lineRule="exact"/>
        <w:rPr>
          <w:rFonts w:eastAsia="仿宋"/>
          <w:sz w:val="28"/>
          <w:szCs w:val="20"/>
        </w:rPr>
      </w:pPr>
    </w:p>
    <w:p>
      <w:pPr>
        <w:numPr>
          <w:ilvl w:val="0"/>
          <w:numId w:val="0"/>
        </w:numPr>
        <w:spacing w:line="560" w:lineRule="exact"/>
        <w:rPr>
          <w:rFonts w:eastAsia="仿宋"/>
          <w:sz w:val="28"/>
          <w:szCs w:val="20"/>
        </w:rPr>
      </w:pPr>
    </w:p>
    <w:p>
      <w:pPr>
        <w:spacing w:line="560" w:lineRule="exact"/>
        <w:ind w:firstLine="560" w:firstLineChars="200"/>
      </w:pPr>
      <w:r>
        <w:rPr>
          <w:rFonts w:eastAsia="仿宋"/>
          <w:sz w:val="28"/>
          <w:szCs w:val="20"/>
        </w:rPr>
        <w:t>采购需求 附表</w:t>
      </w:r>
    </w:p>
    <w:p>
      <w:pPr>
        <w:spacing w:line="560" w:lineRule="exact"/>
        <w:ind w:firstLine="560" w:firstLineChars="200"/>
        <w:rPr>
          <w:rFonts w:eastAsia="仿宋"/>
          <w:sz w:val="28"/>
          <w:szCs w:val="20"/>
          <w:highlight w:val="yellow"/>
        </w:rPr>
      </w:pPr>
    </w:p>
    <w:p>
      <w:pPr>
        <w:spacing w:line="560" w:lineRule="exact"/>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64"/>
        <w:gridCol w:w="1669"/>
        <w:gridCol w:w="597"/>
        <w:gridCol w:w="830"/>
        <w:gridCol w:w="947"/>
        <w:gridCol w:w="3801"/>
        <w:gridCol w:w="35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C波段天气雷达双偏振技术升级和技术升级及技术标准统一</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26,870,000.00</w:t>
            </w:r>
          </w:p>
        </w:tc>
        <w:tc>
          <w:tcPr/>
          <w:p>
            <w:pPr>
              <w:autoSpaceDE w:val="0"/>
              <w:jc w:val="center"/>
              <w:rPr>
                <w:rFonts w:asciiTheme="minorEastAsia" w:hAnsiTheme="minorEastAsia" w:cstheme="minorEastAsia" w:hint="eastAsia"/>
                <w:kern w:val="0"/>
                <w:szCs w:val="21"/>
              </w:rPr>
            </w:pPr>
            <w:r>
              <w:t>合同签订后60天内交货，到货后120天内完成安装调试并具备验收条件。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26,870,000.00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80"/>
        <w:gridCol w:w="1312"/>
        <w:gridCol w:w="1285"/>
        <w:gridCol w:w="280"/>
        <w:gridCol w:w="639"/>
        <w:gridCol w:w="533"/>
        <w:gridCol w:w="460"/>
        <w:gridCol w:w="37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数据中心(001016051)</w:t>
            </w:r>
          </w:p>
        </w:tc>
        <w:tc>
          <w:tcPr/>
          <w:p>
            <w:r>
              <w:t>C波段天气雷达双偏振技术升级和技术升级及技术标准统一</w:t>
            </w:r>
          </w:p>
        </w:tc>
        <w:tc>
          <w:tcPr/>
          <w:p>
            <w:r>
              <w:t>1</w:t>
            </w:r>
          </w:p>
        </w:tc>
        <w:tc>
          <w:tcPr/>
          <w:p>
            <w:r>
              <w:t>8770000.00</w:t>
            </w:r>
          </w:p>
        </w:tc>
        <w:tc>
          <w:tcPr/>
          <w:p>
            <w:r>
              <w:t xml:space="preserve">8770000.00  </w:t>
            </w:r>
          </w:p>
        </w:tc>
        <w:tc>
          <w:tcPr/>
          <w:p>
            <w:r>
              <w:t>四川</w:t>
            </w:r>
          </w:p>
        </w:tc>
        <w:tc>
          <w:tcPr/>
          <w:p>
            <w:r>
              <w:t>四川省气象探测数据中心(四川省气象技术装备中心、四川省气象档案馆)，胡春13880527139</w:t>
            </w:r>
          </w:p>
        </w:tc>
      </w:tr>
      <w:tr>
        <w:tblPrEx>
          <w:tblW w:w="5000" w:type="pct"/>
          <w:tblCellMar>
            <w:left w:w="108" w:type="dxa"/>
            <w:right w:w="108" w:type="dxa"/>
          </w:tblCellMar>
        </w:tblPrEx>
        <w:tc>
          <w:tcPr/>
          <w:p>
            <w:r>
              <w:t>2</w:t>
            </w:r>
          </w:p>
        </w:tc>
        <w:tc>
          <w:tcPr/>
          <w:p>
            <w:r>
              <w:t>大探中心(001057015)</w:t>
            </w:r>
          </w:p>
        </w:tc>
        <w:tc>
          <w:tcPr/>
          <w:p>
            <w:r>
              <w:t>C波段天气雷达双偏振技术升级和技术升级及技术标准统一</w:t>
            </w:r>
          </w:p>
        </w:tc>
        <w:tc>
          <w:tcPr/>
          <w:p>
            <w:r>
              <w:t>1</w:t>
            </w:r>
          </w:p>
        </w:tc>
        <w:tc>
          <w:tcPr/>
          <w:p>
            <w:r>
              <w:t>9050000.00</w:t>
            </w:r>
          </w:p>
        </w:tc>
        <w:tc>
          <w:tcPr/>
          <w:p>
            <w:r>
              <w:t xml:space="preserve">9050000.00 </w:t>
            </w:r>
          </w:p>
        </w:tc>
        <w:tc>
          <w:tcPr/>
          <w:p>
            <w:r>
              <w:t>青海</w:t>
            </w:r>
          </w:p>
        </w:tc>
        <w:tc>
          <w:tcPr/>
          <w:p>
            <w:r>
              <w:t>青海省大气探测技术保障中心，徐泽东13734682206</w:t>
            </w:r>
          </w:p>
        </w:tc>
      </w:tr>
      <w:tr>
        <w:tblPrEx>
          <w:tblW w:w="5000" w:type="pct"/>
          <w:tblCellMar>
            <w:left w:w="108" w:type="dxa"/>
            <w:right w:w="108" w:type="dxa"/>
          </w:tblCellMar>
        </w:tblPrEx>
        <w:tc>
          <w:tcPr/>
          <w:p>
            <w:r>
              <w:t>3</w:t>
            </w:r>
          </w:p>
        </w:tc>
        <w:tc>
          <w:tcPr/>
          <w:p>
            <w:r>
              <w:t>宁夏大气探测中心(001058017)</w:t>
            </w:r>
          </w:p>
        </w:tc>
        <w:tc>
          <w:tcPr/>
          <w:p>
            <w:r>
              <w:t>C波段天气雷达双偏振技术升级和技术升级及技术标准统一</w:t>
            </w:r>
          </w:p>
        </w:tc>
        <w:tc>
          <w:tcPr/>
          <w:p>
            <w:r>
              <w:t>1</w:t>
            </w:r>
          </w:p>
        </w:tc>
        <w:tc>
          <w:tcPr/>
          <w:p>
            <w:r>
              <w:t>9050000.00</w:t>
            </w:r>
          </w:p>
        </w:tc>
        <w:tc>
          <w:tcPr/>
          <w:p>
            <w:r>
              <w:t xml:space="preserve">9050000.00  </w:t>
            </w:r>
          </w:p>
        </w:tc>
        <w:tc>
          <w:tcPr/>
          <w:p>
            <w:r>
              <w:t>宁夏银川</w:t>
            </w:r>
          </w:p>
        </w:tc>
        <w:tc>
          <w:tcPr/>
          <w:p>
            <w:r>
              <w:t>宁夏回族自治区大气探测技术保障中心，杨晨芳13389514029</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项目建设内容包括3部C波段天气雷达双偏振技术升级和技术升级及技术标准统一，分别在宁夏（1）、四川（1）、青海（1）3省实施。通过</w:t>
      </w:r>
      <w:r>
        <w:rPr>
          <w:rFonts w:ascii="仿宋" w:eastAsia="仿宋" w:hAnsi="仿宋" w:cs="仿宋" w:hint="eastAsia"/>
          <w:sz w:val="28"/>
          <w:szCs w:val="20"/>
        </w:rPr>
        <w:t>开展</w:t>
      </w:r>
      <w:r>
        <w:rPr>
          <w:rFonts w:ascii="仿宋" w:eastAsia="仿宋" w:hAnsi="仿宋" w:cs="仿宋" w:hint="eastAsia"/>
          <w:sz w:val="28"/>
          <w:szCs w:val="20"/>
          <w:lang w:val="en-US" w:eastAsia="zh-CN"/>
        </w:rPr>
        <w:t>C波段天气雷达双偏振技术升级和技术升级及技术标准统一</w:t>
      </w:r>
      <w:r>
        <w:rPr>
          <w:rFonts w:ascii="仿宋" w:eastAsia="仿宋" w:hAnsi="仿宋" w:cs="仿宋" w:hint="eastAsia"/>
          <w:sz w:val="28"/>
          <w:szCs w:val="20"/>
        </w:rPr>
        <w:t>，</w:t>
      </w:r>
      <w:r>
        <w:rPr>
          <w:rFonts w:ascii="仿宋" w:eastAsia="仿宋" w:hAnsi="仿宋" w:cs="仿宋" w:hint="eastAsia"/>
          <w:sz w:val="28"/>
          <w:szCs w:val="20"/>
          <w:lang w:val="en-US" w:eastAsia="zh-CN"/>
        </w:rPr>
        <w:t>实现</w:t>
      </w:r>
      <w:r>
        <w:rPr>
          <w:rFonts w:ascii="仿宋" w:eastAsia="仿宋" w:hAnsi="仿宋" w:cs="仿宋" w:hint="eastAsia"/>
          <w:sz w:val="28"/>
          <w:szCs w:val="20"/>
          <w:lang w:eastAsia="zh-CN"/>
        </w:rPr>
        <w:t>统一雷达技术状态，提高雷达系统易维护性和观测资料一致性，增强雷达稳定可靠的运行能力，</w:t>
      </w:r>
      <w:r>
        <w:rPr>
          <w:rFonts w:ascii="仿宋" w:eastAsia="仿宋" w:hAnsi="仿宋" w:cs="仿宋" w:hint="eastAsia"/>
          <w:sz w:val="28"/>
          <w:szCs w:val="20"/>
        </w:rPr>
        <w:t>达到提高雷达观测数据质量、雷达定量估测降水准确率的目的，提升降水相态探测能力，满足雷达对天气监测预警预报精细化的要求</w:t>
      </w:r>
      <w:r>
        <w:rPr>
          <w:rFonts w:ascii="仿宋" w:eastAsia="仿宋" w:hAnsi="仿宋" w:cs="仿宋" w:hint="eastAsia"/>
          <w:sz w:val="28"/>
          <w:szCs w:val="20"/>
          <w:lang w:val="en-US" w:eastAsia="zh-CN"/>
        </w:rPr>
        <w:t>及</w:t>
      </w:r>
      <w:r>
        <w:rPr>
          <w:rFonts w:ascii="仿宋" w:eastAsia="仿宋" w:hAnsi="仿宋" w:cs="仿宋" w:hint="eastAsia"/>
          <w:sz w:val="28"/>
          <w:szCs w:val="20"/>
          <w:lang w:eastAsia="zh-CN"/>
        </w:rPr>
        <w:t>雷达资料组网拼图和应用需求。</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质保期要求。自雷达测试验收合格交付招标方使用之日起，雷达系统整机质保8年（不含速调管），设备发生故障时应在业务规定时间内完成维修、维护保障或更换组件。</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r>
        <w:rPr>
          <w:rFonts w:ascii="仿宋" w:eastAsia="仿宋" w:hAnsi="仿宋" w:cs="仿宋" w:hint="eastAsia"/>
          <w:sz w:val="28"/>
          <w:szCs w:val="20"/>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w:t>
      </w:r>
      <w:r>
        <w:rPr>
          <w:rFonts w:ascii="仿宋" w:eastAsia="仿宋" w:hAnsi="仿宋" w:cs="仿宋" w:hint="eastAsia"/>
          <w:sz w:val="28"/>
          <w:szCs w:val="20"/>
          <w:highlight w:val="none"/>
        </w:rPr>
        <w:t>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8</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20</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w:t>
      </w:r>
      <w:r>
        <w:rPr>
          <w:rFonts w:ascii="仿宋" w:eastAsia="仿宋" w:hAnsi="仿宋" w:cs="仿宋" w:hint="eastAsia"/>
          <w:sz w:val="28"/>
          <w:szCs w:val="20"/>
        </w:rPr>
        <w:t>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宁夏、四川、青海等甲方约定</w:t>
      </w:r>
      <w:r>
        <w:rPr>
          <w:rFonts w:ascii="仿宋" w:eastAsia="仿宋" w:hAnsi="仿宋" w:cs="仿宋" w:hint="eastAsia"/>
          <w:sz w:val="28"/>
          <w:szCs w:val="20"/>
        </w:rPr>
        <w:t>地点（运输相关费用由供应商负责），并负责安装调试。</w:t>
      </w:r>
    </w:p>
    <w:p>
      <w:pPr>
        <w:keepNext w:val="0"/>
        <w:keepLines w:val="0"/>
        <w:pageBreakBefore w:val="0"/>
        <w:widowControl w:val="0"/>
        <w:kinsoku/>
        <w:wordWrap/>
        <w:overflowPunct/>
        <w:topLinePunct w:val="0"/>
        <w:autoSpaceDE/>
        <w:autoSpaceDN/>
        <w:bidi w:val="0"/>
        <w:adjustRightInd/>
        <w:snapToGrid/>
        <w:ind w:left="0" w:firstLine="560" w:leftChars="0" w:firstLineChars="200"/>
        <w:textAlignment w:val="auto"/>
        <w:rPr>
          <w:rFonts w:ascii="仿宋" w:eastAsia="仿宋" w:hAnsi="仿宋" w:cs="仿宋" w:hint="eastAsia"/>
          <w:sz w:val="28"/>
          <w:szCs w:val="20"/>
        </w:rPr>
      </w:pPr>
      <w:r>
        <w:rPr>
          <w:rFonts w:ascii="仿宋" w:eastAsia="仿宋" w:hAnsi="仿宋" w:cs="仿宋" w:hint="eastAsia"/>
          <w:sz w:val="28"/>
          <w:szCs w:val="20"/>
        </w:rPr>
        <w:t>合同签订后60天内交货，到货后</w:t>
      </w:r>
      <w:r>
        <w:rPr>
          <w:rFonts w:ascii="仿宋" w:eastAsia="仿宋" w:hAnsi="仿宋" w:cs="仿宋" w:hint="eastAsia"/>
          <w:sz w:val="28"/>
          <w:szCs w:val="20"/>
          <w:lang w:val="en-US" w:eastAsia="zh-CN"/>
        </w:rPr>
        <w:t>120</w:t>
      </w:r>
      <w:r>
        <w:rPr>
          <w:rFonts w:ascii="仿宋" w:eastAsia="仿宋" w:hAnsi="仿宋" w:cs="仿宋" w:hint="eastAsia"/>
          <w:sz w:val="28"/>
          <w:szCs w:val="20"/>
        </w:rPr>
        <w:t>天内完成安装调试并具备验收条件</w:t>
      </w:r>
      <w:r>
        <w:rPr>
          <w:rFonts w:ascii="仿宋" w:eastAsia="仿宋" w:hAnsi="仿宋" w:cs="仿宋" w:hint="eastAsia"/>
          <w:sz w:val="28"/>
          <w:szCs w:val="20"/>
          <w:lang w:eastAsia="zh-CN"/>
        </w:rPr>
        <w:t>。</w:t>
      </w:r>
    </w:p>
    <w:p>
      <w:pPr>
        <w:keepNext w:val="0"/>
        <w:keepLines w:val="0"/>
        <w:pageBreakBefore w:val="0"/>
        <w:widowControl w:val="0"/>
        <w:kinsoku/>
        <w:wordWrap/>
        <w:overflowPunct/>
        <w:topLinePunct w:val="0"/>
        <w:autoSpaceDE/>
        <w:autoSpaceDN/>
        <w:bidi w:val="0"/>
        <w:adjustRightInd/>
        <w:snapToGrid/>
        <w:ind w:left="0" w:firstLine="560" w:leftChars="0" w:firstLineChars="200"/>
        <w:textAlignment w:val="auto"/>
        <w:rPr>
          <w:rFonts w:ascii="仿宋" w:eastAsia="仿宋" w:hAnsi="仿宋" w:cs="仿宋"/>
          <w:b/>
          <w:bCs/>
          <w:sz w:val="28"/>
          <w:szCs w:val="20"/>
        </w:rPr>
      </w:pP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r>
        <w:rPr>
          <w:rFonts w:ascii="仿宋" w:eastAsia="仿宋" w:hAnsi="仿宋" w:cs="仿宋" w:hint="eastAsia"/>
          <w:sz w:val="28"/>
          <w:szCs w:val="20"/>
          <w:lang w:eastAsia="zh-CN"/>
        </w:rPr>
        <w:t>。</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B26B2C">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B26B2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26B2C">
            <w:pPr>
              <w:rPr>
                <w:sz w:val="18"/>
                <w:szCs w:val="18"/>
              </w:rPr>
            </w:pPr>
            <w:r>
              <w:rPr>
                <w:rFonts w:hint="eastAsia"/>
                <w:sz w:val="18"/>
                <w:szCs w:val="18"/>
              </w:rPr>
              <w:t>序号</w:t>
            </w:r>
          </w:p>
        </w:tc>
        <w:tc>
          <w:tcPr>
            <w:tcW w:w="898" w:type="dxa"/>
            <w:vAlign w:val="center"/>
          </w:tcPr>
          <w:p w:rsidR="00B26B2C">
            <w:pPr>
              <w:jc w:val="center"/>
              <w:rPr>
                <w:sz w:val="18"/>
                <w:szCs w:val="18"/>
              </w:rPr>
            </w:pPr>
            <w:r>
              <w:rPr>
                <w:rFonts w:hint="eastAsia"/>
                <w:sz w:val="18"/>
                <w:szCs w:val="18"/>
              </w:rPr>
              <w:t>对应</w:t>
            </w:r>
          </w:p>
          <w:p w:rsidR="00B26B2C">
            <w:pPr>
              <w:jc w:val="center"/>
              <w:rPr>
                <w:sz w:val="18"/>
                <w:szCs w:val="18"/>
              </w:rPr>
            </w:pPr>
            <w:r>
              <w:rPr>
                <w:rFonts w:hint="eastAsia"/>
                <w:sz w:val="18"/>
                <w:szCs w:val="18"/>
              </w:rPr>
              <w:t>条款号</w:t>
            </w:r>
          </w:p>
        </w:tc>
        <w:tc>
          <w:tcPr>
            <w:tcW w:w="7347" w:type="dxa"/>
            <w:vAlign w:val="center"/>
          </w:tcPr>
          <w:p w:rsidR="00B26B2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B26B2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B26B2C">
            <w:pPr>
              <w:numPr>
                <w:ilvl w:val="0"/>
                <w:numId w:val="14"/>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B26B2C">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r>
              <w:rPr>
                <w:rFonts w:ascii="宋体" w:hAnsi="宋体" w:cs="微软雅黑" w:hint="eastAsia"/>
                <w:b/>
                <w:color w:val="0000FF"/>
                <w:kern w:val="0"/>
                <w:sz w:val="18"/>
                <w:szCs w:val="18"/>
              </w:rPr>
              <w:t>。</w:t>
            </w:r>
          </w:p>
        </w:tc>
      </w:tr>
      <w:tr>
        <w:tblPrEx>
          <w:tblW w:w="0" w:type="auto"/>
          <w:tblLayout w:type="fixed"/>
          <w:tblLook w:val="04A0"/>
        </w:tblPrEx>
        <w:trPr>
          <w:cantSplit/>
        </w:trPr>
        <w:tc>
          <w:tcPr>
            <w:tcW w:w="544" w:type="dxa"/>
            <w:vAlign w:val="center"/>
          </w:tcPr>
          <w:p w:rsidR="00B26B2C">
            <w:pPr>
              <w:numPr>
                <w:ilvl w:val="0"/>
                <w:numId w:val="14"/>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sz w:val="18"/>
                <w:szCs w:val="18"/>
              </w:rPr>
              <w:t>……</w:t>
            </w:r>
          </w:p>
        </w:tc>
        <w:tc>
          <w:tcPr>
            <w:tcW w:w="7347" w:type="dxa"/>
            <w:vAlign w:val="center"/>
          </w:tcPr>
          <w:p w:rsidR="00B26B2C">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B26B2C">
            <w:pPr>
              <w:numPr>
                <w:ilvl w:val="0"/>
                <w:numId w:val="14"/>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sz w:val="18"/>
                <w:szCs w:val="18"/>
              </w:rPr>
              <w:t>……</w:t>
            </w:r>
          </w:p>
        </w:tc>
        <w:tc>
          <w:tcPr>
            <w:tcW w:w="7347" w:type="dxa"/>
            <w:vAlign w:val="center"/>
          </w:tcPr>
          <w:p w:rsidR="00B26B2C">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B26B2C">
            <w:pPr>
              <w:numPr>
                <w:ilvl w:val="0"/>
                <w:numId w:val="14"/>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sz w:val="18"/>
                <w:szCs w:val="18"/>
              </w:rPr>
              <w:t>……</w:t>
            </w:r>
          </w:p>
        </w:tc>
        <w:tc>
          <w:tcPr>
            <w:tcW w:w="7347" w:type="dxa"/>
            <w:vAlign w:val="center"/>
          </w:tcPr>
          <w:p w:rsidR="00B26B2C">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B26B2C">
            <w:pPr>
              <w:numPr>
                <w:ilvl w:val="0"/>
                <w:numId w:val="14"/>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sz w:val="18"/>
                <w:szCs w:val="18"/>
              </w:rPr>
              <w:t>……</w:t>
            </w:r>
          </w:p>
        </w:tc>
        <w:tc>
          <w:tcPr>
            <w:tcW w:w="7347" w:type="dxa"/>
            <w:vAlign w:val="center"/>
          </w:tcPr>
          <w:p w:rsidR="00B26B2C">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B26B2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B26B2C">
            <w:pPr>
              <w:numPr>
                <w:ilvl w:val="0"/>
                <w:numId w:val="14"/>
              </w:numPr>
              <w:rPr>
                <w:rFonts w:ascii="宋体" w:hAnsi="宋体"/>
                <w:sz w:val="18"/>
                <w:szCs w:val="18"/>
              </w:rPr>
            </w:pPr>
          </w:p>
        </w:tc>
        <w:tc>
          <w:tcPr>
            <w:tcW w:w="898" w:type="dxa"/>
            <w:vAlign w:val="center"/>
          </w:tcPr>
          <w:p w:rsidR="00B26B2C">
            <w:pPr>
              <w:jc w:val="center"/>
              <w:rPr>
                <w:rFonts w:ascii="宋体" w:hAnsi="宋体"/>
                <w:sz w:val="18"/>
                <w:szCs w:val="18"/>
              </w:rPr>
            </w:pPr>
            <w:r>
              <w:rPr>
                <w:rFonts w:ascii="宋体" w:hAnsi="宋体"/>
                <w:sz w:val="18"/>
                <w:szCs w:val="18"/>
              </w:rPr>
              <w:t>……</w:t>
            </w:r>
          </w:p>
        </w:tc>
        <w:tc>
          <w:tcPr>
            <w:tcW w:w="7347" w:type="dxa"/>
            <w:vAlign w:val="center"/>
          </w:tcPr>
          <w:p w:rsidR="00B26B2C">
            <w:pPr>
              <w:tabs>
                <w:tab w:val="left" w:pos="709"/>
              </w:tabs>
              <w:spacing w:line="360" w:lineRule="auto"/>
              <w:jc w:val="left"/>
              <w:rPr>
                <w:rFonts w:ascii="宋体" w:hAnsi="宋体"/>
                <w:sz w:val="18"/>
                <w:szCs w:val="18"/>
              </w:rPr>
            </w:pPr>
            <w:r>
              <w:rPr>
                <w:rFonts w:eastAsia="仿宋" w:hint="eastAsia"/>
                <w:b/>
                <w:bCs/>
                <w:sz w:val="28"/>
                <w:highlight w:val="yellow"/>
              </w:rPr>
              <w:t>自雷达测试验收合格交付招标方使用之日起，</w:t>
            </w:r>
            <w:r>
              <w:rPr>
                <w:rFonts w:eastAsia="仿宋" w:hint="eastAsia"/>
                <w:b/>
                <w:bCs/>
                <w:kern w:val="0"/>
                <w:sz w:val="28"/>
                <w:szCs w:val="28"/>
                <w:highlight w:val="yellow"/>
              </w:rPr>
              <w:t>雷达系统整机质保</w:t>
            </w:r>
            <w:r>
              <w:rPr>
                <w:rFonts w:eastAsia="仿宋"/>
                <w:b/>
                <w:bCs/>
                <w:kern w:val="0"/>
                <w:sz w:val="28"/>
                <w:szCs w:val="28"/>
                <w:highlight w:val="yellow"/>
              </w:rPr>
              <w:t>8</w:t>
            </w:r>
            <w:r>
              <w:rPr>
                <w:rFonts w:eastAsia="仿宋" w:hint="eastAsia"/>
                <w:b/>
                <w:bCs/>
                <w:kern w:val="0"/>
                <w:sz w:val="28"/>
                <w:szCs w:val="28"/>
                <w:highlight w:val="yellow"/>
              </w:rPr>
              <w:t>年</w:t>
            </w:r>
            <w:r>
              <w:rPr>
                <w:rFonts w:eastAsia="仿宋"/>
                <w:b/>
                <w:bCs/>
                <w:kern w:val="0"/>
                <w:sz w:val="28"/>
                <w:szCs w:val="28"/>
                <w:highlight w:val="yellow"/>
              </w:rPr>
              <w:t>*</w:t>
            </w:r>
          </w:p>
        </w:tc>
      </w:tr>
    </w:tbl>
    <w:p w:rsidR="00B26B2C">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618E9">
      <w:pPr>
        <w:numPr>
          <w:ilvl w:val="0"/>
          <w:numId w:val="5"/>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B618E9">
      <w:pPr>
        <w:spacing w:line="360" w:lineRule="auto"/>
        <w:ind w:left="1680" w:firstLine="420"/>
        <w:jc w:val="left"/>
        <w:rPr>
          <w:b/>
          <w:bCs/>
          <w:szCs w:val="21"/>
        </w:rPr>
      </w:pPr>
      <w:r>
        <w:rPr>
          <w:rFonts w:hint="eastAsia"/>
          <w:b/>
          <w:bCs/>
          <w:szCs w:val="21"/>
        </w:rPr>
        <w:t>必须明确合同金额支付条件及支付比例</w:t>
      </w:r>
    </w:p>
    <w:p w:rsidR="00B618E9">
      <w:pPr>
        <w:pStyle w:val="BodyText"/>
        <w:spacing w:after="0"/>
        <w:jc w:val="center"/>
        <w:rPr>
          <w:rFonts w:ascii="宋体" w:hAnsi="宋体" w:cs="宋体"/>
          <w:b/>
          <w:bCs/>
          <w:spacing w:val="-20"/>
          <w:kern w:val="44"/>
          <w:sz w:val="48"/>
          <w:szCs w:val="48"/>
        </w:rPr>
      </w:pPr>
      <w:r>
        <w:rPr>
          <w:b/>
          <w:bCs/>
          <w:szCs w:val="21"/>
        </w:rPr>
        <w:br w:type="page"/>
      </w:r>
      <w:bookmarkStart w:id="71" w:name="_Toc3995"/>
    </w:p>
    <w:p w:rsidR="00B618E9">
      <w:pPr>
        <w:pStyle w:val="BodyText"/>
        <w:spacing w:after="0"/>
        <w:jc w:val="center"/>
        <w:rPr>
          <w:rFonts w:ascii="宋体" w:hAnsi="宋体" w:cs="宋体"/>
          <w:b/>
          <w:bCs/>
          <w:spacing w:val="-20"/>
          <w:kern w:val="44"/>
          <w:sz w:val="48"/>
          <w:szCs w:val="48"/>
        </w:rPr>
      </w:pPr>
    </w:p>
    <w:p w:rsidR="00B618E9">
      <w:pPr>
        <w:pStyle w:val="BodyText"/>
        <w:spacing w:after="0"/>
        <w:jc w:val="center"/>
        <w:rPr>
          <w:rFonts w:ascii="宋体" w:hAnsi="宋体" w:cs="宋体"/>
          <w:b/>
          <w:bCs/>
          <w:spacing w:val="-20"/>
          <w:kern w:val="44"/>
          <w:sz w:val="48"/>
          <w:szCs w:val="48"/>
        </w:rPr>
      </w:pPr>
    </w:p>
    <w:p w:rsidR="00B618E9">
      <w:pPr>
        <w:pStyle w:val="BodyText"/>
        <w:spacing w:after="0"/>
        <w:jc w:val="center"/>
        <w:rPr>
          <w:rFonts w:ascii="宋体" w:hAnsi="宋体" w:cs="宋体"/>
          <w:b/>
          <w:bCs/>
          <w:spacing w:val="-20"/>
          <w:kern w:val="44"/>
          <w:sz w:val="48"/>
          <w:szCs w:val="48"/>
        </w:rPr>
      </w:pPr>
    </w:p>
    <w:p w:rsidR="00B618E9">
      <w:pPr>
        <w:pStyle w:val="BodyText"/>
        <w:spacing w:after="0"/>
        <w:jc w:val="center"/>
        <w:rPr>
          <w:rFonts w:ascii="宋体" w:hAnsi="宋体" w:cs="宋体"/>
          <w:b/>
          <w:bCs/>
          <w:spacing w:val="-20"/>
          <w:kern w:val="44"/>
          <w:sz w:val="48"/>
          <w:szCs w:val="48"/>
        </w:rPr>
      </w:pPr>
    </w:p>
    <w:p w:rsidR="00B618E9">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B618E9">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B618E9">
      <w:pPr>
        <w:rPr>
          <w:rFonts w:ascii="宋体" w:hAnsi="宋体" w:cs="宋体"/>
          <w:b/>
          <w:bCs/>
          <w:spacing w:val="-20"/>
          <w:kern w:val="44"/>
          <w:sz w:val="40"/>
          <w:szCs w:val="40"/>
        </w:rPr>
      </w:pPr>
    </w:p>
    <w:p w:rsidR="00B618E9">
      <w:pPr>
        <w:rPr>
          <w:rFonts w:ascii="宋体" w:hAnsi="宋体" w:cs="宋体"/>
          <w:b/>
          <w:bCs/>
          <w:spacing w:val="-20"/>
          <w:kern w:val="44"/>
          <w:sz w:val="40"/>
          <w:szCs w:val="40"/>
        </w:rPr>
      </w:pPr>
    </w:p>
    <w:p w:rsidR="00B618E9">
      <w:pPr>
        <w:rPr>
          <w:rFonts w:ascii="宋体" w:hAnsi="宋体" w:cs="宋体"/>
          <w:b/>
          <w:bCs/>
          <w:spacing w:val="-20"/>
          <w:kern w:val="44"/>
          <w:sz w:val="40"/>
          <w:szCs w:val="40"/>
        </w:rPr>
      </w:pPr>
    </w:p>
    <w:p w:rsidR="00B618E9">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B618E9">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B618E9">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B618E9">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B618E9">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B618E9"/>
    <w:p w:rsidR="00B618E9">
      <w:pPr>
        <w:rPr>
          <w:rFonts w:eastAsia="黑体"/>
          <w:sz w:val="44"/>
          <w:szCs w:val="44"/>
        </w:rPr>
      </w:pPr>
      <w:r>
        <w:rPr>
          <w:rFonts w:eastAsia="黑体"/>
          <w:sz w:val="44"/>
          <w:szCs w:val="44"/>
        </w:rPr>
        <w:br w:type="page"/>
      </w:r>
    </w:p>
    <w:p w:rsidR="00B618E9">
      <w:pPr>
        <w:rPr>
          <w:rFonts w:eastAsia="黑体"/>
          <w:sz w:val="44"/>
          <w:szCs w:val="44"/>
        </w:rPr>
      </w:pPr>
    </w:p>
    <w:p w:rsidR="00B618E9">
      <w:pPr>
        <w:rPr>
          <w:rFonts w:eastAsia="黑体"/>
          <w:sz w:val="44"/>
          <w:szCs w:val="44"/>
        </w:rPr>
      </w:pPr>
    </w:p>
    <w:p w:rsidR="00B618E9">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B618E9">
      <w:pPr>
        <w:ind w:firstLine="640" w:firstLineChars="200"/>
        <w:rPr>
          <w:rFonts w:ascii="仿宋_GB2312" w:eastAsia="仿宋_GB2312" w:hAnsi="仿宋_GB2312" w:cs="仿宋_GB2312"/>
          <w:sz w:val="32"/>
          <w:szCs w:val="32"/>
        </w:rPr>
      </w:pPr>
    </w:p>
    <w:p w:rsidR="00B618E9">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B618E9">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B618E9">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B618E9">
      <w:pPr>
        <w:rPr>
          <w:rFonts w:eastAsia="黑体"/>
          <w:sz w:val="44"/>
          <w:szCs w:val="44"/>
        </w:rPr>
        <w:sectPr>
          <w:pgSz w:w="11906" w:h="16838"/>
          <w:pgMar w:top="1440" w:right="1800" w:bottom="1440" w:left="1800" w:header="851" w:footer="992" w:gutter="0"/>
          <w:cols w:space="425"/>
          <w:docGrid w:type="lines" w:linePitch="312"/>
        </w:sectPr>
      </w:pPr>
    </w:p>
    <w:p w:rsidR="00B618E9">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B618E9">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B618E9">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B618E9">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618E9">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w:t>
      </w:r>
      <w:r>
        <w:rPr>
          <w:rFonts w:ascii="宋体" w:hAnsi="宋体" w:hint="eastAsia"/>
          <w:szCs w:val="21"/>
        </w:rPr>
        <w:t>合体成员供应商或其他合同主体）（如有）</w:t>
      </w:r>
    </w:p>
    <w:p w:rsidR="00B618E9">
      <w:pPr>
        <w:spacing w:line="400" w:lineRule="exact"/>
      </w:pPr>
    </w:p>
    <w:p w:rsidR="00B618E9">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谈判文件等采购文件、乙方的《投标（响应）文件》及《中标（成交）通知书》，甲乙双方同意签订本合同。具体情况及要求如下：</w:t>
      </w:r>
      <w:r>
        <w:rPr>
          <w:rFonts w:ascii="宋体" w:hAnsi="宋体" w:hint="eastAsia"/>
          <w:szCs w:val="21"/>
        </w:rPr>
        <w:t xml:space="preserve">     </w:t>
      </w:r>
    </w:p>
    <w:p w:rsidR="00B618E9" w:rsidP="004639B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B618E9">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B618E9">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B618E9">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B618E9">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B618E9">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B618E9">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B618E9">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B618E9">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B618E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618E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B618E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B618E9">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B618E9">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B618E9">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B618E9">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618E9">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618E9">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B618E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B618E9">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B618E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B618E9">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B618E9">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B618E9">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B618E9">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B618E9">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B618E9">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B618E9">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B618E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B618E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B618E9">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B618E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618E9">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618E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B618E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B618E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618E9">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618E9">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B618E9">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B618E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618E9">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618E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B618E9">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B618E9" w:rsidP="004639B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B618E9">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618E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B618E9">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618E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B618E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w:t>
      </w:r>
      <w:r>
        <w:rPr>
          <w:rFonts w:ascii="宋体" w:hAnsi="宋体" w:hint="eastAsia"/>
          <w:szCs w:val="21"/>
        </w:rPr>
        <w:t>可以勾选多项</w:t>
      </w:r>
      <w:r>
        <w:rPr>
          <w:rFonts w:ascii="宋体" w:hAnsi="宋体" w:hint="eastAsia"/>
          <w:szCs w:val="21"/>
        </w:rPr>
        <w:t>）：</w:t>
      </w:r>
    </w:p>
    <w:p w:rsidR="00B618E9">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B618E9">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w:t>
      </w:r>
      <w:r>
        <w:rPr>
          <w:rFonts w:ascii="宋体" w:hAnsi="宋体" w:hint="eastAsia"/>
        </w:rPr>
        <w:t>实际勾选填写</w:t>
      </w:r>
      <w:r>
        <w:rPr>
          <w:rFonts w:ascii="宋体" w:hAnsi="宋体" w:hint="eastAsia"/>
        </w:rPr>
        <w:t>）：</w:t>
      </w:r>
    </w:p>
    <w:p w:rsidR="00B618E9">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4639BC" w:rsidRPr="004639BC" w:rsidP="004639BC">
      <w:pPr>
        <w:snapToGrid w:val="0"/>
        <w:spacing w:line="400" w:lineRule="exact"/>
        <w:ind w:firstLine="630" w:firstLineChars="300"/>
        <w:rPr>
          <w:rFonts w:ascii="宋体" w:hAnsi="宋体"/>
          <w:szCs w:val="21"/>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在本合同签订后，乙方向甲方开具合同总额30%的正式票据，甲方在收到乙方票据7日内，向乙方支付相应款项；在供货完成后，乙方向甲方开具合同总额50%的正式票据，甲方在收到乙方票据7日内，向乙方支付相应款项；双偏振升级完成，经现场测试合格，并通过现场验收后，乙方向甲方开具合同总额20%的正式票据，甲方在收到乙方票据7日内，向乙方支付相应款项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rsidR="00B618E9">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B618E9">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B618E9" w:rsidP="004639BC">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B618E9">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B618E9">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B618E9">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B618E9">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B618E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B618E9">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B618E9">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B618E9">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B618E9" w:rsidP="004639B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B618E9">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B618E9">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B618E9">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B618E9">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618E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B618E9">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p>
    <w:p w:rsidR="00B618E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B618E9">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B618E9">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B618E9" w:rsidP="004639B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B618E9">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B618E9" w:rsidP="004639B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B618E9" w:rsidP="004639B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B618E9">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B618E9">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B618E9">
      <w:r>
        <w:rPr>
          <w:rFonts w:hint="eastAsia"/>
        </w:rPr>
        <w:br w:type="page"/>
      </w:r>
    </w:p>
    <w:p w:rsidR="00B618E9">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B618E9">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B618E9">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法定代表人</w:t>
            </w:r>
          </w:p>
          <w:p w:rsidR="00B618E9" w:rsidP="004639BC">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法定代表人</w:t>
            </w:r>
          </w:p>
          <w:p w:rsidR="00B618E9">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618E9">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B618E9">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B618E9">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B618E9">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B618E9">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B618E9">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B618E9">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B618E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B618E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B618E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B618E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w:t>
      </w:r>
      <w:r>
        <w:rPr>
          <w:rFonts w:ascii="宋体" w:hAnsi="宋体" w:hint="eastAsia"/>
          <w:color w:val="000000"/>
          <w:szCs w:val="21"/>
        </w:rPr>
        <w:t>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B618E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B618E9">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B618E9">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B618E9">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B618E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B618E9">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B618E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B618E9" w:rsidP="004639B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B618E9" w:rsidP="004639B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B618E9">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B618E9">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B618E9">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B618E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B618E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w:t>
      </w:r>
      <w:r>
        <w:rPr>
          <w:rFonts w:ascii="宋体" w:hAnsi="宋体" w:cs="宋体" w:hint="eastAsia"/>
          <w:color w:val="000000"/>
          <w:szCs w:val="21"/>
        </w:rPr>
        <w:t>做好货物的接收工作。</w:t>
      </w:r>
    </w:p>
    <w:p w:rsidR="00B618E9">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B618E9">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B618E9">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618E9">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w:t>
      </w:r>
      <w:r>
        <w:rPr>
          <w:rFonts w:ascii="宋体" w:hAnsi="宋体" w:hint="eastAsia"/>
          <w:szCs w:val="21"/>
        </w:rPr>
        <w:t>诺（两者以较长的为准）的质量保证期内，</w:t>
      </w:r>
      <w:r>
        <w:rPr>
          <w:rFonts w:ascii="宋体" w:hAnsi="宋体" w:hint="eastAsia"/>
          <w:szCs w:val="21"/>
        </w:rPr>
        <w:t>本保证</w:t>
      </w:r>
      <w:r>
        <w:rPr>
          <w:rFonts w:ascii="宋体" w:hAnsi="宋体" w:hint="eastAsia"/>
          <w:szCs w:val="21"/>
        </w:rPr>
        <w:t>保持有效。</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B618E9">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w:t>
      </w:r>
      <w:r>
        <w:rPr>
          <w:rFonts w:ascii="宋体" w:hAnsi="宋体" w:hint="eastAsia"/>
          <w:szCs w:val="21"/>
        </w:rPr>
        <w:t>方根据合同约定对乙方行使的其他权利不受影响。</w:t>
      </w:r>
    </w:p>
    <w:p w:rsidR="00B618E9">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B618E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B618E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B618E9">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B618E9">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B618E9">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B618E9">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B618E9">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B618E9">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B618E9">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B618E9">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B618E9">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B618E9">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w:t>
      </w:r>
      <w:r>
        <w:rPr>
          <w:rFonts w:ascii="宋体" w:hAnsi="宋体" w:hint="eastAsia"/>
          <w:b/>
          <w:szCs w:val="21"/>
        </w:rPr>
        <w:t>府采购合同专用条款】</w:t>
      </w:r>
      <w:r>
        <w:rPr>
          <w:rFonts w:ascii="宋体" w:hAnsi="宋体" w:hint="eastAsia"/>
          <w:szCs w:val="21"/>
        </w:rPr>
        <w:t>规定执行。如果涉及公共利益，且赔偿金额无法弥补公共利益损失，甲方可要求继续履行或者采取其他补救措施。</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B618E9">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B618E9">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B618E9">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w:t>
      </w:r>
      <w:r>
        <w:rPr>
          <w:rFonts w:ascii="宋体" w:hAnsi="宋体" w:hint="eastAsia"/>
          <w:szCs w:val="21"/>
        </w:rPr>
        <w:t>权解除合同并要求乙方承担由此给甲方造成的损失。</w:t>
      </w:r>
    </w:p>
    <w:p w:rsidR="00B618E9">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B618E9">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B618E9">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B618E9">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B618E9">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B618E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B618E9">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B618E9">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B618E9">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w:t>
      </w:r>
      <w:r>
        <w:rPr>
          <w:rFonts w:ascii="宋体" w:hAnsi="宋体" w:hint="eastAsia"/>
          <w:color w:val="auto"/>
          <w:szCs w:val="21"/>
        </w:rPr>
        <w:t>成部分。</w:t>
      </w:r>
    </w:p>
    <w:p w:rsidR="00B618E9">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B618E9">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B618E9">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B618E9">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B618E9">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B618E9">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B618E9">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B618E9">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B618E9">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B618E9">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B618E9"/>
        </w:tc>
      </w:tr>
      <w:tr>
        <w:tblPrEx>
          <w:tblW w:w="8519" w:type="dxa"/>
          <w:tblInd w:w="108" w:type="dxa"/>
          <w:tblLayout w:type="fixed"/>
          <w:tblLook w:val="04A0"/>
        </w:tblPrEx>
        <w:trPr>
          <w:trHeight w:val="667"/>
        </w:trPr>
        <w:tc>
          <w:tcPr>
            <w:tcW w:w="1607" w:type="dxa"/>
            <w:vMerge/>
            <w:vAlign w:val="center"/>
          </w:tcPr>
          <w:p w:rsidR="00B618E9">
            <w:pPr>
              <w:adjustRightInd w:val="0"/>
              <w:snapToGrid w:val="0"/>
              <w:jc w:val="center"/>
              <w:rPr>
                <w:rFonts w:ascii="宋体" w:hAnsi="宋体"/>
                <w:szCs w:val="21"/>
              </w:rPr>
            </w:pPr>
          </w:p>
        </w:tc>
        <w:tc>
          <w:tcPr>
            <w:tcW w:w="1742" w:type="dxa"/>
            <w:vAlign w:val="center"/>
          </w:tcPr>
          <w:p w:rsidR="00B618E9">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B618E9"/>
        </w:tc>
      </w:tr>
      <w:tr>
        <w:tblPrEx>
          <w:tblW w:w="8519" w:type="dxa"/>
          <w:tblInd w:w="108" w:type="dxa"/>
          <w:tblLayout w:type="fixed"/>
          <w:tblLook w:val="04A0"/>
        </w:tblPrEx>
        <w:trPr>
          <w:trHeight w:val="772"/>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B618E9"/>
        </w:tc>
      </w:tr>
      <w:tr>
        <w:tblPrEx>
          <w:tblW w:w="8519" w:type="dxa"/>
          <w:tblInd w:w="108" w:type="dxa"/>
          <w:tblLayout w:type="fixed"/>
          <w:tblLook w:val="04A0"/>
        </w:tblPrEx>
        <w:trPr>
          <w:trHeight w:val="667"/>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B618E9"/>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B618E9">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货物质量缺陷</w:t>
            </w:r>
          </w:p>
          <w:p w:rsidR="00B618E9">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snapToGrid w:val="0"/>
              <w:jc w:val="center"/>
              <w:rPr>
                <w:rFonts w:ascii="宋体" w:hAnsi="宋体" w:cs="宋体"/>
                <w:szCs w:val="21"/>
              </w:rPr>
            </w:pPr>
            <w:r>
              <w:rPr>
                <w:rFonts w:ascii="宋体" w:hAnsi="宋体" w:cs="宋体" w:hint="eastAsia"/>
                <w:szCs w:val="21"/>
              </w:rPr>
              <w:t>第二节</w:t>
            </w:r>
          </w:p>
          <w:p w:rsidR="00B618E9">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B618E9">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B618E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B618E9">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B618E9">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B618E9">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B618E9">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B618E9">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B618E9">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B618E9">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B618E9">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B618E9">
            <w:pPr>
              <w:adjustRightInd w:val="0"/>
              <w:snapToGrid w:val="0"/>
              <w:jc w:val="center"/>
              <w:rPr>
                <w:rFonts w:ascii="宋体" w:hAnsi="宋体"/>
                <w:szCs w:val="21"/>
              </w:rPr>
            </w:pPr>
            <w:r>
              <w:rPr>
                <w:rFonts w:ascii="宋体" w:hAnsi="宋体" w:hint="eastAsia"/>
                <w:szCs w:val="21"/>
              </w:rPr>
              <w:t>第二节</w:t>
            </w:r>
          </w:p>
          <w:p w:rsidR="00B618E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B618E9">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B618E9">
            <w:pPr>
              <w:adjustRightInd w:val="0"/>
              <w:snapToGrid w:val="0"/>
              <w:jc w:val="left"/>
              <w:rPr>
                <w:rFonts w:ascii="宋体" w:hAnsi="宋体"/>
                <w:szCs w:val="21"/>
              </w:rPr>
            </w:pPr>
          </w:p>
        </w:tc>
      </w:tr>
    </w:tbl>
    <w:p w:rsidR="00B618E9"/>
    <w:p w:rsidR="00B618E9">
      <w:pPr>
        <w:rPr>
          <w:b/>
          <w:bCs/>
          <w:sz w:val="44"/>
          <w:szCs w:val="44"/>
        </w:rPr>
      </w:pPr>
    </w:p>
    <w:p w:rsidR="00B618E9"/>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___WRD_EMBED_SUB_40">
    <w:altName w:val="宋体"/>
    <w:panose1 w:val="02010600030101010101"/>
    <w:charset w:val="86"/>
    <w:family w:val="modern"/>
    <w:pitch w:val="default"/>
    <w:sig w:usb0="00000203" w:usb1="288F0000" w:usb2="0000000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6ABD1D5"/>
    <w:multiLevelType w:val="singleLevel"/>
    <w:tmpl w:val="76ABD1D5"/>
    <w:lvl w:ilvl="0">
      <w:start w:val="6"/>
      <w:numFmt w:val="chineseCounting"/>
      <w:suff w:val="nothing"/>
      <w:lvlText w:val="%1、"/>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2"/>
  </w:num>
  <w:num w:numId="5">
    <w:abstractNumId w:val="11"/>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39BC"/>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26B2C"/>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8E9"/>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BodyTextIndent"/>
    <w:qFormat/>
    <w:pPr>
      <w:spacing w:after="0" w:line="440" w:lineRule="exact"/>
      <w:ind w:left="0" w:firstLine="538" w:leftChars="0" w:firstLineChars="168"/>
      <w:jc w:val="center"/>
    </w:pPr>
    <w:rPr>
      <w:rFonts w:ascii="仿宋_GB2312" w:eastAsia="仿宋_GB2312"/>
      <w:color w:val="000000"/>
      <w:sz w:val="18"/>
      <w:szCs w:val="18"/>
    </w:rPr>
  </w:style>
  <w:style w:type="paragraph" w:customStyle="1" w:styleId="-">
    <w:name w:val="正文-单倍行距"/>
    <w:basedOn w:val="Normal"/>
    <w:qFormat/>
    <w:pPr>
      <w:ind w:firstLine="640" w:firstLineChars="200"/>
    </w:pPr>
    <w:rPr>
      <w:rFonts w:ascii="仿宋_GB2312" w:eastAsia="仿宋_GB231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