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沿路、沿江交通自动站建设与升级（重新招标）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ZQCD-26078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2026年05月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江苏省气象探测中心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沿路、沿江交通自动站建设与升级（重新招标）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ZQCD-26078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合同签订后60天内交货，90天内完成安装调试并具备验收条件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2026年06月15日 00:00:00</w:t>
      </w:r>
      <w:bookmarkEnd w:id="26"/>
      <w:r>
        <w:rPr>
          <w:rFonts w:ascii="宋体" w:hint="eastAsia"/>
          <w:szCs w:val="21"/>
          <w:highlight w:val="none"/>
        </w:rPr>
        <w:t>至</w:t>
      </w:r>
      <w:bookmarkStart w:id="27" w:name="项目公告_signUpLastTime"/>
      <w:r>
        <w:rPr>
          <w:rFonts w:ascii="宋体" w:hint="eastAsia"/>
          <w:szCs w:val="21"/>
          <w:highlight w:val="none"/>
        </w:rPr>
        <w:t>2026年06月22日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2026年07月07日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江苏省气象探测中心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何国安</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025-52698088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江苏省南京市建邺区雨顺路8号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江苏省气象探测中心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不允许（仅针对以下产品：交通自动站不允许代理商投标）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必须，以下产品需要提供至投标截止日仍有效的《气象专用技术装备使用许可证》：交通自动站须取得《公路交通气象观测站》或《集成式交通气象监测仪》气象专用技术装备使用许可证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（1）标的：交通自动站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1,643.250000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1,643.250000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8"/>
        <w:gridCol w:w="242"/>
        <w:gridCol w:w="1236"/>
        <w:gridCol w:w="242"/>
        <w:gridCol w:w="713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销售合同必须包括交通自动站，每提供1份合同得1分，最多得5分。否则不得分。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针对本项目采购的交通气象站，承诺每提前10天交货的得0.5分，最多得1分。否则不得分。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(2)</w:t>
            </w:r>
          </w:p>
        </w:tc>
        <w:tc>
          <w:tcPr/>
          <w:p>
            <w:r>
              <w:t>评审标准：</w:t>
            </w:r>
          </w:p>
          <w:p>
            <w:r>
              <w:t>针对交通自动站，每提供1份用户证明材料得0.5分，最多得2分。否则不得分。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区间打分</w:t>
            </w:r>
            <w:r>
              <w:t>(4)</w:t>
            </w:r>
          </w:p>
        </w:tc>
        <w:tc>
          <w:tcPr/>
          <w:p>
            <w:r>
              <w:t>评审标准：</w:t>
            </w:r>
          </w:p>
          <w:p>
            <w:r>
              <w:t>投标人为本项目拟派的服务团队中：</w:t>
              <w:cr/>
              <w:t>1、项目负责人具有电子信息/电子技术/机械工程/气象等相关专业中级及以上专业技术职称的，得1分；</w:t>
              <w:cr/>
              <w:t>2、技术负责人具有电子信息/电子技术/机械工程/气象等相关专业中级及以上专业技术职称的，得1分；</w:t>
              <w:cr/>
              <w:t>3、技术人员具有电子信息/电子技术/机械工程/气象等相关专业中级及以上专业技术职称的，每有一人得0.5分，最多得2分。</w:t>
              <w:cr/>
              <w:t>注：以上项目负责人/技术负责人/技术人员不重复计分。</w:t>
            </w:r>
          </w:p>
          <w:p>
            <w:r>
              <w:t>评审标准说明：</w:t>
            </w:r>
          </w:p>
          <w:p>
            <w:r>
              <w:t>服务团队应有一名项目负责人、一名技术负责人，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(36)</w:t>
            </w:r>
          </w:p>
        </w:tc>
        <w:tc>
          <w:tcPr/>
          <w:p>
            <w:r>
              <w:t>评审标准：</w:t>
            </w:r>
          </w:p>
          <w:p>
            <w:r>
              <w:t>标注#的重要指标共9项，每满足1项（如有多个下级指标，则每个下级指标均应满足）得4分，满分36分。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(4)</w:t>
            </w:r>
          </w:p>
        </w:tc>
        <w:tc>
          <w:tcPr/>
          <w:p>
            <w:r>
              <w:t>评审标准：</w:t>
            </w:r>
          </w:p>
          <w:p>
            <w:r>
              <w:t>一档0分</w:t>
              <w:cr/>
              <w:t>二档1分</w:t>
              <w:cr/>
              <w:t>三档2分</w:t>
              <w:cr/>
              <w:t>四档4分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根据投标人提供的能证明投标产品技术性能的第三方测试报告（包括测试内容、测试方法、测试结论等，其中测试内容应包括但不限于标注#的重要指标），由评审委员会根据技术性能指标，主观综合评判。</w:t>
              <w:cr/>
              <w:t>一档：未提供或者投标产品综合技术性能不能满足采购文件要求</w:t>
              <w:cr/>
              <w:t>二档：投标产品综合技术性能满足采购文件基本要求</w:t>
              <w:cr/>
              <w:t>三档：投标产品综合技术性能满足且部分优于采购文件要求</w:t>
              <w:cr/>
              <w:t>四档：投标产品综合技术性能满足且总体上优于采购文件要求</w:t>
              <w:cr/>
              <w:t>注：应提供能证明投标产品技术性能的第三方测试报告，并加盖投标人公章。</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(3)</w:t>
            </w:r>
          </w:p>
        </w:tc>
        <w:tc>
          <w:tcPr/>
          <w:p>
            <w:r>
              <w:t>评审标准：</w:t>
            </w:r>
          </w:p>
          <w:p>
            <w:r>
              <w:t>针对交通自动站设备，测试报告应涵盖高低温、交变湿热、IP防护等级、盐雾、振动、冲击等内容，每包含一项得0.5分，最多得3分。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jc w:val="left"/>
        <w:rPr>
          <w:rFonts w:ascii="宋体" w:hAnsi="宋体"/>
          <w:szCs w:val="21"/>
        </w:rPr>
      </w:pPr>
      <w:r>
        <w:rPr>
          <w:rFonts w:ascii="宋体" w:hAnsi="宋体" w:hint="eastAsia"/>
          <w:szCs w:val="21"/>
        </w:rPr>
        <w:t>经过前期调研，明确本项目在全省高速公路、高架、国省道等建设 105 个交通气象观测站（站点明细见附件</w:t>
      </w:r>
      <w:r>
        <w:rPr>
          <w:rFonts w:ascii="宋体" w:hAnsi="宋体"/>
          <w:szCs w:val="21"/>
        </w:rPr>
        <w:t>1</w:t>
      </w:r>
      <w:r>
        <w:rPr>
          <w:rFonts w:ascii="宋体" w:hAnsi="宋体" w:hint="eastAsia"/>
          <w:szCs w:val="21"/>
        </w:rPr>
        <w:t>），该设备要求利用嵌入式技术、光学技术、数字电子技术等技术对多种气象传感器从结构到系统组成上进行集成化应用，设备能够连续获得交通沿线的能见度、风、路面状况、路面温度、气温、相对湿度、大气压力、降水量等多个道路交通气象环境要素实时监测数据，重点针对造成视程障碍的能见度和引发道路冰冻的路面温度及路面状况等进行精密监测，并对数据进行分析、处理、存储，之后形成要求数据协议通过 4G/5G 方式与新建区域站数据中心站进行通讯。通过远程传输完成各类数据的汇总并及时传送给气象部门做好交通气象保障服务提供可靠实况监测信息和基础数据支撑。</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szCs w:val="21"/>
        </w:rPr>
      </w:pPr>
      <w:r>
        <w:rPr>
          <w:rFonts w:ascii="宋体" w:hAnsi="宋体" w:hint="eastAsia"/>
          <w:szCs w:val="21"/>
        </w:rPr>
        <w:t>三、技术性能指标</w:t>
      </w:r>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交通自动站由测量模块、数据采集传送模块、外围组件、安装固定模块四部分组成</w:t>
      </w:r>
      <w:r>
        <w:rPr>
          <w:rFonts w:asciiTheme="minorEastAsia" w:hAnsiTheme="minorEastAsia" w:cstheme="minorEastAsia" w:hint="eastAsia"/>
          <w:szCs w:val="21"/>
        </w:rPr>
        <w:t>，</w:t>
      </w:r>
      <w:r>
        <w:rPr>
          <w:rFonts w:asciiTheme="minorEastAsia" w:hAnsiTheme="minorEastAsia" w:cstheme="minorEastAsia" w:hint="eastAsia"/>
          <w:bCs/>
          <w:szCs w:val="21"/>
        </w:rPr>
        <w:t>在机箱内需要集成采集控制器、电源、蓄电池、充放电控制器、通讯模块、防雷模块、开关及接线排等部件。</w:t>
      </w:r>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3.1交通自动站技术指标</w:t>
      </w:r>
    </w:p>
    <w:p>
      <w:pPr>
        <w:ind w:firstLine="420" w:firstLineChars="200"/>
        <w:jc w:val="left"/>
        <w:rPr>
          <w:rFonts w:asciiTheme="minorEastAsia" w:hAnsiTheme="minorEastAsia" w:cstheme="minorEastAsia"/>
          <w:szCs w:val="21"/>
        </w:rPr>
      </w:pPr>
      <w:r>
        <w:rPr>
          <w:rFonts w:asciiTheme="minorEastAsia" w:hAnsiTheme="minorEastAsia" w:cstheme="minorEastAsia" w:hint="eastAsia"/>
          <w:bCs/>
          <w:szCs w:val="21"/>
        </w:rPr>
        <w:t>交通站设置的观测要素为：能见度、气温、相对湿度、降水量、风速、风向、气压、路面状况传感器。观测要素主要技术指标要求见下表：</w:t>
      </w:r>
    </w:p>
    <w:tbl>
      <w:tblPr>
        <w:tblStyle w:val="TableNormal"/>
        <w:tblW w:w="8298" w:type="dxa"/>
        <w:jc w:val="center"/>
        <w:tblCellMar>
          <w:top w:w="0" w:type="dxa"/>
          <w:left w:w="108" w:type="dxa"/>
          <w:bottom w:w="0" w:type="dxa"/>
          <w:right w:w="108" w:type="dxa"/>
        </w:tblCellMar>
      </w:tblPr>
      <w:tblGrid>
        <w:gridCol w:w="1508"/>
        <w:gridCol w:w="2366"/>
        <w:gridCol w:w="1919"/>
        <w:gridCol w:w="2491"/>
        <w:gridCol w:w="14"/>
      </w:tblGrid>
      <w:tr>
        <w:tblPrEx>
          <w:tblW w:w="8298" w:type="dxa"/>
          <w:jc w:val="center"/>
          <w:tblCellMar>
            <w:top w:w="0" w:type="dxa"/>
            <w:left w:w="108" w:type="dxa"/>
            <w:bottom w:w="0" w:type="dxa"/>
            <w:right w:w="108" w:type="dxa"/>
          </w:tblCellMar>
        </w:tblPrEx>
        <w:trPr>
          <w:trHeight w:val="449"/>
          <w:jc w:val="center"/>
        </w:trPr>
        <w:tc>
          <w:tcPr>
            <w:tcW w:w="1508" w:type="dxa"/>
            <w:tcBorders>
              <w:top w:val="single" w:sz="4" w:space="0" w:color="auto"/>
              <w:left w:val="single" w:sz="4" w:space="0" w:color="auto"/>
              <w:bottom w:val="single" w:sz="4" w:space="0" w:color="auto"/>
              <w:right w:val="single" w:sz="4" w:space="0" w:color="auto"/>
            </w:tcBorders>
            <w:vAlign w:val="center"/>
          </w:tcPr>
          <w:p>
            <w:pPr>
              <w:widowControl/>
              <w:jc w:val="center"/>
              <w:rPr>
                <w:b/>
                <w:kern w:val="0"/>
                <w:szCs w:val="21"/>
              </w:rPr>
            </w:pPr>
            <w:r>
              <w:rPr>
                <w:rFonts w:hAnsi="宋体"/>
                <w:b/>
                <w:kern w:val="0"/>
                <w:szCs w:val="21"/>
              </w:rPr>
              <w:t>测量要素</w:t>
            </w:r>
          </w:p>
        </w:tc>
        <w:tc>
          <w:tcPr>
            <w:tcW w:w="2366" w:type="dxa"/>
            <w:tcBorders>
              <w:top w:val="single" w:sz="4" w:space="0" w:color="auto"/>
              <w:left w:val="nil"/>
              <w:bottom w:val="single" w:sz="4" w:space="0" w:color="auto"/>
              <w:right w:val="single" w:sz="4" w:space="0" w:color="auto"/>
            </w:tcBorders>
            <w:vAlign w:val="center"/>
          </w:tcPr>
          <w:p>
            <w:pPr>
              <w:widowControl/>
              <w:jc w:val="center"/>
              <w:rPr>
                <w:b/>
                <w:kern w:val="0"/>
                <w:szCs w:val="21"/>
              </w:rPr>
            </w:pPr>
            <w:r>
              <w:rPr>
                <w:rFonts w:hAnsi="宋体"/>
                <w:b/>
                <w:kern w:val="0"/>
                <w:szCs w:val="21"/>
              </w:rPr>
              <w:t>范围</w:t>
            </w:r>
          </w:p>
        </w:tc>
        <w:tc>
          <w:tcPr>
            <w:tcW w:w="1919" w:type="dxa"/>
            <w:tcBorders>
              <w:top w:val="single" w:sz="4" w:space="0" w:color="auto"/>
              <w:left w:val="nil"/>
              <w:bottom w:val="single" w:sz="4" w:space="0" w:color="auto"/>
              <w:right w:val="single" w:sz="4" w:space="0" w:color="auto"/>
            </w:tcBorders>
            <w:vAlign w:val="center"/>
          </w:tcPr>
          <w:p>
            <w:pPr>
              <w:widowControl/>
              <w:jc w:val="center"/>
              <w:rPr>
                <w:b/>
                <w:kern w:val="0"/>
                <w:szCs w:val="21"/>
              </w:rPr>
            </w:pPr>
            <w:r>
              <w:rPr>
                <w:rFonts w:hAnsi="宋体"/>
                <w:b/>
                <w:kern w:val="0"/>
                <w:szCs w:val="21"/>
              </w:rPr>
              <w:t>分辨力</w:t>
            </w:r>
          </w:p>
        </w:tc>
        <w:tc>
          <w:tcPr>
            <w:tcW w:w="2505" w:type="dxa"/>
            <w:gridSpan w:val="2"/>
            <w:tcBorders>
              <w:top w:val="single" w:sz="4" w:space="0" w:color="auto"/>
              <w:left w:val="nil"/>
              <w:bottom w:val="single" w:sz="4" w:space="0" w:color="auto"/>
              <w:right w:val="single" w:sz="4" w:space="0" w:color="auto"/>
            </w:tcBorders>
            <w:vAlign w:val="center"/>
          </w:tcPr>
          <w:p>
            <w:pPr>
              <w:widowControl/>
              <w:jc w:val="center"/>
              <w:rPr>
                <w:b/>
                <w:kern w:val="0"/>
                <w:szCs w:val="21"/>
              </w:rPr>
            </w:pPr>
            <w:r>
              <w:rPr>
                <w:rFonts w:hAnsi="宋体" w:hint="eastAsia"/>
                <w:b/>
                <w:kern w:val="0"/>
                <w:szCs w:val="21"/>
              </w:rPr>
              <w:t>准确度等级</w:t>
            </w:r>
            <w:r>
              <w:rPr>
                <w:rFonts w:hAnsi="宋体"/>
                <w:b/>
                <w:kern w:val="0"/>
                <w:szCs w:val="21"/>
              </w:rPr>
              <w:t>/最大允许误差</w:t>
            </w:r>
          </w:p>
        </w:tc>
      </w:tr>
      <w:tr>
        <w:tblPrEx>
          <w:tblW w:w="8298" w:type="dxa"/>
          <w:jc w:val="center"/>
          <w:tblCellMar>
            <w:top w:w="0" w:type="dxa"/>
            <w:left w:w="108" w:type="dxa"/>
            <w:bottom w:w="0" w:type="dxa"/>
            <w:right w:w="108" w:type="dxa"/>
          </w:tblCellMar>
        </w:tblPrEx>
        <w:trPr>
          <w:trHeight w:val="840"/>
          <w:jc w:val="center"/>
        </w:trPr>
        <w:tc>
          <w:tcPr>
            <w:tcW w:w="1508" w:type="dxa"/>
            <w:vMerge w:val="restart"/>
            <w:tcBorders>
              <w:top w:val="single" w:sz="4" w:space="0" w:color="auto"/>
              <w:left w:val="single" w:sz="4" w:space="0" w:color="auto"/>
              <w:right w:val="single" w:sz="4" w:space="0" w:color="auto"/>
            </w:tcBorders>
            <w:vAlign w:val="center"/>
          </w:tcPr>
          <w:p>
            <w:pPr>
              <w:widowControl/>
              <w:jc w:val="center"/>
              <w:rPr>
                <w:rFonts w:hAnsi="宋体"/>
                <w:b/>
                <w:kern w:val="0"/>
                <w:szCs w:val="21"/>
              </w:rPr>
            </w:pPr>
            <w:r>
              <w:rPr>
                <w:rFonts w:hAnsi="宋体" w:hint="eastAsia"/>
                <w:kern w:val="0"/>
                <w:szCs w:val="21"/>
              </w:rPr>
              <w:t>#能见度</w:t>
            </w:r>
          </w:p>
        </w:tc>
        <w:tc>
          <w:tcPr>
            <w:tcW w:w="2366" w:type="dxa"/>
            <w:vMerge w:val="restart"/>
            <w:tcBorders>
              <w:top w:val="single" w:sz="4" w:space="0" w:color="auto"/>
              <w:left w:val="nil"/>
              <w:right w:val="single" w:sz="4" w:space="0" w:color="auto"/>
            </w:tcBorders>
            <w:vAlign w:val="center"/>
          </w:tcPr>
          <w:p>
            <w:pPr>
              <w:widowControl/>
              <w:jc w:val="center"/>
              <w:rPr>
                <w:rFonts w:hAnsi="宋体"/>
                <w:b/>
                <w:kern w:val="0"/>
                <w:szCs w:val="21"/>
              </w:rPr>
            </w:pPr>
            <w:r>
              <w:rPr>
                <w:rFonts w:hAnsi="宋体"/>
                <w:kern w:val="0"/>
                <w:szCs w:val="21"/>
              </w:rPr>
              <w:t>10～</w:t>
            </w:r>
            <w:r>
              <w:rPr>
                <w:rFonts w:hAnsi="宋体" w:hint="eastAsia"/>
                <w:kern w:val="0"/>
                <w:szCs w:val="21"/>
              </w:rPr>
              <w:t>20</w:t>
            </w:r>
            <w:r>
              <w:rPr>
                <w:rFonts w:hAnsi="宋体"/>
                <w:kern w:val="0"/>
                <w:szCs w:val="21"/>
              </w:rPr>
              <w:t>000m</w:t>
            </w:r>
          </w:p>
        </w:tc>
        <w:tc>
          <w:tcPr>
            <w:tcW w:w="1919" w:type="dxa"/>
            <w:vMerge w:val="restart"/>
            <w:tcBorders>
              <w:top w:val="single" w:sz="4" w:space="0" w:color="auto"/>
              <w:left w:val="nil"/>
              <w:right w:val="single" w:sz="4" w:space="0" w:color="auto"/>
            </w:tcBorders>
            <w:vAlign w:val="center"/>
          </w:tcPr>
          <w:p>
            <w:pPr>
              <w:widowControl/>
              <w:jc w:val="center"/>
              <w:rPr>
                <w:rFonts w:hAnsi="宋体"/>
                <w:b/>
                <w:kern w:val="0"/>
                <w:szCs w:val="21"/>
              </w:rPr>
            </w:pPr>
            <w:r>
              <w:rPr>
                <w:rFonts w:hAnsi="宋体"/>
                <w:kern w:val="0"/>
                <w:szCs w:val="21"/>
              </w:rPr>
              <w:t>1m</w:t>
            </w:r>
          </w:p>
        </w:tc>
        <w:tc>
          <w:tcPr>
            <w:tcW w:w="2505" w:type="dxa"/>
            <w:gridSpan w:val="2"/>
            <w:tcBorders>
              <w:top w:val="single" w:sz="4" w:space="0" w:color="auto"/>
              <w:left w:val="nil"/>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w:t>
            </w:r>
            <w:r>
              <w:rPr>
                <w:rFonts w:hAnsi="宋体"/>
                <w:kern w:val="0"/>
                <w:szCs w:val="21"/>
              </w:rPr>
              <w:t>10%（能见度≤1</w:t>
            </w:r>
            <w:r>
              <w:rPr>
                <w:rFonts w:hAnsi="宋体" w:hint="eastAsia"/>
                <w:kern w:val="0"/>
                <w:szCs w:val="21"/>
              </w:rPr>
              <w:t>500</w:t>
            </w:r>
            <w:r>
              <w:rPr>
                <w:rFonts w:hAnsi="宋体"/>
                <w:kern w:val="0"/>
                <w:szCs w:val="21"/>
              </w:rPr>
              <w:t>m）</w:t>
            </w:r>
          </w:p>
        </w:tc>
      </w:tr>
      <w:tr>
        <w:tblPrEx>
          <w:tblW w:w="8298" w:type="dxa"/>
          <w:jc w:val="center"/>
          <w:tblCellMar>
            <w:top w:w="0" w:type="dxa"/>
            <w:left w:w="108" w:type="dxa"/>
            <w:bottom w:w="0" w:type="dxa"/>
            <w:right w:w="108" w:type="dxa"/>
          </w:tblCellMar>
        </w:tblPrEx>
        <w:trPr>
          <w:trHeight w:val="840"/>
          <w:jc w:val="center"/>
        </w:trPr>
        <w:tc>
          <w:tcPr>
            <w:tcW w:w="1508" w:type="dxa"/>
            <w:vMerge/>
            <w:tcBorders>
              <w:left w:val="single" w:sz="4" w:space="0" w:color="auto"/>
              <w:right w:val="single" w:sz="4" w:space="0" w:color="auto"/>
            </w:tcBorders>
            <w:vAlign w:val="center"/>
          </w:tcPr>
          <w:p>
            <w:pPr>
              <w:widowControl/>
              <w:jc w:val="center"/>
              <w:rPr>
                <w:szCs w:val="21"/>
              </w:rPr>
            </w:pPr>
          </w:p>
        </w:tc>
        <w:tc>
          <w:tcPr>
            <w:tcW w:w="2366" w:type="dxa"/>
            <w:vMerge/>
            <w:tcBorders>
              <w:left w:val="nil"/>
              <w:right w:val="single" w:sz="4" w:space="0" w:color="auto"/>
            </w:tcBorders>
            <w:vAlign w:val="center"/>
          </w:tcPr>
          <w:p>
            <w:pPr>
              <w:widowControl/>
              <w:jc w:val="center"/>
              <w:rPr>
                <w:szCs w:val="21"/>
              </w:rPr>
            </w:pPr>
          </w:p>
        </w:tc>
        <w:tc>
          <w:tcPr>
            <w:tcW w:w="1919" w:type="dxa"/>
            <w:vMerge/>
            <w:tcBorders>
              <w:left w:val="nil"/>
              <w:right w:val="single" w:sz="4" w:space="0" w:color="auto"/>
            </w:tcBorders>
            <w:vAlign w:val="center"/>
          </w:tcPr>
          <w:p>
            <w:pPr>
              <w:widowControl/>
              <w:jc w:val="center"/>
              <w:rPr>
                <w:szCs w:val="21"/>
              </w:rPr>
            </w:pPr>
          </w:p>
        </w:tc>
        <w:tc>
          <w:tcPr>
            <w:tcW w:w="2505" w:type="dxa"/>
            <w:gridSpan w:val="2"/>
            <w:tcBorders>
              <w:top w:val="single" w:sz="4" w:space="0" w:color="auto"/>
              <w:left w:val="nil"/>
              <w:bottom w:val="single" w:sz="4" w:space="0" w:color="auto"/>
              <w:right w:val="single" w:sz="4" w:space="0" w:color="auto"/>
            </w:tcBorders>
            <w:vAlign w:val="center"/>
          </w:tcPr>
          <w:p>
            <w:pPr>
              <w:widowControl/>
              <w:jc w:val="center"/>
              <w:rPr>
                <w:rFonts w:eastAsia="仿宋_GB2312" w:hAnsi="宋体"/>
                <w:kern w:val="0"/>
                <w:szCs w:val="21"/>
              </w:rPr>
            </w:pPr>
            <w:r>
              <w:rPr>
                <w:rFonts w:hAnsi="宋体" w:hint="eastAsia"/>
                <w:kern w:val="0"/>
                <w:szCs w:val="21"/>
              </w:rPr>
              <w:t>±20</w:t>
            </w:r>
            <w:r>
              <w:rPr>
                <w:rFonts w:hAnsi="宋体"/>
                <w:kern w:val="0"/>
                <w:szCs w:val="21"/>
              </w:rPr>
              <w:t>%（能见度</w:t>
            </w:r>
            <w:r>
              <w:rPr>
                <w:rFonts w:hAnsi="宋体" w:hint="eastAsia"/>
                <w:kern w:val="0"/>
                <w:szCs w:val="21"/>
              </w:rPr>
              <w:t>&gt;1500</w:t>
            </w:r>
            <w:r>
              <w:rPr>
                <w:rFonts w:hAnsi="宋体"/>
                <w:kern w:val="0"/>
                <w:szCs w:val="21"/>
              </w:rPr>
              <w:t>m</w:t>
            </w:r>
            <w:r>
              <w:rPr>
                <w:rFonts w:hAnsi="宋体" w:hint="eastAsia"/>
                <w:kern w:val="0"/>
                <w:szCs w:val="21"/>
              </w:rPr>
              <w:t>)</w:t>
            </w:r>
          </w:p>
        </w:tc>
      </w:tr>
      <w:tr>
        <w:tblPrEx>
          <w:tblW w:w="8298" w:type="dxa"/>
          <w:jc w:val="center"/>
          <w:tblCellMar>
            <w:top w:w="0" w:type="dxa"/>
            <w:left w:w="108" w:type="dxa"/>
            <w:bottom w:w="0" w:type="dxa"/>
            <w:right w:w="108" w:type="dxa"/>
          </w:tblCellMar>
        </w:tblPrEx>
        <w:trPr>
          <w:trHeight w:val="746"/>
          <w:jc w:val="center"/>
        </w:trPr>
        <w:tc>
          <w:tcPr>
            <w:tcW w:w="1508" w:type="dxa"/>
            <w:tcBorders>
              <w:top w:val="single" w:sz="4" w:space="0" w:color="auto"/>
              <w:left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#气温</w:t>
            </w:r>
          </w:p>
        </w:tc>
        <w:tc>
          <w:tcPr>
            <w:tcW w:w="2366" w:type="dxa"/>
            <w:tcBorders>
              <w:top w:val="single" w:sz="4" w:space="0" w:color="auto"/>
              <w:left w:val="nil"/>
              <w:right w:val="single" w:sz="4" w:space="0" w:color="auto"/>
            </w:tcBorders>
            <w:vAlign w:val="center"/>
          </w:tcPr>
          <w:p>
            <w:pPr>
              <w:widowControl/>
              <w:jc w:val="center"/>
              <w:rPr>
                <w:rFonts w:hAnsi="宋体"/>
                <w:kern w:val="0"/>
                <w:szCs w:val="21"/>
              </w:rPr>
            </w:pPr>
            <w:r>
              <w:rPr>
                <w:rFonts w:hAnsi="宋体"/>
                <w:kern w:val="0"/>
                <w:szCs w:val="21"/>
              </w:rPr>
              <w:t>-</w:t>
            </w:r>
            <w:r>
              <w:rPr>
                <w:rFonts w:hAnsi="宋体" w:hint="eastAsia"/>
                <w:kern w:val="0"/>
                <w:szCs w:val="21"/>
              </w:rPr>
              <w:t>5</w:t>
            </w:r>
            <w:r>
              <w:rPr>
                <w:rFonts w:hAnsi="宋体"/>
                <w:kern w:val="0"/>
                <w:szCs w:val="21"/>
              </w:rPr>
              <w:t>0</w:t>
            </w:r>
            <w:bookmarkStart w:id="60" w:name="OLE_LINK2"/>
            <w:r>
              <w:rPr>
                <w:rFonts w:hAnsi="宋体"/>
                <w:kern w:val="0"/>
                <w:szCs w:val="21"/>
              </w:rPr>
              <w:t>～</w:t>
            </w:r>
            <w:bookmarkEnd w:id="60"/>
            <w:r>
              <w:rPr>
                <w:rFonts w:hAnsi="宋体"/>
                <w:kern w:val="0"/>
                <w:szCs w:val="21"/>
              </w:rPr>
              <w:t>5</w:t>
            </w:r>
            <w:r>
              <w:rPr>
                <w:rFonts w:hAnsi="宋体" w:hint="eastAsia"/>
                <w:kern w:val="0"/>
                <w:szCs w:val="21"/>
              </w:rPr>
              <w:t>0</w:t>
            </w:r>
            <w:r>
              <w:rPr>
                <w:rFonts w:hAnsi="宋体"/>
                <w:kern w:val="0"/>
                <w:szCs w:val="21"/>
              </w:rPr>
              <w:t>℃</w:t>
            </w:r>
          </w:p>
        </w:tc>
        <w:tc>
          <w:tcPr>
            <w:tcW w:w="1919" w:type="dxa"/>
            <w:tcBorders>
              <w:top w:val="single" w:sz="4" w:space="0" w:color="auto"/>
              <w:left w:val="nil"/>
              <w:right w:val="single" w:sz="4" w:space="0" w:color="auto"/>
            </w:tcBorders>
            <w:vAlign w:val="center"/>
          </w:tcPr>
          <w:p>
            <w:pPr>
              <w:widowControl/>
              <w:jc w:val="center"/>
              <w:rPr>
                <w:rFonts w:hAnsi="宋体"/>
                <w:kern w:val="0"/>
                <w:szCs w:val="21"/>
              </w:rPr>
            </w:pPr>
            <w:r>
              <w:rPr>
                <w:rFonts w:hAnsi="宋体"/>
                <w:kern w:val="0"/>
                <w:szCs w:val="21"/>
              </w:rPr>
              <w:t>0.1℃</w:t>
            </w:r>
            <w:r>
              <w:rPr>
                <w:rFonts w:hAnsi="宋体" w:hint="eastAsia"/>
                <w:kern w:val="0"/>
                <w:szCs w:val="21"/>
              </w:rPr>
              <w:t>（天气观测）</w:t>
            </w:r>
          </w:p>
        </w:tc>
        <w:tc>
          <w:tcPr>
            <w:tcW w:w="2505" w:type="dxa"/>
            <w:gridSpan w:val="2"/>
            <w:tcBorders>
              <w:top w:val="single" w:sz="4" w:space="0" w:color="auto"/>
              <w:left w:val="single" w:sz="4" w:space="0" w:color="auto"/>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w:t>
            </w:r>
            <w:r>
              <w:rPr>
                <w:rFonts w:hAnsi="宋体"/>
                <w:kern w:val="0"/>
                <w:szCs w:val="21"/>
              </w:rPr>
              <w:t>0.</w:t>
            </w:r>
            <w:r>
              <w:rPr>
                <w:rFonts w:hAnsi="宋体" w:hint="eastAsia"/>
                <w:kern w:val="0"/>
                <w:szCs w:val="21"/>
              </w:rPr>
              <w:t>2</w:t>
            </w:r>
            <w:r>
              <w:rPr>
                <w:rFonts w:hAnsi="宋体"/>
                <w:kern w:val="0"/>
                <w:szCs w:val="21"/>
              </w:rPr>
              <w:t>℃</w:t>
            </w:r>
            <w:r>
              <w:rPr>
                <w:rFonts w:hAnsi="宋体" w:hint="eastAsia"/>
                <w:kern w:val="0"/>
                <w:szCs w:val="21"/>
              </w:rPr>
              <w:t>（天气观测）</w:t>
            </w:r>
          </w:p>
        </w:tc>
      </w:tr>
      <w:tr>
        <w:tblPrEx>
          <w:tblW w:w="8298" w:type="dxa"/>
          <w:jc w:val="center"/>
          <w:tblCellMar>
            <w:top w:w="0" w:type="dxa"/>
            <w:left w:w="108" w:type="dxa"/>
            <w:bottom w:w="0" w:type="dxa"/>
            <w:right w:w="108" w:type="dxa"/>
          </w:tblCellMar>
        </w:tblPrEx>
        <w:trPr>
          <w:trHeight w:val="702"/>
          <w:jc w:val="center"/>
        </w:trPr>
        <w:tc>
          <w:tcPr>
            <w:tcW w:w="1508"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#相对湿度</w:t>
            </w:r>
          </w:p>
        </w:tc>
        <w:tc>
          <w:tcPr>
            <w:tcW w:w="2366"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5</w:t>
            </w:r>
            <w:r>
              <w:rPr>
                <w:rFonts w:hAnsi="宋体"/>
                <w:kern w:val="0"/>
                <w:szCs w:val="21"/>
              </w:rPr>
              <w:t>%～100%</w:t>
            </w:r>
          </w:p>
        </w:tc>
        <w:tc>
          <w:tcPr>
            <w:tcW w:w="1919"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rPr>
                <w:rFonts w:hAnsi="宋体"/>
                <w:kern w:val="0"/>
                <w:szCs w:val="21"/>
              </w:rPr>
            </w:pPr>
            <w:r>
              <w:rPr>
                <w:rFonts w:hAnsi="宋体"/>
                <w:kern w:val="0"/>
                <w:szCs w:val="21"/>
              </w:rPr>
              <w:t>1%</w:t>
            </w:r>
          </w:p>
        </w:tc>
        <w:tc>
          <w:tcPr>
            <w:tcW w:w="2505" w:type="dxa"/>
            <w:gridSpan w:val="2"/>
            <w:tcBorders>
              <w:top w:val="single" w:sz="4" w:space="0" w:color="auto"/>
              <w:left w:val="nil"/>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w:t>
            </w:r>
            <w:r>
              <w:rPr>
                <w:rFonts w:hAnsi="宋体"/>
                <w:kern w:val="0"/>
                <w:szCs w:val="21"/>
              </w:rPr>
              <w:t>3%（≤80%）</w:t>
            </w:r>
          </w:p>
        </w:tc>
      </w:tr>
      <w:tr>
        <w:tblPrEx>
          <w:tblW w:w="8298" w:type="dxa"/>
          <w:jc w:val="center"/>
          <w:tblCellMar>
            <w:top w:w="0" w:type="dxa"/>
            <w:left w:w="108" w:type="dxa"/>
            <w:bottom w:w="0" w:type="dxa"/>
            <w:right w:w="108" w:type="dxa"/>
          </w:tblCellMar>
        </w:tblPrEx>
        <w:trPr>
          <w:trHeight w:val="696"/>
          <w:jc w:val="center"/>
        </w:trPr>
        <w:tc>
          <w:tcPr>
            <w:tcW w:w="1508" w:type="dxa"/>
            <w:vMerge/>
            <w:tcBorders>
              <w:top w:val="nil"/>
              <w:left w:val="single" w:sz="4" w:space="0" w:color="auto"/>
              <w:bottom w:val="single" w:sz="4" w:space="0" w:color="auto"/>
              <w:right w:val="single" w:sz="4" w:space="0" w:color="auto"/>
            </w:tcBorders>
            <w:vAlign w:val="center"/>
          </w:tcPr>
          <w:p>
            <w:pPr>
              <w:widowControl/>
              <w:jc w:val="center"/>
              <w:rPr>
                <w:rFonts w:hAnsi="宋体"/>
                <w:kern w:val="0"/>
                <w:szCs w:val="21"/>
              </w:rPr>
            </w:pPr>
          </w:p>
        </w:tc>
        <w:tc>
          <w:tcPr>
            <w:tcW w:w="2366" w:type="dxa"/>
            <w:vMerge/>
            <w:tcBorders>
              <w:top w:val="nil"/>
              <w:left w:val="single" w:sz="4" w:space="0" w:color="auto"/>
              <w:bottom w:val="single" w:sz="4" w:space="0" w:color="auto"/>
              <w:right w:val="single" w:sz="4" w:space="0" w:color="auto"/>
            </w:tcBorders>
            <w:vAlign w:val="center"/>
          </w:tcPr>
          <w:p>
            <w:pPr>
              <w:widowControl/>
              <w:jc w:val="center"/>
              <w:rPr>
                <w:rFonts w:hAnsi="宋体"/>
                <w:kern w:val="0"/>
                <w:szCs w:val="21"/>
              </w:rPr>
            </w:pPr>
          </w:p>
        </w:tc>
        <w:tc>
          <w:tcPr>
            <w:tcW w:w="1919" w:type="dxa"/>
            <w:vMerge/>
            <w:tcBorders>
              <w:top w:val="nil"/>
              <w:left w:val="single" w:sz="4" w:space="0" w:color="auto"/>
              <w:bottom w:val="single" w:sz="4" w:space="0" w:color="auto"/>
              <w:right w:val="single" w:sz="4" w:space="0" w:color="auto"/>
            </w:tcBorders>
            <w:vAlign w:val="center"/>
          </w:tcPr>
          <w:p>
            <w:pPr>
              <w:widowControl/>
              <w:jc w:val="center"/>
              <w:rPr>
                <w:rFonts w:hAnsi="宋体"/>
                <w:kern w:val="0"/>
                <w:szCs w:val="21"/>
              </w:rPr>
            </w:pPr>
          </w:p>
        </w:tc>
        <w:tc>
          <w:tcPr>
            <w:tcW w:w="2505" w:type="dxa"/>
            <w:gridSpan w:val="2"/>
            <w:tcBorders>
              <w:top w:val="nil"/>
              <w:left w:val="nil"/>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w:t>
            </w:r>
            <w:r>
              <w:rPr>
                <w:rFonts w:hAnsi="宋体"/>
                <w:kern w:val="0"/>
                <w:szCs w:val="21"/>
              </w:rPr>
              <w:t>5%（＞80%）</w:t>
            </w:r>
          </w:p>
        </w:tc>
      </w:tr>
      <w:tr>
        <w:tblPrEx>
          <w:tblW w:w="8298" w:type="dxa"/>
          <w:jc w:val="center"/>
          <w:tblCellMar>
            <w:top w:w="0" w:type="dxa"/>
            <w:left w:w="108" w:type="dxa"/>
            <w:bottom w:w="0" w:type="dxa"/>
            <w:right w:w="108" w:type="dxa"/>
          </w:tblCellMar>
        </w:tblPrEx>
        <w:trPr>
          <w:trHeight w:val="761"/>
          <w:jc w:val="center"/>
        </w:trPr>
        <w:tc>
          <w:tcPr>
            <w:tcW w:w="1508" w:type="dxa"/>
            <w:tcBorders>
              <w:top w:val="nil"/>
              <w:left w:val="single" w:sz="4" w:space="0" w:color="auto"/>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#风速</w:t>
            </w:r>
          </w:p>
        </w:tc>
        <w:tc>
          <w:tcPr>
            <w:tcW w:w="2366" w:type="dxa"/>
            <w:tcBorders>
              <w:top w:val="nil"/>
              <w:left w:val="nil"/>
              <w:bottom w:val="single" w:sz="4" w:space="0" w:color="auto"/>
              <w:right w:val="single" w:sz="4" w:space="0" w:color="auto"/>
            </w:tcBorders>
            <w:vAlign w:val="center"/>
          </w:tcPr>
          <w:p>
            <w:pPr>
              <w:widowControl/>
              <w:jc w:val="center"/>
              <w:rPr>
                <w:rFonts w:hAnsi="宋体"/>
                <w:kern w:val="0"/>
                <w:szCs w:val="21"/>
              </w:rPr>
            </w:pPr>
            <w:r>
              <w:rPr>
                <w:rFonts w:hAnsi="宋体"/>
                <w:kern w:val="0"/>
                <w:szCs w:val="21"/>
              </w:rPr>
              <w:t>0～60m/s</w:t>
            </w:r>
          </w:p>
        </w:tc>
        <w:tc>
          <w:tcPr>
            <w:tcW w:w="1919" w:type="dxa"/>
            <w:tcBorders>
              <w:top w:val="nil"/>
              <w:left w:val="nil"/>
              <w:bottom w:val="single" w:sz="4" w:space="0" w:color="auto"/>
              <w:right w:val="single" w:sz="4" w:space="0" w:color="auto"/>
            </w:tcBorders>
            <w:vAlign w:val="center"/>
          </w:tcPr>
          <w:p>
            <w:pPr>
              <w:widowControl/>
              <w:jc w:val="center"/>
              <w:rPr>
                <w:rFonts w:hAnsi="宋体"/>
                <w:kern w:val="0"/>
                <w:szCs w:val="21"/>
              </w:rPr>
            </w:pPr>
            <w:r>
              <w:rPr>
                <w:rFonts w:hAnsi="宋体"/>
                <w:kern w:val="0"/>
                <w:szCs w:val="21"/>
              </w:rPr>
              <w:t>0.1m/s</w:t>
            </w:r>
          </w:p>
        </w:tc>
        <w:tc>
          <w:tcPr>
            <w:tcW w:w="2505" w:type="dxa"/>
            <w:gridSpan w:val="2"/>
            <w:tcBorders>
              <w:top w:val="nil"/>
              <w:left w:val="nil"/>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w:t>
            </w:r>
            <w:r>
              <w:rPr>
                <w:rFonts w:hAnsi="宋体"/>
                <w:kern w:val="0"/>
                <w:szCs w:val="21"/>
              </w:rPr>
              <w:t>0.5+0.03V）m/s</w:t>
            </w:r>
          </w:p>
        </w:tc>
      </w:tr>
      <w:tr>
        <w:tblPrEx>
          <w:tblW w:w="8298" w:type="dxa"/>
          <w:jc w:val="center"/>
          <w:tblCellMar>
            <w:top w:w="0" w:type="dxa"/>
            <w:left w:w="108" w:type="dxa"/>
            <w:bottom w:w="0" w:type="dxa"/>
            <w:right w:w="108" w:type="dxa"/>
          </w:tblCellMar>
        </w:tblPrEx>
        <w:trPr>
          <w:trHeight w:val="639"/>
          <w:jc w:val="center"/>
        </w:trPr>
        <w:tc>
          <w:tcPr>
            <w:tcW w:w="1508" w:type="dxa"/>
            <w:tcBorders>
              <w:top w:val="nil"/>
              <w:left w:val="single" w:sz="4" w:space="0" w:color="auto"/>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#风向</w:t>
            </w:r>
          </w:p>
        </w:tc>
        <w:tc>
          <w:tcPr>
            <w:tcW w:w="2366" w:type="dxa"/>
            <w:tcBorders>
              <w:top w:val="nil"/>
              <w:left w:val="single" w:sz="4" w:space="0" w:color="auto"/>
              <w:bottom w:val="single" w:sz="4" w:space="0" w:color="auto"/>
              <w:right w:val="single" w:sz="4" w:space="0" w:color="auto"/>
            </w:tcBorders>
            <w:vAlign w:val="center"/>
          </w:tcPr>
          <w:p>
            <w:pPr>
              <w:widowControl/>
              <w:jc w:val="center"/>
              <w:rPr>
                <w:rFonts w:hAnsi="宋体"/>
                <w:kern w:val="0"/>
                <w:szCs w:val="21"/>
              </w:rPr>
            </w:pPr>
            <w:r>
              <w:rPr>
                <w:rFonts w:hAnsi="宋体"/>
                <w:kern w:val="0"/>
                <w:szCs w:val="21"/>
              </w:rPr>
              <w:t>0～360°</w:t>
            </w:r>
          </w:p>
        </w:tc>
        <w:tc>
          <w:tcPr>
            <w:tcW w:w="1919" w:type="dxa"/>
            <w:tcBorders>
              <w:top w:val="nil"/>
              <w:left w:val="single" w:sz="4" w:space="0" w:color="auto"/>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3</w:t>
            </w:r>
            <w:r>
              <w:rPr>
                <w:rFonts w:hAnsi="宋体"/>
                <w:kern w:val="0"/>
                <w:szCs w:val="21"/>
              </w:rPr>
              <w:t>°</w:t>
            </w:r>
          </w:p>
        </w:tc>
        <w:tc>
          <w:tcPr>
            <w:tcW w:w="2505" w:type="dxa"/>
            <w:gridSpan w:val="2"/>
            <w:tcBorders>
              <w:top w:val="nil"/>
              <w:left w:val="nil"/>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±5</w:t>
            </w:r>
            <w:r>
              <w:rPr>
                <w:rFonts w:hAnsi="宋体"/>
                <w:kern w:val="0"/>
                <w:szCs w:val="21"/>
              </w:rPr>
              <w:t>°</w:t>
            </w:r>
          </w:p>
        </w:tc>
      </w:tr>
      <w:tr>
        <w:tblPrEx>
          <w:tblW w:w="8298" w:type="dxa"/>
          <w:jc w:val="center"/>
          <w:tblCellMar>
            <w:top w:w="0" w:type="dxa"/>
            <w:left w:w="108" w:type="dxa"/>
            <w:bottom w:w="0" w:type="dxa"/>
            <w:right w:w="108" w:type="dxa"/>
          </w:tblCellMar>
        </w:tblPrEx>
        <w:trPr>
          <w:gridAfter w:val="1"/>
          <w:wAfter w:w="14" w:type="dxa"/>
          <w:trHeight w:val="381"/>
          <w:jc w:val="center"/>
        </w:trPr>
        <w:tc>
          <w:tcPr>
            <w:tcW w:w="1508" w:type="dxa"/>
            <w:vMerge w:val="restart"/>
            <w:tcBorders>
              <w:top w:val="single" w:sz="4" w:space="0" w:color="auto"/>
              <w:left w:val="single" w:sz="4" w:space="0" w:color="auto"/>
              <w:right w:val="single" w:sz="4" w:space="0" w:color="auto"/>
            </w:tcBorders>
            <w:vAlign w:val="center"/>
          </w:tcPr>
          <w:p>
            <w:pPr>
              <w:widowControl/>
              <w:jc w:val="center"/>
              <w:rPr>
                <w:rFonts w:eastAsia="仿宋_GB2312"/>
                <w:kern w:val="0"/>
                <w:szCs w:val="21"/>
              </w:rPr>
            </w:pPr>
            <w:r>
              <w:rPr>
                <w:rFonts w:hAnsi="宋体" w:hint="eastAsia"/>
                <w:kern w:val="0"/>
                <w:szCs w:val="21"/>
              </w:rPr>
              <w:t>#降水量</w:t>
            </w:r>
          </w:p>
        </w:tc>
        <w:tc>
          <w:tcPr>
            <w:tcW w:w="2366" w:type="dxa"/>
            <w:vMerge w:val="restart"/>
            <w:tcBorders>
              <w:top w:val="single" w:sz="4" w:space="0" w:color="auto"/>
              <w:left w:val="single" w:sz="4" w:space="0" w:color="auto"/>
              <w:right w:val="single" w:sz="4" w:space="0" w:color="auto"/>
            </w:tcBorders>
            <w:shd w:val="clear" w:color="auto" w:fill="auto"/>
            <w:vAlign w:val="center"/>
          </w:tcPr>
          <w:p>
            <w:pPr>
              <w:widowControl/>
              <w:jc w:val="center"/>
              <w:rPr>
                <w:rFonts w:ascii="宋体" w:eastAsia="宋体" w:hAnsi="宋体" w:cs="宋体"/>
                <w:bCs/>
                <w:kern w:val="0"/>
                <w:szCs w:val="21"/>
              </w:rPr>
            </w:pPr>
            <w:r>
              <w:rPr>
                <w:rFonts w:ascii="宋体" w:eastAsia="宋体" w:hAnsi="宋体" w:cs="宋体" w:hint="eastAsia"/>
                <w:bCs/>
                <w:kern w:val="0"/>
                <w:szCs w:val="21"/>
              </w:rPr>
              <w:t>0～4mm/min</w:t>
            </w:r>
          </w:p>
        </w:tc>
        <w:tc>
          <w:tcPr>
            <w:tcW w:w="1919" w:type="dxa"/>
            <w:vMerge w:val="restart"/>
            <w:tcBorders>
              <w:top w:val="single" w:sz="4" w:space="0" w:color="auto"/>
              <w:left w:val="single" w:sz="4" w:space="0" w:color="auto"/>
              <w:right w:val="single" w:sz="4" w:space="0" w:color="auto"/>
            </w:tcBorders>
            <w:vAlign w:val="center"/>
          </w:tcPr>
          <w:p>
            <w:pPr>
              <w:widowControl/>
              <w:jc w:val="center"/>
              <w:rPr>
                <w:rFonts w:ascii="宋体" w:eastAsia="宋体" w:hAnsi="宋体" w:cs="宋体"/>
                <w:bCs/>
                <w:kern w:val="0"/>
                <w:szCs w:val="21"/>
              </w:rPr>
            </w:pPr>
            <w:r>
              <w:rPr>
                <w:rFonts w:ascii="宋体" w:eastAsia="宋体" w:hAnsi="宋体" w:cs="宋体" w:hint="eastAsia"/>
                <w:bCs/>
                <w:kern w:val="0"/>
                <w:szCs w:val="21"/>
              </w:rPr>
              <w:t>0.1mm</w:t>
            </w:r>
          </w:p>
        </w:tc>
        <w:tc>
          <w:tcPr>
            <w:tcW w:w="249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eastAsia="宋体" w:hAnsi="宋体" w:cs="宋体"/>
                <w:bCs/>
                <w:kern w:val="0"/>
                <w:szCs w:val="21"/>
              </w:rPr>
            </w:pPr>
            <w:r>
              <w:rPr>
                <w:rFonts w:ascii="宋体" w:eastAsia="宋体" w:hAnsi="宋体" w:cs="宋体" w:hint="eastAsia"/>
                <w:bCs/>
                <w:kern w:val="0"/>
                <w:szCs w:val="21"/>
              </w:rPr>
              <w:t>±0.4mm（≤10mm）</w:t>
            </w:r>
          </w:p>
        </w:tc>
      </w:tr>
      <w:tr>
        <w:tblPrEx>
          <w:tblW w:w="8298" w:type="dxa"/>
          <w:jc w:val="center"/>
          <w:tblCellMar>
            <w:top w:w="0" w:type="dxa"/>
            <w:left w:w="108" w:type="dxa"/>
            <w:bottom w:w="0" w:type="dxa"/>
            <w:right w:w="108" w:type="dxa"/>
          </w:tblCellMar>
        </w:tblPrEx>
        <w:trPr>
          <w:gridAfter w:val="1"/>
          <w:wAfter w:w="14" w:type="dxa"/>
          <w:trHeight w:val="381"/>
          <w:jc w:val="center"/>
        </w:trPr>
        <w:tc>
          <w:tcPr>
            <w:tcW w:w="1508" w:type="dxa"/>
            <w:vMerge/>
            <w:tcBorders>
              <w:left w:val="single" w:sz="4" w:space="0" w:color="auto"/>
              <w:bottom w:val="single" w:sz="4" w:space="0" w:color="auto"/>
              <w:right w:val="single" w:sz="4" w:space="0" w:color="auto"/>
            </w:tcBorders>
            <w:vAlign w:val="center"/>
          </w:tcPr>
          <w:p>
            <w:pPr>
              <w:widowControl/>
              <w:jc w:val="center"/>
              <w:rPr>
                <w:szCs w:val="21"/>
              </w:rPr>
            </w:pPr>
          </w:p>
        </w:tc>
        <w:tc>
          <w:tcPr>
            <w:tcW w:w="2366" w:type="dxa"/>
            <w:vMerge/>
            <w:tcBorders>
              <w:left w:val="single" w:sz="4" w:space="0" w:color="auto"/>
              <w:bottom w:val="single" w:sz="4" w:space="0" w:color="auto"/>
              <w:right w:val="single" w:sz="4" w:space="0" w:color="auto"/>
            </w:tcBorders>
            <w:shd w:val="clear" w:color="auto" w:fill="auto"/>
            <w:vAlign w:val="center"/>
          </w:tcPr>
          <w:p>
            <w:pPr>
              <w:widowControl/>
              <w:jc w:val="center"/>
              <w:rPr>
                <w:szCs w:val="21"/>
              </w:rPr>
            </w:pPr>
          </w:p>
        </w:tc>
        <w:tc>
          <w:tcPr>
            <w:tcW w:w="1919" w:type="dxa"/>
            <w:vMerge/>
            <w:tcBorders>
              <w:left w:val="single" w:sz="4" w:space="0" w:color="auto"/>
              <w:bottom w:val="single" w:sz="4" w:space="0" w:color="auto"/>
              <w:right w:val="single" w:sz="4" w:space="0" w:color="auto"/>
            </w:tcBorders>
            <w:vAlign w:val="center"/>
          </w:tcPr>
          <w:p>
            <w:pPr>
              <w:widowControl/>
              <w:jc w:val="center"/>
              <w:rPr>
                <w:szCs w:val="21"/>
              </w:rPr>
            </w:pPr>
          </w:p>
        </w:tc>
        <w:tc>
          <w:tcPr>
            <w:tcW w:w="249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eastAsia="宋体" w:hAnsi="宋体" w:cs="宋体"/>
                <w:bCs/>
                <w:kern w:val="0"/>
                <w:szCs w:val="21"/>
              </w:rPr>
            </w:pPr>
            <w:r>
              <w:rPr>
                <w:rFonts w:ascii="宋体" w:eastAsia="宋体" w:hAnsi="宋体" w:cs="宋体" w:hint="eastAsia"/>
                <w:bCs/>
                <w:kern w:val="0"/>
                <w:szCs w:val="21"/>
              </w:rPr>
              <w:t>±4%（＞10mm）</w:t>
            </w:r>
          </w:p>
        </w:tc>
      </w:tr>
      <w:tr>
        <w:tblPrEx>
          <w:tblW w:w="8298" w:type="dxa"/>
          <w:jc w:val="center"/>
          <w:tblCellMar>
            <w:top w:w="0" w:type="dxa"/>
            <w:left w:w="108" w:type="dxa"/>
            <w:bottom w:w="0" w:type="dxa"/>
            <w:right w:w="108" w:type="dxa"/>
          </w:tblCellMar>
        </w:tblPrEx>
        <w:trPr>
          <w:gridAfter w:val="1"/>
          <w:wAfter w:w="14" w:type="dxa"/>
          <w:trHeight w:val="773"/>
          <w:jc w:val="center"/>
        </w:trPr>
        <w:tc>
          <w:tcPr>
            <w:tcW w:w="1508" w:type="dxa"/>
            <w:tcBorders>
              <w:top w:val="single" w:sz="4" w:space="0" w:color="auto"/>
              <w:left w:val="single" w:sz="4" w:space="0" w:color="auto"/>
              <w:bottom w:val="single" w:sz="4" w:space="0" w:color="auto"/>
              <w:right w:val="single" w:sz="4" w:space="0" w:color="auto"/>
            </w:tcBorders>
            <w:vAlign w:val="center"/>
          </w:tcPr>
          <w:p>
            <w:pPr>
              <w:widowControl/>
              <w:jc w:val="center"/>
              <w:rPr>
                <w:rFonts w:eastAsia="仿宋_GB2312" w:hAnsi="宋体"/>
                <w:kern w:val="0"/>
                <w:szCs w:val="21"/>
              </w:rPr>
            </w:pPr>
            <w:r>
              <w:rPr>
                <w:rFonts w:hAnsi="宋体" w:hint="eastAsia"/>
                <w:kern w:val="0"/>
                <w:szCs w:val="21"/>
              </w:rPr>
              <w:t>#气压</w:t>
            </w:r>
          </w:p>
        </w:tc>
        <w:tc>
          <w:tcPr>
            <w:tcW w:w="2366"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eastAsia="宋体" w:hAnsi="宋体" w:cs="宋体"/>
                <w:bCs/>
                <w:kern w:val="0"/>
                <w:szCs w:val="21"/>
              </w:rPr>
            </w:pPr>
            <w:r>
              <w:rPr>
                <w:rFonts w:eastAsia="宋体" w:hAnsi="宋体" w:hint="eastAsia"/>
                <w:kern w:val="0"/>
                <w:szCs w:val="21"/>
              </w:rPr>
              <w:t>450hPa</w:t>
            </w:r>
            <w:r>
              <w:rPr>
                <w:rFonts w:ascii="宋体" w:eastAsia="宋体" w:hAnsi="宋体" w:cs="宋体" w:hint="eastAsia"/>
                <w:bCs/>
                <w:kern w:val="0"/>
                <w:szCs w:val="21"/>
              </w:rPr>
              <w:t>～1100</w:t>
            </w:r>
            <w:r>
              <w:rPr>
                <w:rFonts w:eastAsia="宋体" w:hAnsi="宋体" w:hint="eastAsia"/>
                <w:kern w:val="0"/>
                <w:szCs w:val="21"/>
              </w:rPr>
              <w:t>hPa</w:t>
            </w:r>
          </w:p>
        </w:tc>
        <w:tc>
          <w:tcPr>
            <w:tcW w:w="191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eastAsia="宋体" w:hAnsi="宋体" w:cs="宋体"/>
                <w:bCs/>
                <w:kern w:val="0"/>
                <w:szCs w:val="21"/>
              </w:rPr>
            </w:pPr>
            <w:r>
              <w:rPr>
                <w:rFonts w:hAnsi="宋体"/>
                <w:kern w:val="0"/>
                <w:szCs w:val="21"/>
              </w:rPr>
              <w:t>0.1</w:t>
            </w:r>
            <w:r>
              <w:rPr>
                <w:rFonts w:eastAsia="宋体" w:hAnsi="宋体" w:hint="eastAsia"/>
                <w:kern w:val="0"/>
                <w:szCs w:val="21"/>
              </w:rPr>
              <w:t>hPa</w:t>
            </w:r>
          </w:p>
        </w:tc>
        <w:tc>
          <w:tcPr>
            <w:tcW w:w="249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eastAsia="宋体" w:hAnsi="宋体" w:cs="宋体"/>
                <w:bCs/>
                <w:kern w:val="0"/>
                <w:szCs w:val="21"/>
              </w:rPr>
            </w:pPr>
            <w:r>
              <w:rPr>
                <w:rFonts w:hAnsi="宋体" w:hint="eastAsia"/>
                <w:kern w:val="0"/>
                <w:szCs w:val="21"/>
              </w:rPr>
              <w:t>±</w:t>
            </w:r>
            <w:r>
              <w:rPr>
                <w:rFonts w:hAnsi="宋体"/>
                <w:kern w:val="0"/>
                <w:szCs w:val="21"/>
              </w:rPr>
              <w:t>0.</w:t>
            </w:r>
            <w:r>
              <w:rPr>
                <w:rFonts w:hAnsi="宋体" w:hint="eastAsia"/>
                <w:kern w:val="0"/>
                <w:szCs w:val="21"/>
              </w:rPr>
              <w:t>3</w:t>
            </w:r>
            <w:r>
              <w:rPr>
                <w:rFonts w:eastAsia="宋体" w:hAnsi="宋体" w:hint="eastAsia"/>
                <w:kern w:val="0"/>
                <w:szCs w:val="21"/>
              </w:rPr>
              <w:t>hPa</w:t>
            </w:r>
          </w:p>
        </w:tc>
      </w:tr>
      <w:tr>
        <w:tblPrEx>
          <w:tblW w:w="8298" w:type="dxa"/>
          <w:jc w:val="center"/>
          <w:tblCellMar>
            <w:top w:w="0" w:type="dxa"/>
            <w:left w:w="108" w:type="dxa"/>
            <w:bottom w:w="0" w:type="dxa"/>
            <w:right w:w="108" w:type="dxa"/>
          </w:tblCellMar>
        </w:tblPrEx>
        <w:trPr>
          <w:gridAfter w:val="1"/>
          <w:wAfter w:w="14" w:type="dxa"/>
          <w:trHeight w:val="1556"/>
          <w:jc w:val="center"/>
        </w:trPr>
        <w:tc>
          <w:tcPr>
            <w:tcW w:w="1508" w:type="dxa"/>
            <w:tcBorders>
              <w:top w:val="single" w:sz="4" w:space="0" w:color="auto"/>
              <w:left w:val="single" w:sz="4" w:space="0" w:color="auto"/>
              <w:bottom w:val="single" w:sz="4" w:space="0" w:color="auto"/>
              <w:right w:val="single" w:sz="4" w:space="0" w:color="auto"/>
            </w:tcBorders>
            <w:vAlign w:val="center"/>
          </w:tcPr>
          <w:p>
            <w:pPr>
              <w:spacing w:line="320" w:lineRule="atLeast"/>
              <w:jc w:val="center"/>
              <w:rPr>
                <w:rFonts w:hAnsi="宋体"/>
                <w:spacing w:val="-10"/>
                <w:kern w:val="0"/>
                <w:szCs w:val="21"/>
              </w:rPr>
            </w:pPr>
            <w:r>
              <w:rPr>
                <w:rFonts w:hAnsi="宋体" w:hint="eastAsia"/>
                <w:kern w:val="0"/>
                <w:szCs w:val="21"/>
              </w:rPr>
              <w:t>#</w:t>
            </w:r>
            <w:r>
              <w:rPr>
                <w:spacing w:val="-10"/>
                <w:szCs w:val="21"/>
              </w:rPr>
              <w:t>地表温度</w:t>
            </w:r>
          </w:p>
        </w:tc>
        <w:tc>
          <w:tcPr>
            <w:tcW w:w="2366" w:type="dxa"/>
            <w:tcBorders>
              <w:top w:val="single" w:sz="4" w:space="0" w:color="auto"/>
              <w:left w:val="single" w:sz="4" w:space="0" w:color="auto"/>
              <w:bottom w:val="single" w:sz="4" w:space="0" w:color="auto"/>
              <w:right w:val="single" w:sz="4" w:space="0" w:color="auto"/>
            </w:tcBorders>
            <w:shd w:val="clear" w:color="auto" w:fill="auto"/>
            <w:vAlign w:val="center"/>
          </w:tcPr>
          <w:p>
            <w:pPr>
              <w:spacing w:line="320" w:lineRule="atLeast"/>
              <w:jc w:val="center"/>
              <w:rPr>
                <w:rFonts w:eastAsia="宋体" w:hAnsi="宋体"/>
                <w:spacing w:val="-10"/>
                <w:kern w:val="0"/>
                <w:szCs w:val="21"/>
              </w:rPr>
            </w:pPr>
            <w:r>
              <w:rPr>
                <w:spacing w:val="-10"/>
                <w:szCs w:val="21"/>
              </w:rPr>
              <w:t>-40</w:t>
            </w:r>
            <w:r>
              <w:rPr>
                <w:rFonts w:ascii="微软雅黑" w:eastAsia="微软雅黑" w:hAnsi="微软雅黑" w:cs="微软雅黑" w:hint="eastAsia"/>
                <w:spacing w:val="-10"/>
                <w:szCs w:val="21"/>
              </w:rPr>
              <w:t>℃</w:t>
            </w:r>
            <w:r>
              <w:rPr>
                <w:spacing w:val="-10"/>
                <w:szCs w:val="21"/>
              </w:rPr>
              <w:t>～80</w:t>
            </w:r>
            <w:r>
              <w:rPr>
                <w:rFonts w:ascii="微软雅黑" w:eastAsia="微软雅黑" w:hAnsi="微软雅黑" w:cs="微软雅黑" w:hint="eastAsia"/>
                <w:spacing w:val="-10"/>
                <w:szCs w:val="21"/>
              </w:rPr>
              <w:t>℃</w:t>
            </w:r>
          </w:p>
        </w:tc>
        <w:tc>
          <w:tcPr>
            <w:tcW w:w="1919" w:type="dxa"/>
            <w:tcBorders>
              <w:top w:val="single" w:sz="4" w:space="0" w:color="auto"/>
              <w:left w:val="single" w:sz="4" w:space="0" w:color="auto"/>
              <w:bottom w:val="single" w:sz="4" w:space="0" w:color="auto"/>
              <w:right w:val="single" w:sz="4" w:space="0" w:color="auto"/>
            </w:tcBorders>
            <w:vAlign w:val="center"/>
          </w:tcPr>
          <w:p>
            <w:pPr>
              <w:spacing w:line="320" w:lineRule="atLeast"/>
              <w:jc w:val="center"/>
              <w:rPr>
                <w:rFonts w:hAnsi="宋体"/>
                <w:spacing w:val="-10"/>
                <w:kern w:val="0"/>
                <w:szCs w:val="21"/>
              </w:rPr>
            </w:pPr>
            <w:r>
              <w:rPr>
                <w:spacing w:val="-10"/>
                <w:szCs w:val="21"/>
              </w:rPr>
              <w:t>0.1</w:t>
            </w:r>
            <w:r>
              <w:rPr>
                <w:rFonts w:ascii="微软雅黑" w:eastAsia="微软雅黑" w:hAnsi="微软雅黑" w:cs="微软雅黑" w:hint="eastAsia"/>
                <w:spacing w:val="-10"/>
                <w:szCs w:val="21"/>
              </w:rPr>
              <w:t>℃</w:t>
            </w:r>
          </w:p>
        </w:tc>
        <w:tc>
          <w:tcPr>
            <w:tcW w:w="2491" w:type="dxa"/>
            <w:tcBorders>
              <w:top w:val="single" w:sz="4" w:space="0" w:color="auto"/>
              <w:left w:val="single" w:sz="4" w:space="0" w:color="auto"/>
              <w:right w:val="single" w:sz="4" w:space="0" w:color="auto"/>
            </w:tcBorders>
            <w:vAlign w:val="center"/>
          </w:tcPr>
          <w:p>
            <w:pPr>
              <w:spacing w:line="320" w:lineRule="atLeast"/>
              <w:jc w:val="center"/>
              <w:rPr>
                <w:spacing w:val="-10"/>
                <w:szCs w:val="21"/>
              </w:rPr>
            </w:pPr>
            <w:r>
              <w:rPr>
                <w:spacing w:val="-10"/>
                <w:szCs w:val="21"/>
              </w:rPr>
              <w:t>±0.5</w:t>
            </w:r>
            <w:r>
              <w:rPr>
                <w:rFonts w:ascii="微软雅黑" w:eastAsia="微软雅黑" w:hAnsi="微软雅黑" w:cs="微软雅黑" w:hint="eastAsia"/>
                <w:spacing w:val="-10"/>
                <w:szCs w:val="21"/>
              </w:rPr>
              <w:t>℃（</w:t>
            </w:r>
            <w:r>
              <w:rPr>
                <w:spacing w:val="-10"/>
                <w:szCs w:val="21"/>
              </w:rPr>
              <w:t>-5～5</w:t>
            </w:r>
            <w:r>
              <w:rPr>
                <w:rFonts w:ascii="微软雅黑" w:eastAsia="微软雅黑" w:hAnsi="微软雅黑" w:cs="微软雅黑" w:hint="eastAsia"/>
                <w:spacing w:val="-10"/>
                <w:szCs w:val="21"/>
              </w:rPr>
              <w:t>℃）</w:t>
            </w:r>
            <w:r>
              <w:rPr>
                <w:spacing w:val="-10"/>
                <w:szCs w:val="21"/>
              </w:rPr>
              <w:t>；</w:t>
            </w:r>
          </w:p>
          <w:p>
            <w:pPr>
              <w:spacing w:line="320" w:lineRule="atLeast"/>
              <w:jc w:val="center"/>
              <w:rPr>
                <w:rFonts w:hAnsi="宋体"/>
                <w:spacing w:val="-10"/>
                <w:kern w:val="0"/>
                <w:szCs w:val="21"/>
              </w:rPr>
            </w:pPr>
            <w:r>
              <w:rPr>
                <w:spacing w:val="-10"/>
                <w:szCs w:val="21"/>
              </w:rPr>
              <w:t>±0.2</w:t>
            </w:r>
            <w:r>
              <w:rPr>
                <w:rFonts w:ascii="微软雅黑" w:eastAsia="微软雅黑" w:hAnsi="微软雅黑" w:cs="微软雅黑" w:hint="eastAsia"/>
                <w:spacing w:val="-10"/>
                <w:szCs w:val="21"/>
              </w:rPr>
              <w:t>℃（其它范围）</w:t>
            </w:r>
          </w:p>
          <w:p>
            <w:pPr>
              <w:spacing w:line="320" w:lineRule="atLeast"/>
              <w:jc w:val="center"/>
              <w:rPr>
                <w:rFonts w:hAnsi="宋体"/>
                <w:spacing w:val="-10"/>
                <w:kern w:val="0"/>
                <w:szCs w:val="21"/>
              </w:rPr>
            </w:pPr>
          </w:p>
        </w:tc>
      </w:tr>
      <w:tr>
        <w:tblPrEx>
          <w:tblW w:w="8298" w:type="dxa"/>
          <w:jc w:val="center"/>
          <w:tblCellMar>
            <w:top w:w="0" w:type="dxa"/>
            <w:left w:w="108" w:type="dxa"/>
            <w:bottom w:w="0" w:type="dxa"/>
            <w:right w:w="108" w:type="dxa"/>
          </w:tblCellMar>
        </w:tblPrEx>
        <w:trPr>
          <w:gridAfter w:val="1"/>
          <w:wAfter w:w="14" w:type="dxa"/>
          <w:trHeight w:val="773"/>
          <w:jc w:val="center"/>
        </w:trPr>
        <w:tc>
          <w:tcPr>
            <w:tcW w:w="1508" w:type="dxa"/>
            <w:tcBorders>
              <w:top w:val="single" w:sz="4" w:space="0" w:color="auto"/>
              <w:left w:val="single" w:sz="4" w:space="0" w:color="auto"/>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#路面状况</w:t>
            </w:r>
          </w:p>
        </w:tc>
        <w:tc>
          <w:tcPr>
            <w:tcW w:w="2366"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eastAsia="宋体" w:hAnsi="宋体"/>
                <w:kern w:val="0"/>
                <w:szCs w:val="21"/>
              </w:rPr>
            </w:pPr>
            <w:r>
              <w:rPr>
                <w:rFonts w:eastAsia="宋体" w:hAnsi="宋体" w:hint="eastAsia"/>
                <w:kern w:val="0"/>
                <w:szCs w:val="21"/>
              </w:rPr>
              <w:t>水厚：0.00</w:t>
            </w:r>
            <w:r>
              <w:rPr>
                <w:rFonts w:ascii="宋体" w:eastAsia="宋体" w:hAnsi="宋体" w:cs="宋体" w:hint="eastAsia"/>
                <w:bCs/>
                <w:kern w:val="0"/>
                <w:szCs w:val="21"/>
              </w:rPr>
              <w:t>～</w:t>
            </w:r>
            <w:r>
              <w:rPr>
                <w:rFonts w:eastAsia="宋体" w:hAnsi="宋体" w:hint="eastAsia"/>
                <w:kern w:val="0"/>
                <w:szCs w:val="21"/>
              </w:rPr>
              <w:t>2mm</w:t>
            </w:r>
          </w:p>
          <w:p>
            <w:pPr>
              <w:widowControl/>
              <w:jc w:val="center"/>
              <w:rPr>
                <w:rFonts w:eastAsia="宋体" w:hAnsi="宋体"/>
                <w:kern w:val="0"/>
                <w:szCs w:val="21"/>
              </w:rPr>
            </w:pPr>
            <w:r>
              <w:rPr>
                <w:rFonts w:eastAsia="宋体" w:hAnsi="宋体" w:hint="eastAsia"/>
                <w:kern w:val="0"/>
                <w:szCs w:val="21"/>
              </w:rPr>
              <w:t>冰厚：0.00</w:t>
            </w:r>
            <w:r>
              <w:rPr>
                <w:rFonts w:ascii="宋体" w:eastAsia="宋体" w:hAnsi="宋体" w:cs="宋体" w:hint="eastAsia"/>
                <w:bCs/>
                <w:kern w:val="0"/>
                <w:szCs w:val="21"/>
              </w:rPr>
              <w:t>～</w:t>
            </w:r>
            <w:r>
              <w:rPr>
                <w:rFonts w:eastAsia="宋体" w:hAnsi="宋体" w:hint="eastAsia"/>
                <w:kern w:val="0"/>
                <w:szCs w:val="21"/>
              </w:rPr>
              <w:t>2mm</w:t>
            </w:r>
          </w:p>
          <w:p>
            <w:pPr>
              <w:widowControl/>
              <w:jc w:val="center"/>
              <w:rPr>
                <w:rFonts w:eastAsia="宋体" w:hAnsi="宋体"/>
                <w:kern w:val="0"/>
                <w:szCs w:val="21"/>
              </w:rPr>
            </w:pPr>
            <w:r>
              <w:rPr>
                <w:rFonts w:eastAsia="宋体" w:hAnsi="宋体" w:hint="eastAsia"/>
                <w:kern w:val="0"/>
                <w:szCs w:val="21"/>
              </w:rPr>
              <w:t>雪厚：0.00</w:t>
            </w:r>
            <w:r>
              <w:rPr>
                <w:rFonts w:ascii="宋体" w:eastAsia="宋体" w:hAnsi="宋体" w:cs="宋体" w:hint="eastAsia"/>
                <w:bCs/>
                <w:kern w:val="0"/>
                <w:szCs w:val="21"/>
              </w:rPr>
              <w:t>～</w:t>
            </w:r>
            <w:r>
              <w:rPr>
                <w:rFonts w:eastAsia="宋体" w:hAnsi="宋体" w:hint="eastAsia"/>
                <w:kern w:val="0"/>
                <w:szCs w:val="21"/>
              </w:rPr>
              <w:t>10mm</w:t>
            </w:r>
          </w:p>
          <w:p>
            <w:pPr>
              <w:widowControl/>
              <w:jc w:val="center"/>
              <w:rPr>
                <w:rFonts w:eastAsia="宋体" w:hAnsi="宋体"/>
                <w:kern w:val="0"/>
                <w:szCs w:val="21"/>
              </w:rPr>
            </w:pPr>
            <w:r>
              <w:rPr>
                <w:rFonts w:eastAsia="宋体" w:hAnsi="宋体" w:hint="eastAsia"/>
                <w:kern w:val="0"/>
                <w:szCs w:val="21"/>
              </w:rPr>
              <w:t>湿滑系数厚：0.01</w:t>
            </w:r>
            <w:r>
              <w:rPr>
                <w:rFonts w:ascii="宋体" w:eastAsia="宋体" w:hAnsi="宋体" w:cs="宋体" w:hint="eastAsia"/>
                <w:bCs/>
                <w:kern w:val="0"/>
                <w:szCs w:val="21"/>
              </w:rPr>
              <w:t>～</w:t>
            </w:r>
            <w:r>
              <w:rPr>
                <w:rFonts w:eastAsia="宋体" w:hAnsi="宋体" w:hint="eastAsia"/>
                <w:kern w:val="0"/>
                <w:szCs w:val="21"/>
              </w:rPr>
              <w:t>1.00</w:t>
            </w:r>
          </w:p>
        </w:tc>
        <w:tc>
          <w:tcPr>
            <w:tcW w:w="1919" w:type="dxa"/>
            <w:tcBorders>
              <w:top w:val="single" w:sz="4" w:space="0" w:color="auto"/>
              <w:left w:val="single" w:sz="4" w:space="0" w:color="auto"/>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0.01mm</w:t>
            </w:r>
          </w:p>
        </w:tc>
        <w:tc>
          <w:tcPr>
            <w:tcW w:w="2491" w:type="dxa"/>
            <w:tcBorders>
              <w:top w:val="single" w:sz="4" w:space="0" w:color="auto"/>
              <w:left w:val="single" w:sz="4" w:space="0" w:color="auto"/>
              <w:bottom w:val="single" w:sz="4" w:space="0" w:color="auto"/>
              <w:right w:val="single" w:sz="4" w:space="0" w:color="auto"/>
            </w:tcBorders>
            <w:vAlign w:val="center"/>
          </w:tcPr>
          <w:p>
            <w:pPr>
              <w:widowControl/>
              <w:jc w:val="center"/>
              <w:rPr>
                <w:rFonts w:hAnsi="宋体"/>
                <w:kern w:val="0"/>
                <w:szCs w:val="21"/>
              </w:rPr>
            </w:pPr>
            <w:r>
              <w:rPr>
                <w:rFonts w:hAnsi="宋体" w:hint="eastAsia"/>
                <w:kern w:val="0"/>
                <w:szCs w:val="21"/>
              </w:rPr>
              <w:t>能准确识别干、湿、积水、结冰、积雪</w:t>
            </w:r>
          </w:p>
        </w:tc>
      </w:tr>
    </w:tbl>
    <w:p>
      <w:pPr>
        <w:spacing w:line="360" w:lineRule="auto"/>
        <w:ind w:firstLine="420" w:firstLineChars="200"/>
        <w:rPr>
          <w:rFonts w:asciiTheme="minorEastAsia" w:hAnsiTheme="minorEastAsia" w:cstheme="minorEastAsia"/>
          <w:bCs/>
          <w:szCs w:val="21"/>
        </w:rPr>
      </w:pPr>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3.2供电方式</w:t>
      </w:r>
    </w:p>
    <w:p>
      <w:pPr>
        <w:ind w:firstLine="420" w:firstLineChars="200"/>
        <w:jc w:val="left"/>
        <w:rPr>
          <w:rFonts w:asciiTheme="minorEastAsia" w:hAnsiTheme="minorEastAsia" w:cstheme="minorEastAsia"/>
          <w:bCs/>
          <w:szCs w:val="21"/>
        </w:rPr>
      </w:pPr>
      <w:bookmarkStart w:id="61" w:name="_Toc427142065"/>
      <w:bookmarkStart w:id="62" w:name="_Toc427066855"/>
      <w:bookmarkStart w:id="63" w:name="_Toc427183140"/>
      <w:r>
        <w:rPr>
          <w:rFonts w:asciiTheme="minorEastAsia" w:hAnsiTheme="minorEastAsia" w:cstheme="minorEastAsia" w:hint="eastAsia"/>
          <w:bCs/>
          <w:szCs w:val="21"/>
        </w:rPr>
        <w:t>3.2.1基本工作电源</w:t>
      </w:r>
      <w:bookmarkEnd w:id="61"/>
      <w:bookmarkEnd w:id="62"/>
      <w:bookmarkEnd w:id="63"/>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电源：DC12～24V，推荐 DC12V。</w:t>
      </w:r>
    </w:p>
    <w:p>
      <w:pPr>
        <w:ind w:firstLine="420" w:firstLineChars="200"/>
        <w:jc w:val="left"/>
        <w:rPr>
          <w:rFonts w:asciiTheme="minorEastAsia" w:hAnsiTheme="minorEastAsia" w:cstheme="minorEastAsia"/>
          <w:bCs/>
          <w:szCs w:val="21"/>
        </w:rPr>
      </w:pPr>
      <w:bookmarkStart w:id="64" w:name="_Toc427183141"/>
      <w:bookmarkStart w:id="65" w:name="_Toc427142066"/>
      <w:bookmarkStart w:id="66" w:name="_Toc427066856"/>
      <w:r>
        <w:rPr>
          <w:rFonts w:asciiTheme="minorEastAsia" w:hAnsiTheme="minorEastAsia" w:cstheme="minorEastAsia" w:hint="eastAsia"/>
          <w:bCs/>
          <w:szCs w:val="21"/>
        </w:rPr>
        <w:t>3.2.2辅助电源</w:t>
      </w:r>
      <w:bookmarkEnd w:id="64"/>
      <w:bookmarkEnd w:id="65"/>
      <w:bookmarkEnd w:id="66"/>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220V 交流电源或太阳能电池板。交流电源适应性：</w:t>
      </w:r>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电压范围：(1±20％)×220 V；</w:t>
      </w:r>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电源频率：(1±10％)×50 Hz。</w:t>
      </w:r>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3.3通信单元</w:t>
      </w:r>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高速交通气象观测站与业务软件的通信采用</w:t>
      </w:r>
      <w:r>
        <w:rPr>
          <w:rFonts w:asciiTheme="minorEastAsia" w:hAnsiTheme="minorEastAsia" w:cstheme="minorEastAsia"/>
          <w:bCs/>
          <w:szCs w:val="21"/>
        </w:rPr>
        <w:t>4G/5G</w:t>
      </w:r>
      <w:r>
        <w:rPr>
          <w:rFonts w:asciiTheme="minorEastAsia" w:hAnsiTheme="minorEastAsia" w:cstheme="minorEastAsia" w:hint="eastAsia"/>
          <w:bCs/>
          <w:szCs w:val="21"/>
        </w:rPr>
        <w:t>方式，遵循功能规格需求书中规定的终端操作命令。可提供</w:t>
      </w:r>
      <w:r>
        <w:rPr>
          <w:rFonts w:asciiTheme="minorEastAsia" w:hAnsiTheme="minorEastAsia" w:cstheme="minorEastAsia"/>
          <w:bCs/>
          <w:szCs w:val="21"/>
        </w:rPr>
        <w:t>3</w:t>
      </w:r>
      <w:r>
        <w:rPr>
          <w:rFonts w:asciiTheme="minorEastAsia" w:hAnsiTheme="minorEastAsia" w:cstheme="minorEastAsia" w:hint="eastAsia"/>
          <w:bCs/>
          <w:szCs w:val="21"/>
        </w:rPr>
        <w:t>种数据通信方式：本地通信、无线通信、蓝牙通信。</w:t>
      </w:r>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3.4防雷模块</w:t>
      </w:r>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传感器的信号线和电源线通过防雷模块与系统连接，防止系统受到电涌的损害。</w:t>
      </w:r>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3.</w:t>
      </w:r>
      <w:bookmarkStart w:id="67" w:name="_Toc174632423"/>
      <w:bookmarkStart w:id="68" w:name="_Toc331668977"/>
      <w:r>
        <w:rPr>
          <w:rFonts w:asciiTheme="minorEastAsia" w:hAnsiTheme="minorEastAsia" w:cstheme="minorEastAsia" w:hint="eastAsia"/>
          <w:bCs/>
          <w:szCs w:val="21"/>
        </w:rPr>
        <w:t>5中心站</w:t>
      </w:r>
      <w:bookmarkEnd w:id="67"/>
      <w:bookmarkEnd w:id="68"/>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现有中心站软件在与观测站进行通信以及对接收的数据进行处理和存储过程中，需要进行有效的数据质量控制。在通信传输过程中，根据观测站与中心站软件的通讯协议，检查数据传输的编码格式、校验码是否一致。在通信协议或编码过程中，对数据的打包传输、接收解码、还原结果等进行一致性检查。本项目要求兼容我省现有交通气象站中心站。</w:t>
      </w:r>
    </w:p>
    <w:p>
      <w:pPr>
        <w:ind w:firstLine="420" w:firstLineChars="200"/>
        <w:jc w:val="left"/>
        <w:rPr>
          <w:rFonts w:asciiTheme="minorEastAsia" w:hAnsiTheme="minorEastAsia" w:cstheme="minorEastAsia"/>
          <w:bCs/>
          <w:szCs w:val="21"/>
          <w:highlight w:val="yellow"/>
        </w:rPr>
      </w:pPr>
      <w:r>
        <w:rPr>
          <w:rFonts w:asciiTheme="minorEastAsia" w:hAnsiTheme="minorEastAsia" w:cstheme="minorEastAsia" w:hint="eastAsia"/>
          <w:bCs/>
          <w:szCs w:val="21"/>
          <w:highlight w:val="yellow"/>
          <w:lang w:val="en-US" w:eastAsia="zh-CN"/>
        </w:rPr>
        <w:t>*</w:t>
      </w:r>
      <w:r>
        <w:rPr>
          <w:rFonts w:asciiTheme="minorEastAsia" w:hAnsiTheme="minorEastAsia" w:cstheme="minorEastAsia" w:hint="eastAsia"/>
          <w:bCs/>
          <w:szCs w:val="21"/>
          <w:highlight w:val="yellow"/>
        </w:rPr>
        <w:t>3.6数据格式及处理</w:t>
      </w:r>
    </w:p>
    <w:p>
      <w:pPr>
        <w:ind w:firstLine="420" w:firstLineChars="200"/>
        <w:jc w:val="left"/>
        <w:rPr>
          <w:rFonts w:asciiTheme="minorEastAsia" w:hAnsiTheme="minorEastAsia" w:cstheme="minorEastAsia"/>
          <w:bCs/>
          <w:szCs w:val="21"/>
          <w:highlight w:val="yellow"/>
        </w:rPr>
      </w:pPr>
      <w:r>
        <w:rPr>
          <w:rFonts w:asciiTheme="minorEastAsia" w:hAnsiTheme="minorEastAsia" w:cstheme="minorEastAsia" w:hint="eastAsia"/>
          <w:bCs/>
          <w:szCs w:val="21"/>
          <w:highlight w:val="yellow"/>
        </w:rPr>
        <w:t>数据格式符合《公路交通气象观测站功能规格需求书》等规定的格式要求。观测站配置有足够的存储器，至少可以存储一个月（≥</w:t>
      </w:r>
      <w:r>
        <w:rPr>
          <w:rFonts w:asciiTheme="minorEastAsia" w:hAnsiTheme="minorEastAsia" w:cstheme="minorEastAsia"/>
          <w:bCs/>
          <w:szCs w:val="21"/>
          <w:highlight w:val="yellow"/>
        </w:rPr>
        <w:t>31</w:t>
      </w:r>
      <w:r>
        <w:rPr>
          <w:rFonts w:asciiTheme="minorEastAsia" w:hAnsiTheme="minorEastAsia" w:cstheme="minorEastAsia" w:hint="eastAsia"/>
          <w:bCs/>
          <w:szCs w:val="21"/>
          <w:highlight w:val="yellow"/>
        </w:rPr>
        <w:t xml:space="preserve">天）的逐分钟的所有观测数据，以及观测站逐小时工作状态和安全报警信息。 </w:t>
      </w:r>
    </w:p>
    <w:p>
      <w:pPr>
        <w:ind w:firstLine="420" w:firstLineChars="200"/>
        <w:jc w:val="left"/>
        <w:rPr>
          <w:rFonts w:asciiTheme="minorEastAsia" w:hAnsiTheme="minorEastAsia" w:cstheme="minorEastAsia"/>
          <w:bCs/>
          <w:szCs w:val="21"/>
          <w:highlight w:val="yellow"/>
        </w:rPr>
      </w:pPr>
      <w:r>
        <w:rPr>
          <w:rFonts w:asciiTheme="minorEastAsia" w:hAnsiTheme="minorEastAsia" w:cstheme="minorEastAsia" w:hint="eastAsia"/>
          <w:bCs/>
          <w:szCs w:val="21"/>
          <w:highlight w:val="yellow"/>
        </w:rPr>
        <w:t>气象要素数据包括：能见度，温度，相对湿度，瞬时风速、风向，分钟内极大风速、风向，</w:t>
      </w:r>
      <w:r>
        <w:rPr>
          <w:rFonts w:asciiTheme="minorEastAsia" w:hAnsiTheme="minorEastAsia" w:cstheme="minorEastAsia"/>
          <w:bCs/>
          <w:szCs w:val="21"/>
          <w:highlight w:val="yellow"/>
        </w:rPr>
        <w:t>2</w:t>
      </w:r>
      <w:r>
        <w:rPr>
          <w:rFonts w:asciiTheme="minorEastAsia" w:hAnsiTheme="minorEastAsia" w:cstheme="minorEastAsia" w:hint="eastAsia"/>
          <w:bCs/>
          <w:szCs w:val="21"/>
          <w:highlight w:val="yellow"/>
        </w:rPr>
        <w:t>分钟平均风速、风向，</w:t>
      </w:r>
      <w:r>
        <w:rPr>
          <w:rFonts w:asciiTheme="minorEastAsia" w:hAnsiTheme="minorEastAsia" w:cstheme="minorEastAsia"/>
          <w:bCs/>
          <w:szCs w:val="21"/>
          <w:highlight w:val="yellow"/>
        </w:rPr>
        <w:t>10</w:t>
      </w:r>
      <w:r>
        <w:rPr>
          <w:rFonts w:asciiTheme="minorEastAsia" w:hAnsiTheme="minorEastAsia" w:cstheme="minorEastAsia" w:hint="eastAsia"/>
          <w:bCs/>
          <w:szCs w:val="21"/>
          <w:highlight w:val="yellow"/>
        </w:rPr>
        <w:t xml:space="preserve">分钟平均风速、风向，降水量，路面温度、路基温度，以及路面状况等数据集。观测站工作状态包括：供电状态，蓄电池电压，机箱温度，传感器工作状态信息等。 </w:t>
      </w:r>
    </w:p>
    <w:p>
      <w:pPr>
        <w:ind w:firstLine="420" w:firstLineChars="200"/>
        <w:jc w:val="left"/>
        <w:rPr>
          <w:rFonts w:asciiTheme="minorEastAsia" w:hAnsiTheme="minorEastAsia" w:cstheme="minorEastAsia"/>
          <w:bCs/>
          <w:szCs w:val="21"/>
          <w:highlight w:val="yellow"/>
        </w:rPr>
      </w:pPr>
      <w:r>
        <w:rPr>
          <w:rFonts w:asciiTheme="minorEastAsia" w:hAnsiTheme="minorEastAsia" w:cstheme="minorEastAsia" w:hint="eastAsia"/>
          <w:bCs/>
          <w:szCs w:val="21"/>
          <w:highlight w:val="yellow"/>
        </w:rPr>
        <w:t xml:space="preserve">传感器工作状态等出现异常或故障提供报警信息。 </w:t>
      </w:r>
    </w:p>
    <w:p>
      <w:pPr>
        <w:ind w:firstLine="420" w:firstLineChars="200"/>
        <w:jc w:val="left"/>
        <w:rPr>
          <w:rFonts w:asciiTheme="minorEastAsia" w:hAnsiTheme="minorEastAsia" w:cstheme="minorEastAsia"/>
          <w:bCs/>
          <w:szCs w:val="21"/>
          <w:highlight w:val="yellow"/>
        </w:rPr>
      </w:pPr>
      <w:r>
        <w:rPr>
          <w:rFonts w:asciiTheme="minorEastAsia" w:hAnsiTheme="minorEastAsia" w:cstheme="minorEastAsia" w:hint="eastAsia"/>
          <w:bCs/>
          <w:szCs w:val="21"/>
          <w:highlight w:val="yellow"/>
        </w:rPr>
        <w:t>各气象要素数据，工作状态及安全报警状态数据均可按照时序变化有序地进行存储和检验，也能够调入缓冲区进行实时读取。</w:t>
      </w:r>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3.7信息流程</w:t>
      </w:r>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公路交通气象观测站网内的各观测站，通过约定的有线通信方式（光纤、交换机等）或无线通信方式（</w:t>
      </w:r>
      <w:r>
        <w:rPr>
          <w:rFonts w:asciiTheme="minorEastAsia" w:hAnsiTheme="minorEastAsia" w:cstheme="minorEastAsia"/>
          <w:bCs/>
          <w:szCs w:val="21"/>
        </w:rPr>
        <w:t>4G/5G</w:t>
      </w:r>
      <w:r>
        <w:rPr>
          <w:rFonts w:asciiTheme="minorEastAsia" w:hAnsiTheme="minorEastAsia" w:cstheme="minorEastAsia" w:hint="eastAsia"/>
          <w:bCs/>
          <w:szCs w:val="21"/>
        </w:rPr>
        <w:t xml:space="preserve">）实时向省级通信系统直接传输数据，或接受中心站指令并组织上传所需的数据信息集。 </w:t>
      </w:r>
    </w:p>
    <w:p>
      <w:pPr>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 xml:space="preserve">观测站上传的数据由中心站软件负责自动组织和保存。 </w:t>
      </w:r>
    </w:p>
    <w:p>
      <w:pPr>
        <w:widowControl/>
        <w:ind w:firstLine="420" w:firstLineChars="200"/>
        <w:jc w:val="left"/>
        <w:rPr>
          <w:rFonts w:asciiTheme="minorEastAsia" w:hAnsiTheme="minorEastAsia" w:cstheme="minorEastAsia"/>
          <w:bCs/>
          <w:szCs w:val="21"/>
        </w:rPr>
      </w:pPr>
      <w:r>
        <w:rPr>
          <w:rFonts w:asciiTheme="minorEastAsia" w:hAnsiTheme="minorEastAsia" w:cstheme="minorEastAsia" w:hint="eastAsia"/>
          <w:bCs/>
          <w:szCs w:val="21"/>
        </w:rPr>
        <w:t xml:space="preserve">数据传输采用 </w:t>
      </w:r>
      <w:r>
        <w:rPr>
          <w:rFonts w:asciiTheme="minorEastAsia" w:hAnsiTheme="minorEastAsia" w:cstheme="minorEastAsia"/>
          <w:bCs/>
          <w:szCs w:val="21"/>
        </w:rPr>
        <w:t xml:space="preserve">ASCII </w:t>
      </w:r>
      <w:r>
        <w:rPr>
          <w:rFonts w:asciiTheme="minorEastAsia" w:hAnsiTheme="minorEastAsia" w:cstheme="minorEastAsia" w:hint="eastAsia"/>
          <w:bCs/>
          <w:szCs w:val="21"/>
        </w:rPr>
        <w:t>码形式。</w:t>
      </w:r>
    </w:p>
    <w:p>
      <w:pPr>
        <w:spacing w:line="360" w:lineRule="auto"/>
        <w:ind w:firstLine="420" w:firstLineChars="200"/>
        <w:rPr>
          <w:rFonts w:ascii="宋体" w:hAnsi="宋体"/>
          <w:szCs w:val="21"/>
        </w:rPr>
      </w:pPr>
      <w:r>
        <w:rPr>
          <w:rFonts w:ascii="宋体" w:hAnsi="宋体" w:hint="eastAsia"/>
          <w:szCs w:val="21"/>
        </w:rPr>
        <w:t>四、其他相关要求</w:t>
      </w:r>
    </w:p>
    <w:p>
      <w:pPr>
        <w:spacing w:line="360" w:lineRule="auto"/>
        <w:ind w:firstLine="420" w:firstLineChars="200"/>
        <w:rPr>
          <w:rFonts w:ascii="宋体" w:hAnsi="宋体"/>
          <w:szCs w:val="21"/>
        </w:rPr>
      </w:pPr>
      <w:r>
        <w:rPr>
          <w:rFonts w:ascii="宋体" w:hAnsi="宋体" w:hint="eastAsia"/>
          <w:szCs w:val="21"/>
        </w:rPr>
        <w:t>4.1文件要求</w:t>
      </w:r>
    </w:p>
    <w:p>
      <w:pPr>
        <w:spacing w:line="360" w:lineRule="auto"/>
        <w:ind w:firstLine="420" w:firstLineChars="200"/>
        <w:rPr>
          <w:rFonts w:ascii="宋体" w:hAnsi="宋体"/>
          <w:szCs w:val="21"/>
        </w:rPr>
      </w:pPr>
      <w:r>
        <w:rPr>
          <w:rFonts w:ascii="宋体" w:hAnsi="宋体" w:hint="eastAsia"/>
          <w:szCs w:val="21"/>
        </w:rPr>
        <w:t>随同设备应提供用户手册（包含技术说明书和使用、操作说明）、质检报告、装箱清单等。</w:t>
      </w:r>
    </w:p>
    <w:p>
      <w:pPr>
        <w:spacing w:line="360" w:lineRule="auto"/>
        <w:ind w:firstLine="420" w:firstLineChars="200"/>
        <w:rPr>
          <w:rFonts w:ascii="宋体" w:hAnsi="宋体"/>
          <w:szCs w:val="21"/>
        </w:rPr>
      </w:pPr>
      <w:r>
        <w:rPr>
          <w:rFonts w:ascii="宋体" w:hAnsi="宋体" w:hint="eastAsia"/>
          <w:szCs w:val="21"/>
        </w:rPr>
        <w:t>从上述文件能够获得设备基本信息，制造或供货方的名称、地址和有效的通信联系方式、所有必要警告及注意事项，以及下列基本内容：</w:t>
      </w:r>
    </w:p>
    <w:p>
      <w:pPr>
        <w:spacing w:line="360" w:lineRule="auto"/>
        <w:ind w:firstLine="420" w:firstLineChars="200"/>
        <w:rPr>
          <w:rFonts w:ascii="宋体" w:hAnsi="宋体"/>
          <w:szCs w:val="21"/>
        </w:rPr>
      </w:pPr>
      <w:r>
        <w:rPr>
          <w:rFonts w:ascii="宋体" w:hAnsi="宋体" w:hint="eastAsia"/>
          <w:szCs w:val="21"/>
        </w:rPr>
        <w:t>4.1.1介绍</w:t>
      </w:r>
    </w:p>
    <w:p>
      <w:pPr>
        <w:spacing w:line="360" w:lineRule="auto"/>
        <w:ind w:firstLine="420" w:firstLineChars="200"/>
        <w:rPr>
          <w:rFonts w:ascii="宋体" w:hAnsi="宋体"/>
          <w:szCs w:val="21"/>
        </w:rPr>
      </w:pPr>
      <w:r>
        <w:rPr>
          <w:rFonts w:ascii="宋体" w:hAnsi="宋体" w:hint="eastAsia"/>
          <w:szCs w:val="21"/>
        </w:rPr>
        <w:t>设备介绍和设备在现场可更换组件的逐项说明。</w:t>
      </w:r>
    </w:p>
    <w:p>
      <w:pPr>
        <w:spacing w:line="360" w:lineRule="auto"/>
        <w:ind w:firstLine="420" w:firstLineChars="200"/>
        <w:rPr>
          <w:rFonts w:ascii="宋体" w:hAnsi="宋体"/>
          <w:szCs w:val="21"/>
        </w:rPr>
      </w:pPr>
      <w:r>
        <w:rPr>
          <w:rFonts w:ascii="宋体" w:hAnsi="宋体" w:hint="eastAsia"/>
          <w:szCs w:val="21"/>
        </w:rPr>
        <w:t>设备额定工作条件，如：供电电压或电压范围，频率或频率范围，以及功率或电流的额定值；所有输入和输出连接的详细描述；为设备设计给定的环境条件范围。</w:t>
      </w:r>
    </w:p>
    <w:p>
      <w:pPr>
        <w:spacing w:line="360" w:lineRule="auto"/>
        <w:ind w:firstLine="420" w:firstLineChars="200"/>
        <w:rPr>
          <w:rFonts w:ascii="宋体" w:hAnsi="宋体"/>
          <w:szCs w:val="21"/>
        </w:rPr>
      </w:pPr>
      <w:r>
        <w:rPr>
          <w:rFonts w:ascii="宋体" w:hAnsi="宋体" w:hint="eastAsia"/>
          <w:szCs w:val="21"/>
        </w:rPr>
        <w:t>4.1.2安装说明</w:t>
      </w:r>
    </w:p>
    <w:p>
      <w:pPr>
        <w:spacing w:line="360" w:lineRule="auto"/>
        <w:ind w:firstLine="420" w:firstLineChars="200"/>
        <w:rPr>
          <w:rFonts w:ascii="宋体" w:hAnsi="宋体"/>
          <w:szCs w:val="21"/>
        </w:rPr>
      </w:pPr>
      <w:r>
        <w:rPr>
          <w:rFonts w:ascii="宋体" w:hAnsi="宋体" w:hint="eastAsia"/>
          <w:szCs w:val="21"/>
        </w:rPr>
        <w:t>包括场地布置、定位和安装和调试要求，保护接地说明，与电源的连接，具体维护要求。</w:t>
      </w:r>
    </w:p>
    <w:p>
      <w:pPr>
        <w:spacing w:line="360" w:lineRule="auto"/>
        <w:ind w:firstLine="420" w:firstLineChars="200"/>
        <w:rPr>
          <w:rFonts w:ascii="宋体" w:hAnsi="宋体"/>
          <w:szCs w:val="21"/>
        </w:rPr>
      </w:pPr>
      <w:r>
        <w:rPr>
          <w:rFonts w:ascii="宋体" w:hAnsi="宋体" w:hint="eastAsia"/>
          <w:szCs w:val="21"/>
        </w:rPr>
        <w:t>4.1.3操作</w:t>
      </w:r>
    </w:p>
    <w:p>
      <w:pPr>
        <w:spacing w:line="360" w:lineRule="auto"/>
        <w:ind w:firstLine="420" w:firstLineChars="200"/>
        <w:rPr>
          <w:rFonts w:ascii="宋体" w:hAnsi="宋体"/>
          <w:szCs w:val="21"/>
        </w:rPr>
      </w:pPr>
      <w:r>
        <w:rPr>
          <w:rFonts w:ascii="宋体" w:hAnsi="宋体" w:hint="eastAsia"/>
          <w:szCs w:val="21"/>
        </w:rPr>
        <w:t>包括在各种工作状态下，操作控制键的识别和使用，损耗材料更换的说明，清洁说明。</w:t>
      </w:r>
    </w:p>
    <w:p>
      <w:pPr>
        <w:spacing w:line="360" w:lineRule="auto"/>
        <w:ind w:firstLine="420" w:firstLineChars="200"/>
        <w:rPr>
          <w:rFonts w:ascii="宋体" w:hAnsi="宋体"/>
          <w:szCs w:val="21"/>
        </w:rPr>
      </w:pPr>
      <w:r>
        <w:rPr>
          <w:rFonts w:ascii="宋体" w:hAnsi="宋体" w:hint="eastAsia"/>
          <w:szCs w:val="21"/>
        </w:rPr>
        <w:t>4.1.4维护</w:t>
      </w:r>
    </w:p>
    <w:p>
      <w:pPr>
        <w:spacing w:line="360" w:lineRule="auto"/>
        <w:ind w:firstLine="420" w:firstLineChars="200"/>
        <w:rPr>
          <w:rFonts w:ascii="宋体" w:hAnsi="宋体"/>
          <w:szCs w:val="21"/>
        </w:rPr>
      </w:pPr>
      <w:r>
        <w:rPr>
          <w:rFonts w:ascii="宋体" w:hAnsi="宋体" w:hint="eastAsia"/>
          <w:szCs w:val="21"/>
        </w:rPr>
        <w:t>包括设备在现场维护时需要的所有常规维护维修程序。由常规维护和详细维护流程组成。所有需要维护的项目名称及部件号、制造商都应逐一列出。</w:t>
      </w:r>
    </w:p>
    <w:p>
      <w:pPr>
        <w:spacing w:line="360" w:lineRule="auto"/>
        <w:ind w:firstLine="420" w:firstLineChars="200"/>
        <w:rPr>
          <w:rFonts w:ascii="宋体" w:hAnsi="宋体"/>
          <w:szCs w:val="21"/>
        </w:rPr>
      </w:pPr>
      <w:r>
        <w:rPr>
          <w:rFonts w:ascii="宋体" w:hAnsi="宋体" w:hint="eastAsia"/>
          <w:szCs w:val="21"/>
        </w:rPr>
        <w:t>4.1.5部件清单</w:t>
      </w:r>
    </w:p>
    <w:p>
      <w:pPr>
        <w:spacing w:line="360" w:lineRule="auto"/>
        <w:ind w:firstLine="420" w:firstLineChars="200"/>
        <w:rPr>
          <w:rFonts w:ascii="宋体" w:hAnsi="宋体"/>
          <w:szCs w:val="21"/>
        </w:rPr>
      </w:pPr>
      <w:r>
        <w:rPr>
          <w:rFonts w:ascii="宋体" w:hAnsi="宋体" w:hint="eastAsia"/>
          <w:szCs w:val="21"/>
        </w:rPr>
        <w:t>包括：名称、参考标识、厂商代码和零件编号。</w:t>
      </w:r>
    </w:p>
    <w:p>
      <w:pPr>
        <w:spacing w:line="360" w:lineRule="auto"/>
        <w:ind w:firstLine="420" w:firstLineChars="200"/>
        <w:rPr>
          <w:rFonts w:ascii="宋体" w:hAnsi="宋体"/>
          <w:szCs w:val="21"/>
        </w:rPr>
      </w:pPr>
      <w:r>
        <w:rPr>
          <w:rFonts w:ascii="宋体" w:hAnsi="宋体" w:hint="eastAsia"/>
          <w:szCs w:val="21"/>
        </w:rPr>
        <w:t>4.1.6图纸</w:t>
      </w:r>
    </w:p>
    <w:p>
      <w:pPr>
        <w:spacing w:line="360" w:lineRule="auto"/>
        <w:ind w:firstLine="420" w:firstLineChars="200"/>
        <w:rPr>
          <w:rFonts w:ascii="宋体" w:hAnsi="宋体"/>
          <w:szCs w:val="21"/>
        </w:rPr>
      </w:pPr>
      <w:r>
        <w:rPr>
          <w:rFonts w:ascii="宋体" w:hAnsi="宋体" w:hint="eastAsia"/>
          <w:szCs w:val="21"/>
        </w:rPr>
        <w:t>包括原理图、装配图、电器和机箱连接图。</w:t>
      </w:r>
    </w:p>
    <w:p>
      <w:pPr>
        <w:spacing w:line="360" w:lineRule="auto"/>
        <w:ind w:firstLine="420" w:firstLineChars="200"/>
        <w:rPr>
          <w:rFonts w:ascii="宋体" w:hAnsi="宋体"/>
          <w:szCs w:val="21"/>
        </w:rPr>
      </w:pPr>
      <w:r>
        <w:rPr>
          <w:rFonts w:ascii="宋体" w:hAnsi="宋体" w:hint="eastAsia"/>
          <w:szCs w:val="21"/>
        </w:rPr>
        <w:t>4.1.7一般故障的判断和解决方法。</w:t>
      </w:r>
    </w:p>
    <w:p>
      <w:pPr>
        <w:spacing w:line="360" w:lineRule="auto"/>
        <w:ind w:firstLine="420" w:firstLineChars="200"/>
        <w:rPr>
          <w:rFonts w:ascii="宋体" w:hAnsi="宋体"/>
          <w:szCs w:val="21"/>
        </w:rPr>
      </w:pPr>
      <w:r>
        <w:rPr>
          <w:rFonts w:ascii="宋体" w:hAnsi="宋体" w:hint="eastAsia"/>
          <w:szCs w:val="21"/>
        </w:rPr>
        <w:t>4.2设备出厂</w:t>
      </w:r>
    </w:p>
    <w:p>
      <w:pPr>
        <w:spacing w:line="360" w:lineRule="auto"/>
        <w:ind w:firstLine="420" w:firstLineChars="200"/>
        <w:rPr>
          <w:rFonts w:ascii="宋体" w:hAnsi="宋体"/>
          <w:szCs w:val="21"/>
        </w:rPr>
      </w:pPr>
      <w:r>
        <w:rPr>
          <w:rFonts w:ascii="宋体" w:hAnsi="宋体" w:hint="eastAsia"/>
          <w:szCs w:val="21"/>
        </w:rPr>
        <w:t>4.2.1 外观应整洁，无损伤和形变，表面涂层无气泡、开裂、脱落等现象。</w:t>
      </w:r>
    </w:p>
    <w:p>
      <w:pPr>
        <w:spacing w:line="360" w:lineRule="auto"/>
        <w:ind w:firstLine="420" w:firstLineChars="200"/>
        <w:rPr>
          <w:rFonts w:ascii="宋体" w:hAnsi="宋体"/>
          <w:szCs w:val="21"/>
        </w:rPr>
      </w:pPr>
      <w:r>
        <w:rPr>
          <w:rFonts w:ascii="宋体" w:hAnsi="宋体" w:hint="eastAsia"/>
          <w:szCs w:val="21"/>
        </w:rPr>
        <w:t>4.2.2 保证所提供产品的数量、质量。</w:t>
      </w:r>
    </w:p>
    <w:p>
      <w:pPr>
        <w:spacing w:line="360" w:lineRule="auto"/>
        <w:ind w:firstLine="420" w:firstLineChars="200"/>
        <w:rPr>
          <w:rFonts w:ascii="宋体" w:hAnsi="宋体"/>
          <w:szCs w:val="21"/>
        </w:rPr>
      </w:pPr>
      <w:r>
        <w:rPr>
          <w:rFonts w:ascii="宋体" w:hAnsi="宋体" w:hint="eastAsia"/>
          <w:szCs w:val="21"/>
        </w:rPr>
        <w:t>4.2.3 出厂前要经买方人员严格测试和检查，确保设备能长期稳定、可靠地运行。</w:t>
      </w:r>
    </w:p>
    <w:p>
      <w:pPr>
        <w:spacing w:line="360" w:lineRule="auto"/>
        <w:ind w:firstLine="420" w:firstLineChars="200"/>
        <w:rPr>
          <w:rFonts w:ascii="宋体" w:hAnsi="宋体"/>
          <w:szCs w:val="21"/>
        </w:rPr>
      </w:pPr>
      <w:r>
        <w:rPr>
          <w:rFonts w:ascii="宋体" w:hAnsi="宋体" w:hint="eastAsia"/>
          <w:szCs w:val="21"/>
        </w:rPr>
        <w:t>4.3包装和运输要求</w:t>
      </w:r>
    </w:p>
    <w:p>
      <w:pPr>
        <w:spacing w:line="360" w:lineRule="auto"/>
        <w:ind w:firstLine="420" w:firstLineChars="200"/>
        <w:rPr>
          <w:rFonts w:ascii="宋体" w:hAnsi="宋体"/>
          <w:szCs w:val="21"/>
        </w:rPr>
      </w:pPr>
      <w:r>
        <w:rPr>
          <w:rFonts w:ascii="宋体" w:hAnsi="宋体" w:hint="eastAsia"/>
          <w:szCs w:val="21"/>
        </w:rPr>
        <w:t>4.3.1 中标人须在合同签定后60天内将设备运到招标人指定的地点，运费由中标人承担。</w:t>
      </w:r>
    </w:p>
    <w:p>
      <w:pPr>
        <w:spacing w:line="360" w:lineRule="auto"/>
        <w:ind w:firstLine="420" w:firstLineChars="200"/>
        <w:rPr>
          <w:rFonts w:ascii="宋体" w:hAnsi="宋体"/>
          <w:szCs w:val="21"/>
        </w:rPr>
      </w:pPr>
      <w:r>
        <w:rPr>
          <w:rFonts w:ascii="宋体" w:hAnsi="宋体" w:hint="eastAsia"/>
          <w:szCs w:val="21"/>
        </w:rPr>
        <w:t>4.3.2 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spacing w:line="360" w:lineRule="auto"/>
        <w:ind w:firstLine="420" w:firstLineChars="200"/>
        <w:rPr>
          <w:rFonts w:ascii="宋体" w:hAnsi="宋体"/>
          <w:szCs w:val="21"/>
        </w:rPr>
      </w:pPr>
      <w:r>
        <w:rPr>
          <w:rFonts w:ascii="宋体" w:hAnsi="宋体" w:hint="eastAsia"/>
          <w:szCs w:val="21"/>
        </w:rPr>
        <w:t>4.4安装、调试</w:t>
      </w:r>
    </w:p>
    <w:p>
      <w:pPr>
        <w:spacing w:line="360" w:lineRule="auto"/>
        <w:ind w:firstLine="420" w:firstLineChars="200"/>
        <w:rPr>
          <w:rFonts w:ascii="宋体" w:hAnsi="宋体"/>
          <w:szCs w:val="21"/>
        </w:rPr>
      </w:pPr>
      <w:r>
        <w:rPr>
          <w:rFonts w:ascii="宋体" w:hAnsi="宋体" w:hint="eastAsia"/>
          <w:szCs w:val="21"/>
        </w:rPr>
        <w:t>4.4.1 设备安装由中标人负责。</w:t>
      </w:r>
    </w:p>
    <w:p>
      <w:pPr>
        <w:spacing w:line="360" w:lineRule="auto"/>
        <w:ind w:firstLine="420" w:firstLineChars="200"/>
        <w:rPr>
          <w:rFonts w:ascii="宋体" w:hAnsi="宋体"/>
          <w:szCs w:val="21"/>
        </w:rPr>
      </w:pPr>
      <w:r>
        <w:rPr>
          <w:rFonts w:ascii="宋体" w:hAnsi="宋体" w:hint="eastAsia"/>
          <w:szCs w:val="21"/>
        </w:rPr>
        <w:t>4.4.2 设备的基础建设（包括预埋件、防雷等基础建设）和设备安装由中标人负责。基础建设和安装调试费等相关费用均包含在报价中。</w:t>
      </w:r>
    </w:p>
    <w:p>
      <w:pPr>
        <w:spacing w:line="360" w:lineRule="auto"/>
        <w:ind w:firstLine="420" w:firstLineChars="200"/>
        <w:rPr>
          <w:rFonts w:ascii="宋体" w:hAnsi="宋体"/>
          <w:szCs w:val="21"/>
        </w:rPr>
      </w:pPr>
      <w:r>
        <w:rPr>
          <w:rFonts w:ascii="宋体" w:hAnsi="宋体" w:hint="eastAsia"/>
          <w:szCs w:val="21"/>
        </w:rPr>
        <w:t>4.4.3 设备安装调试过程中，中标人应作详细检验记录。安装调试结果应该符合有关标准的要求。检验记录应提供给采购人。</w:t>
      </w:r>
    </w:p>
    <w:p>
      <w:pPr>
        <w:spacing w:line="360" w:lineRule="auto"/>
        <w:ind w:firstLine="420" w:firstLineChars="200"/>
        <w:rPr>
          <w:rFonts w:ascii="宋体" w:hAnsi="宋体"/>
          <w:szCs w:val="21"/>
        </w:rPr>
      </w:pPr>
      <w:r>
        <w:rPr>
          <w:rFonts w:ascii="宋体" w:hAnsi="宋体" w:hint="eastAsia"/>
          <w:szCs w:val="21"/>
        </w:rPr>
        <w:t>4.4.4 在系统设备安装和调试期间，采购人有权派出技术人员参加，中标人有义务对其进行指导。</w:t>
      </w:r>
    </w:p>
    <w:p>
      <w:pPr>
        <w:spacing w:line="360" w:lineRule="auto"/>
        <w:ind w:firstLine="420" w:firstLineChars="200"/>
        <w:rPr>
          <w:rFonts w:ascii="宋体" w:hAnsi="宋体"/>
          <w:szCs w:val="21"/>
        </w:rPr>
      </w:pPr>
      <w:r>
        <w:rPr>
          <w:rFonts w:ascii="宋体" w:hAnsi="宋体" w:hint="eastAsia"/>
          <w:szCs w:val="21"/>
        </w:rPr>
        <w:t>4.4.5 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spacing w:line="360" w:lineRule="auto"/>
        <w:ind w:firstLine="420" w:firstLineChars="200"/>
        <w:rPr>
          <w:rFonts w:ascii="宋体" w:hAnsi="宋体"/>
          <w:szCs w:val="21"/>
        </w:rPr>
      </w:pPr>
      <w:r>
        <w:rPr>
          <w:rFonts w:ascii="宋体" w:hAnsi="宋体" w:hint="eastAsia"/>
          <w:szCs w:val="21"/>
        </w:rPr>
        <w:t>4.4.6中标人须负责提供设备全周期（3年）运行所需的通讯卡及相关服务，并承担由此产生的一切费用。服务期内应确保各站点每月通讯流量不低于1G，且需保证网络稳定性与数据传输的可靠性，满足持续在线监测与运营管理要求。如因流量不足或通讯中断影响设备正常功能，中标人应及时予以补充或恢复，并承担相应责任。</w:t>
      </w:r>
    </w:p>
    <w:p>
      <w:pPr>
        <w:spacing w:line="360" w:lineRule="auto"/>
        <w:ind w:firstLine="420" w:firstLineChars="200"/>
        <w:rPr>
          <w:rFonts w:ascii="宋体" w:hAnsi="宋体"/>
          <w:szCs w:val="21"/>
        </w:rPr>
      </w:pPr>
      <w:r>
        <w:rPr>
          <w:rFonts w:ascii="宋体" w:hAnsi="宋体" w:hint="eastAsia"/>
          <w:szCs w:val="21"/>
        </w:rPr>
        <w:t>4.5设备验收</w:t>
      </w:r>
    </w:p>
    <w:p>
      <w:pPr>
        <w:spacing w:line="360" w:lineRule="auto"/>
        <w:ind w:firstLine="420" w:firstLineChars="200"/>
        <w:rPr>
          <w:rFonts w:ascii="宋体" w:hAnsi="宋体"/>
          <w:szCs w:val="21"/>
        </w:rPr>
      </w:pPr>
      <w:r>
        <w:rPr>
          <w:rFonts w:ascii="宋体" w:hAnsi="宋体" w:hint="eastAsia"/>
          <w:szCs w:val="21"/>
        </w:rPr>
        <w:t>4.5.1 设备出厂前，采购人有权派人到工厂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spacing w:line="360" w:lineRule="auto"/>
        <w:ind w:firstLine="420" w:firstLineChars="200"/>
        <w:rPr>
          <w:rFonts w:ascii="宋体" w:hAnsi="宋体"/>
          <w:szCs w:val="21"/>
        </w:rPr>
      </w:pPr>
      <w:r>
        <w:rPr>
          <w:rFonts w:ascii="宋体" w:hAnsi="宋体" w:hint="eastAsia"/>
          <w:szCs w:val="21"/>
        </w:rPr>
        <w:t>4.5.2 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出厂验收合格协议，设备进入试运行期。</w:t>
      </w:r>
    </w:p>
    <w:p>
      <w:pPr>
        <w:spacing w:line="360" w:lineRule="auto"/>
        <w:ind w:firstLine="420" w:firstLineChars="200"/>
        <w:rPr>
          <w:rFonts w:ascii="宋体" w:hAnsi="宋体"/>
          <w:szCs w:val="21"/>
        </w:rPr>
      </w:pPr>
      <w:r>
        <w:rPr>
          <w:rFonts w:ascii="宋体" w:hAnsi="宋体" w:hint="eastAsia"/>
          <w:szCs w:val="21"/>
        </w:rPr>
        <w:t>4.5.3 设备经过3个月试运行期，达到功能规格需求书的要求时，可进行最终验收。在试运行期间，由于设备质量等造成某些指标达不到要求，允许中标人更换或进行修复，但试运行期另加3个月。</w:t>
      </w:r>
    </w:p>
    <w:p>
      <w:pPr>
        <w:spacing w:line="360" w:lineRule="auto"/>
        <w:ind w:firstLine="420" w:firstLineChars="200"/>
        <w:rPr>
          <w:rFonts w:ascii="宋体" w:hAnsi="宋体"/>
          <w:szCs w:val="21"/>
        </w:rPr>
      </w:pPr>
      <w:r>
        <w:rPr>
          <w:rFonts w:ascii="宋体" w:hAnsi="宋体" w:hint="eastAsia"/>
          <w:szCs w:val="21"/>
        </w:rPr>
        <w:t>4.5.4 设备安装调试和试运行结束后，采购人组织最终验收。当满足以下条件时，采购人确认合同验收合格并签署合同验收合格意见：</w:t>
      </w:r>
    </w:p>
    <w:p>
      <w:pPr>
        <w:spacing w:line="360" w:lineRule="auto"/>
        <w:ind w:firstLine="420" w:firstLineChars="200"/>
        <w:rPr>
          <w:rFonts w:ascii="宋体" w:hAnsi="宋体"/>
          <w:szCs w:val="21"/>
        </w:rPr>
      </w:pPr>
      <w:r>
        <w:rPr>
          <w:rFonts w:ascii="宋体" w:hAnsi="宋体" w:hint="eastAsia"/>
          <w:szCs w:val="21"/>
        </w:rPr>
        <w:t>中标人已提供合同中签署的全部货物及完整技术资料；</w:t>
      </w:r>
    </w:p>
    <w:p>
      <w:pPr>
        <w:spacing w:line="360" w:lineRule="auto"/>
        <w:ind w:firstLine="420" w:firstLineChars="200"/>
        <w:rPr>
          <w:rFonts w:ascii="宋体" w:hAnsi="宋体"/>
          <w:szCs w:val="21"/>
        </w:rPr>
      </w:pPr>
      <w:r>
        <w:rPr>
          <w:rFonts w:ascii="宋体" w:hAnsi="宋体" w:hint="eastAsia"/>
          <w:szCs w:val="21"/>
        </w:rPr>
        <w:t>货物符合技术规格，性能满足要求；</w:t>
      </w:r>
    </w:p>
    <w:p>
      <w:pPr>
        <w:spacing w:line="360" w:lineRule="auto"/>
        <w:ind w:firstLine="420" w:firstLineChars="200"/>
        <w:rPr>
          <w:rFonts w:ascii="宋体" w:hAnsi="宋体"/>
          <w:szCs w:val="21"/>
        </w:rPr>
      </w:pPr>
      <w:r>
        <w:rPr>
          <w:rFonts w:ascii="宋体" w:hAnsi="宋体" w:hint="eastAsia"/>
          <w:szCs w:val="21"/>
        </w:rPr>
        <w:t>安装工程符合技术要求，系统性能满足要求，设备正常运行。</w:t>
      </w:r>
    </w:p>
    <w:p>
      <w:pPr>
        <w:spacing w:line="360" w:lineRule="auto"/>
        <w:ind w:firstLine="420" w:firstLineChars="200"/>
        <w:rPr>
          <w:rFonts w:ascii="宋体" w:hAnsi="宋体"/>
          <w:szCs w:val="21"/>
        </w:rPr>
      </w:pPr>
      <w:r>
        <w:rPr>
          <w:rFonts w:ascii="宋体" w:hAnsi="宋体" w:hint="eastAsia"/>
          <w:szCs w:val="21"/>
        </w:rPr>
        <w:t>4.</w:t>
      </w:r>
      <w:r>
        <w:rPr>
          <w:rFonts w:ascii="宋体" w:hAnsi="宋体"/>
          <w:szCs w:val="21"/>
        </w:rPr>
        <w:t>6</w:t>
      </w:r>
      <w:r>
        <w:rPr>
          <w:rFonts w:ascii="宋体" w:hAnsi="宋体" w:hint="eastAsia"/>
          <w:szCs w:val="21"/>
        </w:rPr>
        <w:t>技术培训</w:t>
      </w:r>
    </w:p>
    <w:p>
      <w:pPr>
        <w:spacing w:line="360" w:lineRule="auto"/>
        <w:ind w:firstLine="420" w:firstLineChars="200"/>
        <w:rPr>
          <w:rFonts w:ascii="宋体" w:hAnsi="宋体"/>
          <w:szCs w:val="21"/>
        </w:rPr>
      </w:pPr>
      <w:r>
        <w:rPr>
          <w:rFonts w:ascii="宋体" w:hAnsi="宋体" w:hint="eastAsia"/>
          <w:szCs w:val="21"/>
        </w:rPr>
        <w:t>中标人应免费提供每个用户单位2人次培训（达到熟练操作），免费向用户提供设备安装、调试以及软件技术培训。技术培训内容包括：设备工作原理、使用方法、日常维护及一般常见故障的诊断及排除等。并在培训时免费提供完整的培训资料，其中包括使用说明、工作原理、技术图纸、注意事项、安装调试方法和维修指南等。</w:t>
      </w:r>
    </w:p>
    <w:p>
      <w:pPr>
        <w:spacing w:line="360" w:lineRule="auto"/>
        <w:ind w:firstLine="420" w:firstLineChars="200"/>
        <w:rPr>
          <w:rFonts w:ascii="宋体" w:hAnsi="宋体"/>
          <w:szCs w:val="21"/>
        </w:rPr>
      </w:pPr>
      <w:r>
        <w:rPr>
          <w:rFonts w:ascii="宋体" w:hAnsi="宋体" w:hint="eastAsia"/>
          <w:szCs w:val="21"/>
        </w:rPr>
        <w:t>4.8工程进度</w:t>
      </w:r>
    </w:p>
    <w:p>
      <w:pPr>
        <w:spacing w:line="360" w:lineRule="auto"/>
        <w:ind w:firstLine="420" w:firstLineChars="200"/>
        <w:rPr>
          <w:rFonts w:ascii="宋体" w:hAnsi="宋体"/>
          <w:szCs w:val="21"/>
        </w:rPr>
      </w:pPr>
      <w:r>
        <w:rPr>
          <w:rFonts w:ascii="宋体" w:hAnsi="宋体" w:hint="eastAsia"/>
          <w:szCs w:val="21"/>
        </w:rPr>
        <w:t>4.8.1 合同签订后根据招标人的要求安排,合同签订后60天内交货，90天内完成安装调试并具备验收条件。</w:t>
      </w:r>
    </w:p>
    <w:p>
      <w:pPr>
        <w:spacing w:line="360" w:lineRule="auto"/>
        <w:ind w:firstLine="420" w:firstLineChars="200"/>
        <w:rPr>
          <w:rFonts w:ascii="宋体" w:hAnsi="宋体"/>
          <w:szCs w:val="21"/>
        </w:rPr>
      </w:pPr>
      <w:r>
        <w:rPr>
          <w:rFonts w:ascii="宋体" w:hAnsi="宋体" w:hint="eastAsia"/>
          <w:szCs w:val="21"/>
        </w:rPr>
        <w:t>4.8.2 设备到达安装现场后，收到招标人通知十五日内到达现场，完成设备的安装、调测以及供电系统的联调工作。</w:t>
      </w:r>
    </w:p>
    <w:p>
      <w:pPr>
        <w:spacing w:line="360" w:lineRule="auto"/>
        <w:ind w:firstLine="420" w:firstLineChars="200"/>
        <w:rPr>
          <w:rFonts w:ascii="宋体" w:hAnsi="宋体"/>
          <w:szCs w:val="21"/>
        </w:rPr>
      </w:pPr>
      <w:r>
        <w:rPr>
          <w:rFonts w:ascii="宋体" w:hAnsi="宋体" w:hint="eastAsia"/>
          <w:szCs w:val="21"/>
        </w:rPr>
        <w:t>4.8.3 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验收标准的建议。</w:t>
      </w:r>
    </w:p>
    <w:p>
      <w:pPr>
        <w:spacing w:line="360" w:lineRule="auto"/>
        <w:ind w:firstLine="420" w:firstLineChars="200"/>
        <w:rPr>
          <w:rFonts w:ascii="宋体" w:hAnsi="宋体"/>
          <w:szCs w:val="21"/>
        </w:rPr>
      </w:pPr>
      <w:r>
        <w:rPr>
          <w:rFonts w:ascii="宋体" w:hAnsi="宋体" w:hint="eastAsia"/>
          <w:szCs w:val="21"/>
        </w:rPr>
        <w:t>五、技术服务和质保期服务要求</w:t>
      </w:r>
    </w:p>
    <w:p>
      <w:pPr>
        <w:spacing w:line="360" w:lineRule="auto"/>
        <w:ind w:firstLine="420" w:firstLineChars="200"/>
        <w:rPr>
          <w:rFonts w:ascii="宋体" w:hAnsi="宋体"/>
          <w:szCs w:val="21"/>
        </w:rPr>
      </w:pPr>
      <w:r>
        <w:rPr>
          <w:rFonts w:ascii="宋体" w:hAnsi="宋体"/>
          <w:szCs w:val="21"/>
        </w:rPr>
        <w:t>5</w:t>
      </w:r>
      <w:r>
        <w:rPr>
          <w:rFonts w:ascii="宋体" w:hAnsi="宋体" w:hint="eastAsia"/>
          <w:szCs w:val="21"/>
        </w:rPr>
        <w:t>.</w:t>
      </w:r>
      <w:r>
        <w:rPr>
          <w:rFonts w:ascii="宋体" w:hAnsi="宋体"/>
          <w:szCs w:val="21"/>
        </w:rPr>
        <w:t>1</w:t>
      </w:r>
      <w:r>
        <w:rPr>
          <w:rFonts w:ascii="宋体" w:hAnsi="宋体" w:hint="eastAsia"/>
          <w:szCs w:val="21"/>
        </w:rPr>
        <w:t>保修及售后服务</w:t>
      </w:r>
    </w:p>
    <w:p>
      <w:pPr>
        <w:spacing w:line="360" w:lineRule="auto"/>
        <w:ind w:firstLine="420" w:firstLineChars="200"/>
        <w:rPr>
          <w:rFonts w:ascii="宋体" w:hAnsi="宋体"/>
          <w:szCs w:val="21"/>
        </w:rPr>
      </w:pPr>
      <w:r>
        <w:rPr>
          <w:rFonts w:ascii="宋体" w:hAnsi="宋体"/>
          <w:szCs w:val="21"/>
        </w:rPr>
        <w:t>5</w:t>
      </w:r>
      <w:r>
        <w:rPr>
          <w:rFonts w:ascii="宋体" w:hAnsi="宋体" w:hint="eastAsia"/>
          <w:szCs w:val="21"/>
        </w:rPr>
        <w:t>.</w:t>
      </w:r>
      <w:r>
        <w:rPr>
          <w:rFonts w:ascii="宋体" w:hAnsi="宋体"/>
          <w:szCs w:val="21"/>
        </w:rPr>
        <w:t>1</w:t>
      </w:r>
      <w:r>
        <w:rPr>
          <w:rFonts w:ascii="宋体" w:hAnsi="宋体" w:hint="eastAsia"/>
          <w:szCs w:val="21"/>
        </w:rPr>
        <w:t>.1 设备供应商对所有设备提供自合同验收合格后3年的维保，需提供设备质保承诺函原件。保修期内因设备设计、质量出现问题，均由设备供应商即时无偿解决（包括更换器件）；</w:t>
      </w:r>
    </w:p>
    <w:p>
      <w:pPr>
        <w:spacing w:line="360" w:lineRule="auto"/>
        <w:ind w:firstLine="420" w:firstLineChars="200"/>
        <w:rPr>
          <w:rFonts w:ascii="宋体" w:hAnsi="宋体"/>
          <w:szCs w:val="21"/>
        </w:rPr>
      </w:pPr>
      <w:r>
        <w:rPr>
          <w:rFonts w:ascii="宋体" w:hAnsi="宋体"/>
          <w:szCs w:val="21"/>
        </w:rPr>
        <w:t>5</w:t>
      </w:r>
      <w:r>
        <w:rPr>
          <w:rFonts w:ascii="宋体" w:hAnsi="宋体" w:hint="eastAsia"/>
          <w:szCs w:val="21"/>
        </w:rPr>
        <w:t>.</w:t>
      </w:r>
      <w:r>
        <w:rPr>
          <w:rFonts w:ascii="宋体" w:hAnsi="宋体"/>
          <w:szCs w:val="21"/>
        </w:rPr>
        <w:t>1</w:t>
      </w:r>
      <w:r>
        <w:rPr>
          <w:rFonts w:ascii="宋体" w:hAnsi="宋体" w:hint="eastAsia"/>
          <w:szCs w:val="21"/>
        </w:rPr>
        <w:t>.2 合同签定后，中标人指定负责本工程的项目经理，负责协调中标人在项目全过程的各项工作，如工程进度、设备定制及设备供应、软件定制开发、图纸文件、包装运输、现场安装、调试验收等。</w:t>
      </w:r>
    </w:p>
    <w:p>
      <w:pPr>
        <w:tabs>
          <w:tab w:val="left" w:pos="709"/>
        </w:tabs>
        <w:spacing w:line="360" w:lineRule="auto"/>
        <w:ind w:firstLine="420" w:firstLineChars="200"/>
        <w:jc w:val="left"/>
        <w:rPr>
          <w:rFonts w:ascii="宋体" w:eastAsia="宋体" w:hAnsi="宋体" w:cs="微软雅黑"/>
          <w:b/>
          <w:color w:val="0000FF"/>
          <w:kern w:val="0"/>
          <w:sz w:val="18"/>
          <w:szCs w:val="18"/>
        </w:rPr>
      </w:pPr>
      <w:r>
        <w:rPr>
          <w:rFonts w:ascii="宋体" w:hAnsi="宋体" w:hint="eastAsia"/>
          <w:szCs w:val="21"/>
          <w:highlight w:val="yellow"/>
          <w:lang w:val="en-US" w:eastAsia="zh-CN"/>
        </w:rPr>
        <w:t>*</w:t>
      </w:r>
      <w:r>
        <w:rPr>
          <w:rFonts w:ascii="宋体" w:hAnsi="宋体"/>
          <w:szCs w:val="21"/>
          <w:highlight w:val="yellow"/>
        </w:rPr>
        <w:t>5</w:t>
      </w:r>
      <w:r>
        <w:rPr>
          <w:rFonts w:ascii="宋体" w:hAnsi="宋体" w:hint="eastAsia"/>
          <w:szCs w:val="21"/>
          <w:highlight w:val="yellow"/>
        </w:rPr>
        <w:t>.</w:t>
      </w:r>
      <w:r>
        <w:rPr>
          <w:rFonts w:ascii="宋体" w:hAnsi="宋体"/>
          <w:szCs w:val="21"/>
          <w:highlight w:val="yellow"/>
        </w:rPr>
        <w:t>1</w:t>
      </w:r>
      <w:r>
        <w:rPr>
          <w:rFonts w:ascii="宋体" w:hAnsi="宋体" w:hint="eastAsia"/>
          <w:szCs w:val="21"/>
          <w:highlight w:val="yellow"/>
        </w:rPr>
        <w:t>.3 免费质保期：中标</w:t>
      </w:r>
      <w:r>
        <w:rPr>
          <w:rFonts w:ascii="宋体" w:hAnsi="宋体"/>
          <w:szCs w:val="21"/>
          <w:highlight w:val="yellow"/>
        </w:rPr>
        <w:t>人</w:t>
      </w:r>
      <w:r>
        <w:rPr>
          <w:rFonts w:ascii="宋体" w:hAnsi="宋体" w:hint="eastAsia"/>
          <w:szCs w:val="21"/>
          <w:highlight w:val="yellow"/>
        </w:rPr>
        <w:t>对所有设备免费提供自合同验收合格后3年质保(含设备维修、每季度一次维护及两年一次检定)。</w:t>
      </w:r>
    </w:p>
    <w:p>
      <w:pPr>
        <w:spacing w:line="360" w:lineRule="auto"/>
        <w:ind w:firstLine="420" w:firstLineChars="200"/>
        <w:rPr>
          <w:rFonts w:ascii="宋体" w:hAnsi="宋体"/>
          <w:szCs w:val="21"/>
        </w:rPr>
      </w:pPr>
      <w:r>
        <w:rPr>
          <w:rFonts w:ascii="宋体" w:hAnsi="宋体" w:hint="eastAsia"/>
          <w:szCs w:val="21"/>
        </w:rPr>
        <w:t>在质保期内，设备供应商应提供详细的售后服务计划，内容包括售后服务方式、人员配置、服务期限、故障响应及维修时间、零配件供应方式等情况。设备供应商服务时间应为7×24小时，当设备或软件遭到损坏或出现故障时，要在用户报修之时起4小时内做出响应，并在36小时内到达现场，开展维修维护工作。维保期过后，设备供应商仍有义务提供技术服务（包括提供设备维护、备件等）。</w:t>
      </w:r>
    </w:p>
    <w:p>
      <w:pPr>
        <w:spacing w:line="360" w:lineRule="auto"/>
        <w:rPr>
          <w:rFonts w:ascii="宋体" w:eastAsia="宋体" w:hAnsi="宋体" w:cs="Times New Roman"/>
          <w:szCs w:val="21"/>
        </w:rPr>
      </w:pP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附件1：</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60"/>
        <w:gridCol w:w="960"/>
        <w:gridCol w:w="1728"/>
        <w:gridCol w:w="1400"/>
        <w:gridCol w:w="1392"/>
        <w:gridCol w:w="181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76"/>
          <w:jc w:val="center"/>
        </w:trPr>
        <w:tc>
          <w:tcPr>
            <w:tcW w:w="960" w:type="dxa"/>
            <w:shd w:val="clear" w:color="auto" w:fill="auto"/>
            <w:noWrap/>
            <w:vAlign w:val="bottom"/>
          </w:tcPr>
          <w:p>
            <w:pPr>
              <w:widowControl/>
              <w:jc w:val="left"/>
              <w:textAlignment w:val="bottom"/>
              <w:rPr>
                <w:rFonts w:ascii="等线" w:eastAsia="等线" w:hAnsi="等线" w:cs="等线"/>
                <w:color w:val="000000"/>
                <w:szCs w:val="21"/>
              </w:rPr>
            </w:pPr>
            <w:r>
              <w:rPr>
                <w:rFonts w:ascii="等线" w:eastAsia="等线" w:hAnsi="等线" w:cs="等线" w:hint="eastAsia"/>
                <w:color w:val="000000"/>
                <w:kern w:val="0"/>
                <w:szCs w:val="21"/>
                <w:lang w:bidi="ar"/>
              </w:rPr>
              <w:t>序号</w:t>
            </w:r>
          </w:p>
        </w:tc>
        <w:tc>
          <w:tcPr>
            <w:tcW w:w="96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地区</w:t>
            </w:r>
          </w:p>
        </w:tc>
        <w:tc>
          <w:tcPr>
            <w:tcW w:w="1728"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路段</w:t>
            </w:r>
          </w:p>
        </w:tc>
        <w:tc>
          <w:tcPr>
            <w:tcW w:w="140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桩号</w:t>
            </w:r>
          </w:p>
        </w:tc>
        <w:tc>
          <w:tcPr>
            <w:tcW w:w="1392"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经度</w:t>
            </w:r>
          </w:p>
        </w:tc>
        <w:tc>
          <w:tcPr>
            <w:tcW w:w="1815"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纬度</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bottom"/>
          </w:tcPr>
          <w:p>
            <w:pPr>
              <w:widowControl/>
              <w:jc w:val="center"/>
              <w:textAlignment w:val="bottom"/>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1</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常州</w:t>
            </w:r>
          </w:p>
        </w:tc>
        <w:tc>
          <w:tcPr>
            <w:tcW w:w="1728" w:type="dxa"/>
            <w:shd w:val="clear" w:color="auto" w:fill="auto"/>
            <w:noWrap/>
            <w:vAlign w:val="bottom"/>
          </w:tcPr>
          <w:p>
            <w:pPr>
              <w:widowControl/>
              <w:jc w:val="center"/>
              <w:textAlignment w:val="bottom"/>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沪武高速</w:t>
            </w:r>
          </w:p>
        </w:tc>
        <w:tc>
          <w:tcPr>
            <w:tcW w:w="1400" w:type="dxa"/>
            <w:shd w:val="clear" w:color="auto" w:fill="auto"/>
            <w:vAlign w:val="bottom"/>
          </w:tcPr>
          <w:p>
            <w:pPr>
              <w:widowControl/>
              <w:jc w:val="center"/>
              <w:textAlignment w:val="bottom"/>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圩墩大桥</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120.0626063</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31.70663317</w:t>
            </w:r>
          </w:p>
        </w:tc>
      </w:tr>
      <w:tr>
        <w:tblPrEx>
          <w:tblW w:w="0" w:type="auto"/>
          <w:jc w:val="center"/>
          <w:tblCellMar>
            <w:top w:w="0" w:type="dxa"/>
            <w:left w:w="108" w:type="dxa"/>
            <w:bottom w:w="0" w:type="dxa"/>
            <w:right w:w="108" w:type="dxa"/>
          </w:tblCellMar>
        </w:tblPrEx>
        <w:trPr>
          <w:trHeight w:val="843"/>
          <w:jc w:val="center"/>
        </w:trPr>
        <w:tc>
          <w:tcPr>
            <w:tcW w:w="960" w:type="dxa"/>
            <w:shd w:val="clear" w:color="auto" w:fill="auto"/>
            <w:noWrap/>
            <w:vAlign w:val="bottom"/>
          </w:tcPr>
          <w:p>
            <w:pPr>
              <w:widowControl/>
              <w:spacing w:line="840" w:lineRule="auto"/>
              <w:jc w:val="center"/>
              <w:textAlignment w:val="bottom"/>
              <w:rPr>
                <w:rFonts w:ascii="等线 Light" w:eastAsia="等线 Light" w:hAnsi="等线 Light" w:cs="等线 Light"/>
                <w:color w:val="000000"/>
                <w:kern w:val="0"/>
                <w:szCs w:val="21"/>
                <w:lang w:bidi="ar"/>
              </w:rPr>
            </w:pPr>
            <w:r>
              <w:rPr>
                <w:rFonts w:ascii="等线 Light" w:eastAsia="等线 Light" w:hAnsi="等线 Light" w:cs="等线 Light" w:hint="eastAsia"/>
                <w:color w:val="000000"/>
                <w:kern w:val="0"/>
                <w:szCs w:val="21"/>
                <w:lang w:bidi="ar"/>
              </w:rPr>
              <w:t>2</w:t>
            </w:r>
          </w:p>
        </w:tc>
        <w:tc>
          <w:tcPr>
            <w:tcW w:w="960" w:type="dxa"/>
            <w:shd w:val="clear" w:color="auto" w:fill="auto"/>
            <w:noWrap/>
            <w:vAlign w:val="center"/>
          </w:tcPr>
          <w:p>
            <w:pPr>
              <w:widowControl/>
              <w:spacing w:line="480" w:lineRule="auto"/>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常州</w:t>
            </w:r>
          </w:p>
        </w:tc>
        <w:tc>
          <w:tcPr>
            <w:tcW w:w="1728" w:type="dxa"/>
            <w:shd w:val="clear" w:color="auto" w:fill="auto"/>
            <w:noWrap/>
            <w:vAlign w:val="bottom"/>
          </w:tcPr>
          <w:p>
            <w:pPr>
              <w:widowControl/>
              <w:spacing w:line="840" w:lineRule="auto"/>
              <w:jc w:val="center"/>
              <w:textAlignment w:val="bottom"/>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高  架</w:t>
            </w:r>
          </w:p>
        </w:tc>
        <w:tc>
          <w:tcPr>
            <w:tcW w:w="1400" w:type="dxa"/>
            <w:shd w:val="clear" w:color="auto" w:fill="auto"/>
            <w:vAlign w:val="bottom"/>
          </w:tcPr>
          <w:p>
            <w:pPr>
              <w:widowControl/>
              <w:jc w:val="center"/>
              <w:textAlignment w:val="bottom"/>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龙江高架钟楼大桥段</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119.8845935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31.75255624</w:t>
            </w:r>
          </w:p>
        </w:tc>
      </w:tr>
      <w:tr>
        <w:tblPrEx>
          <w:tblW w:w="0" w:type="auto"/>
          <w:jc w:val="center"/>
          <w:tblCellMar>
            <w:top w:w="0" w:type="dxa"/>
            <w:left w:w="108" w:type="dxa"/>
            <w:bottom w:w="0" w:type="dxa"/>
            <w:right w:w="108" w:type="dxa"/>
          </w:tblCellMar>
        </w:tblPrEx>
        <w:trPr>
          <w:trHeight w:val="843"/>
          <w:jc w:val="center"/>
        </w:trPr>
        <w:tc>
          <w:tcPr>
            <w:tcW w:w="960" w:type="dxa"/>
            <w:shd w:val="clear" w:color="auto" w:fill="auto"/>
            <w:noWrap/>
            <w:vAlign w:val="bottom"/>
          </w:tcPr>
          <w:p>
            <w:pPr>
              <w:widowControl/>
              <w:spacing w:line="840" w:lineRule="auto"/>
              <w:jc w:val="center"/>
              <w:textAlignment w:val="bottom"/>
              <w:rPr>
                <w:rFonts w:ascii="等线 Light" w:eastAsia="等线 Light" w:hAnsi="等线 Light" w:cs="等线 Light"/>
                <w:color w:val="000000"/>
                <w:kern w:val="0"/>
                <w:szCs w:val="21"/>
                <w:lang w:bidi="ar"/>
              </w:rPr>
            </w:pPr>
            <w:r>
              <w:rPr>
                <w:rFonts w:ascii="等线 Light" w:eastAsia="等线 Light" w:hAnsi="等线 Light" w:cs="等线 Light" w:hint="eastAsia"/>
                <w:color w:val="000000"/>
                <w:kern w:val="0"/>
                <w:szCs w:val="21"/>
                <w:lang w:bidi="ar"/>
              </w:rPr>
              <w:t>3</w:t>
            </w:r>
          </w:p>
        </w:tc>
        <w:tc>
          <w:tcPr>
            <w:tcW w:w="960" w:type="dxa"/>
            <w:shd w:val="clear" w:color="auto" w:fill="auto"/>
            <w:noWrap/>
            <w:vAlign w:val="center"/>
          </w:tcPr>
          <w:p>
            <w:pPr>
              <w:widowControl/>
              <w:spacing w:line="480" w:lineRule="auto"/>
              <w:jc w:val="center"/>
              <w:textAlignment w:val="center"/>
              <w:rPr>
                <w:rFonts w:ascii="等线 Light" w:eastAsia="等线 Light" w:hAnsi="等线 Light" w:cs="等线 Light"/>
                <w:color w:val="000000"/>
                <w:kern w:val="0"/>
                <w:szCs w:val="21"/>
                <w:lang w:bidi="ar"/>
              </w:rPr>
            </w:pPr>
            <w:r>
              <w:rPr>
                <w:rFonts w:ascii="等线 Light" w:eastAsia="等线 Light" w:hAnsi="等线 Light" w:cs="等线 Light" w:hint="eastAsia"/>
                <w:color w:val="000000"/>
                <w:kern w:val="0"/>
                <w:szCs w:val="21"/>
                <w:lang w:bidi="ar"/>
              </w:rPr>
              <w:t>常州</w:t>
            </w:r>
          </w:p>
        </w:tc>
        <w:tc>
          <w:tcPr>
            <w:tcW w:w="1728" w:type="dxa"/>
            <w:shd w:val="clear" w:color="auto" w:fill="auto"/>
            <w:noWrap/>
            <w:vAlign w:val="bottom"/>
          </w:tcPr>
          <w:p>
            <w:pPr>
              <w:widowControl/>
              <w:spacing w:line="840" w:lineRule="auto"/>
              <w:jc w:val="center"/>
              <w:textAlignment w:val="bottom"/>
              <w:rPr>
                <w:rFonts w:ascii="等线 Light" w:eastAsia="等线 Light" w:hAnsi="等线 Light" w:cs="等线 Light"/>
                <w:color w:val="000000"/>
                <w:kern w:val="0"/>
                <w:szCs w:val="21"/>
                <w:lang w:bidi="ar"/>
              </w:rPr>
            </w:pPr>
            <w:r>
              <w:rPr>
                <w:rFonts w:ascii="等线 Light" w:eastAsia="等线 Light" w:hAnsi="等线 Light" w:cs="等线 Light" w:hint="eastAsia"/>
                <w:color w:val="000000"/>
                <w:kern w:val="0"/>
                <w:szCs w:val="21"/>
                <w:lang w:bidi="ar"/>
              </w:rPr>
              <w:t>高  架</w:t>
            </w:r>
          </w:p>
        </w:tc>
        <w:tc>
          <w:tcPr>
            <w:tcW w:w="1400" w:type="dxa"/>
            <w:shd w:val="clear" w:color="auto" w:fill="auto"/>
            <w:vAlign w:val="bottom"/>
          </w:tcPr>
          <w:p>
            <w:pPr>
              <w:widowControl/>
              <w:jc w:val="center"/>
              <w:textAlignment w:val="bottom"/>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青洋高架延陵大桥段</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120.003292</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31.75339099</w:t>
            </w:r>
          </w:p>
        </w:tc>
      </w:tr>
      <w:tr>
        <w:tblPrEx>
          <w:tblW w:w="0" w:type="auto"/>
          <w:jc w:val="center"/>
          <w:tblCellMar>
            <w:top w:w="0" w:type="dxa"/>
            <w:left w:w="108" w:type="dxa"/>
            <w:bottom w:w="0" w:type="dxa"/>
            <w:right w:w="108" w:type="dxa"/>
          </w:tblCellMar>
        </w:tblPrEx>
        <w:trPr>
          <w:trHeight w:val="879"/>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常州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G42沪蓉高速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K152+920M处南京方向</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120.148</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31.727</w:t>
            </w:r>
          </w:p>
        </w:tc>
      </w:tr>
      <w:tr>
        <w:tblPrEx>
          <w:tblW w:w="0" w:type="auto"/>
          <w:jc w:val="center"/>
          <w:tblCellMar>
            <w:top w:w="0" w:type="dxa"/>
            <w:left w:w="108" w:type="dxa"/>
            <w:bottom w:w="0" w:type="dxa"/>
            <w:right w:w="108" w:type="dxa"/>
          </w:tblCellMar>
        </w:tblPrEx>
        <w:trPr>
          <w:trHeight w:val="1167"/>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常州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S39江宜高速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K82京杭运河特大大桥泰州方向</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119.860904</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31.830541</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常州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G4221沪武高速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k222处南京方向</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119.332102</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31.733263</w:t>
            </w:r>
          </w:p>
        </w:tc>
      </w:tr>
      <w:tr>
        <w:tblPrEx>
          <w:tblW w:w="0" w:type="auto"/>
          <w:jc w:val="center"/>
          <w:tblCellMar>
            <w:top w:w="0" w:type="dxa"/>
            <w:left w:w="108" w:type="dxa"/>
            <w:bottom w:w="0" w:type="dxa"/>
            <w:right w:w="108" w:type="dxa"/>
          </w:tblCellMar>
        </w:tblPrEx>
        <w:trPr>
          <w:trHeight w:val="879"/>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常州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G25长深高速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k2123+900处杭州方向</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119.22</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31.28</w:t>
            </w:r>
          </w:p>
        </w:tc>
      </w:tr>
      <w:tr>
        <w:tblPrEx>
          <w:tblW w:w="0" w:type="auto"/>
          <w:jc w:val="center"/>
          <w:tblCellMar>
            <w:top w:w="0" w:type="dxa"/>
            <w:left w:w="108" w:type="dxa"/>
            <w:bottom w:w="0" w:type="dxa"/>
            <w:right w:w="108" w:type="dxa"/>
          </w:tblCellMar>
        </w:tblPrEx>
        <w:trPr>
          <w:trHeight w:val="567"/>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8</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淮安</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内环高架</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黄河路高架</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119.0276169</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33.61823</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9</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淮安</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城区道路</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淮海南路</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119.0325519</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33.56700806</w:t>
            </w:r>
          </w:p>
        </w:tc>
      </w:tr>
      <w:tr>
        <w:tblPrEx>
          <w:tblW w:w="0" w:type="auto"/>
          <w:jc w:val="center"/>
          <w:tblCellMar>
            <w:top w:w="0" w:type="dxa"/>
            <w:left w:w="108" w:type="dxa"/>
            <w:bottom w:w="0" w:type="dxa"/>
            <w:right w:w="108" w:type="dxa"/>
          </w:tblCellMar>
        </w:tblPrEx>
        <w:trPr>
          <w:trHeight w:val="843"/>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10</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淮安</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国省道</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S247(淮安运河大桥)</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119.0917219</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33.55511806</w:t>
            </w:r>
          </w:p>
        </w:tc>
      </w:tr>
      <w:tr>
        <w:tblPrEx>
          <w:tblW w:w="0" w:type="auto"/>
          <w:jc w:val="center"/>
          <w:tblCellMar>
            <w:top w:w="0" w:type="dxa"/>
            <w:left w:w="108" w:type="dxa"/>
            <w:bottom w:w="0" w:type="dxa"/>
            <w:right w:w="108" w:type="dxa"/>
          </w:tblCellMar>
        </w:tblPrEx>
        <w:trPr>
          <w:trHeight w:val="1119"/>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11</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淮安</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国省道</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G205(宁连公路)  跨苏北灌溉总渠</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118.9825019</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33.39512889</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12</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淮安</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G1516盐洛高速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K188</w:t>
            </w:r>
          </w:p>
        </w:tc>
        <w:tc>
          <w:tcPr>
            <w:tcW w:w="1392" w:type="dxa"/>
            <w:shd w:val="clear" w:color="auto" w:fill="auto"/>
            <w:noWrap/>
            <w:vAlign w:val="bottom"/>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118.8661111</w:t>
            </w:r>
          </w:p>
        </w:tc>
        <w:tc>
          <w:tcPr>
            <w:tcW w:w="1815" w:type="dxa"/>
            <w:shd w:val="clear" w:color="auto" w:fill="auto"/>
            <w:noWrap/>
            <w:vAlign w:val="bottom"/>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33.61666667</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13</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淮安</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G1516盐洛高速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K192</w:t>
            </w:r>
          </w:p>
        </w:tc>
        <w:tc>
          <w:tcPr>
            <w:tcW w:w="1392" w:type="dxa"/>
            <w:shd w:val="clear" w:color="auto" w:fill="auto"/>
            <w:noWrap/>
            <w:vAlign w:val="bottom"/>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118.8236111</w:t>
            </w:r>
          </w:p>
        </w:tc>
        <w:tc>
          <w:tcPr>
            <w:tcW w:w="1815" w:type="dxa"/>
            <w:shd w:val="clear" w:color="auto" w:fill="auto"/>
            <w:noWrap/>
            <w:vAlign w:val="bottom"/>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33.62194444</w:t>
            </w:r>
          </w:p>
        </w:tc>
      </w:tr>
      <w:tr>
        <w:tblPrEx>
          <w:tblW w:w="0" w:type="auto"/>
          <w:jc w:val="center"/>
          <w:tblCellMar>
            <w:top w:w="0" w:type="dxa"/>
            <w:left w:w="108" w:type="dxa"/>
            <w:bottom w:w="0" w:type="dxa"/>
            <w:right w:w="108" w:type="dxa"/>
          </w:tblCellMar>
        </w:tblPrEx>
        <w:trPr>
          <w:trHeight w:val="90"/>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14</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淮安</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G25长深高速宁连北段</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上行K69+500（南京方向1775公里）</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119.2549</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33.9282</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15</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淮安</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S49新扬高速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K186</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118.6008333</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32.975</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16</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淮安</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G2京沪高速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K790</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118.9491956</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33.912439</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17</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淮安</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G2京沪高速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K795</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118.9767678</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33.8736279</w:t>
            </w:r>
          </w:p>
        </w:tc>
      </w:tr>
      <w:tr>
        <w:tblPrEx>
          <w:tblW w:w="0" w:type="auto"/>
          <w:jc w:val="center"/>
          <w:tblCellMar>
            <w:top w:w="0" w:type="dxa"/>
            <w:left w:w="108" w:type="dxa"/>
            <w:bottom w:w="0" w:type="dxa"/>
            <w:right w:w="108" w:type="dxa"/>
          </w:tblCellMar>
        </w:tblPrEx>
        <w:trPr>
          <w:trHeight w:val="567"/>
          <w:jc w:val="center"/>
        </w:trPr>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18</w:t>
            </w:r>
          </w:p>
        </w:tc>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南京</w:t>
            </w:r>
          </w:p>
        </w:tc>
        <w:tc>
          <w:tcPr>
            <w:tcW w:w="1728"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应天大街隧道夹江大桥</w:t>
            </w:r>
          </w:p>
        </w:tc>
        <w:tc>
          <w:tcPr>
            <w:tcW w:w="140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K7+770桥梁主塔</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118.7117</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32.0303</w:t>
            </w:r>
          </w:p>
        </w:tc>
      </w:tr>
      <w:tr>
        <w:tblPrEx>
          <w:tblW w:w="0" w:type="auto"/>
          <w:jc w:val="center"/>
          <w:tblCellMar>
            <w:top w:w="0" w:type="dxa"/>
            <w:left w:w="108" w:type="dxa"/>
            <w:bottom w:w="0" w:type="dxa"/>
            <w:right w:w="108" w:type="dxa"/>
          </w:tblCellMar>
        </w:tblPrEx>
        <w:trPr>
          <w:trHeight w:val="1119"/>
          <w:jc w:val="center"/>
        </w:trPr>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19</w:t>
            </w:r>
          </w:p>
        </w:tc>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南京</w:t>
            </w:r>
          </w:p>
        </w:tc>
        <w:tc>
          <w:tcPr>
            <w:tcW w:w="1728"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江心洲大桥主桥</w:t>
            </w:r>
          </w:p>
        </w:tc>
        <w:tc>
          <w:tcPr>
            <w:tcW w:w="140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K7+014中塔与南塔之间下游侧</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118.6786</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32.0032</w:t>
            </w:r>
          </w:p>
        </w:tc>
      </w:tr>
      <w:tr>
        <w:tblPrEx>
          <w:tblW w:w="0" w:type="auto"/>
          <w:jc w:val="center"/>
          <w:tblCellMar>
            <w:top w:w="0" w:type="dxa"/>
            <w:left w:w="108" w:type="dxa"/>
            <w:bottom w:w="0" w:type="dxa"/>
            <w:right w:w="108" w:type="dxa"/>
          </w:tblCellMar>
        </w:tblPrEx>
        <w:trPr>
          <w:trHeight w:val="567"/>
          <w:jc w:val="center"/>
        </w:trPr>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20</w:t>
            </w:r>
          </w:p>
        </w:tc>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南京</w:t>
            </w:r>
          </w:p>
        </w:tc>
        <w:tc>
          <w:tcPr>
            <w:tcW w:w="1728"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大胜关大桥</w:t>
            </w:r>
          </w:p>
        </w:tc>
        <w:tc>
          <w:tcPr>
            <w:tcW w:w="140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K111门架式情报板</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118.5755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32.0334</w:t>
            </w:r>
          </w:p>
        </w:tc>
      </w:tr>
      <w:tr>
        <w:tblPrEx>
          <w:tblW w:w="0" w:type="auto"/>
          <w:jc w:val="center"/>
          <w:tblCellMar>
            <w:top w:w="0" w:type="dxa"/>
            <w:left w:w="108" w:type="dxa"/>
            <w:bottom w:w="0" w:type="dxa"/>
            <w:right w:w="108" w:type="dxa"/>
          </w:tblCellMar>
        </w:tblPrEx>
        <w:trPr>
          <w:trHeight w:val="843"/>
          <w:jc w:val="center"/>
        </w:trPr>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21</w:t>
            </w:r>
          </w:p>
        </w:tc>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南京</w:t>
            </w:r>
          </w:p>
        </w:tc>
        <w:tc>
          <w:tcPr>
            <w:tcW w:w="1728"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八卦洲大桥</w:t>
            </w:r>
          </w:p>
        </w:tc>
        <w:tc>
          <w:tcPr>
            <w:tcW w:w="140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K12+115南汊桥跨中</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118.8411</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32.1608</w:t>
            </w:r>
          </w:p>
        </w:tc>
      </w:tr>
      <w:tr>
        <w:tblPrEx>
          <w:tblW w:w="0" w:type="auto"/>
          <w:jc w:val="center"/>
          <w:tblCellMar>
            <w:top w:w="0" w:type="dxa"/>
            <w:left w:w="108" w:type="dxa"/>
            <w:bottom w:w="0" w:type="dxa"/>
            <w:right w:w="108" w:type="dxa"/>
          </w:tblCellMar>
        </w:tblPrEx>
        <w:trPr>
          <w:trHeight w:val="1119"/>
          <w:jc w:val="center"/>
        </w:trPr>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22</w:t>
            </w:r>
          </w:p>
        </w:tc>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南京</w:t>
            </w:r>
          </w:p>
        </w:tc>
        <w:tc>
          <w:tcPr>
            <w:tcW w:w="1728"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浦仪公路上坝夹江大桥</w:t>
            </w:r>
          </w:p>
        </w:tc>
        <w:tc>
          <w:tcPr>
            <w:tcW w:w="140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AK7+019.901上坝夹江桥主跨跨中</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118.775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32.1661</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23</w:t>
            </w:r>
          </w:p>
        </w:tc>
        <w:tc>
          <w:tcPr>
            <w:tcW w:w="96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南京</w:t>
            </w:r>
          </w:p>
        </w:tc>
        <w:tc>
          <w:tcPr>
            <w:tcW w:w="1728"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G36宁洛高速</w:t>
            </w:r>
          </w:p>
        </w:tc>
        <w:tc>
          <w:tcPr>
            <w:tcW w:w="140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K20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118.8</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32.23</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24</w:t>
            </w:r>
          </w:p>
        </w:tc>
        <w:tc>
          <w:tcPr>
            <w:tcW w:w="96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南京</w:t>
            </w:r>
          </w:p>
        </w:tc>
        <w:tc>
          <w:tcPr>
            <w:tcW w:w="1728"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G2503绕越高速</w:t>
            </w:r>
          </w:p>
        </w:tc>
        <w:tc>
          <w:tcPr>
            <w:tcW w:w="140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K85</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118.7675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31.88</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25</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南京</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G42沪蓉高速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K308</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118.7052778</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31.96472222</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26</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南通</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海启高速</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K70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121.1789</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32.25</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27</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南通</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海启高速</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K90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121.0375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32.3777</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28</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南通</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通洋高速</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K10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121.2294</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32.3032</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29</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南通</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通洋高速</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K20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121.1445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32.2298</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30</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南通</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G40沪陕高速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K196</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120.86</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32.09</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31</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南通</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G40沪陕高速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K118</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121.55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31.89</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32</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南通</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G15沈海高速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K1143</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120.78</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32.25</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33</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南通</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G15沈海高速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K1186</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120.99</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31.93</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34</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苏州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G1522常台</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K24</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120.769</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31.521</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35</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苏州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G1521常嘉</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K51</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120.855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31.208</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36</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苏州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张家港S19通锡高速</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暂未确定</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120.6496</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31.9242</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37</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苏州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太仓直塘大桥</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121.016029</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31.560529</w:t>
            </w:r>
          </w:p>
        </w:tc>
      </w:tr>
      <w:tr>
        <w:tblPrEx>
          <w:tblW w:w="0" w:type="auto"/>
          <w:jc w:val="center"/>
          <w:tblCellMar>
            <w:top w:w="0" w:type="dxa"/>
            <w:left w:w="108" w:type="dxa"/>
            <w:bottom w:w="0" w:type="dxa"/>
            <w:right w:w="108" w:type="dxa"/>
          </w:tblCellMar>
        </w:tblPrEx>
        <w:trPr>
          <w:trHeight w:val="567"/>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38</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苏州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G204张家港大桥</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K867+859</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120.687839</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31.724324</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39</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苏州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S58沪常高速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60K</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120.488824</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31.220415</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40</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苏州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G1521常嘉高速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K57</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120.818816</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31.122125</w:t>
            </w:r>
          </w:p>
        </w:tc>
      </w:tr>
      <w:tr>
        <w:tblPrEx>
          <w:tblW w:w="0" w:type="auto"/>
          <w:jc w:val="center"/>
          <w:tblCellMar>
            <w:top w:w="0" w:type="dxa"/>
            <w:left w:w="108" w:type="dxa"/>
            <w:bottom w:w="0" w:type="dxa"/>
            <w:right w:w="108" w:type="dxa"/>
          </w:tblCellMar>
        </w:tblPrEx>
        <w:trPr>
          <w:trHeight w:val="303"/>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41</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苏州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 xml:space="preserve">G15沈海  </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1211K</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120.9594444</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31.71777778</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42</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苏州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S19通锡高速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84K</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120.631908</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31.895896</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43</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苏州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G1522常台高速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60K</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120.677488</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31.212897</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44</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宿迁</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G343</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259.551K</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118.7124722</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33.74944444</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45</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宿迁</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S325</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0.8K</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118.6601111</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33.75602778</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46</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宿迁</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G2京沪高速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783KM+500M</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118.91358</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33.9713</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47</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宿迁</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G1516盐洛高速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199KM+300M</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118.4444</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33.3727</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48</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宿迁</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S49新扬高速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58KM+100M</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118.3314108</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33.87983128</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49</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宿迁</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S16连宿高速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115KM</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118.3712</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33.5753</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50</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宿迁</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G2京沪高速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752KM+200M</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118.95231</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34.18922</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51</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泰州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S506</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5K+816</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119.873146</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32.51876</w:t>
            </w:r>
          </w:p>
        </w:tc>
      </w:tr>
      <w:tr>
        <w:tblPrEx>
          <w:tblW w:w="0" w:type="auto"/>
          <w:jc w:val="center"/>
          <w:tblCellMar>
            <w:top w:w="0" w:type="dxa"/>
            <w:left w:w="108" w:type="dxa"/>
            <w:bottom w:w="0" w:type="dxa"/>
            <w:right w:w="108" w:type="dxa"/>
          </w:tblCellMar>
        </w:tblPrEx>
        <w:trPr>
          <w:trHeight w:val="1119"/>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52</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泰州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G328</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互通立交桥（永定路-东环快速路）</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119.980459</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32.453825</w:t>
            </w:r>
          </w:p>
        </w:tc>
      </w:tr>
      <w:tr>
        <w:tblPrEx>
          <w:tblW w:w="0" w:type="auto"/>
          <w:jc w:val="center"/>
          <w:tblCellMar>
            <w:top w:w="0" w:type="dxa"/>
            <w:left w:w="108" w:type="dxa"/>
            <w:bottom w:w="0" w:type="dxa"/>
            <w:right w:w="108" w:type="dxa"/>
          </w:tblCellMar>
        </w:tblPrEx>
        <w:trPr>
          <w:trHeight w:val="1119"/>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53</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泰州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S231</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互通立交桥（站前路-东环快速路）</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119.973704</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32.530631</w:t>
            </w:r>
          </w:p>
        </w:tc>
      </w:tr>
      <w:tr>
        <w:tblPrEx>
          <w:tblW w:w="0" w:type="auto"/>
          <w:jc w:val="center"/>
          <w:tblCellMar>
            <w:top w:w="0" w:type="dxa"/>
            <w:left w:w="108" w:type="dxa"/>
            <w:bottom w:w="0" w:type="dxa"/>
            <w:right w:w="108" w:type="dxa"/>
          </w:tblCellMar>
        </w:tblPrEx>
        <w:trPr>
          <w:trHeight w:val="1119"/>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54</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泰州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城市快速路</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泰州互通（东风快速路-G2高速）</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119.938257</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32.349675</w:t>
            </w:r>
          </w:p>
        </w:tc>
      </w:tr>
      <w:tr>
        <w:tblPrEx>
          <w:tblW w:w="0" w:type="auto"/>
          <w:jc w:val="center"/>
          <w:tblCellMar>
            <w:top w:w="0" w:type="dxa"/>
            <w:left w:w="108" w:type="dxa"/>
            <w:bottom w:w="0" w:type="dxa"/>
            <w:right w:w="108" w:type="dxa"/>
          </w:tblCellMar>
        </w:tblPrEx>
        <w:trPr>
          <w:trHeight w:val="879"/>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55</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泰州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G2京沪高速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北京方向994公里处</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119.862997</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32.366919</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56</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泰州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G1515盐靖高速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由南向北63公里处</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120.055938</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33.044201</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57</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泰州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S35阜溧高速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由北向南K82+905</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119.766688</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33.090826</w:t>
            </w:r>
          </w:p>
        </w:tc>
      </w:tr>
      <w:tr>
        <w:tblPrEx>
          <w:tblW w:w="0" w:type="auto"/>
          <w:jc w:val="center"/>
          <w:tblCellMar>
            <w:top w:w="0" w:type="dxa"/>
            <w:left w:w="108" w:type="dxa"/>
            <w:bottom w:w="0" w:type="dxa"/>
            <w:right w:w="108" w:type="dxa"/>
          </w:tblCellMar>
        </w:tblPrEx>
        <w:trPr>
          <w:trHeight w:val="879"/>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58</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泰州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G2京沪高速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北京方向K1058+526</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120.266558</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31.951303</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59</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徐州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S272</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K24+590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117.081206</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34.573586</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60</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徐州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S270</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K58+850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117.117521</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34.42636</w:t>
            </w:r>
          </w:p>
        </w:tc>
      </w:tr>
      <w:tr>
        <w:tblPrEx>
          <w:tblW w:w="0" w:type="auto"/>
          <w:jc w:val="center"/>
          <w:tblCellMar>
            <w:top w:w="0" w:type="dxa"/>
            <w:left w:w="108" w:type="dxa"/>
            <w:bottom w:w="0" w:type="dxa"/>
            <w:right w:w="108" w:type="dxa"/>
          </w:tblCellMar>
        </w:tblPrEx>
        <w:trPr>
          <w:trHeight w:val="567"/>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61</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徐州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G311</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K192+270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117.911741</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34.375077</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62</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徐州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S505</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K25+850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118.17407</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34.244415</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63</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徐州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S69济徐高速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K26+900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116.711242</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34.71379</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64</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徐州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S69济徐高速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K4+300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116.58486</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34.877359</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65</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徐州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G2京沪高速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K710+700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118.3877778</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34.41916667</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66</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徐州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G30连霍高速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K90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118.646207</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34.418465</w:t>
            </w:r>
          </w:p>
        </w:tc>
      </w:tr>
      <w:tr>
        <w:tblPrEx>
          <w:tblW w:w="0" w:type="auto"/>
          <w:jc w:val="center"/>
          <w:tblCellMar>
            <w:top w:w="0" w:type="dxa"/>
            <w:left w:w="108" w:type="dxa"/>
            <w:bottom w:w="0" w:type="dxa"/>
            <w:right w:w="108" w:type="dxa"/>
          </w:tblCellMar>
        </w:tblPrEx>
        <w:trPr>
          <w:trHeight w:val="567"/>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67</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盐城</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S18滨淮高速</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K16+050 淮安方向</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120.07442</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34.2238615</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68</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盐城</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G204盐阜快速路</w:t>
            </w:r>
          </w:p>
        </w:tc>
        <w:tc>
          <w:tcPr>
            <w:tcW w:w="1400" w:type="dxa"/>
            <w:shd w:val="clear" w:color="auto" w:fill="auto"/>
            <w:vAlign w:val="center"/>
          </w:tcPr>
          <w:p>
            <w:pPr>
              <w:jc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119.876992</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33.678739</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69</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盐城</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G344</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K46+550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120.39402</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32.89532</w:t>
            </w:r>
          </w:p>
        </w:tc>
      </w:tr>
      <w:tr>
        <w:tblPrEx>
          <w:tblW w:w="0" w:type="auto"/>
          <w:jc w:val="center"/>
          <w:tblCellMar>
            <w:top w:w="0" w:type="dxa"/>
            <w:left w:w="108" w:type="dxa"/>
            <w:bottom w:w="0" w:type="dxa"/>
            <w:right w:w="108" w:type="dxa"/>
          </w:tblCellMar>
        </w:tblPrEx>
        <w:trPr>
          <w:trHeight w:val="291"/>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70</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盐城</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S352</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39+600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120.48767</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32.768</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71</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盐城</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G15沈海高速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K892-K894</w:t>
            </w:r>
          </w:p>
        </w:tc>
        <w:tc>
          <w:tcPr>
            <w:tcW w:w="1392" w:type="dxa"/>
            <w:shd w:val="clear" w:color="auto" w:fill="auto"/>
            <w:noWrap/>
            <w:vAlign w:val="bottom"/>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119.6511111</w:t>
            </w:r>
          </w:p>
        </w:tc>
        <w:tc>
          <w:tcPr>
            <w:tcW w:w="1815" w:type="dxa"/>
            <w:shd w:val="clear" w:color="auto" w:fill="auto"/>
            <w:noWrap/>
            <w:vAlign w:val="bottom"/>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34.185</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72</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盐城</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G15沈海高速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K1062+100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119.4852</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34.317</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73</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盐城</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G15沈海高速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K965</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120.12</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33.71</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74</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盐城</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S35阜溧高速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K55+900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119.7163889</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33.15194444</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75</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盐城</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G1516盐洛高速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K93</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119.79005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33.40419</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76</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盐城</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G1515盐靖高速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K17</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120.07821</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33.43418</w:t>
            </w:r>
          </w:p>
        </w:tc>
      </w:tr>
      <w:tr>
        <w:tblPrEx>
          <w:tblW w:w="0" w:type="auto"/>
          <w:jc w:val="center"/>
          <w:tblCellMar>
            <w:top w:w="0" w:type="dxa"/>
            <w:left w:w="108" w:type="dxa"/>
            <w:bottom w:w="0" w:type="dxa"/>
            <w:right w:w="108" w:type="dxa"/>
          </w:tblCellMar>
        </w:tblPrEx>
        <w:trPr>
          <w:trHeight w:val="567"/>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77</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扬州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S264</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K112+200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119.4507896</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33.38425214</w:t>
            </w:r>
          </w:p>
        </w:tc>
      </w:tr>
      <w:tr>
        <w:tblPrEx>
          <w:tblW w:w="0" w:type="auto"/>
          <w:jc w:val="center"/>
          <w:tblCellMar>
            <w:top w:w="0" w:type="dxa"/>
            <w:left w:w="108" w:type="dxa"/>
            <w:bottom w:w="0" w:type="dxa"/>
            <w:right w:w="108" w:type="dxa"/>
          </w:tblCellMar>
        </w:tblPrEx>
        <w:trPr>
          <w:trHeight w:val="567"/>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78</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扬州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S264</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K142+600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119.525124</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33.125653</w:t>
            </w:r>
          </w:p>
        </w:tc>
      </w:tr>
      <w:tr>
        <w:tblPrEx>
          <w:tblW w:w="0" w:type="auto"/>
          <w:jc w:val="center"/>
          <w:tblCellMar>
            <w:top w:w="0" w:type="dxa"/>
            <w:left w:w="108" w:type="dxa"/>
            <w:bottom w:w="0" w:type="dxa"/>
            <w:right w:w="108" w:type="dxa"/>
          </w:tblCellMar>
        </w:tblPrEx>
        <w:trPr>
          <w:trHeight w:val="567"/>
          <w:jc w:val="center"/>
        </w:trPr>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79</w:t>
            </w:r>
          </w:p>
        </w:tc>
        <w:tc>
          <w:tcPr>
            <w:tcW w:w="960"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扬州</w:t>
            </w:r>
          </w:p>
        </w:tc>
        <w:tc>
          <w:tcPr>
            <w:tcW w:w="1728" w:type="dxa"/>
            <w:shd w:val="clear" w:color="auto" w:fill="auto"/>
            <w:noWrap/>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S264</w:t>
            </w:r>
          </w:p>
        </w:tc>
        <w:tc>
          <w:tcPr>
            <w:tcW w:w="1400" w:type="dxa"/>
            <w:shd w:val="clear" w:color="auto" w:fill="auto"/>
            <w:vAlign w:val="center"/>
          </w:tcPr>
          <w:p>
            <w:pPr>
              <w:widowControl/>
              <w:jc w:val="center"/>
              <w:textAlignment w:val="center"/>
              <w:rPr>
                <w:rFonts w:ascii="等线 Light" w:eastAsia="等线 Light" w:hAnsi="等线 Light" w:cs="等线 Light"/>
                <w:color w:val="000000"/>
                <w:szCs w:val="21"/>
              </w:rPr>
            </w:pPr>
            <w:r>
              <w:rPr>
                <w:rFonts w:ascii="等线 Light" w:eastAsia="等线 Light" w:hAnsi="等线 Light" w:cs="等线 Light" w:hint="eastAsia"/>
                <w:color w:val="000000"/>
                <w:kern w:val="0"/>
                <w:szCs w:val="21"/>
                <w:lang w:bidi="ar"/>
              </w:rPr>
              <w:t>K176+070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119.6533333</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32.84944444</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80</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扬州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G40沪陕高速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下行K364</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119.2461111</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32.3375</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81</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扬州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G40沪陕高速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上行K374</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119.1408333</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32.34</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82</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扬州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G2京沪高速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上行K864＋500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119.3125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33.31583333</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83</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扬州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G2京沪高速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上行K890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119.4277778</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33.11611111</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84</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扬州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G2京沪高速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下行K903</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119.3125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33.31583333</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85</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扬州</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G2京沪高速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下行K931</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119.51</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32.75583333</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86</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镇江</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G4011扬溧高速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k30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119.4027778</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32.05916667</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87</w:t>
            </w:r>
          </w:p>
        </w:tc>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镇江</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G4221沪武高速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k230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119.2063889</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32.04916667</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88</w:t>
            </w:r>
          </w:p>
        </w:tc>
        <w:tc>
          <w:tcPr>
            <w:tcW w:w="96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镇江</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S35阜溧高速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K195+500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119.8266667</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32.21972222</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89</w:t>
            </w:r>
          </w:p>
        </w:tc>
        <w:tc>
          <w:tcPr>
            <w:tcW w:w="96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镇江</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S35阜溧高速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K191</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119.8519444</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32.23833333</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90</w:t>
            </w:r>
          </w:p>
        </w:tc>
        <w:tc>
          <w:tcPr>
            <w:tcW w:w="96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镇江</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S39江宜高速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K29</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119.6497222</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32.2425</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91</w:t>
            </w:r>
          </w:p>
        </w:tc>
        <w:tc>
          <w:tcPr>
            <w:tcW w:w="96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无锡</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G2京沪高速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上海方向1098</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120.35373</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31.61171</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92</w:t>
            </w:r>
          </w:p>
        </w:tc>
        <w:tc>
          <w:tcPr>
            <w:tcW w:w="96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无锡</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S48沪宜高速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K142+265</w:t>
            </w:r>
          </w:p>
        </w:tc>
        <w:tc>
          <w:tcPr>
            <w:tcW w:w="1392"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119.956251</w:t>
            </w:r>
          </w:p>
        </w:tc>
        <w:tc>
          <w:tcPr>
            <w:tcW w:w="1815"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31.51225</w:t>
            </w:r>
          </w:p>
        </w:tc>
      </w:tr>
      <w:tr>
        <w:tblPrEx>
          <w:tblW w:w="0" w:type="auto"/>
          <w:jc w:val="center"/>
          <w:tblCellMar>
            <w:top w:w="0" w:type="dxa"/>
            <w:left w:w="108" w:type="dxa"/>
            <w:bottom w:w="0" w:type="dxa"/>
            <w:right w:w="108" w:type="dxa"/>
          </w:tblCellMar>
        </w:tblPrEx>
        <w:trPr>
          <w:trHeight w:val="137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93</w:t>
            </w:r>
          </w:p>
        </w:tc>
        <w:tc>
          <w:tcPr>
            <w:tcW w:w="960" w:type="dxa"/>
            <w:shd w:val="clear" w:color="auto" w:fill="auto"/>
            <w:noWrap/>
            <w:vAlign w:val="bottom"/>
          </w:tcPr>
          <w:p>
            <w:pPr>
              <w:widowControl/>
              <w:spacing w:line="1440" w:lineRule="auto"/>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无锡</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G25长深高速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南京方向K2150(堰南枢纽)</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119.37</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31.2</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94</w:t>
            </w:r>
          </w:p>
        </w:tc>
        <w:tc>
          <w:tcPr>
            <w:tcW w:w="96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连云港</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G15沈海高速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K765+700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119.086221</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34.693006</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95</w:t>
            </w:r>
          </w:p>
        </w:tc>
        <w:tc>
          <w:tcPr>
            <w:tcW w:w="96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连云港</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G15沈海高速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K787+100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119.132291</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34.513268</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96</w:t>
            </w:r>
          </w:p>
        </w:tc>
        <w:tc>
          <w:tcPr>
            <w:tcW w:w="96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连云港</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G15沈海高速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K843</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119.206491</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34.444896</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97</w:t>
            </w:r>
          </w:p>
        </w:tc>
        <w:tc>
          <w:tcPr>
            <w:tcW w:w="96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连云港</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G15沈海高速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K882</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119.178821</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34.600018</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98</w:t>
            </w:r>
          </w:p>
        </w:tc>
        <w:tc>
          <w:tcPr>
            <w:tcW w:w="96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连云港</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G25长深高速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K1741+400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119.2322222</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34.05222222</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99</w:t>
            </w:r>
          </w:p>
        </w:tc>
        <w:tc>
          <w:tcPr>
            <w:tcW w:w="96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连云港</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G25长深高速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K1706</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119.2275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24.03388889</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100</w:t>
            </w:r>
          </w:p>
        </w:tc>
        <w:tc>
          <w:tcPr>
            <w:tcW w:w="960" w:type="dxa"/>
            <w:shd w:val="clear" w:color="auto" w:fill="auto"/>
            <w:noWrap/>
            <w:vAlign w:val="bottom"/>
          </w:tcPr>
          <w:p>
            <w:pPr>
              <w:widowControl/>
              <w:jc w:val="center"/>
              <w:textAlignment w:val="bottom"/>
              <w:rPr>
                <w:rFonts w:ascii="等线" w:eastAsia="等线" w:hAnsi="等线" w:cs="等线"/>
                <w:color w:val="000000"/>
                <w:szCs w:val="21"/>
              </w:rPr>
            </w:pPr>
            <w:r>
              <w:rPr>
                <w:rFonts w:ascii="等线" w:eastAsia="等线" w:hAnsi="等线" w:cs="等线" w:hint="eastAsia"/>
                <w:color w:val="000000"/>
                <w:kern w:val="0"/>
                <w:szCs w:val="21"/>
                <w:lang w:bidi="ar"/>
              </w:rPr>
              <w:t>连云港</w:t>
            </w:r>
          </w:p>
        </w:tc>
        <w:tc>
          <w:tcPr>
            <w:tcW w:w="1728"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G30连霍高速</w:t>
            </w:r>
          </w:p>
        </w:tc>
        <w:tc>
          <w:tcPr>
            <w:tcW w:w="1400" w:type="dxa"/>
            <w:shd w:val="clear" w:color="auto" w:fill="auto"/>
            <w:vAlign w:val="center"/>
          </w:tcPr>
          <w:p>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K50</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119.0175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34.01777778</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101</w:t>
            </w:r>
          </w:p>
        </w:tc>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泰州</w:t>
            </w:r>
          </w:p>
        </w:tc>
        <w:tc>
          <w:tcPr>
            <w:tcW w:w="1728"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S506</w:t>
            </w:r>
          </w:p>
        </w:tc>
        <w:tc>
          <w:tcPr>
            <w:tcW w:w="140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5K+816</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119.873146</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32.51876</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102</w:t>
            </w:r>
          </w:p>
        </w:tc>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泰州</w:t>
            </w:r>
          </w:p>
        </w:tc>
        <w:tc>
          <w:tcPr>
            <w:tcW w:w="1728"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G328</w:t>
            </w:r>
          </w:p>
        </w:tc>
        <w:tc>
          <w:tcPr>
            <w:tcW w:w="140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互通立交桥（永定路-东环快速路）</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119.980459</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32.453825</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103</w:t>
            </w:r>
          </w:p>
        </w:tc>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泰州</w:t>
            </w:r>
          </w:p>
        </w:tc>
        <w:tc>
          <w:tcPr>
            <w:tcW w:w="1728"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S231</w:t>
            </w:r>
          </w:p>
        </w:tc>
        <w:tc>
          <w:tcPr>
            <w:tcW w:w="140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互通立交桥（站前路-东环快速路）</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119.973704</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32.530631</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104</w:t>
            </w:r>
          </w:p>
        </w:tc>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泰州</w:t>
            </w:r>
          </w:p>
        </w:tc>
        <w:tc>
          <w:tcPr>
            <w:tcW w:w="1728"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S506</w:t>
            </w:r>
          </w:p>
        </w:tc>
        <w:tc>
          <w:tcPr>
            <w:tcW w:w="140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互通立交桥（长江大道-站前快速路）</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119.885005</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32.529006</w:t>
            </w:r>
          </w:p>
        </w:tc>
      </w:tr>
      <w:tr>
        <w:tblPrEx>
          <w:tblW w:w="0" w:type="auto"/>
          <w:jc w:val="center"/>
          <w:tblCellMar>
            <w:top w:w="0" w:type="dxa"/>
            <w:left w:w="108" w:type="dxa"/>
            <w:bottom w:w="0" w:type="dxa"/>
            <w:right w:w="108" w:type="dxa"/>
          </w:tblCellMar>
        </w:tblPrEx>
        <w:trPr>
          <w:trHeight w:val="591"/>
          <w:jc w:val="center"/>
        </w:trPr>
        <w:tc>
          <w:tcPr>
            <w:tcW w:w="96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105</w:t>
            </w:r>
          </w:p>
        </w:tc>
        <w:tc>
          <w:tcPr>
            <w:tcW w:w="960"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泰州</w:t>
            </w:r>
          </w:p>
        </w:tc>
        <w:tc>
          <w:tcPr>
            <w:tcW w:w="1728"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城市快速路</w:t>
            </w:r>
          </w:p>
        </w:tc>
        <w:tc>
          <w:tcPr>
            <w:tcW w:w="1400" w:type="dxa"/>
            <w:shd w:val="clear" w:color="auto" w:fill="auto"/>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泰州互通（东风快速路-G2）</w:t>
            </w:r>
          </w:p>
        </w:tc>
        <w:tc>
          <w:tcPr>
            <w:tcW w:w="1392"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119.938257</w:t>
            </w:r>
          </w:p>
        </w:tc>
        <w:tc>
          <w:tcPr>
            <w:tcW w:w="1815" w:type="dxa"/>
            <w:shd w:val="clear" w:color="auto" w:fill="auto"/>
            <w:noWrap/>
            <w:vAlign w:val="center"/>
          </w:tcPr>
          <w:p>
            <w:pPr>
              <w:widowControl/>
              <w:jc w:val="center"/>
              <w:textAlignment w:val="center"/>
              <w:rPr>
                <w:rFonts w:ascii="宋体" w:eastAsia="宋体" w:hAnsi="宋体" w:cs="宋体"/>
                <w:color w:val="000000"/>
                <w:kern w:val="0"/>
                <w:szCs w:val="21"/>
                <w:lang w:bidi="ar"/>
              </w:rPr>
            </w:pPr>
            <w:r>
              <w:rPr>
                <w:rFonts w:ascii="宋体" w:eastAsia="宋体" w:hAnsi="宋体" w:cs="宋体" w:hint="eastAsia"/>
                <w:color w:val="000000"/>
                <w:kern w:val="0"/>
                <w:szCs w:val="21"/>
                <w:lang w:bidi="ar"/>
              </w:rPr>
              <w:t>32.349675</w:t>
            </w:r>
          </w:p>
        </w:tc>
      </w:tr>
    </w:tbl>
    <w:p>
      <w:pPr>
        <w:spacing w:line="360" w:lineRule="auto"/>
        <w:ind w:firstLine="420" w:firstLineChars="200"/>
        <w:rPr>
          <w:rFonts w:ascii="宋体" w:eastAsia="宋体" w:hAnsi="宋体" w:cs="Times New Roman"/>
          <w:szCs w:val="21"/>
        </w:rPr>
      </w:pP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40"/>
        <w:gridCol w:w="2075"/>
        <w:gridCol w:w="1050"/>
        <w:gridCol w:w="1460"/>
        <w:gridCol w:w="1665"/>
        <w:gridCol w:w="1050"/>
        <w:gridCol w:w="62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9" w:name="货物一览表_index"/>
            <w:r>
              <w:rPr>
                <w:rFonts w:asciiTheme="minorEastAsia" w:eastAsiaTheme="minorEastAsia" w:hAnsiTheme="minorEastAsia" w:cstheme="minorEastAsia" w:hint="eastAsia"/>
                <w:kern w:val="0"/>
                <w:szCs w:val="21"/>
              </w:rPr>
              <w:t>序号</w:t>
            </w:r>
            <w:bookmarkEnd w:id="69"/>
          </w:p>
        </w:tc>
        <w:tc>
          <w:tcPr>
            <w:tcW w:w="1135" w:type="dxa"/>
          </w:tcPr>
          <w:p>
            <w:pPr>
              <w:autoSpaceDE w:val="0"/>
              <w:jc w:val="center"/>
              <w:rPr>
                <w:rFonts w:asciiTheme="minorEastAsia" w:hAnsiTheme="minorEastAsia" w:cstheme="minorEastAsia"/>
                <w:kern w:val="0"/>
                <w:szCs w:val="21"/>
              </w:rPr>
            </w:pPr>
            <w:bookmarkStart w:id="70" w:name="货物一览表_goodsName"/>
            <w:r>
              <w:rPr>
                <w:rFonts w:asciiTheme="minorEastAsia" w:eastAsiaTheme="minorEastAsia" w:hAnsiTheme="minorEastAsia" w:cstheme="minorEastAsia" w:hint="eastAsia"/>
                <w:kern w:val="0"/>
                <w:szCs w:val="21"/>
              </w:rPr>
              <w:t>设备名称</w:t>
            </w:r>
            <w:bookmarkEnd w:id="70"/>
          </w:p>
        </w:tc>
        <w:tc>
          <w:tcPr>
            <w:tcW w:w="965" w:type="dxa"/>
          </w:tcPr>
          <w:p>
            <w:pPr>
              <w:autoSpaceDE w:val="0"/>
              <w:jc w:val="center"/>
              <w:rPr>
                <w:rFonts w:asciiTheme="minorEastAsia" w:hAnsiTheme="minorEastAsia" w:cstheme="minorEastAsia"/>
                <w:kern w:val="0"/>
                <w:szCs w:val="21"/>
              </w:rPr>
            </w:pPr>
            <w:bookmarkStart w:id="71" w:name="货物一览表_nums"/>
            <w:r>
              <w:rPr>
                <w:rFonts w:asciiTheme="minorEastAsia" w:eastAsiaTheme="minorEastAsia" w:hAnsiTheme="minorEastAsia" w:cstheme="minorEastAsia" w:hint="eastAsia"/>
                <w:kern w:val="0"/>
                <w:szCs w:val="21"/>
              </w:rPr>
              <w:t>采购数量</w:t>
            </w:r>
            <w:bookmarkEnd w:id="71"/>
          </w:p>
        </w:tc>
        <w:tc>
          <w:tcPr>
            <w:tcW w:w="1062" w:type="dxa"/>
          </w:tcPr>
          <w:p>
            <w:pPr>
              <w:autoSpaceDE w:val="0"/>
              <w:jc w:val="center"/>
              <w:rPr>
                <w:rFonts w:asciiTheme="minorEastAsia" w:hAnsiTheme="minorEastAsia" w:cstheme="minorEastAsia"/>
                <w:kern w:val="0"/>
                <w:szCs w:val="21"/>
              </w:rPr>
            </w:pPr>
            <w:bookmarkStart w:id="72" w:name="货物一览表_units"/>
            <w:r>
              <w:rPr>
                <w:rFonts w:asciiTheme="minorEastAsia" w:eastAsiaTheme="minorEastAsia" w:hAnsiTheme="minorEastAsia" w:cstheme="minorEastAsia" w:hint="eastAsia"/>
                <w:kern w:val="0"/>
                <w:szCs w:val="21"/>
              </w:rPr>
              <w:t>计量单位</w:t>
            </w:r>
            <w:bookmarkEnd w:id="72"/>
          </w:p>
        </w:tc>
        <w:tc>
          <w:tcPr>
            <w:tcW w:w="1220" w:type="dxa"/>
          </w:tcPr>
          <w:p>
            <w:pPr>
              <w:autoSpaceDE w:val="0"/>
              <w:jc w:val="center"/>
              <w:rPr>
                <w:rFonts w:asciiTheme="minorEastAsia" w:hAnsiTheme="minorEastAsia" w:cstheme="minorEastAsia"/>
                <w:kern w:val="0"/>
                <w:szCs w:val="21"/>
              </w:rPr>
            </w:pPr>
            <w:bookmarkStart w:id="73" w:name="货物一览表_procurementBudget"/>
            <w:r>
              <w:rPr>
                <w:rFonts w:asciiTheme="minorEastAsia" w:eastAsiaTheme="minorEastAsia" w:hAnsiTheme="minorEastAsia" w:cstheme="minorEastAsia" w:hint="eastAsia"/>
                <w:kern w:val="0"/>
                <w:szCs w:val="21"/>
              </w:rPr>
              <w:t>采购预算（元）</w:t>
            </w:r>
            <w:bookmarkEnd w:id="73"/>
          </w:p>
        </w:tc>
        <w:tc>
          <w:tcPr>
            <w:tcW w:w="1329" w:type="dxa"/>
          </w:tcPr>
          <w:p>
            <w:pPr>
              <w:autoSpaceDE w:val="0"/>
              <w:jc w:val="center"/>
              <w:rPr>
                <w:rFonts w:asciiTheme="minorEastAsia" w:hAnsiTheme="minorEastAsia" w:cstheme="minorEastAsia" w:hint="eastAsia"/>
                <w:kern w:val="0"/>
                <w:szCs w:val="21"/>
              </w:rPr>
            </w:pPr>
            <w:bookmarkStart w:id="74"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4"/>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5" w:name="货物一览表_remark"/>
            <w:r>
              <w:rPr>
                <w:rFonts w:asciiTheme="minorEastAsia" w:eastAsiaTheme="minorEastAsia" w:hAnsiTheme="minorEastAsia" w:cstheme="minorEastAsia" w:hint="eastAsia"/>
                <w:kern w:val="0"/>
                <w:szCs w:val="21"/>
              </w:rPr>
              <w:t>备注</w:t>
            </w:r>
            <w:bookmarkEnd w:id="75"/>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公路交通气象观测站</w:t>
            </w:r>
          </w:p>
        </w:tc>
        <w:tc>
          <w:tcPr/>
          <w:p>
            <w:pPr>
              <w:autoSpaceDE w:val="0"/>
              <w:jc w:val="center"/>
              <w:rPr>
                <w:rFonts w:asciiTheme="minorEastAsia" w:hAnsiTheme="minorEastAsia" w:cstheme="minorEastAsia"/>
                <w:kern w:val="0"/>
                <w:szCs w:val="21"/>
              </w:rPr>
            </w:pPr>
            <w:r>
              <w:t>105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16,432,500.00</w:t>
            </w:r>
          </w:p>
        </w:tc>
        <w:tc>
          <w:tcPr/>
          <w:p>
            <w:pPr>
              <w:autoSpaceDE w:val="0"/>
              <w:jc w:val="center"/>
              <w:rPr>
                <w:rFonts w:asciiTheme="minorEastAsia" w:hAnsiTheme="minorEastAsia" w:cstheme="minorEastAsia" w:hint="eastAsia"/>
                <w:kern w:val="0"/>
                <w:szCs w:val="21"/>
              </w:rPr>
            </w:pPr>
            <w:r>
              <w:t>60天</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16,432,500.00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0"/>
        <w:gridCol w:w="1667"/>
        <w:gridCol w:w="1589"/>
        <w:gridCol w:w="490"/>
        <w:gridCol w:w="1118"/>
        <w:gridCol w:w="1011"/>
        <w:gridCol w:w="1118"/>
        <w:gridCol w:w="103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6"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数据中心(001040044)</w:t>
            </w:r>
          </w:p>
        </w:tc>
        <w:tc>
          <w:tcPr/>
          <w:p>
            <w:r>
              <w:t>公路交通气象观测站</w:t>
            </w:r>
          </w:p>
        </w:tc>
        <w:tc>
          <w:tcPr/>
          <w:p>
            <w:r>
              <w:t>105</w:t>
            </w:r>
          </w:p>
        </w:tc>
        <w:tc>
          <w:tcPr/>
          <w:p>
            <w:r>
              <w:t>16432500.00</w:t>
            </w:r>
          </w:p>
        </w:tc>
        <w:tc>
          <w:tcPr/>
          <w:p>
            <w:r>
              <w:t xml:space="preserve">16432500.00  </w:t>
            </w:r>
          </w:p>
        </w:tc>
        <w:tc>
          <w:tcPr/>
          <w:p>
            <w:r>
              <w:t>甲方指定地点</w:t>
            </w:r>
          </w:p>
        </w:tc>
        <w:tc>
          <w:tcPr/>
          <w:p>
            <w:r>
              <w:t>何国安 15005180400</w:t>
            </w:r>
          </w:p>
        </w:tc>
      </w:tr>
    </w:tbl>
    <w:p w:rsidR="00A77B3E"/>
    <w:p>
      <w:pPr>
        <w:spacing w:line="360" w:lineRule="auto"/>
        <w:rPr>
          <w:rFonts w:ascii="宋体" w:hAnsi="宋体"/>
          <w:szCs w:val="21"/>
        </w:rPr>
      </w:pPr>
      <w:bookmarkEnd w:id="76"/>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77"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hint="default"/>
                <w:sz w:val="18"/>
                <w:szCs w:val="18"/>
              </w:rPr>
            </w:pPr>
            <w:r>
              <w:rPr>
                <w:rFonts w:ascii="宋体" w:hAnsi="宋体" w:hint="eastAsia"/>
                <w:sz w:val="18"/>
                <w:szCs w:val="18"/>
                <w:lang w:val="en-US" w:eastAsia="zh-CN"/>
              </w:rPr>
              <w:t>5.7</w:t>
            </w:r>
          </w:p>
        </w:tc>
        <w:tc>
          <w:tcPr>
            <w:tcW w:w="7347" w:type="dxa"/>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lang w:eastAsia="zh-CN"/>
              </w:rPr>
              <w:t>交通自动站须取得《公路交通气象观测站》或《集成式交通气象监测仪》</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hint="default"/>
                <w:sz w:val="18"/>
                <w:szCs w:val="18"/>
              </w:rPr>
            </w:pPr>
            <w:r>
              <w:rPr>
                <w:rFonts w:ascii="宋体" w:hAnsi="宋体" w:hint="eastAsia"/>
                <w:sz w:val="18"/>
                <w:szCs w:val="18"/>
                <w:lang w:val="en-US" w:eastAsia="zh-CN"/>
              </w:rPr>
              <w:t>3.6</w:t>
            </w:r>
          </w:p>
        </w:tc>
        <w:tc>
          <w:tcPr>
            <w:tcW w:w="7347" w:type="dxa"/>
            <w:vAlign w:val="center"/>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 xml:space="preserve">数据格式符合《公路交通气象观测站功能规格需求书》等规定的格式要求。观测站配置有足够的存储器，至少可以存储一个月（≥31天）的逐分钟的所有观测数据，以及观测站逐小时工作状态和安全报警信息。 </w:t>
            </w:r>
          </w:p>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 xml:space="preserve">气象要素数据包括：能见度，温度，相对湿度，瞬时风速、风向，分钟内极大风速、风向，2分钟平均风速、风向，10分钟平均风速、风向，降水量，路面温度、路基温度，以及路面状况等数据集。观测站工作状态包括：供电状态，蓄电池电压，机箱温度，传感器工作状态信息等。 </w:t>
            </w:r>
          </w:p>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 xml:space="preserve">传感器工作状态等出现异常或故障提供报警信息。 </w:t>
            </w:r>
          </w:p>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各气象要素数据，工作状态及安全报警状态数据均可按照时序变化有序地进行存储和检验，也能够调入缓冲区进行实时读取。</w:t>
            </w:r>
          </w:p>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20"/>
                <w:szCs w:val="20"/>
              </w:rPr>
              <w:t>注</w:t>
            </w:r>
            <w:r>
              <w:rPr>
                <w:rFonts w:ascii="宋体" w:hAnsi="宋体" w:cs="微软雅黑"/>
                <w:b/>
                <w:color w:val="0000FF"/>
                <w:kern w:val="0"/>
                <w:sz w:val="20"/>
                <w:szCs w:val="20"/>
              </w:rPr>
              <w:t>：</w:t>
            </w:r>
            <w:r>
              <w:rPr>
                <w:rFonts w:ascii="宋体" w:hAnsi="宋体" w:cs="微软雅黑" w:hint="eastAsia"/>
                <w:b/>
                <w:color w:val="0000FF"/>
                <w:kern w:val="0"/>
                <w:sz w:val="20"/>
                <w:szCs w:val="20"/>
              </w:rPr>
              <w:t>需</w:t>
            </w:r>
            <w:r>
              <w:rPr>
                <w:rFonts w:ascii="宋体" w:hAnsi="宋体" w:cs="微软雅黑"/>
                <w:b/>
                <w:color w:val="0000FF"/>
                <w:kern w:val="0"/>
                <w:sz w:val="20"/>
                <w:szCs w:val="20"/>
              </w:rPr>
              <w:t>提</w:t>
            </w:r>
            <w:r>
              <w:rPr>
                <w:rFonts w:ascii="宋体" w:hAnsi="宋体" w:cs="微软雅黑"/>
                <w:b/>
                <w:color w:val="0000FF"/>
                <w:kern w:val="0"/>
                <w:sz w:val="18"/>
                <w:szCs w:val="18"/>
              </w:rPr>
              <w:t>供承诺</w:t>
            </w:r>
            <w:r>
              <w:rPr>
                <w:rFonts w:ascii="宋体" w:hAnsi="宋体" w:cs="微软雅黑" w:hint="eastAsia"/>
                <w:b/>
                <w:color w:val="0000FF"/>
                <w:kern w:val="0"/>
                <w:sz w:val="18"/>
                <w:szCs w:val="18"/>
              </w:rPr>
              <w:t>函。</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rPr>
              <w:t>5.1.3</w:t>
            </w:r>
          </w:p>
        </w:tc>
        <w:tc>
          <w:tcPr>
            <w:tcW w:w="7347" w:type="dxa"/>
            <w:vAlign w:val="center"/>
          </w:tcPr>
          <w:p>
            <w:pPr>
              <w:tabs>
                <w:tab w:val="left" w:pos="709"/>
              </w:tabs>
              <w:spacing w:line="360" w:lineRule="auto"/>
              <w:jc w:val="left"/>
              <w:rPr>
                <w:rFonts w:ascii="宋体" w:hAnsi="宋体" w:cs="微软雅黑"/>
                <w:b/>
                <w:color w:val="0000FF"/>
                <w:kern w:val="0"/>
                <w:sz w:val="20"/>
                <w:szCs w:val="20"/>
              </w:rPr>
            </w:pPr>
            <w:r>
              <w:rPr>
                <w:rFonts w:ascii="宋体" w:hAnsi="宋体" w:cs="微软雅黑" w:hint="eastAsia"/>
                <w:b/>
                <w:color w:val="0000FF"/>
                <w:kern w:val="0"/>
                <w:sz w:val="18"/>
                <w:szCs w:val="18"/>
              </w:rPr>
              <w:t>中标</w:t>
            </w:r>
            <w:r>
              <w:rPr>
                <w:rFonts w:ascii="宋体" w:hAnsi="宋体" w:cs="微软雅黑"/>
                <w:b/>
                <w:color w:val="0000FF"/>
                <w:kern w:val="0"/>
                <w:sz w:val="18"/>
                <w:szCs w:val="18"/>
              </w:rPr>
              <w:t>人</w:t>
            </w:r>
            <w:r>
              <w:rPr>
                <w:rFonts w:ascii="宋体" w:hAnsi="宋体" w:cs="微软雅黑" w:hint="eastAsia"/>
                <w:b/>
                <w:color w:val="0000FF"/>
                <w:kern w:val="0"/>
                <w:sz w:val="18"/>
                <w:szCs w:val="18"/>
              </w:rPr>
              <w:t>对所有设备免费提供自合同验收合格后3年质保(含设备维修、每季度一次维护及两年一次检定)。</w:t>
            </w:r>
          </w:p>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20"/>
                <w:szCs w:val="20"/>
              </w:rPr>
              <w:t>注</w:t>
            </w:r>
            <w:r>
              <w:rPr>
                <w:rFonts w:ascii="宋体" w:hAnsi="宋体" w:cs="微软雅黑"/>
                <w:b/>
                <w:color w:val="0000FF"/>
                <w:kern w:val="0"/>
                <w:sz w:val="20"/>
                <w:szCs w:val="20"/>
              </w:rPr>
              <w:t>：</w:t>
            </w:r>
            <w:r>
              <w:rPr>
                <w:rFonts w:ascii="宋体" w:hAnsi="宋体" w:cs="微软雅黑" w:hint="eastAsia"/>
                <w:b/>
                <w:color w:val="0000FF"/>
                <w:kern w:val="0"/>
                <w:sz w:val="20"/>
                <w:szCs w:val="20"/>
              </w:rPr>
              <w:t>需</w:t>
            </w:r>
            <w:r>
              <w:rPr>
                <w:rFonts w:ascii="宋体" w:hAnsi="宋体" w:cs="微软雅黑"/>
                <w:b/>
                <w:color w:val="0000FF"/>
                <w:kern w:val="0"/>
                <w:sz w:val="20"/>
                <w:szCs w:val="20"/>
              </w:rPr>
              <w:t>提</w:t>
            </w:r>
            <w:r>
              <w:rPr>
                <w:rFonts w:ascii="宋体" w:hAnsi="宋体" w:cs="微软雅黑"/>
                <w:b/>
                <w:color w:val="0000FF"/>
                <w:kern w:val="0"/>
                <w:sz w:val="18"/>
                <w:szCs w:val="18"/>
              </w:rPr>
              <w:t>供承诺</w:t>
            </w:r>
            <w:r>
              <w:rPr>
                <w:rFonts w:ascii="宋体" w:hAnsi="宋体" w:cs="微软雅黑" w:hint="eastAsia"/>
                <w:b/>
                <w:color w:val="0000FF"/>
                <w:kern w:val="0"/>
                <w:sz w:val="18"/>
                <w:szCs w:val="18"/>
              </w:rPr>
              <w:t>函。</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A4BE6">
      <w:pPr>
        <w:numPr>
          <w:ilvl w:val="0"/>
          <w:numId w:val="4"/>
        </w:numPr>
        <w:spacing w:line="360" w:lineRule="auto"/>
        <w:ind w:firstLine="3066" w:firstLineChars="1460"/>
        <w:jc w:val="left"/>
        <w:rPr>
          <w:b/>
          <w:bCs/>
          <w:szCs w:val="21"/>
        </w:rPr>
      </w:pPr>
      <w:bookmarkStart w:id="78" w:name="采购公告合同部分_ZBGGHT"/>
      <w:r>
        <w:rPr>
          <w:rFonts w:hint="eastAsia"/>
          <w:b/>
          <w:bCs/>
          <w:szCs w:val="21"/>
        </w:rPr>
        <w:t xml:space="preserve"> </w:t>
      </w:r>
      <w:r>
        <w:rPr>
          <w:rFonts w:hint="eastAsia"/>
          <w:b/>
          <w:bCs/>
          <w:szCs w:val="21"/>
        </w:rPr>
        <w:t>采购合同</w:t>
      </w:r>
    </w:p>
    <w:p w:rsidR="001A4BE6">
      <w:pPr>
        <w:spacing w:line="360" w:lineRule="auto"/>
        <w:ind w:left="1680" w:firstLine="420"/>
        <w:jc w:val="left"/>
        <w:rPr>
          <w:b/>
          <w:bCs/>
          <w:szCs w:val="21"/>
        </w:rPr>
      </w:pPr>
      <w:r>
        <w:rPr>
          <w:rFonts w:hint="eastAsia"/>
          <w:b/>
          <w:bCs/>
          <w:szCs w:val="21"/>
        </w:rPr>
        <w:t>必须明确合同金额支付条件及支付比例</w:t>
      </w:r>
    </w:p>
    <w:p w:rsidR="001A4BE6">
      <w:pPr>
        <w:pStyle w:val="BodyText"/>
        <w:spacing w:after="0"/>
        <w:jc w:val="center"/>
        <w:rPr>
          <w:rFonts w:ascii="宋体" w:hAnsi="宋体" w:cs="宋体"/>
          <w:b/>
          <w:bCs/>
          <w:spacing w:val="-20"/>
          <w:kern w:val="44"/>
          <w:sz w:val="48"/>
          <w:szCs w:val="48"/>
        </w:rPr>
      </w:pPr>
      <w:r>
        <w:rPr>
          <w:b/>
          <w:bCs/>
          <w:szCs w:val="21"/>
        </w:rPr>
        <w:br w:type="page"/>
      </w:r>
      <w:bookmarkStart w:id="79" w:name="_Toc3995"/>
    </w:p>
    <w:p w:rsidR="001A4BE6">
      <w:pPr>
        <w:pStyle w:val="BodyText"/>
        <w:spacing w:after="0"/>
        <w:jc w:val="center"/>
        <w:rPr>
          <w:rFonts w:ascii="宋体" w:hAnsi="宋体" w:cs="宋体"/>
          <w:b/>
          <w:bCs/>
          <w:spacing w:val="-20"/>
          <w:kern w:val="44"/>
          <w:sz w:val="48"/>
          <w:szCs w:val="48"/>
        </w:rPr>
      </w:pPr>
    </w:p>
    <w:p w:rsidR="001A4BE6">
      <w:pPr>
        <w:pStyle w:val="BodyText"/>
        <w:spacing w:after="0"/>
        <w:jc w:val="center"/>
        <w:rPr>
          <w:rFonts w:ascii="宋体" w:hAnsi="宋体" w:cs="宋体"/>
          <w:b/>
          <w:bCs/>
          <w:spacing w:val="-20"/>
          <w:kern w:val="44"/>
          <w:sz w:val="48"/>
          <w:szCs w:val="48"/>
        </w:rPr>
      </w:pPr>
    </w:p>
    <w:p w:rsidR="001A4BE6">
      <w:pPr>
        <w:pStyle w:val="BodyText"/>
        <w:spacing w:after="0"/>
        <w:jc w:val="center"/>
        <w:rPr>
          <w:rFonts w:ascii="宋体" w:hAnsi="宋体" w:cs="宋体"/>
          <w:b/>
          <w:bCs/>
          <w:spacing w:val="-20"/>
          <w:kern w:val="44"/>
          <w:sz w:val="48"/>
          <w:szCs w:val="48"/>
        </w:rPr>
      </w:pPr>
    </w:p>
    <w:p w:rsidR="001A4BE6">
      <w:pPr>
        <w:pStyle w:val="BodyText"/>
        <w:spacing w:after="0"/>
        <w:jc w:val="center"/>
        <w:rPr>
          <w:rFonts w:ascii="宋体" w:hAnsi="宋体" w:cs="宋体"/>
          <w:b/>
          <w:bCs/>
          <w:spacing w:val="-20"/>
          <w:kern w:val="44"/>
          <w:sz w:val="48"/>
          <w:szCs w:val="48"/>
        </w:rPr>
      </w:pPr>
    </w:p>
    <w:p w:rsidR="001A4BE6">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1A4BE6">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A4BE6">
      <w:pPr>
        <w:rPr>
          <w:rFonts w:ascii="宋体" w:hAnsi="宋体" w:cs="宋体"/>
          <w:b/>
          <w:bCs/>
          <w:spacing w:val="-20"/>
          <w:kern w:val="44"/>
          <w:sz w:val="40"/>
          <w:szCs w:val="40"/>
        </w:rPr>
      </w:pPr>
    </w:p>
    <w:p w:rsidR="001A4BE6">
      <w:pPr>
        <w:rPr>
          <w:rFonts w:ascii="宋体" w:hAnsi="宋体" w:cs="宋体"/>
          <w:b/>
          <w:bCs/>
          <w:spacing w:val="-20"/>
          <w:kern w:val="44"/>
          <w:sz w:val="40"/>
          <w:szCs w:val="40"/>
        </w:rPr>
      </w:pPr>
    </w:p>
    <w:p w:rsidR="001A4BE6">
      <w:pPr>
        <w:rPr>
          <w:rFonts w:ascii="宋体" w:hAnsi="宋体" w:cs="宋体"/>
          <w:b/>
          <w:bCs/>
          <w:spacing w:val="-20"/>
          <w:kern w:val="44"/>
          <w:sz w:val="40"/>
          <w:szCs w:val="40"/>
        </w:rPr>
      </w:pPr>
    </w:p>
    <w:p w:rsidR="001A4BE6">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A4BE6">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A4BE6">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1A4BE6">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A4BE6">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A4BE6"/>
    <w:p w:rsidR="001A4BE6">
      <w:pPr>
        <w:rPr>
          <w:rFonts w:eastAsia="黑体"/>
          <w:sz w:val="44"/>
          <w:szCs w:val="44"/>
        </w:rPr>
      </w:pPr>
      <w:r>
        <w:rPr>
          <w:rFonts w:eastAsia="黑体"/>
          <w:sz w:val="44"/>
          <w:szCs w:val="44"/>
        </w:rPr>
        <w:br w:type="page"/>
      </w:r>
    </w:p>
    <w:p w:rsidR="001A4BE6">
      <w:pPr>
        <w:rPr>
          <w:rFonts w:eastAsia="黑体"/>
          <w:sz w:val="44"/>
          <w:szCs w:val="44"/>
        </w:rPr>
      </w:pPr>
    </w:p>
    <w:p w:rsidR="001A4BE6">
      <w:pPr>
        <w:rPr>
          <w:rFonts w:eastAsia="黑体"/>
          <w:sz w:val="44"/>
          <w:szCs w:val="44"/>
        </w:rPr>
      </w:pPr>
    </w:p>
    <w:p w:rsidR="001A4BE6">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A4BE6">
      <w:pPr>
        <w:ind w:firstLine="640" w:firstLineChars="200"/>
        <w:rPr>
          <w:rFonts w:ascii="仿宋_GB2312" w:eastAsia="仿宋_GB2312" w:hAnsi="仿宋_GB2312" w:cs="仿宋_GB2312"/>
          <w:sz w:val="32"/>
          <w:szCs w:val="32"/>
        </w:rPr>
      </w:pPr>
    </w:p>
    <w:p w:rsidR="001A4BE6">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1A4BE6">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1A4BE6">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1A4BE6">
      <w:pPr>
        <w:rPr>
          <w:rFonts w:eastAsia="黑体"/>
          <w:sz w:val="44"/>
          <w:szCs w:val="44"/>
        </w:rPr>
        <w:sectPr>
          <w:pgSz w:w="11906" w:h="16838"/>
          <w:pgMar w:top="1440" w:right="1800" w:bottom="1440" w:left="1800" w:header="851" w:footer="992" w:gutter="0"/>
          <w:cols w:space="425"/>
          <w:docGrid w:type="lines" w:linePitch="312"/>
        </w:sectPr>
      </w:pPr>
    </w:p>
    <w:p w:rsidR="001A4BE6">
      <w:pPr>
        <w:pStyle w:val="Heading2"/>
        <w:numPr>
          <w:ilvl w:val="0"/>
          <w:numId w:val="0"/>
        </w:numPr>
        <w:adjustRightInd w:val="0"/>
        <w:snapToGrid w:val="0"/>
        <w:spacing w:line="400" w:lineRule="exact"/>
        <w:jc w:val="center"/>
        <w:rPr>
          <w:rFonts w:ascii="黑体" w:hAnsi="华文中宋"/>
          <w:b w:val="0"/>
          <w:bCs w:val="0"/>
          <w:sz w:val="28"/>
          <w:szCs w:val="28"/>
        </w:rPr>
      </w:pPr>
      <w:bookmarkStart w:id="80" w:name="_Toc22209"/>
      <w:bookmarkEnd w:id="7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80"/>
    </w:p>
    <w:p w:rsidR="001A4BE6">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1A4BE6">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1A4BE6">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1A4BE6">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A4BE6">
      <w:pPr>
        <w:spacing w:line="400" w:lineRule="exact"/>
      </w:pPr>
    </w:p>
    <w:p w:rsidR="001A4BE6">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1A4BE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1A4BE6">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1A4BE6">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1A4BE6">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A4BE6">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A4BE6">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1A4BE6">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A4BE6">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A4BE6">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1A4BE6">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A4BE6">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1A4BE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1A4BE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A4BE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A4BE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A4BE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1A4BE6">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1A4BE6">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A4BE6">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1A4BE6">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A4BE6">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A4BE6">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A4BE6">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A4BE6">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A4BE6">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1A4BE6">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1A4BE6">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1A4BE6">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1A4BE6">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1A4BE6">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1A4BE6">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1A4BE6">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A4BE6">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A4BE6">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1A4BE6">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1A4BE6">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A4BE6">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1A4BE6">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A4BE6">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A4BE6">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A4BE6">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1A4BE6">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A4BE6">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A4BE6">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A4BE6">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1A4BE6">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1A4BE6">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A4BE6">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A4BE6">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A4BE6">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1A4BE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1A4BE6">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A4BE6">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1A4BE6">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A4BE6">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1A4BE6">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1A4BE6">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1A4BE6">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1A4BE6">
      <w:pPr>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（应明确分期支付合同款项的各期比例和支付条件，各期支付条件应与分期履约验收情况挂钩） </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rsidR="00261986" w:rsidRPr="00261986" w:rsidP="00261986">
      <w:pPr>
        <w:snapToGrid w:val="0"/>
        <w:spacing w:line="400" w:lineRule="exact"/>
        <w:ind w:firstLine="630" w:firstLineChars="300"/>
        <w:rPr>
          <w:rFonts w:ascii="宋体" w:hAnsi="宋体"/>
          <w:szCs w:val="21"/>
          <w:highlight w:val="yellow"/>
        </w:rPr>
      </w:pPr>
      <w:bookmarkStart w:id="81" w:name="_Hlk202829706"/>
      <w:r>
        <w:rPr>
          <w:rFonts w:ascii="宋体" w:hAnsi="宋体"/>
          <w:szCs w:val="21"/>
          <w:highlight w:val="yellow"/>
        </w:rPr>
        <w:t>1</w:t>
      </w:r>
      <w:r w:rsidRPr="00261986">
        <w:rPr>
          <w:rFonts w:ascii="宋体" w:hAnsi="宋体" w:hint="eastAsia"/>
          <w:szCs w:val="21"/>
          <w:highlight w:val="yellow"/>
        </w:rPr>
        <w:t>、合同生效后付款：双方签署合同后10个工作日内，甲方向乙方支付合同总金额的30%，即人民币                  元（大写）：          元（小写）；</w:t>
      </w:r>
    </w:p>
    <w:p w:rsidR="00261986" w:rsidRPr="00261986" w:rsidP="00261986">
      <w:pPr>
        <w:snapToGrid w:val="0"/>
        <w:spacing w:line="400" w:lineRule="exact"/>
        <w:ind w:firstLine="630" w:firstLineChars="300"/>
        <w:rPr>
          <w:rFonts w:ascii="宋体" w:hAnsi="宋体"/>
          <w:szCs w:val="21"/>
          <w:highlight w:val="yellow"/>
        </w:rPr>
      </w:pPr>
      <w:r>
        <w:rPr>
          <w:rFonts w:ascii="宋体" w:hAnsi="宋体"/>
          <w:szCs w:val="21"/>
          <w:highlight w:val="yellow"/>
        </w:rPr>
        <w:t>2</w:t>
      </w:r>
      <w:r w:rsidRPr="00261986">
        <w:rPr>
          <w:rFonts w:ascii="宋体" w:hAnsi="宋体" w:hint="eastAsia"/>
          <w:szCs w:val="21"/>
          <w:highlight w:val="yellow"/>
        </w:rPr>
        <w:t>、出厂测试合格后付款：双方签署出厂测试验收报告后10个工作日内，甲方向乙方支付合同总金额的30 %，即人民币                  元（大写）：          元（小写）；</w:t>
      </w:r>
    </w:p>
    <w:p w:rsidR="00261986" w:rsidRPr="00261986" w:rsidP="00261986">
      <w:pPr>
        <w:snapToGrid w:val="0"/>
        <w:spacing w:line="400" w:lineRule="exact"/>
        <w:ind w:firstLine="630" w:firstLineChars="300"/>
        <w:rPr>
          <w:rFonts w:ascii="宋体" w:hAnsi="宋体"/>
          <w:szCs w:val="21"/>
          <w:highlight w:val="yellow"/>
        </w:rPr>
      </w:pPr>
      <w:r>
        <w:rPr>
          <w:rFonts w:ascii="宋体" w:hAnsi="宋体"/>
          <w:szCs w:val="21"/>
          <w:highlight w:val="yellow"/>
        </w:rPr>
        <w:t>3</w:t>
      </w:r>
      <w:r w:rsidRPr="00261986">
        <w:rPr>
          <w:rFonts w:ascii="宋体" w:hAnsi="宋体" w:hint="eastAsia"/>
          <w:szCs w:val="21"/>
          <w:highlight w:val="yellow"/>
        </w:rPr>
        <w:t xml:space="preserve">、到货、现场安装测试后付款：双方签署现场安装测试验收报告后10个工作日内，甲方向乙方支付合同总金额的20%，即人民币                  元（大写）：          元（小写）； </w:t>
      </w:r>
    </w:p>
    <w:p w:rsidR="00261986" w:rsidRPr="00261986" w:rsidP="00261986">
      <w:pPr>
        <w:snapToGrid w:val="0"/>
        <w:spacing w:line="400" w:lineRule="exact"/>
        <w:ind w:firstLine="630" w:firstLineChars="300"/>
        <w:rPr>
          <w:rFonts w:ascii="宋体" w:hAnsi="宋体"/>
          <w:szCs w:val="21"/>
        </w:rPr>
      </w:pPr>
      <w:r>
        <w:rPr>
          <w:rFonts w:ascii="宋体" w:hAnsi="宋体"/>
          <w:szCs w:val="21"/>
          <w:highlight w:val="yellow"/>
        </w:rPr>
        <w:t>4</w:t>
      </w:r>
      <w:r w:rsidRPr="00261986">
        <w:rPr>
          <w:rFonts w:ascii="宋体" w:hAnsi="宋体" w:hint="eastAsia"/>
          <w:szCs w:val="21"/>
          <w:highlight w:val="yellow"/>
        </w:rPr>
        <w:t>、</w:t>
      </w:r>
      <w:r w:rsidR="00903C2A">
        <w:rPr>
          <w:rFonts w:ascii="宋体" w:hAnsi="宋体" w:hint="eastAsia"/>
          <w:szCs w:val="21"/>
          <w:highlight w:val="yellow"/>
        </w:rPr>
        <w:t>合同</w:t>
      </w:r>
      <w:r w:rsidRPr="00261986">
        <w:rPr>
          <w:rFonts w:ascii="宋体" w:hAnsi="宋体" w:hint="eastAsia"/>
          <w:szCs w:val="21"/>
          <w:highlight w:val="yellow"/>
        </w:rPr>
        <w:t xml:space="preserve">验收通过后付款：业务验收通过后10个工作日内，甲方向乙方支付合同总金额的20%，即人民币          </w:t>
      </w:r>
      <w:r w:rsidRPr="00261986">
        <w:rPr>
          <w:rFonts w:ascii="宋体" w:hAnsi="宋体" w:hint="eastAsia"/>
          <w:szCs w:val="21"/>
          <w:highlight w:val="yellow"/>
        </w:rPr>
        <w:t xml:space="preserve">          元（大写）：          元（小写）。</w:t>
      </w:r>
      <w:bookmarkEnd w:id="81"/>
    </w:p>
    <w:p w:rsidR="001A4BE6">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1A4BE6">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A4BE6">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1A4BE6">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1A4BE6">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1A4BE6">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1A4BE6">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1A4BE6">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1A4BE6">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A4BE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1A4BE6">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1A4BE6">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1A4BE6">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A4BE6">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A4BE6">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A4BE6">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A4BE6">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A4BE6">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A4BE6">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1A4BE6">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1A4BE6">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1A4BE6">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1A4BE6">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1A4BE6">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1A4BE6">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1A4BE6">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1A4BE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1A4BE6">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1A4BE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A4BE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A4BE6">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A4BE6">
      <w:r>
        <w:rPr>
          <w:rFonts w:hint="eastAsia"/>
        </w:rPr>
        <w:br w:type="page"/>
      </w:r>
    </w:p>
    <w:p w:rsidR="001A4BE6">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A4BE6">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A4BE6">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法定代表人</w:t>
            </w:r>
          </w:p>
          <w:p w:rsidR="001A4BE6">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法定代表人</w:t>
            </w:r>
          </w:p>
          <w:p w:rsidR="001A4BE6">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1A4BE6">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A4BE6">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82" w:name="_Toc27624"/>
      <w:r>
        <w:rPr>
          <w:rFonts w:ascii="黑体" w:hAnsi="黑体" w:hint="eastAsia"/>
          <w:b w:val="0"/>
          <w:bCs w:val="0"/>
          <w:sz w:val="28"/>
          <w:szCs w:val="28"/>
        </w:rPr>
        <w:t>第二节 政府采购合同通用条款</w:t>
      </w:r>
      <w:bookmarkEnd w:id="82"/>
    </w:p>
    <w:p w:rsidR="001A4BE6">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A4BE6">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A4BE6">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1A4BE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A4BE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A4BE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1A4BE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A4BE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A4BE6">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1A4BE6">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A4BE6">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A4BE6">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A4BE6">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A4BE6">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A4BE6">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A4BE6">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A4BE6">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A4BE6">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1A4BE6">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A4BE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A4BE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1A4BE6">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1A4BE6">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1A4BE6">
      <w:pPr>
        <w:pStyle w:val="PlainText"/>
        <w:adjustRightInd w:val="0"/>
        <w:snapToGrid w:val="0"/>
        <w:spacing w:line="400" w:lineRule="exact"/>
        <w:ind w:firstLine="420" w:firstLineChars="200"/>
        <w:jc w:val="left"/>
        <w:rPr>
          <w:rFonts w:hAnsi="宋体"/>
          <w:b/>
        </w:rPr>
      </w:pPr>
      <w:r>
        <w:rPr>
          <w:rFonts w:hAnsi="宋体" w:hint="eastAsia"/>
        </w:rPr>
        <w:t>8.1 质量标准</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A4BE6">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A4BE6">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1A4BE6">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1A4BE6">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8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83"/>
      <w:r>
        <w:rPr>
          <w:rFonts w:ascii="宋体" w:hAnsi="宋体" w:hint="eastAsia"/>
          <w:szCs w:val="21"/>
        </w:rPr>
        <w:t>。</w:t>
      </w:r>
    </w:p>
    <w:p w:rsidR="001A4BE6">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1A4BE6">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1A4BE6">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1A4BE6">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1A4BE6">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1A4BE6">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A4BE6">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A4BE6">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1A4BE6">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1A4BE6">
      <w:pPr>
        <w:adjustRightInd w:val="0"/>
        <w:snapToGrid w:val="0"/>
        <w:spacing w:line="400" w:lineRule="exact"/>
        <w:jc w:val="left"/>
        <w:rPr>
          <w:rFonts w:ascii="宋体" w:hAnsi="宋体"/>
          <w:b/>
          <w:bCs/>
        </w:rPr>
      </w:pPr>
      <w:r>
        <w:rPr>
          <w:rFonts w:ascii="宋体" w:hAnsi="宋体" w:hint="eastAsia"/>
          <w:b/>
          <w:bCs/>
          <w:sz w:val="24"/>
        </w:rPr>
        <w:t>15. 违约责任</w:t>
      </w:r>
    </w:p>
    <w:p w:rsidR="001A4BE6">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A4BE6">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A4BE6">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A4BE6">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1A4BE6">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1A4BE6">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1A4BE6">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1A4BE6">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A4BE6">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A4BE6">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A4BE6">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1A4BE6">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1A4BE6">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1A4BE6">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1A4BE6">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A4BE6">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1A4BE6">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A4BE6">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1A4BE6">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1A4BE6">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1A4BE6">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1A4BE6">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1A4BE6">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1A4BE6">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1A4BE6">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1A4BE6">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1A4BE6">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84" w:name="_Toc20313"/>
    </w:p>
    <w:p w:rsidR="001A4BE6">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A4BE6">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8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snapToGrid w:val="0"/>
              <w:jc w:val="center"/>
            </w:pPr>
            <w:r>
              <w:rPr>
                <w:rFonts w:ascii="宋体" w:hAnsi="宋体" w:hint="eastAsia"/>
                <w:szCs w:val="21"/>
              </w:rPr>
              <w:t>第5.4款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snapToGrid w:val="0"/>
              <w:jc w:val="center"/>
              <w:rPr>
                <w:rFonts w:ascii="宋体" w:hAnsi="宋体"/>
                <w:szCs w:val="21"/>
              </w:rPr>
            </w:pPr>
            <w:r>
              <w:rPr>
                <w:rFonts w:ascii="宋体" w:hAnsi="宋体" w:hint="eastAsia"/>
                <w:szCs w:val="21"/>
              </w:rPr>
              <w:t>第6.1款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1A4BE6"/>
        </w:tc>
      </w:tr>
      <w:tr>
        <w:tblPrEx>
          <w:tblW w:w="8519" w:type="dxa"/>
          <w:tblInd w:w="108" w:type="dxa"/>
          <w:tblLayout w:type="fixed"/>
          <w:tblLook w:val="04A0"/>
        </w:tblPrEx>
        <w:trPr>
          <w:trHeight w:val="667"/>
        </w:trPr>
        <w:tc>
          <w:tcPr>
            <w:tcW w:w="1607" w:type="dxa"/>
            <w:vMerge/>
            <w:vAlign w:val="center"/>
          </w:tcPr>
          <w:p w:rsidR="001A4BE6">
            <w:pPr>
              <w:adjustRightInd w:val="0"/>
              <w:snapToGrid w:val="0"/>
              <w:jc w:val="center"/>
              <w:rPr>
                <w:rFonts w:ascii="宋体" w:hAnsi="宋体"/>
                <w:szCs w:val="21"/>
              </w:rPr>
            </w:pPr>
          </w:p>
        </w:tc>
        <w:tc>
          <w:tcPr>
            <w:tcW w:w="1742" w:type="dxa"/>
            <w:vAlign w:val="center"/>
          </w:tcPr>
          <w:p w:rsidR="001A4BE6">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1A4BE6"/>
        </w:tc>
      </w:tr>
      <w:tr>
        <w:tblPrEx>
          <w:tblW w:w="8519" w:type="dxa"/>
          <w:tblInd w:w="108" w:type="dxa"/>
          <w:tblLayout w:type="fixed"/>
          <w:tblLook w:val="04A0"/>
        </w:tblPrEx>
        <w:trPr>
          <w:trHeight w:val="772"/>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1A4BE6"/>
        </w:tc>
      </w:tr>
      <w:tr>
        <w:tblPrEx>
          <w:tblW w:w="8519" w:type="dxa"/>
          <w:tblInd w:w="108" w:type="dxa"/>
          <w:tblLayout w:type="fixed"/>
          <w:tblLook w:val="04A0"/>
        </w:tblPrEx>
        <w:trPr>
          <w:trHeight w:val="667"/>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1A4BE6"/>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1A4BE6">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货物质量缺陷</w:t>
            </w:r>
          </w:p>
          <w:p w:rsidR="001A4BE6">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snapToGrid w:val="0"/>
              <w:jc w:val="center"/>
              <w:rPr>
                <w:rFonts w:ascii="宋体" w:hAnsi="宋体" w:cs="宋体"/>
                <w:szCs w:val="21"/>
              </w:rPr>
            </w:pPr>
            <w:r>
              <w:rPr>
                <w:rFonts w:ascii="宋体" w:hAnsi="宋体" w:cs="宋体" w:hint="eastAsia"/>
                <w:szCs w:val="21"/>
              </w:rPr>
              <w:t>第二节</w:t>
            </w:r>
          </w:p>
          <w:p w:rsidR="001A4BE6">
            <w:pPr>
              <w:pStyle w:val="AONormal"/>
              <w:ind w:firstLine="0" w:firstLineChars="0"/>
              <w:jc w:val="center"/>
            </w:pPr>
            <w:r>
              <w:rPr>
                <w:rFonts w:ascii="宋体" w:eastAsia="宋体" w:hAnsi="宋体" w:cs="宋体" w:hint="eastAsia"/>
              </w:rPr>
              <w:t>第11.1款</w:t>
            </w:r>
          </w:p>
        </w:tc>
        <w:tc>
          <w:tcPr>
            <w:tcW w:w="1742" w:type="dxa"/>
            <w:vAlign w:val="center"/>
          </w:tcPr>
          <w:p w:rsidR="001A4BE6">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1A4BE6">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1A4BE6">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1A4BE6">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A4BE6">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1A4BE6">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A4BE6">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A4BE6">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A4BE6">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1A4BE6">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1A4BE6">
            <w:pPr>
              <w:adjustRightInd w:val="0"/>
              <w:snapToGrid w:val="0"/>
              <w:jc w:val="left"/>
              <w:rPr>
                <w:rFonts w:ascii="宋体" w:hAnsi="宋体"/>
                <w:szCs w:val="21"/>
              </w:rPr>
            </w:pPr>
          </w:p>
        </w:tc>
      </w:tr>
    </w:tbl>
    <w:p w:rsidR="001A4BE6"/>
    <w:p w:rsidR="001A4BE6">
      <w:pPr>
        <w:rPr>
          <w:b/>
          <w:bCs/>
          <w:sz w:val="44"/>
          <w:szCs w:val="44"/>
        </w:rPr>
      </w:pPr>
    </w:p>
    <w:p w:rsidR="001A4BE6"/>
    <w:p w:rsidR="00A77B3E"/>
    <w:p w:rsidR="001A4BE6">
      <w:pPr>
        <w:numPr>
          <w:ilvl w:val="0"/>
          <w:numId w:val="4"/>
        </w:numPr>
        <w:spacing w:line="360" w:lineRule="auto"/>
        <w:ind w:firstLine="3066" w:firstLineChars="1460"/>
        <w:jc w:val="left"/>
        <w:rPr>
          <w:b/>
          <w:bCs/>
          <w:szCs w:val="21"/>
        </w:rPr>
      </w:pPr>
      <w:bookmarkEnd w:id="78"/>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4BE6"/>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1986"/>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3C2A"/>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