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国家突发公共事件预警信息发布管理平台优化及维保服务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国家突发公共事件预警信息发布管理平台优化及维保服务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合同签订之日起一年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2025年09月22日 00:00:00</w:t>
      </w:r>
      <w:bookmarkEnd w:id="26"/>
      <w:r>
        <w:rPr>
          <w:rFonts w:ascii="宋体" w:hint="eastAsia"/>
          <w:szCs w:val="21"/>
          <w:highlight w:val="none"/>
        </w:rPr>
        <w:t>至</w:t>
      </w:r>
      <w:bookmarkStart w:id="27" w:name="项目公告_signUpLastTime"/>
      <w:r>
        <w:rPr>
          <w:rFonts w:ascii="宋体" w:hint="eastAsia"/>
          <w:szCs w:val="21"/>
          <w:highlight w:val="none"/>
        </w:rPr>
        <w:t>2025年09月29日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北京市海淀区中关村南大街46号中国气象局北区8号楼2层小会议室（科技大楼前草坪西侧）组织“线上开标”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马强</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010-68409173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（1）标的：软硬件维保等    ，属于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是，代理服务费：2.2万元。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190.000000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190.000000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4"/>
        <w:gridCol w:w="367"/>
        <w:gridCol w:w="1155"/>
        <w:gridCol w:w="367"/>
        <w:gridCol w:w="68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 ISO9000系列或GJB9001B质量管理体系认证；</w:t>
              <w:cr/>
              <w:t>2、投标人具有ISO20000信息技术服务管理体系认证；</w:t>
              <w:cr/>
              <w:t>3、投标人具有ISO27001信息安全管理体系认证；</w:t>
              <w:cr/>
              <w:t>每提供1个得2分，最高得6分。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区间打分</w:t>
            </w:r>
            <w:r>
              <w:t>(11)</w:t>
            </w:r>
          </w:p>
        </w:tc>
        <w:tc>
          <w:tcPr/>
          <w:p>
            <w:r>
              <w:t>评审标准：</w:t>
            </w:r>
          </w:p>
          <w:p>
            <w:r>
              <w:t>投标人应组成本项目服务团队，团队组织结构清晰，应设服务团队负责人（项目经理），人员专业背景齐全。具体如下：</w:t>
              <w:cr/>
              <w:t>1、投标人承诺为本项目组成不少于4人的服务团队，其中驻场人员不少于3人且自行承担驻场费用的，得4分。提供承诺函的</w:t>
              <w:cr/>
              <w:t>2、投标人承诺为本项目拟派的服务团队负责人（项目经理）具有信息系统项目管理师（高级）证书，且具有同类项目工作经验3年以上的得3分；</w:t>
              <w:cr/>
              <w:t>3、除服务团队负责人（项目经理）之外，投标人承诺为本项目拟派的团队成员中每有1名具有信息系统项目管理师（高级）证书的得1分，最多得2分；</w:t>
              <w:cr/>
              <w:t>4、除服务团队负责人（项目经理）之外，投标人承诺为本项目拟派的团队成员中每有1名具有系统集成项目管理工程师（中级或以上）证书的得1分，最多得2分。</w:t>
              <w:cr/>
            </w:r>
          </w:p>
          <w:p>
            <w:r>
              <w:t>评审标准说明：</w:t>
            </w:r>
          </w:p>
          <w:p>
            <w:r>
              <w:t>1.须提供承诺函，并加盖投标人公章。</w:t>
              <w:cr/>
              <w:t>2.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三档3分</w:t>
            </w:r>
          </w:p>
          <w:p>
            <w:r>
              <w:t>评审标准说明：</w:t>
            </w:r>
          </w:p>
          <w:p>
            <w:r>
              <w:t>提供质量保障与实施方案，提出合理的项目全过程质量保证措施，过程检查有明确依据，质量保证工作量化。</w:t>
              <w:cr/>
              <w:t>一档：未提供方案，或方案不完整，无针对性，合理性、可行性差；</w:t>
              <w:cr/>
              <w:t>二档：方案内容较完整，但详细程度一般，进度控制保证措施针对性、合理性、可行性一般。</w:t>
              <w:cr/>
              <w:t>三档：方案内容完整详实，项目组织机构清晰，进度控制保证措施针对性强，切实可行。</w:t>
            </w:r>
          </w:p>
          <w:p/>
        </w:tc>
      </w:tr>
      <w:tr>
        <w:tblPrEx>
          <w:tblW w:w="5000" w:type="pct"/>
          <w:tblCellMar>
            <w:left w:w="108" w:type="dxa"/>
            <w:right w:w="108" w:type="dxa"/>
          </w:tblCellMar>
        </w:tblPrEx>
        <w:tc>
          <w:tcPr/>
          <w:p>
            <w:r>
              <w:t>6</w:t>
            </w:r>
          </w:p>
        </w:tc>
        <w:tc>
          <w:tcPr>
            <w:vMerge/>
          </w:tcPr>
          <w:p>
            <w:r>
              <w:t>服务部分</w:t>
            </w:r>
          </w:p>
        </w:tc>
        <w:tc>
          <w:tcPr/>
          <w:p>
            <w:r>
              <w:t>总体服务方案</w:t>
            </w:r>
          </w:p>
        </w:tc>
        <w:tc>
          <w:tcPr/>
          <w:p>
            <w:r>
              <w:t>勾选打分</w:t>
            </w:r>
            <w:r>
              <w:t>(3)</w:t>
            </w:r>
          </w:p>
        </w:tc>
        <w:tc>
          <w:tcPr/>
          <w:p>
            <w:r>
              <w:t>评审标准：</w:t>
            </w:r>
          </w:p>
          <w:p>
            <w:r>
              <w:t>一档0分</w:t>
              <w:cr/>
              <w:t>二档1分</w:t>
              <w:cr/>
              <w:t>三档3分</w:t>
            </w:r>
          </w:p>
          <w:p>
            <w:r>
              <w:t>评审标准说明：</w:t>
            </w:r>
          </w:p>
          <w:p>
            <w:r>
              <w:t>根据投标人提供总体服务方案进行评分。具体评分标准如下：</w:t>
              <w:cr/>
              <w:t>一档：未提供方案或方案不完整，无针对性。</w:t>
              <w:cr/>
              <w:t>二档：方案较完整但比较简单，依据招标人提供的服务标准约束条件，提出的服务方法和服务措施合理性、可行性、针对性一般，基本满足招标文件需求。</w:t>
              <w:cr/>
              <w:t>三档：方案完整详细，依据招标人提供的服务标准约束条件，提出合理切实可行的服务方法和服务措施，针对性强，完全满足招标文件需求。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7</w:t>
            </w:r>
          </w:p>
        </w:tc>
        <w:tc>
          <w:tcPr>
            <w:vMerge/>
          </w:tcPr>
          <w:p>
            <w:r>
              <w:t>服务部分</w:t>
            </w:r>
          </w:p>
        </w:tc>
        <w:tc>
          <w:tcPr/>
          <w:p>
            <w:r>
              <w:t>具体服务方案（主观分）</w:t>
            </w:r>
          </w:p>
        </w:tc>
        <w:tc>
          <w:tcPr/>
          <w:p>
            <w:r>
              <w:t>区间打分</w:t>
            </w:r>
            <w:r>
              <w:t>(28)</w:t>
            </w:r>
          </w:p>
        </w:tc>
        <w:tc>
          <w:tcPr/>
          <w:p>
            <w:r>
              <w:t>评审标准：</w:t>
            </w:r>
          </w:p>
          <w:p>
            <w:r>
              <w:t>针对以下每项服务内容提交具体服务方案：</w:t>
              <w:cr/>
              <w:t>1、应用软件驻场支持服务方案</w:t>
              <w:cr/>
              <w:t>2、应用软件非工作日驻场支持服务方案</w:t>
              <w:cr/>
              <w:t>3、应用软件运维保障服务方案</w:t>
              <w:cr/>
              <w:t>4、应用软件巡检服务方案</w:t>
              <w:cr/>
              <w:t>5、系统软件驻场服务方案</w:t>
              <w:cr/>
              <w:t>6、系统软件远程服务方案</w:t>
              <w:cr/>
              <w:t>7、系统软件非工作时间现场服务方案</w:t>
              <w:cr/>
              <w:t>8、系统软件巡检服务方案</w:t>
              <w:cr/>
              <w:t>9、硬件驻场服务方案</w:t>
              <w:cr/>
              <w:t>10、硬件非工作日服务方案</w:t>
              <w:cr/>
              <w:t>11、基础设施资源集中管理服务方案</w:t>
              <w:cr/>
              <w:t>12、培训方案</w:t>
              <w:cr/>
              <w:t>13、安全等保加固技术方案</w:t>
              <w:cr/>
              <w:t>14、平台bug修复方案</w:t>
              <w:cr/>
              <w:t>以上每项服务内容：</w:t>
              <w:cr/>
              <w:t>一档0分</w:t>
              <w:cr/>
              <w:t>二档1分</w:t>
              <w:cr/>
              <w:t>三档2分</w:t>
              <w:cr/>
              <w:t>以上共计14项服务内容，满分28分。</w:t>
            </w:r>
          </w:p>
          <w:p>
            <w:r>
              <w:t>评审标准说明：</w:t>
            </w:r>
          </w:p>
          <w:p>
            <w:r>
              <w:t>根据投标人提供具体服务方案进行评分。具体评分标准如下：</w:t>
              <w:cr/>
              <w:t>一档：未提供方案或方案不完整，无针对性。</w:t>
              <w:cr/>
              <w:t>二档：方案简单，基本合理，针对性一般，基本满足招标文件要求。</w:t>
              <w:cr/>
              <w:t>三档：方案详细具体合理，针对性强，完全满足招标文件要求。</w:t>
            </w:r>
          </w:p>
          <w:p/>
        </w:tc>
      </w:tr>
      <w:tr>
        <w:tblPrEx>
          <w:tblW w:w="5000" w:type="pct"/>
          <w:tblCellMar>
            <w:left w:w="108" w:type="dxa"/>
            <w:right w:w="108" w:type="dxa"/>
          </w:tblCellMar>
        </w:tblPrEx>
        <w:tc>
          <w:tcPr/>
          <w:p>
            <w:r>
              <w:t>8</w:t>
            </w:r>
          </w:p>
        </w:tc>
        <w:tc>
          <w:tcPr>
            <w:vMerge/>
          </w:tcPr>
          <w:p>
            <w:r>
              <w:t>服务部分</w:t>
            </w:r>
          </w:p>
        </w:tc>
        <w:tc>
          <w:tcPr/>
          <w:p>
            <w:r>
              <w:t>具体服务指标（客观分）</w:t>
            </w:r>
          </w:p>
        </w:tc>
        <w:tc>
          <w:tcPr/>
          <w:p>
            <w:r>
              <w:t>勾选打分</w:t>
            </w:r>
            <w:r>
              <w:t>(25)</w:t>
            </w:r>
          </w:p>
        </w:tc>
        <w:tc>
          <w:tcPr/>
          <w:p>
            <w:r>
              <w:t>评审标准：</w:t>
            </w:r>
          </w:p>
          <w:p>
            <w:r>
              <w:t>1、承诺系统巡检及维护次数≥2次/日，得5分；</w:t>
              <w:cr/>
              <w:t>2、承诺应用软件及系统软件运维培训次数≥1次，得5分；</w:t>
              <w:cr/>
              <w:t>3、承诺系统一般故障处理时效≤20分钟，得5分；</w:t>
              <w:cr/>
              <w:t>4、承诺用户投诉次数≤10次，得5分；</w:t>
              <w:cr/>
              <w:t>5、承诺影响业务运行的安全责任事故次数≤1次，得5分；</w:t>
            </w:r>
          </w:p>
          <w:p>
            <w:r>
              <w:t>评审标准说明：</w:t>
            </w:r>
          </w:p>
          <w:p>
            <w:r>
              <w:t>需提供实现服务指标及其保障措施的承诺函，以及投标人提供业绩合同执行后用户方出具的包括实现同类服务指标的运维服务绩效评估报告等佐证材料，并加盖投标人公章。</w:t>
            </w:r>
          </w:p>
          <w:p/>
        </w:tc>
      </w:tr>
      <w:tr>
        <w:tblPrEx>
          <w:tblW w:w="5000" w:type="pct"/>
          <w:tblCellMar>
            <w:left w:w="108" w:type="dxa"/>
            <w:right w:w="108" w:type="dxa"/>
          </w:tblCellMar>
        </w:tblPrEx>
        <w:tc>
          <w:tcPr/>
          <w:p>
            <w:r>
              <w:t>9</w:t>
            </w:r>
          </w:p>
        </w:tc>
        <w:tc>
          <w:tcPr>
            <w:vMerge/>
          </w:tcPr>
          <w:p>
            <w:r>
              <w:t>服务部分</w:t>
            </w:r>
          </w:p>
        </w:tc>
        <w:tc>
          <w:tcPr/>
          <w:p>
            <w:r>
              <w:t>风险管理方案（主观分）</w:t>
            </w:r>
          </w:p>
        </w:tc>
        <w:tc>
          <w:tcPr/>
          <w:p>
            <w:r>
              <w:t>勾选打分</w:t>
            </w:r>
            <w:r>
              <w:t>(1)</w:t>
            </w:r>
          </w:p>
        </w:tc>
        <w:tc>
          <w:tcPr/>
          <w:p>
            <w:r>
              <w:t>评审标准：</w:t>
            </w:r>
          </w:p>
          <w:p>
            <w:r>
              <w:t>一档0分</w:t>
              <w:cr/>
              <w:t>二档0.5分</w:t>
              <w:cr/>
              <w:t>三档1分</w:t>
            </w:r>
          </w:p>
          <w:p>
            <w:r>
              <w:t>评审标准说明：</w:t>
            </w:r>
          </w:p>
          <w:p>
            <w:r>
              <w:t>针对项目实施过程中，因国家政策、实施环境、重大技术等发生变化可能带来的项目实施风险，拟定风险管控方案。</w:t>
              <w:cr/>
              <w:t>一档：未提供方案或方案简单，无针对性。</w:t>
              <w:cr/>
              <w:t>二档：方案内容不全，详细程度一般，措施针对性可行性一般。</w:t>
              <w:cr/>
              <w:t>三档：方案内容全面、详细合理、措施针对性强，切实可行。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rsidR="003A028D">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4B37EC" w:rsidP="004B37EC">
      <w:pPr>
        <w:pStyle w:val="10"/>
        <w:tabs>
          <w:tab w:val="left" w:pos="709"/>
          <w:tab w:val="left" w:pos="1573"/>
        </w:tabs>
        <w:adjustRightInd w:val="0"/>
        <w:snapToGrid w:val="0"/>
        <w:spacing w:line="360" w:lineRule="auto"/>
        <w:ind w:left="210" w:firstLine="210" w:leftChars="100" w:firstLineChars="100"/>
        <w:outlineLvl w:val="2"/>
        <w:rPr>
          <w:b/>
          <w:szCs w:val="44"/>
        </w:rPr>
      </w:pPr>
      <w:r>
        <w:rPr>
          <w:b/>
          <w:szCs w:val="44"/>
        </w:rPr>
        <w:t>一</w:t>
      </w:r>
      <w:r>
        <w:rPr>
          <w:rFonts w:hint="eastAsia"/>
          <w:b/>
          <w:szCs w:val="44"/>
        </w:rPr>
        <w:t>. 项目背景</w:t>
      </w:r>
    </w:p>
    <w:p w:rsidR="004B37EC" w:rsidP="004B37EC">
      <w:pPr>
        <w:snapToGrid w:val="0"/>
        <w:spacing w:line="360" w:lineRule="auto"/>
        <w:ind w:firstLine="420"/>
        <w:rPr>
          <w:rFonts w:ascii="宋体" w:hAnsi="宋体"/>
          <w:szCs w:val="21"/>
        </w:rPr>
      </w:pPr>
      <w:r>
        <w:rPr>
          <w:rFonts w:ascii="宋体" w:hAnsi="宋体" w:hint="eastAsia"/>
          <w:szCs w:val="21"/>
        </w:rPr>
        <w:t>本次项目招标是对国家突</w:t>
      </w:r>
      <w:r>
        <w:rPr>
          <w:rFonts w:ascii="Times New Roman" w:hAnsi="Times New Roman"/>
          <w:szCs w:val="21"/>
        </w:rPr>
        <w:t>发公共事件预警信息发布管理平台提供硬件设备（含服务器、存储、网络、安全等）、系统软件（含</w:t>
      </w:r>
      <w:r>
        <w:rPr>
          <w:rFonts w:ascii="Times New Roman" w:hAnsi="Times New Roman"/>
          <w:szCs w:val="21"/>
        </w:rPr>
        <w:t>Linux</w:t>
      </w:r>
      <w:r>
        <w:rPr>
          <w:rFonts w:ascii="Times New Roman" w:hAnsi="Times New Roman"/>
          <w:szCs w:val="21"/>
        </w:rPr>
        <w:t>操作系统、</w:t>
      </w:r>
      <w:r>
        <w:rPr>
          <w:rFonts w:ascii="Times New Roman" w:hAnsi="Times New Roman"/>
          <w:szCs w:val="21"/>
        </w:rPr>
        <w:t>HA</w:t>
      </w:r>
      <w:r>
        <w:rPr>
          <w:rFonts w:ascii="Times New Roman" w:hAnsi="Times New Roman"/>
          <w:szCs w:val="21"/>
        </w:rPr>
        <w:t>双机高可用软件、</w:t>
      </w:r>
      <w:r>
        <w:rPr>
          <w:rFonts w:ascii="Times New Roman" w:hAnsi="Times New Roman"/>
          <w:szCs w:val="21"/>
        </w:rPr>
        <w:t>MySQL</w:t>
      </w:r>
      <w:r>
        <w:rPr>
          <w:rFonts w:ascii="Times New Roman" w:hAnsi="Times New Roman"/>
          <w:szCs w:val="21"/>
        </w:rPr>
        <w:t>数据库和</w:t>
      </w:r>
      <w:r>
        <w:rPr>
          <w:rFonts w:ascii="Times New Roman" w:hAnsi="Times New Roman"/>
          <w:szCs w:val="21"/>
        </w:rPr>
        <w:t>TongLink</w:t>
      </w:r>
      <w:r>
        <w:rPr>
          <w:rFonts w:ascii="Times New Roman" w:hAnsi="Times New Roman"/>
          <w:szCs w:val="21"/>
        </w:rPr>
        <w:t>/Q</w:t>
      </w:r>
      <w:r>
        <w:rPr>
          <w:rFonts w:ascii="Times New Roman" w:hAnsi="Times New Roman"/>
          <w:szCs w:val="21"/>
        </w:rPr>
        <w:t>消息中间件等）及</w:t>
      </w:r>
      <w:r>
        <w:rPr>
          <w:rFonts w:hint="eastAsia"/>
          <w:szCs w:val="21"/>
        </w:rPr>
        <w:t>应用软件等的</w:t>
      </w:r>
      <w:r>
        <w:rPr>
          <w:rFonts w:ascii="宋体" w:hAnsi="宋体" w:hint="eastAsia"/>
          <w:szCs w:val="21"/>
        </w:rPr>
        <w:t>技术服务和运</w:t>
      </w:r>
      <w:r>
        <w:rPr>
          <w:rFonts w:ascii="宋体" w:hAnsi="宋体" w:hint="eastAsia"/>
          <w:szCs w:val="21"/>
        </w:rPr>
        <w:t>维保障</w:t>
      </w:r>
      <w:r>
        <w:rPr>
          <w:rFonts w:ascii="宋体" w:hAnsi="宋体" w:hint="eastAsia"/>
          <w:szCs w:val="21"/>
        </w:rPr>
        <w:t>服务。</w:t>
      </w: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二. 建设及服务内容</w:t>
      </w:r>
    </w:p>
    <w:p w:rsidR="004B37EC" w:rsidP="004B37EC">
      <w:pPr>
        <w:snapToGrid w:val="0"/>
        <w:spacing w:line="360" w:lineRule="auto"/>
        <w:ind w:firstLine="420"/>
        <w:jc w:val="left"/>
        <w:rPr>
          <w:rFonts w:ascii="宋体" w:hAnsi="宋体"/>
          <w:b/>
          <w:szCs w:val="21"/>
        </w:rPr>
      </w:pPr>
      <w:r>
        <w:rPr>
          <w:rFonts w:ascii="宋体" w:hAnsi="宋体" w:hint="eastAsia"/>
          <w:b/>
          <w:szCs w:val="21"/>
        </w:rPr>
        <w:t>1. 国家突发公共事件预警信息发布管理平台硬件</w:t>
      </w:r>
      <w:r>
        <w:rPr>
          <w:rFonts w:ascii="宋体" w:hAnsi="宋体" w:hint="eastAsia"/>
          <w:b/>
          <w:szCs w:val="21"/>
        </w:rPr>
        <w:t>设备维保服务</w:t>
      </w:r>
    </w:p>
    <w:p w:rsidR="004B37EC" w:rsidP="004B37EC">
      <w:pPr>
        <w:snapToGrid w:val="0"/>
        <w:spacing w:line="360" w:lineRule="auto"/>
        <w:ind w:firstLine="420"/>
        <w:jc w:val="left"/>
        <w:rPr>
          <w:rFonts w:ascii="宋体" w:hAnsi="宋体"/>
          <w:szCs w:val="21"/>
        </w:rPr>
      </w:pPr>
      <w:r>
        <w:rPr>
          <w:rFonts w:ascii="宋体" w:hAnsi="宋体" w:hint="eastAsia"/>
          <w:szCs w:val="21"/>
        </w:rPr>
        <w:t>（1）工作时间</w:t>
      </w:r>
      <w:r>
        <w:rPr>
          <w:rFonts w:ascii="宋体" w:hAnsi="宋体" w:hint="eastAsia"/>
          <w:szCs w:val="21"/>
        </w:rPr>
        <w:t>驻场维保服务</w:t>
      </w:r>
    </w:p>
    <w:p w:rsidR="004B37EC" w:rsidP="004B37EC">
      <w:pPr>
        <w:snapToGrid w:val="0"/>
        <w:spacing w:line="360" w:lineRule="auto"/>
        <w:ind w:firstLine="420"/>
        <w:rPr>
          <w:rFonts w:ascii="宋体" w:hAnsi="宋体"/>
          <w:szCs w:val="21"/>
        </w:rPr>
      </w:pPr>
      <w:r>
        <w:rPr>
          <w:rFonts w:ascii="宋体" w:hAnsi="宋体" w:hint="eastAsia"/>
          <w:szCs w:val="21"/>
        </w:rPr>
        <w:t>需提供1名公司技术人员在国家级驻场，驻场地址为国家气象信息中心，工作时间为5×8小时，每天对国家级硬件进行</w:t>
      </w:r>
      <w:r w:rsidR="002D714A">
        <w:rPr>
          <w:rFonts w:ascii="宋体" w:hAnsi="宋体" w:hint="eastAsia"/>
          <w:szCs w:val="21"/>
        </w:rPr>
        <w:t>2</w:t>
      </w:r>
      <w:r>
        <w:rPr>
          <w:rFonts w:ascii="宋体" w:hAnsi="宋体" w:hint="eastAsia"/>
          <w:szCs w:val="21"/>
        </w:rPr>
        <w:t>次</w:t>
      </w:r>
      <w:r w:rsidR="002D714A">
        <w:rPr>
          <w:rFonts w:ascii="宋体" w:hAnsi="宋体" w:hint="eastAsia"/>
          <w:szCs w:val="21"/>
        </w:rPr>
        <w:t>以上的</w:t>
      </w:r>
      <w:r>
        <w:rPr>
          <w:rFonts w:ascii="宋体" w:hAnsi="宋体" w:hint="eastAsia"/>
          <w:szCs w:val="21"/>
        </w:rPr>
        <w:t>巡检，对巡检过程中发现的问题和隐患采取措施进行修复、优化调整、更换，做好记录，对工作时间发生的硬件设备故障及时进行故障详查及维修。</w:t>
      </w:r>
    </w:p>
    <w:p w:rsidR="004B37EC" w:rsidP="004B37EC">
      <w:pPr>
        <w:snapToGrid w:val="0"/>
        <w:spacing w:line="360" w:lineRule="auto"/>
        <w:ind w:firstLine="420"/>
        <w:jc w:val="left"/>
        <w:rPr>
          <w:rFonts w:ascii="宋体" w:hAnsi="宋体"/>
          <w:szCs w:val="21"/>
        </w:rPr>
      </w:pPr>
      <w:r>
        <w:rPr>
          <w:rFonts w:ascii="宋体" w:hAnsi="宋体" w:hint="eastAsia"/>
          <w:szCs w:val="21"/>
        </w:rPr>
        <w:t>（2）非工作时间电话支持和故障处理服务</w:t>
      </w:r>
    </w:p>
    <w:p w:rsidR="004B37EC" w:rsidP="004B37EC">
      <w:pPr>
        <w:snapToGrid w:val="0"/>
        <w:spacing w:line="360" w:lineRule="auto"/>
        <w:ind w:firstLine="420"/>
        <w:rPr>
          <w:rFonts w:ascii="宋体" w:hAnsi="宋体"/>
          <w:szCs w:val="21"/>
        </w:rPr>
      </w:pPr>
      <w:r>
        <w:rPr>
          <w:rFonts w:ascii="宋体" w:hAnsi="宋体" w:hint="eastAsia"/>
          <w:szCs w:val="21"/>
        </w:rPr>
        <w:t>提供非工作时间7×24小时电话支持服务，并根据用户需求1小时内到达现场进行硬件设备故障详查和维修处理，故障恢复时间不超过2小时。硬件设备清单见下表。</w:t>
      </w:r>
    </w:p>
    <w:p w:rsidR="004B37EC" w:rsidP="004B37EC">
      <w:pPr>
        <w:ind w:firstLine="420"/>
        <w:jc w:val="center"/>
        <w:rPr>
          <w:rFonts w:ascii="等线 Light" w:eastAsia="等线 Light" w:hAnsi="等线 Light"/>
        </w:rPr>
      </w:pPr>
      <w:r>
        <w:rPr>
          <w:rFonts w:ascii="等线 Light" w:eastAsia="等线 Light" w:hAnsi="等线 Light" w:hint="eastAsia"/>
        </w:rPr>
        <w:t>国家突发公共事件预警信息发布管理平台硬件维保设备清单</w:t>
      </w:r>
    </w:p>
    <w:tbl>
      <w:tblPr>
        <w:tblStyle w:val="TableNormal"/>
        <w:tblW w:w="8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0"/>
        <w:gridCol w:w="4264"/>
        <w:gridCol w:w="1274"/>
        <w:gridCol w:w="710"/>
        <w:gridCol w:w="661"/>
      </w:tblGrid>
      <w:tr w:rsidTr="00ED1535">
        <w:tblPrEx>
          <w:tblW w:w="8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59"/>
          <w:tblHeader/>
          <w:jc w:val="center"/>
        </w:trPr>
        <w:tc>
          <w:tcPr>
            <w:tcW w:w="1420" w:type="dxa"/>
            <w:vAlign w:val="center"/>
          </w:tcPr>
          <w:p w:rsidR="004B37EC" w:rsidP="00ED1535">
            <w:pPr>
              <w:widowControl/>
              <w:adjustRightInd w:val="0"/>
              <w:snapToGrid w:val="0"/>
              <w:jc w:val="center"/>
              <w:rPr>
                <w:rFonts w:ascii="等线 Light" w:eastAsia="等线 Light" w:hAnsi="等线 Light"/>
                <w:b/>
                <w:bCs/>
                <w:kern w:val="0"/>
              </w:rPr>
            </w:pPr>
            <w:r>
              <w:rPr>
                <w:rFonts w:ascii="等线 Light" w:eastAsia="等线 Light" w:hAnsi="等线 Light"/>
                <w:b/>
                <w:bCs/>
                <w:kern w:val="0"/>
              </w:rPr>
              <w:t>设备名称</w:t>
            </w:r>
          </w:p>
        </w:tc>
        <w:tc>
          <w:tcPr>
            <w:tcW w:w="4264" w:type="dxa"/>
            <w:vAlign w:val="center"/>
          </w:tcPr>
          <w:p w:rsidR="004B37EC" w:rsidP="00ED1535">
            <w:pPr>
              <w:widowControl/>
              <w:adjustRightInd w:val="0"/>
              <w:snapToGrid w:val="0"/>
              <w:ind w:left="-3" w:hanging="94" w:leftChars="-46" w:hangingChars="45"/>
              <w:jc w:val="center"/>
              <w:rPr>
                <w:rFonts w:ascii="等线 Light" w:eastAsia="等线 Light" w:hAnsi="等线 Light"/>
                <w:b/>
                <w:bCs/>
                <w:kern w:val="0"/>
              </w:rPr>
            </w:pPr>
            <w:r>
              <w:rPr>
                <w:rFonts w:ascii="等线 Light" w:eastAsia="等线 Light" w:hAnsi="等线 Light" w:hint="eastAsia"/>
                <w:b/>
                <w:bCs/>
                <w:kern w:val="0"/>
              </w:rPr>
              <w:t>配置</w:t>
            </w:r>
          </w:p>
        </w:tc>
        <w:tc>
          <w:tcPr>
            <w:tcW w:w="1274" w:type="dxa"/>
            <w:vAlign w:val="center"/>
          </w:tcPr>
          <w:p w:rsidR="004B37EC" w:rsidP="00ED1535">
            <w:pPr>
              <w:widowControl/>
              <w:adjustRightInd w:val="0"/>
              <w:snapToGrid w:val="0"/>
              <w:jc w:val="center"/>
              <w:rPr>
                <w:rFonts w:ascii="等线 Light" w:eastAsia="等线 Light" w:hAnsi="等线 Light"/>
                <w:b/>
                <w:bCs/>
                <w:kern w:val="0"/>
              </w:rPr>
            </w:pPr>
            <w:r>
              <w:rPr>
                <w:rFonts w:ascii="等线 Light" w:eastAsia="等线 Light" w:hAnsi="等线 Light"/>
                <w:b/>
                <w:bCs/>
                <w:kern w:val="0"/>
              </w:rPr>
              <w:t>型号</w:t>
            </w:r>
          </w:p>
        </w:tc>
        <w:tc>
          <w:tcPr>
            <w:tcW w:w="710" w:type="dxa"/>
            <w:vAlign w:val="center"/>
          </w:tcPr>
          <w:p w:rsidR="004B37EC" w:rsidP="00ED1535">
            <w:pPr>
              <w:widowControl/>
              <w:adjustRightInd w:val="0"/>
              <w:snapToGrid w:val="0"/>
              <w:jc w:val="center"/>
              <w:rPr>
                <w:rFonts w:ascii="等线 Light" w:eastAsia="等线 Light" w:hAnsi="等线 Light"/>
                <w:b/>
                <w:bCs/>
                <w:kern w:val="0"/>
              </w:rPr>
            </w:pPr>
            <w:r>
              <w:rPr>
                <w:rFonts w:ascii="等线 Light" w:eastAsia="等线 Light" w:hAnsi="等线 Light"/>
                <w:b/>
                <w:bCs/>
                <w:kern w:val="0"/>
              </w:rPr>
              <w:t>品牌</w:t>
            </w:r>
          </w:p>
        </w:tc>
        <w:tc>
          <w:tcPr>
            <w:tcW w:w="661" w:type="dxa"/>
            <w:vAlign w:val="center"/>
          </w:tcPr>
          <w:p w:rsidR="004B37EC" w:rsidP="00ED1535">
            <w:pPr>
              <w:widowControl/>
              <w:adjustRightInd w:val="0"/>
              <w:snapToGrid w:val="0"/>
              <w:jc w:val="center"/>
              <w:rPr>
                <w:rFonts w:ascii="等线 Light" w:eastAsia="等线 Light" w:hAnsi="等线 Light"/>
                <w:b/>
                <w:bCs/>
                <w:kern w:val="0"/>
              </w:rPr>
            </w:pPr>
            <w:r>
              <w:rPr>
                <w:rFonts w:ascii="等线 Light" w:eastAsia="等线 Light" w:hAnsi="等线 Light"/>
                <w:b/>
                <w:bCs/>
                <w:kern w:val="0"/>
              </w:rPr>
              <w:t>数量</w:t>
            </w:r>
          </w:p>
        </w:tc>
      </w:tr>
      <w:tr w:rsidTr="00ED1535">
        <w:tblPrEx>
          <w:tblW w:w="8329" w:type="dxa"/>
          <w:jc w:val="center"/>
          <w:tblLayout w:type="fixed"/>
          <w:tblLook w:val="0000"/>
        </w:tblPrEx>
        <w:trPr>
          <w:trHeight w:val="267"/>
          <w:jc w:val="center"/>
        </w:trPr>
        <w:tc>
          <w:tcPr>
            <w:tcW w:w="8329" w:type="dxa"/>
            <w:gridSpan w:val="5"/>
            <w:vAlign w:val="center"/>
          </w:tcPr>
          <w:p w:rsidR="004B37EC" w:rsidP="00ED1535">
            <w:pPr>
              <w:widowControl/>
              <w:adjustRightInd w:val="0"/>
              <w:snapToGrid w:val="0"/>
              <w:ind w:firstLine="454"/>
              <w:jc w:val="center"/>
              <w:rPr>
                <w:rFonts w:ascii="等线 Light" w:eastAsia="等线 Light" w:hAnsi="等线 Light"/>
                <w:b/>
                <w:bCs/>
                <w:kern w:val="0"/>
              </w:rPr>
            </w:pPr>
            <w:r>
              <w:rPr>
                <w:rFonts w:ascii="等线 Light" w:eastAsia="等线 Light" w:hAnsi="等线 Light" w:hint="eastAsia"/>
                <w:b/>
                <w:bCs/>
                <w:kern w:val="0"/>
              </w:rPr>
              <w:t>计算机</w:t>
            </w:r>
            <w:r>
              <w:rPr>
                <w:rFonts w:ascii="等线 Light" w:eastAsia="等线 Light" w:hAnsi="等线 Light"/>
                <w:b/>
                <w:bCs/>
                <w:kern w:val="0"/>
              </w:rPr>
              <w:t>设备</w:t>
            </w:r>
          </w:p>
        </w:tc>
      </w:tr>
      <w:tr w:rsidTr="00ED1535">
        <w:tblPrEx>
          <w:tblW w:w="8329" w:type="dxa"/>
          <w:jc w:val="center"/>
          <w:tblLayout w:type="fixed"/>
          <w:tblLook w:val="0000"/>
        </w:tblPrEx>
        <w:trPr>
          <w:jc w:val="center"/>
        </w:trPr>
        <w:tc>
          <w:tcPr>
            <w:tcW w:w="1420"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kern w:val="0"/>
              </w:rPr>
              <w:t>应用服务器</w:t>
            </w:r>
          </w:p>
        </w:tc>
        <w:tc>
          <w:tcPr>
            <w:tcW w:w="4264" w:type="dxa"/>
            <w:vAlign w:val="center"/>
          </w:tcPr>
          <w:p w:rsidR="004B37EC" w:rsidP="00ED1535">
            <w:pPr>
              <w:widowControl/>
              <w:adjustRightInd w:val="0"/>
              <w:snapToGrid w:val="0"/>
              <w:jc w:val="left"/>
              <w:rPr>
                <w:rFonts w:ascii="等线 Light" w:eastAsia="等线 Light" w:hAnsi="等线 Light"/>
                <w:kern w:val="0"/>
              </w:rPr>
            </w:pPr>
            <w:r>
              <w:rPr>
                <w:rFonts w:ascii="等线 Light" w:eastAsia="等线 Light" w:hAnsi="等线 Light"/>
                <w:kern w:val="0"/>
              </w:rPr>
              <w:t>CPU：Intel Xeon E5506 处理器,主频2.13 GHz CPU：数量配置2个内存：16GB DDR3，8个DIMM插槽，内存的ECC保护磁盘容量：146GB×3 SAS 15K 磁盘控制器：SAS卡支持RAID0，1，1E I/O端口：3个PCI-E插槽网卡：4个10/100/1000M以太网接口配件：DVD-ROM/1.44MB USB软驱操作系统：支持下列操作系统：Linux、Windows 2003 R2 Server、Windows 2008 R2 Server</w:t>
            </w:r>
          </w:p>
        </w:tc>
        <w:tc>
          <w:tcPr>
            <w:tcW w:w="1274" w:type="dxa"/>
            <w:vAlign w:val="center"/>
          </w:tcPr>
          <w:p w:rsidR="004B37EC" w:rsidP="00ED1535">
            <w:pPr>
              <w:widowControl/>
              <w:adjustRightInd w:val="0"/>
              <w:snapToGrid w:val="0"/>
              <w:ind w:left="0" w:hanging="107" w:leftChars="-51" w:hangingChars="51"/>
              <w:rPr>
                <w:rFonts w:ascii="等线 Light" w:eastAsia="等线 Light" w:hAnsi="等线 Light"/>
                <w:kern w:val="0"/>
              </w:rPr>
            </w:pPr>
            <w:r>
              <w:rPr>
                <w:rFonts w:ascii="等线 Light" w:eastAsia="等线 Light" w:hAnsi="等线 Light"/>
                <w:kern w:val="0"/>
              </w:rPr>
              <w:t>RD630</w:t>
            </w:r>
          </w:p>
        </w:tc>
        <w:tc>
          <w:tcPr>
            <w:tcW w:w="710" w:type="dxa"/>
            <w:vAlign w:val="center"/>
          </w:tcPr>
          <w:p w:rsidR="004B37EC" w:rsidP="00ED1535">
            <w:pPr>
              <w:widowControl/>
              <w:adjustRightInd w:val="0"/>
              <w:snapToGrid w:val="0"/>
              <w:rPr>
                <w:rFonts w:ascii="等线 Light" w:eastAsia="等线 Light" w:hAnsi="等线 Light"/>
                <w:kern w:val="0"/>
              </w:rPr>
            </w:pPr>
            <w:r>
              <w:rPr>
                <w:rFonts w:ascii="等线 Light" w:eastAsia="等线 Light" w:hAnsi="等线 Light"/>
                <w:kern w:val="0"/>
              </w:rPr>
              <w:t>联想</w:t>
            </w:r>
          </w:p>
        </w:tc>
        <w:tc>
          <w:tcPr>
            <w:tcW w:w="661"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kern w:val="0"/>
              </w:rPr>
              <w:t>4</w:t>
            </w:r>
          </w:p>
        </w:tc>
      </w:tr>
      <w:tr w:rsidTr="00ED1535">
        <w:tblPrEx>
          <w:tblW w:w="8329" w:type="dxa"/>
          <w:jc w:val="center"/>
          <w:tblLayout w:type="fixed"/>
          <w:tblLook w:val="0000"/>
        </w:tblPrEx>
        <w:trPr>
          <w:jc w:val="center"/>
        </w:trPr>
        <w:tc>
          <w:tcPr>
            <w:tcW w:w="8329" w:type="dxa"/>
            <w:gridSpan w:val="5"/>
            <w:vAlign w:val="center"/>
          </w:tcPr>
          <w:p w:rsidR="004B37EC" w:rsidP="00ED1535">
            <w:pPr>
              <w:widowControl/>
              <w:adjustRightInd w:val="0"/>
              <w:snapToGrid w:val="0"/>
              <w:ind w:firstLine="454"/>
              <w:jc w:val="center"/>
              <w:rPr>
                <w:rFonts w:ascii="等线 Light" w:eastAsia="等线 Light" w:hAnsi="等线 Light"/>
                <w:b/>
                <w:bCs/>
                <w:kern w:val="0"/>
              </w:rPr>
            </w:pPr>
            <w:r>
              <w:rPr>
                <w:rFonts w:ascii="等线 Light" w:eastAsia="等线 Light" w:hAnsi="等线 Light"/>
                <w:b/>
                <w:bCs/>
                <w:kern w:val="0"/>
              </w:rPr>
              <w:t>存储设备</w:t>
            </w:r>
          </w:p>
        </w:tc>
      </w:tr>
      <w:tr w:rsidTr="00ED1535">
        <w:tblPrEx>
          <w:tblW w:w="8329" w:type="dxa"/>
          <w:jc w:val="center"/>
          <w:tblLayout w:type="fixed"/>
          <w:tblLook w:val="0000"/>
        </w:tblPrEx>
        <w:trPr>
          <w:jc w:val="center"/>
        </w:trPr>
        <w:tc>
          <w:tcPr>
            <w:tcW w:w="1420"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kern w:val="0"/>
              </w:rPr>
              <w:t>磁盘阵列</w:t>
            </w:r>
          </w:p>
        </w:tc>
        <w:tc>
          <w:tcPr>
            <w:tcW w:w="4264" w:type="dxa"/>
            <w:vAlign w:val="center"/>
          </w:tcPr>
          <w:p w:rsidR="004B37EC" w:rsidP="00ED1535">
            <w:pPr>
              <w:widowControl/>
              <w:adjustRightInd w:val="0"/>
              <w:snapToGrid w:val="0"/>
              <w:rPr>
                <w:rFonts w:ascii="等线 Light" w:eastAsia="等线 Light" w:hAnsi="等线 Light"/>
                <w:kern w:val="0"/>
              </w:rPr>
            </w:pPr>
            <w:r>
              <w:rPr>
                <w:rFonts w:ascii="等线 Light" w:eastAsia="等线 Light" w:hAnsi="等线 Light"/>
                <w:kern w:val="0"/>
              </w:rPr>
              <w:t xml:space="preserve">双控制器, 512MB 缓存, 含电池保护模块(BBU); 1个SAS 3Gb/s ×4 Wide主机端口, 1个SAS 3Gb/s ×4 Wide磁盘扩展端口; 2U高度12盘位, 支持SAS硬盘或SATA II硬盘, 3TB, 系统最大支持48颗硬盘; 含Windows和Linux客户端管理软件; </w:t>
            </w:r>
            <w:r>
              <w:rPr>
                <w:rFonts w:ascii="等线 Light" w:eastAsia="等线 Light" w:hAnsi="等线 Light"/>
                <w:kern w:val="0"/>
              </w:rPr>
              <w:t>标配</w:t>
            </w:r>
            <w:r>
              <w:rPr>
                <w:rFonts w:ascii="等线 Light" w:eastAsia="等线 Light" w:hAnsi="等线 Light"/>
                <w:kern w:val="0"/>
              </w:rPr>
              <w:t>4分区软件; 冗余电源, 冗余风扇, 含电源线, 含导轨, 选配主机连接SAS线缆</w:t>
            </w:r>
          </w:p>
        </w:tc>
        <w:tc>
          <w:tcPr>
            <w:tcW w:w="1274" w:type="dxa"/>
            <w:vAlign w:val="center"/>
          </w:tcPr>
          <w:p w:rsidR="004B37EC" w:rsidP="00ED1535">
            <w:pPr>
              <w:widowControl/>
              <w:adjustRightInd w:val="0"/>
              <w:snapToGrid w:val="0"/>
              <w:ind w:left="0" w:hanging="107" w:leftChars="-51" w:hangingChars="51"/>
              <w:rPr>
                <w:rFonts w:ascii="等线 Light" w:eastAsia="等线 Light" w:hAnsi="等线 Light"/>
                <w:kern w:val="0"/>
              </w:rPr>
            </w:pPr>
            <w:r>
              <w:rPr>
                <w:rFonts w:ascii="等线 Light" w:eastAsia="等线 Light" w:hAnsi="等线 Light"/>
                <w:kern w:val="0"/>
              </w:rPr>
              <w:t>SureSAS212</w:t>
            </w:r>
          </w:p>
        </w:tc>
        <w:tc>
          <w:tcPr>
            <w:tcW w:w="710" w:type="dxa"/>
            <w:vAlign w:val="center"/>
          </w:tcPr>
          <w:p w:rsidR="004B37EC" w:rsidP="00ED1535">
            <w:pPr>
              <w:widowControl/>
              <w:adjustRightInd w:val="0"/>
              <w:snapToGrid w:val="0"/>
              <w:rPr>
                <w:rFonts w:ascii="等线 Light" w:eastAsia="等线 Light" w:hAnsi="等线 Light"/>
                <w:kern w:val="0"/>
              </w:rPr>
            </w:pPr>
            <w:r>
              <w:rPr>
                <w:rFonts w:ascii="等线 Light" w:eastAsia="等线 Light" w:hAnsi="等线 Light"/>
                <w:kern w:val="0"/>
              </w:rPr>
              <w:t>联想</w:t>
            </w:r>
          </w:p>
        </w:tc>
        <w:tc>
          <w:tcPr>
            <w:tcW w:w="661"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hint="eastAsia"/>
                <w:kern w:val="0"/>
              </w:rPr>
              <w:t>2</w:t>
            </w:r>
          </w:p>
        </w:tc>
      </w:tr>
      <w:tr w:rsidTr="00ED1535">
        <w:tblPrEx>
          <w:tblW w:w="8329" w:type="dxa"/>
          <w:jc w:val="center"/>
          <w:tblLayout w:type="fixed"/>
          <w:tblLook w:val="0000"/>
        </w:tblPrEx>
        <w:trPr>
          <w:jc w:val="center"/>
        </w:trPr>
        <w:tc>
          <w:tcPr>
            <w:tcW w:w="1420" w:type="dxa"/>
            <w:vAlign w:val="center"/>
          </w:tcPr>
          <w:p w:rsidR="004B37EC" w:rsidP="00ED1535">
            <w:pPr>
              <w:adjustRightInd w:val="0"/>
              <w:snapToGrid w:val="0"/>
              <w:ind w:left="0" w:hanging="94" w:leftChars="-45" w:hangingChars="45"/>
              <w:jc w:val="center"/>
              <w:rPr>
                <w:rFonts w:ascii="等线 Light" w:eastAsia="等线 Light" w:hAnsi="等线 Light"/>
              </w:rPr>
            </w:pPr>
            <w:r>
              <w:rPr>
                <w:rFonts w:ascii="等线 Light" w:eastAsia="等线 Light" w:hAnsi="等线 Light" w:hint="eastAsia"/>
              </w:rPr>
              <w:t>SAN交换机</w:t>
            </w:r>
          </w:p>
        </w:tc>
        <w:tc>
          <w:tcPr>
            <w:tcW w:w="4264" w:type="dxa"/>
            <w:vAlign w:val="center"/>
          </w:tcPr>
          <w:p w:rsidR="004B37EC" w:rsidP="00ED1535">
            <w:pPr>
              <w:adjustRightInd w:val="0"/>
              <w:snapToGrid w:val="0"/>
              <w:rPr>
                <w:rFonts w:ascii="等线 Light" w:eastAsia="等线 Light" w:hAnsi="等线 Light"/>
              </w:rPr>
            </w:pPr>
            <w:r>
              <w:rPr>
                <w:rFonts w:ascii="等线 Light" w:eastAsia="等线 Light" w:hAnsi="等线 Light" w:hint="eastAsia"/>
              </w:rPr>
              <w:t>24端口交换机，8端口激活，单电源（固定），含8个4Gb短波 SFP，含Web tools、Zoning软件授权,不支持级联</w:t>
            </w:r>
          </w:p>
        </w:tc>
        <w:tc>
          <w:tcPr>
            <w:tcW w:w="1274" w:type="dxa"/>
            <w:vAlign w:val="center"/>
          </w:tcPr>
          <w:p w:rsidR="004B37EC" w:rsidP="00ED1535">
            <w:pPr>
              <w:adjustRightInd w:val="0"/>
              <w:snapToGrid w:val="0"/>
              <w:ind w:left="0" w:hanging="107" w:leftChars="-51" w:hangingChars="51"/>
              <w:rPr>
                <w:rFonts w:ascii="等线 Light" w:eastAsia="等线 Light" w:hAnsi="等线 Light"/>
              </w:rPr>
            </w:pPr>
            <w:r>
              <w:rPr>
                <w:rFonts w:ascii="等线 Light" w:eastAsia="等线 Light" w:hAnsi="等线 Light" w:hint="eastAsia"/>
              </w:rPr>
              <w:t>BR-310-0004</w:t>
            </w:r>
          </w:p>
        </w:tc>
        <w:tc>
          <w:tcPr>
            <w:tcW w:w="710" w:type="dxa"/>
            <w:vAlign w:val="center"/>
          </w:tcPr>
          <w:p w:rsidR="004B37EC" w:rsidP="00ED1535">
            <w:pPr>
              <w:adjustRightInd w:val="0"/>
              <w:snapToGrid w:val="0"/>
              <w:rPr>
                <w:rFonts w:ascii="等线 Light" w:eastAsia="等线 Light" w:hAnsi="等线 Light"/>
              </w:rPr>
            </w:pPr>
            <w:r>
              <w:rPr>
                <w:rFonts w:ascii="等线 Light" w:eastAsia="等线 Light" w:hAnsi="等线 Light" w:hint="eastAsia"/>
              </w:rPr>
              <w:t>博科</w:t>
            </w:r>
          </w:p>
        </w:tc>
        <w:tc>
          <w:tcPr>
            <w:tcW w:w="661"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hint="eastAsia"/>
                <w:kern w:val="0"/>
              </w:rPr>
              <w:t>2</w:t>
            </w:r>
          </w:p>
        </w:tc>
      </w:tr>
      <w:tr w:rsidTr="00ED1535">
        <w:tblPrEx>
          <w:tblW w:w="8329" w:type="dxa"/>
          <w:jc w:val="center"/>
          <w:tblLayout w:type="fixed"/>
          <w:tblLook w:val="0000"/>
        </w:tblPrEx>
        <w:trPr>
          <w:jc w:val="center"/>
        </w:trPr>
        <w:tc>
          <w:tcPr>
            <w:tcW w:w="8329" w:type="dxa"/>
            <w:gridSpan w:val="5"/>
            <w:vAlign w:val="center"/>
          </w:tcPr>
          <w:p w:rsidR="004B37EC" w:rsidP="00ED1535">
            <w:pPr>
              <w:widowControl/>
              <w:adjustRightInd w:val="0"/>
              <w:snapToGrid w:val="0"/>
              <w:ind w:firstLine="454"/>
              <w:jc w:val="center"/>
              <w:rPr>
                <w:rFonts w:ascii="等线 Light" w:eastAsia="等线 Light" w:hAnsi="等线 Light"/>
                <w:b/>
                <w:kern w:val="0"/>
              </w:rPr>
            </w:pPr>
            <w:r>
              <w:rPr>
                <w:rFonts w:ascii="等线 Light" w:eastAsia="等线 Light" w:hAnsi="等线 Light" w:hint="eastAsia"/>
                <w:b/>
                <w:kern w:val="0"/>
              </w:rPr>
              <w:t>网络设备</w:t>
            </w:r>
          </w:p>
        </w:tc>
      </w:tr>
      <w:tr w:rsidTr="00ED1535">
        <w:tblPrEx>
          <w:tblW w:w="8329" w:type="dxa"/>
          <w:jc w:val="center"/>
          <w:tblLayout w:type="fixed"/>
          <w:tblLook w:val="0000"/>
        </w:tblPrEx>
        <w:trPr>
          <w:jc w:val="center"/>
        </w:trPr>
        <w:tc>
          <w:tcPr>
            <w:tcW w:w="1420" w:type="dxa"/>
            <w:vAlign w:val="center"/>
          </w:tcPr>
          <w:p w:rsidR="004B37EC" w:rsidP="00ED1535">
            <w:pPr>
              <w:widowControl/>
              <w:adjustRightInd w:val="0"/>
              <w:snapToGrid w:val="0"/>
              <w:jc w:val="center"/>
              <w:rPr>
                <w:rFonts w:ascii="等线 Light" w:eastAsia="等线 Light" w:hAnsi="等线 Light"/>
                <w:szCs w:val="21"/>
              </w:rPr>
            </w:pPr>
            <w:r>
              <w:rPr>
                <w:rFonts w:ascii="等线 Light" w:eastAsia="等线 Light" w:hAnsi="等线 Light" w:hint="eastAsia"/>
                <w:szCs w:val="21"/>
              </w:rPr>
              <w:t>国家级内部服务器接入交换机</w:t>
            </w:r>
          </w:p>
        </w:tc>
        <w:tc>
          <w:tcPr>
            <w:tcW w:w="4264" w:type="dxa"/>
            <w:vAlign w:val="center"/>
          </w:tcPr>
          <w:p w:rsidR="004B37EC" w:rsidP="00ED1535">
            <w:pPr>
              <w:adjustRightInd w:val="0"/>
              <w:snapToGrid w:val="0"/>
              <w:rPr>
                <w:rFonts w:ascii="等线 Light" w:eastAsia="等线 Light" w:hAnsi="等线 Light"/>
                <w:kern w:val="0"/>
              </w:rPr>
            </w:pPr>
            <w:r>
              <w:rPr>
                <w:rFonts w:ascii="等线 Light" w:eastAsia="等线 Light" w:hAnsi="等线 Light" w:hint="eastAsia"/>
              </w:rPr>
              <w:t>24GE+4个10G/1G BASE-X SFP+端口+1slot，2个光模块-SFP-GE-多</w:t>
            </w:r>
            <w:r>
              <w:rPr>
                <w:rFonts w:ascii="等线 Light" w:eastAsia="等线 Light" w:hAnsi="等线 Light" w:hint="eastAsia"/>
              </w:rPr>
              <w:t>模</w:t>
            </w:r>
            <w:r>
              <w:rPr>
                <w:rFonts w:ascii="等线 Light" w:eastAsia="等线 Light" w:hAnsi="等线 Light" w:hint="eastAsia"/>
              </w:rPr>
              <w:t>模块-(SFP-GE-SX-MM850-A，850nm,0.55km,LC)，1条LSWM3STK-SFP+电缆3m</w:t>
            </w:r>
          </w:p>
        </w:tc>
        <w:tc>
          <w:tcPr>
            <w:tcW w:w="1274" w:type="dxa"/>
            <w:vAlign w:val="center"/>
          </w:tcPr>
          <w:p w:rsidR="004B37EC" w:rsidP="00ED1535">
            <w:pPr>
              <w:adjustRightInd w:val="0"/>
              <w:snapToGrid w:val="0"/>
              <w:ind w:left="1" w:hanging="108" w:leftChars="-51" w:hangingChars="54"/>
              <w:rPr>
                <w:rFonts w:ascii="等线 Light" w:eastAsia="等线 Light" w:hAnsi="等线 Light"/>
                <w:kern w:val="0"/>
              </w:rPr>
            </w:pPr>
            <w:r>
              <w:rPr>
                <w:rFonts w:ascii="等线 Light" w:eastAsia="等线 Light" w:hAnsi="等线 Light" w:hint="eastAsia"/>
                <w:sz w:val="20"/>
              </w:rPr>
              <w:t>(H3C) LS5800-32C-H3</w:t>
            </w:r>
          </w:p>
        </w:tc>
        <w:tc>
          <w:tcPr>
            <w:tcW w:w="710" w:type="dxa"/>
            <w:vAlign w:val="center"/>
          </w:tcPr>
          <w:p w:rsidR="004B37EC" w:rsidP="00ED1535">
            <w:pPr>
              <w:widowControl/>
              <w:adjustRightInd w:val="0"/>
              <w:snapToGrid w:val="0"/>
              <w:rPr>
                <w:rFonts w:ascii="等线 Light" w:eastAsia="等线 Light" w:hAnsi="等线 Light"/>
                <w:kern w:val="0"/>
              </w:rPr>
            </w:pPr>
            <w:r>
              <w:rPr>
                <w:rFonts w:ascii="等线 Light" w:eastAsia="等线 Light" w:hAnsi="等线 Light" w:hint="eastAsia"/>
                <w:sz w:val="20"/>
              </w:rPr>
              <w:t>华三</w:t>
            </w:r>
          </w:p>
        </w:tc>
        <w:tc>
          <w:tcPr>
            <w:tcW w:w="661"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hint="eastAsia"/>
                <w:kern w:val="0"/>
              </w:rPr>
              <w:t>2</w:t>
            </w:r>
          </w:p>
        </w:tc>
      </w:tr>
      <w:tr w:rsidTr="00ED1535">
        <w:tblPrEx>
          <w:tblW w:w="8329" w:type="dxa"/>
          <w:jc w:val="center"/>
          <w:tblLayout w:type="fixed"/>
          <w:tblLook w:val="0000"/>
        </w:tblPrEx>
        <w:trPr>
          <w:jc w:val="center"/>
        </w:trPr>
        <w:tc>
          <w:tcPr>
            <w:tcW w:w="1420" w:type="dxa"/>
            <w:vAlign w:val="center"/>
          </w:tcPr>
          <w:p w:rsidR="004B37EC" w:rsidP="00ED1535">
            <w:pPr>
              <w:adjustRightInd w:val="0"/>
              <w:snapToGrid w:val="0"/>
              <w:ind w:left="2" w:hanging="96" w:leftChars="-45" w:hangingChars="48"/>
              <w:jc w:val="center"/>
              <w:rPr>
                <w:rFonts w:ascii="等线 Light" w:eastAsia="等线 Light" w:hAnsi="等线 Light" w:cs="宋体"/>
                <w:sz w:val="20"/>
              </w:rPr>
            </w:pPr>
            <w:r>
              <w:rPr>
                <w:rFonts w:ascii="等线 Light" w:eastAsia="等线 Light" w:hAnsi="等线 Light" w:hint="eastAsia"/>
                <w:sz w:val="20"/>
              </w:rPr>
              <w:t>互联网防火墙</w:t>
            </w:r>
          </w:p>
        </w:tc>
        <w:tc>
          <w:tcPr>
            <w:tcW w:w="4264" w:type="dxa"/>
            <w:vAlign w:val="center"/>
          </w:tcPr>
          <w:p w:rsidR="004B37EC" w:rsidP="001962E1">
            <w:pPr>
              <w:adjustRightInd w:val="0"/>
              <w:snapToGrid w:val="0"/>
              <w:rPr>
                <w:rFonts w:ascii="等线 Light" w:eastAsia="等线 Light" w:hAnsi="等线 Light" w:cs="宋体"/>
                <w:color w:val="000000"/>
              </w:rPr>
            </w:pPr>
            <w:r>
              <w:rPr>
                <w:rFonts w:ascii="等线 Light" w:eastAsia="等线 Light" w:hAnsi="等线 Light" w:hint="eastAsia"/>
                <w:color w:val="000000"/>
              </w:rPr>
              <w:t>标准配置6个千兆SFP插槽，6个10／100／1000M自适应电口，1个Console口，1个AUX口。最大可扩展为28个千兆接口；6个 GT-SFP-SX多模模块</w:t>
            </w:r>
          </w:p>
        </w:tc>
        <w:tc>
          <w:tcPr>
            <w:tcW w:w="1274" w:type="dxa"/>
            <w:vAlign w:val="center"/>
          </w:tcPr>
          <w:p w:rsidR="004B37EC" w:rsidP="00ED1535">
            <w:pPr>
              <w:adjustRightInd w:val="0"/>
              <w:snapToGrid w:val="0"/>
              <w:ind w:left="1" w:hanging="108" w:leftChars="-51" w:hangingChars="60"/>
              <w:rPr>
                <w:rFonts w:ascii="等线 Light" w:eastAsia="等线 Light" w:hAnsi="等线 Light" w:cs="宋体"/>
                <w:color w:val="000000"/>
                <w:sz w:val="18"/>
                <w:szCs w:val="18"/>
              </w:rPr>
            </w:pPr>
            <w:r>
              <w:rPr>
                <w:rFonts w:ascii="等线 Light" w:eastAsia="等线 Light" w:hAnsi="等线 Light" w:hint="eastAsia"/>
                <w:color w:val="000000"/>
                <w:sz w:val="18"/>
                <w:szCs w:val="18"/>
              </w:rPr>
              <w:t>SecGate</w:t>
            </w:r>
            <w:r>
              <w:rPr>
                <w:rFonts w:ascii="等线 Light" w:eastAsia="等线 Light" w:hAnsi="等线 Light" w:hint="eastAsia"/>
                <w:color w:val="000000"/>
                <w:sz w:val="18"/>
                <w:szCs w:val="18"/>
              </w:rPr>
              <w:t xml:space="preserve"> 3600 G30-6866</w:t>
            </w:r>
          </w:p>
        </w:tc>
        <w:tc>
          <w:tcPr>
            <w:tcW w:w="710" w:type="dxa"/>
            <w:vAlign w:val="center"/>
          </w:tcPr>
          <w:p w:rsidR="004B37EC" w:rsidP="00ED1535">
            <w:pPr>
              <w:adjustRightInd w:val="0"/>
              <w:snapToGrid w:val="0"/>
              <w:rPr>
                <w:rFonts w:ascii="等线 Light" w:eastAsia="等线 Light" w:hAnsi="等线 Light" w:cs="宋体"/>
                <w:color w:val="000000"/>
                <w:sz w:val="20"/>
              </w:rPr>
            </w:pPr>
            <w:r>
              <w:rPr>
                <w:rFonts w:ascii="等线 Light" w:eastAsia="等线 Light" w:hAnsi="等线 Light" w:hint="eastAsia"/>
                <w:color w:val="000000"/>
                <w:sz w:val="20"/>
              </w:rPr>
              <w:t>网神</w:t>
            </w:r>
          </w:p>
        </w:tc>
        <w:tc>
          <w:tcPr>
            <w:tcW w:w="661"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hint="eastAsia"/>
                <w:kern w:val="0"/>
              </w:rPr>
              <w:t>2</w:t>
            </w:r>
          </w:p>
        </w:tc>
      </w:tr>
      <w:tr w:rsidTr="00ED1535">
        <w:tblPrEx>
          <w:tblW w:w="8329" w:type="dxa"/>
          <w:jc w:val="center"/>
          <w:tblLayout w:type="fixed"/>
          <w:tblLook w:val="0000"/>
        </w:tblPrEx>
        <w:trPr>
          <w:jc w:val="center"/>
        </w:trPr>
        <w:tc>
          <w:tcPr>
            <w:tcW w:w="1420" w:type="dxa"/>
            <w:vAlign w:val="center"/>
          </w:tcPr>
          <w:p w:rsidR="004B37EC" w:rsidP="00ED1535">
            <w:pPr>
              <w:adjustRightInd w:val="0"/>
              <w:snapToGrid w:val="0"/>
              <w:ind w:left="2" w:hanging="96" w:leftChars="-45" w:hangingChars="48"/>
              <w:jc w:val="center"/>
              <w:rPr>
                <w:rFonts w:ascii="等线 Light" w:eastAsia="等线 Light" w:hAnsi="等线 Light" w:cs="宋体"/>
                <w:sz w:val="20"/>
              </w:rPr>
            </w:pPr>
            <w:r>
              <w:rPr>
                <w:rFonts w:ascii="等线 Light" w:eastAsia="等线 Light" w:hAnsi="等线 Light" w:hint="eastAsia"/>
                <w:sz w:val="20"/>
              </w:rPr>
              <w:t>电子政务外网防火墙</w:t>
            </w:r>
          </w:p>
        </w:tc>
        <w:tc>
          <w:tcPr>
            <w:tcW w:w="4264" w:type="dxa"/>
            <w:vAlign w:val="center"/>
          </w:tcPr>
          <w:p w:rsidR="004B37EC" w:rsidP="00ED1535">
            <w:pPr>
              <w:adjustRightInd w:val="0"/>
              <w:snapToGrid w:val="0"/>
              <w:ind w:firstLine="420"/>
              <w:rPr>
                <w:rFonts w:ascii="等线 Light" w:eastAsia="等线 Light" w:hAnsi="等线 Light" w:cs="宋体"/>
                <w:color w:val="000000"/>
              </w:rPr>
            </w:pPr>
            <w:r>
              <w:rPr>
                <w:rFonts w:ascii="等线 Light" w:eastAsia="等线 Light" w:hAnsi="等线 Light" w:hint="eastAsia"/>
                <w:color w:val="000000"/>
              </w:rPr>
              <w:t>标准配置10个千兆SFP插槽，10个10／100／1000M自适应电口，1个Console口，1个AUX口；3个 GT-SFP-SX多模模块</w:t>
            </w:r>
          </w:p>
        </w:tc>
        <w:tc>
          <w:tcPr>
            <w:tcW w:w="1274" w:type="dxa"/>
            <w:vAlign w:val="center"/>
          </w:tcPr>
          <w:p w:rsidR="004B37EC" w:rsidP="00ED1535">
            <w:pPr>
              <w:adjustRightInd w:val="0"/>
              <w:snapToGrid w:val="0"/>
              <w:ind w:left="1" w:hanging="108" w:leftChars="-51" w:hangingChars="60"/>
              <w:rPr>
                <w:rFonts w:ascii="等线 Light" w:eastAsia="等线 Light" w:hAnsi="等线 Light" w:cs="宋体"/>
                <w:color w:val="000000"/>
                <w:sz w:val="18"/>
                <w:szCs w:val="18"/>
              </w:rPr>
            </w:pPr>
            <w:r>
              <w:rPr>
                <w:rFonts w:ascii="等线 Light" w:eastAsia="等线 Light" w:hAnsi="等线 Light" w:hint="eastAsia"/>
                <w:color w:val="000000"/>
                <w:sz w:val="18"/>
                <w:szCs w:val="18"/>
              </w:rPr>
              <w:t>SecGate</w:t>
            </w:r>
            <w:r>
              <w:rPr>
                <w:rFonts w:ascii="等线 Light" w:eastAsia="等线 Light" w:hAnsi="等线 Light" w:hint="eastAsia"/>
                <w:color w:val="000000"/>
                <w:sz w:val="18"/>
                <w:szCs w:val="18"/>
              </w:rPr>
              <w:t xml:space="preserve"> 360 G60-76AA</w:t>
            </w:r>
          </w:p>
        </w:tc>
        <w:tc>
          <w:tcPr>
            <w:tcW w:w="710" w:type="dxa"/>
            <w:vAlign w:val="center"/>
          </w:tcPr>
          <w:p w:rsidR="004B37EC" w:rsidP="00ED1535">
            <w:pPr>
              <w:adjustRightInd w:val="0"/>
              <w:snapToGrid w:val="0"/>
              <w:rPr>
                <w:rFonts w:ascii="等线 Light" w:eastAsia="等线 Light" w:hAnsi="等线 Light" w:cs="宋体"/>
                <w:color w:val="000000"/>
                <w:sz w:val="20"/>
              </w:rPr>
            </w:pPr>
            <w:r>
              <w:rPr>
                <w:rFonts w:ascii="等线 Light" w:eastAsia="等线 Light" w:hAnsi="等线 Light" w:hint="eastAsia"/>
                <w:color w:val="000000"/>
                <w:sz w:val="20"/>
              </w:rPr>
              <w:t>网神</w:t>
            </w:r>
          </w:p>
        </w:tc>
        <w:tc>
          <w:tcPr>
            <w:tcW w:w="661" w:type="dxa"/>
            <w:vAlign w:val="center"/>
          </w:tcPr>
          <w:p w:rsidR="004B37EC" w:rsidP="00ED1535">
            <w:pPr>
              <w:widowControl/>
              <w:adjustRightInd w:val="0"/>
              <w:snapToGrid w:val="0"/>
              <w:jc w:val="center"/>
              <w:rPr>
                <w:rFonts w:ascii="等线 Light" w:eastAsia="等线 Light" w:hAnsi="等线 Light"/>
                <w:kern w:val="0"/>
              </w:rPr>
            </w:pPr>
            <w:r>
              <w:rPr>
                <w:rFonts w:ascii="等线 Light" w:eastAsia="等线 Light" w:hAnsi="等线 Light" w:hint="eastAsia"/>
                <w:kern w:val="0"/>
              </w:rPr>
              <w:t>2</w:t>
            </w:r>
          </w:p>
        </w:tc>
      </w:tr>
    </w:tbl>
    <w:p w:rsidR="004B37EC" w:rsidP="004B37EC">
      <w:pPr>
        <w:snapToGrid w:val="0"/>
        <w:spacing w:line="360" w:lineRule="auto"/>
        <w:ind w:firstLine="420"/>
        <w:jc w:val="left"/>
        <w:rPr>
          <w:rFonts w:ascii="宋体" w:hAnsi="宋体"/>
          <w:szCs w:val="21"/>
        </w:rPr>
      </w:pPr>
      <w:r>
        <w:rPr>
          <w:rFonts w:ascii="宋体" w:hAnsi="宋体" w:hint="eastAsia"/>
          <w:szCs w:val="21"/>
        </w:rPr>
        <w:t>（3）卫星设备汛期巡检</w:t>
      </w:r>
    </w:p>
    <w:p w:rsidR="004B37EC" w:rsidP="004B37EC">
      <w:pPr>
        <w:snapToGrid w:val="0"/>
        <w:spacing w:line="360" w:lineRule="auto"/>
        <w:ind w:firstLine="420"/>
        <w:rPr>
          <w:rFonts w:ascii="宋体" w:hAnsi="宋体"/>
          <w:szCs w:val="21"/>
        </w:rPr>
      </w:pPr>
      <w:r>
        <w:rPr>
          <w:rFonts w:ascii="宋体" w:hAnsi="宋体" w:hint="eastAsia"/>
          <w:szCs w:val="21"/>
        </w:rPr>
        <w:t>提供汛期前系统软硬件的巡检，对巡检过程中发现的问题和隐患及时通知用户，并进行修复、调整和优化，若需维修设备或更换部件也应及时反馈，并提出解决办法和临时应急措施。</w:t>
      </w:r>
    </w:p>
    <w:p w:rsidR="004B37EC" w:rsidP="004B37EC">
      <w:pPr>
        <w:snapToGrid w:val="0"/>
        <w:spacing w:line="360" w:lineRule="auto"/>
        <w:ind w:firstLine="420"/>
        <w:jc w:val="left"/>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）基础设施资源集中管理服务</w:t>
      </w:r>
    </w:p>
    <w:p w:rsidR="004B37EC" w:rsidP="004B37EC">
      <w:pPr>
        <w:snapToGrid w:val="0"/>
        <w:spacing w:line="360" w:lineRule="auto"/>
        <w:ind w:firstLine="420"/>
        <w:rPr>
          <w:rFonts w:ascii="宋体" w:hAnsi="宋体"/>
          <w:szCs w:val="21"/>
        </w:rPr>
      </w:pPr>
      <w:r>
        <w:rPr>
          <w:rFonts w:ascii="宋体" w:hAnsi="宋体" w:hint="eastAsia"/>
          <w:szCs w:val="21"/>
        </w:rPr>
        <w:t>统一管理国家突发公共事件预警信息发布管理平台（一期、二期）硬件设备及所含操作系统，提供基础设施资源集中管理服务。</w:t>
      </w:r>
    </w:p>
    <w:p w:rsidR="004B37EC" w:rsidP="004B37EC">
      <w:pPr>
        <w:numPr>
          <w:ilvl w:val="0"/>
          <w:numId w:val="4"/>
        </w:numPr>
        <w:snapToGrid w:val="0"/>
        <w:spacing w:line="360" w:lineRule="auto"/>
        <w:rPr>
          <w:rFonts w:ascii="宋体" w:hAnsi="宋体"/>
          <w:szCs w:val="21"/>
        </w:rPr>
      </w:pPr>
      <w:r>
        <w:rPr>
          <w:rFonts w:ascii="宋体" w:hAnsi="宋体" w:hint="eastAsia"/>
          <w:szCs w:val="21"/>
        </w:rPr>
        <w:t>实现服务器资源和存储资源的集中登陆，监视和管理</w:t>
      </w:r>
      <w:r>
        <w:rPr>
          <w:rFonts w:ascii="宋体" w:hAnsi="宋体"/>
          <w:szCs w:val="21"/>
        </w:rPr>
        <w:t>。</w:t>
      </w:r>
    </w:p>
    <w:p w:rsidR="004B37EC" w:rsidP="004B37EC">
      <w:pPr>
        <w:numPr>
          <w:ilvl w:val="0"/>
          <w:numId w:val="4"/>
        </w:numPr>
        <w:snapToGrid w:val="0"/>
        <w:spacing w:line="360" w:lineRule="auto"/>
        <w:rPr>
          <w:rFonts w:ascii="宋体" w:hAnsi="宋体"/>
          <w:szCs w:val="21"/>
        </w:rPr>
      </w:pPr>
      <w:r>
        <w:rPr>
          <w:rFonts w:ascii="宋体" w:hAnsi="宋体" w:hint="eastAsia"/>
          <w:szCs w:val="21"/>
        </w:rPr>
        <w:t>可支持通过</w:t>
      </w:r>
      <w:r>
        <w:rPr>
          <w:rFonts w:ascii="宋体" w:hAnsi="宋体"/>
          <w:szCs w:val="21"/>
        </w:rPr>
        <w:t>SNMP、IPMI、Redfish协议采集并展示服务器和存储设备的各部件健康状态和工作状态，支持主流CPU架构（X86、C86、ARM、POWER等）和主流硬件品牌（华为、浪潮、曙光、超聚变、H3C、联想、IBM、DELL、EMC、中科可控、黄河等），支持主流GPU芯片（</w:t>
      </w:r>
      <w:r>
        <w:rPr>
          <w:rFonts w:ascii="宋体" w:hAnsi="宋体"/>
          <w:szCs w:val="21"/>
        </w:rPr>
        <w:t>Nvidia</w:t>
      </w:r>
      <w:r>
        <w:rPr>
          <w:rFonts w:ascii="宋体" w:hAnsi="宋体"/>
          <w:szCs w:val="21"/>
        </w:rPr>
        <w:t>、海光、华为等），最小采集间隔不大于1分钟。</w:t>
      </w:r>
    </w:p>
    <w:p w:rsidR="004B37EC" w:rsidP="004B37EC">
      <w:pPr>
        <w:numPr>
          <w:ilvl w:val="0"/>
          <w:numId w:val="4"/>
        </w:numPr>
        <w:snapToGrid w:val="0"/>
        <w:spacing w:line="360" w:lineRule="auto"/>
        <w:rPr>
          <w:rFonts w:ascii="宋体" w:hAnsi="宋体"/>
          <w:szCs w:val="21"/>
        </w:rPr>
      </w:pPr>
      <w:r>
        <w:rPr>
          <w:rFonts w:ascii="宋体" w:hAnsi="宋体" w:hint="eastAsia"/>
          <w:szCs w:val="21"/>
        </w:rPr>
        <w:t>可支持通过SNMP、SSH、Agent等方式采集操作系统关键资源（CPU、GPU、内存、磁盘、网络、进程等）使用情况和系统重要日志，支持主流服务器操作系统（</w:t>
      </w:r>
      <w:r>
        <w:rPr>
          <w:rFonts w:ascii="宋体" w:hAnsi="宋体" w:hint="eastAsia"/>
          <w:szCs w:val="21"/>
        </w:rPr>
        <w:t>Redhat</w:t>
      </w:r>
      <w:r>
        <w:rPr>
          <w:rFonts w:ascii="宋体" w:hAnsi="宋体" w:hint="eastAsia"/>
          <w:szCs w:val="21"/>
        </w:rPr>
        <w:t>、</w:t>
      </w:r>
      <w:r>
        <w:rPr>
          <w:rFonts w:ascii="宋体" w:hAnsi="宋体" w:hint="eastAsia"/>
          <w:szCs w:val="21"/>
        </w:rPr>
        <w:t>Suse</w:t>
      </w:r>
      <w:r>
        <w:rPr>
          <w:rFonts w:ascii="宋体" w:hAnsi="宋体" w:hint="eastAsia"/>
          <w:szCs w:val="21"/>
        </w:rPr>
        <w:t>、Centos、</w:t>
      </w:r>
      <w:r>
        <w:rPr>
          <w:rFonts w:ascii="宋体" w:hAnsi="宋体" w:hint="eastAsia"/>
          <w:szCs w:val="21"/>
        </w:rPr>
        <w:t>Debian</w:t>
      </w:r>
      <w:r>
        <w:rPr>
          <w:rFonts w:ascii="宋体" w:hAnsi="宋体" w:hint="eastAsia"/>
          <w:szCs w:val="21"/>
        </w:rPr>
        <w:t>、麒麟、统信、超聚变</w:t>
      </w:r>
      <w:r>
        <w:rPr>
          <w:rFonts w:ascii="宋体" w:hAnsi="宋体" w:hint="eastAsia"/>
          <w:szCs w:val="21"/>
        </w:rPr>
        <w:t>FusionOS</w:t>
      </w:r>
      <w:r>
        <w:rPr>
          <w:rFonts w:ascii="宋体" w:hAnsi="宋体" w:hint="eastAsia"/>
          <w:szCs w:val="21"/>
        </w:rPr>
        <w:t>、中科方德、AIX等），最小采集间隔不大于1分钟。</w:t>
      </w:r>
    </w:p>
    <w:p w:rsidR="004B37EC" w:rsidP="004B37EC">
      <w:pPr>
        <w:numPr>
          <w:ilvl w:val="0"/>
          <w:numId w:val="4"/>
        </w:numPr>
        <w:snapToGrid w:val="0"/>
        <w:spacing w:line="360" w:lineRule="auto"/>
        <w:rPr>
          <w:rFonts w:ascii="宋体" w:hAnsi="宋体"/>
          <w:szCs w:val="21"/>
        </w:rPr>
      </w:pPr>
      <w:r>
        <w:rPr>
          <w:rFonts w:ascii="宋体" w:hAnsi="宋体" w:hint="eastAsia"/>
          <w:szCs w:val="21"/>
        </w:rPr>
        <w:t>支持以上采集信息的多维度可视化展示，可按照全部资源、指定业务系统、指定</w:t>
      </w:r>
      <w:r>
        <w:rPr>
          <w:rFonts w:ascii="宋体" w:hAnsi="宋体"/>
          <w:szCs w:val="21"/>
        </w:rPr>
        <w:t>IP查询指定时间（小时，天，周，月，自定义）范围内的资源使用情况（CPU、内存、磁盘、网络、系统负载等)，可通过柱状图，饼状图，热力图等形式反映全部或部分资源的整体使用情况。</w:t>
      </w:r>
    </w:p>
    <w:p w:rsidR="004B37EC" w:rsidP="004B37EC">
      <w:pPr>
        <w:numPr>
          <w:ilvl w:val="0"/>
          <w:numId w:val="4"/>
        </w:numPr>
        <w:snapToGrid w:val="0"/>
        <w:spacing w:line="360" w:lineRule="auto"/>
        <w:rPr>
          <w:rFonts w:ascii="宋体" w:hAnsi="宋体"/>
          <w:szCs w:val="21"/>
        </w:rPr>
      </w:pPr>
      <w:r>
        <w:rPr>
          <w:rFonts w:ascii="宋体" w:hAnsi="宋体" w:hint="eastAsia"/>
          <w:szCs w:val="21"/>
        </w:rPr>
        <w:t>支持统计报表功能，可按照用户需要自定义生成资源月报。</w:t>
      </w:r>
    </w:p>
    <w:p w:rsidR="004B37EC" w:rsidP="004B37EC">
      <w:pPr>
        <w:numPr>
          <w:ilvl w:val="0"/>
          <w:numId w:val="4"/>
        </w:numPr>
        <w:snapToGrid w:val="0"/>
        <w:spacing w:line="360" w:lineRule="auto"/>
        <w:rPr>
          <w:rFonts w:ascii="宋体" w:hAnsi="宋体"/>
          <w:szCs w:val="21"/>
        </w:rPr>
      </w:pPr>
      <w:r>
        <w:rPr>
          <w:rFonts w:ascii="宋体" w:hAnsi="宋体" w:hint="eastAsia"/>
          <w:szCs w:val="21"/>
        </w:rPr>
        <w:t>支持分级分类告警功能，告警级别至少</w:t>
      </w:r>
      <w:r>
        <w:rPr>
          <w:rFonts w:ascii="宋体" w:hAnsi="宋体"/>
          <w:szCs w:val="21"/>
        </w:rPr>
        <w:t>4级（严重、关键、警告、一般），并支持通过邮件，短信、</w:t>
      </w:r>
      <w:r>
        <w:rPr>
          <w:rFonts w:ascii="宋体" w:hAnsi="宋体" w:hint="eastAsia"/>
          <w:szCs w:val="21"/>
        </w:rPr>
        <w:t>微信等</w:t>
      </w:r>
      <w:r>
        <w:rPr>
          <w:rFonts w:ascii="宋体" w:hAnsi="宋体" w:hint="eastAsia"/>
          <w:szCs w:val="21"/>
        </w:rPr>
        <w:t>方式推送。</w:t>
      </w:r>
    </w:p>
    <w:p w:rsidR="004B37EC" w:rsidP="004B37EC">
      <w:pPr>
        <w:numPr>
          <w:ilvl w:val="0"/>
          <w:numId w:val="4"/>
        </w:numPr>
        <w:snapToGrid w:val="0"/>
        <w:spacing w:line="360" w:lineRule="auto"/>
        <w:rPr>
          <w:rFonts w:ascii="宋体" w:hAnsi="宋体"/>
          <w:szCs w:val="21"/>
        </w:rPr>
      </w:pPr>
      <w:r>
        <w:rPr>
          <w:rFonts w:ascii="宋体" w:hAnsi="宋体" w:hint="eastAsia"/>
          <w:szCs w:val="21"/>
        </w:rPr>
        <w:t>支持至少每日两次自动巡检功能，并生成巡检报告，用户可自定义巡检项目。</w:t>
      </w:r>
    </w:p>
    <w:p w:rsidR="004B37EC" w:rsidP="004B37EC">
      <w:pPr>
        <w:numPr>
          <w:ilvl w:val="0"/>
          <w:numId w:val="4"/>
        </w:numPr>
        <w:snapToGrid w:val="0"/>
        <w:spacing w:line="360" w:lineRule="auto"/>
        <w:rPr>
          <w:rFonts w:ascii="宋体" w:hAnsi="宋体"/>
          <w:szCs w:val="21"/>
        </w:rPr>
      </w:pPr>
      <w:r>
        <w:rPr>
          <w:rFonts w:ascii="宋体" w:hAnsi="宋体" w:hint="eastAsia"/>
          <w:szCs w:val="21"/>
        </w:rPr>
        <w:t>支持通过</w:t>
      </w:r>
      <w:r>
        <w:rPr>
          <w:rFonts w:ascii="宋体" w:hAnsi="宋体"/>
          <w:szCs w:val="21"/>
        </w:rPr>
        <w:t>Excel等方式批量导入资源信息，协助用户建立资源库，资源至少支持</w:t>
      </w:r>
      <w:r>
        <w:rPr>
          <w:rFonts w:ascii="宋体" w:hAnsi="宋体"/>
          <w:szCs w:val="21"/>
        </w:rPr>
        <w:t>三级分类：系统-&gt;子系统-&gt;功能模块。</w:t>
      </w:r>
    </w:p>
    <w:p w:rsidR="004B37EC" w:rsidP="004B37EC">
      <w:pPr>
        <w:numPr>
          <w:ilvl w:val="0"/>
          <w:numId w:val="4"/>
        </w:numPr>
        <w:snapToGrid w:val="0"/>
        <w:spacing w:line="360" w:lineRule="auto"/>
        <w:rPr>
          <w:rFonts w:ascii="宋体" w:hAnsi="宋体"/>
          <w:szCs w:val="21"/>
        </w:rPr>
      </w:pPr>
      <w:r>
        <w:rPr>
          <w:rFonts w:ascii="宋体" w:hAnsi="宋体" w:hint="eastAsia"/>
          <w:szCs w:val="21"/>
        </w:rPr>
        <w:t>支持对接第三方平台，告警信息实现与气象综合业务实时监控系统（天镜）等现有系统对接。</w:t>
      </w:r>
    </w:p>
    <w:p w:rsidR="004B37EC" w:rsidP="004B37EC">
      <w:pPr>
        <w:snapToGrid w:val="0"/>
        <w:spacing w:line="360" w:lineRule="auto"/>
        <w:ind w:firstLine="420"/>
        <w:jc w:val="left"/>
        <w:rPr>
          <w:rFonts w:ascii="宋体" w:hAnsi="宋体"/>
          <w:b/>
          <w:szCs w:val="21"/>
        </w:rPr>
      </w:pPr>
      <w:r>
        <w:rPr>
          <w:rFonts w:ascii="宋体" w:hAnsi="宋体" w:hint="eastAsia"/>
          <w:b/>
          <w:szCs w:val="21"/>
        </w:rPr>
        <w:t>2. 国家突发公共事件预警信息发布管理平台应用软件和系统软件维保服务</w:t>
      </w:r>
    </w:p>
    <w:p w:rsidR="004B37EC" w:rsidP="004B37EC">
      <w:pPr>
        <w:snapToGrid w:val="0"/>
        <w:spacing w:line="360" w:lineRule="auto"/>
        <w:ind w:firstLine="420"/>
        <w:jc w:val="left"/>
        <w:rPr>
          <w:rFonts w:ascii="宋体" w:hAnsi="宋体"/>
          <w:szCs w:val="21"/>
        </w:rPr>
      </w:pPr>
      <w:r>
        <w:rPr>
          <w:rFonts w:ascii="宋体" w:hAnsi="宋体" w:hint="eastAsia"/>
          <w:szCs w:val="21"/>
        </w:rPr>
        <w:t>（1）工作时间驻场服务</w:t>
      </w:r>
    </w:p>
    <w:p w:rsidR="004B37EC" w:rsidP="004B37EC">
      <w:pPr>
        <w:snapToGrid w:val="0"/>
        <w:spacing w:line="360" w:lineRule="auto"/>
        <w:ind w:firstLine="420"/>
        <w:rPr>
          <w:rFonts w:ascii="宋体" w:hAnsi="宋体"/>
          <w:szCs w:val="21"/>
        </w:rPr>
      </w:pPr>
      <w:r>
        <w:rPr>
          <w:rFonts w:ascii="宋体" w:hAnsi="宋体" w:hint="eastAsia"/>
          <w:szCs w:val="21"/>
        </w:rPr>
        <w:t>需提供不少于3名公司技术人员在国家级驻场，驻场地址为国家气象信息中心，工作时间为5×8小时，提供如下服务：</w:t>
      </w:r>
    </w:p>
    <w:p w:rsidR="004B37EC" w:rsidP="004B37EC">
      <w:pPr>
        <w:snapToGrid w:val="0"/>
        <w:spacing w:line="360" w:lineRule="auto"/>
        <w:ind w:firstLine="420"/>
        <w:jc w:val="left"/>
        <w:rPr>
          <w:rFonts w:ascii="宋体" w:hAnsi="宋体"/>
          <w:szCs w:val="21"/>
        </w:rPr>
      </w:pPr>
      <w:r>
        <w:rPr>
          <w:rFonts w:ascii="宋体" w:hAnsi="宋体" w:hint="eastAsia"/>
          <w:szCs w:val="21"/>
        </w:rPr>
        <w:t>日常巡查：</w:t>
      </w:r>
    </w:p>
    <w:p w:rsidR="004B37EC" w:rsidP="004B37EC">
      <w:pPr>
        <w:snapToGrid w:val="0"/>
        <w:spacing w:line="360" w:lineRule="auto"/>
        <w:ind w:firstLine="420"/>
        <w:rPr>
          <w:rFonts w:ascii="宋体" w:hAnsi="宋体"/>
          <w:szCs w:val="21"/>
        </w:rPr>
      </w:pPr>
      <w:r>
        <w:rPr>
          <w:rFonts w:ascii="宋体" w:hAnsi="宋体" w:hint="eastAsia"/>
          <w:szCs w:val="21"/>
        </w:rPr>
        <w:t>国家级节点每天现场巡查</w:t>
      </w:r>
      <w:r w:rsidR="002D714A">
        <w:rPr>
          <w:rFonts w:ascii="宋体" w:hAnsi="宋体" w:hint="eastAsia"/>
          <w:szCs w:val="21"/>
        </w:rPr>
        <w:t>不少于2</w:t>
      </w:r>
      <w:r>
        <w:rPr>
          <w:rFonts w:ascii="宋体" w:hAnsi="宋体" w:hint="eastAsia"/>
          <w:szCs w:val="21"/>
        </w:rPr>
        <w:t>次，巡查内容包括系统软件基本运行状态、应用软件运行状态、运行日志，系统相关网络、传输链路状况、系统存储的使用情况等；</w:t>
      </w:r>
    </w:p>
    <w:p w:rsidR="004B37EC" w:rsidP="004B37EC">
      <w:pPr>
        <w:snapToGrid w:val="0"/>
        <w:spacing w:line="360" w:lineRule="auto"/>
        <w:ind w:firstLine="420"/>
        <w:rPr>
          <w:rFonts w:ascii="宋体" w:hAnsi="宋体"/>
          <w:szCs w:val="21"/>
        </w:rPr>
      </w:pPr>
      <w:r>
        <w:rPr>
          <w:rFonts w:ascii="宋体" w:hAnsi="宋体" w:hint="eastAsia"/>
          <w:szCs w:val="21"/>
        </w:rPr>
        <w:t>省市节点每日监控平台巡检</w:t>
      </w:r>
      <w:r w:rsidR="002D714A">
        <w:rPr>
          <w:rFonts w:ascii="宋体" w:hAnsi="宋体" w:hint="eastAsia"/>
          <w:szCs w:val="21"/>
        </w:rPr>
        <w:t>不少于2</w:t>
      </w:r>
      <w:r>
        <w:rPr>
          <w:rFonts w:ascii="宋体" w:hAnsi="宋体" w:hint="eastAsia"/>
          <w:szCs w:val="21"/>
        </w:rPr>
        <w:t>次，巡检内容包括</w:t>
      </w:r>
      <w:r>
        <w:rPr>
          <w:rFonts w:ascii="宋体" w:hAnsi="宋体" w:hint="eastAsia"/>
          <w:szCs w:val="21"/>
        </w:rPr>
        <w:t>ei</w:t>
      </w:r>
      <w:r>
        <w:rPr>
          <w:rFonts w:ascii="宋体" w:hAnsi="宋体" w:hint="eastAsia"/>
          <w:szCs w:val="21"/>
        </w:rPr>
        <w:t>是否运行正常，</w:t>
      </w:r>
      <w:r>
        <w:rPr>
          <w:rFonts w:ascii="宋体" w:hAnsi="宋体" w:hint="eastAsia"/>
          <w:szCs w:val="21"/>
        </w:rPr>
        <w:t>tlq</w:t>
      </w:r>
      <w:r>
        <w:rPr>
          <w:rFonts w:ascii="宋体" w:hAnsi="宋体" w:hint="eastAsia"/>
          <w:szCs w:val="21"/>
        </w:rPr>
        <w:t>是否运行正常，网络是否连通。</w:t>
      </w:r>
    </w:p>
    <w:p w:rsidR="004B37EC" w:rsidP="004B37EC">
      <w:pPr>
        <w:snapToGrid w:val="0"/>
        <w:spacing w:line="360" w:lineRule="auto"/>
        <w:ind w:firstLine="420"/>
        <w:rPr>
          <w:rFonts w:ascii="宋体" w:hAnsi="宋体"/>
          <w:szCs w:val="21"/>
        </w:rPr>
      </w:pPr>
      <w:r>
        <w:rPr>
          <w:rFonts w:ascii="宋体" w:hAnsi="宋体" w:hint="eastAsia"/>
          <w:szCs w:val="21"/>
        </w:rPr>
        <w:t>故障及问题处理服务：对工作时间的运行故障及运行问题，及日常巡查过程中发现的问题，进行及时解决处理和优化调整，一般故障恢复时间不超过</w:t>
      </w:r>
      <w:r>
        <w:rPr>
          <w:rFonts w:ascii="宋体" w:hAnsi="宋体"/>
          <w:szCs w:val="21"/>
        </w:rPr>
        <w:t>20</w:t>
      </w:r>
      <w:r>
        <w:rPr>
          <w:rFonts w:ascii="宋体" w:hAnsi="宋体" w:hint="eastAsia"/>
          <w:szCs w:val="21"/>
        </w:rPr>
        <w:t>分钟，超过20分钟及时通知用户；</w:t>
      </w:r>
      <w:r>
        <w:rPr>
          <w:rFonts w:ascii="宋体" w:hAnsi="宋体"/>
          <w:szCs w:val="21"/>
        </w:rPr>
        <w:t xml:space="preserve"> </w:t>
      </w:r>
    </w:p>
    <w:p w:rsidR="004B37EC" w:rsidP="004B37EC">
      <w:pPr>
        <w:snapToGrid w:val="0"/>
        <w:spacing w:line="360" w:lineRule="auto"/>
        <w:ind w:firstLine="420"/>
        <w:rPr>
          <w:rFonts w:ascii="宋体" w:hAnsi="宋体"/>
          <w:szCs w:val="21"/>
        </w:rPr>
      </w:pPr>
      <w:r>
        <w:rPr>
          <w:rFonts w:ascii="宋体" w:hAnsi="宋体" w:hint="eastAsia"/>
          <w:szCs w:val="21"/>
        </w:rPr>
        <w:t>技术支持服务：通过</w:t>
      </w:r>
      <w:r>
        <w:rPr>
          <w:rFonts w:ascii="宋体" w:hAnsi="宋体"/>
          <w:szCs w:val="21"/>
        </w:rPr>
        <w:t>QQ</w:t>
      </w:r>
      <w:r>
        <w:rPr>
          <w:rFonts w:ascii="宋体" w:hAnsi="宋体" w:hint="eastAsia"/>
          <w:szCs w:val="21"/>
        </w:rPr>
        <w:t>群、电话、邮件等方式，为国家、省、市三级发布平台运行提供问题解答及技术支持。</w:t>
      </w:r>
    </w:p>
    <w:p w:rsidR="004B37EC" w:rsidP="004B37EC">
      <w:pPr>
        <w:snapToGrid w:val="0"/>
        <w:spacing w:line="360" w:lineRule="auto"/>
        <w:ind w:firstLine="420"/>
        <w:rPr>
          <w:rFonts w:ascii="Menlo Regular" w:hAnsi="Menlo Regular" w:cs="Menlo Regular"/>
          <w:szCs w:val="21"/>
        </w:rPr>
      </w:pPr>
      <w:r>
        <w:rPr>
          <w:rFonts w:ascii="Menlo Regular" w:hAnsi="Menlo Regular" w:cs="Menlo Regular" w:hint="eastAsia"/>
          <w:szCs w:val="21"/>
        </w:rPr>
        <w:t>遇采购人重大事件保障任务期间，视采购人需要，承诺可临时提升驻场服务时间至</w:t>
      </w:r>
      <w:r>
        <w:rPr>
          <w:rFonts w:ascii="宋体" w:hAnsi="宋体"/>
          <w:szCs w:val="21"/>
        </w:rPr>
        <w:t>7</w:t>
      </w:r>
      <w:r>
        <w:rPr>
          <w:rFonts w:ascii="宋体" w:hAnsi="宋体" w:hint="eastAsia"/>
          <w:szCs w:val="21"/>
        </w:rPr>
        <w:t>×</w:t>
      </w:r>
      <w:r>
        <w:rPr>
          <w:rFonts w:ascii="宋体" w:hAnsi="宋体"/>
          <w:szCs w:val="21"/>
        </w:rPr>
        <w:t>24</w:t>
      </w:r>
      <w:r>
        <w:rPr>
          <w:rFonts w:ascii="Menlo Regular" w:hAnsi="Menlo Regular" w:cs="Menlo Regular" w:hint="eastAsia"/>
          <w:szCs w:val="21"/>
        </w:rPr>
        <w:t>小时。</w:t>
      </w:r>
    </w:p>
    <w:p w:rsidR="004B37EC" w:rsidP="004B37EC">
      <w:pPr>
        <w:snapToGrid w:val="0"/>
        <w:spacing w:line="360" w:lineRule="auto"/>
        <w:ind w:firstLine="420"/>
        <w:jc w:val="left"/>
        <w:rPr>
          <w:rFonts w:ascii="宋体" w:hAnsi="宋体"/>
          <w:szCs w:val="21"/>
        </w:rPr>
      </w:pPr>
      <w:r>
        <w:rPr>
          <w:rFonts w:ascii="宋体" w:hAnsi="宋体" w:hint="eastAsia"/>
          <w:szCs w:val="21"/>
        </w:rPr>
        <w:t>（2）非工作时间</w:t>
      </w:r>
      <w:r>
        <w:rPr>
          <w:rFonts w:ascii="宋体" w:hAnsi="宋体" w:hint="eastAsia"/>
          <w:szCs w:val="21"/>
        </w:rPr>
        <w:t>远程支持</w:t>
      </w:r>
      <w:r>
        <w:rPr>
          <w:rFonts w:ascii="宋体" w:hAnsi="宋体" w:hint="eastAsia"/>
          <w:szCs w:val="21"/>
        </w:rPr>
        <w:t>服务</w:t>
      </w:r>
    </w:p>
    <w:p w:rsidR="004B37EC" w:rsidP="004B37EC">
      <w:pPr>
        <w:snapToGrid w:val="0"/>
        <w:spacing w:line="360" w:lineRule="auto"/>
        <w:ind w:firstLine="420"/>
        <w:rPr>
          <w:rFonts w:ascii="宋体" w:hAnsi="宋体"/>
          <w:szCs w:val="21"/>
        </w:rPr>
      </w:pPr>
      <w:r>
        <w:rPr>
          <w:rFonts w:ascii="宋体" w:hAnsi="宋体" w:hint="eastAsia"/>
          <w:szCs w:val="21"/>
        </w:rPr>
        <w:t>在驻场服务时间外，提供国家、省和地市级7×24小时</w:t>
      </w:r>
      <w:r>
        <w:rPr>
          <w:rFonts w:ascii="宋体" w:hAnsi="宋体" w:hint="eastAsia"/>
          <w:szCs w:val="21"/>
        </w:rPr>
        <w:t>远程支持</w:t>
      </w:r>
      <w:r>
        <w:rPr>
          <w:rFonts w:ascii="宋体" w:hAnsi="宋体" w:hint="eastAsia"/>
          <w:szCs w:val="21"/>
        </w:rPr>
        <w:t>服务，包括：</w:t>
      </w:r>
    </w:p>
    <w:p w:rsidR="004B37EC" w:rsidP="004B37EC">
      <w:pPr>
        <w:snapToGrid w:val="0"/>
        <w:spacing w:line="360" w:lineRule="auto"/>
        <w:ind w:firstLine="420"/>
        <w:rPr>
          <w:rFonts w:ascii="宋体" w:hAnsi="宋体"/>
          <w:szCs w:val="21"/>
        </w:rPr>
      </w:pPr>
      <w:r>
        <w:rPr>
          <w:rFonts w:ascii="宋体" w:hAnsi="宋体" w:hint="eastAsia"/>
          <w:szCs w:val="21"/>
        </w:rPr>
        <w:t>故障处理响应支持：对非工作时间外发生的、国家、省和地市级技术人员无法自行解决的运行故障，提供故障处理支持，响应时间为</w:t>
      </w:r>
      <w:r>
        <w:rPr>
          <w:rFonts w:ascii="宋体" w:hAnsi="宋体"/>
          <w:szCs w:val="21"/>
        </w:rPr>
        <w:t>10</w:t>
      </w:r>
      <w:r>
        <w:rPr>
          <w:rFonts w:ascii="宋体" w:hAnsi="宋体" w:hint="eastAsia"/>
          <w:szCs w:val="21"/>
        </w:rPr>
        <w:t>分钟，必要时通过安全的技术手段连接到国家、省和地市级发布平台协助处理故障，系统软件根据需要提供原厂或原厂认证工程师服务，</w:t>
      </w:r>
      <w:r w:rsidR="002D714A">
        <w:rPr>
          <w:rFonts w:ascii="宋体" w:hAnsi="宋体" w:hint="eastAsia"/>
          <w:szCs w:val="21"/>
        </w:rPr>
        <w:t>一般</w:t>
      </w:r>
      <w:r>
        <w:rPr>
          <w:rFonts w:ascii="宋体" w:hAnsi="宋体" w:hint="eastAsia"/>
          <w:szCs w:val="21"/>
        </w:rPr>
        <w:t>故障恢复时间不超过</w:t>
      </w:r>
      <w:r>
        <w:rPr>
          <w:rFonts w:ascii="宋体" w:hAnsi="宋体"/>
          <w:szCs w:val="21"/>
        </w:rPr>
        <w:t>20</w:t>
      </w:r>
      <w:r>
        <w:rPr>
          <w:rFonts w:ascii="宋体" w:hAnsi="宋体" w:hint="eastAsia"/>
          <w:szCs w:val="21"/>
        </w:rPr>
        <w:t>分钟</w:t>
      </w:r>
      <w:bookmarkStart w:id="59" w:name="OLE_LINK6"/>
      <w:r>
        <w:rPr>
          <w:rFonts w:ascii="宋体" w:hAnsi="宋体" w:hint="eastAsia"/>
          <w:szCs w:val="21"/>
        </w:rPr>
        <w:t>，</w:t>
      </w:r>
      <w:bookmarkStart w:id="60" w:name="OLE_LINK7"/>
      <w:r>
        <w:rPr>
          <w:rFonts w:ascii="宋体" w:hAnsi="宋体" w:hint="eastAsia"/>
          <w:szCs w:val="21"/>
        </w:rPr>
        <w:t>超过</w:t>
      </w:r>
      <w:r>
        <w:rPr>
          <w:rFonts w:ascii="宋体" w:hAnsi="宋体"/>
          <w:szCs w:val="21"/>
        </w:rPr>
        <w:t>20分钟及时通知用户</w:t>
      </w:r>
      <w:bookmarkEnd w:id="59"/>
      <w:bookmarkEnd w:id="60"/>
      <w:r>
        <w:rPr>
          <w:rFonts w:ascii="宋体" w:hAnsi="宋体" w:hint="eastAsia"/>
          <w:szCs w:val="21"/>
        </w:rPr>
        <w:t>；</w:t>
      </w:r>
    </w:p>
    <w:p w:rsidR="004B37EC" w:rsidP="004B37EC">
      <w:pPr>
        <w:snapToGrid w:val="0"/>
        <w:spacing w:line="360" w:lineRule="auto"/>
        <w:ind w:firstLine="420"/>
        <w:rPr>
          <w:rFonts w:ascii="宋体" w:hAnsi="宋体"/>
          <w:szCs w:val="21"/>
        </w:rPr>
      </w:pPr>
      <w:r>
        <w:rPr>
          <w:rFonts w:ascii="宋体" w:hAnsi="宋体" w:hint="eastAsia"/>
          <w:szCs w:val="21"/>
        </w:rPr>
        <w:t>技术支持服务：通过电话、网络等方式，为国家、省和地市级发布平台运行技术问题提供问题解答及技术支持，响应时间为</w:t>
      </w:r>
      <w:r>
        <w:rPr>
          <w:rFonts w:ascii="宋体" w:hAnsi="宋体"/>
          <w:szCs w:val="21"/>
        </w:rPr>
        <w:t>10</w:t>
      </w:r>
      <w:r>
        <w:rPr>
          <w:rFonts w:ascii="宋体" w:hAnsi="宋体" w:hint="eastAsia"/>
          <w:szCs w:val="21"/>
        </w:rPr>
        <w:t>分钟。</w:t>
      </w:r>
    </w:p>
    <w:p w:rsidR="004B37EC" w:rsidP="004B37EC">
      <w:pPr>
        <w:snapToGrid w:val="0"/>
        <w:spacing w:line="360" w:lineRule="auto"/>
        <w:ind w:firstLine="420"/>
        <w:jc w:val="left"/>
        <w:rPr>
          <w:rFonts w:ascii="宋体" w:hAnsi="宋体"/>
          <w:szCs w:val="21"/>
        </w:rPr>
      </w:pPr>
      <w:r>
        <w:rPr>
          <w:rFonts w:ascii="宋体" w:hAnsi="宋体" w:hint="eastAsia"/>
          <w:szCs w:val="21"/>
        </w:rPr>
        <w:t>（3）现场支持服务</w:t>
      </w:r>
    </w:p>
    <w:p w:rsidR="004B37EC" w:rsidP="004B37EC">
      <w:pPr>
        <w:snapToGrid w:val="0"/>
        <w:spacing w:line="360" w:lineRule="auto"/>
        <w:ind w:firstLine="420"/>
        <w:rPr>
          <w:rFonts w:ascii="宋体" w:hAnsi="宋体"/>
          <w:szCs w:val="21"/>
        </w:rPr>
      </w:pPr>
      <w:r>
        <w:rPr>
          <w:rFonts w:ascii="宋体" w:hAnsi="宋体" w:hint="eastAsia"/>
          <w:szCs w:val="21"/>
        </w:rPr>
        <w:t>针对国家级节点工作时间驻场人员无法解决的严重故障，及非工作时间、无法通过远程方式支持解决的严重故障，进行现场紧急处理，响应时间为1小时，服务时间为7×24小时，一般故障恢复时间不超过20分钟，超过20分钟及时通知用户。</w:t>
      </w:r>
    </w:p>
    <w:p w:rsidR="004B37EC" w:rsidP="004B37EC">
      <w:pPr>
        <w:snapToGrid w:val="0"/>
        <w:spacing w:line="360" w:lineRule="auto"/>
        <w:ind w:firstLine="420"/>
        <w:jc w:val="left"/>
        <w:rPr>
          <w:rFonts w:ascii="宋体" w:hAnsi="宋体"/>
          <w:szCs w:val="21"/>
        </w:rPr>
      </w:pPr>
      <w:r>
        <w:rPr>
          <w:rFonts w:ascii="宋体" w:hAnsi="宋体" w:hint="eastAsia"/>
          <w:szCs w:val="21"/>
        </w:rPr>
        <w:t>（4）发布平台系统软件维保服务</w:t>
      </w:r>
    </w:p>
    <w:p w:rsidR="004B37EC" w:rsidP="004B37EC">
      <w:pPr>
        <w:snapToGrid w:val="0"/>
        <w:spacing w:line="360" w:lineRule="auto"/>
        <w:ind w:firstLine="420"/>
        <w:rPr>
          <w:rFonts w:ascii="宋体" w:hAnsi="宋体"/>
          <w:szCs w:val="21"/>
        </w:rPr>
      </w:pPr>
      <w:r>
        <w:rPr>
          <w:rFonts w:ascii="宋体" w:hAnsi="宋体" w:hint="eastAsia"/>
          <w:szCs w:val="21"/>
        </w:rPr>
        <w:t>TongLINK</w:t>
      </w:r>
      <w:r>
        <w:rPr>
          <w:rFonts w:ascii="宋体" w:hAnsi="宋体" w:hint="eastAsia"/>
          <w:szCs w:val="21"/>
        </w:rPr>
        <w:t>/Q、MySQL、SUSE Linux/HA、Turbo Linux/HA原厂或原厂认证工程师，对国家级节点每季度巡检一次，</w:t>
      </w:r>
      <w:r>
        <w:rPr>
          <w:rFonts w:hint="eastAsia"/>
          <w:szCs w:val="21"/>
          <w:lang w:val="zh-CN"/>
        </w:rPr>
        <w:t>对省级节点每年远程巡检一次并</w:t>
      </w:r>
      <w:r>
        <w:rPr>
          <w:rFonts w:ascii="宋体" w:hAnsi="宋体" w:hint="eastAsia"/>
          <w:szCs w:val="21"/>
        </w:rPr>
        <w:t>提供巡检报告。</w:t>
      </w: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三. 进度及交付要求</w:t>
      </w:r>
    </w:p>
    <w:p w:rsidR="004B37EC" w:rsidP="004B37EC">
      <w:pPr>
        <w:snapToGrid w:val="0"/>
        <w:spacing w:line="360" w:lineRule="auto"/>
        <w:ind w:firstLine="420"/>
        <w:jc w:val="left"/>
        <w:rPr>
          <w:rFonts w:ascii="宋体" w:hAnsi="宋体"/>
          <w:b/>
          <w:szCs w:val="21"/>
        </w:rPr>
      </w:pPr>
      <w:r>
        <w:rPr>
          <w:rFonts w:ascii="宋体" w:hAnsi="宋体" w:hint="eastAsia"/>
          <w:b/>
          <w:szCs w:val="21"/>
        </w:rPr>
        <w:t>国家突发公共事件预警信息发布管理平台硬件维保：</w:t>
      </w:r>
    </w:p>
    <w:p w:rsidR="004B37EC" w:rsidP="004B37EC">
      <w:pPr>
        <w:snapToGrid w:val="0"/>
        <w:spacing w:line="360" w:lineRule="auto"/>
        <w:ind w:firstLine="420"/>
        <w:jc w:val="left"/>
        <w:rPr>
          <w:rFonts w:ascii="宋体" w:hAnsi="宋体"/>
          <w:szCs w:val="21"/>
        </w:rPr>
      </w:pPr>
      <w:r>
        <w:rPr>
          <w:rFonts w:ascii="宋体" w:hAnsi="宋体" w:hint="eastAsia"/>
          <w:szCs w:val="21"/>
        </w:rPr>
        <w:t>（1）服务期限</w:t>
      </w:r>
    </w:p>
    <w:p w:rsidR="004B37EC" w:rsidP="004B37EC">
      <w:pPr>
        <w:snapToGrid w:val="0"/>
        <w:spacing w:line="360" w:lineRule="auto"/>
        <w:ind w:left="420" w:firstLine="420"/>
        <w:jc w:val="left"/>
        <w:rPr>
          <w:rFonts w:ascii="宋体" w:hAnsi="宋体"/>
          <w:szCs w:val="21"/>
        </w:rPr>
      </w:pPr>
      <w:r>
        <w:rPr>
          <w:rFonts w:ascii="宋体" w:hAnsi="宋体" w:hint="eastAsia"/>
          <w:bCs/>
          <w:szCs w:val="21"/>
        </w:rPr>
        <w:t>2025年10月1日-2026年9月30日</w:t>
      </w:r>
      <w:r>
        <w:rPr>
          <w:rFonts w:ascii="宋体" w:hAnsi="宋体" w:hint="eastAsia"/>
          <w:szCs w:val="21"/>
        </w:rPr>
        <w:t>。</w:t>
      </w:r>
    </w:p>
    <w:tbl>
      <w:tblPr>
        <w:tblStyle w:val="TableNormal"/>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62"/>
        <w:gridCol w:w="5859"/>
      </w:tblGrid>
      <w:tr w:rsidTr="00ED1535">
        <w:tblPrEx>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2762" w:type="dxa"/>
            <w:shd w:val="pct10" w:color="auto" w:fill="auto"/>
          </w:tcPr>
          <w:p w:rsidR="004B37EC" w:rsidP="00ED1535">
            <w:pPr>
              <w:pStyle w:val="B"/>
            </w:pPr>
            <w:r>
              <w:rPr>
                <w:rFonts w:hint="eastAsia"/>
              </w:rPr>
              <w:t>工作内容</w:t>
            </w:r>
          </w:p>
        </w:tc>
        <w:tc>
          <w:tcPr>
            <w:tcW w:w="5859" w:type="dxa"/>
            <w:shd w:val="pct10" w:color="auto" w:fill="auto"/>
          </w:tcPr>
          <w:p w:rsidR="004B37EC" w:rsidP="00ED1535">
            <w:pPr>
              <w:pStyle w:val="B"/>
            </w:pPr>
            <w:r>
              <w:rPr>
                <w:rFonts w:hint="eastAsia"/>
              </w:rPr>
              <w:t>技术文档</w:t>
            </w:r>
          </w:p>
        </w:tc>
      </w:tr>
      <w:tr w:rsidTr="00ED1535">
        <w:tblPrEx>
          <w:tblW w:w="8621" w:type="dxa"/>
          <w:jc w:val="center"/>
          <w:tblLayout w:type="fixed"/>
          <w:tblLook w:val="0000"/>
        </w:tblPrEx>
        <w:trPr>
          <w:jc w:val="center"/>
        </w:trPr>
        <w:tc>
          <w:tcPr>
            <w:tcW w:w="2762" w:type="dxa"/>
            <w:vMerge w:val="restart"/>
            <w:vAlign w:val="center"/>
          </w:tcPr>
          <w:p w:rsidR="004B37EC" w:rsidP="00ED1535">
            <w:pPr>
              <w:pStyle w:val="B0"/>
              <w:jc w:val="both"/>
            </w:pPr>
            <w:r>
              <w:rPr>
                <w:rFonts w:hint="eastAsia"/>
              </w:rPr>
              <w:t>硬件维保</w:t>
            </w:r>
          </w:p>
        </w:tc>
        <w:tc>
          <w:tcPr>
            <w:tcW w:w="5859" w:type="dxa"/>
          </w:tcPr>
          <w:p w:rsidR="004B37EC" w:rsidP="00ED1535">
            <w:pPr>
              <w:pStyle w:val="B0"/>
            </w:pPr>
            <w:r>
              <w:rPr>
                <w:rFonts w:hint="eastAsia"/>
              </w:rPr>
              <w:t>硬件故障记录单</w:t>
            </w:r>
          </w:p>
        </w:tc>
      </w:tr>
      <w:tr w:rsidTr="00ED1535">
        <w:tblPrEx>
          <w:tblW w:w="8621" w:type="dxa"/>
          <w:jc w:val="center"/>
          <w:tblLayout w:type="fixed"/>
          <w:tblLook w:val="0000"/>
        </w:tblPrEx>
        <w:trPr>
          <w:jc w:val="center"/>
        </w:trPr>
        <w:tc>
          <w:tcPr>
            <w:tcW w:w="2762" w:type="dxa"/>
            <w:vMerge/>
            <w:tcBorders>
              <w:bottom w:val="single" w:sz="4" w:space="0" w:color="000000"/>
            </w:tcBorders>
          </w:tcPr>
          <w:p w:rsidR="004B37EC" w:rsidP="00ED1535">
            <w:pPr>
              <w:pStyle w:val="B0"/>
            </w:pPr>
          </w:p>
        </w:tc>
        <w:tc>
          <w:tcPr>
            <w:tcW w:w="5859" w:type="dxa"/>
            <w:tcBorders>
              <w:top w:val="single" w:sz="4" w:space="0" w:color="000000"/>
              <w:bottom w:val="single" w:sz="4" w:space="0" w:color="000000"/>
              <w:right w:val="single" w:sz="4" w:space="0" w:color="000000"/>
            </w:tcBorders>
          </w:tcPr>
          <w:p w:rsidR="004B37EC" w:rsidP="00ED1535">
            <w:pPr>
              <w:pStyle w:val="B0"/>
            </w:pPr>
            <w:r>
              <w:rPr>
                <w:rFonts w:hint="eastAsia"/>
              </w:rPr>
              <w:t>硬件巡检报告</w:t>
            </w:r>
          </w:p>
        </w:tc>
      </w:tr>
      <w:tr w:rsidTr="00ED1535">
        <w:tblPrEx>
          <w:tblW w:w="8621" w:type="dxa"/>
          <w:jc w:val="center"/>
          <w:tblLayout w:type="fixed"/>
          <w:tblLook w:val="0000"/>
        </w:tblPrEx>
        <w:trPr>
          <w:jc w:val="center"/>
        </w:trPr>
        <w:tc>
          <w:tcPr>
            <w:tcW w:w="2762" w:type="dxa"/>
            <w:vMerge/>
            <w:tcBorders>
              <w:bottom w:val="single" w:sz="4" w:space="0" w:color="000000"/>
            </w:tcBorders>
          </w:tcPr>
          <w:p w:rsidR="004B37EC" w:rsidP="00ED1535">
            <w:pPr>
              <w:pStyle w:val="B0"/>
            </w:pPr>
          </w:p>
        </w:tc>
        <w:tc>
          <w:tcPr>
            <w:tcW w:w="5859" w:type="dxa"/>
            <w:tcBorders>
              <w:top w:val="single" w:sz="4" w:space="0" w:color="000000"/>
              <w:bottom w:val="single" w:sz="4" w:space="0" w:color="000000"/>
              <w:right w:val="single" w:sz="4" w:space="0" w:color="000000"/>
            </w:tcBorders>
          </w:tcPr>
          <w:p w:rsidR="004B37EC" w:rsidP="00ED1535">
            <w:pPr>
              <w:pStyle w:val="B0"/>
            </w:pPr>
            <w:r>
              <w:rPr>
                <w:rFonts w:hint="eastAsia"/>
              </w:rPr>
              <w:t>问题解决手册</w:t>
            </w:r>
          </w:p>
        </w:tc>
      </w:tr>
    </w:tbl>
    <w:p w:rsidR="004B37EC" w:rsidP="004B37EC">
      <w:pPr>
        <w:snapToGrid w:val="0"/>
        <w:spacing w:line="360" w:lineRule="auto"/>
        <w:jc w:val="left"/>
        <w:rPr>
          <w:rFonts w:ascii="宋体" w:hAnsi="宋体"/>
          <w:b/>
          <w:szCs w:val="21"/>
        </w:rPr>
      </w:pPr>
      <w:r>
        <w:rPr>
          <w:rFonts w:ascii="宋体" w:hAnsi="宋体" w:hint="eastAsia"/>
          <w:b/>
          <w:szCs w:val="21"/>
        </w:rPr>
        <w:t xml:space="preserve">  </w:t>
      </w:r>
    </w:p>
    <w:p w:rsidR="004B37EC" w:rsidP="004B37EC">
      <w:pPr>
        <w:snapToGrid w:val="0"/>
        <w:spacing w:line="360" w:lineRule="auto"/>
        <w:ind w:firstLine="210" w:firstLineChars="100"/>
        <w:jc w:val="left"/>
        <w:rPr>
          <w:rFonts w:ascii="宋体" w:hAnsi="宋体"/>
          <w:b/>
          <w:szCs w:val="21"/>
        </w:rPr>
      </w:pPr>
      <w:r>
        <w:rPr>
          <w:rFonts w:ascii="宋体" w:hAnsi="宋体" w:hint="eastAsia"/>
          <w:b/>
          <w:szCs w:val="21"/>
        </w:rPr>
        <w:t>国家突发公共事件预警信息发布管理平台应用软件维保：</w:t>
      </w:r>
    </w:p>
    <w:p w:rsidR="004B37EC" w:rsidP="004B37EC">
      <w:pPr>
        <w:snapToGrid w:val="0"/>
        <w:spacing w:line="360" w:lineRule="auto"/>
        <w:ind w:firstLine="420"/>
        <w:jc w:val="left"/>
        <w:rPr>
          <w:rFonts w:ascii="宋体" w:hAnsi="宋体"/>
          <w:szCs w:val="21"/>
        </w:rPr>
      </w:pPr>
      <w:r>
        <w:rPr>
          <w:rFonts w:ascii="宋体" w:hAnsi="宋体" w:hint="eastAsia"/>
          <w:szCs w:val="21"/>
        </w:rPr>
        <w:t>（1）服务期限</w:t>
      </w:r>
    </w:p>
    <w:p w:rsidR="004B37EC" w:rsidP="004B37EC">
      <w:pPr>
        <w:snapToGrid w:val="0"/>
        <w:spacing w:line="360" w:lineRule="auto"/>
        <w:ind w:left="420" w:firstLine="420"/>
        <w:jc w:val="left"/>
        <w:rPr>
          <w:rFonts w:ascii="宋体" w:hAnsi="宋体"/>
          <w:szCs w:val="21"/>
        </w:rPr>
      </w:pPr>
      <w:r>
        <w:rPr>
          <w:rFonts w:ascii="宋体" w:hAnsi="宋体" w:hint="eastAsia"/>
          <w:bCs/>
          <w:szCs w:val="21"/>
        </w:rPr>
        <w:t>2025年10月1日-2026年9月30日</w:t>
      </w:r>
      <w:r>
        <w:rPr>
          <w:rFonts w:ascii="宋体" w:hAnsi="宋体" w:hint="eastAsia"/>
          <w:szCs w:val="21"/>
        </w:rPr>
        <w:t>。</w:t>
      </w:r>
    </w:p>
    <w:p w:rsidR="004B37EC" w:rsidP="004B37EC">
      <w:pPr>
        <w:snapToGrid w:val="0"/>
        <w:spacing w:line="360" w:lineRule="auto"/>
        <w:ind w:firstLine="420"/>
        <w:jc w:val="left"/>
        <w:rPr>
          <w:rFonts w:ascii="宋体" w:hAnsi="宋体"/>
          <w:szCs w:val="21"/>
        </w:rPr>
      </w:pPr>
      <w:r>
        <w:rPr>
          <w:rFonts w:ascii="宋体" w:hAnsi="宋体" w:hint="eastAsia"/>
          <w:szCs w:val="21"/>
        </w:rPr>
        <w:t>（2）交付物要求</w:t>
      </w:r>
    </w:p>
    <w:tbl>
      <w:tblPr>
        <w:tblStyle w:val="TableNormal"/>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62"/>
        <w:gridCol w:w="5859"/>
      </w:tblGrid>
      <w:tr w:rsidTr="00ED1535">
        <w:tblPrEx>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2762" w:type="dxa"/>
            <w:shd w:val="pct10" w:color="auto" w:fill="auto"/>
          </w:tcPr>
          <w:p w:rsidR="004B37EC" w:rsidP="00ED1535">
            <w:pPr>
              <w:pStyle w:val="B"/>
            </w:pPr>
            <w:r>
              <w:rPr>
                <w:rFonts w:hint="eastAsia"/>
              </w:rPr>
              <w:t>工作内容</w:t>
            </w:r>
          </w:p>
        </w:tc>
        <w:tc>
          <w:tcPr>
            <w:tcW w:w="5859" w:type="dxa"/>
            <w:shd w:val="pct10" w:color="auto" w:fill="auto"/>
          </w:tcPr>
          <w:p w:rsidR="004B37EC" w:rsidP="00ED1535">
            <w:pPr>
              <w:pStyle w:val="B"/>
            </w:pPr>
            <w:r>
              <w:rPr>
                <w:rFonts w:hint="eastAsia"/>
              </w:rPr>
              <w:t>技术文档</w:t>
            </w:r>
          </w:p>
        </w:tc>
      </w:tr>
      <w:tr w:rsidTr="00ED1535">
        <w:tblPrEx>
          <w:tblW w:w="8621" w:type="dxa"/>
          <w:jc w:val="center"/>
          <w:tblLayout w:type="fixed"/>
          <w:tblLook w:val="0000"/>
        </w:tblPrEx>
        <w:trPr>
          <w:jc w:val="center"/>
        </w:trPr>
        <w:tc>
          <w:tcPr>
            <w:tcW w:w="2762" w:type="dxa"/>
            <w:vMerge w:val="restart"/>
            <w:vAlign w:val="center"/>
          </w:tcPr>
          <w:p w:rsidR="004B37EC" w:rsidP="00ED1535">
            <w:pPr>
              <w:pStyle w:val="B0"/>
              <w:jc w:val="both"/>
            </w:pPr>
            <w:r>
              <w:rPr>
                <w:rFonts w:hint="eastAsia"/>
              </w:rPr>
              <w:t>应用软件维保</w:t>
            </w:r>
          </w:p>
        </w:tc>
        <w:tc>
          <w:tcPr>
            <w:tcW w:w="5859" w:type="dxa"/>
          </w:tcPr>
          <w:p w:rsidR="004B37EC" w:rsidP="00ED1535">
            <w:pPr>
              <w:pStyle w:val="B0"/>
            </w:pPr>
            <w:r>
              <w:rPr>
                <w:rFonts w:hint="eastAsia"/>
              </w:rPr>
              <w:t>应用软件故障记录单</w:t>
            </w:r>
          </w:p>
        </w:tc>
      </w:tr>
      <w:tr w:rsidTr="00ED1535">
        <w:tblPrEx>
          <w:tblW w:w="8621" w:type="dxa"/>
          <w:jc w:val="center"/>
          <w:tblLayout w:type="fixed"/>
          <w:tblLook w:val="0000"/>
        </w:tblPrEx>
        <w:trPr>
          <w:jc w:val="center"/>
        </w:trPr>
        <w:tc>
          <w:tcPr>
            <w:tcW w:w="2762" w:type="dxa"/>
            <w:vMerge/>
          </w:tcPr>
          <w:p w:rsidR="004B37EC" w:rsidP="00ED1535">
            <w:pPr>
              <w:pStyle w:val="B0"/>
            </w:pPr>
          </w:p>
        </w:tc>
        <w:tc>
          <w:tcPr>
            <w:tcW w:w="5859" w:type="dxa"/>
          </w:tcPr>
          <w:p w:rsidR="004B37EC" w:rsidP="00ED1535">
            <w:pPr>
              <w:pStyle w:val="B0"/>
            </w:pPr>
            <w:r>
              <w:rPr>
                <w:rFonts w:hint="eastAsia"/>
              </w:rPr>
              <w:t>应用</w:t>
            </w:r>
            <w:r>
              <w:t>软件</w:t>
            </w:r>
            <w:r>
              <w:rPr>
                <w:rFonts w:hint="eastAsia"/>
              </w:rPr>
              <w:t>FAQ</w:t>
            </w:r>
            <w:r>
              <w:rPr>
                <w:rFonts w:hint="eastAsia"/>
              </w:rPr>
              <w:t>问题解决手册</w:t>
            </w:r>
          </w:p>
        </w:tc>
      </w:tr>
      <w:tr w:rsidTr="00ED1535">
        <w:tblPrEx>
          <w:tblW w:w="8621" w:type="dxa"/>
          <w:jc w:val="center"/>
          <w:tblLayout w:type="fixed"/>
          <w:tblLook w:val="0000"/>
        </w:tblPrEx>
        <w:trPr>
          <w:jc w:val="center"/>
        </w:trPr>
        <w:tc>
          <w:tcPr>
            <w:tcW w:w="2762" w:type="dxa"/>
            <w:vMerge/>
          </w:tcPr>
          <w:p w:rsidR="004B37EC" w:rsidP="00ED1535">
            <w:pPr>
              <w:pStyle w:val="B0"/>
            </w:pPr>
          </w:p>
        </w:tc>
        <w:tc>
          <w:tcPr>
            <w:tcW w:w="5859" w:type="dxa"/>
          </w:tcPr>
          <w:p w:rsidR="004B37EC" w:rsidP="00ED1535">
            <w:pPr>
              <w:pStyle w:val="B0"/>
            </w:pPr>
            <w:r>
              <w:rPr>
                <w:rFonts w:hint="eastAsia"/>
              </w:rPr>
              <w:t>应用软件维保总结报告</w:t>
            </w:r>
          </w:p>
        </w:tc>
      </w:tr>
    </w:tbl>
    <w:p w:rsidR="004B37EC" w:rsidP="004B37EC">
      <w:pPr>
        <w:snapToGrid w:val="0"/>
        <w:spacing w:line="360" w:lineRule="auto"/>
        <w:ind w:firstLine="420"/>
        <w:jc w:val="left"/>
        <w:rPr>
          <w:rFonts w:ascii="宋体" w:hAnsi="宋体"/>
          <w:b/>
          <w:szCs w:val="21"/>
        </w:rPr>
      </w:pPr>
    </w:p>
    <w:p w:rsidR="004B37EC" w:rsidP="004B37EC">
      <w:pPr>
        <w:snapToGrid w:val="0"/>
        <w:spacing w:line="360" w:lineRule="auto"/>
        <w:jc w:val="left"/>
        <w:rPr>
          <w:rFonts w:ascii="宋体" w:hAnsi="宋体"/>
          <w:b/>
          <w:szCs w:val="21"/>
        </w:rPr>
      </w:pPr>
      <w:r>
        <w:rPr>
          <w:rFonts w:ascii="宋体" w:hAnsi="宋体" w:hint="eastAsia"/>
          <w:b/>
          <w:szCs w:val="21"/>
        </w:rPr>
        <w:t xml:space="preserve">  国家突发公共事件预警信息发布管理平台系统软件维保：</w:t>
      </w:r>
    </w:p>
    <w:p w:rsidR="004B37EC" w:rsidP="004B37EC">
      <w:pPr>
        <w:snapToGrid w:val="0"/>
        <w:spacing w:line="360" w:lineRule="auto"/>
        <w:ind w:firstLine="420"/>
        <w:jc w:val="left"/>
        <w:rPr>
          <w:rFonts w:ascii="宋体" w:hAnsi="宋体"/>
          <w:szCs w:val="21"/>
        </w:rPr>
      </w:pPr>
      <w:r>
        <w:rPr>
          <w:rFonts w:ascii="宋体" w:hAnsi="宋体" w:hint="eastAsia"/>
          <w:szCs w:val="21"/>
        </w:rPr>
        <w:t>（1）服务期限</w:t>
      </w:r>
    </w:p>
    <w:p w:rsidR="004B37EC" w:rsidP="004B37EC">
      <w:pPr>
        <w:snapToGrid w:val="0"/>
        <w:spacing w:line="360" w:lineRule="auto"/>
        <w:ind w:left="420" w:firstLine="420"/>
        <w:jc w:val="left"/>
        <w:rPr>
          <w:rFonts w:ascii="宋体" w:hAnsi="宋体"/>
          <w:szCs w:val="21"/>
        </w:rPr>
      </w:pPr>
      <w:r>
        <w:rPr>
          <w:rFonts w:ascii="宋体" w:hAnsi="宋体" w:hint="eastAsia"/>
          <w:bCs/>
          <w:szCs w:val="21"/>
        </w:rPr>
        <w:t>合同签订</w:t>
      </w:r>
      <w:r>
        <w:rPr>
          <w:rFonts w:ascii="宋体" w:hAnsi="宋体"/>
          <w:bCs/>
          <w:szCs w:val="21"/>
        </w:rPr>
        <w:t>之日起</w:t>
      </w:r>
      <w:r>
        <w:rPr>
          <w:rFonts w:ascii="宋体" w:hAnsi="宋体" w:hint="eastAsia"/>
          <w:bCs/>
          <w:szCs w:val="21"/>
        </w:rPr>
        <w:t>一年</w:t>
      </w:r>
      <w:r>
        <w:rPr>
          <w:rFonts w:ascii="宋体" w:hAnsi="宋体" w:hint="eastAsia"/>
          <w:szCs w:val="21"/>
        </w:rPr>
        <w:t>。</w:t>
      </w:r>
    </w:p>
    <w:p w:rsidR="004B37EC" w:rsidP="004B37EC">
      <w:pPr>
        <w:snapToGrid w:val="0"/>
        <w:spacing w:line="360" w:lineRule="auto"/>
        <w:jc w:val="left"/>
        <w:rPr>
          <w:rFonts w:ascii="宋体" w:hAnsi="宋体"/>
          <w:szCs w:val="21"/>
        </w:rPr>
      </w:pPr>
      <w:r>
        <w:rPr>
          <w:rFonts w:ascii="宋体" w:hAnsi="宋体" w:hint="eastAsia"/>
          <w:szCs w:val="21"/>
        </w:rPr>
        <w:tab/>
        <w:t>（2）交付物要求</w:t>
      </w:r>
    </w:p>
    <w:tbl>
      <w:tblPr>
        <w:tblStyle w:val="TableNormal"/>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62"/>
        <w:gridCol w:w="5859"/>
      </w:tblGrid>
      <w:tr w:rsidTr="00ED1535">
        <w:tblPrEx>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2762" w:type="dxa"/>
            <w:shd w:val="pct10" w:color="auto" w:fill="auto"/>
          </w:tcPr>
          <w:p w:rsidR="004B37EC" w:rsidP="00ED1535">
            <w:pPr>
              <w:pStyle w:val="B"/>
            </w:pPr>
            <w:r>
              <w:rPr>
                <w:rFonts w:hint="eastAsia"/>
              </w:rPr>
              <w:t>工作内容</w:t>
            </w:r>
          </w:p>
        </w:tc>
        <w:tc>
          <w:tcPr>
            <w:tcW w:w="5859" w:type="dxa"/>
            <w:shd w:val="pct10" w:color="auto" w:fill="auto"/>
          </w:tcPr>
          <w:p w:rsidR="004B37EC" w:rsidP="00ED1535">
            <w:pPr>
              <w:pStyle w:val="B"/>
            </w:pPr>
            <w:r>
              <w:rPr>
                <w:rFonts w:hint="eastAsia"/>
              </w:rPr>
              <w:t>技术文档</w:t>
            </w:r>
          </w:p>
        </w:tc>
      </w:tr>
      <w:tr w:rsidTr="00ED1535">
        <w:tblPrEx>
          <w:tblW w:w="8621" w:type="dxa"/>
          <w:jc w:val="center"/>
          <w:tblLayout w:type="fixed"/>
          <w:tblLook w:val="0000"/>
        </w:tblPrEx>
        <w:trPr>
          <w:jc w:val="center"/>
        </w:trPr>
        <w:tc>
          <w:tcPr>
            <w:tcW w:w="2762" w:type="dxa"/>
            <w:vMerge w:val="restart"/>
            <w:vAlign w:val="center"/>
          </w:tcPr>
          <w:p w:rsidR="004B37EC" w:rsidP="00ED1535">
            <w:pPr>
              <w:pStyle w:val="B0"/>
              <w:jc w:val="both"/>
            </w:pPr>
            <w:r>
              <w:rPr>
                <w:rFonts w:hint="eastAsia"/>
              </w:rPr>
              <w:t>系统软件维保</w:t>
            </w:r>
          </w:p>
        </w:tc>
        <w:tc>
          <w:tcPr>
            <w:tcW w:w="5859" w:type="dxa"/>
          </w:tcPr>
          <w:p w:rsidR="004B37EC" w:rsidP="00ED1535">
            <w:pPr>
              <w:pStyle w:val="B0"/>
            </w:pPr>
            <w:r>
              <w:rPr>
                <w:rFonts w:hint="eastAsia"/>
              </w:rPr>
              <w:t>系统软件故障处理单</w:t>
            </w:r>
          </w:p>
        </w:tc>
      </w:tr>
      <w:tr w:rsidTr="00ED1535">
        <w:tblPrEx>
          <w:tblW w:w="8621" w:type="dxa"/>
          <w:jc w:val="center"/>
          <w:tblLayout w:type="fixed"/>
          <w:tblLook w:val="0000"/>
        </w:tblPrEx>
        <w:trPr>
          <w:jc w:val="center"/>
        </w:trPr>
        <w:tc>
          <w:tcPr>
            <w:tcW w:w="2762" w:type="dxa"/>
            <w:vMerge/>
          </w:tcPr>
          <w:p w:rsidR="004B37EC" w:rsidP="00ED1535">
            <w:pPr>
              <w:pStyle w:val="B0"/>
            </w:pPr>
          </w:p>
        </w:tc>
        <w:tc>
          <w:tcPr>
            <w:tcW w:w="5859" w:type="dxa"/>
          </w:tcPr>
          <w:p w:rsidR="004B37EC" w:rsidP="00ED1535">
            <w:pPr>
              <w:pStyle w:val="B0"/>
            </w:pPr>
            <w:r>
              <w:rPr>
                <w:rFonts w:hint="eastAsia"/>
              </w:rPr>
              <w:t>系统软件巡检报告</w:t>
            </w:r>
          </w:p>
        </w:tc>
      </w:tr>
      <w:tr w:rsidTr="00ED1535">
        <w:tblPrEx>
          <w:tblW w:w="8621" w:type="dxa"/>
          <w:jc w:val="center"/>
          <w:tblLayout w:type="fixed"/>
          <w:tblLook w:val="0000"/>
        </w:tblPrEx>
        <w:trPr>
          <w:jc w:val="center"/>
        </w:trPr>
        <w:tc>
          <w:tcPr>
            <w:tcW w:w="2762" w:type="dxa"/>
            <w:vMerge/>
          </w:tcPr>
          <w:p w:rsidR="004B37EC" w:rsidP="00ED1535">
            <w:pPr>
              <w:pStyle w:val="B0"/>
            </w:pPr>
          </w:p>
        </w:tc>
        <w:tc>
          <w:tcPr>
            <w:tcW w:w="5859" w:type="dxa"/>
          </w:tcPr>
          <w:p w:rsidR="004B37EC" w:rsidP="00ED1535">
            <w:pPr>
              <w:pStyle w:val="B0"/>
            </w:pPr>
            <w:r>
              <w:rPr>
                <w:rFonts w:hint="eastAsia"/>
              </w:rPr>
              <w:t>系统软件维保总结报告</w:t>
            </w:r>
          </w:p>
        </w:tc>
      </w:tr>
    </w:tbl>
    <w:p w:rsidR="004B37EC" w:rsidP="004B37EC">
      <w:pPr>
        <w:snapToGrid w:val="0"/>
        <w:spacing w:line="360" w:lineRule="auto"/>
        <w:jc w:val="left"/>
        <w:rPr>
          <w:rFonts w:ascii="宋体" w:hAnsi="宋体"/>
          <w:szCs w:val="21"/>
        </w:rPr>
      </w:pP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四. 项目的人员及组织机构要求</w:t>
      </w:r>
    </w:p>
    <w:p w:rsidR="004B37EC" w:rsidP="004B37EC">
      <w:pPr>
        <w:snapToGrid w:val="0"/>
        <w:spacing w:line="360" w:lineRule="auto"/>
        <w:ind w:firstLine="420"/>
        <w:rPr>
          <w:b/>
          <w:szCs w:val="44"/>
        </w:rPr>
      </w:pPr>
      <w:r>
        <w:rPr>
          <w:rFonts w:ascii="宋体" w:hAnsi="宋体" w:hint="eastAsia"/>
          <w:szCs w:val="21"/>
        </w:rPr>
        <w:t>投标人必须成立合理的组织机构，建立健全保障体系、运维工作顺利实施的各项管理制度和质量保证体系，安排好足够的高素质人才参加本项目工作。</w:t>
      </w:r>
    </w:p>
    <w:p w:rsidR="004B37EC" w:rsidP="004B37EC">
      <w:pPr>
        <w:snapToGrid w:val="0"/>
        <w:spacing w:line="360" w:lineRule="auto"/>
        <w:ind w:firstLine="420"/>
        <w:rPr>
          <w:rFonts w:ascii="宋体" w:hAnsi="宋体"/>
          <w:szCs w:val="21"/>
        </w:rPr>
      </w:pPr>
      <w:r>
        <w:rPr>
          <w:rFonts w:ascii="宋体" w:hAnsi="宋体" w:hint="eastAsia"/>
          <w:szCs w:val="21"/>
        </w:rPr>
        <w:t>在组织机构中应明确各岗位的职责、任职资格及成果，确保项目顺利实施，应配备有运</w:t>
      </w:r>
      <w:r>
        <w:rPr>
          <w:rFonts w:ascii="宋体" w:hAnsi="宋体" w:hint="eastAsia"/>
          <w:szCs w:val="21"/>
        </w:rPr>
        <w:t>维保障</w:t>
      </w:r>
      <w:r>
        <w:rPr>
          <w:rFonts w:ascii="宋体" w:hAnsi="宋体" w:hint="eastAsia"/>
          <w:szCs w:val="21"/>
        </w:rPr>
        <w:t>负责人承担应用软件维保工作，运</w:t>
      </w:r>
      <w:r>
        <w:rPr>
          <w:rFonts w:ascii="宋体" w:hAnsi="宋体" w:hint="eastAsia"/>
          <w:szCs w:val="21"/>
        </w:rPr>
        <w:t>维保障</w:t>
      </w:r>
      <w:r>
        <w:rPr>
          <w:rFonts w:ascii="宋体" w:hAnsi="宋体" w:hint="eastAsia"/>
          <w:szCs w:val="21"/>
        </w:rPr>
        <w:t>负责人应具有负责并完成过至少2个实时信息传输类</w:t>
      </w:r>
      <w:r>
        <w:rPr>
          <w:rFonts w:ascii="宋体" w:hAnsi="宋体" w:hint="eastAsia"/>
          <w:szCs w:val="21"/>
        </w:rPr>
        <w:t>软件开发或运维</w:t>
      </w:r>
      <w:r>
        <w:rPr>
          <w:rFonts w:ascii="宋体" w:hAnsi="宋体" w:hint="eastAsia"/>
          <w:szCs w:val="21"/>
        </w:rPr>
        <w:t>经验。其它运</w:t>
      </w:r>
      <w:r>
        <w:rPr>
          <w:rFonts w:ascii="宋体" w:hAnsi="宋体" w:hint="eastAsia"/>
          <w:szCs w:val="21"/>
        </w:rPr>
        <w:t>维人员</w:t>
      </w:r>
      <w:r>
        <w:rPr>
          <w:rFonts w:ascii="宋体" w:hAnsi="宋体" w:hint="eastAsia"/>
          <w:szCs w:val="21"/>
        </w:rPr>
        <w:t>必须具有两年以上相关项目运维经验，能够与用户进行良好的沟通。</w:t>
      </w:r>
    </w:p>
    <w:p w:rsidR="004B37EC" w:rsidP="004B37EC">
      <w:pPr>
        <w:snapToGrid w:val="0"/>
        <w:spacing w:line="360" w:lineRule="auto"/>
        <w:ind w:firstLine="420"/>
        <w:rPr>
          <w:rFonts w:ascii="宋体" w:hAnsi="宋体"/>
          <w:b/>
          <w:szCs w:val="21"/>
        </w:rPr>
      </w:pPr>
      <w:r>
        <w:rPr>
          <w:rFonts w:ascii="宋体" w:hAnsi="宋体" w:hint="eastAsia"/>
          <w:szCs w:val="21"/>
        </w:rPr>
        <w:t>投标人应确保服务于本项目的核心运</w:t>
      </w:r>
      <w:r>
        <w:rPr>
          <w:rFonts w:ascii="宋体" w:hAnsi="宋体" w:hint="eastAsia"/>
          <w:szCs w:val="21"/>
        </w:rPr>
        <w:t>维人员</w:t>
      </w:r>
      <w:r>
        <w:rPr>
          <w:rFonts w:ascii="宋体" w:hAnsi="宋体" w:hint="eastAsia"/>
          <w:szCs w:val="21"/>
        </w:rPr>
        <w:t>稳定，核心团队规模达到4人以上，未经甲方允许不得调整核心团队成员，甲方有权要求更换投标人项目团队成员。</w:t>
      </w:r>
    </w:p>
    <w:p w:rsidR="004B37EC" w:rsidP="004B37EC">
      <w:pPr>
        <w:snapToGrid w:val="0"/>
        <w:spacing w:line="360" w:lineRule="auto"/>
        <w:ind w:firstLine="420"/>
        <w:rPr>
          <w:rFonts w:ascii="宋体" w:hAnsi="宋体"/>
          <w:szCs w:val="21"/>
        </w:rPr>
      </w:pPr>
      <w:r>
        <w:rPr>
          <w:rFonts w:ascii="宋体" w:hAnsi="宋体" w:hint="eastAsia"/>
          <w:szCs w:val="21"/>
        </w:rPr>
        <w:t>乙方项目团队应负责联系系统软件原厂或原厂认证工程师上门解决故障及上门巡检，配合工程师定位查找问题原因，并督促工程师提供故障解决报告、巡检报告等材料；充分理解工程师对问题解决方案的讲解，保证项目运</w:t>
      </w:r>
      <w:r>
        <w:rPr>
          <w:rFonts w:ascii="宋体" w:hAnsi="宋体" w:hint="eastAsia"/>
          <w:szCs w:val="21"/>
        </w:rPr>
        <w:t>维保障</w:t>
      </w:r>
      <w:r>
        <w:rPr>
          <w:rFonts w:ascii="宋体" w:hAnsi="宋体" w:hint="eastAsia"/>
          <w:szCs w:val="21"/>
        </w:rPr>
        <w:t>工作的顺利进行。</w:t>
      </w:r>
      <w:r w:rsidR="002D714A">
        <w:rPr>
          <w:rFonts w:ascii="宋体" w:hAnsi="宋体" w:hint="eastAsia"/>
          <w:szCs w:val="21"/>
        </w:rPr>
        <w:t>用户投诉次数不超过10次。</w:t>
      </w: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五. 培训要求</w:t>
      </w:r>
    </w:p>
    <w:p w:rsidR="004B37EC" w:rsidP="004B37EC">
      <w:pPr>
        <w:snapToGrid w:val="0"/>
        <w:spacing w:line="360" w:lineRule="auto"/>
        <w:ind w:firstLine="420"/>
        <w:rPr>
          <w:rFonts w:ascii="宋体" w:hAnsi="宋体"/>
          <w:szCs w:val="21"/>
        </w:rPr>
      </w:pPr>
      <w:r>
        <w:rPr>
          <w:rFonts w:ascii="宋体" w:hAnsi="宋体" w:hint="eastAsia"/>
          <w:szCs w:val="21"/>
        </w:rPr>
        <w:t>1）培训方式应包括现场培训和集中培训。</w:t>
      </w:r>
    </w:p>
    <w:p w:rsidR="004B37EC" w:rsidP="004B37EC">
      <w:pPr>
        <w:snapToGrid w:val="0"/>
        <w:spacing w:line="360" w:lineRule="auto"/>
        <w:ind w:firstLine="420"/>
        <w:rPr>
          <w:rFonts w:ascii="宋体" w:hAnsi="宋体"/>
          <w:szCs w:val="21"/>
        </w:rPr>
      </w:pPr>
      <w:r>
        <w:rPr>
          <w:rFonts w:ascii="宋体" w:hAnsi="宋体" w:hint="eastAsia"/>
          <w:szCs w:val="21"/>
        </w:rPr>
        <w:t>2）投标人应以培训目标的实现为目的组织培训，确保每一位系统使用人员能够独立、熟练地完成操作，保证系统用户能够独立处理软件系统故障和进行简单的功能调整。</w:t>
      </w:r>
    </w:p>
    <w:p w:rsidR="004B37EC" w:rsidP="004B37EC">
      <w:pPr>
        <w:snapToGrid w:val="0"/>
        <w:spacing w:line="360" w:lineRule="auto"/>
        <w:ind w:firstLine="420"/>
        <w:rPr>
          <w:rFonts w:ascii="宋体" w:hAnsi="宋体"/>
          <w:szCs w:val="21"/>
        </w:rPr>
      </w:pPr>
      <w:r>
        <w:rPr>
          <w:rFonts w:ascii="宋体" w:hAnsi="宋体" w:hint="eastAsia"/>
          <w:szCs w:val="21"/>
        </w:rPr>
        <w:t>3）为国家级运</w:t>
      </w:r>
      <w:r>
        <w:rPr>
          <w:rFonts w:ascii="宋体" w:hAnsi="宋体" w:hint="eastAsia"/>
          <w:szCs w:val="21"/>
        </w:rPr>
        <w:t>维人员</w:t>
      </w:r>
      <w:r>
        <w:rPr>
          <w:rFonts w:ascii="宋体" w:hAnsi="宋体" w:hint="eastAsia"/>
          <w:szCs w:val="21"/>
        </w:rPr>
        <w:t>提供应用软件及系统软件运维培训，培训每年</w:t>
      </w:r>
      <w:r w:rsidR="002D714A">
        <w:rPr>
          <w:rFonts w:ascii="宋体" w:hAnsi="宋体" w:hint="eastAsia"/>
          <w:szCs w:val="21"/>
        </w:rPr>
        <w:t>不少于</w:t>
      </w:r>
      <w:r>
        <w:rPr>
          <w:rFonts w:ascii="宋体" w:hAnsi="宋体" w:hint="eastAsia"/>
          <w:szCs w:val="21"/>
        </w:rPr>
        <w:t>1次。</w:t>
      </w: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六. 安全保密要求</w:t>
      </w:r>
    </w:p>
    <w:p w:rsidR="001962E1" w:rsidP="001962E1">
      <w:pPr>
        <w:snapToGrid w:val="0"/>
        <w:spacing w:line="360" w:lineRule="auto"/>
        <w:ind w:firstLine="420"/>
        <w:rPr>
          <w:rFonts w:ascii="宋体" w:hAnsi="宋体"/>
          <w:szCs w:val="21"/>
        </w:rPr>
      </w:pPr>
      <w:r>
        <w:rPr>
          <w:rFonts w:ascii="宋体" w:hAnsi="宋体" w:hint="eastAsia"/>
          <w:szCs w:val="21"/>
        </w:rPr>
        <w:t>投标人必须</w:t>
      </w:r>
      <w:r w:rsidRPr="001962E1">
        <w:rPr>
          <w:rFonts w:ascii="宋体" w:hAnsi="宋体" w:hint="eastAsia"/>
          <w:szCs w:val="21"/>
        </w:rPr>
        <w:t>对国家级突发事件预警信息发布管理平台持续进行安全加固，</w:t>
      </w:r>
      <w:r>
        <w:rPr>
          <w:rFonts w:ascii="宋体" w:hAnsi="宋体" w:hint="eastAsia"/>
          <w:szCs w:val="21"/>
        </w:rPr>
        <w:t>并指导省级节点进行安全加固，</w:t>
      </w:r>
      <w:r w:rsidRPr="001962E1">
        <w:rPr>
          <w:rFonts w:ascii="宋体" w:hAnsi="宋体" w:hint="eastAsia"/>
          <w:szCs w:val="21"/>
        </w:rPr>
        <w:t>修复已知的</w:t>
      </w:r>
      <w:r>
        <w:rPr>
          <w:rFonts w:ascii="宋体" w:hAnsi="宋体" w:hint="eastAsia"/>
          <w:szCs w:val="21"/>
        </w:rPr>
        <w:t>网络安全中、高危</w:t>
      </w:r>
      <w:r w:rsidRPr="001962E1">
        <w:rPr>
          <w:rFonts w:ascii="宋体" w:hAnsi="宋体" w:hint="eastAsia"/>
          <w:szCs w:val="21"/>
        </w:rPr>
        <w:t>漏洞</w:t>
      </w:r>
      <w:r>
        <w:rPr>
          <w:rFonts w:ascii="宋体" w:hAnsi="宋体" w:hint="eastAsia"/>
          <w:szCs w:val="21"/>
        </w:rPr>
        <w:t>。投标人需保障国家突</w:t>
      </w:r>
      <w:r>
        <w:rPr>
          <w:rFonts w:ascii="Times New Roman" w:hAnsi="Times New Roman"/>
          <w:szCs w:val="21"/>
        </w:rPr>
        <w:t>发公共事件预警信息发布管理平台</w:t>
      </w:r>
      <w:r w:rsidRPr="001962E1">
        <w:rPr>
          <w:rFonts w:ascii="宋体" w:hAnsi="宋体" w:hint="eastAsia"/>
          <w:szCs w:val="21"/>
        </w:rPr>
        <w:t>安全稳定运行</w:t>
      </w:r>
      <w:r>
        <w:rPr>
          <w:rFonts w:ascii="宋体" w:hAnsi="宋体" w:hint="eastAsia"/>
          <w:szCs w:val="21"/>
        </w:rPr>
        <w:t>，年度</w:t>
      </w:r>
      <w:r>
        <w:t>影响业务运行的安全责任事故</w:t>
      </w:r>
      <w:r>
        <w:rPr>
          <w:rFonts w:hint="eastAsia"/>
        </w:rPr>
        <w:t>不超过</w:t>
      </w:r>
      <w:r>
        <w:rPr>
          <w:rFonts w:hint="eastAsia"/>
        </w:rPr>
        <w:t>1</w:t>
      </w:r>
      <w:r>
        <w:t>次</w:t>
      </w:r>
      <w:r>
        <w:rPr>
          <w:rFonts w:hint="eastAsia"/>
        </w:rPr>
        <w:t>。</w:t>
      </w:r>
    </w:p>
    <w:p w:rsidR="004B37EC" w:rsidP="004B37EC">
      <w:pPr>
        <w:snapToGrid w:val="0"/>
        <w:spacing w:line="360" w:lineRule="auto"/>
        <w:ind w:firstLine="420"/>
        <w:rPr>
          <w:rFonts w:ascii="宋体" w:hAnsi="宋体"/>
          <w:szCs w:val="21"/>
        </w:rPr>
      </w:pPr>
      <w:r>
        <w:rPr>
          <w:rFonts w:ascii="宋体" w:hAnsi="宋体" w:hint="eastAsia"/>
          <w:szCs w:val="21"/>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七. 知识产权原则</w:t>
      </w:r>
    </w:p>
    <w:p w:rsidR="004B37EC" w:rsidP="004B37EC">
      <w:pPr>
        <w:snapToGrid w:val="0"/>
        <w:spacing w:line="360" w:lineRule="auto"/>
        <w:ind w:firstLine="420"/>
        <w:jc w:val="left"/>
        <w:rPr>
          <w:rFonts w:ascii="宋体" w:hAnsi="宋体"/>
          <w:szCs w:val="21"/>
        </w:rPr>
      </w:pPr>
      <w:r>
        <w:rPr>
          <w:rFonts w:ascii="宋体" w:hAnsi="宋体" w:hint="eastAsia"/>
          <w:szCs w:val="21"/>
        </w:rPr>
        <w:t>1．符合法律规定及当事人约定的原则</w:t>
      </w:r>
    </w:p>
    <w:p w:rsidR="004B37EC" w:rsidP="004B37EC">
      <w:pPr>
        <w:snapToGrid w:val="0"/>
        <w:spacing w:line="360" w:lineRule="auto"/>
        <w:ind w:firstLine="420"/>
        <w:jc w:val="left"/>
        <w:rPr>
          <w:rFonts w:ascii="宋体" w:hAnsi="宋体"/>
          <w:szCs w:val="21"/>
        </w:rPr>
      </w:pPr>
      <w:r>
        <w:rPr>
          <w:rFonts w:ascii="宋体" w:hAnsi="宋体" w:hint="eastAsia"/>
          <w:szCs w:val="21"/>
        </w:rPr>
        <w:t>任何相关事项均应当符合法律规定，及应当符合当事人的约定。</w:t>
      </w:r>
    </w:p>
    <w:p w:rsidR="004B37EC" w:rsidP="004B37EC">
      <w:pPr>
        <w:snapToGrid w:val="0"/>
        <w:spacing w:line="360" w:lineRule="auto"/>
        <w:ind w:firstLine="420"/>
        <w:jc w:val="left"/>
        <w:rPr>
          <w:rFonts w:ascii="宋体" w:hAnsi="宋体"/>
          <w:szCs w:val="21"/>
        </w:rPr>
      </w:pPr>
      <w:r>
        <w:rPr>
          <w:rFonts w:ascii="宋体" w:hAnsi="宋体" w:hint="eastAsia"/>
          <w:szCs w:val="21"/>
        </w:rPr>
        <w:t>2．开发成果归属清晰原则</w:t>
      </w:r>
    </w:p>
    <w:p w:rsidR="004B37EC" w:rsidP="004B37EC">
      <w:pPr>
        <w:snapToGrid w:val="0"/>
        <w:spacing w:line="360" w:lineRule="auto"/>
        <w:ind w:firstLine="420"/>
        <w:jc w:val="left"/>
        <w:rPr>
          <w:rFonts w:ascii="宋体" w:hAnsi="宋体"/>
          <w:szCs w:val="21"/>
        </w:rPr>
      </w:pPr>
      <w:r>
        <w:rPr>
          <w:rFonts w:ascii="宋体" w:hAnsi="宋体" w:hint="eastAsia"/>
          <w:szCs w:val="21"/>
        </w:rPr>
        <w:t>全部及/或任何部分的相关知识产权，包括相关权益，归双方共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rsidR="004B37EC" w:rsidP="004B37EC">
      <w:pPr>
        <w:snapToGrid w:val="0"/>
        <w:spacing w:line="360" w:lineRule="auto"/>
        <w:ind w:firstLine="420"/>
        <w:jc w:val="left"/>
        <w:rPr>
          <w:rFonts w:ascii="宋体" w:hAnsi="宋体"/>
          <w:szCs w:val="21"/>
        </w:rPr>
      </w:pPr>
      <w:r>
        <w:rPr>
          <w:rFonts w:ascii="宋体" w:hAnsi="宋体" w:hint="eastAsia"/>
          <w:szCs w:val="21"/>
        </w:rPr>
        <w:t>3．保护知识产权原则</w:t>
      </w:r>
    </w:p>
    <w:p w:rsidR="004B37EC" w:rsidP="004B37EC">
      <w:pPr>
        <w:snapToGrid w:val="0"/>
        <w:spacing w:line="360" w:lineRule="auto"/>
        <w:ind w:firstLine="420"/>
        <w:jc w:val="left"/>
        <w:rPr>
          <w:rFonts w:ascii="宋体" w:hAnsi="宋体"/>
          <w:szCs w:val="21"/>
        </w:rPr>
      </w:pPr>
      <w:r>
        <w:rPr>
          <w:rFonts w:ascii="宋体" w:hAnsi="宋体" w:hint="eastAsia"/>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rsidR="004B37EC" w:rsidP="004B37EC">
      <w:pPr>
        <w:pStyle w:val="10"/>
        <w:tabs>
          <w:tab w:val="left" w:pos="1573"/>
        </w:tabs>
        <w:adjustRightInd w:val="0"/>
        <w:snapToGrid w:val="0"/>
        <w:spacing w:line="360" w:lineRule="auto"/>
        <w:ind w:left="210" w:firstLine="210" w:leftChars="100" w:firstLineChars="100"/>
        <w:outlineLvl w:val="2"/>
        <w:rPr>
          <w:b/>
          <w:szCs w:val="44"/>
        </w:rPr>
      </w:pPr>
      <w:r>
        <w:rPr>
          <w:rFonts w:hint="eastAsia"/>
          <w:b/>
          <w:szCs w:val="44"/>
        </w:rPr>
        <w:t>八. 提供技术咨询等其他相关服务</w:t>
      </w:r>
    </w:p>
    <w:p w:rsidR="004B37EC" w:rsidP="004B37EC">
      <w:pPr>
        <w:snapToGrid w:val="0"/>
        <w:spacing w:line="360" w:lineRule="auto"/>
        <w:ind w:firstLine="420"/>
        <w:jc w:val="left"/>
        <w:rPr>
          <w:rFonts w:ascii="宋体" w:hAnsi="宋体"/>
          <w:szCs w:val="21"/>
        </w:rPr>
      </w:pPr>
      <w:r>
        <w:rPr>
          <w:rFonts w:ascii="宋体" w:hAnsi="宋体" w:hint="eastAsia"/>
          <w:szCs w:val="21"/>
        </w:rPr>
        <w:t>为甲方提供与本项目设计、开发和运</w:t>
      </w:r>
      <w:r>
        <w:rPr>
          <w:rFonts w:ascii="宋体" w:hAnsi="宋体" w:hint="eastAsia"/>
          <w:szCs w:val="21"/>
        </w:rPr>
        <w:t>维有关</w:t>
      </w:r>
      <w:r>
        <w:rPr>
          <w:rFonts w:ascii="宋体" w:hAnsi="宋体" w:hint="eastAsia"/>
          <w:szCs w:val="21"/>
        </w:rPr>
        <w:t>的各类技术咨询服务。</w:t>
      </w:r>
    </w:p>
    <w:p w:rsidR="004B37EC" w:rsidP="004B37EC">
      <w:pPr>
        <w:snapToGrid w:val="0"/>
        <w:spacing w:line="360" w:lineRule="auto"/>
        <w:ind w:firstLine="420"/>
        <w:jc w:val="left"/>
        <w:rPr>
          <w:rFonts w:ascii="宋体" w:hAnsi="宋体"/>
          <w:szCs w:val="21"/>
        </w:rPr>
      </w:pPr>
      <w:r>
        <w:rPr>
          <w:rFonts w:ascii="宋体" w:hAnsi="宋体" w:hint="eastAsia"/>
          <w:szCs w:val="21"/>
        </w:rPr>
        <w:t>协助甲方预见本项目设计、开发和运</w:t>
      </w:r>
      <w:r>
        <w:rPr>
          <w:rFonts w:ascii="宋体" w:hAnsi="宋体" w:hint="eastAsia"/>
          <w:szCs w:val="21"/>
        </w:rPr>
        <w:t>维工作</w:t>
      </w:r>
      <w:r>
        <w:rPr>
          <w:rFonts w:ascii="宋体" w:hAnsi="宋体" w:hint="eastAsia"/>
          <w:szCs w:val="21"/>
        </w:rPr>
        <w:t>中和项目其他建设工作中可能发生的问题和</w:t>
      </w:r>
      <w:r>
        <w:rPr>
          <w:rFonts w:ascii="宋体" w:hAnsi="宋体" w:hint="eastAsia"/>
          <w:szCs w:val="21"/>
        </w:rPr>
        <w:t>困难，并向甲方提出解决的办法或建议。</w:t>
      </w:r>
    </w:p>
    <w:p w:rsidR="004B37EC" w:rsidP="004B37EC">
      <w:pPr>
        <w:snapToGrid w:val="0"/>
        <w:spacing w:line="360" w:lineRule="auto"/>
        <w:ind w:firstLine="420"/>
        <w:jc w:val="left"/>
        <w:rPr>
          <w:rFonts w:ascii="宋体" w:hAnsi="宋体"/>
          <w:szCs w:val="21"/>
        </w:rPr>
      </w:pPr>
      <w:r>
        <w:rPr>
          <w:rFonts w:ascii="宋体" w:hAnsi="宋体" w:hint="eastAsia"/>
          <w:szCs w:val="21"/>
        </w:rPr>
        <w:t>在系统的运行维护阶段提供技术支持。对运行过程中出现的新问题提供建议和解决方案。</w:t>
      </w:r>
    </w:p>
    <w:p w:rsidR="004B37EC" w:rsidP="004B37EC">
      <w:pPr>
        <w:snapToGrid w:val="0"/>
        <w:spacing w:line="360" w:lineRule="auto"/>
        <w:ind w:firstLine="420"/>
        <w:jc w:val="left"/>
        <w:rPr>
          <w:rFonts w:ascii="宋体" w:hAnsi="宋体"/>
          <w:szCs w:val="21"/>
        </w:rPr>
      </w:pPr>
      <w:r>
        <w:rPr>
          <w:rFonts w:ascii="宋体" w:hAnsi="宋体" w:hint="eastAsia"/>
          <w:szCs w:val="21"/>
        </w:rPr>
        <w:t>提供其他与项目相关的服务。</w:t>
      </w:r>
    </w:p>
    <w:p w:rsidR="004B37EC" w:rsidP="004B37EC">
      <w:pPr>
        <w:snapToGrid w:val="0"/>
        <w:spacing w:line="360" w:lineRule="auto"/>
        <w:ind w:firstLine="420"/>
        <w:jc w:val="left"/>
        <w:rPr>
          <w:rFonts w:ascii="宋体" w:hAnsi="宋体"/>
          <w:szCs w:val="21"/>
        </w:rPr>
      </w:pPr>
      <w:r>
        <w:rPr>
          <w:rFonts w:ascii="宋体" w:hAnsi="宋体" w:hint="eastAsia"/>
          <w:szCs w:val="21"/>
        </w:rPr>
        <w:t>积极协助配合甲方开展与项目有关的工作。</w:t>
      </w:r>
    </w:p>
    <w:p w:rsidR="004B37EC" w:rsidP="004B37EC">
      <w:pPr>
        <w:snapToGrid w:val="0"/>
        <w:spacing w:line="360" w:lineRule="auto"/>
        <w:ind w:firstLine="420"/>
        <w:jc w:val="left"/>
        <w:rPr>
          <w:rFonts w:ascii="宋体" w:hAnsi="宋体"/>
          <w:szCs w:val="21"/>
        </w:rPr>
      </w:pPr>
      <w:r>
        <w:rPr>
          <w:rFonts w:ascii="宋体" w:hAnsi="宋体" w:hint="eastAsia"/>
          <w:szCs w:val="21"/>
        </w:rPr>
        <w:t>技术支持工作需要及时、有效，充分满足项目建设的需求。</w:t>
      </w:r>
    </w:p>
    <w:p w:rsidR="004B37EC" w:rsidP="004B37EC">
      <w:pPr>
        <w:pStyle w:val="10"/>
        <w:rPr>
          <w:b/>
          <w:szCs w:val="44"/>
        </w:rPr>
      </w:pPr>
      <w:r>
        <w:rPr>
          <w:rFonts w:hint="eastAsia"/>
          <w:b/>
          <w:szCs w:val="44"/>
        </w:rPr>
        <w:t>九．项目评审验收标准</w:t>
      </w:r>
    </w:p>
    <w:p w:rsidR="003A028D" w:rsidP="004B37EC">
      <w:pPr>
        <w:spacing w:line="360" w:lineRule="auto"/>
        <w:ind w:firstLine="420" w:firstLineChars="200"/>
        <w:rPr>
          <w:rFonts w:ascii="宋体" w:eastAsia="宋体" w:hAnsi="宋体" w:cs="Times New Roman"/>
          <w:szCs w:val="21"/>
        </w:rPr>
      </w:pPr>
      <w:r>
        <w:rPr>
          <w:rFonts w:ascii="宋体" w:hAnsi="宋体"/>
          <w:szCs w:val="21"/>
        </w:rPr>
        <w:t>通过采购人组织的需求评审后形成项目评审验收方案，制订出一套明确的可操作性的评价指标，作为采购人评价</w:t>
      </w:r>
      <w:r>
        <w:rPr>
          <w:rFonts w:ascii="宋体" w:hAnsi="宋体" w:hint="eastAsia"/>
          <w:szCs w:val="21"/>
        </w:rPr>
        <w:t>维护</w:t>
      </w:r>
      <w:r>
        <w:rPr>
          <w:rFonts w:ascii="宋体" w:hAnsi="宋体"/>
          <w:szCs w:val="21"/>
        </w:rPr>
        <w:t>工作的标准，用于本项目的评审和验收。</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C36A8B">
      <w:pPr>
        <w:spacing w:before="156" w:beforeLines="50" w:line="360" w:lineRule="auto"/>
        <w:jc w:val="center"/>
        <w:outlineLvl w:val="1"/>
        <w:rPr>
          <w:rFonts w:ascii="宋体" w:hAnsi="宋体" w:hint="eastAsia"/>
          <w:b/>
          <w:sz w:val="30"/>
          <w:szCs w:val="30"/>
        </w:rPr>
      </w:pPr>
      <w:bookmarkStart w:id="61"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C36A8B">
      <w:pPr>
        <w:adjustRightInd w:val="0"/>
        <w:snapToGrid w:val="0"/>
        <w:spacing w:before="156" w:beforeLines="50" w:line="360" w:lineRule="auto"/>
        <w:rPr>
          <w:rFonts w:ascii="宋体" w:hAnsi="宋体" w:hint="eastAsia"/>
          <w:szCs w:val="21"/>
        </w:rPr>
      </w:pPr>
    </w:p>
    <w:p w:rsidR="00C36A8B">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A3FB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36A8B">
            <w:pPr>
              <w:rPr>
                <w:sz w:val="18"/>
                <w:szCs w:val="18"/>
              </w:rPr>
            </w:pPr>
            <w:r>
              <w:rPr>
                <w:rFonts w:hint="eastAsia"/>
                <w:sz w:val="18"/>
                <w:szCs w:val="18"/>
              </w:rPr>
              <w:t>序号</w:t>
            </w:r>
          </w:p>
        </w:tc>
        <w:tc>
          <w:tcPr>
            <w:tcW w:w="898" w:type="dxa"/>
            <w:vAlign w:val="center"/>
          </w:tcPr>
          <w:p w:rsidR="00C36A8B">
            <w:pPr>
              <w:jc w:val="center"/>
              <w:rPr>
                <w:sz w:val="18"/>
                <w:szCs w:val="18"/>
              </w:rPr>
            </w:pPr>
            <w:r>
              <w:rPr>
                <w:rFonts w:hint="eastAsia"/>
                <w:sz w:val="18"/>
                <w:szCs w:val="18"/>
              </w:rPr>
              <w:t>对应</w:t>
            </w:r>
          </w:p>
          <w:p w:rsidR="00C36A8B">
            <w:pPr>
              <w:jc w:val="center"/>
              <w:rPr>
                <w:sz w:val="18"/>
                <w:szCs w:val="18"/>
              </w:rPr>
            </w:pPr>
            <w:r>
              <w:rPr>
                <w:rFonts w:hint="eastAsia"/>
                <w:sz w:val="18"/>
                <w:szCs w:val="18"/>
              </w:rPr>
              <w:t>条款号</w:t>
            </w:r>
          </w:p>
        </w:tc>
        <w:tc>
          <w:tcPr>
            <w:tcW w:w="7347" w:type="dxa"/>
            <w:vAlign w:val="center"/>
          </w:tcPr>
          <w:p w:rsidR="00C36A8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A3FB0">
        <w:tblPrEx>
          <w:tblW w:w="8789" w:type="dxa"/>
          <w:tblLayout w:type="fixed"/>
          <w:tblLook w:val="04A0"/>
        </w:tblPrEx>
        <w:trPr>
          <w:cantSplit/>
        </w:trPr>
        <w:tc>
          <w:tcPr>
            <w:tcW w:w="8789" w:type="dxa"/>
            <w:gridSpan w:val="3"/>
            <w:vAlign w:val="center"/>
          </w:tcPr>
          <w:p w:rsidR="00C36A8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A3FB0">
        <w:tblPrEx>
          <w:tblW w:w="8789" w:type="dxa"/>
          <w:tblLayout w:type="fixed"/>
          <w:tblLook w:val="04A0"/>
        </w:tblPrEx>
        <w:trPr>
          <w:cantSplit/>
        </w:trPr>
        <w:tc>
          <w:tcPr>
            <w:tcW w:w="544" w:type="dxa"/>
            <w:vAlign w:val="center"/>
          </w:tcPr>
          <w:p w:rsidR="00C36A8B">
            <w:pPr>
              <w:numPr>
                <w:ilvl w:val="0"/>
                <w:numId w:val="8"/>
              </w:numPr>
              <w:rPr>
                <w:rFonts w:ascii="宋体" w:hAnsi="宋体" w:hint="eastAsia"/>
                <w:sz w:val="18"/>
                <w:szCs w:val="18"/>
              </w:rPr>
            </w:pPr>
          </w:p>
        </w:tc>
        <w:tc>
          <w:tcPr>
            <w:tcW w:w="898" w:type="dxa"/>
            <w:vAlign w:val="center"/>
          </w:tcPr>
          <w:p w:rsidR="00C36A8B">
            <w:pPr>
              <w:jc w:val="center"/>
              <w:rPr>
                <w:rFonts w:ascii="宋体" w:hAnsi="宋体" w:hint="eastAsia"/>
                <w:sz w:val="18"/>
                <w:szCs w:val="18"/>
              </w:rPr>
            </w:pPr>
          </w:p>
        </w:tc>
        <w:tc>
          <w:tcPr>
            <w:tcW w:w="7347" w:type="dxa"/>
          </w:tcPr>
          <w:p w:rsidR="00C36A8B">
            <w:pPr>
              <w:tabs>
                <w:tab w:val="left" w:pos="709"/>
              </w:tabs>
              <w:spacing w:line="360" w:lineRule="auto"/>
              <w:jc w:val="left"/>
              <w:rPr>
                <w:rFonts w:ascii="宋体" w:hAnsi="宋体" w:hint="eastAsia"/>
                <w:sz w:val="18"/>
                <w:szCs w:val="18"/>
              </w:rPr>
            </w:pPr>
            <w:r>
              <w:rPr>
                <w:rFonts w:ascii="宋体" w:hAnsi="宋体" w:hint="eastAsia"/>
                <w:sz w:val="18"/>
                <w:szCs w:val="18"/>
              </w:rPr>
              <w:t>无。</w:t>
            </w:r>
          </w:p>
        </w:tc>
      </w:tr>
      <w:tr w:rsidTr="000A3FB0">
        <w:tblPrEx>
          <w:tblW w:w="8789" w:type="dxa"/>
          <w:tblLayout w:type="fixed"/>
          <w:tblLook w:val="04A0"/>
        </w:tblPrEx>
        <w:trPr>
          <w:cantSplit/>
        </w:trPr>
        <w:tc>
          <w:tcPr>
            <w:tcW w:w="8789" w:type="dxa"/>
            <w:gridSpan w:val="3"/>
            <w:vAlign w:val="center"/>
          </w:tcPr>
          <w:p w:rsidR="00C36A8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A3FB0">
        <w:tblPrEx>
          <w:tblW w:w="8789" w:type="dxa"/>
          <w:tblLayout w:type="fixed"/>
          <w:tblLook w:val="04A0"/>
        </w:tblPrEx>
        <w:trPr>
          <w:cantSplit/>
        </w:trPr>
        <w:tc>
          <w:tcPr>
            <w:tcW w:w="544" w:type="dxa"/>
            <w:vAlign w:val="center"/>
          </w:tcPr>
          <w:p w:rsidR="00C36A8B">
            <w:pPr>
              <w:numPr>
                <w:ilvl w:val="0"/>
                <w:numId w:val="8"/>
              </w:numPr>
              <w:rPr>
                <w:rFonts w:ascii="宋体" w:hAnsi="宋体" w:hint="eastAsia"/>
                <w:sz w:val="18"/>
                <w:szCs w:val="18"/>
              </w:rPr>
            </w:pPr>
          </w:p>
        </w:tc>
        <w:tc>
          <w:tcPr>
            <w:tcW w:w="898" w:type="dxa"/>
            <w:vAlign w:val="center"/>
          </w:tcPr>
          <w:p w:rsidR="00C36A8B">
            <w:pPr>
              <w:jc w:val="center"/>
              <w:rPr>
                <w:rFonts w:ascii="宋体" w:hAnsi="宋体" w:hint="eastAsia"/>
                <w:sz w:val="18"/>
                <w:szCs w:val="18"/>
              </w:rPr>
            </w:pPr>
          </w:p>
        </w:tc>
        <w:tc>
          <w:tcPr>
            <w:tcW w:w="7347" w:type="dxa"/>
            <w:vAlign w:val="center"/>
          </w:tcPr>
          <w:p w:rsidR="00C36A8B">
            <w:pPr>
              <w:tabs>
                <w:tab w:val="left" w:pos="709"/>
              </w:tabs>
              <w:spacing w:line="360" w:lineRule="auto"/>
              <w:jc w:val="left"/>
              <w:rPr>
                <w:rFonts w:ascii="宋体" w:hAnsi="宋体" w:hint="eastAsia"/>
                <w:sz w:val="18"/>
                <w:szCs w:val="18"/>
              </w:rPr>
            </w:pPr>
            <w:r>
              <w:rPr>
                <w:rFonts w:ascii="宋体" w:hAnsi="宋体" w:hint="eastAsia"/>
                <w:sz w:val="18"/>
                <w:szCs w:val="18"/>
              </w:rPr>
              <w:t>无。</w:t>
            </w:r>
          </w:p>
        </w:tc>
      </w:tr>
    </w:tbl>
    <w:p w:rsidR="00C36A8B">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C36A8B">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C10C68">
      <w:pPr>
        <w:numPr>
          <w:ilvl w:val="0"/>
          <w:numId w:val="5"/>
        </w:num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C10C68">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C10C68">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C10C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C10C68">
      <w:pPr>
        <w:rPr>
          <w:rFonts w:ascii="宋体" w:eastAsia="宋体" w:hAnsi="宋体" w:cs="宋体"/>
          <w:b/>
          <w:bCs/>
          <w:spacing w:val="-20"/>
          <w:kern w:val="44"/>
          <w:sz w:val="40"/>
          <w:szCs w:val="40"/>
        </w:rPr>
      </w:pPr>
    </w:p>
    <w:p w:rsidR="00C10C68">
      <w:pPr>
        <w:rPr>
          <w:rFonts w:ascii="宋体" w:eastAsia="宋体" w:hAnsi="宋体" w:cs="宋体"/>
          <w:b/>
          <w:bCs/>
          <w:spacing w:val="-20"/>
          <w:kern w:val="44"/>
          <w:sz w:val="40"/>
          <w:szCs w:val="40"/>
        </w:rPr>
      </w:pPr>
    </w:p>
    <w:p w:rsidR="00C10C68">
      <w:pPr>
        <w:rPr>
          <w:rFonts w:ascii="宋体" w:eastAsia="宋体" w:hAnsi="宋体" w:cs="宋体"/>
          <w:b/>
          <w:bCs/>
          <w:spacing w:val="-20"/>
          <w:kern w:val="44"/>
          <w:sz w:val="40"/>
          <w:szCs w:val="40"/>
        </w:rPr>
      </w:pPr>
    </w:p>
    <w:p w:rsidR="00C10C68">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C10C6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C10C6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C10C6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C10C6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C10C68">
      <w:pPr>
        <w:rPr>
          <w:rFonts w:ascii="Times New Roman" w:eastAsia="宋体" w:hAnsi="Times New Roman" w:cs="Times New Roman"/>
          <w:szCs w:val="20"/>
        </w:rPr>
      </w:pPr>
    </w:p>
    <w:p w:rsidR="00C10C68">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C10C68">
      <w:pPr>
        <w:rPr>
          <w:rFonts w:ascii="Times New Roman" w:eastAsia="黑体" w:hAnsi="Times New Roman" w:cs="Times New Roman"/>
          <w:sz w:val="44"/>
          <w:szCs w:val="44"/>
        </w:rPr>
      </w:pPr>
    </w:p>
    <w:p w:rsidR="00C10C68">
      <w:pPr>
        <w:rPr>
          <w:rFonts w:ascii="Times New Roman" w:eastAsia="黑体" w:hAnsi="Times New Roman" w:cs="Times New Roman"/>
          <w:sz w:val="44"/>
          <w:szCs w:val="44"/>
        </w:rPr>
      </w:pPr>
    </w:p>
    <w:p w:rsidR="00C10C68">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C10C68">
      <w:pPr>
        <w:ind w:firstLine="640" w:firstLineChars="200"/>
        <w:rPr>
          <w:rFonts w:ascii="仿宋_GB2312" w:eastAsia="仿宋_GB2312" w:hAnsi="仿宋_GB2312" w:cs="仿宋_GB2312"/>
          <w:sz w:val="32"/>
          <w:szCs w:val="32"/>
        </w:rPr>
      </w:pPr>
    </w:p>
    <w:p w:rsidR="00C10C68">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C10C68">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C10C68">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C10C68">
      <w:pPr>
        <w:widowControl/>
        <w:jc w:val="left"/>
        <w:rPr>
          <w:rFonts w:ascii="宋体" w:eastAsia="宋体" w:hAnsi="宋体" w:cs="Times New Roman"/>
          <w:szCs w:val="21"/>
        </w:rPr>
      </w:pPr>
      <w:r>
        <w:rPr>
          <w:rFonts w:ascii="宋体" w:eastAsia="宋体" w:hAnsi="宋体" w:cs="Times New Roman"/>
          <w:szCs w:val="21"/>
        </w:rPr>
        <w:br w:type="page"/>
      </w:r>
    </w:p>
    <w:p w:rsidR="00C10C68">
      <w:pPr>
        <w:snapToGrid w:val="0"/>
        <w:spacing w:line="360" w:lineRule="auto"/>
        <w:ind w:firstLine="420"/>
        <w:rPr>
          <w:rFonts w:ascii="宋体" w:eastAsia="宋体" w:hAnsi="宋体" w:cs="Times New Roman"/>
          <w:szCs w:val="21"/>
        </w:rPr>
      </w:pPr>
    </w:p>
    <w:p w:rsidR="00C10C68">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C10C68">
      <w:pPr>
        <w:snapToGrid w:val="0"/>
        <w:spacing w:line="360" w:lineRule="auto"/>
        <w:ind w:firstLine="420"/>
        <w:jc w:val="center"/>
        <w:rPr>
          <w:rFonts w:ascii="宋体" w:eastAsia="宋体" w:hAnsi="宋体" w:cs="Times New Roman"/>
          <w:szCs w:val="21"/>
        </w:rPr>
      </w:pPr>
    </w:p>
    <w:p w:rsidR="00C10C68">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C10C68">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C10C68">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C10C68">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C10C68">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C10C68">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C10C68">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C10C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C10C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C10C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C10C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C10C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C10C68">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C10C68">
            <w:pPr>
              <w:tabs>
                <w:tab w:val="left" w:pos="1573"/>
              </w:tabs>
              <w:autoSpaceDE w:val="0"/>
              <w:autoSpaceDN w:val="0"/>
              <w:adjustRightInd w:val="0"/>
              <w:snapToGrid w:val="0"/>
              <w:spacing w:line="360" w:lineRule="auto"/>
              <w:rPr>
                <w:rFonts w:ascii="宋体" w:eastAsia="宋体" w:hAnsi="宋体" w:cs="Times New Roman"/>
                <w:szCs w:val="21"/>
              </w:rPr>
            </w:pPr>
          </w:p>
        </w:tc>
      </w:tr>
    </w:tbl>
    <w:p w:rsidR="00C10C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、合同生效后付款：双方签署合同后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2F0083">
        <w:rPr>
          <w:rFonts w:ascii="宋体" w:eastAsia="宋体" w:hAnsi="宋体" w:cs="微软雅黑"/>
          <w:b/>
          <w:color w:val="0000FF"/>
          <w:kern w:val="0"/>
          <w:szCs w:val="21"/>
        </w:rPr>
        <w:t>80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、签署验收报告后付款：双方签署验收报告后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2F0083">
        <w:rPr>
          <w:rFonts w:ascii="宋体" w:eastAsia="宋体" w:hAnsi="宋体" w:cs="微软雅黑"/>
          <w:b/>
          <w:color w:val="0000FF"/>
          <w:kern w:val="0"/>
          <w:szCs w:val="21"/>
        </w:rPr>
        <w:t>20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r>
        <w:rPr>
          <w:rFonts w:ascii="宋体" w:eastAsia="宋体" w:hAnsi="宋体" w:cs="Times New Roman" w:hint="eastAsia"/>
          <w:szCs w:val="21"/>
        </w:rPr>
        <w:t xml:space="preserve"> </w:t>
      </w:r>
    </w:p>
    <w:p w:rsidR="00C10C68">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w:t>
      </w:r>
      <w:r>
        <w:rPr>
          <w:rFonts w:ascii="宋体" w:eastAsia="宋体" w:hAnsi="宋体" w:cs="Times New Roman" w:hint="eastAsia"/>
          <w:szCs w:val="21"/>
        </w:rPr>
        <w:t>、保修期满后付款：保修期满期满后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C10C68">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C10C68">
      <w:pPr>
        <w:tabs>
          <w:tab w:val="left" w:pos="1573"/>
        </w:tabs>
        <w:adjustRightInd w:val="0"/>
        <w:snapToGrid w:val="0"/>
        <w:spacing w:line="360" w:lineRule="auto"/>
        <w:ind w:firstLine="412" w:firstLineChars="196"/>
        <w:jc w:val="left"/>
        <w:rPr>
          <w:rFonts w:ascii="宋体" w:eastAsia="宋体" w:hAnsi="宋体" w:cs="Times New Roman"/>
          <w:szCs w:val="28"/>
        </w:rPr>
      </w:pP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C10C68">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C10C68">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C10C68">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C10C68">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C10C68">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C10C68">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C10C68">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C10C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C10C68">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C10C68">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C10C68">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C10C68">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C10C68">
      <w:pPr>
        <w:tabs>
          <w:tab w:val="left" w:pos="1573"/>
        </w:tabs>
        <w:adjustRightInd w:val="0"/>
        <w:snapToGrid w:val="0"/>
        <w:ind w:firstLine="315" w:firstLineChars="150"/>
        <w:jc w:val="left"/>
        <w:rPr>
          <w:rFonts w:ascii="宋体" w:eastAsia="宋体" w:hAnsi="宋体" w:cs="Times New Roman"/>
          <w:szCs w:val="21"/>
          <w:u w:val="single"/>
        </w:rPr>
      </w:pPr>
    </w:p>
    <w:p w:rsidR="00C10C68">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C10C68">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C10C68">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C10C68">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C10C68">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C10C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C10C68">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C10C68">
      <w:pPr>
        <w:tabs>
          <w:tab w:val="left" w:pos="1573"/>
        </w:tabs>
        <w:adjustRightInd w:val="0"/>
        <w:snapToGrid w:val="0"/>
        <w:spacing w:line="360" w:lineRule="auto"/>
        <w:ind w:firstLine="420" w:firstLineChars="200"/>
        <w:jc w:val="left"/>
        <w:rPr>
          <w:rFonts w:ascii="宋体" w:eastAsia="宋体" w:hAnsi="宋体" w:cs="Times New Roman"/>
          <w:b/>
          <w:szCs w:val="28"/>
        </w:rPr>
      </w:pPr>
    </w:p>
    <w:p w:rsidR="00C10C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C10C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C10C68">
      <w:pPr>
        <w:tabs>
          <w:tab w:val="left" w:pos="1573"/>
        </w:tabs>
        <w:adjustRightInd w:val="0"/>
        <w:snapToGrid w:val="0"/>
        <w:spacing w:line="360" w:lineRule="auto"/>
        <w:ind w:firstLine="412" w:firstLineChars="196"/>
        <w:jc w:val="left"/>
        <w:rPr>
          <w:rFonts w:ascii="宋体" w:eastAsia="宋体" w:hAnsi="宋体" w:cs="Times New Roman"/>
          <w:b/>
          <w:szCs w:val="28"/>
        </w:rPr>
      </w:pPr>
    </w:p>
    <w:p w:rsidR="00C10C68">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C10C68">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C10C68">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C10C68">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C10C68">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C10C68">
      <w:pPr>
        <w:widowControl/>
        <w:jc w:val="left"/>
        <w:rPr>
          <w:rFonts w:ascii="宋体" w:eastAsia="宋体" w:hAnsi="宋体" w:cs="Times New Roman"/>
          <w:b/>
          <w:szCs w:val="21"/>
        </w:rPr>
      </w:pPr>
      <w:r>
        <w:rPr>
          <w:rFonts w:ascii="宋体" w:eastAsia="宋体" w:hAnsi="宋体" w:cs="Times New Roman"/>
          <w:b/>
          <w:szCs w:val="21"/>
        </w:rPr>
        <w:br w:type="page"/>
      </w:r>
    </w:p>
    <w:p w:rsidR="00C10C68">
      <w:pPr>
        <w:spacing w:line="360" w:lineRule="auto"/>
        <w:jc w:val="left"/>
        <w:rPr>
          <w:rFonts w:ascii="Times New Roman" w:eastAsia="宋体" w:hAnsi="Times New Roman" w:cs="Times New Roman"/>
          <w:b/>
          <w:bCs/>
          <w:sz w:val="44"/>
          <w:szCs w:val="44"/>
        </w:rPr>
      </w:pPr>
    </w:p>
    <w:p w:rsidR="00C10C68">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C10C68">
      <w:pPr>
        <w:tabs>
          <w:tab w:val="left" w:pos="1573"/>
        </w:tabs>
        <w:snapToGrid w:val="0"/>
        <w:spacing w:line="360" w:lineRule="auto"/>
        <w:jc w:val="center"/>
        <w:rPr>
          <w:rFonts w:ascii="宋体" w:eastAsia="宋体" w:hAnsi="宋体" w:cs="Times New Roman"/>
          <w:szCs w:val="21"/>
        </w:rPr>
      </w:pPr>
    </w:p>
    <w:p w:rsidR="00C10C68">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C10C6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C10C68">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C10C68">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C10C68">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C10C68">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C10C68">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C10C68">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C10C68">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C10C68">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C10C68">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C10C68">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C10C68">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C10C68">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C10C68">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C10C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C10C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C10C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C10C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C10C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C10C68">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C10C68">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C10C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C10C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C10C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C10C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C10C68">
      <w:pPr>
        <w:tabs>
          <w:tab w:val="left" w:pos="1573"/>
        </w:tabs>
        <w:adjustRightInd w:val="0"/>
        <w:snapToGrid w:val="0"/>
        <w:spacing w:line="360" w:lineRule="auto"/>
        <w:ind w:firstLine="412" w:firstLineChars="196"/>
        <w:jc w:val="left"/>
        <w:rPr>
          <w:rFonts w:ascii="宋体" w:eastAsia="宋体" w:hAnsi="宋体" w:cs="Times New Roman"/>
          <w:szCs w:val="21"/>
        </w:rPr>
      </w:pPr>
    </w:p>
    <w:p w:rsidR="00C10C68"/>
    <w:p w:rsidR="00A77B3E"/>
    <w:p>
      <w:pPr>
        <w:spacing w:line="360" w:lineRule="auto"/>
        <w:ind w:firstLine="3066" w:firstLineChars="1460"/>
        <w:jc w:val="left"/>
        <w:rPr>
          <w:b/>
          <w:bCs/>
          <w:szCs w:val="21"/>
          <w:highlight w:val="none"/>
        </w:rPr>
      </w:pPr>
      <w:bookmarkEnd w:id="62"/>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Menlo Regular">
    <w:altName w:val="Calibri"/>
    <w:charset w:val="00"/>
    <w:family w:val="auto"/>
    <w:pitch w:val="default"/>
    <w:sig w:usb0="00000000" w:usb1="00000000" w:usb2="02000028" w:usb3="00000000" w:csb0="000001DF"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90A76A8"/>
    <w:multiLevelType w:val="multilevel"/>
    <w:tmpl w:val="690A76A8"/>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962E1"/>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D714A"/>
    <w:rsid w:val="002E0DF7"/>
    <w:rsid w:val="002E183F"/>
    <w:rsid w:val="002E2238"/>
    <w:rsid w:val="002E2F72"/>
    <w:rsid w:val="002E3A13"/>
    <w:rsid w:val="002E5428"/>
    <w:rsid w:val="002E57D6"/>
    <w:rsid w:val="002E677C"/>
    <w:rsid w:val="002E776D"/>
    <w:rsid w:val="002F0083"/>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28D"/>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37EC"/>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0C68"/>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A8B"/>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1535"/>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B">
    <w:name w:val="B表头样式"/>
    <w:next w:val="Normal"/>
    <w:qFormat/>
    <w:rsid w:val="004B37EC"/>
    <w:pPr>
      <w:jc w:val="center"/>
    </w:pPr>
    <w:rPr>
      <w:rFonts w:ascii="Calibri" w:eastAsia="黑体" w:hAnsi="Calibri"/>
      <w:b/>
      <w:kern w:val="2"/>
      <w:sz w:val="21"/>
      <w:szCs w:val="21"/>
      <w:lang w:eastAsia="zh-CN"/>
    </w:rPr>
  </w:style>
  <w:style w:type="paragraph" w:customStyle="1" w:styleId="B0">
    <w:name w:val="B表格正文"/>
    <w:qFormat/>
    <w:rsid w:val="004B37EC"/>
    <w:rPr>
      <w:rFonts w:ascii="Calibri" w:eastAsia="黑体" w:hAnsi="Calibri"/>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