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2025年河南省精准化气象防灾减灾工程常规气象站升级改造项目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河南省气象探测数据中心（河南省气象档案馆）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2025年河南省精准化气象防灾减灾工程常规气象站升级改造项目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2026年07月13日 00:00:00</w:t>
      </w:r>
      <w:bookmarkEnd w:id="26"/>
      <w:r>
        <w:rPr>
          <w:rFonts w:ascii="宋体" w:hint="eastAsia"/>
          <w:szCs w:val="21"/>
          <w:highlight w:val="none"/>
        </w:rPr>
        <w:t>至</w:t>
      </w:r>
      <w:bookmarkStart w:id="27" w:name="项目公告_signUpLastTime"/>
      <w:r>
        <w:rPr>
          <w:rFonts w:ascii="宋体" w:hint="eastAsia"/>
          <w:szCs w:val="21"/>
          <w:highlight w:val="none"/>
        </w:rPr>
        <w:t>2026年07月20日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2026年08月03日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河南省气象探测数据中心（河南省气象档案馆）</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马赛飞</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0371-65950239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河南省郑州市金水区金水路5号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河南省气象探测数据中心（河南省气象档案馆）</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允许（仅针对以下产品：便携式自动气象站相关备件允许代理商投标）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必须，以下产品需要提供至投标截止日仍有效的《气象专用技术装备使用许可证》：便携式自动气象站</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（1）标的：便携式自动气象站相关备件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是，中标服务费：7.0万元。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1,000.000000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1,000.000000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3"/>
        <w:gridCol w:w="283"/>
        <w:gridCol w:w="1442"/>
        <w:gridCol w:w="283"/>
        <w:gridCol w:w="68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1、投标人具有ISO9000系列或GJB9001B质量管理体系认证的，得1分，否则不得分；</w:t>
              <w:cr/>
              <w:t>2、投标人具有环境管理体系认证的，得1分，否则不得分；</w:t>
              <w:cr/>
              <w:t>3、投标人具有职业健康安全管理体系认证的，得1分，否则不得分。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销售合同必须包括自动气象站，每提供1份合同得1分，最多得5分。否则不得分。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 xml:space="preserve">三档2分 </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 xml:space="preserve">一档0分 </w:t>
              <w:cr/>
              <w:t>二档1分</w:t>
              <w:cr/>
              <w:t xml:space="preserve">三档2分 </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 xml:space="preserve">一档0分 </w:t>
              <w:cr/>
              <w:t xml:space="preserve">二档0.5分 </w:t>
              <w:cr/>
              <w:t xml:space="preserve">三档1分 </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针对本项目采购的自动气象站设备，承诺每提前10天交货的得0.5分，最多得1分。否则不得分。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针对自动气象站设备，每提供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(4)</w:t>
            </w:r>
          </w:p>
        </w:tc>
        <w:tc>
          <w:tcPr/>
          <w:p>
            <w:r>
              <w:t>评审标准：</w:t>
            </w:r>
          </w:p>
          <w:p>
            <w:r>
              <w:t>投标人承诺为本项目实施组建专业的团队。</w:t>
              <w:cr/>
              <w:t>1、项目团队人员（除项目技术负责人外）专业性强、经验丰富，具备气象/电子/计算机等相关领域中级或以上职称至少4人，得2分，否则不得分；</w:t>
              <w:cr/>
              <w:t>2、项目技术负责人具备气象或电子等相关领域高级职称的，得2分，否则不得分。</w:t>
            </w:r>
          </w:p>
          <w:p>
            <w:r>
              <w:t>评审标准说明：</w:t>
            </w:r>
          </w:p>
          <w:p>
            <w:r>
              <w:t>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hint="eastAsia"/>
          <w:szCs w:val="21"/>
        </w:rPr>
      </w:pPr>
      <w:r>
        <w:rPr>
          <w:rFonts w:ascii="宋体" w:hAnsi="宋体" w:hint="eastAsia"/>
          <w:szCs w:val="21"/>
        </w:rPr>
        <w:t>本项目采购主要用于河南省气象观测业务装备保障所需的设备备件，采购的便携式自动气象站相关备件产品须取得气象专用技术装备使用许可证。必须匹配以上采购单位在用的自动气象站等设备使用。</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tbl>
      <w:tblPr>
        <w:tblStyle w:val="TableNormal"/>
        <w:tblW w:w="5000" w:type="pct"/>
        <w:tblInd w:w="0" w:type="dxa"/>
        <w:tblLayout w:type="fixed"/>
        <w:tblCellMar>
          <w:top w:w="0" w:type="dxa"/>
          <w:left w:w="108" w:type="dxa"/>
          <w:bottom w:w="0" w:type="dxa"/>
          <w:right w:w="108" w:type="dxa"/>
        </w:tblCellMar>
      </w:tblPr>
      <w:tblGrid>
        <w:gridCol w:w="962"/>
        <w:gridCol w:w="1165"/>
        <w:gridCol w:w="1903"/>
        <w:gridCol w:w="1431"/>
        <w:gridCol w:w="3542"/>
      </w:tblGrid>
      <w:tr>
        <w:tblPrEx>
          <w:tblW w:w="5000" w:type="pct"/>
          <w:tblInd w:w="0" w:type="dxa"/>
          <w:tblLayout w:type="fixed"/>
          <w:tblCellMar>
            <w:top w:w="0" w:type="dxa"/>
            <w:left w:w="108" w:type="dxa"/>
            <w:bottom w:w="0" w:type="dxa"/>
            <w:right w:w="108" w:type="dxa"/>
          </w:tblCellMar>
        </w:tblPrEx>
        <w:trPr>
          <w:trHeight w:val="330"/>
        </w:trPr>
        <w:tc>
          <w:tcPr>
            <w:tcW w:w="534" w:type="pct"/>
            <w:vMerge w:val="restart"/>
            <w:tcBorders>
              <w:top w:val="single" w:sz="4" w:space="0" w:color="000000"/>
              <w:left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kern w:val="0"/>
                <w:sz w:val="18"/>
                <w:szCs w:val="18"/>
                <w:lang w:bidi="ar"/>
              </w:rPr>
            </w:pPr>
            <w:r>
              <w:rPr>
                <w:rFonts w:ascii="宋体" w:eastAsia="宋体" w:hAnsi="宋体" w:cs="宋体" w:hint="eastAsia"/>
                <w:color w:val="000000"/>
                <w:kern w:val="0"/>
                <w:sz w:val="18"/>
                <w:szCs w:val="18"/>
                <w:lang w:bidi="ar"/>
              </w:rPr>
              <w:t>河南省气象探测数据中心（河南省气象档案馆</w:t>
            </w:r>
            <w:r>
              <w:rPr>
                <w:rFonts w:ascii="宋体" w:hAnsi="宋体" w:cs="宋体" w:hint="eastAsia"/>
                <w:color w:val="000000"/>
                <w:kern w:val="0"/>
                <w:sz w:val="18"/>
                <w:szCs w:val="18"/>
                <w:lang w:bidi="ar"/>
              </w:rPr>
              <w:t>）</w:t>
            </w: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 xml:space="preserve">序号 </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 xml:space="preserve">设备部件名称 </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 xml:space="preserve">数量 </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 xml:space="preserve">备 注 </w:t>
            </w:r>
          </w:p>
        </w:tc>
      </w:tr>
      <w:tr>
        <w:tblPrEx>
          <w:tblW w:w="5000" w:type="pct"/>
          <w:tblInd w:w="0" w:type="dxa"/>
          <w:tblLayout w:type="fixed"/>
          <w:tblCellMar>
            <w:top w:w="0" w:type="dxa"/>
            <w:left w:w="108" w:type="dxa"/>
            <w:bottom w:w="0" w:type="dxa"/>
            <w:right w:w="108" w:type="dxa"/>
          </w:tblCellMar>
        </w:tblPrEx>
        <w:trPr>
          <w:trHeight w:val="350"/>
        </w:trPr>
        <w:tc>
          <w:tcPr>
            <w:tcW w:w="534" w:type="pct"/>
            <w:vMerge/>
            <w:tcBorders>
              <w:left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一</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传感器</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hAnsi="宋体" w:cs="宋体"/>
                <w:b/>
                <w:bCs/>
                <w:color w:val="000000"/>
                <w:sz w:val="18"/>
                <w:szCs w:val="18"/>
              </w:rPr>
            </w:pP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b/>
                <w:bCs/>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1</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雨量传感器</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200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温度传感器</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200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3</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温湿度传感器</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200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4</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气压传感器</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4</w:t>
            </w:r>
            <w:r>
              <w:rPr>
                <w:rFonts w:ascii="宋体" w:eastAsia="宋体" w:hAnsi="宋体" w:cs="宋体" w:hint="eastAsia"/>
                <w:color w:val="000000"/>
                <w:kern w:val="0"/>
                <w:sz w:val="18"/>
                <w:szCs w:val="18"/>
                <w:lang w:bidi="ar"/>
              </w:rPr>
              <w:t>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5</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风速传感器</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200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r>
              <w:rPr>
                <w:rFonts w:ascii="宋体" w:eastAsia="宋体" w:hAnsi="宋体" w:cs="宋体" w:hint="eastAsia"/>
                <w:color w:val="000000"/>
                <w:sz w:val="18"/>
                <w:szCs w:val="18"/>
              </w:rPr>
              <w:t>电压风</w:t>
            </w: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6</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风向传感器</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200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r>
              <w:rPr>
                <w:rFonts w:ascii="宋体" w:eastAsia="宋体" w:hAnsi="宋体" w:cs="宋体" w:hint="eastAsia"/>
                <w:color w:val="000000"/>
                <w:sz w:val="18"/>
                <w:szCs w:val="18"/>
              </w:rPr>
              <w:t>电压风</w:t>
            </w: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7</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风速传感器</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w:t>
            </w:r>
            <w:r>
              <w:rPr>
                <w:rFonts w:ascii="宋体" w:hAnsi="宋体" w:cs="宋体" w:hint="eastAsia"/>
                <w:color w:val="000000"/>
                <w:kern w:val="0"/>
                <w:sz w:val="18"/>
                <w:szCs w:val="18"/>
                <w:lang w:bidi="ar"/>
              </w:rPr>
              <w:t>5</w:t>
            </w:r>
            <w:r>
              <w:rPr>
                <w:rFonts w:ascii="宋体" w:eastAsia="宋体" w:hAnsi="宋体" w:cs="宋体" w:hint="eastAsia"/>
                <w:color w:val="000000"/>
                <w:kern w:val="0"/>
                <w:sz w:val="18"/>
                <w:szCs w:val="18"/>
                <w:lang w:bidi="ar"/>
              </w:rPr>
              <w:t>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r>
              <w:rPr>
                <w:rFonts w:ascii="宋体" w:eastAsia="宋体" w:hAnsi="宋体" w:cs="宋体" w:hint="eastAsia"/>
                <w:color w:val="000000"/>
                <w:sz w:val="18"/>
                <w:szCs w:val="18"/>
              </w:rPr>
              <w:t>格雷码风</w:t>
            </w: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8</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风向传感器</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w:t>
            </w:r>
            <w:r>
              <w:rPr>
                <w:rFonts w:ascii="宋体" w:hAnsi="宋体" w:cs="宋体" w:hint="eastAsia"/>
                <w:color w:val="000000"/>
                <w:kern w:val="0"/>
                <w:sz w:val="18"/>
                <w:szCs w:val="18"/>
                <w:lang w:bidi="ar"/>
              </w:rPr>
              <w:t>5</w:t>
            </w:r>
            <w:r>
              <w:rPr>
                <w:rFonts w:ascii="宋体" w:eastAsia="宋体" w:hAnsi="宋体" w:cs="宋体" w:hint="eastAsia"/>
                <w:color w:val="000000"/>
                <w:kern w:val="0"/>
                <w:sz w:val="18"/>
                <w:szCs w:val="18"/>
                <w:lang w:bidi="ar"/>
              </w:rPr>
              <w:t>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r>
              <w:rPr>
                <w:rFonts w:ascii="宋体" w:eastAsia="宋体" w:hAnsi="宋体" w:cs="宋体" w:hint="eastAsia"/>
                <w:color w:val="000000"/>
                <w:sz w:val="18"/>
                <w:szCs w:val="18"/>
              </w:rPr>
              <w:t>格雷码风</w:t>
            </w:r>
          </w:p>
        </w:tc>
      </w:tr>
      <w:tr>
        <w:tblPrEx>
          <w:tblW w:w="5000" w:type="pct"/>
          <w:tblInd w:w="0" w:type="dxa"/>
          <w:tblLayout w:type="fixed"/>
          <w:tblCellMar>
            <w:top w:w="0" w:type="dxa"/>
            <w:left w:w="108" w:type="dxa"/>
            <w:bottom w:w="0" w:type="dxa"/>
            <w:right w:w="108" w:type="dxa"/>
          </w:tblCellMar>
        </w:tblPrEx>
        <w:trPr>
          <w:trHeight w:val="319"/>
        </w:trPr>
        <w:tc>
          <w:tcPr>
            <w:tcW w:w="534" w:type="pct"/>
            <w:vMerge/>
            <w:tcBorders>
              <w:left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二</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采集系统</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hAnsi="宋体" w:cs="宋体"/>
                <w:b/>
                <w:bCs/>
                <w:color w:val="000000"/>
                <w:sz w:val="18"/>
                <w:szCs w:val="18"/>
              </w:rPr>
            </w:pP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b/>
                <w:bCs/>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数据采集器</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1</w:t>
            </w:r>
            <w:r>
              <w:rPr>
                <w:rFonts w:ascii="宋体" w:hAnsi="宋体" w:cs="宋体" w:hint="eastAsia"/>
                <w:color w:val="000000"/>
                <w:kern w:val="0"/>
                <w:sz w:val="18"/>
                <w:szCs w:val="18"/>
                <w:lang w:bidi="ar"/>
              </w:rPr>
              <w:t>80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r>
              <w:rPr>
                <w:rFonts w:ascii="宋体" w:eastAsia="宋体" w:hAnsi="宋体" w:cs="宋体" w:hint="eastAsia"/>
                <w:color w:val="000000"/>
                <w:sz w:val="18"/>
                <w:szCs w:val="18"/>
              </w:rPr>
              <w:t>5串口</w:t>
            </w: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3</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数据采集器</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1</w:t>
            </w:r>
            <w:r>
              <w:rPr>
                <w:rFonts w:ascii="宋体" w:hAnsi="宋体" w:cs="宋体" w:hint="eastAsia"/>
                <w:color w:val="000000"/>
                <w:kern w:val="0"/>
                <w:sz w:val="18"/>
                <w:szCs w:val="18"/>
                <w:lang w:bidi="ar"/>
              </w:rPr>
              <w:t>65</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r>
              <w:rPr>
                <w:rFonts w:ascii="宋体" w:eastAsia="宋体" w:hAnsi="宋体" w:cs="宋体" w:hint="eastAsia"/>
                <w:color w:val="000000"/>
                <w:sz w:val="18"/>
                <w:szCs w:val="18"/>
              </w:rPr>
              <w:t>3串口</w:t>
            </w:r>
          </w:p>
        </w:tc>
      </w:tr>
      <w:tr>
        <w:tblPrEx>
          <w:tblW w:w="5000" w:type="pct"/>
          <w:tblInd w:w="0" w:type="dxa"/>
          <w:tblLayout w:type="fixed"/>
          <w:tblCellMar>
            <w:top w:w="0" w:type="dxa"/>
            <w:left w:w="108" w:type="dxa"/>
            <w:bottom w:w="0" w:type="dxa"/>
            <w:right w:w="108" w:type="dxa"/>
          </w:tblCellMar>
        </w:tblPrEx>
        <w:trPr>
          <w:trHeight w:val="330"/>
        </w:trPr>
        <w:tc>
          <w:tcPr>
            <w:tcW w:w="534" w:type="pct"/>
            <w:vMerge/>
            <w:tcBorders>
              <w:left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三</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供电系统</w:t>
            </w:r>
          </w:p>
        </w:tc>
        <w:tc>
          <w:tcPr>
            <w:tcW w:w="794"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b/>
                <w:bCs/>
                <w:color w:val="000000"/>
                <w:sz w:val="18"/>
                <w:szCs w:val="18"/>
              </w:rPr>
            </w:pP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b/>
                <w:bCs/>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1</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太阳能充电控制器</w:t>
            </w:r>
          </w:p>
        </w:tc>
        <w:tc>
          <w:tcPr>
            <w:tcW w:w="79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200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蓄电池</w:t>
            </w:r>
          </w:p>
        </w:tc>
        <w:tc>
          <w:tcPr>
            <w:tcW w:w="79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400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p>
        </w:tc>
      </w:tr>
      <w:tr>
        <w:tblPrEx>
          <w:tblW w:w="5000" w:type="pct"/>
          <w:tblInd w:w="0" w:type="dxa"/>
          <w:tblLayout w:type="fixed"/>
          <w:tblCellMar>
            <w:top w:w="0" w:type="dxa"/>
            <w:left w:w="108" w:type="dxa"/>
            <w:bottom w:w="0" w:type="dxa"/>
            <w:right w:w="108" w:type="dxa"/>
          </w:tblCellMar>
        </w:tblPrEx>
        <w:trPr>
          <w:trHeight w:val="350"/>
        </w:trPr>
        <w:tc>
          <w:tcPr>
            <w:tcW w:w="534" w:type="pct"/>
            <w:vMerge/>
            <w:tcBorders>
              <w:left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四</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通讯系统</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hAnsi="宋体" w:cs="宋体"/>
                <w:b/>
                <w:bCs/>
                <w:color w:val="000000"/>
                <w:sz w:val="18"/>
                <w:szCs w:val="18"/>
              </w:rPr>
            </w:pP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b/>
                <w:bCs/>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1</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通信模块</w:t>
            </w:r>
          </w:p>
        </w:tc>
        <w:tc>
          <w:tcPr>
            <w:tcW w:w="79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200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r>
              <w:rPr>
                <w:rFonts w:ascii="宋体" w:eastAsia="宋体" w:hAnsi="宋体" w:cs="宋体" w:hint="eastAsia"/>
                <w:color w:val="000000"/>
                <w:sz w:val="18"/>
                <w:szCs w:val="18"/>
              </w:rPr>
              <w:t>4G通讯</w:t>
            </w:r>
          </w:p>
        </w:tc>
      </w:tr>
      <w:tr>
        <w:tblPrEx>
          <w:tblW w:w="5000" w:type="pct"/>
          <w:tblInd w:w="0" w:type="dxa"/>
          <w:tblLayout w:type="fixed"/>
          <w:tblCellMar>
            <w:top w:w="0" w:type="dxa"/>
            <w:left w:w="108" w:type="dxa"/>
            <w:bottom w:w="0" w:type="dxa"/>
            <w:right w:w="108" w:type="dxa"/>
          </w:tblCellMar>
        </w:tblPrEx>
        <w:trPr>
          <w:trHeight w:val="350"/>
        </w:trPr>
        <w:tc>
          <w:tcPr>
            <w:tcW w:w="534" w:type="pct"/>
            <w:vMerge/>
            <w:tcBorders>
              <w:left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五</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b/>
                <w:bCs/>
                <w:color w:val="000000"/>
                <w:sz w:val="18"/>
                <w:szCs w:val="18"/>
              </w:rPr>
            </w:pPr>
            <w:r>
              <w:rPr>
                <w:rFonts w:ascii="宋体" w:eastAsia="宋体" w:hAnsi="宋体" w:cs="宋体" w:hint="eastAsia"/>
                <w:b/>
                <w:bCs/>
                <w:color w:val="000000"/>
                <w:kern w:val="0"/>
                <w:sz w:val="18"/>
                <w:szCs w:val="18"/>
                <w:lang w:bidi="ar"/>
              </w:rPr>
              <w:t>其它附件</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hAnsi="宋体" w:cs="宋体"/>
                <w:b/>
                <w:bCs/>
                <w:color w:val="000000"/>
                <w:sz w:val="18"/>
                <w:szCs w:val="18"/>
              </w:rPr>
            </w:pP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b/>
                <w:bCs/>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1</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风横臂</w:t>
            </w:r>
          </w:p>
        </w:tc>
        <w:tc>
          <w:tcPr>
            <w:tcW w:w="79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50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电压风用</w:t>
            </w: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风横臂</w:t>
            </w:r>
          </w:p>
        </w:tc>
        <w:tc>
          <w:tcPr>
            <w:tcW w:w="79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50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格雷码风用</w:t>
            </w: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3</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百叶箱</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4</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 xml:space="preserve">10米自立风杆 </w:t>
            </w:r>
          </w:p>
        </w:tc>
        <w:tc>
          <w:tcPr>
            <w:tcW w:w="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20</w:t>
            </w:r>
          </w:p>
        </w:tc>
        <w:tc>
          <w:tcPr>
            <w:tcW w:w="1966" w:type="pct"/>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hAnsi="宋体" w:cs="宋体"/>
                <w:color w:val="000000"/>
                <w:sz w:val="18"/>
                <w:szCs w:val="18"/>
              </w:rPr>
            </w:pP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5</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风线</w:t>
            </w:r>
          </w:p>
        </w:tc>
        <w:tc>
          <w:tcPr>
            <w:tcW w:w="79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200</w:t>
            </w:r>
          </w:p>
        </w:tc>
        <w:tc>
          <w:tcPr>
            <w:tcW w:w="19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电压风，20米不含插头。</w:t>
            </w:r>
          </w:p>
        </w:tc>
      </w:tr>
      <w:tr>
        <w:tblPrEx>
          <w:tblW w:w="5000" w:type="pct"/>
          <w:tblInd w:w="0" w:type="dxa"/>
          <w:tblLayout w:type="fixed"/>
          <w:tblCellMar>
            <w:top w:w="0" w:type="dxa"/>
            <w:left w:w="108" w:type="dxa"/>
            <w:bottom w:w="0" w:type="dxa"/>
            <w:right w:w="108" w:type="dxa"/>
          </w:tblCellMar>
        </w:tblPrEx>
        <w:trPr>
          <w:trHeight w:val="280"/>
        </w:trPr>
        <w:tc>
          <w:tcPr>
            <w:tcW w:w="534" w:type="pct"/>
            <w:vMerge/>
            <w:tcBorders>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kern w:val="0"/>
                <w:sz w:val="18"/>
                <w:szCs w:val="18"/>
                <w:lang w:bidi="ar"/>
              </w:rPr>
            </w:pPr>
          </w:p>
        </w:tc>
        <w:tc>
          <w:tcPr>
            <w:tcW w:w="64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6</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left"/>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风线</w:t>
            </w:r>
          </w:p>
        </w:tc>
        <w:tc>
          <w:tcPr>
            <w:tcW w:w="79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200</w:t>
            </w:r>
          </w:p>
        </w:tc>
        <w:tc>
          <w:tcPr>
            <w:tcW w:w="19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jc w:val="center"/>
              <w:textAlignment w:val="center"/>
              <w:rPr>
                <w:rFonts w:ascii="宋体" w:hAnsi="宋体" w:cs="宋体"/>
                <w:color w:val="000000"/>
                <w:sz w:val="18"/>
                <w:szCs w:val="18"/>
              </w:rPr>
            </w:pPr>
            <w:r>
              <w:rPr>
                <w:rFonts w:ascii="宋体" w:eastAsia="宋体" w:hAnsi="宋体" w:cs="宋体" w:hint="eastAsia"/>
                <w:color w:val="000000"/>
                <w:kern w:val="0"/>
                <w:sz w:val="18"/>
                <w:szCs w:val="18"/>
                <w:lang w:bidi="ar"/>
              </w:rPr>
              <w:t>格雷码风，20米不含插头。</w:t>
            </w:r>
          </w:p>
        </w:tc>
      </w:tr>
    </w:tbl>
    <w:p>
      <w:pPr>
        <w:spacing w:line="360" w:lineRule="auto"/>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三、技术性能指标</w:t>
      </w:r>
    </w:p>
    <w:p>
      <w:pPr>
        <w:tabs>
          <w:tab w:val="left" w:pos="432"/>
        </w:tabs>
        <w:adjustRightInd w:val="0"/>
        <w:spacing w:line="360" w:lineRule="auto"/>
        <w:rPr>
          <w:rFonts w:ascii="宋体" w:hAnsi="宋体" w:cs="宋体"/>
          <w:szCs w:val="21"/>
        </w:rPr>
      </w:pPr>
      <w:r>
        <w:rPr>
          <w:rFonts w:ascii="宋体" w:eastAsia="宋体" w:hAnsi="宋体" w:cs="宋体" w:hint="eastAsia"/>
          <w:szCs w:val="21"/>
        </w:rPr>
        <w:t>1、数据采集系统</w:t>
      </w:r>
    </w:p>
    <w:p>
      <w:pPr>
        <w:spacing w:line="360" w:lineRule="auto"/>
        <w:ind w:firstLine="420" w:firstLineChars="200"/>
        <w:rPr>
          <w:rFonts w:ascii="宋体" w:hAnsi="宋体" w:cs="宋体"/>
          <w:szCs w:val="21"/>
        </w:rPr>
      </w:pPr>
      <w:r>
        <w:rPr>
          <w:rFonts w:ascii="宋体" w:eastAsia="宋体" w:hAnsi="宋体" w:cs="宋体" w:hint="eastAsia"/>
          <w:szCs w:val="21"/>
        </w:rPr>
        <w:t>数据采集器是自动气象站的核心，由硬件和嵌入式软件组成。硬件包含高性能的嵌入式处理器、高精度的A/D 电路、高精度的实时时钟电路、大容量的程序和数据存储器、传感器接口、通信接口、监测电路、指示灯等。</w:t>
      </w:r>
    </w:p>
    <w:p>
      <w:pPr>
        <w:tabs>
          <w:tab w:val="left" w:pos="432"/>
        </w:tabs>
        <w:adjustRightInd w:val="0"/>
        <w:spacing w:line="360" w:lineRule="auto"/>
        <w:rPr>
          <w:rFonts w:ascii="宋体" w:hAnsi="宋体" w:cs="宋体"/>
          <w:szCs w:val="21"/>
        </w:rPr>
      </w:pPr>
      <w:r>
        <w:rPr>
          <w:rFonts w:ascii="宋体" w:eastAsia="宋体" w:hAnsi="宋体" w:cs="宋体" w:hint="eastAsia"/>
          <w:szCs w:val="21"/>
        </w:rPr>
        <w:t>2、自动气象站功能要求</w:t>
      </w:r>
    </w:p>
    <w:p>
      <w:pPr>
        <w:spacing w:line="360" w:lineRule="auto"/>
        <w:ind w:firstLine="420" w:firstLineChars="200"/>
        <w:rPr>
          <w:rFonts w:ascii="宋体" w:hAnsi="宋体" w:cs="宋体"/>
          <w:szCs w:val="21"/>
        </w:rPr>
      </w:pPr>
      <w:r>
        <w:rPr>
          <w:rFonts w:ascii="宋体" w:eastAsia="宋体" w:hAnsi="宋体" w:cs="宋体" w:hint="eastAsia"/>
          <w:szCs w:val="21"/>
        </w:rPr>
        <w:t>（1）数据采集</w:t>
      </w:r>
    </w:p>
    <w:p>
      <w:pPr>
        <w:spacing w:line="360" w:lineRule="auto"/>
        <w:ind w:firstLine="420" w:firstLineChars="200"/>
        <w:rPr>
          <w:rFonts w:ascii="宋体" w:hAnsi="宋体" w:cs="宋体"/>
          <w:szCs w:val="21"/>
        </w:rPr>
      </w:pPr>
      <w:r>
        <w:rPr>
          <w:rFonts w:ascii="宋体" w:eastAsia="宋体" w:hAnsi="宋体" w:cs="宋体" w:hint="eastAsia"/>
          <w:szCs w:val="21"/>
        </w:rPr>
        <w:t>对传感器按预定的采样频率进行扫描和将获得的电信号转换成微控制器可读信号，得到气象变量测量值序列；对气象变量测量值进行转换，使传感器输出的电信号转换成气象单位量，得到采样瞬时值。</w:t>
      </w:r>
    </w:p>
    <w:p>
      <w:pPr>
        <w:spacing w:line="360" w:lineRule="auto"/>
        <w:ind w:firstLine="420" w:firstLineChars="200"/>
        <w:rPr>
          <w:rFonts w:ascii="宋体" w:hAnsi="宋体" w:cs="宋体"/>
          <w:szCs w:val="21"/>
        </w:rPr>
      </w:pPr>
      <w:r>
        <w:rPr>
          <w:rFonts w:ascii="宋体" w:eastAsia="宋体" w:hAnsi="宋体" w:cs="宋体" w:hint="eastAsia"/>
          <w:szCs w:val="21"/>
        </w:rPr>
        <w:t>（2）数据处理</w:t>
      </w:r>
    </w:p>
    <w:p>
      <w:pPr>
        <w:spacing w:line="360" w:lineRule="auto"/>
        <w:ind w:firstLine="420" w:firstLineChars="200"/>
        <w:rPr>
          <w:rFonts w:ascii="宋体" w:hAnsi="宋体" w:cs="宋体"/>
          <w:szCs w:val="21"/>
        </w:rPr>
      </w:pPr>
      <w:r>
        <w:rPr>
          <w:rFonts w:ascii="宋体" w:eastAsia="宋体" w:hAnsi="宋体" w:cs="宋体" w:hint="eastAsia"/>
          <w:szCs w:val="21"/>
        </w:rPr>
        <w:t>根据气象要素采样值，计算出气象观测需要的统计量，如一个小时内的极值、滑动平均、算数平均值以及累计量等；由采集器生成气象值（分钟）数据、小时正点数据和监控数据，并写入存储器。</w:t>
      </w:r>
    </w:p>
    <w:p>
      <w:pPr>
        <w:spacing w:line="360" w:lineRule="auto"/>
        <w:ind w:firstLine="420" w:firstLineChars="200"/>
        <w:rPr>
          <w:rFonts w:ascii="宋体" w:hAnsi="宋体" w:cs="宋体"/>
          <w:szCs w:val="21"/>
        </w:rPr>
      </w:pPr>
      <w:r>
        <w:rPr>
          <w:rFonts w:ascii="宋体" w:eastAsia="宋体" w:hAnsi="宋体" w:cs="宋体" w:hint="eastAsia"/>
          <w:szCs w:val="21"/>
        </w:rPr>
        <w:t>（3）数据存储</w:t>
      </w:r>
    </w:p>
    <w:p>
      <w:pPr>
        <w:spacing w:line="360" w:lineRule="auto"/>
        <w:ind w:firstLine="420" w:firstLineChars="200"/>
        <w:rPr>
          <w:rFonts w:ascii="宋体" w:hAnsi="宋体" w:cs="宋体"/>
          <w:szCs w:val="21"/>
        </w:rPr>
      </w:pPr>
      <w:r>
        <w:rPr>
          <w:rFonts w:ascii="宋体" w:eastAsia="宋体" w:hAnsi="宋体" w:cs="宋体" w:hint="eastAsia"/>
          <w:szCs w:val="21"/>
        </w:rPr>
        <w:t>数据采集器存储7天的瞬时气象（分钟）值、1月的正点气象要素值等。数据存储可以使用循环式存储器结构，即允许最新的数据覆盖旧数据。采集器内部的数据存储器容量应留有50%的余量。采集器内部的数据存贮器应具备掉电保存功能。</w:t>
      </w:r>
    </w:p>
    <w:p>
      <w:pPr>
        <w:spacing w:line="360" w:lineRule="auto"/>
        <w:ind w:firstLine="420" w:firstLineChars="200"/>
        <w:rPr>
          <w:rFonts w:ascii="宋体" w:hAnsi="宋体" w:cs="宋体"/>
          <w:szCs w:val="21"/>
        </w:rPr>
      </w:pPr>
      <w:r>
        <w:rPr>
          <w:rFonts w:ascii="宋体" w:eastAsia="宋体" w:hAnsi="宋体" w:cs="宋体" w:hint="eastAsia"/>
          <w:szCs w:val="21"/>
        </w:rPr>
        <w:t>(4) 数据传输</w:t>
      </w:r>
    </w:p>
    <w:p>
      <w:pPr>
        <w:spacing w:line="360" w:lineRule="auto"/>
        <w:ind w:firstLine="420" w:firstLineChars="200"/>
        <w:rPr>
          <w:rFonts w:ascii="宋体" w:hAnsi="宋体" w:cs="宋体"/>
          <w:szCs w:val="21"/>
        </w:rPr>
      </w:pPr>
      <w:r>
        <w:rPr>
          <w:rFonts w:ascii="宋体" w:eastAsia="宋体" w:hAnsi="宋体" w:cs="宋体" w:hint="eastAsia"/>
          <w:szCs w:val="21"/>
        </w:rPr>
        <w:t>自动气象站应具备通过无线方式或串口直连方式进行数据传输的功能。通过微机终端实现远程通信传输的功能在业务软件中实现。</w:t>
      </w:r>
    </w:p>
    <w:p>
      <w:pPr>
        <w:tabs>
          <w:tab w:val="left" w:pos="432"/>
        </w:tabs>
        <w:adjustRightInd w:val="0"/>
        <w:spacing w:line="360" w:lineRule="auto"/>
        <w:rPr>
          <w:rFonts w:ascii="宋体" w:hAnsi="宋体" w:cs="宋体"/>
          <w:szCs w:val="21"/>
        </w:rPr>
      </w:pPr>
      <w:r>
        <w:rPr>
          <w:rFonts w:ascii="宋体" w:eastAsia="宋体" w:hAnsi="宋体" w:cs="宋体" w:hint="eastAsia"/>
          <w:szCs w:val="21"/>
        </w:rPr>
        <w:t>3、自动气象站性能指标</w:t>
      </w:r>
    </w:p>
    <w:tbl>
      <w:tblPr>
        <w:tblStyle w:val="TableNormal"/>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39"/>
        <w:gridCol w:w="2643"/>
        <w:gridCol w:w="1085"/>
        <w:gridCol w:w="3250"/>
      </w:tblGrid>
      <w:tr>
        <w:tblPrEx>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3"/>
          <w:tblHeader/>
        </w:trPr>
        <w:tc>
          <w:tcPr>
            <w:tcW w:w="903" w:type="pct"/>
            <w:shd w:val="clear" w:color="auto" w:fill="FFFFFF"/>
            <w:vAlign w:val="center"/>
          </w:tcPr>
          <w:p>
            <w:pPr>
              <w:widowControl/>
              <w:spacing w:line="360" w:lineRule="auto"/>
              <w:jc w:val="center"/>
              <w:rPr>
                <w:rFonts w:ascii="宋体" w:hAnsi="宋体" w:cs="宋体"/>
                <w:b/>
                <w:szCs w:val="21"/>
              </w:rPr>
            </w:pPr>
            <w:r>
              <w:rPr>
                <w:rFonts w:ascii="宋体" w:eastAsia="宋体" w:hAnsi="宋体" w:cs="宋体" w:hint="eastAsia"/>
                <w:b/>
                <w:szCs w:val="21"/>
              </w:rPr>
              <w:t>测量要素</w:t>
            </w:r>
          </w:p>
        </w:tc>
        <w:tc>
          <w:tcPr>
            <w:tcW w:w="1551" w:type="pct"/>
            <w:shd w:val="clear" w:color="auto" w:fill="FFFFFF"/>
            <w:vAlign w:val="center"/>
          </w:tcPr>
          <w:p>
            <w:pPr>
              <w:widowControl/>
              <w:spacing w:line="360" w:lineRule="auto"/>
              <w:jc w:val="center"/>
              <w:rPr>
                <w:rFonts w:ascii="宋体" w:hAnsi="宋体" w:cs="宋体"/>
                <w:b/>
                <w:szCs w:val="21"/>
              </w:rPr>
            </w:pPr>
            <w:r>
              <w:rPr>
                <w:rFonts w:ascii="宋体" w:eastAsia="宋体" w:hAnsi="宋体" w:cs="宋体" w:hint="eastAsia"/>
                <w:b/>
                <w:szCs w:val="21"/>
              </w:rPr>
              <w:t>范围</w:t>
            </w:r>
          </w:p>
        </w:tc>
        <w:tc>
          <w:tcPr>
            <w:tcW w:w="637" w:type="pct"/>
            <w:shd w:val="clear" w:color="auto" w:fill="FFFFFF"/>
            <w:vAlign w:val="center"/>
          </w:tcPr>
          <w:p>
            <w:pPr>
              <w:widowControl/>
              <w:spacing w:line="360" w:lineRule="auto"/>
              <w:jc w:val="center"/>
              <w:rPr>
                <w:rFonts w:ascii="宋体" w:hAnsi="宋体" w:cs="宋体"/>
                <w:b/>
                <w:szCs w:val="21"/>
              </w:rPr>
            </w:pPr>
            <w:r>
              <w:rPr>
                <w:rFonts w:ascii="宋体" w:eastAsia="宋体" w:hAnsi="宋体" w:cs="宋体" w:hint="eastAsia"/>
                <w:b/>
                <w:szCs w:val="21"/>
              </w:rPr>
              <w:t>分辨力</w:t>
            </w:r>
          </w:p>
        </w:tc>
        <w:tc>
          <w:tcPr>
            <w:tcW w:w="1907" w:type="pct"/>
            <w:shd w:val="clear" w:color="auto" w:fill="FFFFFF"/>
            <w:vAlign w:val="center"/>
          </w:tcPr>
          <w:p>
            <w:pPr>
              <w:widowControl/>
              <w:spacing w:line="360" w:lineRule="auto"/>
              <w:jc w:val="center"/>
              <w:rPr>
                <w:rFonts w:ascii="宋体" w:hAnsi="宋体" w:cs="宋体"/>
                <w:b/>
                <w:szCs w:val="21"/>
              </w:rPr>
            </w:pPr>
            <w:r>
              <w:rPr>
                <w:rFonts w:ascii="宋体" w:eastAsia="宋体" w:hAnsi="宋体" w:cs="宋体" w:hint="eastAsia"/>
                <w:b/>
                <w:szCs w:val="21"/>
              </w:rPr>
              <w:t>最大允许误差</w:t>
            </w:r>
          </w:p>
        </w:tc>
      </w:tr>
      <w:tr>
        <w:tblPrEx>
          <w:tblW w:w="4997" w:type="pct"/>
          <w:tblInd w:w="0" w:type="dxa"/>
          <w:tblCellMar>
            <w:top w:w="0" w:type="dxa"/>
            <w:left w:w="108" w:type="dxa"/>
            <w:bottom w:w="0" w:type="dxa"/>
            <w:right w:w="108" w:type="dxa"/>
          </w:tblCellMar>
        </w:tblPrEx>
        <w:trPr>
          <w:trHeight w:val="23"/>
        </w:trPr>
        <w:tc>
          <w:tcPr>
            <w:tcW w:w="903"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温度</w:t>
            </w:r>
          </w:p>
        </w:tc>
        <w:tc>
          <w:tcPr>
            <w:tcW w:w="1551" w:type="pct"/>
            <w:shd w:val="clear" w:color="auto" w:fill="FFFFFF"/>
            <w:vAlign w:val="center"/>
          </w:tcPr>
          <w:p>
            <w:pPr>
              <w:spacing w:line="360" w:lineRule="auto"/>
              <w:jc w:val="left"/>
              <w:rPr>
                <w:rFonts w:ascii="宋体" w:hAnsi="宋体" w:cs="宋体"/>
                <w:szCs w:val="21"/>
              </w:rPr>
            </w:pPr>
            <w:r>
              <w:rPr>
                <w:rFonts w:ascii="宋体" w:eastAsia="宋体" w:hAnsi="宋体" w:cs="宋体" w:hint="eastAsia"/>
                <w:szCs w:val="21"/>
                <w:highlight w:val="yellow"/>
              </w:rPr>
              <w:t>#</w:t>
            </w:r>
            <w:r>
              <w:rPr>
                <w:rFonts w:ascii="宋体" w:eastAsia="宋体" w:hAnsi="宋体" w:cs="宋体" w:hint="eastAsia"/>
                <w:szCs w:val="21"/>
              </w:rPr>
              <w:t>-50℃～50℃</w:t>
            </w:r>
          </w:p>
        </w:tc>
        <w:tc>
          <w:tcPr>
            <w:tcW w:w="637" w:type="pct"/>
            <w:shd w:val="clear" w:color="auto" w:fill="FFFFFF"/>
            <w:vAlign w:val="center"/>
          </w:tcPr>
          <w:p>
            <w:pPr>
              <w:spacing w:line="360" w:lineRule="auto"/>
              <w:jc w:val="left"/>
              <w:rPr>
                <w:rFonts w:ascii="宋体" w:hAnsi="宋体" w:cs="宋体"/>
                <w:szCs w:val="21"/>
              </w:rPr>
            </w:pPr>
            <w:r>
              <w:rPr>
                <w:rFonts w:ascii="宋体" w:eastAsia="宋体" w:hAnsi="宋体" w:cs="宋体" w:hint="eastAsia"/>
                <w:szCs w:val="21"/>
              </w:rPr>
              <w:t>0.1℃</w:t>
            </w:r>
          </w:p>
        </w:tc>
        <w:tc>
          <w:tcPr>
            <w:tcW w:w="1907" w:type="pct"/>
            <w:shd w:val="clear" w:color="auto" w:fill="FFFFFF"/>
            <w:vAlign w:val="center"/>
          </w:tcPr>
          <w:p>
            <w:pPr>
              <w:spacing w:line="360" w:lineRule="auto"/>
              <w:jc w:val="left"/>
              <w:rPr>
                <w:rFonts w:ascii="宋体" w:hAnsi="宋体" w:cs="宋体"/>
                <w:bCs/>
                <w:szCs w:val="21"/>
              </w:rPr>
            </w:pPr>
            <w:r>
              <w:rPr>
                <w:rFonts w:ascii="宋体" w:eastAsia="宋体" w:hAnsi="宋体" w:cs="宋体" w:hint="eastAsia"/>
                <w:szCs w:val="21"/>
                <w:highlight w:val="yellow"/>
              </w:rPr>
              <w:t>#</w:t>
            </w:r>
            <w:r>
              <w:rPr>
                <w:rFonts w:ascii="宋体" w:eastAsia="宋体" w:hAnsi="宋体" w:cs="宋体" w:hint="eastAsia"/>
                <w:bCs/>
                <w:szCs w:val="21"/>
              </w:rPr>
              <w:t>±0.2℃</w:t>
            </w:r>
          </w:p>
        </w:tc>
      </w:tr>
      <w:tr>
        <w:tblPrEx>
          <w:tblW w:w="4997" w:type="pct"/>
          <w:tblInd w:w="0" w:type="dxa"/>
          <w:tblCellMar>
            <w:top w:w="0" w:type="dxa"/>
            <w:left w:w="108" w:type="dxa"/>
            <w:bottom w:w="0" w:type="dxa"/>
            <w:right w:w="108" w:type="dxa"/>
          </w:tblCellMar>
        </w:tblPrEx>
        <w:trPr>
          <w:trHeight w:val="23"/>
        </w:trPr>
        <w:tc>
          <w:tcPr>
            <w:tcW w:w="903"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湿度</w:t>
            </w:r>
          </w:p>
        </w:tc>
        <w:tc>
          <w:tcPr>
            <w:tcW w:w="1551"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5%～100%RH</w:t>
            </w:r>
          </w:p>
        </w:tc>
        <w:tc>
          <w:tcPr>
            <w:tcW w:w="637"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1%</w:t>
            </w:r>
          </w:p>
        </w:tc>
        <w:tc>
          <w:tcPr>
            <w:tcW w:w="1907"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szCs w:val="21"/>
                <w:highlight w:val="yellow"/>
              </w:rPr>
              <w:t>#</w:t>
            </w:r>
            <w:r>
              <w:rPr>
                <w:rFonts w:ascii="宋体" w:eastAsia="宋体" w:hAnsi="宋体" w:cs="宋体" w:hint="eastAsia"/>
                <w:bCs/>
                <w:szCs w:val="21"/>
              </w:rPr>
              <w:t>±4%（≤80%），±8%（＞80%）</w:t>
            </w:r>
          </w:p>
        </w:tc>
      </w:tr>
      <w:tr>
        <w:tblPrEx>
          <w:tblW w:w="4997" w:type="pct"/>
          <w:tblInd w:w="0" w:type="dxa"/>
          <w:tblCellMar>
            <w:top w:w="0" w:type="dxa"/>
            <w:left w:w="108" w:type="dxa"/>
            <w:bottom w:w="0" w:type="dxa"/>
            <w:right w:w="108" w:type="dxa"/>
          </w:tblCellMar>
        </w:tblPrEx>
        <w:trPr>
          <w:trHeight w:val="23"/>
        </w:trPr>
        <w:tc>
          <w:tcPr>
            <w:tcW w:w="903"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雨量</w:t>
            </w:r>
          </w:p>
        </w:tc>
        <w:tc>
          <w:tcPr>
            <w:tcW w:w="1551"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雨强0～4mm/min</w:t>
            </w:r>
          </w:p>
        </w:tc>
        <w:tc>
          <w:tcPr>
            <w:tcW w:w="637"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0.1mm</w:t>
            </w:r>
          </w:p>
        </w:tc>
        <w:tc>
          <w:tcPr>
            <w:tcW w:w="1907"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szCs w:val="21"/>
                <w:highlight w:val="yellow"/>
              </w:rPr>
              <w:t>#</w:t>
            </w:r>
            <w:r>
              <w:rPr>
                <w:rFonts w:ascii="宋体" w:eastAsia="宋体" w:hAnsi="宋体" w:cs="宋体" w:hint="eastAsia"/>
                <w:bCs/>
                <w:szCs w:val="21"/>
              </w:rPr>
              <w:t>±0.4mm（≤10mm）</w:t>
            </w:r>
            <w:r>
              <w:rPr>
                <w:rFonts w:ascii="宋体" w:eastAsia="宋体" w:hAnsi="宋体" w:cs="宋体" w:hint="eastAsia"/>
                <w:bCs/>
                <w:szCs w:val="21"/>
                <w:lang w:eastAsia="zh-CN"/>
              </w:rPr>
              <w:t>，</w:t>
            </w:r>
            <w:r>
              <w:rPr>
                <w:rFonts w:ascii="宋体" w:eastAsia="宋体" w:hAnsi="宋体" w:cs="宋体" w:hint="eastAsia"/>
                <w:bCs/>
                <w:szCs w:val="21"/>
              </w:rPr>
              <w:t>±4%（＞10mm）</w:t>
            </w:r>
          </w:p>
        </w:tc>
      </w:tr>
      <w:tr>
        <w:tblPrEx>
          <w:tblW w:w="4997" w:type="pct"/>
          <w:tblInd w:w="0" w:type="dxa"/>
          <w:tblCellMar>
            <w:top w:w="0" w:type="dxa"/>
            <w:left w:w="108" w:type="dxa"/>
            <w:bottom w:w="0" w:type="dxa"/>
            <w:right w:w="108" w:type="dxa"/>
          </w:tblCellMar>
        </w:tblPrEx>
        <w:trPr>
          <w:trHeight w:val="1001"/>
        </w:trPr>
        <w:tc>
          <w:tcPr>
            <w:tcW w:w="903"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风速</w:t>
            </w:r>
          </w:p>
        </w:tc>
        <w:tc>
          <w:tcPr>
            <w:tcW w:w="1551"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0～60m/s</w:t>
            </w:r>
          </w:p>
        </w:tc>
        <w:tc>
          <w:tcPr>
            <w:tcW w:w="637"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0.1m/s</w:t>
            </w:r>
          </w:p>
        </w:tc>
        <w:tc>
          <w:tcPr>
            <w:tcW w:w="1907"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szCs w:val="21"/>
                <w:highlight w:val="yellow"/>
              </w:rPr>
              <w:t>#</w:t>
            </w:r>
            <w:r>
              <w:rPr>
                <w:rFonts w:ascii="宋体" w:eastAsia="宋体" w:hAnsi="宋体" w:cs="宋体" w:hint="eastAsia"/>
                <w:bCs/>
                <w:szCs w:val="21"/>
                <w:highlight w:val="yellow"/>
              </w:rPr>
              <w:t>±</w:t>
            </w:r>
            <w:r>
              <w:rPr>
                <w:rFonts w:ascii="宋体" w:eastAsia="宋体" w:hAnsi="宋体" w:cs="宋体"/>
                <w:bCs/>
                <w:szCs w:val="21"/>
                <w:highlight w:val="yellow"/>
              </w:rPr>
              <w:t>(0.5+0.03V)m/s</w:t>
            </w:r>
          </w:p>
        </w:tc>
      </w:tr>
      <w:tr>
        <w:tblPrEx>
          <w:tblW w:w="4997" w:type="pct"/>
          <w:tblInd w:w="0" w:type="dxa"/>
          <w:tblCellMar>
            <w:top w:w="0" w:type="dxa"/>
            <w:left w:w="108" w:type="dxa"/>
            <w:bottom w:w="0" w:type="dxa"/>
            <w:right w:w="108" w:type="dxa"/>
          </w:tblCellMar>
        </w:tblPrEx>
        <w:trPr>
          <w:trHeight w:val="23"/>
        </w:trPr>
        <w:tc>
          <w:tcPr>
            <w:tcW w:w="903"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风向</w:t>
            </w:r>
          </w:p>
        </w:tc>
        <w:tc>
          <w:tcPr>
            <w:tcW w:w="1551"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szCs w:val="21"/>
                <w:highlight w:val="yellow"/>
              </w:rPr>
              <w:t>#</w:t>
            </w:r>
            <w:r>
              <w:rPr>
                <w:rFonts w:ascii="宋体" w:eastAsia="宋体" w:hAnsi="宋体" w:cs="宋体" w:hint="eastAsia"/>
                <w:bCs/>
                <w:szCs w:val="21"/>
              </w:rPr>
              <w:t>0～360°</w:t>
            </w:r>
          </w:p>
        </w:tc>
        <w:tc>
          <w:tcPr>
            <w:tcW w:w="637"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3°</w:t>
            </w:r>
          </w:p>
        </w:tc>
        <w:tc>
          <w:tcPr>
            <w:tcW w:w="1907"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szCs w:val="21"/>
                <w:highlight w:val="yellow"/>
              </w:rPr>
              <w:t>#</w:t>
            </w:r>
            <w:r>
              <w:rPr>
                <w:rFonts w:ascii="宋体" w:eastAsia="宋体" w:hAnsi="宋体" w:cs="宋体" w:hint="eastAsia"/>
                <w:bCs/>
                <w:szCs w:val="21"/>
              </w:rPr>
              <w:t>±5°</w:t>
            </w:r>
          </w:p>
        </w:tc>
      </w:tr>
      <w:tr>
        <w:tblPrEx>
          <w:tblW w:w="4997" w:type="pct"/>
          <w:tblInd w:w="0" w:type="dxa"/>
          <w:tblCellMar>
            <w:top w:w="0" w:type="dxa"/>
            <w:left w:w="108" w:type="dxa"/>
            <w:bottom w:w="0" w:type="dxa"/>
            <w:right w:w="108" w:type="dxa"/>
          </w:tblCellMar>
        </w:tblPrEx>
        <w:trPr>
          <w:trHeight w:val="23"/>
        </w:trPr>
        <w:tc>
          <w:tcPr>
            <w:tcW w:w="903"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气压</w:t>
            </w:r>
          </w:p>
        </w:tc>
        <w:tc>
          <w:tcPr>
            <w:tcW w:w="1551"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szCs w:val="21"/>
                <w:highlight w:val="yellow"/>
              </w:rPr>
              <w:t>#</w:t>
            </w:r>
            <w:r>
              <w:rPr>
                <w:rFonts w:ascii="宋体" w:eastAsia="宋体" w:hAnsi="宋体" w:cs="宋体" w:hint="eastAsia"/>
                <w:bCs/>
                <w:szCs w:val="21"/>
              </w:rPr>
              <w:t>500hPa～1100hPa</w:t>
            </w:r>
          </w:p>
        </w:tc>
        <w:tc>
          <w:tcPr>
            <w:tcW w:w="637"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bCs/>
                <w:szCs w:val="21"/>
              </w:rPr>
              <w:t>0.1hPa</w:t>
            </w:r>
          </w:p>
        </w:tc>
        <w:tc>
          <w:tcPr>
            <w:tcW w:w="1907" w:type="pct"/>
            <w:shd w:val="clear" w:color="auto" w:fill="FFFFFF"/>
            <w:vAlign w:val="center"/>
          </w:tcPr>
          <w:p>
            <w:pPr>
              <w:widowControl/>
              <w:spacing w:line="360" w:lineRule="auto"/>
              <w:jc w:val="left"/>
              <w:rPr>
                <w:rFonts w:ascii="宋体" w:hAnsi="宋体" w:cs="宋体"/>
                <w:bCs/>
                <w:szCs w:val="21"/>
              </w:rPr>
            </w:pPr>
            <w:r>
              <w:rPr>
                <w:rFonts w:ascii="宋体" w:eastAsia="宋体" w:hAnsi="宋体" w:cs="宋体" w:hint="eastAsia"/>
                <w:szCs w:val="21"/>
                <w:highlight w:val="yellow"/>
              </w:rPr>
              <w:t>#</w:t>
            </w:r>
            <w:r>
              <w:rPr>
                <w:rFonts w:ascii="宋体" w:eastAsia="宋体" w:hAnsi="宋体" w:cs="宋体" w:hint="eastAsia"/>
                <w:bCs/>
                <w:szCs w:val="21"/>
              </w:rPr>
              <w:t>±0.3hPa</w:t>
            </w:r>
          </w:p>
        </w:tc>
      </w:tr>
    </w:tbl>
    <w:p>
      <w:pPr>
        <w:tabs>
          <w:tab w:val="left" w:pos="432"/>
        </w:tabs>
        <w:adjustRightInd w:val="0"/>
        <w:spacing w:line="360" w:lineRule="auto"/>
        <w:rPr>
          <w:rFonts w:ascii="宋体" w:hAnsi="宋体" w:cs="宋体"/>
          <w:szCs w:val="21"/>
        </w:rPr>
      </w:pPr>
      <w:r>
        <w:rPr>
          <w:rFonts w:ascii="宋体" w:eastAsia="宋体" w:hAnsi="宋体" w:cs="宋体" w:hint="eastAsia"/>
          <w:szCs w:val="21"/>
        </w:rPr>
        <w:t>4、供电系统</w:t>
      </w:r>
    </w:p>
    <w:p>
      <w:pPr>
        <w:spacing w:line="360" w:lineRule="auto"/>
        <w:ind w:firstLine="420" w:firstLineChars="200"/>
        <w:rPr>
          <w:rFonts w:ascii="宋体" w:hAnsi="宋体" w:cs="宋体"/>
          <w:szCs w:val="21"/>
        </w:rPr>
      </w:pPr>
      <w:r>
        <w:rPr>
          <w:rFonts w:ascii="宋体" w:eastAsia="宋体" w:hAnsi="宋体" w:cs="宋体" w:hint="eastAsia"/>
          <w:szCs w:val="21"/>
        </w:rPr>
        <w:t>自动气象站须采用太阳能供电。</w:t>
      </w:r>
    </w:p>
    <w:p>
      <w:pPr>
        <w:spacing w:line="360" w:lineRule="auto"/>
        <w:rPr>
          <w:rFonts w:ascii="宋体" w:hAnsi="宋体" w:cs="宋体"/>
          <w:szCs w:val="21"/>
        </w:rPr>
      </w:pPr>
      <w:r>
        <w:rPr>
          <w:rFonts w:ascii="宋体" w:eastAsia="宋体" w:hAnsi="宋体" w:cs="宋体" w:hint="eastAsia"/>
          <w:szCs w:val="21"/>
        </w:rPr>
        <w:t>蓄电池的容量必须保证自动气象站能在脱离辅助电源的条件下连续工作7天。并在蓄电池电压低到不足以维持符合质量要求的观测工作前两天发出报警信息。</w:t>
      </w:r>
    </w:p>
    <w:p>
      <w:pPr>
        <w:spacing w:line="360" w:lineRule="auto"/>
        <w:rPr>
          <w:rFonts w:ascii="宋体" w:hAnsi="宋体" w:cs="宋体"/>
          <w:szCs w:val="21"/>
        </w:rPr>
      </w:pPr>
      <w:r>
        <w:rPr>
          <w:rFonts w:ascii="宋体" w:eastAsia="宋体" w:hAnsi="宋体" w:cs="宋体" w:hint="eastAsia"/>
          <w:szCs w:val="21"/>
        </w:rPr>
        <w:t>5、通讯系统</w:t>
      </w:r>
    </w:p>
    <w:p>
      <w:pPr>
        <w:spacing w:line="360" w:lineRule="auto"/>
        <w:rPr>
          <w:rFonts w:ascii="宋体" w:hAnsi="宋体" w:cs="宋体"/>
          <w:szCs w:val="21"/>
        </w:rPr>
      </w:pPr>
      <w:r>
        <w:rPr>
          <w:rFonts w:ascii="宋体" w:eastAsia="宋体" w:hAnsi="宋体" w:cs="宋体" w:hint="eastAsia"/>
          <w:szCs w:val="21"/>
        </w:rPr>
        <w:t>通讯系统需具有多种物理通信链路（RS232/4G/GPRS/BD1/Ethernet）实现多种通道的数据采集、数据处理、数据分发、状态自检、存储、远程维护和远程升级等功能，可实现联通，电信、移动及物联网卡的无缝接入。</w:t>
      </w:r>
    </w:p>
    <w:p>
      <w:pPr>
        <w:spacing w:line="360" w:lineRule="auto"/>
        <w:rPr>
          <w:rFonts w:ascii="宋体" w:hAnsi="宋体" w:cs="宋体"/>
          <w:szCs w:val="21"/>
        </w:rPr>
      </w:pPr>
      <w:r>
        <w:rPr>
          <w:rFonts w:ascii="宋体" w:eastAsia="宋体" w:hAnsi="宋体" w:cs="宋体" w:hint="eastAsia"/>
          <w:szCs w:val="21"/>
        </w:rPr>
        <w:t>数据处理功能需包括数据的压缩、解析、协议封装、分发，在采用北斗短报文进行数据通信时，需要对采集的原始数据进行压缩处理。可根据上传的中心站软件不同，对数据进行不同协议的封装。</w:t>
      </w:r>
    </w:p>
    <w:p>
      <w:pPr>
        <w:spacing w:line="360" w:lineRule="auto"/>
        <w:rPr>
          <w:rFonts w:ascii="宋体" w:hAnsi="宋体" w:cs="宋体"/>
          <w:szCs w:val="21"/>
        </w:rPr>
      </w:pPr>
      <w:r>
        <w:rPr>
          <w:rFonts w:ascii="宋体" w:eastAsia="宋体" w:hAnsi="宋体" w:cs="宋体" w:hint="eastAsia"/>
          <w:szCs w:val="21"/>
        </w:rPr>
        <w:t>外部接口可以选配不同的通信模块，实现单路或者多路的传输。GPRS链路支持6路数据传输（1主路和5辅助链路），具备定时重启功能。</w:t>
      </w:r>
    </w:p>
    <w:p>
      <w:pPr>
        <w:spacing w:line="360" w:lineRule="auto"/>
        <w:rPr>
          <w:rFonts w:ascii="宋体" w:hAnsi="宋体" w:cs="宋体"/>
          <w:szCs w:val="21"/>
        </w:rPr>
      </w:pPr>
      <w:r>
        <w:rPr>
          <w:rFonts w:ascii="宋体" w:eastAsia="宋体" w:hAnsi="宋体" w:cs="宋体" w:hint="eastAsia"/>
          <w:szCs w:val="21"/>
        </w:rPr>
        <w:t>指标要求：</w:t>
      </w:r>
    </w:p>
    <w:p>
      <w:pPr>
        <w:spacing w:line="360" w:lineRule="auto"/>
        <w:rPr>
          <w:rFonts w:ascii="宋体" w:hAnsi="宋体" w:cs="宋体"/>
          <w:szCs w:val="21"/>
        </w:rPr>
      </w:pPr>
      <w:r>
        <w:rPr>
          <w:rFonts w:ascii="宋体" w:eastAsia="宋体" w:hAnsi="宋体" w:cs="宋体" w:hint="eastAsia"/>
          <w:szCs w:val="21"/>
        </w:rPr>
        <w:t>数据宽带：78字节/分钟、384Kbps/S，150Mbit/S</w:t>
      </w:r>
    </w:p>
    <w:p>
      <w:pPr>
        <w:spacing w:line="360" w:lineRule="auto"/>
        <w:rPr>
          <w:rFonts w:ascii="宋体" w:hAnsi="宋体" w:cs="宋体"/>
          <w:szCs w:val="21"/>
        </w:rPr>
      </w:pPr>
      <w:r>
        <w:rPr>
          <w:rFonts w:ascii="宋体" w:eastAsia="宋体" w:hAnsi="宋体" w:cs="宋体" w:hint="eastAsia"/>
          <w:szCs w:val="21"/>
        </w:rPr>
        <w:t>（具体根据不同数据链路）</w:t>
      </w:r>
    </w:p>
    <w:p>
      <w:pPr>
        <w:spacing w:line="360" w:lineRule="auto"/>
        <w:rPr>
          <w:rFonts w:ascii="宋体" w:hAnsi="宋体" w:cs="宋体"/>
          <w:szCs w:val="21"/>
        </w:rPr>
      </w:pPr>
      <w:r>
        <w:rPr>
          <w:rFonts w:ascii="宋体" w:eastAsia="宋体" w:hAnsi="宋体" w:cs="宋体" w:hint="eastAsia"/>
          <w:szCs w:val="21"/>
        </w:rPr>
        <w:t>通信成功率：≥99.99%</w:t>
      </w:r>
    </w:p>
    <w:p>
      <w:pPr>
        <w:spacing w:line="360" w:lineRule="auto"/>
        <w:rPr>
          <w:rFonts w:ascii="宋体" w:hAnsi="宋体" w:cs="宋体"/>
          <w:szCs w:val="21"/>
        </w:rPr>
      </w:pPr>
      <w:r>
        <w:rPr>
          <w:rFonts w:ascii="宋体" w:eastAsia="宋体" w:hAnsi="宋体" w:cs="宋体" w:hint="eastAsia"/>
          <w:szCs w:val="21"/>
        </w:rPr>
        <w:t>数据延时：1秒</w:t>
      </w:r>
    </w:p>
    <w:p>
      <w:pPr>
        <w:spacing w:line="360" w:lineRule="auto"/>
        <w:rPr>
          <w:rFonts w:ascii="宋体" w:hAnsi="宋体" w:cs="宋体"/>
          <w:szCs w:val="21"/>
        </w:rPr>
      </w:pPr>
      <w:r>
        <w:rPr>
          <w:rFonts w:ascii="宋体" w:eastAsia="宋体" w:hAnsi="宋体" w:cs="宋体" w:hint="eastAsia"/>
          <w:szCs w:val="21"/>
        </w:rPr>
        <w:t>中心数量：≥6</w:t>
      </w:r>
    </w:p>
    <w:p>
      <w:pPr>
        <w:tabs>
          <w:tab w:val="left" w:pos="432"/>
        </w:tabs>
        <w:adjustRightInd w:val="0"/>
        <w:spacing w:line="360" w:lineRule="auto"/>
        <w:rPr>
          <w:rFonts w:ascii="宋体" w:hAnsi="宋体" w:cs="宋体"/>
          <w:szCs w:val="21"/>
        </w:rPr>
      </w:pPr>
      <w:r>
        <w:rPr>
          <w:rFonts w:ascii="宋体" w:hAnsi="宋体" w:cs="宋体" w:hint="eastAsia"/>
          <w:szCs w:val="21"/>
        </w:rPr>
        <w:t>6</w:t>
      </w:r>
      <w:r>
        <w:rPr>
          <w:rFonts w:ascii="宋体" w:eastAsia="宋体" w:hAnsi="宋体" w:cs="宋体" w:hint="eastAsia"/>
          <w:szCs w:val="21"/>
        </w:rPr>
        <w:t>、10米风杆技术要求</w:t>
      </w:r>
    </w:p>
    <w:p>
      <w:pPr>
        <w:spacing w:line="360" w:lineRule="auto"/>
        <w:ind w:firstLine="420" w:firstLineChars="200"/>
        <w:rPr>
          <w:rFonts w:ascii="宋体" w:hAnsi="宋体" w:cs="宋体"/>
          <w:szCs w:val="21"/>
        </w:rPr>
      </w:pPr>
      <w:r>
        <w:rPr>
          <w:rFonts w:ascii="宋体" w:eastAsia="宋体" w:hAnsi="宋体" w:cs="宋体" w:hint="eastAsia"/>
          <w:szCs w:val="21"/>
        </w:rPr>
        <w:t>自动站</w:t>
      </w:r>
      <w:r>
        <w:rPr>
          <w:rFonts w:ascii="宋体" w:eastAsia="宋体" w:hAnsi="宋体" w:cs="宋体" w:hint="eastAsia"/>
          <w:szCs w:val="21"/>
          <w:lang w:val="zh-CN"/>
        </w:rPr>
        <w:t>要求</w:t>
      </w:r>
      <w:r>
        <w:rPr>
          <w:rFonts w:ascii="宋体" w:eastAsia="宋体" w:hAnsi="宋体" w:cs="宋体" w:hint="eastAsia"/>
          <w:szCs w:val="21"/>
        </w:rPr>
        <w:t>采用无拉线式</w:t>
      </w:r>
      <w:r>
        <w:rPr>
          <w:rFonts w:ascii="宋体" w:eastAsia="宋体" w:hAnsi="宋体" w:cs="宋体" w:hint="eastAsia"/>
          <w:szCs w:val="21"/>
          <w:lang w:val="zh-CN"/>
        </w:rPr>
        <w:t>风杆，防腐蚀能力强、抗风强度大的铝钛合金材料制成，具备防腐、防锈性能，产品能在不同自然环境中具有较强的耐候性。产品能够用于机械风和三维超声风的固定和安装。产品性能要求：较强的耐风沙性、防腐蚀、防腐锈、较强的耐候性、整体安装性高、稳定性强、成熟的防雷保护系统、结构简单、美观大方。</w:t>
      </w:r>
    </w:p>
    <w:p>
      <w:pPr>
        <w:tabs>
          <w:tab w:val="left" w:pos="432"/>
        </w:tabs>
        <w:adjustRightInd w:val="0"/>
        <w:spacing w:line="360" w:lineRule="auto"/>
        <w:rPr>
          <w:rFonts w:ascii="宋体" w:hAnsi="宋体" w:cs="宋体"/>
          <w:szCs w:val="21"/>
        </w:rPr>
      </w:pPr>
      <w:r>
        <w:rPr>
          <w:rFonts w:ascii="宋体" w:hAnsi="宋体" w:cs="宋体" w:hint="eastAsia"/>
          <w:szCs w:val="21"/>
        </w:rPr>
        <w:t>7</w:t>
      </w:r>
      <w:r>
        <w:rPr>
          <w:rFonts w:ascii="宋体" w:eastAsia="宋体" w:hAnsi="宋体" w:cs="宋体" w:hint="eastAsia"/>
          <w:szCs w:val="21"/>
        </w:rPr>
        <w:t>、设备防雷</w:t>
      </w:r>
    </w:p>
    <w:p>
      <w:pPr>
        <w:spacing w:line="360" w:lineRule="auto"/>
        <w:ind w:firstLine="420" w:firstLineChars="200"/>
        <w:rPr>
          <w:rFonts w:ascii="宋体" w:hAnsi="宋体" w:cs="宋体"/>
          <w:szCs w:val="21"/>
        </w:rPr>
      </w:pPr>
      <w:r>
        <w:rPr>
          <w:rFonts w:ascii="宋体" w:eastAsia="宋体" w:hAnsi="宋体" w:cs="宋体" w:hint="eastAsia"/>
          <w:szCs w:val="21"/>
        </w:rPr>
        <w:t>电源系统防雷、传感器通道防雷、通讯系统防雷、设备整体防雷，符合中国气象局自动站防雷标准。</w:t>
      </w:r>
    </w:p>
    <w:p>
      <w:pPr>
        <w:tabs>
          <w:tab w:val="left" w:pos="432"/>
        </w:tabs>
        <w:adjustRightInd w:val="0"/>
        <w:spacing w:line="360" w:lineRule="auto"/>
        <w:rPr>
          <w:rFonts w:ascii="宋体" w:hAnsi="宋体" w:cs="宋体"/>
          <w:szCs w:val="21"/>
          <w:highlight w:val="none"/>
        </w:rPr>
      </w:pPr>
      <w:r>
        <w:rPr>
          <w:rFonts w:ascii="宋体" w:hAnsi="宋体" w:cs="宋体" w:hint="eastAsia"/>
          <w:szCs w:val="21"/>
        </w:rPr>
        <w:t>8</w:t>
      </w:r>
      <w:r>
        <w:rPr>
          <w:rFonts w:ascii="宋体" w:eastAsia="宋体" w:hAnsi="宋体" w:cs="宋体" w:hint="eastAsia"/>
          <w:szCs w:val="21"/>
        </w:rPr>
        <w:t>、</w:t>
      </w:r>
      <w:r>
        <w:rPr>
          <w:rFonts w:ascii="宋体" w:eastAsia="宋体" w:hAnsi="宋体" w:cs="宋体" w:hint="eastAsia"/>
          <w:szCs w:val="21"/>
          <w:highlight w:val="none"/>
        </w:rPr>
        <w:t>可靠性与可维护性</w:t>
      </w:r>
    </w:p>
    <w:p>
      <w:pPr>
        <w:spacing w:line="360" w:lineRule="auto"/>
        <w:ind w:firstLine="420" w:firstLineChars="200"/>
        <w:rPr>
          <w:rFonts w:ascii="宋体" w:hAnsi="宋体" w:cs="宋体"/>
          <w:szCs w:val="21"/>
          <w:highlight w:val="none"/>
        </w:rPr>
      </w:pPr>
      <w:r>
        <w:rPr>
          <w:rFonts w:ascii="宋体" w:eastAsia="宋体" w:hAnsi="宋体" w:cs="宋体" w:hint="eastAsia"/>
          <w:szCs w:val="21"/>
          <w:highlight w:val="none"/>
        </w:rPr>
        <w:t>平均无故障工作时间（MTBF）大于3000h。</w:t>
      </w:r>
    </w:p>
    <w:p>
      <w:pPr>
        <w:spacing w:line="360" w:lineRule="auto"/>
        <w:ind w:firstLine="420" w:firstLineChars="200"/>
        <w:rPr>
          <w:rFonts w:ascii="宋体" w:hAnsi="宋体"/>
          <w:szCs w:val="21"/>
        </w:rPr>
      </w:pPr>
      <w:r>
        <w:rPr>
          <w:rFonts w:ascii="宋体" w:eastAsia="宋体" w:hAnsi="宋体" w:cs="宋体" w:hint="eastAsia"/>
          <w:szCs w:val="21"/>
          <w:highlight w:val="yellow"/>
        </w:rPr>
        <w:t>#平均维修时间（MTTR）小于40min</w:t>
      </w:r>
      <w:r>
        <w:rPr>
          <w:rFonts w:ascii="宋体" w:hAnsi="宋体" w:cs="宋体" w:hint="eastAsia"/>
          <w:szCs w:val="21"/>
          <w:highlight w:val="yellow"/>
        </w:rPr>
        <w:t>。</w:t>
      </w:r>
    </w:p>
    <w:p>
      <w:pPr>
        <w:spacing w:line="360" w:lineRule="auto"/>
        <w:ind w:firstLine="420" w:firstLineChars="200"/>
        <w:rPr>
          <w:rFonts w:ascii="宋体" w:hAnsi="宋体"/>
          <w:szCs w:val="21"/>
        </w:rPr>
      </w:pPr>
      <w:r>
        <w:rPr>
          <w:rFonts w:ascii="宋体" w:hAnsi="宋体" w:hint="eastAsia"/>
          <w:szCs w:val="21"/>
        </w:rPr>
        <w:t>四、检验考核要求</w:t>
      </w:r>
    </w:p>
    <w:p>
      <w:pPr>
        <w:widowControl/>
        <w:spacing w:line="360" w:lineRule="auto"/>
        <w:ind w:firstLine="420" w:firstLineChars="200"/>
        <w:rPr>
          <w:rFonts w:ascii="宋体" w:hAnsi="宋体" w:cs="仿宋"/>
        </w:rPr>
      </w:pPr>
      <w:r>
        <w:rPr>
          <w:rFonts w:ascii="宋体" w:hAnsi="宋体" w:cs="仿宋" w:hint="eastAsia"/>
          <w:szCs w:val="24"/>
        </w:rPr>
        <w:t>1.合同设备必须在合同签订后150天内交货，将所有规格、数量的合同货物送货、卸货到指定建设地点,中标人需提供按期交货的保证措施。</w:t>
      </w:r>
    </w:p>
    <w:p>
      <w:pPr>
        <w:widowControl/>
        <w:spacing w:line="360" w:lineRule="auto"/>
        <w:ind w:firstLine="420" w:firstLineChars="200"/>
        <w:rPr>
          <w:rFonts w:ascii="宋体" w:hAnsi="宋体" w:cs="仿宋"/>
        </w:rPr>
      </w:pPr>
      <w:r>
        <w:rPr>
          <w:rFonts w:ascii="宋体" w:hAnsi="宋体" w:cs="仿宋" w:hint="eastAsia"/>
          <w:szCs w:val="24"/>
        </w:rPr>
        <w:t>2.合同设备是设备生产厂商生产的，全新、未使用过的，是用符合要求的工艺和材料制造而成的，并完全满足规定的质和规格的要求。</w:t>
      </w:r>
    </w:p>
    <w:p>
      <w:pPr>
        <w:widowControl/>
        <w:spacing w:line="360" w:lineRule="auto"/>
        <w:ind w:firstLine="420" w:firstLineChars="200"/>
        <w:rPr>
          <w:rFonts w:ascii="宋体" w:hAnsi="宋体" w:cs="仿宋"/>
        </w:rPr>
      </w:pPr>
      <w:r>
        <w:rPr>
          <w:rFonts w:ascii="宋体" w:hAnsi="宋体" w:cs="仿宋" w:hint="eastAsia"/>
          <w:szCs w:val="24"/>
        </w:rPr>
        <w:t>3.合同设备的技术规范应与本项目招标文件中投标货物清单、质量要求和供货部分中的规定及投标文件中投标货物技术规范偏离表相一致，同时应符合中华人民共和国相关标准及相应的技术规范、本次采购相关文件中的全部相关要求。</w:t>
      </w:r>
    </w:p>
    <w:p>
      <w:pPr>
        <w:widowControl/>
        <w:spacing w:line="360" w:lineRule="auto"/>
        <w:ind w:firstLine="420" w:firstLineChars="200"/>
        <w:rPr>
          <w:rFonts w:ascii="宋体" w:hAnsi="宋体" w:cs="仿宋"/>
        </w:rPr>
      </w:pPr>
      <w:r>
        <w:rPr>
          <w:rFonts w:ascii="宋体" w:hAnsi="宋体" w:cs="仿宋" w:hint="eastAsia"/>
          <w:szCs w:val="24"/>
        </w:rPr>
        <w:t>4.设备出厂前，采购人有权派人到工厂进行检验，中标人应在设备出厂前提供出厂检验项目指标测试程序和检验方法，供采购人参考，采购人可根据需要进行补充和修改。</w:t>
      </w:r>
    </w:p>
    <w:p>
      <w:pPr>
        <w:spacing w:line="360" w:lineRule="auto"/>
        <w:ind w:firstLine="420" w:firstLineChars="200"/>
        <w:rPr>
          <w:rFonts w:ascii="宋体" w:hAnsi="宋体" w:cs="仿宋"/>
        </w:rPr>
      </w:pPr>
      <w:r>
        <w:rPr>
          <w:rFonts w:ascii="宋体" w:hAnsi="宋体" w:cs="仿宋" w:hint="eastAsia"/>
          <w:szCs w:val="24"/>
        </w:rPr>
        <w:t>5.设备包装箱内应附带设备制造厂商的出厂检验合格证书或第三方测试证书。同时提供清晰、正确、完整的中文版本技术资料。</w:t>
      </w:r>
    </w:p>
    <w:p>
      <w:pPr>
        <w:spacing w:line="360" w:lineRule="auto"/>
        <w:ind w:firstLine="420" w:firstLineChars="200"/>
        <w:rPr>
          <w:rFonts w:ascii="宋体" w:hAnsi="宋体" w:cs="仿宋"/>
        </w:rPr>
      </w:pPr>
      <w:r>
        <w:rPr>
          <w:rFonts w:ascii="宋体" w:hAnsi="宋体" w:cs="仿宋" w:hint="eastAsia"/>
          <w:szCs w:val="24"/>
        </w:rPr>
        <w:t>6.设备运抵安装现场后，采购人将与中标人共同开箱验收，如中标人届时不派人到场，则验收结果应以采购人的验收报告为最终验收结果。验收时发现设备短缺、破损，中标人应立即补发进行更换。</w:t>
      </w:r>
    </w:p>
    <w:p>
      <w:pPr>
        <w:spacing w:line="360" w:lineRule="auto"/>
        <w:ind w:firstLine="420" w:firstLineChars="200"/>
        <w:rPr>
          <w:rFonts w:ascii="宋体" w:hAnsi="宋体" w:cs="仿宋"/>
        </w:rPr>
      </w:pPr>
      <w:r>
        <w:rPr>
          <w:rFonts w:ascii="宋体" w:hAnsi="宋体" w:cs="仿宋" w:hint="eastAsia"/>
          <w:szCs w:val="24"/>
        </w:rPr>
        <w:t>7.合同设备经正确安装后，可以连续、正常、稳定运行，气象观测系统设备需要正常接入观测数据传输网络，数据上传格式符合相关业务规范并能被相应业务平台正常解析。当满足以下条件时，采购人确认验收合格：</w:t>
      </w:r>
    </w:p>
    <w:p>
      <w:pPr>
        <w:spacing w:line="360" w:lineRule="auto"/>
        <w:ind w:firstLine="420" w:firstLineChars="200"/>
        <w:rPr>
          <w:rFonts w:ascii="宋体" w:hAnsi="宋体" w:cs="仿宋"/>
        </w:rPr>
      </w:pPr>
      <w:r>
        <w:rPr>
          <w:rFonts w:ascii="宋体" w:hAnsi="宋体" w:cs="仿宋" w:hint="eastAsia"/>
          <w:szCs w:val="24"/>
        </w:rPr>
        <w:t xml:space="preserve">① 中标人已提供合同中签署的全部货物及完整技术资料；  </w:t>
      </w:r>
    </w:p>
    <w:p>
      <w:pPr>
        <w:spacing w:line="360" w:lineRule="auto"/>
        <w:ind w:firstLine="420" w:firstLineChars="200"/>
        <w:rPr>
          <w:rFonts w:ascii="宋体" w:hAnsi="宋体"/>
          <w:szCs w:val="21"/>
        </w:rPr>
      </w:pPr>
      <w:r>
        <w:rPr>
          <w:rFonts w:ascii="宋体" w:hAnsi="宋体" w:cs="仿宋" w:hint="eastAsia"/>
          <w:szCs w:val="24"/>
        </w:rPr>
        <w:t>② 货物符合技术规格，性能满足要求</w:t>
      </w:r>
      <w:r>
        <w:rPr>
          <w:rFonts w:ascii="宋体" w:hAnsi="宋体" w:hint="eastAsia"/>
          <w:szCs w:val="21"/>
        </w:rPr>
        <w:t>。</w:t>
      </w:r>
    </w:p>
    <w:p>
      <w:pPr>
        <w:spacing w:line="360" w:lineRule="auto"/>
        <w:ind w:firstLine="420" w:firstLineChars="200"/>
        <w:rPr>
          <w:rFonts w:ascii="宋体" w:hAnsi="宋体"/>
          <w:szCs w:val="21"/>
        </w:rPr>
      </w:pPr>
      <w:r>
        <w:rPr>
          <w:rFonts w:ascii="宋体" w:hAnsi="宋体" w:hint="eastAsia"/>
          <w:szCs w:val="21"/>
        </w:rPr>
        <w:t>五、技术服务和质保期服务要求</w:t>
      </w:r>
    </w:p>
    <w:p>
      <w:pPr>
        <w:spacing w:line="360" w:lineRule="auto"/>
        <w:ind w:firstLine="420" w:firstLineChars="200"/>
        <w:rPr>
          <w:rFonts w:ascii="宋体" w:hAnsi="宋体"/>
          <w:szCs w:val="21"/>
        </w:rPr>
      </w:pPr>
      <w:r>
        <w:rPr>
          <w:rFonts w:ascii="宋体" w:hAnsi="宋体" w:hint="eastAsia"/>
          <w:szCs w:val="21"/>
        </w:rPr>
        <w:t>1.本采购项目包含设备供应、设备运输、培训及售后服务。</w:t>
      </w:r>
    </w:p>
    <w:p>
      <w:pPr>
        <w:spacing w:line="360" w:lineRule="auto"/>
        <w:ind w:firstLine="420" w:firstLineChars="200"/>
        <w:rPr>
          <w:rFonts w:ascii="宋体" w:hAnsi="宋体"/>
          <w:szCs w:val="21"/>
        </w:rPr>
      </w:pPr>
      <w:r>
        <w:rPr>
          <w:rFonts w:ascii="宋体" w:hAnsi="宋体" w:hint="eastAsia"/>
          <w:szCs w:val="21"/>
        </w:rPr>
        <w:t xml:space="preserve">2.技术培训 </w:t>
      </w:r>
    </w:p>
    <w:p>
      <w:pPr>
        <w:spacing w:line="360" w:lineRule="auto"/>
        <w:ind w:firstLine="420" w:firstLineChars="200"/>
        <w:rPr>
          <w:rFonts w:ascii="宋体" w:hAnsi="宋体"/>
          <w:szCs w:val="21"/>
        </w:rPr>
      </w:pPr>
      <w:r>
        <w:rPr>
          <w:rFonts w:ascii="宋体" w:hAnsi="宋体" w:hint="eastAsia"/>
          <w:szCs w:val="21"/>
        </w:rPr>
        <w:t xml:space="preserve">免费向用户提供设备安装、调试、以及软件技术培训。技术培训内容包括：设备工作原理、使用方法、日常维护及一般常见故障的诊断及排除，以及实际操作练习等。并在培训时免费提供完整的培训资料，其中包括使用说明、工作原理、技术图纸、注意事项、安装调试方法和维修指南等。 </w:t>
      </w:r>
    </w:p>
    <w:p>
      <w:pPr>
        <w:spacing w:line="360" w:lineRule="auto"/>
        <w:ind w:firstLine="420" w:firstLineChars="200"/>
        <w:rPr>
          <w:rFonts w:ascii="宋体" w:hAnsi="宋体"/>
          <w:szCs w:val="21"/>
        </w:rPr>
      </w:pPr>
      <w:r>
        <w:rPr>
          <w:rFonts w:ascii="宋体" w:hAnsi="宋体" w:hint="eastAsia"/>
          <w:szCs w:val="21"/>
        </w:rPr>
        <w:t>3.技术文件</w:t>
      </w:r>
    </w:p>
    <w:p>
      <w:pPr>
        <w:spacing w:line="360" w:lineRule="auto"/>
        <w:ind w:firstLine="420" w:firstLineChars="200"/>
        <w:rPr>
          <w:rFonts w:ascii="宋体" w:hAnsi="宋体"/>
          <w:szCs w:val="21"/>
        </w:rPr>
      </w:pPr>
      <w:r>
        <w:rPr>
          <w:rFonts w:ascii="宋体" w:hAnsi="宋体" w:hint="eastAsia"/>
          <w:szCs w:val="21"/>
        </w:rPr>
        <w:t xml:space="preserve">为确保系统正常运行、管理及维护，投标方应提供全套的书面技术材料，至少应包括：技术资料详细清单；系统说明文件；技术手册(安装、操作、维护、故障排除等)；设备电路原理图；详细的工程日志；基于业务运行和日常维护的规范操作说明等。 </w:t>
      </w:r>
    </w:p>
    <w:p>
      <w:pPr>
        <w:spacing w:line="360" w:lineRule="auto"/>
        <w:ind w:firstLine="420" w:firstLineChars="200"/>
        <w:rPr>
          <w:rFonts w:ascii="宋体" w:hAnsi="宋体"/>
          <w:szCs w:val="21"/>
        </w:rPr>
      </w:pPr>
      <w:r>
        <w:rPr>
          <w:rFonts w:ascii="宋体" w:hAnsi="宋体" w:hint="eastAsia"/>
          <w:szCs w:val="21"/>
        </w:rPr>
        <w:t xml:space="preserve">4.保修及售后服务 </w:t>
      </w:r>
    </w:p>
    <w:p>
      <w:pPr>
        <w:spacing w:line="360" w:lineRule="auto"/>
        <w:ind w:firstLine="420" w:firstLineChars="200"/>
        <w:rPr>
          <w:rFonts w:ascii="宋体" w:hAnsi="宋体"/>
          <w:szCs w:val="21"/>
        </w:rPr>
      </w:pPr>
      <w:r>
        <w:rPr>
          <w:rFonts w:ascii="宋体" w:hAnsi="宋体" w:hint="eastAsia"/>
          <w:szCs w:val="21"/>
        </w:rPr>
        <w:t>（1）设备供应商对所有设备（除单独备注的设备外）提供自验收合格后3年的质保服务*，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360" w:lineRule="auto"/>
        <w:ind w:firstLine="420" w:firstLineChars="200"/>
        <w:rPr>
          <w:rFonts w:ascii="宋体" w:hAnsi="宋体"/>
          <w:szCs w:val="21"/>
        </w:rPr>
      </w:pPr>
      <w:r>
        <w:rPr>
          <w:rFonts w:ascii="宋体" w:hAnsi="宋体" w:hint="eastAsia"/>
          <w:szCs w:val="21"/>
        </w:rPr>
        <w:t>（2）在质保期内，设备供应商服务时间应为7×24小时，当投标产品或软件遭到损坏或出现故障时，要在用户报修之时起4小时内做出响应，开展维修维护工作，视情况双方协商设备恢复正常运行时限。</w:t>
      </w:r>
    </w:p>
    <w:p>
      <w:pPr>
        <w:spacing w:line="360" w:lineRule="auto"/>
        <w:ind w:firstLine="420" w:firstLineChars="200"/>
        <w:rPr>
          <w:rFonts w:ascii="宋体" w:hAnsi="宋体"/>
          <w:szCs w:val="21"/>
        </w:rPr>
      </w:pPr>
      <w:r>
        <w:rPr>
          <w:rFonts w:ascii="宋体" w:hAnsi="宋体" w:hint="eastAsia"/>
          <w:szCs w:val="21"/>
        </w:rPr>
        <w:t>（3）质保期过后，设备供应商仍有义务提供技术服务（包括提供设备维护、备件等）。</w:t>
      </w: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84"/>
        <w:gridCol w:w="1258"/>
        <w:gridCol w:w="794"/>
        <w:gridCol w:w="1103"/>
        <w:gridCol w:w="1258"/>
        <w:gridCol w:w="1800"/>
        <w:gridCol w:w="186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便携站相关备件</w:t>
            </w:r>
          </w:p>
        </w:tc>
        <w:tc>
          <w:tcPr/>
          <w:p>
            <w:pPr>
              <w:autoSpaceDE w:val="0"/>
              <w:jc w:val="center"/>
              <w:rPr>
                <w:rFonts w:asciiTheme="minorEastAsia" w:hAnsiTheme="minorEastAsia" w:cstheme="minorEastAsia"/>
                <w:kern w:val="0"/>
                <w:szCs w:val="21"/>
              </w:rPr>
            </w:pPr>
            <w:r>
              <w:t>200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10,000,000.00</w:t>
            </w:r>
          </w:p>
        </w:tc>
        <w:tc>
          <w:tcPr/>
          <w:p>
            <w:pPr>
              <w:autoSpaceDE w:val="0"/>
              <w:jc w:val="center"/>
              <w:rPr>
                <w:rFonts w:asciiTheme="minorEastAsia" w:hAnsiTheme="minorEastAsia" w:cstheme="minorEastAsia" w:hint="eastAsia"/>
                <w:kern w:val="0"/>
                <w:szCs w:val="21"/>
              </w:rPr>
            </w:pPr>
            <w:r>
              <w:t>合同签订后150天内交货</w:t>
            </w:r>
          </w:p>
        </w:tc>
        <w:tc>
          <w:tcPr/>
          <w:p>
            <w:pPr>
              <w:autoSpaceDE w:val="0"/>
              <w:autoSpaceDN w:val="0"/>
              <w:adjustRightInd w:val="0"/>
              <w:spacing w:before="48"/>
              <w:ind w:right="-20"/>
              <w:jc w:val="center"/>
              <w:rPr>
                <w:rFonts w:asciiTheme="minorEastAsia" w:hAnsiTheme="minorEastAsia" w:cstheme="minorEastAsia"/>
                <w:kern w:val="0"/>
                <w:szCs w:val="21"/>
              </w:rPr>
            </w:pPr>
            <w:r>
              <w:t>含安装调试及三年维保。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10,000,000.00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8"/>
        <w:gridCol w:w="1488"/>
        <w:gridCol w:w="957"/>
        <w:gridCol w:w="368"/>
        <w:gridCol w:w="840"/>
        <w:gridCol w:w="759"/>
        <w:gridCol w:w="2607"/>
        <w:gridCol w:w="11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探测数据中心(001046013)</w:t>
            </w:r>
          </w:p>
        </w:tc>
        <w:tc>
          <w:tcPr/>
          <w:p>
            <w:r>
              <w:t>便携站相关备件</w:t>
            </w:r>
          </w:p>
        </w:tc>
        <w:tc>
          <w:tcPr/>
          <w:p>
            <w:r>
              <w:t>200</w:t>
            </w:r>
          </w:p>
        </w:tc>
        <w:tc>
          <w:tcPr/>
          <w:p>
            <w:r>
              <w:t>10000000.00</w:t>
            </w:r>
          </w:p>
        </w:tc>
        <w:tc>
          <w:tcPr/>
          <w:p>
            <w:r>
              <w:t xml:space="preserve">10000000.00  </w:t>
            </w:r>
          </w:p>
        </w:tc>
        <w:tc>
          <w:tcPr/>
          <w:p>
            <w:r>
              <w:t>河南省气象探测数据中心（河南省气象档案馆）</w:t>
            </w:r>
          </w:p>
        </w:tc>
        <w:tc>
          <w:tcPr/>
          <w:p>
            <w:r>
              <w:t>马赛飞15538396213</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lang w:val="en-US" w:eastAsia="zh-CN"/>
              </w:rPr>
              <w:t>7</w:t>
            </w:r>
          </w:p>
        </w:tc>
        <w:tc>
          <w:tcPr>
            <w:tcW w:w="7347" w:type="dxa"/>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w:t>
            </w:r>
            <w:r>
              <w:rPr>
                <w:rFonts w:ascii="宋体" w:hAnsi="宋体" w:cs="微软雅黑" w:hint="eastAsia"/>
                <w:b/>
                <w:color w:val="0000FF"/>
                <w:kern w:val="0"/>
                <w:sz w:val="18"/>
                <w:szCs w:val="18"/>
                <w:lang w:val="en-US" w:eastAsia="zh-CN"/>
              </w:rPr>
              <w:t>产品</w:t>
            </w:r>
            <w:r>
              <w:rPr>
                <w:rFonts w:ascii="宋体" w:hAnsi="宋体" w:cs="微软雅黑" w:hint="eastAsia"/>
                <w:b/>
                <w:color w:val="0000FF"/>
                <w:kern w:val="0"/>
                <w:sz w:val="18"/>
                <w:szCs w:val="18"/>
              </w:rPr>
              <w:t>具有便携式自动气象</w:t>
            </w:r>
            <w:r>
              <w:rPr>
                <w:rFonts w:ascii="宋体" w:hAnsi="宋体" w:cs="微软雅黑" w:hint="eastAsia"/>
                <w:b/>
                <w:color w:val="0000FF"/>
                <w:kern w:val="0"/>
                <w:sz w:val="18"/>
                <w:szCs w:val="18"/>
              </w:rPr>
              <w:t>站《气象专用技术装备使用许可证》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7.4</w:t>
            </w: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设备供应商对所有设备提供自验收合格后3年的质保服务</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D85296" w:rsidP="00F633A9">
      <w:pPr>
        <w:numPr>
          <w:ilvl w:val="0"/>
          <w:numId w:val="4"/>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D85296">
      <w:pPr>
        <w:spacing w:line="360" w:lineRule="auto"/>
        <w:ind w:left="1680" w:firstLine="420"/>
        <w:jc w:val="left"/>
        <w:rPr>
          <w:b/>
          <w:bCs/>
          <w:szCs w:val="21"/>
        </w:rPr>
      </w:pPr>
      <w:r>
        <w:rPr>
          <w:rFonts w:hint="eastAsia"/>
          <w:b/>
          <w:bCs/>
          <w:szCs w:val="21"/>
        </w:rPr>
        <w:t>必须明确合同金额支付条件及支付比例</w:t>
      </w:r>
    </w:p>
    <w:p w:rsidR="00D85296">
      <w:pPr>
        <w:pStyle w:val="BodyText"/>
        <w:spacing w:after="0"/>
        <w:jc w:val="center"/>
        <w:rPr>
          <w:rFonts w:ascii="宋体" w:hAnsi="宋体" w:cs="宋体"/>
          <w:b/>
          <w:bCs/>
          <w:spacing w:val="-20"/>
          <w:kern w:val="44"/>
          <w:sz w:val="48"/>
          <w:szCs w:val="48"/>
        </w:rPr>
      </w:pPr>
      <w:r>
        <w:rPr>
          <w:b/>
          <w:bCs/>
          <w:szCs w:val="21"/>
        </w:rPr>
        <w:br w:type="page"/>
      </w:r>
      <w:bookmarkStart w:id="70" w:name="_Toc3995"/>
    </w:p>
    <w:p w:rsidR="00D85296">
      <w:pPr>
        <w:pStyle w:val="BodyText"/>
        <w:spacing w:after="0"/>
        <w:jc w:val="center"/>
        <w:rPr>
          <w:rFonts w:ascii="宋体" w:hAnsi="宋体" w:cs="宋体"/>
          <w:b/>
          <w:bCs/>
          <w:spacing w:val="-20"/>
          <w:kern w:val="44"/>
          <w:sz w:val="48"/>
          <w:szCs w:val="48"/>
        </w:rPr>
      </w:pPr>
    </w:p>
    <w:p w:rsidR="00D85296">
      <w:pPr>
        <w:pStyle w:val="BodyText"/>
        <w:spacing w:after="0"/>
        <w:jc w:val="center"/>
        <w:rPr>
          <w:rFonts w:ascii="宋体" w:hAnsi="宋体" w:cs="宋体"/>
          <w:b/>
          <w:bCs/>
          <w:spacing w:val="-20"/>
          <w:kern w:val="44"/>
          <w:sz w:val="48"/>
          <w:szCs w:val="48"/>
        </w:rPr>
      </w:pPr>
    </w:p>
    <w:p w:rsidR="00D85296">
      <w:pPr>
        <w:pStyle w:val="BodyText"/>
        <w:spacing w:after="0"/>
        <w:jc w:val="center"/>
        <w:rPr>
          <w:rFonts w:ascii="宋体" w:hAnsi="宋体" w:cs="宋体"/>
          <w:b/>
          <w:bCs/>
          <w:spacing w:val="-20"/>
          <w:kern w:val="44"/>
          <w:sz w:val="48"/>
          <w:szCs w:val="48"/>
        </w:rPr>
      </w:pPr>
    </w:p>
    <w:p w:rsidR="00D85296">
      <w:pPr>
        <w:pStyle w:val="BodyText"/>
        <w:spacing w:after="0"/>
        <w:jc w:val="center"/>
        <w:rPr>
          <w:rFonts w:ascii="宋体" w:hAnsi="宋体" w:cs="宋体"/>
          <w:b/>
          <w:bCs/>
          <w:spacing w:val="-20"/>
          <w:kern w:val="44"/>
          <w:sz w:val="48"/>
          <w:szCs w:val="48"/>
        </w:rPr>
      </w:pPr>
    </w:p>
    <w:p w:rsidR="00D85296">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D85296">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D85296">
      <w:pPr>
        <w:rPr>
          <w:rFonts w:ascii="宋体" w:hAnsi="宋体" w:cs="宋体"/>
          <w:b/>
          <w:bCs/>
          <w:spacing w:val="-20"/>
          <w:kern w:val="44"/>
          <w:sz w:val="40"/>
          <w:szCs w:val="40"/>
        </w:rPr>
      </w:pPr>
    </w:p>
    <w:p w:rsidR="00D85296">
      <w:pPr>
        <w:rPr>
          <w:rFonts w:ascii="宋体" w:hAnsi="宋体" w:cs="宋体"/>
          <w:b/>
          <w:bCs/>
          <w:spacing w:val="-20"/>
          <w:kern w:val="44"/>
          <w:sz w:val="40"/>
          <w:szCs w:val="40"/>
        </w:rPr>
      </w:pPr>
    </w:p>
    <w:p w:rsidR="00D85296">
      <w:pPr>
        <w:rPr>
          <w:rFonts w:ascii="宋体" w:hAnsi="宋体" w:cs="宋体"/>
          <w:b/>
          <w:bCs/>
          <w:spacing w:val="-20"/>
          <w:kern w:val="44"/>
          <w:sz w:val="40"/>
          <w:szCs w:val="40"/>
        </w:rPr>
      </w:pPr>
    </w:p>
    <w:p w:rsidR="00D85296">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D85296">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D85296">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D85296">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D85296">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D85296"/>
    <w:p w:rsidR="00D85296">
      <w:pPr>
        <w:rPr>
          <w:rFonts w:eastAsia="黑体"/>
          <w:sz w:val="44"/>
          <w:szCs w:val="44"/>
        </w:rPr>
      </w:pPr>
      <w:r>
        <w:rPr>
          <w:rFonts w:eastAsia="黑体"/>
          <w:sz w:val="44"/>
          <w:szCs w:val="44"/>
        </w:rPr>
        <w:br w:type="page"/>
      </w:r>
    </w:p>
    <w:p w:rsidR="00D85296">
      <w:pPr>
        <w:rPr>
          <w:rFonts w:eastAsia="黑体"/>
          <w:sz w:val="44"/>
          <w:szCs w:val="44"/>
        </w:rPr>
      </w:pPr>
    </w:p>
    <w:p w:rsidR="00D85296">
      <w:pPr>
        <w:rPr>
          <w:rFonts w:eastAsia="黑体"/>
          <w:sz w:val="44"/>
          <w:szCs w:val="44"/>
        </w:rPr>
      </w:pPr>
    </w:p>
    <w:p w:rsidR="00D85296">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D85296">
      <w:pPr>
        <w:ind w:firstLine="640" w:firstLineChars="200"/>
        <w:rPr>
          <w:rFonts w:ascii="仿宋_GB2312" w:eastAsia="仿宋_GB2312" w:hAnsi="仿宋_GB2312" w:cs="仿宋_GB2312"/>
          <w:sz w:val="32"/>
          <w:szCs w:val="32"/>
        </w:rPr>
      </w:pPr>
    </w:p>
    <w:p w:rsidR="00D85296">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D85296">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D85296">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D85296">
      <w:pPr>
        <w:rPr>
          <w:rFonts w:eastAsia="黑体"/>
          <w:sz w:val="44"/>
          <w:szCs w:val="44"/>
        </w:rPr>
        <w:sectPr>
          <w:pgSz w:w="11906" w:h="16838"/>
          <w:pgMar w:top="1440" w:right="1800" w:bottom="1440" w:left="1800" w:header="851" w:footer="992" w:gutter="0"/>
          <w:cols w:space="425"/>
          <w:docGrid w:type="lines" w:linePitch="312"/>
        </w:sectPr>
      </w:pPr>
    </w:p>
    <w:p w:rsidR="00D85296">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D85296">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D85296">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D85296">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D85296">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D85296">
      <w:pPr>
        <w:spacing w:line="400" w:lineRule="exact"/>
      </w:pPr>
    </w:p>
    <w:p w:rsidR="00D85296">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D85296" w:rsidP="00F633A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D85296">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D85296">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D85296">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D85296">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D85296">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D85296">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D85296">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D85296">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D85296">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D85296">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D8529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D8529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D8529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D8529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D8529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D85296">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D85296">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D85296">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D85296">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D85296">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D85296">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D85296">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D85296">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D85296">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D85296">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D85296">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D85296">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D85296">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D85296">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D85296">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D85296">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D85296">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D85296">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D85296">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D85296">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D85296">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D85296">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D8529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D85296">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D85296">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D85296">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D8529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D85296">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D85296">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D85296">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D8529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D85296">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D8529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D85296">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D85296" w:rsidP="00F633A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D85296">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D8529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D85296">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D8529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D8529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D85296">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D85296">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D85296">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D85296">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（合同生效后付款：双方签署合同后30个工作日内，甲方向乙方支付合同总金额的90%；到货验收后付款：双方签署验收报告后30个工作日内，甲方向乙方支付合同总金额的10%。</w:t>
      </w:r>
      <w:r>
        <w:rPr>
          <w:rFonts w:ascii="宋体" w:hAnsi="宋体" w:hint="eastAsia"/>
          <w:szCs w:val="21"/>
          <w:u w:val="single"/>
        </w:rPr>
        <w:t xml:space="preserve"> </w:t>
      </w:r>
    </w:p>
    <w:p w:rsidR="00D85296">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D85296">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D85296" w:rsidP="00F633A9">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D85296">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D85296">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D85296">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D85296">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D85296">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D85296">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D85296">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D85296">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D85296" w:rsidP="00F633A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D85296">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D85296">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D85296">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85296">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85296">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85296">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85296">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85296">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D85296">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85296">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D8529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D85296">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D85296">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D85296">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D8529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D8529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D85296">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D85296">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D85296" w:rsidP="00F633A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D85296">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D85296" w:rsidP="00F633A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D85296" w:rsidP="00F633A9">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D85296">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D85296">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D85296">
      <w:r>
        <w:rPr>
          <w:rFonts w:hint="eastAsia"/>
        </w:rPr>
        <w:br w:type="page"/>
      </w:r>
    </w:p>
    <w:p w:rsidR="00D85296">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D85296">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D85296">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法定代表人</w:t>
            </w:r>
          </w:p>
          <w:p w:rsidR="00D85296">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法定代表人</w:t>
            </w:r>
          </w:p>
          <w:p w:rsidR="00D85296">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5296">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D85296">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D85296">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D85296">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D85296">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D85296">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D85296">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D85296">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D8529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D8529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D8529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D8529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D8529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D85296">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D85296">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D85296">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D8529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D85296">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D8529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D85296">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D85296">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D85296">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D85296">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D85296">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D8529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D8529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D85296">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D85296">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D85296">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D85296">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D85296">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D85296">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D8529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D8529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D8529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D85296">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D8529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D85296">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D85296">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D85296">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D85296">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D85296">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D85296">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D85296">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D85296">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D85296">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D85296">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D85296">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D85296">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D85296">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D85296">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D85296">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D85296">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D85296">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D85296">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D85296">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D85296">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D85296">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D8529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D8529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D8529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D85296">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D85296">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D85296">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D85296">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D85296">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D85296">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D85296">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D85296">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D85296">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D85296">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D85296">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D85296">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D85296">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D85296">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D85296">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D85296">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D85296">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D85296">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D85296">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D85296"/>
        </w:tc>
      </w:tr>
      <w:tr>
        <w:tblPrEx>
          <w:tblW w:w="8519" w:type="dxa"/>
          <w:tblInd w:w="108" w:type="dxa"/>
          <w:tblLayout w:type="fixed"/>
          <w:tblLook w:val="04A0"/>
        </w:tblPrEx>
        <w:trPr>
          <w:trHeight w:val="667"/>
        </w:trPr>
        <w:tc>
          <w:tcPr>
            <w:tcW w:w="1607" w:type="dxa"/>
            <w:vMerge/>
            <w:vAlign w:val="center"/>
          </w:tcPr>
          <w:p w:rsidR="00D85296">
            <w:pPr>
              <w:adjustRightInd w:val="0"/>
              <w:snapToGrid w:val="0"/>
              <w:jc w:val="center"/>
              <w:rPr>
                <w:rFonts w:ascii="宋体" w:hAnsi="宋体"/>
                <w:szCs w:val="21"/>
              </w:rPr>
            </w:pPr>
          </w:p>
        </w:tc>
        <w:tc>
          <w:tcPr>
            <w:tcW w:w="1742" w:type="dxa"/>
            <w:vAlign w:val="center"/>
          </w:tcPr>
          <w:p w:rsidR="00D85296">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D85296"/>
        </w:tc>
      </w:tr>
      <w:tr>
        <w:tblPrEx>
          <w:tblW w:w="8519" w:type="dxa"/>
          <w:tblInd w:w="108" w:type="dxa"/>
          <w:tblLayout w:type="fixed"/>
          <w:tblLook w:val="04A0"/>
        </w:tblPrEx>
        <w:trPr>
          <w:trHeight w:val="772"/>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D85296"/>
        </w:tc>
      </w:tr>
      <w:tr>
        <w:tblPrEx>
          <w:tblW w:w="8519" w:type="dxa"/>
          <w:tblInd w:w="108" w:type="dxa"/>
          <w:tblLayout w:type="fixed"/>
          <w:tblLook w:val="04A0"/>
        </w:tblPrEx>
        <w:trPr>
          <w:trHeight w:val="667"/>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D85296"/>
        </w:tc>
      </w:tr>
      <w:tr>
        <w:tblPrEx>
          <w:tblW w:w="8519" w:type="dxa"/>
          <w:tblInd w:w="108" w:type="dxa"/>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D85296">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货物质量缺陷</w:t>
            </w:r>
          </w:p>
          <w:p w:rsidR="00D85296">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85296">
            <w:pPr>
              <w:snapToGrid w:val="0"/>
              <w:jc w:val="center"/>
              <w:rPr>
                <w:rFonts w:ascii="宋体" w:hAnsi="宋体" w:cs="宋体"/>
                <w:szCs w:val="21"/>
              </w:rPr>
            </w:pPr>
            <w:r>
              <w:rPr>
                <w:rFonts w:ascii="宋体" w:hAnsi="宋体" w:cs="宋体" w:hint="eastAsia"/>
                <w:szCs w:val="21"/>
              </w:rPr>
              <w:t>第二节</w:t>
            </w:r>
          </w:p>
          <w:p w:rsidR="00D85296">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D85296">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D8529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D85296">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D85296">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D85296">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D85296">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D85296">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D85296">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D85296">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D85296">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D85296">
            <w:pPr>
              <w:adjustRightInd w:val="0"/>
              <w:snapToGrid w:val="0"/>
              <w:jc w:val="center"/>
              <w:rPr>
                <w:rFonts w:ascii="宋体" w:hAnsi="宋体"/>
                <w:szCs w:val="21"/>
              </w:rPr>
            </w:pPr>
            <w:r>
              <w:rPr>
                <w:rFonts w:ascii="宋体" w:hAnsi="宋体" w:hint="eastAsia"/>
                <w:szCs w:val="21"/>
              </w:rPr>
              <w:t>第二节</w:t>
            </w:r>
          </w:p>
          <w:p w:rsidR="00D8529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D85296">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D85296">
            <w:pPr>
              <w:adjustRightInd w:val="0"/>
              <w:snapToGrid w:val="0"/>
              <w:jc w:val="left"/>
              <w:rPr>
                <w:rFonts w:ascii="宋体" w:hAnsi="宋体"/>
                <w:szCs w:val="21"/>
              </w:rPr>
            </w:pPr>
          </w:p>
        </w:tc>
      </w:tr>
    </w:tbl>
    <w:p w:rsidR="00D85296"/>
    <w:p w:rsidR="00D85296">
      <w:pPr>
        <w:rPr>
          <w:b/>
          <w:bCs/>
          <w:sz w:val="44"/>
          <w:szCs w:val="44"/>
        </w:rPr>
      </w:pPr>
    </w:p>
    <w:p w:rsidR="00D85296"/>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5296"/>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3A9"/>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